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0827" w14:textId="77777777" w:rsidR="009260DE" w:rsidRPr="00D4605C" w:rsidRDefault="0021526C" w:rsidP="009260DE">
      <w:pPr>
        <w:rPr>
          <w:sz w:val="24"/>
          <w:szCs w:val="24"/>
        </w:rPr>
      </w:pPr>
      <w:r w:rsidRPr="00D4605C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1764609E" wp14:editId="00DB485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D4605C">
        <w:rPr>
          <w:sz w:val="24"/>
          <w:szCs w:val="24"/>
        </w:rPr>
        <w:br w:type="textWrapping" w:clear="all"/>
      </w:r>
    </w:p>
    <w:p w14:paraId="0CD939BB" w14:textId="4DC6CC4B" w:rsidR="009260DE" w:rsidRPr="00D4605C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D4605C">
        <w:rPr>
          <w:b w:val="0"/>
          <w:szCs w:val="24"/>
          <w:lang w:eastAsia="en-US"/>
        </w:rPr>
        <w:tab/>
      </w:r>
      <w:r w:rsidR="00892AC9">
        <w:rPr>
          <w:szCs w:val="24"/>
        </w:rPr>
        <w:t>8. januar 2026</w:t>
      </w:r>
    </w:p>
    <w:p w14:paraId="04886A71" w14:textId="77777777" w:rsidR="009260DE" w:rsidRPr="00D4605C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00682AAD" w14:textId="77777777" w:rsidR="009260DE" w:rsidRPr="00D4605C" w:rsidRDefault="009260DE" w:rsidP="009260DE">
      <w:pPr>
        <w:pStyle w:val="Titel"/>
        <w:jc w:val="left"/>
        <w:rPr>
          <w:b w:val="0"/>
          <w:szCs w:val="24"/>
        </w:rPr>
      </w:pPr>
    </w:p>
    <w:p w14:paraId="3739D61C" w14:textId="77777777" w:rsidR="009260DE" w:rsidRPr="00D4605C" w:rsidRDefault="009260DE" w:rsidP="009260DE">
      <w:pPr>
        <w:pStyle w:val="Titel"/>
        <w:jc w:val="left"/>
        <w:rPr>
          <w:b w:val="0"/>
          <w:szCs w:val="24"/>
        </w:rPr>
      </w:pPr>
    </w:p>
    <w:p w14:paraId="40D7D0E8" w14:textId="77777777" w:rsidR="009260DE" w:rsidRPr="00892AC9" w:rsidRDefault="009260DE" w:rsidP="009260DE">
      <w:pPr>
        <w:jc w:val="center"/>
        <w:rPr>
          <w:b/>
          <w:sz w:val="24"/>
          <w:szCs w:val="24"/>
        </w:rPr>
      </w:pPr>
      <w:r w:rsidRPr="00892AC9">
        <w:rPr>
          <w:b/>
          <w:sz w:val="24"/>
          <w:szCs w:val="24"/>
        </w:rPr>
        <w:t>PRODUKTRESUMÉ</w:t>
      </w:r>
    </w:p>
    <w:p w14:paraId="32762940" w14:textId="77777777" w:rsidR="009260DE" w:rsidRPr="00892AC9" w:rsidRDefault="009260DE" w:rsidP="009260DE">
      <w:pPr>
        <w:jc w:val="center"/>
        <w:rPr>
          <w:b/>
          <w:sz w:val="24"/>
          <w:szCs w:val="24"/>
        </w:rPr>
      </w:pPr>
    </w:p>
    <w:p w14:paraId="7A195556" w14:textId="77777777" w:rsidR="009260DE" w:rsidRPr="00892AC9" w:rsidRDefault="009260DE" w:rsidP="009260DE">
      <w:pPr>
        <w:jc w:val="center"/>
        <w:rPr>
          <w:b/>
          <w:sz w:val="24"/>
          <w:szCs w:val="24"/>
        </w:rPr>
      </w:pPr>
      <w:r w:rsidRPr="00892AC9">
        <w:rPr>
          <w:b/>
          <w:sz w:val="24"/>
          <w:szCs w:val="24"/>
        </w:rPr>
        <w:t>for</w:t>
      </w:r>
    </w:p>
    <w:p w14:paraId="38EBC352" w14:textId="77777777" w:rsidR="000B058C" w:rsidRPr="00892AC9" w:rsidRDefault="000B058C" w:rsidP="009260DE">
      <w:pPr>
        <w:jc w:val="center"/>
        <w:rPr>
          <w:b/>
          <w:sz w:val="24"/>
          <w:szCs w:val="24"/>
        </w:rPr>
      </w:pPr>
    </w:p>
    <w:p w14:paraId="47B0FD07" w14:textId="222B171F" w:rsidR="009260DE" w:rsidRPr="00D4605C" w:rsidRDefault="000B3EF5" w:rsidP="009260DE">
      <w:pPr>
        <w:jc w:val="center"/>
        <w:rPr>
          <w:b/>
          <w:sz w:val="24"/>
          <w:szCs w:val="24"/>
        </w:rPr>
      </w:pPr>
      <w:proofErr w:type="spellStart"/>
      <w:r w:rsidRPr="00892AC9">
        <w:rPr>
          <w:b/>
          <w:sz w:val="24"/>
          <w:szCs w:val="24"/>
        </w:rPr>
        <w:t>Galieve</w:t>
      </w:r>
      <w:proofErr w:type="spellEnd"/>
      <w:r w:rsidRPr="00892AC9">
        <w:rPr>
          <w:b/>
          <w:sz w:val="24"/>
          <w:szCs w:val="24"/>
        </w:rPr>
        <w:t xml:space="preserve"> Extra </w:t>
      </w:r>
      <w:proofErr w:type="spellStart"/>
      <w:r w:rsidRPr="00892AC9">
        <w:rPr>
          <w:b/>
          <w:sz w:val="24"/>
          <w:szCs w:val="24"/>
        </w:rPr>
        <w:t>Peppermint</w:t>
      </w:r>
      <w:proofErr w:type="spellEnd"/>
      <w:r w:rsidRPr="00892AC9">
        <w:rPr>
          <w:b/>
          <w:sz w:val="24"/>
          <w:szCs w:val="24"/>
        </w:rPr>
        <w:t xml:space="preserve">, </w:t>
      </w:r>
      <w:r w:rsidR="00B44E83" w:rsidRPr="00892AC9">
        <w:rPr>
          <w:b/>
          <w:sz w:val="24"/>
          <w:szCs w:val="24"/>
        </w:rPr>
        <w:t>tyggetabletter</w:t>
      </w:r>
    </w:p>
    <w:p w14:paraId="6BE7C005" w14:textId="77777777" w:rsidR="009260DE" w:rsidRPr="00892AC9" w:rsidRDefault="009260DE" w:rsidP="009260DE">
      <w:pPr>
        <w:jc w:val="both"/>
        <w:rPr>
          <w:sz w:val="24"/>
          <w:szCs w:val="24"/>
        </w:rPr>
      </w:pPr>
    </w:p>
    <w:p w14:paraId="34BE6EC9" w14:textId="77777777" w:rsidR="009260DE" w:rsidRPr="00892AC9" w:rsidRDefault="009260DE" w:rsidP="009260DE">
      <w:pPr>
        <w:jc w:val="both"/>
        <w:rPr>
          <w:sz w:val="24"/>
          <w:szCs w:val="24"/>
        </w:rPr>
      </w:pPr>
    </w:p>
    <w:p w14:paraId="08ACEF50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0.</w:t>
      </w:r>
      <w:r w:rsidRPr="00D4605C">
        <w:rPr>
          <w:b/>
          <w:sz w:val="24"/>
          <w:szCs w:val="24"/>
        </w:rPr>
        <w:tab/>
        <w:t>D.SP.NR.</w:t>
      </w:r>
    </w:p>
    <w:p w14:paraId="6D657ED1" w14:textId="2E7B746C" w:rsidR="009260DE" w:rsidRPr="00D4605C" w:rsidRDefault="000B3EF5" w:rsidP="009260DE">
      <w:pPr>
        <w:tabs>
          <w:tab w:val="left" w:pos="851"/>
        </w:tabs>
        <w:ind w:left="851"/>
        <w:rPr>
          <w:sz w:val="24"/>
          <w:szCs w:val="24"/>
        </w:rPr>
      </w:pPr>
      <w:r w:rsidRPr="00D4605C">
        <w:rPr>
          <w:sz w:val="24"/>
          <w:szCs w:val="24"/>
        </w:rPr>
        <w:t>27229</w:t>
      </w:r>
    </w:p>
    <w:p w14:paraId="69BEFEF3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F47A730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1.</w:t>
      </w:r>
      <w:r w:rsidRPr="00D4605C">
        <w:rPr>
          <w:b/>
          <w:sz w:val="24"/>
          <w:szCs w:val="24"/>
        </w:rPr>
        <w:tab/>
        <w:t>LÆGEMIDLETS NAVN</w:t>
      </w:r>
    </w:p>
    <w:p w14:paraId="5AE5C064" w14:textId="23828489" w:rsidR="009260DE" w:rsidRPr="00D4605C" w:rsidRDefault="000B3EF5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Galieve</w:t>
      </w:r>
      <w:proofErr w:type="spellEnd"/>
      <w:r w:rsidRPr="00D4605C">
        <w:rPr>
          <w:sz w:val="24"/>
          <w:szCs w:val="24"/>
        </w:rPr>
        <w:t xml:space="preserve"> Extra </w:t>
      </w:r>
      <w:proofErr w:type="spellStart"/>
      <w:r w:rsidRPr="00D4605C">
        <w:rPr>
          <w:sz w:val="24"/>
          <w:szCs w:val="24"/>
        </w:rPr>
        <w:t>Peppermint</w:t>
      </w:r>
      <w:proofErr w:type="spellEnd"/>
    </w:p>
    <w:p w14:paraId="3B12A202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DDECDC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2.</w:t>
      </w:r>
      <w:r w:rsidRPr="00D4605C">
        <w:rPr>
          <w:b/>
          <w:sz w:val="24"/>
          <w:szCs w:val="24"/>
        </w:rPr>
        <w:tab/>
        <w:t>KVALITATIV OG KVANTITATIV SAMMENSÆTNING</w:t>
      </w:r>
    </w:p>
    <w:p w14:paraId="181DF2F4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Hver tyggetablet indeholder 250 mg </w:t>
      </w:r>
      <w:proofErr w:type="spellStart"/>
      <w:r w:rsidRPr="00D4605C">
        <w:rPr>
          <w:sz w:val="24"/>
          <w:szCs w:val="24"/>
        </w:rPr>
        <w:t>natriumalginat</w:t>
      </w:r>
      <w:proofErr w:type="spellEnd"/>
      <w:r w:rsidRPr="00D4605C">
        <w:rPr>
          <w:sz w:val="24"/>
          <w:szCs w:val="24"/>
        </w:rPr>
        <w:t xml:space="preserve">, 106,5 mg </w:t>
      </w:r>
      <w:proofErr w:type="spellStart"/>
      <w:r w:rsidRPr="00D4605C">
        <w:rPr>
          <w:sz w:val="24"/>
          <w:szCs w:val="24"/>
        </w:rPr>
        <w:t>natriumhydrogencarbonat</w:t>
      </w:r>
      <w:proofErr w:type="spellEnd"/>
      <w:r w:rsidRPr="00D4605C">
        <w:rPr>
          <w:sz w:val="24"/>
          <w:szCs w:val="24"/>
        </w:rPr>
        <w:t xml:space="preserve"> og 187,5 mg </w:t>
      </w:r>
      <w:proofErr w:type="spellStart"/>
      <w:r w:rsidRPr="00D4605C">
        <w:rPr>
          <w:sz w:val="24"/>
          <w:szCs w:val="24"/>
        </w:rPr>
        <w:t>calciumcarbonat</w:t>
      </w:r>
      <w:proofErr w:type="spellEnd"/>
      <w:r w:rsidRPr="00D4605C">
        <w:rPr>
          <w:sz w:val="24"/>
          <w:szCs w:val="24"/>
        </w:rPr>
        <w:t>.</w:t>
      </w:r>
    </w:p>
    <w:p w14:paraId="4FFE2892" w14:textId="77777777" w:rsidR="00275B23" w:rsidRPr="00D4605C" w:rsidRDefault="00275B23" w:rsidP="00D4605C">
      <w:pPr>
        <w:ind w:left="851"/>
        <w:rPr>
          <w:sz w:val="24"/>
          <w:szCs w:val="24"/>
          <w:u w:val="single"/>
        </w:rPr>
      </w:pPr>
    </w:p>
    <w:p w14:paraId="64675023" w14:textId="77777777" w:rsidR="00275B23" w:rsidRPr="00D4605C" w:rsidRDefault="00275B23" w:rsidP="00D4605C">
      <w:pPr>
        <w:ind w:left="851"/>
        <w:rPr>
          <w:sz w:val="24"/>
          <w:szCs w:val="24"/>
          <w:u w:val="single"/>
        </w:rPr>
      </w:pPr>
      <w:r w:rsidRPr="00D4605C">
        <w:rPr>
          <w:sz w:val="24"/>
          <w:szCs w:val="24"/>
          <w:u w:val="single"/>
        </w:rPr>
        <w:t>Hjælpestoffer, som behandleren skal være opmærksom på</w:t>
      </w:r>
    </w:p>
    <w:p w14:paraId="6A7A4C84" w14:textId="77777777" w:rsidR="00275B23" w:rsidRPr="00D4605C" w:rsidRDefault="00275B23" w:rsidP="00D4605C">
      <w:pPr>
        <w:ind w:left="851"/>
        <w:rPr>
          <w:sz w:val="24"/>
          <w:szCs w:val="24"/>
          <w:lang w:val="nb-NO"/>
        </w:rPr>
      </w:pPr>
      <w:r w:rsidRPr="00D4605C">
        <w:rPr>
          <w:sz w:val="24"/>
          <w:szCs w:val="24"/>
          <w:lang w:val="nb-NO"/>
        </w:rPr>
        <w:t>Aspartam (E951) 5,86 mg pr. tyggetablet</w:t>
      </w:r>
    </w:p>
    <w:p w14:paraId="70D6632E" w14:textId="77777777" w:rsidR="00275B23" w:rsidRPr="00D4605C" w:rsidRDefault="00275B23" w:rsidP="00D4605C">
      <w:pPr>
        <w:ind w:left="851"/>
        <w:rPr>
          <w:sz w:val="24"/>
          <w:szCs w:val="24"/>
          <w:lang w:val="nb-NO"/>
        </w:rPr>
      </w:pPr>
      <w:r w:rsidRPr="00D4605C">
        <w:rPr>
          <w:sz w:val="24"/>
          <w:szCs w:val="24"/>
          <w:lang w:val="nb-NO"/>
        </w:rPr>
        <w:t>Azorubin (E122) 0,375 mg pr. tyggetablet</w:t>
      </w:r>
    </w:p>
    <w:p w14:paraId="6BA7C5E2" w14:textId="77777777" w:rsidR="00275B23" w:rsidRPr="00D4605C" w:rsidRDefault="00275B23" w:rsidP="00D4605C">
      <w:pPr>
        <w:ind w:left="851"/>
        <w:rPr>
          <w:sz w:val="24"/>
          <w:szCs w:val="24"/>
          <w:lang w:val="nb-NO"/>
        </w:rPr>
      </w:pPr>
      <w:r w:rsidRPr="00D4605C">
        <w:rPr>
          <w:sz w:val="24"/>
          <w:szCs w:val="24"/>
          <w:lang w:val="nb-NO"/>
        </w:rPr>
        <w:t>Saccharose 0,41 mg pr. tyggetablet</w:t>
      </w:r>
    </w:p>
    <w:p w14:paraId="1E5F57C7" w14:textId="77777777" w:rsidR="00275B23" w:rsidRPr="00D4605C" w:rsidRDefault="00275B23" w:rsidP="00D4605C">
      <w:pPr>
        <w:ind w:left="851"/>
        <w:rPr>
          <w:spacing w:val="-3"/>
          <w:sz w:val="24"/>
          <w:szCs w:val="24"/>
          <w:lang w:val="nb-NO"/>
        </w:rPr>
      </w:pPr>
      <w:r w:rsidRPr="00D4605C">
        <w:rPr>
          <w:sz w:val="24"/>
          <w:szCs w:val="24"/>
          <w:lang w:val="nb-NO"/>
        </w:rPr>
        <w:t>Natrium 55,936 mg pr. tyggetablet</w:t>
      </w:r>
    </w:p>
    <w:p w14:paraId="4AB73DB1" w14:textId="77777777" w:rsidR="00275B23" w:rsidRPr="00D4605C" w:rsidRDefault="00275B23" w:rsidP="00D4605C">
      <w:pPr>
        <w:ind w:left="851"/>
        <w:rPr>
          <w:spacing w:val="-3"/>
          <w:sz w:val="24"/>
          <w:szCs w:val="24"/>
          <w:lang w:val="nb-NO"/>
        </w:rPr>
      </w:pPr>
    </w:p>
    <w:p w14:paraId="72C68551" w14:textId="77777777" w:rsidR="00275B23" w:rsidRPr="00D4605C" w:rsidRDefault="00275B23" w:rsidP="00D4605C">
      <w:pPr>
        <w:ind w:left="851"/>
        <w:rPr>
          <w:spacing w:val="-3"/>
          <w:sz w:val="24"/>
          <w:szCs w:val="24"/>
        </w:rPr>
      </w:pPr>
      <w:r w:rsidRPr="00D4605C">
        <w:rPr>
          <w:spacing w:val="-3"/>
          <w:sz w:val="24"/>
          <w:szCs w:val="24"/>
        </w:rPr>
        <w:t>Alle hjælpestoffer er anført under pkt. 6.1.</w:t>
      </w:r>
    </w:p>
    <w:p w14:paraId="5566427A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F11211B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3.</w:t>
      </w:r>
      <w:r w:rsidRPr="00D4605C">
        <w:rPr>
          <w:b/>
          <w:sz w:val="24"/>
          <w:szCs w:val="24"/>
        </w:rPr>
        <w:tab/>
        <w:t>LÆGEMIDDELFORM</w:t>
      </w:r>
    </w:p>
    <w:p w14:paraId="044E9BEF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Tyggetabletter</w:t>
      </w:r>
    </w:p>
    <w:p w14:paraId="56C0E116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4087EAD9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En 15 mm flad, cirkulær, </w:t>
      </w:r>
      <w:proofErr w:type="spellStart"/>
      <w:r w:rsidRPr="00D4605C">
        <w:rPr>
          <w:sz w:val="24"/>
          <w:szCs w:val="24"/>
        </w:rPr>
        <w:t>to-lags</w:t>
      </w:r>
      <w:proofErr w:type="spellEnd"/>
      <w:r w:rsidRPr="00D4605C">
        <w:rPr>
          <w:sz w:val="24"/>
          <w:szCs w:val="24"/>
        </w:rPr>
        <w:t xml:space="preserve"> tyggetablet med skrå kanter. Det ene lag af tyggetabletten er lyserødt og let plettet med GDA-overflademarkeringer, og det andet lag er hvidt med sværd- og cirkel-overflademarkeringer.</w:t>
      </w:r>
    </w:p>
    <w:p w14:paraId="49CC3AD9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FA7DC9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B85186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</w:t>
      </w:r>
      <w:r w:rsidRPr="00D4605C">
        <w:rPr>
          <w:b/>
          <w:sz w:val="24"/>
          <w:szCs w:val="24"/>
        </w:rPr>
        <w:tab/>
        <w:t>KLINISKE OPLYSNINGER</w:t>
      </w:r>
    </w:p>
    <w:p w14:paraId="581C62C9" w14:textId="77777777" w:rsidR="009260DE" w:rsidRPr="00D4605C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5406A271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D4605C">
        <w:rPr>
          <w:b/>
          <w:sz w:val="24"/>
          <w:szCs w:val="24"/>
        </w:rPr>
        <w:t>4.1</w:t>
      </w:r>
      <w:r w:rsidRPr="00D4605C">
        <w:rPr>
          <w:b/>
          <w:sz w:val="24"/>
          <w:szCs w:val="24"/>
        </w:rPr>
        <w:tab/>
        <w:t>Terapeutiske indikationer</w:t>
      </w:r>
    </w:p>
    <w:p w14:paraId="2B416E2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Til behandling af syrerelaterede symptomer på </w:t>
      </w:r>
      <w:proofErr w:type="spellStart"/>
      <w:r w:rsidRPr="00D4605C">
        <w:rPr>
          <w:sz w:val="24"/>
          <w:szCs w:val="24"/>
        </w:rPr>
        <w:t>gastroøsofageal</w:t>
      </w:r>
      <w:proofErr w:type="spellEnd"/>
      <w:r w:rsidRPr="00D4605C">
        <w:rPr>
          <w:sz w:val="24"/>
          <w:szCs w:val="24"/>
        </w:rPr>
        <w:t xml:space="preserve"> </w:t>
      </w:r>
      <w:proofErr w:type="spellStart"/>
      <w:r w:rsidRPr="00D4605C">
        <w:rPr>
          <w:sz w:val="24"/>
          <w:szCs w:val="24"/>
        </w:rPr>
        <w:t>refluks</w:t>
      </w:r>
      <w:proofErr w:type="spellEnd"/>
      <w:r w:rsidRPr="00D4605C">
        <w:rPr>
          <w:sz w:val="24"/>
          <w:szCs w:val="24"/>
        </w:rPr>
        <w:t>, såsom halsbrand, sure opstød og fordøjelsesbesvær, for eksempel efter måltider eller under graviditet.</w:t>
      </w:r>
    </w:p>
    <w:p w14:paraId="082C64C1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2A2200A1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Produktet er indiceret til voksne og børn i alderen 12 år og derover.</w:t>
      </w:r>
    </w:p>
    <w:p w14:paraId="20C450DE" w14:textId="7AAAB698" w:rsidR="00B44E83" w:rsidRDefault="00B44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2BEC8B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5F2413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4.2</w:t>
      </w:r>
      <w:r w:rsidRPr="00D4605C">
        <w:rPr>
          <w:b/>
          <w:sz w:val="24"/>
          <w:szCs w:val="24"/>
        </w:rPr>
        <w:tab/>
        <w:t xml:space="preserve">Dosering og </w:t>
      </w:r>
      <w:r w:rsidR="002C1EC0" w:rsidRPr="00D4605C">
        <w:rPr>
          <w:b/>
          <w:sz w:val="24"/>
          <w:szCs w:val="24"/>
        </w:rPr>
        <w:t>administration</w:t>
      </w:r>
    </w:p>
    <w:p w14:paraId="11149BA5" w14:textId="77777777" w:rsidR="00B44E83" w:rsidRDefault="00B44E83" w:rsidP="00D4605C">
      <w:pPr>
        <w:ind w:left="851"/>
        <w:rPr>
          <w:noProof/>
          <w:sz w:val="24"/>
          <w:szCs w:val="24"/>
        </w:rPr>
      </w:pPr>
    </w:p>
    <w:p w14:paraId="22A57B74" w14:textId="2EBFD9D5" w:rsidR="00275B23" w:rsidRPr="00B44E83" w:rsidRDefault="00275B23" w:rsidP="00D4605C">
      <w:pPr>
        <w:ind w:left="851"/>
        <w:rPr>
          <w:noProof/>
          <w:sz w:val="24"/>
          <w:szCs w:val="24"/>
          <w:u w:val="single"/>
        </w:rPr>
      </w:pPr>
      <w:r w:rsidRPr="00B44E83">
        <w:rPr>
          <w:noProof/>
          <w:sz w:val="24"/>
          <w:szCs w:val="24"/>
          <w:u w:val="single"/>
        </w:rPr>
        <w:t>Dosering</w:t>
      </w:r>
    </w:p>
    <w:p w14:paraId="417DDF24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Voksne og børn i alderen 12 år og derover: To til fire tyggetabletter efter et måltid og ved sengetid, op til fire gange dagligt.</w:t>
      </w:r>
    </w:p>
    <w:p w14:paraId="14E6454B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60FD0039" w14:textId="77777777" w:rsidR="00275B23" w:rsidRPr="00D4605C" w:rsidRDefault="00275B23" w:rsidP="00D4605C">
      <w:pPr>
        <w:ind w:left="851"/>
        <w:rPr>
          <w:i/>
          <w:iCs/>
          <w:noProof/>
          <w:sz w:val="24"/>
          <w:szCs w:val="24"/>
        </w:rPr>
      </w:pPr>
      <w:r w:rsidRPr="00D4605C">
        <w:rPr>
          <w:i/>
          <w:iCs/>
          <w:noProof/>
          <w:sz w:val="24"/>
          <w:szCs w:val="24"/>
        </w:rPr>
        <w:t>Pædiatrisk population</w:t>
      </w:r>
    </w:p>
    <w:p w14:paraId="64FE6A77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Børn under 12 år: Behandling af børn under 12 år frarådes.</w:t>
      </w:r>
    </w:p>
    <w:p w14:paraId="0F473651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39FB8829" w14:textId="77777777" w:rsidR="00275B23" w:rsidRPr="00D4605C" w:rsidRDefault="00275B23" w:rsidP="00D4605C">
      <w:pPr>
        <w:ind w:left="851"/>
        <w:rPr>
          <w:i/>
          <w:iCs/>
          <w:noProof/>
          <w:sz w:val="24"/>
          <w:szCs w:val="24"/>
        </w:rPr>
      </w:pPr>
      <w:r w:rsidRPr="00D4605C">
        <w:rPr>
          <w:i/>
          <w:iCs/>
          <w:noProof/>
          <w:sz w:val="24"/>
          <w:szCs w:val="24"/>
        </w:rPr>
        <w:t>Ældre</w:t>
      </w:r>
    </w:p>
    <w:p w14:paraId="01A3525B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Dosisændringer er ikke nødvendige for denne aldersgruppe.</w:t>
      </w:r>
    </w:p>
    <w:p w14:paraId="719B2F25" w14:textId="77777777" w:rsidR="00275B23" w:rsidRPr="00D4605C" w:rsidRDefault="00275B23" w:rsidP="00D4605C">
      <w:pPr>
        <w:ind w:left="851"/>
        <w:rPr>
          <w:i/>
          <w:iCs/>
          <w:noProof/>
          <w:sz w:val="24"/>
          <w:szCs w:val="24"/>
        </w:rPr>
      </w:pPr>
    </w:p>
    <w:p w14:paraId="696C8039" w14:textId="77777777" w:rsidR="00275B23" w:rsidRPr="00D4605C" w:rsidRDefault="00275B23" w:rsidP="00D4605C">
      <w:pPr>
        <w:ind w:left="851"/>
        <w:rPr>
          <w:i/>
          <w:iCs/>
          <w:noProof/>
          <w:sz w:val="24"/>
          <w:szCs w:val="24"/>
        </w:rPr>
      </w:pPr>
      <w:r w:rsidRPr="00D4605C">
        <w:rPr>
          <w:i/>
          <w:iCs/>
          <w:noProof/>
          <w:sz w:val="24"/>
          <w:szCs w:val="24"/>
        </w:rPr>
        <w:t>Nedsat leverfunktion</w:t>
      </w:r>
    </w:p>
    <w:p w14:paraId="027FF1BD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Ingen ændringer er nødvendige.</w:t>
      </w:r>
    </w:p>
    <w:p w14:paraId="016989C6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48D7278E" w14:textId="77777777" w:rsidR="00275B23" w:rsidRPr="00D4605C" w:rsidRDefault="00275B23" w:rsidP="00D4605C">
      <w:pPr>
        <w:ind w:left="851"/>
        <w:rPr>
          <w:i/>
          <w:iCs/>
          <w:noProof/>
          <w:sz w:val="24"/>
          <w:szCs w:val="24"/>
        </w:rPr>
      </w:pPr>
      <w:r w:rsidRPr="00D4605C">
        <w:rPr>
          <w:i/>
          <w:iCs/>
          <w:noProof/>
          <w:sz w:val="24"/>
          <w:szCs w:val="24"/>
        </w:rPr>
        <w:t>Nedsat nyrefunktion</w:t>
      </w:r>
    </w:p>
    <w:p w14:paraId="01154D06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 xml:space="preserve">Der bør udvises forsigtighed, </w:t>
      </w:r>
      <w:r w:rsidRPr="00D4605C">
        <w:rPr>
          <w:sz w:val="24"/>
          <w:szCs w:val="24"/>
        </w:rPr>
        <w:t>såfremt en diæt med særligt begrænset natriumindtag er nødvendig</w:t>
      </w:r>
      <w:r w:rsidRPr="00D4605C">
        <w:rPr>
          <w:noProof/>
          <w:sz w:val="24"/>
          <w:szCs w:val="24"/>
        </w:rPr>
        <w:t xml:space="preserve"> (se pkt. 4.4).</w:t>
      </w:r>
    </w:p>
    <w:p w14:paraId="293888C4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8E399C6" w14:textId="77777777" w:rsidR="00275B23" w:rsidRPr="00B44E83" w:rsidRDefault="00275B23" w:rsidP="00D4605C">
      <w:pPr>
        <w:ind w:left="851"/>
        <w:rPr>
          <w:sz w:val="24"/>
          <w:szCs w:val="24"/>
          <w:u w:val="single"/>
        </w:rPr>
      </w:pPr>
      <w:r w:rsidRPr="00B44E83">
        <w:rPr>
          <w:sz w:val="24"/>
          <w:szCs w:val="24"/>
          <w:u w:val="single"/>
        </w:rPr>
        <w:t>Administration</w:t>
      </w:r>
    </w:p>
    <w:p w14:paraId="4E8F2CB7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Til oral administration. Tabletterne tygges grundigt, før de synkes.</w:t>
      </w:r>
    </w:p>
    <w:p w14:paraId="65B33A60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27D3632C" w14:textId="77777777" w:rsidR="00275B23" w:rsidRPr="00D4605C" w:rsidRDefault="00275B23" w:rsidP="00D4605C">
      <w:pPr>
        <w:ind w:left="851"/>
        <w:rPr>
          <w:i/>
          <w:iCs/>
          <w:sz w:val="24"/>
          <w:szCs w:val="24"/>
        </w:rPr>
      </w:pPr>
      <w:r w:rsidRPr="00D4605C">
        <w:rPr>
          <w:i/>
          <w:iCs/>
          <w:sz w:val="24"/>
          <w:szCs w:val="24"/>
        </w:rPr>
        <w:t>Behandlingsvarighed</w:t>
      </w:r>
    </w:p>
    <w:p w14:paraId="739050D8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Den anbefalede maksimale brugsvarighed uden medicinsk intervention er 7 dage. Hvis symptomerne ikke bedres efter 7 dage, bør den kliniske situation tages op til revision.</w:t>
      </w:r>
    </w:p>
    <w:p w14:paraId="7BE9D736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F23FDB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4.3</w:t>
      </w:r>
      <w:r w:rsidRPr="00D4605C">
        <w:rPr>
          <w:b/>
          <w:sz w:val="24"/>
          <w:szCs w:val="24"/>
        </w:rPr>
        <w:tab/>
        <w:t>Kontraindikationer</w:t>
      </w:r>
    </w:p>
    <w:p w14:paraId="0D7E19E7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Dette lægemiddel er kontraindiceret hos patienter med kendt eller formodet overfølsomhed over for de aktive stoffer eller over for et eller flere af hjælpestofferne anført i pkt. 6.1.</w:t>
      </w:r>
    </w:p>
    <w:p w14:paraId="5010569A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D736E0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4.4</w:t>
      </w:r>
      <w:r w:rsidRPr="00D4605C">
        <w:rPr>
          <w:b/>
          <w:sz w:val="24"/>
          <w:szCs w:val="24"/>
        </w:rPr>
        <w:tab/>
        <w:t>Særlige advarsler og forsigtighedsregler vedrørende brugen</w:t>
      </w:r>
    </w:p>
    <w:p w14:paraId="52D712D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Hvis symptomerne ikke bedres efter 7 dage, bør den kliniske indsats tages op til revision.</w:t>
      </w:r>
    </w:p>
    <w:p w14:paraId="1FFB69A0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0B0FE197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Langvarig brug bør undgås.</w:t>
      </w:r>
    </w:p>
    <w:p w14:paraId="7B4E15C0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DA553EB" w14:textId="77777777" w:rsidR="00275B23" w:rsidRPr="00D4605C" w:rsidRDefault="00275B23" w:rsidP="00D4605C">
      <w:pPr>
        <w:ind w:left="851"/>
        <w:rPr>
          <w:spacing w:val="-3"/>
          <w:sz w:val="24"/>
          <w:szCs w:val="24"/>
        </w:rPr>
      </w:pPr>
      <w:r w:rsidRPr="00D4605C">
        <w:rPr>
          <w:sz w:val="24"/>
          <w:szCs w:val="24"/>
        </w:rPr>
        <w:t xml:space="preserve">Som med andre syreneutraliserende produkter, kan anvendelse af </w:t>
      </w:r>
      <w:proofErr w:type="spellStart"/>
      <w:r w:rsidRPr="00D4605C">
        <w:rPr>
          <w:spacing w:val="-3"/>
          <w:sz w:val="24"/>
          <w:szCs w:val="24"/>
        </w:rPr>
        <w:t>Galieve</w:t>
      </w:r>
      <w:proofErr w:type="spellEnd"/>
      <w:r w:rsidRPr="00D4605C">
        <w:rPr>
          <w:spacing w:val="-3"/>
          <w:sz w:val="24"/>
          <w:szCs w:val="24"/>
        </w:rPr>
        <w:t xml:space="preserve"> Extra </w:t>
      </w:r>
      <w:proofErr w:type="spellStart"/>
      <w:r w:rsidRPr="00D4605C">
        <w:rPr>
          <w:spacing w:val="-3"/>
          <w:sz w:val="24"/>
          <w:szCs w:val="24"/>
        </w:rPr>
        <w:t>Peppermint</w:t>
      </w:r>
      <w:proofErr w:type="spellEnd"/>
      <w:r w:rsidRPr="00D4605C">
        <w:rPr>
          <w:sz w:val="24"/>
          <w:szCs w:val="24"/>
        </w:rPr>
        <w:t xml:space="preserve"> maskere symptomerne på andre mere alvorlige, underliggende medicinske tilstande.</w:t>
      </w:r>
    </w:p>
    <w:p w14:paraId="4A91513C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43E6562B" w14:textId="77777777" w:rsidR="00275B23" w:rsidRPr="00D4605C" w:rsidRDefault="00275B23" w:rsidP="00D4605C">
      <w:pPr>
        <w:ind w:left="851"/>
        <w:rPr>
          <w:spacing w:val="-3"/>
          <w:sz w:val="24"/>
          <w:szCs w:val="24"/>
        </w:rPr>
      </w:pPr>
      <w:proofErr w:type="spellStart"/>
      <w:r w:rsidRPr="00D4605C">
        <w:rPr>
          <w:spacing w:val="-3"/>
          <w:sz w:val="24"/>
          <w:szCs w:val="24"/>
        </w:rPr>
        <w:t>Galieve</w:t>
      </w:r>
      <w:proofErr w:type="spellEnd"/>
      <w:r w:rsidRPr="00D4605C">
        <w:rPr>
          <w:spacing w:val="-3"/>
          <w:sz w:val="24"/>
          <w:szCs w:val="24"/>
        </w:rPr>
        <w:t xml:space="preserve"> Extra </w:t>
      </w:r>
      <w:proofErr w:type="spellStart"/>
      <w:r w:rsidRPr="00D4605C">
        <w:rPr>
          <w:spacing w:val="-3"/>
          <w:sz w:val="24"/>
          <w:szCs w:val="24"/>
        </w:rPr>
        <w:t>Peppermint</w:t>
      </w:r>
      <w:proofErr w:type="spellEnd"/>
      <w:r w:rsidRPr="00D4605C">
        <w:rPr>
          <w:snapToGrid w:val="0"/>
          <w:sz w:val="24"/>
          <w:szCs w:val="24"/>
        </w:rPr>
        <w:t xml:space="preserve"> bør ikke anvendes i følgende tilfælde:</w:t>
      </w:r>
    </w:p>
    <w:p w14:paraId="7684949F" w14:textId="77777777" w:rsidR="00275B23" w:rsidRPr="00B44E83" w:rsidRDefault="00275B23" w:rsidP="00B44E83">
      <w:pPr>
        <w:pStyle w:val="Listeafsnit"/>
        <w:numPr>
          <w:ilvl w:val="0"/>
          <w:numId w:val="8"/>
        </w:numPr>
        <w:ind w:left="1276" w:hanging="425"/>
        <w:rPr>
          <w:spacing w:val="-3"/>
          <w:sz w:val="24"/>
          <w:szCs w:val="24"/>
        </w:rPr>
      </w:pPr>
      <w:r w:rsidRPr="00B44E83">
        <w:rPr>
          <w:spacing w:val="-3"/>
          <w:sz w:val="24"/>
          <w:szCs w:val="24"/>
        </w:rPr>
        <w:t>Patienter med svær/nedsat nyrefunktion/-insufficiens</w:t>
      </w:r>
    </w:p>
    <w:p w14:paraId="57469245" w14:textId="77777777" w:rsidR="00275B23" w:rsidRPr="00B44E83" w:rsidRDefault="00275B23" w:rsidP="00B44E83">
      <w:pPr>
        <w:pStyle w:val="Listeafsnit"/>
        <w:numPr>
          <w:ilvl w:val="0"/>
          <w:numId w:val="8"/>
        </w:numPr>
        <w:ind w:left="1276" w:hanging="425"/>
        <w:rPr>
          <w:spacing w:val="-3"/>
          <w:sz w:val="24"/>
          <w:szCs w:val="24"/>
        </w:rPr>
      </w:pPr>
      <w:r w:rsidRPr="00B44E83">
        <w:rPr>
          <w:spacing w:val="-3"/>
          <w:sz w:val="24"/>
          <w:szCs w:val="24"/>
        </w:rPr>
        <w:t xml:space="preserve">Patienter med </w:t>
      </w:r>
      <w:proofErr w:type="spellStart"/>
      <w:r w:rsidRPr="00B44E83">
        <w:rPr>
          <w:spacing w:val="-3"/>
          <w:sz w:val="24"/>
          <w:szCs w:val="24"/>
        </w:rPr>
        <w:t>hypofosfatæmi</w:t>
      </w:r>
      <w:proofErr w:type="spellEnd"/>
    </w:p>
    <w:p w14:paraId="49663A4E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1D7A8F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Der er mulighed for nedsat virkning hos patienter med meget lavt mavesyreindhold.</w:t>
      </w:r>
    </w:p>
    <w:p w14:paraId="797AC5E7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6072095" w14:textId="77777777" w:rsidR="00275B23" w:rsidRPr="00D4605C" w:rsidRDefault="00275B23" w:rsidP="00D4605C">
      <w:pPr>
        <w:ind w:left="851"/>
        <w:rPr>
          <w:sz w:val="24"/>
          <w:szCs w:val="24"/>
          <w:u w:val="single"/>
        </w:rPr>
      </w:pPr>
      <w:r w:rsidRPr="00D4605C">
        <w:rPr>
          <w:sz w:val="24"/>
          <w:szCs w:val="24"/>
          <w:u w:val="single"/>
        </w:rPr>
        <w:t>Pædiatrisk population</w:t>
      </w:r>
    </w:p>
    <w:p w14:paraId="0A79E31A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Der er øget risiko for </w:t>
      </w:r>
      <w:proofErr w:type="spellStart"/>
      <w:r w:rsidRPr="00D4605C">
        <w:rPr>
          <w:sz w:val="24"/>
          <w:szCs w:val="24"/>
        </w:rPr>
        <w:t>hypernatriæmi</w:t>
      </w:r>
      <w:proofErr w:type="spellEnd"/>
      <w:r w:rsidRPr="00D4605C">
        <w:rPr>
          <w:sz w:val="24"/>
          <w:szCs w:val="24"/>
        </w:rPr>
        <w:t xml:space="preserve"> hos børn med </w:t>
      </w:r>
      <w:proofErr w:type="spellStart"/>
      <w:r w:rsidRPr="00D4605C">
        <w:rPr>
          <w:sz w:val="24"/>
          <w:szCs w:val="24"/>
        </w:rPr>
        <w:t>gastroenteritis</w:t>
      </w:r>
      <w:proofErr w:type="spellEnd"/>
      <w:r w:rsidRPr="00D4605C">
        <w:rPr>
          <w:sz w:val="24"/>
          <w:szCs w:val="24"/>
        </w:rPr>
        <w:t xml:space="preserve"> eller formodet nyreinsufficiens.</w:t>
      </w:r>
    </w:p>
    <w:p w14:paraId="010A1060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A22E1A1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Behandling af børn under 12 år frarådes generelt.</w:t>
      </w:r>
    </w:p>
    <w:p w14:paraId="2736C485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7B1DD809" w14:textId="77777777" w:rsidR="00275B23" w:rsidRPr="00D4605C" w:rsidRDefault="00275B23" w:rsidP="00D4605C">
      <w:pPr>
        <w:ind w:left="851"/>
        <w:rPr>
          <w:sz w:val="24"/>
          <w:szCs w:val="24"/>
          <w:u w:val="single"/>
        </w:rPr>
      </w:pPr>
      <w:r w:rsidRPr="00D4605C">
        <w:rPr>
          <w:sz w:val="24"/>
          <w:szCs w:val="24"/>
          <w:u w:val="single"/>
        </w:rPr>
        <w:lastRenderedPageBreak/>
        <w:t>Hjælpestoffer</w:t>
      </w:r>
    </w:p>
    <w:p w14:paraId="42F5DA8A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Dette lægemiddel indeholder 223,7 mg (9,728 mmol) natrium pr. dosis med fire tyggetabletter, svarende til 11,18 % af den WHO anbefalede maksimale daglige indtagelse af 2 g natrium for en voksen.</w:t>
      </w:r>
    </w:p>
    <w:p w14:paraId="6CCDB0FA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2A0B66A6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Den maksimale daglige dosis af dette lægemiddel svarer til 44,75 % af den WHO anbefalede maksimale daglige indtagelse af natrium. Dette produkt anses som et lægemiddel med højt natriumindhold. Dette bør tages i betragtning, når en streng saltfattig diæt anbefales, f.eks. ved nogle tilfælde af kongestiv hjerteinsufficiens og nedsat nyrefunktion.</w:t>
      </w:r>
    </w:p>
    <w:p w14:paraId="126DC3A7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17F78CE0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Hver dosis med fire tyggetabletter indeholder 300 mg (7,5 mmol) calcium. Der skal tages særlige hensyn ved behandling af patienter med </w:t>
      </w:r>
      <w:proofErr w:type="spellStart"/>
      <w:r w:rsidRPr="00D4605C">
        <w:rPr>
          <w:sz w:val="24"/>
          <w:szCs w:val="24"/>
        </w:rPr>
        <w:t>hyperkalcæmi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nefrokalcinose</w:t>
      </w:r>
      <w:proofErr w:type="spellEnd"/>
      <w:r w:rsidRPr="00D4605C">
        <w:rPr>
          <w:sz w:val="24"/>
          <w:szCs w:val="24"/>
        </w:rPr>
        <w:t xml:space="preserve"> og tilbagevendende calciumindeholdende nyresten.</w:t>
      </w:r>
    </w:p>
    <w:p w14:paraId="0EE4317D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634B4028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Dette lægemiddel indeholder </w:t>
      </w:r>
      <w:proofErr w:type="spellStart"/>
      <w:r w:rsidRPr="00D4605C">
        <w:rPr>
          <w:sz w:val="24"/>
          <w:szCs w:val="24"/>
        </w:rPr>
        <w:t>azorubin</w:t>
      </w:r>
      <w:proofErr w:type="spellEnd"/>
      <w:r w:rsidRPr="00D4605C">
        <w:rPr>
          <w:sz w:val="24"/>
          <w:szCs w:val="24"/>
        </w:rPr>
        <w:t xml:space="preserve"> (E122), som kan forårsage en allergisk reaktion.</w:t>
      </w:r>
    </w:p>
    <w:p w14:paraId="58E91DC4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0227BCE0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Dette lægemiddel indeholder 5,86 mg </w:t>
      </w:r>
      <w:proofErr w:type="spellStart"/>
      <w:r w:rsidRPr="00D4605C">
        <w:rPr>
          <w:sz w:val="24"/>
          <w:szCs w:val="24"/>
        </w:rPr>
        <w:t>aspartam</w:t>
      </w:r>
      <w:proofErr w:type="spellEnd"/>
      <w:r w:rsidRPr="00D4605C">
        <w:rPr>
          <w:sz w:val="24"/>
          <w:szCs w:val="24"/>
        </w:rPr>
        <w:t xml:space="preserve"> pr. tyggetablet. På grund af indholdet af </w:t>
      </w:r>
      <w:proofErr w:type="spellStart"/>
      <w:r w:rsidRPr="00D4605C">
        <w:rPr>
          <w:sz w:val="24"/>
          <w:szCs w:val="24"/>
        </w:rPr>
        <w:t>aspartam</w:t>
      </w:r>
      <w:proofErr w:type="spellEnd"/>
      <w:r w:rsidRPr="00D4605C">
        <w:rPr>
          <w:sz w:val="24"/>
          <w:szCs w:val="24"/>
        </w:rPr>
        <w:t xml:space="preserve"> (E951) bør dette lægemiddel ikke gives til patienter med </w:t>
      </w:r>
      <w:proofErr w:type="spellStart"/>
      <w:r w:rsidRPr="00D4605C">
        <w:rPr>
          <w:sz w:val="24"/>
          <w:szCs w:val="24"/>
        </w:rPr>
        <w:t>phenylketonuri</w:t>
      </w:r>
      <w:proofErr w:type="spellEnd"/>
      <w:r w:rsidRPr="00D4605C">
        <w:rPr>
          <w:sz w:val="24"/>
          <w:szCs w:val="24"/>
        </w:rPr>
        <w:t>.</w:t>
      </w:r>
    </w:p>
    <w:p w14:paraId="49859A97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25887C0F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Indeholder </w:t>
      </w:r>
      <w:proofErr w:type="spellStart"/>
      <w:r w:rsidRPr="00D4605C">
        <w:rPr>
          <w:sz w:val="24"/>
          <w:szCs w:val="24"/>
        </w:rPr>
        <w:t>saccharose</w:t>
      </w:r>
      <w:proofErr w:type="spellEnd"/>
      <w:r w:rsidRPr="00D4605C">
        <w:rPr>
          <w:sz w:val="24"/>
          <w:szCs w:val="24"/>
        </w:rPr>
        <w:t xml:space="preserve">. Bør ikke anvendes til patienter med hereditær </w:t>
      </w:r>
      <w:proofErr w:type="spellStart"/>
      <w:r w:rsidRPr="00D4605C">
        <w:rPr>
          <w:sz w:val="24"/>
          <w:szCs w:val="24"/>
        </w:rPr>
        <w:t>fructoseintolerans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glucose</w:t>
      </w:r>
      <w:proofErr w:type="spellEnd"/>
      <w:r w:rsidRPr="00D4605C">
        <w:rPr>
          <w:sz w:val="24"/>
          <w:szCs w:val="24"/>
        </w:rPr>
        <w:noBreakHyphen/>
        <w:t>/</w:t>
      </w:r>
      <w:proofErr w:type="spellStart"/>
      <w:r w:rsidRPr="00D4605C">
        <w:rPr>
          <w:sz w:val="24"/>
          <w:szCs w:val="24"/>
        </w:rPr>
        <w:t>galactosemalabsorption</w:t>
      </w:r>
      <w:proofErr w:type="spellEnd"/>
      <w:r w:rsidRPr="00D4605C">
        <w:rPr>
          <w:sz w:val="24"/>
          <w:szCs w:val="24"/>
        </w:rPr>
        <w:t xml:space="preserve"> og </w:t>
      </w:r>
      <w:proofErr w:type="spellStart"/>
      <w:r w:rsidRPr="00D4605C">
        <w:rPr>
          <w:sz w:val="24"/>
          <w:szCs w:val="24"/>
        </w:rPr>
        <w:t>sucrase-isomaltasemangel</w:t>
      </w:r>
      <w:proofErr w:type="spellEnd"/>
      <w:r w:rsidRPr="00D4605C">
        <w:rPr>
          <w:sz w:val="24"/>
          <w:szCs w:val="24"/>
        </w:rPr>
        <w:t>.</w:t>
      </w:r>
    </w:p>
    <w:p w14:paraId="77C58A81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05F7C88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4.5</w:t>
      </w:r>
      <w:r w:rsidRPr="00D4605C">
        <w:rPr>
          <w:b/>
          <w:sz w:val="24"/>
          <w:szCs w:val="24"/>
        </w:rPr>
        <w:tab/>
        <w:t>Interaktion med andre lægemidler og andre former for interaktion</w:t>
      </w:r>
    </w:p>
    <w:p w14:paraId="4986D06A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Som følge af indholdet af calcium og </w:t>
      </w:r>
      <w:proofErr w:type="spellStart"/>
      <w:r w:rsidRPr="00D4605C">
        <w:rPr>
          <w:sz w:val="24"/>
          <w:szCs w:val="24"/>
        </w:rPr>
        <w:t>carbonater</w:t>
      </w:r>
      <w:proofErr w:type="spellEnd"/>
      <w:r w:rsidRPr="00D4605C">
        <w:rPr>
          <w:sz w:val="24"/>
          <w:szCs w:val="24"/>
        </w:rPr>
        <w:t>, som har en syreneutraliserende virkning, bør der tages højde for et tidsinterval på 2 timer mellem indtagelse af dette lægemiddel og administration af andre lægemidler. Dette gælder især H</w:t>
      </w:r>
      <w:r w:rsidRPr="00D4605C">
        <w:rPr>
          <w:sz w:val="24"/>
          <w:szCs w:val="24"/>
          <w:vertAlign w:val="subscript"/>
        </w:rPr>
        <w:t>2</w:t>
      </w:r>
      <w:r w:rsidRPr="00D4605C">
        <w:rPr>
          <w:sz w:val="24"/>
          <w:szCs w:val="24"/>
        </w:rPr>
        <w:t xml:space="preserve">-antihistaminer, </w:t>
      </w:r>
      <w:proofErr w:type="spellStart"/>
      <w:r w:rsidRPr="00D4605C">
        <w:rPr>
          <w:sz w:val="24"/>
          <w:szCs w:val="24"/>
        </w:rPr>
        <w:t>tetracykliner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digoxin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fluorquinolon</w:t>
      </w:r>
      <w:proofErr w:type="spellEnd"/>
      <w:r w:rsidRPr="00D4605C">
        <w:rPr>
          <w:sz w:val="24"/>
          <w:szCs w:val="24"/>
        </w:rPr>
        <w:t xml:space="preserve">, jernsalte, </w:t>
      </w:r>
      <w:proofErr w:type="spellStart"/>
      <w:r w:rsidRPr="00D4605C">
        <w:rPr>
          <w:sz w:val="24"/>
          <w:szCs w:val="24"/>
        </w:rPr>
        <w:t>thyreoideahormoner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ketoconazol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neuroleptika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thyroxin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penicillamin</w:t>
      </w:r>
      <w:proofErr w:type="spellEnd"/>
      <w:r w:rsidRPr="00D4605C">
        <w:rPr>
          <w:sz w:val="24"/>
          <w:szCs w:val="24"/>
        </w:rPr>
        <w:t>, betablokkere (</w:t>
      </w:r>
      <w:proofErr w:type="spellStart"/>
      <w:r w:rsidRPr="00D4605C">
        <w:rPr>
          <w:sz w:val="24"/>
          <w:szCs w:val="24"/>
        </w:rPr>
        <w:t>atenolol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metoprolol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propanolol</w:t>
      </w:r>
      <w:proofErr w:type="spellEnd"/>
      <w:r w:rsidRPr="00D4605C">
        <w:rPr>
          <w:sz w:val="24"/>
          <w:szCs w:val="24"/>
        </w:rPr>
        <w:t xml:space="preserve">), </w:t>
      </w:r>
      <w:proofErr w:type="spellStart"/>
      <w:r w:rsidRPr="00D4605C">
        <w:rPr>
          <w:sz w:val="24"/>
          <w:szCs w:val="24"/>
        </w:rPr>
        <w:t>glukokortikoid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chloroquin</w:t>
      </w:r>
      <w:proofErr w:type="spellEnd"/>
      <w:r w:rsidRPr="00D4605C">
        <w:rPr>
          <w:sz w:val="24"/>
          <w:szCs w:val="24"/>
        </w:rPr>
        <w:t xml:space="preserve">, </w:t>
      </w:r>
      <w:proofErr w:type="spellStart"/>
      <w:r w:rsidRPr="00D4605C">
        <w:rPr>
          <w:sz w:val="24"/>
          <w:szCs w:val="24"/>
        </w:rPr>
        <w:t>estramustin</w:t>
      </w:r>
      <w:proofErr w:type="spellEnd"/>
      <w:r w:rsidRPr="00D4605C">
        <w:rPr>
          <w:sz w:val="24"/>
          <w:szCs w:val="24"/>
        </w:rPr>
        <w:t xml:space="preserve"> og </w:t>
      </w:r>
      <w:proofErr w:type="spellStart"/>
      <w:r w:rsidRPr="00D4605C">
        <w:rPr>
          <w:sz w:val="24"/>
          <w:szCs w:val="24"/>
        </w:rPr>
        <w:t>bisfosfonater</w:t>
      </w:r>
      <w:proofErr w:type="spellEnd"/>
      <w:r w:rsidRPr="00D4605C">
        <w:rPr>
          <w:sz w:val="24"/>
          <w:szCs w:val="24"/>
        </w:rPr>
        <w:t>.</w:t>
      </w:r>
    </w:p>
    <w:p w14:paraId="53F65723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Se også pkt. 4.4.</w:t>
      </w:r>
    </w:p>
    <w:p w14:paraId="2873C851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CD8959A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4.6</w:t>
      </w:r>
      <w:r w:rsidRPr="00D4605C">
        <w:rPr>
          <w:b/>
          <w:sz w:val="24"/>
          <w:szCs w:val="24"/>
        </w:rPr>
        <w:tab/>
      </w:r>
      <w:r w:rsidR="0071241E" w:rsidRPr="00D4605C">
        <w:rPr>
          <w:b/>
          <w:sz w:val="24"/>
          <w:szCs w:val="24"/>
        </w:rPr>
        <w:t>Fertilitet, g</w:t>
      </w:r>
      <w:r w:rsidRPr="00D4605C">
        <w:rPr>
          <w:b/>
          <w:sz w:val="24"/>
          <w:szCs w:val="24"/>
        </w:rPr>
        <w:t>raviditet og amning</w:t>
      </w:r>
    </w:p>
    <w:p w14:paraId="0D9C9B25" w14:textId="77777777" w:rsidR="00B44E83" w:rsidRDefault="00B44E83" w:rsidP="00D4605C">
      <w:pPr>
        <w:ind w:left="851"/>
        <w:rPr>
          <w:noProof/>
          <w:sz w:val="24"/>
          <w:szCs w:val="24"/>
        </w:rPr>
      </w:pPr>
    </w:p>
    <w:p w14:paraId="7B797F03" w14:textId="10A10DD7" w:rsidR="00275B23" w:rsidRPr="00B44E83" w:rsidRDefault="00275B23" w:rsidP="00D4605C">
      <w:pPr>
        <w:ind w:left="851"/>
        <w:rPr>
          <w:noProof/>
          <w:sz w:val="24"/>
          <w:szCs w:val="24"/>
          <w:u w:val="single"/>
        </w:rPr>
      </w:pPr>
      <w:r w:rsidRPr="00B44E83">
        <w:rPr>
          <w:noProof/>
          <w:sz w:val="24"/>
          <w:szCs w:val="24"/>
          <w:u w:val="single"/>
        </w:rPr>
        <w:t>Graviditet</w:t>
      </w:r>
    </w:p>
    <w:p w14:paraId="7F0A8F52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En moderat mængde data om gravide kvinder (mellem 300 og 1.000 graviditetsudfald) indikerer ingen misdannelser eller føtal/neonatal toksicitet af de aktive stoffer.</w:t>
      </w:r>
    </w:p>
    <w:p w14:paraId="53293918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6F8034BE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Baseret herpå og på tidligere erfaringer, kan dette produkt anvendes under graviditet og amning, hvis det er klinisk berettiget.</w:t>
      </w:r>
    </w:p>
    <w:p w14:paraId="247453DD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1DC1FC0F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Ikke desto mindre anbefales det at gøre behandlingsvarigheden så kort som mulig på grund af indholdet af calciumcarbonat.</w:t>
      </w:r>
    </w:p>
    <w:p w14:paraId="35EF9CD3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4460082B" w14:textId="77777777" w:rsidR="00275B23" w:rsidRPr="00B44E83" w:rsidRDefault="00275B23" w:rsidP="00D4605C">
      <w:pPr>
        <w:ind w:left="851"/>
        <w:rPr>
          <w:noProof/>
          <w:sz w:val="24"/>
          <w:szCs w:val="24"/>
          <w:u w:val="single"/>
        </w:rPr>
      </w:pPr>
      <w:r w:rsidRPr="00B44E83">
        <w:rPr>
          <w:noProof/>
          <w:sz w:val="24"/>
          <w:szCs w:val="24"/>
          <w:u w:val="single"/>
        </w:rPr>
        <w:t>Amning</w:t>
      </w:r>
    </w:p>
    <w:p w14:paraId="33263855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Der er ikke påvist nogen indvirkning af de aktive stoffer på ammede nyfødte/spædbørn af behandlede mødre. Dette produkt kan anvendes under amning, hvis det er klinisk berettiget.</w:t>
      </w:r>
    </w:p>
    <w:p w14:paraId="5C4BDF22" w14:textId="6A1E45C5" w:rsidR="00B44E83" w:rsidRDefault="00B44E8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14:paraId="26677607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65BBF56A" w14:textId="77777777" w:rsidR="00275B23" w:rsidRPr="00B44E83" w:rsidRDefault="00275B23" w:rsidP="00D4605C">
      <w:pPr>
        <w:ind w:left="851"/>
        <w:rPr>
          <w:noProof/>
          <w:sz w:val="24"/>
          <w:szCs w:val="24"/>
          <w:u w:val="single"/>
        </w:rPr>
      </w:pPr>
      <w:r w:rsidRPr="00B44E83">
        <w:rPr>
          <w:noProof/>
          <w:sz w:val="24"/>
          <w:szCs w:val="24"/>
          <w:u w:val="single"/>
        </w:rPr>
        <w:t>Fertilitet</w:t>
      </w:r>
    </w:p>
    <w:p w14:paraId="76C2CA15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bookmarkStart w:id="0" w:name="_Hlk161159768"/>
      <w:r w:rsidRPr="00D4605C">
        <w:rPr>
          <w:noProof/>
          <w:sz w:val="24"/>
          <w:szCs w:val="24"/>
        </w:rPr>
        <w:t>Non-kliniske dyrestudier har afsløret, at alginat ikke har nogen negativ indvirkning på forældrenes eller afkommets fertilitet eller reproduktion.</w:t>
      </w:r>
    </w:p>
    <w:p w14:paraId="29CF7B05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17AF3E2B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Kliniske data tyder ikke på, at dette produkt har en indvirkning på fertilitet hos mennesker.</w:t>
      </w:r>
    </w:p>
    <w:bookmarkEnd w:id="0"/>
    <w:p w14:paraId="68311030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D46FB6C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4.7</w:t>
      </w:r>
      <w:r w:rsidRPr="00D4605C">
        <w:rPr>
          <w:b/>
          <w:sz w:val="24"/>
          <w:szCs w:val="24"/>
        </w:rPr>
        <w:tab/>
        <w:t xml:space="preserve">Virkning på evnen til at føre motorkøretøj </w:t>
      </w:r>
      <w:r w:rsidR="0071241E" w:rsidRPr="00D4605C">
        <w:rPr>
          <w:b/>
          <w:sz w:val="24"/>
          <w:szCs w:val="24"/>
        </w:rPr>
        <w:t>og</w:t>
      </w:r>
      <w:r w:rsidRPr="00D4605C">
        <w:rPr>
          <w:b/>
          <w:sz w:val="24"/>
          <w:szCs w:val="24"/>
        </w:rPr>
        <w:t xml:space="preserve"> betjene maskiner</w:t>
      </w:r>
    </w:p>
    <w:p w14:paraId="2923260B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Ikke mærkning.</w:t>
      </w:r>
    </w:p>
    <w:p w14:paraId="44773316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Dette produkt påvirker ikke eller kun i ubetydelig grad evnen til at føre motorkøretøj og betjene maskiner.</w:t>
      </w:r>
    </w:p>
    <w:p w14:paraId="0B5295B8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A4662F8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4.8</w:t>
      </w:r>
      <w:r w:rsidRPr="00D4605C">
        <w:rPr>
          <w:b/>
          <w:sz w:val="24"/>
          <w:szCs w:val="24"/>
        </w:rPr>
        <w:tab/>
        <w:t>Bivirkninger</w:t>
      </w:r>
    </w:p>
    <w:p w14:paraId="046DDA8A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</w:rPr>
        <w:t>De bivirkninger, der er forbundet med natriumalginat, natriumbicarbonat og calciumcarbonat er opstillet nedenfor i tabelform efter systemorganklasse og hyppighed. Hyppighederne er defineret således: Meget almindelig (≥ 1/10), almindelig (≥ 1/100 til &lt; 1/10), ikke almindelig (≥ 1/1.000 til &lt; 1/100), sjælden (≥ 1/10.000 til &lt; 1/1.000), meget sjælden (&lt; 1/10.000), ikke kendt (kan ikke estimeres ud fra forhåndenværende data). Inden for hver hyppighedskategori er bivirkningerne opstillet efter, hvor alvorlige de er. De alvorligste bivirkninger er anført først.</w:t>
      </w:r>
    </w:p>
    <w:p w14:paraId="0565890C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054"/>
        <w:gridCol w:w="4259"/>
      </w:tblGrid>
      <w:tr w:rsidR="00275B23" w:rsidRPr="00D4605C" w14:paraId="218EF608" w14:textId="77777777" w:rsidTr="00D4605C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4B95" w14:textId="77777777" w:rsidR="00275B23" w:rsidRPr="00D4605C" w:rsidRDefault="00275B23">
            <w:pPr>
              <w:ind w:left="33"/>
              <w:rPr>
                <w:b/>
                <w:sz w:val="24"/>
                <w:szCs w:val="24"/>
              </w:rPr>
            </w:pPr>
            <w:r w:rsidRPr="00D4605C">
              <w:rPr>
                <w:b/>
                <w:sz w:val="24"/>
                <w:szCs w:val="24"/>
              </w:rPr>
              <w:t>Systemorganklasse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4BC7" w14:textId="77777777" w:rsidR="00275B23" w:rsidRPr="00D4605C" w:rsidRDefault="00275B23">
            <w:pPr>
              <w:rPr>
                <w:b/>
                <w:sz w:val="24"/>
                <w:szCs w:val="24"/>
              </w:rPr>
            </w:pPr>
            <w:r w:rsidRPr="00D4605C">
              <w:rPr>
                <w:b/>
                <w:sz w:val="24"/>
                <w:szCs w:val="24"/>
              </w:rPr>
              <w:t>Hyppighed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D10E" w14:textId="77777777" w:rsidR="00275B23" w:rsidRPr="00D4605C" w:rsidRDefault="00275B23">
            <w:pPr>
              <w:rPr>
                <w:b/>
                <w:sz w:val="24"/>
                <w:szCs w:val="24"/>
              </w:rPr>
            </w:pPr>
            <w:r w:rsidRPr="00D4605C">
              <w:rPr>
                <w:b/>
                <w:sz w:val="24"/>
                <w:szCs w:val="24"/>
              </w:rPr>
              <w:t>Bivirkning</w:t>
            </w:r>
          </w:p>
        </w:tc>
      </w:tr>
      <w:tr w:rsidR="00275B23" w:rsidRPr="00D4605C" w14:paraId="4D71E757" w14:textId="77777777" w:rsidTr="00D4605C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5E29" w14:textId="77777777" w:rsidR="00275B23" w:rsidRPr="00D4605C" w:rsidRDefault="00275B23">
            <w:pPr>
              <w:ind w:left="33"/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Immunsystemet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08C8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Meget sjælden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E234" w14:textId="77777777" w:rsidR="00275B23" w:rsidRPr="00D4605C" w:rsidRDefault="00275B23">
            <w:pPr>
              <w:rPr>
                <w:sz w:val="24"/>
                <w:szCs w:val="24"/>
              </w:rPr>
            </w:pPr>
            <w:proofErr w:type="spellStart"/>
            <w:r w:rsidRPr="00D4605C">
              <w:rPr>
                <w:sz w:val="24"/>
                <w:szCs w:val="24"/>
              </w:rPr>
              <w:t>Anafylaktisk</w:t>
            </w:r>
            <w:proofErr w:type="spellEnd"/>
            <w:r w:rsidRPr="00D4605C">
              <w:rPr>
                <w:sz w:val="24"/>
                <w:szCs w:val="24"/>
              </w:rPr>
              <w:t xml:space="preserve"> reaktion, </w:t>
            </w:r>
            <w:proofErr w:type="spellStart"/>
            <w:r w:rsidRPr="00D4605C">
              <w:rPr>
                <w:sz w:val="24"/>
                <w:szCs w:val="24"/>
              </w:rPr>
              <w:t>anafylaktoid</w:t>
            </w:r>
            <w:proofErr w:type="spellEnd"/>
            <w:r w:rsidRPr="00D4605C">
              <w:rPr>
                <w:sz w:val="24"/>
                <w:szCs w:val="24"/>
              </w:rPr>
              <w:t xml:space="preserve"> reaktion Overfølsomhedsreaktioner såsom </w:t>
            </w:r>
            <w:proofErr w:type="spellStart"/>
            <w:r w:rsidRPr="00D4605C">
              <w:rPr>
                <w:sz w:val="24"/>
                <w:szCs w:val="24"/>
              </w:rPr>
              <w:t>urticaria</w:t>
            </w:r>
            <w:proofErr w:type="spellEnd"/>
          </w:p>
        </w:tc>
      </w:tr>
      <w:tr w:rsidR="00275B23" w:rsidRPr="00D4605C" w14:paraId="66A28C90" w14:textId="77777777" w:rsidTr="00D4605C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D796" w14:textId="77777777" w:rsidR="00275B23" w:rsidRPr="00D4605C" w:rsidRDefault="00275B23">
            <w:pPr>
              <w:ind w:left="33"/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Metabolisme og ernæring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6D50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Ikke kendt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450C" w14:textId="77777777" w:rsidR="00275B23" w:rsidRPr="00D4605C" w:rsidRDefault="00275B23">
            <w:pPr>
              <w:rPr>
                <w:sz w:val="24"/>
                <w:szCs w:val="24"/>
                <w:lang w:val="fi-FI"/>
              </w:rPr>
            </w:pPr>
            <w:r w:rsidRPr="00D4605C">
              <w:rPr>
                <w:sz w:val="24"/>
                <w:szCs w:val="24"/>
                <w:lang w:val="fi-FI"/>
              </w:rPr>
              <w:t>Alkalose</w:t>
            </w:r>
            <w:r w:rsidRPr="00D4605C">
              <w:rPr>
                <w:sz w:val="24"/>
                <w:szCs w:val="24"/>
                <w:vertAlign w:val="superscript"/>
                <w:lang w:val="fi-FI"/>
              </w:rPr>
              <w:t>1</w:t>
            </w:r>
            <w:r w:rsidRPr="00D4605C">
              <w:rPr>
                <w:sz w:val="24"/>
                <w:szCs w:val="24"/>
                <w:lang w:val="fi-FI"/>
              </w:rPr>
              <w:t>, hyperkalcæmi</w:t>
            </w:r>
            <w:r w:rsidRPr="00D4605C">
              <w:rPr>
                <w:sz w:val="24"/>
                <w:szCs w:val="24"/>
                <w:vertAlign w:val="superscript"/>
                <w:lang w:val="fi-FI"/>
              </w:rPr>
              <w:t>1</w:t>
            </w:r>
            <w:r w:rsidRPr="00D4605C">
              <w:rPr>
                <w:sz w:val="24"/>
                <w:szCs w:val="24"/>
                <w:lang w:val="fi-FI"/>
              </w:rPr>
              <w:t>, mælk-alkali-syndrom</w:t>
            </w:r>
            <w:r w:rsidRPr="00D4605C">
              <w:rPr>
                <w:sz w:val="24"/>
                <w:szCs w:val="24"/>
                <w:vertAlign w:val="superscript"/>
                <w:lang w:val="fi-FI"/>
              </w:rPr>
              <w:t>1</w:t>
            </w:r>
          </w:p>
        </w:tc>
      </w:tr>
      <w:tr w:rsidR="00275B23" w:rsidRPr="00D4605C" w14:paraId="6F42B360" w14:textId="77777777" w:rsidTr="00D4605C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5ACA" w14:textId="77777777" w:rsidR="00275B23" w:rsidRPr="00D4605C" w:rsidRDefault="00275B23">
            <w:pPr>
              <w:ind w:left="33"/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 xml:space="preserve">Luftveje, thorax og </w:t>
            </w:r>
            <w:proofErr w:type="spellStart"/>
            <w:r w:rsidRPr="00D4605C">
              <w:rPr>
                <w:sz w:val="24"/>
                <w:szCs w:val="24"/>
              </w:rPr>
              <w:t>mediastinum</w:t>
            </w:r>
            <w:proofErr w:type="spell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AF22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Ikke kendt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43A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 xml:space="preserve">Respiratoriske påvirkninger såsom </w:t>
            </w:r>
            <w:proofErr w:type="spellStart"/>
            <w:r w:rsidRPr="00D4605C">
              <w:rPr>
                <w:sz w:val="24"/>
                <w:szCs w:val="24"/>
              </w:rPr>
              <w:t>bronkospasme</w:t>
            </w:r>
            <w:proofErr w:type="spellEnd"/>
          </w:p>
        </w:tc>
      </w:tr>
      <w:tr w:rsidR="00275B23" w:rsidRPr="00D4605C" w14:paraId="6A7C8A4B" w14:textId="77777777" w:rsidTr="00D4605C">
        <w:tc>
          <w:tcPr>
            <w:tcW w:w="1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4D74" w14:textId="77777777" w:rsidR="00275B23" w:rsidRPr="00D4605C" w:rsidRDefault="00275B23">
            <w:pPr>
              <w:ind w:left="33"/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Mave-tarm-kanalen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46B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Meget sjælden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7849" w14:textId="77777777" w:rsidR="00275B23" w:rsidRPr="00D4605C" w:rsidRDefault="00275B23">
            <w:pPr>
              <w:rPr>
                <w:sz w:val="24"/>
                <w:szCs w:val="24"/>
              </w:rPr>
            </w:pPr>
            <w:proofErr w:type="spellStart"/>
            <w:r w:rsidRPr="00D4605C">
              <w:rPr>
                <w:sz w:val="24"/>
                <w:szCs w:val="24"/>
              </w:rPr>
              <w:t>Abdominalsmerter</w:t>
            </w:r>
            <w:proofErr w:type="spellEnd"/>
            <w:r w:rsidRPr="00D4605C">
              <w:rPr>
                <w:sz w:val="24"/>
                <w:szCs w:val="24"/>
              </w:rPr>
              <w:t xml:space="preserve">, </w:t>
            </w:r>
            <w:proofErr w:type="spellStart"/>
            <w:r w:rsidRPr="00D4605C">
              <w:rPr>
                <w:sz w:val="24"/>
                <w:szCs w:val="24"/>
              </w:rPr>
              <w:t>syrerefluks</w:t>
            </w:r>
            <w:proofErr w:type="spellEnd"/>
            <w:r w:rsidRPr="00D4605C">
              <w:rPr>
                <w:sz w:val="24"/>
                <w:szCs w:val="24"/>
              </w:rPr>
              <w:t>, diarré, kvalme, opkastning</w:t>
            </w:r>
          </w:p>
        </w:tc>
      </w:tr>
      <w:tr w:rsidR="00275B23" w:rsidRPr="00D4605C" w14:paraId="01D4077C" w14:textId="77777777" w:rsidTr="00D4605C">
        <w:tc>
          <w:tcPr>
            <w:tcW w:w="1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502A" w14:textId="77777777" w:rsidR="00275B23" w:rsidRPr="00D4605C" w:rsidRDefault="00275B23">
            <w:pPr>
              <w:rPr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2AD6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Ikke kendt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378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Forstoppelse</w:t>
            </w:r>
            <w:r w:rsidRPr="00D4605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75B23" w:rsidRPr="00D4605C" w14:paraId="6C1B2AD2" w14:textId="77777777" w:rsidTr="00D4605C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E14F" w14:textId="77777777" w:rsidR="00275B23" w:rsidRPr="00D4605C" w:rsidRDefault="00275B23">
            <w:pPr>
              <w:ind w:left="33"/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Hud og subkutane væv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758F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Meget sjælden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1F9" w14:textId="77777777" w:rsidR="00275B23" w:rsidRPr="00D4605C" w:rsidRDefault="00275B23">
            <w:pPr>
              <w:rPr>
                <w:sz w:val="24"/>
                <w:szCs w:val="24"/>
              </w:rPr>
            </w:pPr>
            <w:r w:rsidRPr="00D4605C">
              <w:rPr>
                <w:sz w:val="24"/>
                <w:szCs w:val="24"/>
              </w:rPr>
              <w:t>Kløende udslæt</w:t>
            </w:r>
          </w:p>
        </w:tc>
      </w:tr>
    </w:tbl>
    <w:p w14:paraId="6946B16C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5811753E" w14:textId="77777777" w:rsidR="00275B23" w:rsidRPr="00D4605C" w:rsidRDefault="00275B23" w:rsidP="00D4605C">
      <w:pPr>
        <w:ind w:left="851"/>
        <w:rPr>
          <w:noProof/>
          <w:sz w:val="24"/>
          <w:szCs w:val="24"/>
          <w:u w:val="single"/>
        </w:rPr>
      </w:pPr>
      <w:r w:rsidRPr="00D4605C">
        <w:rPr>
          <w:noProof/>
          <w:sz w:val="24"/>
          <w:szCs w:val="24"/>
          <w:u w:val="single"/>
        </w:rPr>
        <w:t>Beskrivelse af udvalgte bivirkninger</w:t>
      </w:r>
    </w:p>
    <w:p w14:paraId="30CBB2C7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  <w:r w:rsidRPr="00D4605C">
        <w:rPr>
          <w:noProof/>
          <w:sz w:val="24"/>
          <w:szCs w:val="24"/>
          <w:vertAlign w:val="superscript"/>
        </w:rPr>
        <w:t>1</w:t>
      </w:r>
      <w:r w:rsidRPr="00D4605C">
        <w:rPr>
          <w:noProof/>
          <w:sz w:val="24"/>
          <w:szCs w:val="24"/>
        </w:rPr>
        <w:t xml:space="preserve"> Forekommer sædvanligvis efter større doser end anbefalet.</w:t>
      </w:r>
    </w:p>
    <w:p w14:paraId="11963B50" w14:textId="77777777" w:rsidR="00275B23" w:rsidRPr="00D4605C" w:rsidRDefault="00275B23" w:rsidP="00D4605C">
      <w:pPr>
        <w:ind w:left="851"/>
        <w:rPr>
          <w:noProof/>
          <w:sz w:val="24"/>
          <w:szCs w:val="24"/>
        </w:rPr>
      </w:pPr>
    </w:p>
    <w:p w14:paraId="4B6E1652" w14:textId="77777777" w:rsidR="00275B23" w:rsidRPr="00D4605C" w:rsidRDefault="00275B23" w:rsidP="00D4605C">
      <w:pPr>
        <w:ind w:left="851"/>
        <w:rPr>
          <w:noProof/>
          <w:sz w:val="24"/>
          <w:szCs w:val="24"/>
          <w:u w:val="single"/>
        </w:rPr>
      </w:pPr>
      <w:r w:rsidRPr="00D4605C">
        <w:rPr>
          <w:noProof/>
          <w:sz w:val="24"/>
          <w:szCs w:val="24"/>
          <w:u w:val="single"/>
        </w:rPr>
        <w:t>Indberetning af formodede bivirkninger</w:t>
      </w:r>
    </w:p>
    <w:p w14:paraId="595B32B6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D4605C">
        <w:rPr>
          <w:sz w:val="24"/>
          <w:szCs w:val="24"/>
        </w:rPr>
        <w:t>risk</w:t>
      </w:r>
      <w:proofErr w:type="spellEnd"/>
      <w:r w:rsidRPr="00D4605C">
        <w:rPr>
          <w:sz w:val="24"/>
          <w:szCs w:val="24"/>
        </w:rPr>
        <w:t>-forholdet for lægemidlet. Sundhedspersoner anmodes om at indberette alle formodede bivirkninger via</w:t>
      </w:r>
    </w:p>
    <w:p w14:paraId="1AB551AD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390B205B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Lægemiddelstyrelsen</w:t>
      </w:r>
    </w:p>
    <w:p w14:paraId="7AE519F9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Axel Heides Gade 1</w:t>
      </w:r>
    </w:p>
    <w:p w14:paraId="42225A45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DK-2300 København S</w:t>
      </w:r>
    </w:p>
    <w:p w14:paraId="3AEDE9CD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Websted: </w:t>
      </w:r>
      <w:hyperlink r:id="rId9" w:history="1">
        <w:r w:rsidRPr="00D4605C">
          <w:rPr>
            <w:rStyle w:val="Hyperlink"/>
            <w:sz w:val="24"/>
            <w:szCs w:val="24"/>
          </w:rPr>
          <w:t>www.meldenbivirkning.dk</w:t>
        </w:r>
      </w:hyperlink>
    </w:p>
    <w:p w14:paraId="059D389A" w14:textId="6A27C4C1" w:rsidR="00B44E83" w:rsidRDefault="00B44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B414A1" w14:textId="77777777" w:rsidR="009260DE" w:rsidRPr="00D4605C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7B912483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4.9</w:t>
      </w:r>
      <w:r w:rsidRPr="00D4605C">
        <w:rPr>
          <w:b/>
          <w:sz w:val="24"/>
          <w:szCs w:val="24"/>
        </w:rPr>
        <w:tab/>
        <w:t>Overdosering</w:t>
      </w:r>
    </w:p>
    <w:p w14:paraId="1C4920F0" w14:textId="77777777" w:rsidR="00B44E83" w:rsidRDefault="00B44E83" w:rsidP="00D4605C">
      <w:pPr>
        <w:ind w:left="851"/>
        <w:rPr>
          <w:sz w:val="24"/>
          <w:szCs w:val="24"/>
        </w:rPr>
      </w:pPr>
    </w:p>
    <w:p w14:paraId="2FB1B34F" w14:textId="4BF8A119" w:rsidR="00275B23" w:rsidRPr="00B44E83" w:rsidRDefault="00275B23" w:rsidP="00D4605C">
      <w:pPr>
        <w:ind w:left="851"/>
        <w:rPr>
          <w:sz w:val="24"/>
          <w:szCs w:val="24"/>
          <w:u w:val="single"/>
        </w:rPr>
      </w:pPr>
      <w:r w:rsidRPr="00B44E83">
        <w:rPr>
          <w:sz w:val="24"/>
          <w:szCs w:val="24"/>
          <w:u w:val="single"/>
        </w:rPr>
        <w:t>Symptomer</w:t>
      </w:r>
    </w:p>
    <w:p w14:paraId="4F38A1E2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Symptomerne er sandsynligvis lette. Der kan forekomme ubehag i maven og </w:t>
      </w:r>
      <w:proofErr w:type="spellStart"/>
      <w:r w:rsidRPr="00D4605C">
        <w:rPr>
          <w:sz w:val="24"/>
          <w:szCs w:val="24"/>
        </w:rPr>
        <w:t>abdominal</w:t>
      </w:r>
      <w:proofErr w:type="spellEnd"/>
      <w:r w:rsidRPr="00D4605C">
        <w:rPr>
          <w:sz w:val="24"/>
          <w:szCs w:val="24"/>
        </w:rPr>
        <w:t xml:space="preserve"> </w:t>
      </w:r>
      <w:proofErr w:type="spellStart"/>
      <w:r w:rsidRPr="00D4605C">
        <w:rPr>
          <w:sz w:val="24"/>
          <w:szCs w:val="24"/>
        </w:rPr>
        <w:t>distension</w:t>
      </w:r>
      <w:proofErr w:type="spellEnd"/>
      <w:r w:rsidRPr="00D4605C">
        <w:rPr>
          <w:sz w:val="24"/>
          <w:szCs w:val="24"/>
        </w:rPr>
        <w:t>.</w:t>
      </w:r>
    </w:p>
    <w:p w14:paraId="4AA7402E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0D55FFD4" w14:textId="77777777" w:rsidR="00275B23" w:rsidRPr="00B44E83" w:rsidRDefault="00275B23" w:rsidP="00D4605C">
      <w:pPr>
        <w:ind w:left="851"/>
        <w:rPr>
          <w:sz w:val="24"/>
          <w:szCs w:val="24"/>
          <w:u w:val="single"/>
        </w:rPr>
      </w:pPr>
      <w:r w:rsidRPr="00B44E83">
        <w:rPr>
          <w:sz w:val="24"/>
          <w:szCs w:val="24"/>
          <w:u w:val="single"/>
        </w:rPr>
        <w:t>Behandling</w:t>
      </w:r>
    </w:p>
    <w:p w14:paraId="374416B2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Der bør gives symptomatisk behandling i tilfælde af overdosering.</w:t>
      </w:r>
    </w:p>
    <w:p w14:paraId="57411562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6DE463C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4.10</w:t>
      </w:r>
      <w:r w:rsidRPr="00D4605C">
        <w:rPr>
          <w:b/>
          <w:sz w:val="24"/>
          <w:szCs w:val="24"/>
        </w:rPr>
        <w:tab/>
        <w:t>Udlevering</w:t>
      </w:r>
    </w:p>
    <w:p w14:paraId="483972BE" w14:textId="387F00C0" w:rsidR="009260DE" w:rsidRPr="00D4605C" w:rsidRDefault="000B3EF5" w:rsidP="009260DE">
      <w:pPr>
        <w:tabs>
          <w:tab w:val="left" w:pos="851"/>
        </w:tabs>
        <w:ind w:left="851"/>
        <w:rPr>
          <w:sz w:val="24"/>
          <w:szCs w:val="24"/>
        </w:rPr>
      </w:pPr>
      <w:r w:rsidRPr="00D4605C">
        <w:rPr>
          <w:sz w:val="24"/>
          <w:szCs w:val="24"/>
        </w:rPr>
        <w:t>HF</w:t>
      </w:r>
    </w:p>
    <w:p w14:paraId="5EF3C21B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6A72E7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C6F3BE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5.</w:t>
      </w:r>
      <w:r w:rsidRPr="00D4605C">
        <w:rPr>
          <w:b/>
          <w:sz w:val="24"/>
          <w:szCs w:val="24"/>
        </w:rPr>
        <w:tab/>
        <w:t>FARMAKOLOGISKE EGENSKABER</w:t>
      </w:r>
    </w:p>
    <w:p w14:paraId="0981821D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694DF4" w14:textId="77777777" w:rsidR="009260DE" w:rsidRPr="00D4605C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5.1</w:t>
      </w:r>
      <w:r w:rsidRPr="00D4605C">
        <w:rPr>
          <w:b/>
          <w:sz w:val="24"/>
          <w:szCs w:val="24"/>
        </w:rPr>
        <w:tab/>
      </w:r>
      <w:proofErr w:type="spellStart"/>
      <w:r w:rsidRPr="00D4605C">
        <w:rPr>
          <w:b/>
          <w:sz w:val="24"/>
          <w:szCs w:val="24"/>
        </w:rPr>
        <w:t>Farmakodynamiske</w:t>
      </w:r>
      <w:proofErr w:type="spellEnd"/>
      <w:r w:rsidRPr="00D4605C">
        <w:rPr>
          <w:b/>
          <w:sz w:val="24"/>
          <w:szCs w:val="24"/>
        </w:rPr>
        <w:t xml:space="preserve"> egenskaber</w:t>
      </w:r>
    </w:p>
    <w:p w14:paraId="3D97148C" w14:textId="5CB680C9" w:rsidR="00275B23" w:rsidRPr="00D4605C" w:rsidRDefault="00275B23" w:rsidP="00D4605C">
      <w:pPr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Farmakoterapeutisk</w:t>
      </w:r>
      <w:proofErr w:type="spellEnd"/>
      <w:r w:rsidRPr="00D4605C">
        <w:rPr>
          <w:sz w:val="24"/>
          <w:szCs w:val="24"/>
        </w:rPr>
        <w:t xml:space="preserve"> klassifikation: Andre midler mod mavesår og </w:t>
      </w:r>
      <w:proofErr w:type="spellStart"/>
      <w:r w:rsidRPr="00D4605C">
        <w:rPr>
          <w:sz w:val="24"/>
          <w:szCs w:val="24"/>
        </w:rPr>
        <w:t>gastro-oesophageal</w:t>
      </w:r>
      <w:proofErr w:type="spellEnd"/>
      <w:r w:rsidRPr="00D4605C">
        <w:rPr>
          <w:sz w:val="24"/>
          <w:szCs w:val="24"/>
        </w:rPr>
        <w:t xml:space="preserve"> </w:t>
      </w:r>
      <w:proofErr w:type="spellStart"/>
      <w:r w:rsidRPr="00D4605C">
        <w:rPr>
          <w:sz w:val="24"/>
          <w:szCs w:val="24"/>
        </w:rPr>
        <w:t>reflux</w:t>
      </w:r>
      <w:proofErr w:type="spellEnd"/>
      <w:r w:rsidR="00B44E83">
        <w:rPr>
          <w:sz w:val="24"/>
          <w:szCs w:val="24"/>
        </w:rPr>
        <w:t xml:space="preserve">, </w:t>
      </w:r>
      <w:r w:rsidR="00B44E83" w:rsidRPr="00D4605C">
        <w:rPr>
          <w:sz w:val="24"/>
          <w:szCs w:val="24"/>
        </w:rPr>
        <w:t>ATC-kode: A02BX13.</w:t>
      </w:r>
    </w:p>
    <w:p w14:paraId="67FC0883" w14:textId="77777777" w:rsidR="00275B23" w:rsidRPr="00D4605C" w:rsidRDefault="00275B23" w:rsidP="00D4605C">
      <w:pPr>
        <w:ind w:left="851"/>
        <w:rPr>
          <w:bCs/>
          <w:sz w:val="24"/>
          <w:szCs w:val="24"/>
        </w:rPr>
      </w:pPr>
    </w:p>
    <w:p w14:paraId="4ADF78A2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Lægemidlet er en kombination af et </w:t>
      </w:r>
      <w:proofErr w:type="spellStart"/>
      <w:r w:rsidRPr="00D4605C">
        <w:rPr>
          <w:sz w:val="24"/>
          <w:szCs w:val="24"/>
        </w:rPr>
        <w:t>alginat</w:t>
      </w:r>
      <w:proofErr w:type="spellEnd"/>
      <w:r w:rsidRPr="00D4605C">
        <w:rPr>
          <w:sz w:val="24"/>
          <w:szCs w:val="24"/>
        </w:rPr>
        <w:t xml:space="preserve"> og to </w:t>
      </w:r>
      <w:proofErr w:type="spellStart"/>
      <w:r w:rsidRPr="00D4605C">
        <w:rPr>
          <w:sz w:val="24"/>
          <w:szCs w:val="24"/>
        </w:rPr>
        <w:t>antacida</w:t>
      </w:r>
      <w:proofErr w:type="spellEnd"/>
      <w:r w:rsidRPr="00D4605C">
        <w:rPr>
          <w:sz w:val="24"/>
          <w:szCs w:val="24"/>
        </w:rPr>
        <w:t xml:space="preserve"> (</w:t>
      </w:r>
      <w:proofErr w:type="spellStart"/>
      <w:r w:rsidRPr="00D4605C">
        <w:rPr>
          <w:sz w:val="24"/>
          <w:szCs w:val="24"/>
        </w:rPr>
        <w:t>calciumcarbonat</w:t>
      </w:r>
      <w:proofErr w:type="spellEnd"/>
      <w:r w:rsidRPr="00D4605C">
        <w:rPr>
          <w:sz w:val="24"/>
          <w:szCs w:val="24"/>
        </w:rPr>
        <w:t xml:space="preserve"> og </w:t>
      </w:r>
      <w:proofErr w:type="spellStart"/>
      <w:r w:rsidRPr="00D4605C">
        <w:rPr>
          <w:sz w:val="24"/>
          <w:szCs w:val="24"/>
        </w:rPr>
        <w:t>natriumhydrogencarbonat</w:t>
      </w:r>
      <w:proofErr w:type="spellEnd"/>
      <w:r w:rsidRPr="00D4605C">
        <w:rPr>
          <w:sz w:val="24"/>
          <w:szCs w:val="24"/>
        </w:rPr>
        <w:t>), som giver beskyttende og neutraliserende virkning.</w:t>
      </w:r>
    </w:p>
    <w:p w14:paraId="7A23C008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488AE34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1. Beskyttende virkning</w:t>
      </w:r>
    </w:p>
    <w:p w14:paraId="133EC622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6A43D2ED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Efter indtagelse reagerer lægemidlet hurtigt med mavesyren og danner en beskyttende barriere (beskyttende lag) af </w:t>
      </w:r>
      <w:proofErr w:type="spellStart"/>
      <w:r w:rsidRPr="00D4605C">
        <w:rPr>
          <w:sz w:val="24"/>
          <w:szCs w:val="24"/>
        </w:rPr>
        <w:t>alginsyren</w:t>
      </w:r>
      <w:proofErr w:type="spellEnd"/>
      <w:r w:rsidRPr="00D4605C">
        <w:rPr>
          <w:sz w:val="24"/>
          <w:szCs w:val="24"/>
        </w:rPr>
        <w:t xml:space="preserve"> med næsten neutral pH, som flyder ovenpå maveindholdet. Effektiv hindring af </w:t>
      </w:r>
      <w:proofErr w:type="spellStart"/>
      <w:r w:rsidRPr="00D4605C">
        <w:rPr>
          <w:sz w:val="24"/>
          <w:szCs w:val="24"/>
        </w:rPr>
        <w:t>gastroøsofageal</w:t>
      </w:r>
      <w:proofErr w:type="spellEnd"/>
      <w:r w:rsidRPr="00D4605C">
        <w:rPr>
          <w:sz w:val="24"/>
          <w:szCs w:val="24"/>
        </w:rPr>
        <w:t xml:space="preserve"> </w:t>
      </w:r>
      <w:proofErr w:type="spellStart"/>
      <w:r w:rsidRPr="00D4605C">
        <w:rPr>
          <w:sz w:val="24"/>
          <w:szCs w:val="24"/>
        </w:rPr>
        <w:t>refluks</w:t>
      </w:r>
      <w:proofErr w:type="spellEnd"/>
      <w:r w:rsidRPr="00D4605C">
        <w:rPr>
          <w:sz w:val="24"/>
          <w:szCs w:val="24"/>
        </w:rPr>
        <w:t xml:space="preserve"> kan vare op til 4 timer. Det betyder, at sure opstød forhindres mekanisk, og spiserøret dermed er beskyttet. I alvorlige tilfælde kan det beskyttende lag løbe op i spiserøret i stedet for maveindholdet og frembringe en lindrende virkning.</w:t>
      </w:r>
    </w:p>
    <w:p w14:paraId="46FFC05D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5C8389B3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2. Neutraliserende effekt</w:t>
      </w:r>
    </w:p>
    <w:p w14:paraId="3D4670AB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525D2564" w14:textId="21882946" w:rsidR="00275B23" w:rsidRPr="00D4605C" w:rsidRDefault="00275B23" w:rsidP="00D4605C">
      <w:pPr>
        <w:ind w:left="851"/>
        <w:rPr>
          <w:spacing w:val="-3"/>
          <w:sz w:val="24"/>
          <w:szCs w:val="24"/>
        </w:rPr>
      </w:pPr>
      <w:proofErr w:type="spellStart"/>
      <w:r w:rsidRPr="00D4605C">
        <w:rPr>
          <w:sz w:val="24"/>
          <w:szCs w:val="24"/>
        </w:rPr>
        <w:t>Calciumcarbonat</w:t>
      </w:r>
      <w:proofErr w:type="spellEnd"/>
      <w:r w:rsidRPr="00D4605C">
        <w:rPr>
          <w:sz w:val="24"/>
          <w:szCs w:val="24"/>
        </w:rPr>
        <w:t xml:space="preserve"> og </w:t>
      </w:r>
      <w:proofErr w:type="spellStart"/>
      <w:r w:rsidRPr="00D4605C">
        <w:rPr>
          <w:sz w:val="24"/>
          <w:szCs w:val="24"/>
        </w:rPr>
        <w:t>natriumhydrogencarbonat</w:t>
      </w:r>
      <w:proofErr w:type="spellEnd"/>
      <w:r w:rsidRPr="00D4605C">
        <w:rPr>
          <w:sz w:val="24"/>
          <w:szCs w:val="24"/>
        </w:rPr>
        <w:t xml:space="preserve"> reagerer umiddelbart efter indtagelse ved at neutralisere mavesyren og give hurtig lindring af fordøjelsesbesvær og halsbrand. </w:t>
      </w:r>
      <w:proofErr w:type="spellStart"/>
      <w:r w:rsidRPr="00D4605C">
        <w:rPr>
          <w:spacing w:val="-3"/>
          <w:sz w:val="24"/>
          <w:szCs w:val="24"/>
        </w:rPr>
        <w:t>Galieve</w:t>
      </w:r>
      <w:proofErr w:type="spellEnd"/>
      <w:r w:rsidRPr="00D4605C">
        <w:rPr>
          <w:spacing w:val="-3"/>
          <w:sz w:val="24"/>
          <w:szCs w:val="24"/>
        </w:rPr>
        <w:t xml:space="preserve"> Extra </w:t>
      </w:r>
      <w:proofErr w:type="spellStart"/>
      <w:r w:rsidRPr="00D4605C">
        <w:rPr>
          <w:spacing w:val="-3"/>
          <w:sz w:val="24"/>
          <w:szCs w:val="24"/>
        </w:rPr>
        <w:t>Peppermint</w:t>
      </w:r>
      <w:proofErr w:type="spellEnd"/>
      <w:r w:rsidRPr="00D4605C">
        <w:rPr>
          <w:snapToGrid w:val="0"/>
          <w:sz w:val="24"/>
          <w:szCs w:val="24"/>
        </w:rPr>
        <w:t xml:space="preserve"> neutraliserer den </w:t>
      </w:r>
      <w:proofErr w:type="spellStart"/>
      <w:r w:rsidRPr="00D4605C">
        <w:rPr>
          <w:snapToGrid w:val="0"/>
          <w:sz w:val="24"/>
          <w:szCs w:val="24"/>
        </w:rPr>
        <w:t>postprandiale</w:t>
      </w:r>
      <w:proofErr w:type="spellEnd"/>
      <w:r w:rsidRPr="00D4605C">
        <w:rPr>
          <w:snapToGrid w:val="0"/>
          <w:sz w:val="24"/>
          <w:szCs w:val="24"/>
        </w:rPr>
        <w:t xml:space="preserve"> syrelomme. </w:t>
      </w:r>
      <w:r w:rsidRPr="00D4605C">
        <w:rPr>
          <w:sz w:val="24"/>
          <w:szCs w:val="24"/>
        </w:rPr>
        <w:t>Lægemidlets samlede neutraliserende kapacitet ved den laveste dosis på to tyggetabletter er ca. 10 </w:t>
      </w:r>
      <w:proofErr w:type="spellStart"/>
      <w:r w:rsidRPr="00D4605C">
        <w:rPr>
          <w:sz w:val="24"/>
          <w:szCs w:val="24"/>
        </w:rPr>
        <w:t>mEqH</w:t>
      </w:r>
      <w:proofErr w:type="spellEnd"/>
      <w:r w:rsidRPr="00D4605C">
        <w:rPr>
          <w:sz w:val="24"/>
          <w:szCs w:val="24"/>
          <w:vertAlign w:val="superscript"/>
        </w:rPr>
        <w:t>+</w:t>
      </w:r>
      <w:r w:rsidRPr="00D4605C">
        <w:rPr>
          <w:sz w:val="24"/>
          <w:szCs w:val="24"/>
        </w:rPr>
        <w:t xml:space="preserve">. Denne effekt er også blevet påvist i et </w:t>
      </w:r>
      <w:r w:rsidRPr="00D4605C">
        <w:rPr>
          <w:i/>
          <w:iCs/>
          <w:sz w:val="24"/>
          <w:szCs w:val="24"/>
        </w:rPr>
        <w:t>in </w:t>
      </w:r>
      <w:proofErr w:type="spellStart"/>
      <w:r w:rsidRPr="00D4605C">
        <w:rPr>
          <w:i/>
          <w:iCs/>
          <w:sz w:val="24"/>
          <w:szCs w:val="24"/>
        </w:rPr>
        <w:t>vivo</w:t>
      </w:r>
      <w:proofErr w:type="spellEnd"/>
      <w:r w:rsidRPr="00D4605C">
        <w:rPr>
          <w:sz w:val="24"/>
          <w:szCs w:val="24"/>
        </w:rPr>
        <w:t xml:space="preserve">-studie via intragastrisk pH-monitorering ved anvendelse af et multielektrode-kateter hos fastende, raske deltagere for at fjerne variabilitet forårsaget af </w:t>
      </w:r>
      <w:proofErr w:type="spellStart"/>
      <w:r w:rsidRPr="00D4605C">
        <w:rPr>
          <w:sz w:val="24"/>
          <w:szCs w:val="24"/>
        </w:rPr>
        <w:t>postprandial</w:t>
      </w:r>
      <w:proofErr w:type="spellEnd"/>
      <w:r w:rsidRPr="00D4605C">
        <w:rPr>
          <w:sz w:val="24"/>
          <w:szCs w:val="24"/>
        </w:rPr>
        <w:t xml:space="preserve"> </w:t>
      </w:r>
      <w:proofErr w:type="spellStart"/>
      <w:r w:rsidRPr="00D4605C">
        <w:rPr>
          <w:sz w:val="24"/>
          <w:szCs w:val="24"/>
        </w:rPr>
        <w:t>buffering</w:t>
      </w:r>
      <w:proofErr w:type="spellEnd"/>
      <w:r w:rsidRPr="00D4605C">
        <w:rPr>
          <w:sz w:val="24"/>
          <w:szCs w:val="24"/>
        </w:rPr>
        <w:t>. Det primære endepunkt i studiet var procentdelen af tid med intragastrisk pH ≥ 4 i løbet af 30 minutter efter behandlings</w:t>
      </w:r>
      <w:r w:rsidR="00B44E83">
        <w:rPr>
          <w:sz w:val="24"/>
          <w:szCs w:val="24"/>
        </w:rPr>
        <w:softHyphen/>
      </w:r>
      <w:r w:rsidRPr="00D4605C">
        <w:rPr>
          <w:sz w:val="24"/>
          <w:szCs w:val="24"/>
        </w:rPr>
        <w:t xml:space="preserve">perioden. Dette endepunkt blev opnået i 50,8% af tiden med et </w:t>
      </w:r>
      <w:proofErr w:type="spellStart"/>
      <w:r w:rsidRPr="00D4605C">
        <w:rPr>
          <w:sz w:val="24"/>
          <w:szCs w:val="24"/>
        </w:rPr>
        <w:t>natriumalginat</w:t>
      </w:r>
      <w:proofErr w:type="spellEnd"/>
      <w:r w:rsidRPr="00D4605C">
        <w:rPr>
          <w:sz w:val="24"/>
          <w:szCs w:val="24"/>
        </w:rPr>
        <w:t>-</w:t>
      </w:r>
      <w:proofErr w:type="spellStart"/>
      <w:r w:rsidRPr="00D4605C">
        <w:rPr>
          <w:sz w:val="24"/>
          <w:szCs w:val="24"/>
        </w:rPr>
        <w:t>antacid</w:t>
      </w:r>
      <w:proofErr w:type="spellEnd"/>
      <w:r w:rsidRPr="00D4605C">
        <w:rPr>
          <w:sz w:val="24"/>
          <w:szCs w:val="24"/>
        </w:rPr>
        <w:t xml:space="preserve">-lægemiddel </w:t>
      </w:r>
      <w:r w:rsidRPr="00D4605C">
        <w:rPr>
          <w:i/>
          <w:iCs/>
          <w:sz w:val="24"/>
          <w:szCs w:val="24"/>
        </w:rPr>
        <w:t>versus</w:t>
      </w:r>
      <w:r w:rsidRPr="00D4605C">
        <w:rPr>
          <w:sz w:val="24"/>
          <w:szCs w:val="24"/>
        </w:rPr>
        <w:t xml:space="preserve"> 3,5 % af tiden med placebo (p = 0,0051).</w:t>
      </w:r>
    </w:p>
    <w:p w14:paraId="5D9194A3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002727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5.2</w:t>
      </w:r>
      <w:r w:rsidRPr="00D4605C">
        <w:rPr>
          <w:b/>
          <w:sz w:val="24"/>
          <w:szCs w:val="24"/>
        </w:rPr>
        <w:tab/>
      </w:r>
      <w:proofErr w:type="spellStart"/>
      <w:r w:rsidRPr="00D4605C">
        <w:rPr>
          <w:b/>
          <w:sz w:val="24"/>
          <w:szCs w:val="24"/>
        </w:rPr>
        <w:t>Farmakokinetiske</w:t>
      </w:r>
      <w:proofErr w:type="spellEnd"/>
      <w:r w:rsidRPr="00D4605C">
        <w:rPr>
          <w:b/>
          <w:sz w:val="24"/>
          <w:szCs w:val="24"/>
        </w:rPr>
        <w:t xml:space="preserve"> egenskaber</w:t>
      </w:r>
    </w:p>
    <w:p w14:paraId="686CF677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Lægemidlets virkningsmekanisme er fysisk og afhænger ikke af optagelse i den systemiske cirkulation.</w:t>
      </w:r>
    </w:p>
    <w:p w14:paraId="099DADDE" w14:textId="7FA43286" w:rsidR="00B44E83" w:rsidRDefault="00B44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33458D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23DEEA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5.3</w:t>
      </w:r>
      <w:r w:rsidRPr="00D4605C">
        <w:rPr>
          <w:b/>
          <w:sz w:val="24"/>
          <w:szCs w:val="24"/>
        </w:rPr>
        <w:tab/>
      </w:r>
      <w:r w:rsidR="00BD7931" w:rsidRPr="00D4605C">
        <w:rPr>
          <w:b/>
          <w:sz w:val="24"/>
          <w:szCs w:val="24"/>
        </w:rPr>
        <w:t>Non-</w:t>
      </w:r>
      <w:r w:rsidRPr="00D4605C">
        <w:rPr>
          <w:b/>
          <w:sz w:val="24"/>
          <w:szCs w:val="24"/>
        </w:rPr>
        <w:t>kliniske sikkerhedsdata</w:t>
      </w:r>
    </w:p>
    <w:p w14:paraId="407B265F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Der er ingen non-kliniske data af nogen relevans for den ordinerende læge, som supplerer de data, der allerede er inkluderet i andre afsnit af produktresuméet.</w:t>
      </w:r>
    </w:p>
    <w:p w14:paraId="15D47AE3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7B0200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10881EE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</w:t>
      </w:r>
      <w:r w:rsidRPr="00D4605C">
        <w:rPr>
          <w:b/>
          <w:sz w:val="24"/>
          <w:szCs w:val="24"/>
        </w:rPr>
        <w:tab/>
        <w:t>FARMACEUTISKE OPLYSNINGER</w:t>
      </w:r>
    </w:p>
    <w:p w14:paraId="6E6D6FAF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7627FE3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6.1</w:t>
      </w:r>
      <w:r w:rsidRPr="00D4605C">
        <w:rPr>
          <w:b/>
          <w:sz w:val="24"/>
          <w:szCs w:val="24"/>
        </w:rPr>
        <w:tab/>
        <w:t>Hjælpestoffer</w:t>
      </w:r>
    </w:p>
    <w:p w14:paraId="1781069D" w14:textId="77777777" w:rsidR="00275B23" w:rsidRPr="00D4605C" w:rsidRDefault="00275B23" w:rsidP="00D4605C">
      <w:pPr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Macrogol</w:t>
      </w:r>
      <w:proofErr w:type="spellEnd"/>
    </w:p>
    <w:p w14:paraId="4BE77AF1" w14:textId="77777777" w:rsidR="00275B23" w:rsidRPr="00D4605C" w:rsidRDefault="00275B23" w:rsidP="00D4605C">
      <w:pPr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Mannitol</w:t>
      </w:r>
      <w:proofErr w:type="spellEnd"/>
      <w:r w:rsidRPr="00D4605C">
        <w:rPr>
          <w:sz w:val="24"/>
          <w:szCs w:val="24"/>
        </w:rPr>
        <w:t xml:space="preserve"> (E421)</w:t>
      </w:r>
    </w:p>
    <w:p w14:paraId="0A645B73" w14:textId="77777777" w:rsidR="00275B23" w:rsidRPr="00D4605C" w:rsidRDefault="00275B23" w:rsidP="00D4605C">
      <w:pPr>
        <w:ind w:left="851"/>
        <w:rPr>
          <w:sz w:val="24"/>
          <w:szCs w:val="24"/>
          <w:lang w:val="en-GB"/>
        </w:rPr>
      </w:pPr>
      <w:proofErr w:type="spellStart"/>
      <w:r w:rsidRPr="00D4605C">
        <w:rPr>
          <w:sz w:val="24"/>
          <w:szCs w:val="24"/>
          <w:lang w:val="en-GB"/>
        </w:rPr>
        <w:t>Copovidon</w:t>
      </w:r>
      <w:proofErr w:type="spellEnd"/>
    </w:p>
    <w:p w14:paraId="471513D5" w14:textId="77777777" w:rsidR="00275B23" w:rsidRPr="00D4605C" w:rsidRDefault="00275B23" w:rsidP="00D4605C">
      <w:pPr>
        <w:ind w:left="851"/>
        <w:rPr>
          <w:sz w:val="24"/>
          <w:szCs w:val="24"/>
          <w:lang w:val="en-GB"/>
        </w:rPr>
      </w:pPr>
      <w:proofErr w:type="spellStart"/>
      <w:r w:rsidRPr="00D4605C">
        <w:rPr>
          <w:sz w:val="24"/>
          <w:szCs w:val="24"/>
          <w:lang w:val="en-GB"/>
        </w:rPr>
        <w:t>Acesulfamkalium</w:t>
      </w:r>
      <w:proofErr w:type="spellEnd"/>
    </w:p>
    <w:p w14:paraId="0EA6B00B" w14:textId="77777777" w:rsidR="00275B23" w:rsidRPr="00D4605C" w:rsidRDefault="00275B23" w:rsidP="00D4605C">
      <w:pPr>
        <w:ind w:left="851"/>
        <w:rPr>
          <w:sz w:val="24"/>
          <w:szCs w:val="24"/>
          <w:lang w:val="en-GB"/>
        </w:rPr>
      </w:pPr>
      <w:proofErr w:type="spellStart"/>
      <w:r w:rsidRPr="00D4605C">
        <w:rPr>
          <w:sz w:val="24"/>
          <w:szCs w:val="24"/>
          <w:lang w:val="en-GB"/>
        </w:rPr>
        <w:t>Aspartam</w:t>
      </w:r>
      <w:proofErr w:type="spellEnd"/>
      <w:r w:rsidRPr="00D4605C">
        <w:rPr>
          <w:sz w:val="24"/>
          <w:szCs w:val="24"/>
          <w:lang w:val="en-GB"/>
        </w:rPr>
        <w:t xml:space="preserve"> (E951)</w:t>
      </w:r>
    </w:p>
    <w:p w14:paraId="2BBC4B6C" w14:textId="77777777" w:rsidR="00275B23" w:rsidRPr="00D4605C" w:rsidRDefault="00275B23" w:rsidP="00D4605C">
      <w:pPr>
        <w:ind w:left="851"/>
        <w:rPr>
          <w:sz w:val="24"/>
          <w:szCs w:val="24"/>
          <w:lang w:val="en-GB"/>
        </w:rPr>
      </w:pPr>
      <w:proofErr w:type="spellStart"/>
      <w:r w:rsidRPr="00D4605C">
        <w:rPr>
          <w:sz w:val="24"/>
          <w:szCs w:val="24"/>
          <w:lang w:val="en-GB"/>
        </w:rPr>
        <w:t>Azorubin</w:t>
      </w:r>
      <w:proofErr w:type="spellEnd"/>
      <w:r w:rsidRPr="00D4605C">
        <w:rPr>
          <w:sz w:val="24"/>
          <w:szCs w:val="24"/>
          <w:lang w:val="en-GB"/>
        </w:rPr>
        <w:t xml:space="preserve"> (E122)</w:t>
      </w:r>
    </w:p>
    <w:p w14:paraId="71A63544" w14:textId="77777777" w:rsidR="00275B23" w:rsidRPr="00D4605C" w:rsidRDefault="00275B23" w:rsidP="00D4605C">
      <w:pPr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Magnesiumstearat</w:t>
      </w:r>
      <w:proofErr w:type="spellEnd"/>
    </w:p>
    <w:p w14:paraId="1056530A" w14:textId="77777777" w:rsidR="00275B23" w:rsidRPr="00D4605C" w:rsidRDefault="00275B23" w:rsidP="00D4605C">
      <w:pPr>
        <w:ind w:left="851"/>
        <w:rPr>
          <w:sz w:val="24"/>
          <w:szCs w:val="24"/>
        </w:rPr>
      </w:pPr>
      <w:proofErr w:type="spellStart"/>
      <w:r w:rsidRPr="00D4605C">
        <w:rPr>
          <w:sz w:val="24"/>
          <w:szCs w:val="24"/>
        </w:rPr>
        <w:t>Xylitol</w:t>
      </w:r>
      <w:proofErr w:type="spellEnd"/>
      <w:r w:rsidRPr="00D4605C">
        <w:rPr>
          <w:sz w:val="24"/>
          <w:szCs w:val="24"/>
        </w:rPr>
        <w:t xml:space="preserve"> DC (indeholder </w:t>
      </w:r>
      <w:proofErr w:type="spellStart"/>
      <w:r w:rsidRPr="00D4605C">
        <w:rPr>
          <w:sz w:val="24"/>
          <w:szCs w:val="24"/>
        </w:rPr>
        <w:t>carmellosenatrium</w:t>
      </w:r>
      <w:proofErr w:type="spellEnd"/>
      <w:r w:rsidRPr="00D4605C">
        <w:rPr>
          <w:sz w:val="24"/>
          <w:szCs w:val="24"/>
        </w:rPr>
        <w:t>)</w:t>
      </w:r>
    </w:p>
    <w:p w14:paraId="5ABC584F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 xml:space="preserve">Pebermyntesmag (smagsstof indeholder </w:t>
      </w:r>
      <w:proofErr w:type="spellStart"/>
      <w:r w:rsidRPr="00D4605C">
        <w:rPr>
          <w:sz w:val="24"/>
          <w:szCs w:val="24"/>
        </w:rPr>
        <w:t>maltodextrin</w:t>
      </w:r>
      <w:proofErr w:type="spellEnd"/>
      <w:r w:rsidRPr="00D4605C">
        <w:rPr>
          <w:sz w:val="24"/>
          <w:szCs w:val="24"/>
        </w:rPr>
        <w:t xml:space="preserve">, arabisk gummi og </w:t>
      </w:r>
      <w:proofErr w:type="spellStart"/>
      <w:r w:rsidRPr="00D4605C">
        <w:rPr>
          <w:sz w:val="24"/>
          <w:szCs w:val="24"/>
        </w:rPr>
        <w:t>saccharose</w:t>
      </w:r>
      <w:proofErr w:type="spellEnd"/>
      <w:r w:rsidRPr="00D4605C">
        <w:rPr>
          <w:sz w:val="24"/>
          <w:szCs w:val="24"/>
        </w:rPr>
        <w:t>)</w:t>
      </w:r>
    </w:p>
    <w:p w14:paraId="2850BAE0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1DDA5F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6.2</w:t>
      </w:r>
      <w:r w:rsidRPr="00D4605C">
        <w:rPr>
          <w:b/>
          <w:sz w:val="24"/>
          <w:szCs w:val="24"/>
        </w:rPr>
        <w:tab/>
        <w:t>Uforligeligheder</w:t>
      </w:r>
    </w:p>
    <w:p w14:paraId="6BB9FF8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Ikke relevant.</w:t>
      </w:r>
    </w:p>
    <w:p w14:paraId="5E74A0E6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B4D7763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6.3</w:t>
      </w:r>
      <w:r w:rsidRPr="00D4605C">
        <w:rPr>
          <w:b/>
          <w:sz w:val="24"/>
          <w:szCs w:val="24"/>
        </w:rPr>
        <w:tab/>
        <w:t>Opbevaringstid</w:t>
      </w:r>
    </w:p>
    <w:p w14:paraId="168E86D2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2 år.</w:t>
      </w:r>
    </w:p>
    <w:p w14:paraId="1BB63D6E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5F6ACB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6.4</w:t>
      </w:r>
      <w:r w:rsidRPr="00D4605C">
        <w:rPr>
          <w:b/>
          <w:sz w:val="24"/>
          <w:szCs w:val="24"/>
        </w:rPr>
        <w:tab/>
        <w:t>Særlige opbevaringsforhold</w:t>
      </w:r>
    </w:p>
    <w:p w14:paraId="2580B08C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Må ikke opbevares ved temperaturer over 30 °C. Opbevares i den originale pakning for at beskytte mod fugt.</w:t>
      </w:r>
    </w:p>
    <w:p w14:paraId="7AEF0405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E7A3777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6.5</w:t>
      </w:r>
      <w:r w:rsidRPr="00D4605C">
        <w:rPr>
          <w:b/>
          <w:sz w:val="24"/>
          <w:szCs w:val="24"/>
        </w:rPr>
        <w:tab/>
        <w:t>Emballagetype og pakningsstørrelser</w:t>
      </w:r>
    </w:p>
    <w:p w14:paraId="5762A222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Blisterkort af klar PVC/PE/</w:t>
      </w:r>
      <w:proofErr w:type="spellStart"/>
      <w:r w:rsidRPr="00D4605C">
        <w:rPr>
          <w:sz w:val="24"/>
          <w:szCs w:val="24"/>
        </w:rPr>
        <w:t>PVdC</w:t>
      </w:r>
      <w:proofErr w:type="spellEnd"/>
      <w:r w:rsidRPr="00D4605C">
        <w:rPr>
          <w:sz w:val="24"/>
          <w:szCs w:val="24"/>
        </w:rPr>
        <w:t>-laminat med aluminiumsfolielåg pakket i æsker.</w:t>
      </w:r>
    </w:p>
    <w:p w14:paraId="7DF2CC69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6698E515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Blisterbakke indeholdende 2, 4, 6 eller 8 forseglede tyggetabletter. Pakningsstørrelser: 4, 6, 8, 12, 16, 24, 32, 48, 60, 64, 80 og 112 tyggetabletter.</w:t>
      </w:r>
    </w:p>
    <w:p w14:paraId="12994A19" w14:textId="77777777" w:rsidR="00275B23" w:rsidRPr="00D4605C" w:rsidRDefault="00275B23" w:rsidP="00D4605C">
      <w:pPr>
        <w:ind w:left="851"/>
        <w:rPr>
          <w:sz w:val="24"/>
          <w:szCs w:val="24"/>
        </w:rPr>
      </w:pPr>
    </w:p>
    <w:p w14:paraId="1DBC510A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Ikke alle pakningsstørrelser er nødvendigvis markedsført.</w:t>
      </w:r>
    </w:p>
    <w:p w14:paraId="5593FCA4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94FFAEB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6.6</w:t>
      </w:r>
      <w:r w:rsidRPr="00D4605C">
        <w:rPr>
          <w:b/>
          <w:sz w:val="24"/>
          <w:szCs w:val="24"/>
        </w:rPr>
        <w:tab/>
        <w:t xml:space="preserve">Regler for </w:t>
      </w:r>
      <w:r w:rsidR="00BD7931" w:rsidRPr="00D4605C">
        <w:rPr>
          <w:b/>
          <w:sz w:val="24"/>
          <w:szCs w:val="24"/>
        </w:rPr>
        <w:t>bortskaffelse</w:t>
      </w:r>
      <w:r w:rsidRPr="00D4605C">
        <w:rPr>
          <w:b/>
          <w:sz w:val="24"/>
          <w:szCs w:val="24"/>
        </w:rPr>
        <w:t xml:space="preserve"> og anden håndtering</w:t>
      </w:r>
    </w:p>
    <w:p w14:paraId="5452FC28" w14:textId="77777777" w:rsidR="00275B23" w:rsidRPr="00D4605C" w:rsidRDefault="00275B23" w:rsidP="00D4605C">
      <w:pPr>
        <w:ind w:left="851"/>
        <w:rPr>
          <w:sz w:val="24"/>
          <w:szCs w:val="24"/>
        </w:rPr>
      </w:pPr>
      <w:r w:rsidRPr="00D4605C">
        <w:rPr>
          <w:sz w:val="24"/>
          <w:szCs w:val="24"/>
        </w:rPr>
        <w:t>Ingen særlige forholdsregler ved bortskaffelse.</w:t>
      </w:r>
    </w:p>
    <w:p w14:paraId="1C18A6B4" w14:textId="77777777" w:rsidR="009260DE" w:rsidRPr="00D4605C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78BFF6D1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7.</w:t>
      </w:r>
      <w:r w:rsidRPr="00D4605C">
        <w:rPr>
          <w:b/>
          <w:sz w:val="24"/>
          <w:szCs w:val="24"/>
        </w:rPr>
        <w:tab/>
        <w:t>INDEHAVER AF MARKEDSFØRINGSTILLADELSEN</w:t>
      </w:r>
    </w:p>
    <w:p w14:paraId="2E170092" w14:textId="77777777" w:rsidR="000B3EF5" w:rsidRPr="00D4605C" w:rsidRDefault="000B3EF5" w:rsidP="000B3EF5">
      <w:pPr>
        <w:tabs>
          <w:tab w:val="left" w:pos="851"/>
        </w:tabs>
        <w:ind w:left="851"/>
        <w:jc w:val="both"/>
        <w:rPr>
          <w:sz w:val="24"/>
          <w:szCs w:val="24"/>
          <w:lang w:eastAsia="da-DK"/>
        </w:rPr>
      </w:pPr>
      <w:r w:rsidRPr="00D4605C">
        <w:rPr>
          <w:sz w:val="24"/>
          <w:szCs w:val="24"/>
        </w:rPr>
        <w:t>RB Health Nordic A/S</w:t>
      </w:r>
    </w:p>
    <w:p w14:paraId="437D9BA2" w14:textId="77777777" w:rsidR="000B3EF5" w:rsidRPr="00892AC9" w:rsidRDefault="000B3EF5" w:rsidP="000B3EF5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892AC9">
        <w:rPr>
          <w:sz w:val="24"/>
          <w:szCs w:val="24"/>
        </w:rPr>
        <w:t>Vandtårnsvej 83a</w:t>
      </w:r>
    </w:p>
    <w:p w14:paraId="776CAF4D" w14:textId="44C87157" w:rsidR="009260DE" w:rsidRPr="00D4605C" w:rsidRDefault="000B3EF5" w:rsidP="000B3EF5">
      <w:pPr>
        <w:tabs>
          <w:tab w:val="left" w:pos="851"/>
        </w:tabs>
        <w:ind w:left="851"/>
        <w:rPr>
          <w:sz w:val="24"/>
          <w:szCs w:val="24"/>
        </w:rPr>
      </w:pPr>
      <w:r w:rsidRPr="00892AC9">
        <w:rPr>
          <w:sz w:val="24"/>
          <w:szCs w:val="24"/>
        </w:rPr>
        <w:t>2860 Søborg</w:t>
      </w:r>
    </w:p>
    <w:p w14:paraId="2CEA8979" w14:textId="77777777" w:rsidR="00641C65" w:rsidRPr="00D4605C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A8AFCA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8.</w:t>
      </w:r>
      <w:r w:rsidRPr="00D4605C">
        <w:rPr>
          <w:b/>
          <w:sz w:val="24"/>
          <w:szCs w:val="24"/>
        </w:rPr>
        <w:tab/>
        <w:t>MARKEDSFØRINGSTILLADELSESNUMMER (</w:t>
      </w:r>
      <w:r w:rsidR="00BF6243" w:rsidRPr="00D4605C">
        <w:rPr>
          <w:b/>
          <w:sz w:val="24"/>
          <w:szCs w:val="24"/>
        </w:rPr>
        <w:t>-</w:t>
      </w:r>
      <w:r w:rsidRPr="00D4605C">
        <w:rPr>
          <w:b/>
          <w:sz w:val="24"/>
          <w:szCs w:val="24"/>
        </w:rPr>
        <w:t>NUMRE)</w:t>
      </w:r>
    </w:p>
    <w:p w14:paraId="2E6CA124" w14:textId="29DB1A4B" w:rsidR="009260DE" w:rsidRPr="00D4605C" w:rsidRDefault="000B3EF5" w:rsidP="009260DE">
      <w:pPr>
        <w:tabs>
          <w:tab w:val="left" w:pos="851"/>
        </w:tabs>
        <w:ind w:left="851"/>
        <w:rPr>
          <w:sz w:val="24"/>
          <w:szCs w:val="24"/>
        </w:rPr>
      </w:pPr>
      <w:r w:rsidRPr="00D4605C">
        <w:rPr>
          <w:sz w:val="24"/>
          <w:szCs w:val="24"/>
        </w:rPr>
        <w:t>67292</w:t>
      </w:r>
    </w:p>
    <w:p w14:paraId="186EA3DE" w14:textId="77777777" w:rsidR="009260DE" w:rsidRPr="00D4605C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6791418E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9.</w:t>
      </w:r>
      <w:r w:rsidRPr="00D4605C">
        <w:rPr>
          <w:b/>
          <w:sz w:val="24"/>
          <w:szCs w:val="24"/>
        </w:rPr>
        <w:tab/>
        <w:t>DATO FOR FØRSTE MARKEDSFØRINGSTILLADELSE</w:t>
      </w:r>
    </w:p>
    <w:p w14:paraId="4A8CD07B" w14:textId="1C4EF439" w:rsidR="009260DE" w:rsidRPr="00D4605C" w:rsidRDefault="000B3EF5" w:rsidP="009260DE">
      <w:pPr>
        <w:tabs>
          <w:tab w:val="left" w:pos="851"/>
        </w:tabs>
        <w:ind w:left="851"/>
        <w:rPr>
          <w:sz w:val="24"/>
          <w:szCs w:val="24"/>
        </w:rPr>
      </w:pPr>
      <w:r w:rsidRPr="00D4605C">
        <w:rPr>
          <w:sz w:val="24"/>
          <w:szCs w:val="24"/>
        </w:rPr>
        <w:t>23. april 2010 (</w:t>
      </w:r>
      <w:proofErr w:type="spellStart"/>
      <w:r w:rsidRPr="00D4605C">
        <w:rPr>
          <w:sz w:val="24"/>
          <w:szCs w:val="24"/>
        </w:rPr>
        <w:t>Galieve</w:t>
      </w:r>
      <w:proofErr w:type="spellEnd"/>
      <w:r w:rsidRPr="00D4605C">
        <w:rPr>
          <w:sz w:val="24"/>
          <w:szCs w:val="24"/>
        </w:rPr>
        <w:t xml:space="preserve"> Cool </w:t>
      </w:r>
      <w:proofErr w:type="spellStart"/>
      <w:r w:rsidRPr="00D4605C">
        <w:rPr>
          <w:sz w:val="24"/>
          <w:szCs w:val="24"/>
        </w:rPr>
        <w:t>Mint</w:t>
      </w:r>
      <w:proofErr w:type="spellEnd"/>
      <w:r w:rsidRPr="00D4605C">
        <w:rPr>
          <w:sz w:val="24"/>
          <w:szCs w:val="24"/>
        </w:rPr>
        <w:t>)</w:t>
      </w:r>
    </w:p>
    <w:p w14:paraId="1726EE1B" w14:textId="77777777" w:rsidR="009260DE" w:rsidRPr="00D4605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89391B" w14:textId="77777777" w:rsidR="009260DE" w:rsidRPr="00D4605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4605C">
        <w:rPr>
          <w:b/>
          <w:sz w:val="24"/>
          <w:szCs w:val="24"/>
        </w:rPr>
        <w:t>10.</w:t>
      </w:r>
      <w:r w:rsidRPr="00D4605C">
        <w:rPr>
          <w:b/>
          <w:sz w:val="24"/>
          <w:szCs w:val="24"/>
        </w:rPr>
        <w:tab/>
        <w:t>DATO FOR ÆNDRING AF TEKSTEN</w:t>
      </w:r>
    </w:p>
    <w:p w14:paraId="6A609C98" w14:textId="41685BCC" w:rsidR="009260DE" w:rsidRPr="00D4605C" w:rsidRDefault="00892AC9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8. januar 2026</w:t>
      </w:r>
      <w:bookmarkStart w:id="1" w:name="_GoBack"/>
      <w:bookmarkEnd w:id="1"/>
    </w:p>
    <w:sectPr w:rsidR="009260DE" w:rsidRPr="00D4605C" w:rsidSect="000259B9">
      <w:footerReference w:type="default" r:id="rId10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4891" w14:textId="77777777" w:rsidR="00FB64FD" w:rsidRDefault="00FB64FD">
      <w:r>
        <w:separator/>
      </w:r>
    </w:p>
  </w:endnote>
  <w:endnote w:type="continuationSeparator" w:id="0">
    <w:p w14:paraId="4002A33E" w14:textId="77777777" w:rsidR="00FB64FD" w:rsidRDefault="00FB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B2B9E" w14:textId="77777777" w:rsidR="000259B9" w:rsidRDefault="000259B9">
    <w:pPr>
      <w:pStyle w:val="Sidefod"/>
      <w:pBdr>
        <w:bottom w:val="single" w:sz="6" w:space="1" w:color="auto"/>
      </w:pBdr>
    </w:pPr>
  </w:p>
  <w:p w14:paraId="181514DB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7BCDE1D5" w14:textId="2F1BE810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B44E83">
      <w:rPr>
        <w:i/>
        <w:noProof/>
        <w:sz w:val="18"/>
        <w:szCs w:val="18"/>
      </w:rPr>
      <w:t>Galieve Extra Peppermint, tyggetabletter 250+106,5+187,5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D794" w14:textId="77777777" w:rsidR="00FB64FD" w:rsidRDefault="00FB64FD">
      <w:r>
        <w:separator/>
      </w:r>
    </w:p>
  </w:footnote>
  <w:footnote w:type="continuationSeparator" w:id="0">
    <w:p w14:paraId="3CB1FE7B" w14:textId="77777777" w:rsidR="00FB64FD" w:rsidRDefault="00FB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377A132E"/>
    <w:multiLevelType w:val="hybridMultilevel"/>
    <w:tmpl w:val="F40AC4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5C44264"/>
    <w:multiLevelType w:val="hybridMultilevel"/>
    <w:tmpl w:val="61845F8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FD"/>
    <w:rsid w:val="000259B9"/>
    <w:rsid w:val="00041491"/>
    <w:rsid w:val="00050D16"/>
    <w:rsid w:val="00064A18"/>
    <w:rsid w:val="000730CA"/>
    <w:rsid w:val="00074F2A"/>
    <w:rsid w:val="000A1CA8"/>
    <w:rsid w:val="000A466B"/>
    <w:rsid w:val="000B058C"/>
    <w:rsid w:val="000B3EF5"/>
    <w:rsid w:val="000D68B0"/>
    <w:rsid w:val="000E4EE6"/>
    <w:rsid w:val="001454E2"/>
    <w:rsid w:val="00206CE8"/>
    <w:rsid w:val="0021526C"/>
    <w:rsid w:val="00275B23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B6649"/>
    <w:rsid w:val="0082576E"/>
    <w:rsid w:val="00892AC9"/>
    <w:rsid w:val="0089346F"/>
    <w:rsid w:val="00907F75"/>
    <w:rsid w:val="009260DE"/>
    <w:rsid w:val="0093258A"/>
    <w:rsid w:val="009C7BA3"/>
    <w:rsid w:val="009D1F5A"/>
    <w:rsid w:val="00A10294"/>
    <w:rsid w:val="00B003BF"/>
    <w:rsid w:val="00B373D7"/>
    <w:rsid w:val="00B44E83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4605C"/>
    <w:rsid w:val="00D93992"/>
    <w:rsid w:val="00E108AA"/>
    <w:rsid w:val="00E3749A"/>
    <w:rsid w:val="00E7437F"/>
    <w:rsid w:val="00E865B8"/>
    <w:rsid w:val="00EC0B9B"/>
    <w:rsid w:val="00ED5E9F"/>
    <w:rsid w:val="00F66D4F"/>
    <w:rsid w:val="00FB64FD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14EF12"/>
  <w15:chartTrackingRefBased/>
  <w15:docId w15:val="{1C6E60FD-67FC-46E9-B497-065CDBA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275B2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275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ldenbivirkning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BDE0-05D1-4173-ABA7-C55A6402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19</TotalTime>
  <Pages>7</Pages>
  <Words>1391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2025101878, overgået til danske tekster</dc:description>
  <cp:lastModifiedBy>Gitte Jørgensen</cp:lastModifiedBy>
  <cp:revision>7</cp:revision>
  <cp:lastPrinted>2012-08-22T08:53:00Z</cp:lastPrinted>
  <dcterms:created xsi:type="dcterms:W3CDTF">2026-01-08T11:34:00Z</dcterms:created>
  <dcterms:modified xsi:type="dcterms:W3CDTF">2026-01-08T13:36:00Z</dcterms:modified>
</cp:coreProperties>
</file>