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531" w:rsidRDefault="00B86531" w:rsidP="00B86531">
      <w:bookmarkStart w:id="0" w:name="_GoBack"/>
      <w:bookmarkEnd w:id="0"/>
      <w:r>
        <w:rPr>
          <w:noProof/>
          <w:lang w:eastAsia="da-DK"/>
        </w:rPr>
        <w:drawing>
          <wp:inline distT="0" distB="0" distL="0" distR="0" wp14:anchorId="0E63BF05" wp14:editId="23A3E102">
            <wp:extent cx="2466975" cy="685800"/>
            <wp:effectExtent l="0" t="0" r="9525" b="0"/>
            <wp:docPr id="2" name="Billede 2" descr="C:\Users\ALS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86531" w:rsidRPr="00907F75" w:rsidRDefault="00B86531" w:rsidP="00B86531">
      <w:pPr>
        <w:pStyle w:val="Titel"/>
        <w:tabs>
          <w:tab w:val="right" w:pos="9356"/>
        </w:tabs>
        <w:jc w:val="left"/>
        <w:rPr>
          <w:b w:val="0"/>
          <w:sz w:val="23"/>
          <w:lang w:eastAsia="en-US"/>
        </w:rPr>
      </w:pPr>
      <w:r>
        <w:rPr>
          <w:b w:val="0"/>
          <w:sz w:val="23"/>
          <w:lang w:eastAsia="en-US"/>
        </w:rPr>
        <w:tab/>
      </w:r>
      <w:r w:rsidR="00C6473B">
        <w:rPr>
          <w:szCs w:val="24"/>
        </w:rPr>
        <w:t>18. maj 2021</w:t>
      </w:r>
    </w:p>
    <w:p w:rsidR="00B86531" w:rsidRDefault="00B86531" w:rsidP="00B86531">
      <w:pPr>
        <w:pStyle w:val="Titel"/>
        <w:tabs>
          <w:tab w:val="left" w:pos="8222"/>
        </w:tabs>
        <w:jc w:val="left"/>
        <w:rPr>
          <w:b w:val="0"/>
        </w:rPr>
      </w:pPr>
    </w:p>
    <w:p w:rsidR="00B86531" w:rsidRDefault="00B86531" w:rsidP="00B86531">
      <w:pPr>
        <w:pStyle w:val="Titel"/>
        <w:jc w:val="left"/>
        <w:rPr>
          <w:b w:val="0"/>
        </w:rPr>
      </w:pPr>
    </w:p>
    <w:p w:rsidR="00B86531" w:rsidRPr="00EC0B9B" w:rsidRDefault="00B86531" w:rsidP="00B86531">
      <w:pPr>
        <w:jc w:val="center"/>
        <w:rPr>
          <w:b/>
          <w:sz w:val="24"/>
          <w:szCs w:val="24"/>
        </w:rPr>
      </w:pPr>
      <w:r w:rsidRPr="00EC0B9B">
        <w:rPr>
          <w:b/>
          <w:sz w:val="24"/>
          <w:szCs w:val="24"/>
        </w:rPr>
        <w:t>PRODUKTRESUMÉ</w:t>
      </w:r>
    </w:p>
    <w:p w:rsidR="00B86531" w:rsidRPr="00EC0B9B" w:rsidRDefault="00B86531" w:rsidP="00B86531">
      <w:pPr>
        <w:jc w:val="center"/>
        <w:rPr>
          <w:b/>
          <w:sz w:val="24"/>
          <w:szCs w:val="24"/>
        </w:rPr>
      </w:pPr>
    </w:p>
    <w:p w:rsidR="00B86531" w:rsidRPr="00EC0B9B" w:rsidRDefault="00B86531" w:rsidP="00B86531">
      <w:pPr>
        <w:jc w:val="center"/>
        <w:rPr>
          <w:b/>
          <w:sz w:val="24"/>
          <w:szCs w:val="24"/>
        </w:rPr>
      </w:pPr>
      <w:r w:rsidRPr="00EC0B9B">
        <w:rPr>
          <w:b/>
          <w:sz w:val="24"/>
          <w:szCs w:val="24"/>
        </w:rPr>
        <w:t>for</w:t>
      </w:r>
    </w:p>
    <w:p w:rsidR="00B86531" w:rsidRPr="00EC0B9B" w:rsidRDefault="00B86531" w:rsidP="00B86531">
      <w:pPr>
        <w:tabs>
          <w:tab w:val="left" w:pos="463"/>
        </w:tabs>
        <w:rPr>
          <w:b/>
          <w:sz w:val="24"/>
          <w:szCs w:val="24"/>
        </w:rPr>
      </w:pPr>
    </w:p>
    <w:p w:rsidR="00B86531" w:rsidRPr="0049104B" w:rsidRDefault="00B86531" w:rsidP="00B86531">
      <w:pPr>
        <w:jc w:val="center"/>
        <w:rPr>
          <w:b/>
          <w:sz w:val="24"/>
          <w:szCs w:val="24"/>
        </w:rPr>
      </w:pPr>
      <w:r>
        <w:rPr>
          <w:b/>
          <w:sz w:val="24"/>
          <w:szCs w:val="24"/>
        </w:rPr>
        <w:t>Galieve Forte, oral suspension i brev</w:t>
      </w:r>
    </w:p>
    <w:p w:rsidR="00B86531" w:rsidRPr="00EC0B9B" w:rsidRDefault="00B86531" w:rsidP="00B86531">
      <w:pPr>
        <w:jc w:val="both"/>
        <w:rPr>
          <w:sz w:val="24"/>
          <w:szCs w:val="24"/>
        </w:rPr>
      </w:pPr>
    </w:p>
    <w:p w:rsidR="00B86531" w:rsidRPr="00171E28" w:rsidRDefault="00B86531" w:rsidP="00B86531">
      <w:pPr>
        <w:ind w:left="851" w:hanging="851"/>
        <w:jc w:val="both"/>
        <w:rPr>
          <w:sz w:val="24"/>
          <w:szCs w:val="24"/>
        </w:rPr>
      </w:pPr>
    </w:p>
    <w:p w:rsidR="00B86531" w:rsidRPr="00171E28" w:rsidRDefault="00B86531" w:rsidP="00B86531">
      <w:pPr>
        <w:ind w:left="851" w:hanging="851"/>
        <w:rPr>
          <w:b/>
          <w:sz w:val="24"/>
          <w:szCs w:val="24"/>
        </w:rPr>
      </w:pPr>
      <w:r w:rsidRPr="00171E28">
        <w:rPr>
          <w:b/>
          <w:sz w:val="24"/>
          <w:szCs w:val="24"/>
        </w:rPr>
        <w:t>0.</w:t>
      </w:r>
      <w:r w:rsidRPr="00171E28">
        <w:rPr>
          <w:b/>
          <w:sz w:val="24"/>
          <w:szCs w:val="24"/>
        </w:rPr>
        <w:tab/>
        <w:t>D.SP.NR.</w:t>
      </w:r>
    </w:p>
    <w:p w:rsidR="00B86531" w:rsidRPr="00171E28" w:rsidRDefault="00B86531" w:rsidP="00C44B3B">
      <w:pPr>
        <w:ind w:left="851"/>
        <w:rPr>
          <w:sz w:val="24"/>
          <w:szCs w:val="24"/>
        </w:rPr>
      </w:pPr>
      <w:r w:rsidRPr="00171E28">
        <w:rPr>
          <w:sz w:val="24"/>
          <w:szCs w:val="24"/>
        </w:rPr>
        <w:t>27229</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1.</w:t>
      </w:r>
      <w:r w:rsidRPr="00171E28">
        <w:rPr>
          <w:b/>
          <w:sz w:val="24"/>
          <w:szCs w:val="24"/>
        </w:rPr>
        <w:tab/>
        <w:t>LÆGEMIDLETS NAVN</w:t>
      </w:r>
    </w:p>
    <w:p w:rsidR="00B86531" w:rsidRPr="00171E28" w:rsidRDefault="00B86531" w:rsidP="00C44B3B">
      <w:pPr>
        <w:ind w:left="851"/>
        <w:rPr>
          <w:sz w:val="24"/>
          <w:szCs w:val="24"/>
        </w:rPr>
      </w:pPr>
      <w:r w:rsidRPr="00171E28">
        <w:rPr>
          <w:sz w:val="24"/>
          <w:szCs w:val="24"/>
        </w:rPr>
        <w:t>Galieve Forte</w:t>
      </w:r>
    </w:p>
    <w:p w:rsidR="00B86531" w:rsidRPr="00171E28" w:rsidRDefault="00B86531" w:rsidP="00C44B3B">
      <w:pPr>
        <w:ind w:left="851"/>
        <w:rPr>
          <w:sz w:val="24"/>
          <w:szCs w:val="24"/>
        </w:rPr>
      </w:pPr>
      <w:r w:rsidRPr="00171E28">
        <w:rPr>
          <w:sz w:val="24"/>
          <w:szCs w:val="24"/>
        </w:rPr>
        <w:tab/>
      </w:r>
    </w:p>
    <w:p w:rsidR="00B86531" w:rsidRPr="00171E28" w:rsidRDefault="00B86531" w:rsidP="00B86531">
      <w:pPr>
        <w:ind w:left="851" w:hanging="851"/>
        <w:rPr>
          <w:b/>
          <w:sz w:val="24"/>
          <w:szCs w:val="24"/>
        </w:rPr>
      </w:pPr>
      <w:r w:rsidRPr="00171E28">
        <w:rPr>
          <w:b/>
          <w:sz w:val="24"/>
          <w:szCs w:val="24"/>
        </w:rPr>
        <w:t>2.</w:t>
      </w:r>
      <w:r w:rsidRPr="00171E28">
        <w:rPr>
          <w:b/>
          <w:sz w:val="24"/>
          <w:szCs w:val="24"/>
        </w:rPr>
        <w:tab/>
        <w:t>KVALITATIV OG KVANTITATIV SAMMENSÆTNING</w:t>
      </w:r>
    </w:p>
    <w:p w:rsidR="0010250B" w:rsidRDefault="0010250B" w:rsidP="00C44B3B">
      <w:pPr>
        <w:ind w:left="851"/>
        <w:rPr>
          <w:sz w:val="24"/>
          <w:szCs w:val="24"/>
        </w:rPr>
      </w:pPr>
    </w:p>
    <w:p w:rsidR="00CE61FB" w:rsidRPr="00FD4297" w:rsidRDefault="0010250B" w:rsidP="00C44B3B">
      <w:pPr>
        <w:ind w:left="851"/>
        <w:rPr>
          <w:sz w:val="24"/>
          <w:szCs w:val="24"/>
          <w:u w:val="single"/>
        </w:rPr>
      </w:pPr>
      <w:r w:rsidRPr="00FD4297">
        <w:rPr>
          <w:sz w:val="24"/>
          <w:szCs w:val="24"/>
          <w:u w:val="single"/>
        </w:rPr>
        <w:t>En</w:t>
      </w:r>
      <w:r w:rsidR="00CE61FB" w:rsidRPr="00FD4297">
        <w:rPr>
          <w:sz w:val="24"/>
          <w:szCs w:val="24"/>
          <w:u w:val="single"/>
        </w:rPr>
        <w:t xml:space="preserve"> dosis/10 ml indeholder</w:t>
      </w:r>
    </w:p>
    <w:p w:rsidR="00CE61FB" w:rsidRPr="00CE61FB" w:rsidRDefault="00CE61FB" w:rsidP="00C44B3B">
      <w:pPr>
        <w:ind w:left="851"/>
        <w:rPr>
          <w:sz w:val="24"/>
          <w:szCs w:val="24"/>
        </w:rPr>
      </w:pPr>
      <w:r w:rsidRPr="00CE61FB">
        <w:rPr>
          <w:sz w:val="24"/>
          <w:szCs w:val="24"/>
        </w:rPr>
        <w:t>500 mg natriumalginat</w:t>
      </w:r>
    </w:p>
    <w:p w:rsidR="00CE61FB" w:rsidRPr="00CE61FB" w:rsidRDefault="00CE61FB" w:rsidP="00C44B3B">
      <w:pPr>
        <w:ind w:left="851"/>
        <w:rPr>
          <w:sz w:val="24"/>
          <w:szCs w:val="24"/>
        </w:rPr>
      </w:pPr>
      <w:r w:rsidRPr="00CE61FB">
        <w:rPr>
          <w:sz w:val="24"/>
          <w:szCs w:val="24"/>
        </w:rPr>
        <w:t xml:space="preserve">213 mg natriumhydrogencarbonat </w:t>
      </w:r>
    </w:p>
    <w:p w:rsidR="00CE61FB" w:rsidRPr="00CE61FB" w:rsidRDefault="00CE61FB" w:rsidP="00C44B3B">
      <w:pPr>
        <w:ind w:left="851"/>
        <w:rPr>
          <w:sz w:val="24"/>
          <w:szCs w:val="24"/>
        </w:rPr>
      </w:pPr>
      <w:r w:rsidRPr="00CE61FB">
        <w:rPr>
          <w:sz w:val="24"/>
          <w:szCs w:val="24"/>
        </w:rPr>
        <w:t>325 mg calciumcarbonat</w:t>
      </w:r>
    </w:p>
    <w:p w:rsidR="00CE61FB" w:rsidRPr="00CE61FB" w:rsidRDefault="00CE61FB" w:rsidP="00C44B3B">
      <w:pPr>
        <w:ind w:left="851"/>
        <w:rPr>
          <w:sz w:val="24"/>
          <w:szCs w:val="24"/>
        </w:rPr>
      </w:pPr>
    </w:p>
    <w:p w:rsidR="00CE61FB" w:rsidRPr="00FD4297" w:rsidRDefault="00CE61FB" w:rsidP="00C44B3B">
      <w:pPr>
        <w:ind w:left="851"/>
        <w:rPr>
          <w:sz w:val="24"/>
          <w:szCs w:val="24"/>
          <w:u w:val="single"/>
        </w:rPr>
      </w:pPr>
      <w:r w:rsidRPr="00FD4297">
        <w:rPr>
          <w:sz w:val="24"/>
          <w:szCs w:val="24"/>
          <w:u w:val="single"/>
        </w:rPr>
        <w:t>Hjælpestoffer som behandleren skal være opmærksom på</w:t>
      </w:r>
    </w:p>
    <w:p w:rsidR="00CE61FB" w:rsidRDefault="00CE61FB" w:rsidP="00C44B3B">
      <w:pPr>
        <w:ind w:left="851"/>
        <w:rPr>
          <w:sz w:val="24"/>
          <w:szCs w:val="24"/>
        </w:rPr>
      </w:pPr>
      <w:r>
        <w:rPr>
          <w:sz w:val="24"/>
          <w:szCs w:val="24"/>
        </w:rPr>
        <w:t>40 mg methylparahydroxybenzoat (E218)</w:t>
      </w:r>
    </w:p>
    <w:p w:rsidR="00CE61FB" w:rsidRDefault="00CE61FB" w:rsidP="00C44B3B">
      <w:pPr>
        <w:ind w:left="851"/>
        <w:rPr>
          <w:sz w:val="24"/>
          <w:szCs w:val="24"/>
        </w:rPr>
      </w:pPr>
      <w:r>
        <w:rPr>
          <w:sz w:val="24"/>
          <w:szCs w:val="24"/>
        </w:rPr>
        <w:t>6 mg propylparahydroxybenzoate (E216)</w:t>
      </w:r>
      <w:r>
        <w:rPr>
          <w:sz w:val="24"/>
          <w:szCs w:val="24"/>
        </w:rPr>
        <w:br/>
        <w:t>127,88 mg natrium</w:t>
      </w:r>
    </w:p>
    <w:p w:rsidR="00CE61FB" w:rsidRDefault="00CE61FB" w:rsidP="00C44B3B">
      <w:pPr>
        <w:ind w:left="851"/>
        <w:rPr>
          <w:sz w:val="24"/>
          <w:szCs w:val="24"/>
        </w:rPr>
      </w:pPr>
    </w:p>
    <w:p w:rsidR="00CE61FB" w:rsidRDefault="00CE61FB" w:rsidP="00C44B3B">
      <w:pPr>
        <w:ind w:left="851"/>
        <w:rPr>
          <w:sz w:val="24"/>
          <w:szCs w:val="24"/>
        </w:rPr>
      </w:pPr>
      <w:r>
        <w:rPr>
          <w:sz w:val="24"/>
          <w:szCs w:val="24"/>
        </w:rPr>
        <w:t>Alle hjælpestoffer er anført under pkt. 6.1.</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3.</w:t>
      </w:r>
      <w:r w:rsidRPr="00171E28">
        <w:rPr>
          <w:b/>
          <w:sz w:val="24"/>
          <w:szCs w:val="24"/>
        </w:rPr>
        <w:tab/>
        <w:t>LÆGEMIDDELFORM</w:t>
      </w:r>
    </w:p>
    <w:p w:rsidR="00B86531" w:rsidRPr="00171E28" w:rsidRDefault="00B86531" w:rsidP="00C44B3B">
      <w:pPr>
        <w:ind w:left="851"/>
        <w:rPr>
          <w:sz w:val="24"/>
          <w:szCs w:val="24"/>
        </w:rPr>
      </w:pPr>
      <w:r w:rsidRPr="00171E28">
        <w:rPr>
          <w:sz w:val="24"/>
          <w:szCs w:val="24"/>
        </w:rPr>
        <w:t>Oral suspension</w:t>
      </w:r>
      <w:r>
        <w:rPr>
          <w:sz w:val="24"/>
          <w:szCs w:val="24"/>
        </w:rPr>
        <w:t xml:space="preserve"> i brev</w:t>
      </w:r>
    </w:p>
    <w:p w:rsidR="00B86531" w:rsidRPr="00171E28" w:rsidRDefault="00B86531" w:rsidP="00C44B3B">
      <w:pPr>
        <w:ind w:left="851"/>
        <w:rPr>
          <w:sz w:val="24"/>
          <w:szCs w:val="24"/>
        </w:rPr>
      </w:pPr>
    </w:p>
    <w:p w:rsidR="00B86531" w:rsidRPr="00171E28" w:rsidRDefault="00B86531" w:rsidP="00C44B3B">
      <w:pPr>
        <w:ind w:left="851"/>
        <w:rPr>
          <w:sz w:val="24"/>
          <w:szCs w:val="24"/>
        </w:rPr>
      </w:pPr>
      <w:r w:rsidRPr="00171E28">
        <w:rPr>
          <w:sz w:val="24"/>
          <w:szCs w:val="24"/>
        </w:rPr>
        <w:t>En off-white suspension med duft og smag af pebermynte.</w:t>
      </w:r>
    </w:p>
    <w:p w:rsidR="00B86531" w:rsidRPr="00171E28" w:rsidRDefault="00B86531" w:rsidP="00C44B3B">
      <w:pPr>
        <w:ind w:left="851"/>
        <w:rPr>
          <w:sz w:val="24"/>
          <w:szCs w:val="24"/>
        </w:rPr>
      </w:pP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4.</w:t>
      </w:r>
      <w:r w:rsidRPr="00171E28">
        <w:rPr>
          <w:b/>
          <w:sz w:val="24"/>
          <w:szCs w:val="24"/>
        </w:rPr>
        <w:tab/>
        <w:t>KLINISKE OPLYSNINGER</w:t>
      </w:r>
    </w:p>
    <w:p w:rsidR="00B86531" w:rsidRPr="00171E28" w:rsidRDefault="00B86531" w:rsidP="00C44B3B">
      <w:pPr>
        <w:ind w:left="851"/>
        <w:rPr>
          <w:b/>
          <w:sz w:val="24"/>
          <w:szCs w:val="24"/>
        </w:rPr>
      </w:pPr>
    </w:p>
    <w:p w:rsidR="00B86531" w:rsidRPr="00171E28" w:rsidRDefault="00B86531" w:rsidP="00B86531">
      <w:pPr>
        <w:ind w:left="851" w:hanging="851"/>
        <w:rPr>
          <w:b/>
          <w:sz w:val="24"/>
          <w:szCs w:val="24"/>
          <w:u w:val="single"/>
        </w:rPr>
      </w:pPr>
      <w:r w:rsidRPr="00171E28">
        <w:rPr>
          <w:b/>
          <w:sz w:val="24"/>
          <w:szCs w:val="24"/>
        </w:rPr>
        <w:t>4.1</w:t>
      </w:r>
      <w:r w:rsidRPr="00171E28">
        <w:rPr>
          <w:b/>
          <w:sz w:val="24"/>
          <w:szCs w:val="24"/>
        </w:rPr>
        <w:tab/>
        <w:t>Terapeutiske indikationer</w:t>
      </w:r>
    </w:p>
    <w:p w:rsidR="00B86531" w:rsidRPr="00171E28" w:rsidRDefault="00B86531" w:rsidP="00C44B3B">
      <w:pPr>
        <w:ind w:left="851"/>
        <w:rPr>
          <w:sz w:val="24"/>
          <w:szCs w:val="24"/>
        </w:rPr>
      </w:pPr>
      <w:r w:rsidRPr="00171E28">
        <w:rPr>
          <w:sz w:val="24"/>
          <w:szCs w:val="24"/>
        </w:rPr>
        <w:t xml:space="preserve">Til behandling af symptomer på </w:t>
      </w:r>
      <w:r w:rsidRPr="00171E28">
        <w:rPr>
          <w:bCs/>
          <w:sz w:val="24"/>
          <w:szCs w:val="24"/>
        </w:rPr>
        <w:t>gastro-oesophageal reflux</w:t>
      </w:r>
      <w:r w:rsidRPr="00171E28">
        <w:rPr>
          <w:sz w:val="24"/>
          <w:szCs w:val="24"/>
        </w:rPr>
        <w:t xml:space="preserve"> såsom sure opstød, halsbrand og fordøjelsesbesvær relateret til refluks, for eksempel efter et måltid eller under graviditet. </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4.2</w:t>
      </w:r>
      <w:r w:rsidRPr="00171E28">
        <w:rPr>
          <w:b/>
          <w:sz w:val="24"/>
          <w:szCs w:val="24"/>
        </w:rPr>
        <w:tab/>
        <w:t>Dosering og indgivelsesmåde</w:t>
      </w:r>
    </w:p>
    <w:p w:rsidR="00B86531" w:rsidRPr="00171E28" w:rsidRDefault="00B86531" w:rsidP="00C44B3B">
      <w:pPr>
        <w:ind w:left="851"/>
        <w:rPr>
          <w:sz w:val="24"/>
          <w:szCs w:val="24"/>
        </w:rPr>
      </w:pPr>
      <w:r w:rsidRPr="00171E28">
        <w:rPr>
          <w:sz w:val="24"/>
          <w:szCs w:val="24"/>
        </w:rPr>
        <w:t>Til oral administration.</w:t>
      </w:r>
    </w:p>
    <w:p w:rsidR="00B86531" w:rsidRPr="00171E28" w:rsidRDefault="00B86531" w:rsidP="00C44B3B">
      <w:pPr>
        <w:ind w:left="851"/>
        <w:rPr>
          <w:sz w:val="24"/>
          <w:szCs w:val="24"/>
        </w:rPr>
      </w:pPr>
    </w:p>
    <w:p w:rsidR="00FD4297" w:rsidRPr="00FD4297" w:rsidRDefault="00B86531" w:rsidP="00C44B3B">
      <w:pPr>
        <w:ind w:left="851"/>
        <w:rPr>
          <w:sz w:val="24"/>
          <w:szCs w:val="24"/>
          <w:u w:val="single"/>
        </w:rPr>
      </w:pPr>
      <w:r w:rsidRPr="00FD4297">
        <w:rPr>
          <w:sz w:val="24"/>
          <w:szCs w:val="24"/>
          <w:u w:val="single"/>
        </w:rPr>
        <w:t>Voksne og børn over 12 år</w:t>
      </w:r>
    </w:p>
    <w:p w:rsidR="00B86531" w:rsidRPr="00171E28" w:rsidRDefault="00B86531" w:rsidP="00C44B3B">
      <w:pPr>
        <w:ind w:left="851"/>
        <w:rPr>
          <w:sz w:val="24"/>
          <w:szCs w:val="24"/>
        </w:rPr>
      </w:pPr>
      <w:r w:rsidRPr="00171E28">
        <w:rPr>
          <w:sz w:val="24"/>
          <w:szCs w:val="24"/>
        </w:rPr>
        <w:t>10</w:t>
      </w:r>
      <w:r w:rsidR="00FD4297">
        <w:rPr>
          <w:sz w:val="24"/>
          <w:szCs w:val="24"/>
        </w:rPr>
        <w:t>-</w:t>
      </w:r>
      <w:r w:rsidRPr="00171E28">
        <w:rPr>
          <w:sz w:val="24"/>
          <w:szCs w:val="24"/>
        </w:rPr>
        <w:t xml:space="preserve">20 ml (1-2 breve) efter et måltid og ved sengetid, op til fire gange </w:t>
      </w:r>
      <w:r w:rsidR="0010250B">
        <w:rPr>
          <w:sz w:val="24"/>
          <w:szCs w:val="24"/>
        </w:rPr>
        <w:t>daglig</w:t>
      </w:r>
      <w:r w:rsidRPr="00171E28">
        <w:rPr>
          <w:sz w:val="24"/>
          <w:szCs w:val="24"/>
        </w:rPr>
        <w:t>.</w:t>
      </w:r>
    </w:p>
    <w:p w:rsidR="00B86531" w:rsidRPr="00171E28" w:rsidRDefault="00B86531" w:rsidP="00C44B3B">
      <w:pPr>
        <w:ind w:left="851"/>
        <w:rPr>
          <w:sz w:val="24"/>
          <w:szCs w:val="24"/>
        </w:rPr>
      </w:pPr>
    </w:p>
    <w:p w:rsidR="00FD4297" w:rsidRPr="00FD4297" w:rsidRDefault="00B86531" w:rsidP="00C44B3B">
      <w:pPr>
        <w:ind w:left="851"/>
        <w:rPr>
          <w:sz w:val="24"/>
          <w:szCs w:val="24"/>
          <w:u w:val="single"/>
        </w:rPr>
      </w:pPr>
      <w:r w:rsidRPr="00FD4297">
        <w:rPr>
          <w:sz w:val="24"/>
          <w:szCs w:val="24"/>
          <w:u w:val="single"/>
        </w:rPr>
        <w:t>Børn under 12 år</w:t>
      </w:r>
    </w:p>
    <w:p w:rsidR="00B86531" w:rsidRPr="00171E28" w:rsidRDefault="00B86531" w:rsidP="00C44B3B">
      <w:pPr>
        <w:ind w:left="851"/>
        <w:rPr>
          <w:sz w:val="24"/>
          <w:szCs w:val="24"/>
        </w:rPr>
      </w:pPr>
      <w:r w:rsidRPr="00171E28">
        <w:rPr>
          <w:sz w:val="24"/>
          <w:szCs w:val="24"/>
        </w:rPr>
        <w:t>Bør kun anvendes efter lægens anvisning.</w:t>
      </w:r>
    </w:p>
    <w:p w:rsidR="00B86531" w:rsidRPr="00171E28" w:rsidRDefault="00B86531" w:rsidP="00C44B3B">
      <w:pPr>
        <w:ind w:left="851"/>
        <w:rPr>
          <w:sz w:val="24"/>
          <w:szCs w:val="24"/>
        </w:rPr>
      </w:pPr>
    </w:p>
    <w:p w:rsidR="00FD4297" w:rsidRPr="00FD4297" w:rsidRDefault="00B86531" w:rsidP="00C44B3B">
      <w:pPr>
        <w:ind w:left="851"/>
        <w:rPr>
          <w:sz w:val="24"/>
          <w:szCs w:val="24"/>
          <w:u w:val="single"/>
        </w:rPr>
      </w:pPr>
      <w:r w:rsidRPr="00FD4297">
        <w:rPr>
          <w:sz w:val="24"/>
          <w:szCs w:val="24"/>
          <w:u w:val="single"/>
        </w:rPr>
        <w:t>Ældre</w:t>
      </w:r>
    </w:p>
    <w:p w:rsidR="00B86531" w:rsidRPr="00171E28" w:rsidRDefault="00B86531" w:rsidP="00C44B3B">
      <w:pPr>
        <w:ind w:left="851"/>
        <w:rPr>
          <w:sz w:val="24"/>
          <w:szCs w:val="24"/>
        </w:rPr>
      </w:pPr>
      <w:r w:rsidRPr="00171E28">
        <w:rPr>
          <w:sz w:val="24"/>
          <w:szCs w:val="24"/>
        </w:rPr>
        <w:t>Dosisændringer er ikke nødvendige for denne aldersgruppe.</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4.3</w:t>
      </w:r>
      <w:r w:rsidRPr="00171E28">
        <w:rPr>
          <w:b/>
          <w:sz w:val="24"/>
          <w:szCs w:val="24"/>
        </w:rPr>
        <w:tab/>
        <w:t>Kontraindikationer</w:t>
      </w:r>
    </w:p>
    <w:p w:rsidR="00B86531" w:rsidRPr="00171E28" w:rsidRDefault="00B86531" w:rsidP="00C44B3B">
      <w:pPr>
        <w:ind w:left="851"/>
        <w:rPr>
          <w:sz w:val="24"/>
          <w:szCs w:val="24"/>
        </w:rPr>
      </w:pPr>
      <w:r w:rsidRPr="00171E28">
        <w:rPr>
          <w:sz w:val="24"/>
          <w:szCs w:val="24"/>
        </w:rPr>
        <w:t xml:space="preserve">Dette lægemiddel er kontraindiceret hos patienter med kendt eller mistænkt overfølsomhed over for de aktive stoffer eller et eller flere af </w:t>
      </w:r>
      <w:r w:rsidRPr="00C841DE">
        <w:rPr>
          <w:sz w:val="24"/>
          <w:szCs w:val="24"/>
        </w:rPr>
        <w:t>hjælpestofferne anført i pkt. 6.1.</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4.4</w:t>
      </w:r>
      <w:r w:rsidRPr="00171E28">
        <w:rPr>
          <w:b/>
          <w:sz w:val="24"/>
          <w:szCs w:val="24"/>
        </w:rPr>
        <w:tab/>
        <w:t>Særlige advarsler og forsigtighedsregler vedrørende brugen</w:t>
      </w:r>
    </w:p>
    <w:p w:rsidR="00CE61FB" w:rsidRDefault="00CE61FB" w:rsidP="00C44B3B">
      <w:pPr>
        <w:ind w:left="851"/>
        <w:rPr>
          <w:sz w:val="24"/>
          <w:szCs w:val="24"/>
        </w:rPr>
      </w:pPr>
      <w:r>
        <w:rPr>
          <w:sz w:val="24"/>
          <w:szCs w:val="24"/>
        </w:rPr>
        <w:t>Dette lægemiddel indeholder 127,88 mg natrium per dosis på 10 ml (1 brev). Dette svarer til 6,39</w:t>
      </w:r>
      <w:r w:rsidR="0010250B">
        <w:rPr>
          <w:sz w:val="24"/>
          <w:szCs w:val="24"/>
        </w:rPr>
        <w:t xml:space="preserve"> %</w:t>
      </w:r>
      <w:r>
        <w:rPr>
          <w:sz w:val="24"/>
          <w:szCs w:val="24"/>
        </w:rPr>
        <w:t xml:space="preserve"> af WHO´s anbefalede maksimale daglige natriumindtag.</w:t>
      </w:r>
    </w:p>
    <w:p w:rsidR="00CE61FB" w:rsidRDefault="00CE61FB" w:rsidP="00C44B3B">
      <w:pPr>
        <w:ind w:left="851"/>
        <w:rPr>
          <w:sz w:val="24"/>
          <w:szCs w:val="24"/>
        </w:rPr>
      </w:pPr>
    </w:p>
    <w:p w:rsidR="00CE61FB" w:rsidRDefault="00CE61FB" w:rsidP="00C44B3B">
      <w:pPr>
        <w:ind w:left="851"/>
        <w:rPr>
          <w:sz w:val="24"/>
          <w:szCs w:val="24"/>
        </w:rPr>
      </w:pPr>
      <w:r>
        <w:rPr>
          <w:sz w:val="24"/>
          <w:szCs w:val="24"/>
        </w:rPr>
        <w:t>Den maksimale daglige dosis af dette lægemiddel svarer til 51,15</w:t>
      </w:r>
      <w:r w:rsidR="0010250B">
        <w:rPr>
          <w:sz w:val="24"/>
          <w:szCs w:val="24"/>
        </w:rPr>
        <w:t xml:space="preserve"> %</w:t>
      </w:r>
      <w:r>
        <w:rPr>
          <w:sz w:val="24"/>
          <w:szCs w:val="24"/>
        </w:rPr>
        <w:t xml:space="preserve"> af WHO´s anbefalede maksimale daglige natriumindtag. </w:t>
      </w:r>
    </w:p>
    <w:p w:rsidR="00CE61FB" w:rsidRDefault="00CE61FB" w:rsidP="00C44B3B">
      <w:pPr>
        <w:ind w:left="851"/>
        <w:rPr>
          <w:sz w:val="24"/>
          <w:szCs w:val="24"/>
        </w:rPr>
      </w:pPr>
    </w:p>
    <w:p w:rsidR="00CE61FB" w:rsidRDefault="00CE61FB" w:rsidP="00C44B3B">
      <w:pPr>
        <w:ind w:left="851"/>
        <w:rPr>
          <w:sz w:val="24"/>
          <w:szCs w:val="24"/>
        </w:rPr>
      </w:pPr>
      <w:r>
        <w:rPr>
          <w:sz w:val="24"/>
          <w:szCs w:val="24"/>
        </w:rPr>
        <w:t>Dette produkt anses som et lægemiddel med højt natriumindhold. Dette bør tages i betragtning, såfremt en diæt med særligt begrænset natriumindtag er påkrævet, f.eks. ved nogle tilfælde af kongestiv hjerteinsufficiens og nedsat nyrefunktion.</w:t>
      </w:r>
    </w:p>
    <w:p w:rsidR="00CE61FB" w:rsidRDefault="00CE61FB" w:rsidP="00C44B3B">
      <w:pPr>
        <w:ind w:left="851"/>
        <w:rPr>
          <w:sz w:val="24"/>
          <w:szCs w:val="24"/>
        </w:rPr>
      </w:pPr>
    </w:p>
    <w:p w:rsidR="00CE61FB" w:rsidRDefault="0010250B" w:rsidP="00C44B3B">
      <w:pPr>
        <w:ind w:left="851"/>
        <w:rPr>
          <w:sz w:val="24"/>
          <w:szCs w:val="24"/>
        </w:rPr>
      </w:pPr>
      <w:r>
        <w:rPr>
          <w:sz w:val="24"/>
          <w:szCs w:val="24"/>
        </w:rPr>
        <w:t>En</w:t>
      </w:r>
      <w:r w:rsidR="00CE61FB">
        <w:rPr>
          <w:sz w:val="24"/>
          <w:szCs w:val="24"/>
        </w:rPr>
        <w:t xml:space="preserve"> dosis/</w:t>
      </w:r>
      <w:r>
        <w:rPr>
          <w:sz w:val="24"/>
          <w:szCs w:val="24"/>
        </w:rPr>
        <w:t>et</w:t>
      </w:r>
      <w:r w:rsidR="00CE61FB">
        <w:rPr>
          <w:sz w:val="24"/>
          <w:szCs w:val="24"/>
        </w:rPr>
        <w:t xml:space="preserve"> 10 ml brev indeholder 130 mg (3,25 mmol) calcium. Specielle hensyn skal tages ved behandling af patienter med hypercalcæmi, nephrocalcinose og tilbagevendende calciumindeholdende nyresten. </w:t>
      </w:r>
    </w:p>
    <w:p w:rsidR="00CE61FB" w:rsidRDefault="00CE61FB" w:rsidP="00C44B3B">
      <w:pPr>
        <w:ind w:left="851"/>
        <w:rPr>
          <w:sz w:val="24"/>
          <w:szCs w:val="24"/>
        </w:rPr>
      </w:pPr>
    </w:p>
    <w:p w:rsidR="00CE61FB" w:rsidRDefault="00CE61FB" w:rsidP="00C44B3B">
      <w:pPr>
        <w:ind w:left="851"/>
        <w:rPr>
          <w:sz w:val="24"/>
          <w:szCs w:val="24"/>
        </w:rPr>
      </w:pPr>
      <w:r>
        <w:rPr>
          <w:sz w:val="24"/>
          <w:szCs w:val="24"/>
        </w:rPr>
        <w:t>Hvis symptomerne ikke forbedres efter syv dage, bør den kliniske situation blive genovervejet.</w:t>
      </w:r>
    </w:p>
    <w:p w:rsidR="00CE61FB" w:rsidRDefault="00CE61FB" w:rsidP="00C44B3B">
      <w:pPr>
        <w:ind w:left="851"/>
        <w:rPr>
          <w:sz w:val="24"/>
          <w:szCs w:val="24"/>
        </w:rPr>
      </w:pPr>
    </w:p>
    <w:p w:rsidR="00CE61FB" w:rsidRDefault="00CE61FB" w:rsidP="00C44B3B">
      <w:pPr>
        <w:ind w:left="851"/>
        <w:rPr>
          <w:sz w:val="24"/>
          <w:szCs w:val="24"/>
        </w:rPr>
      </w:pPr>
      <w:r>
        <w:rPr>
          <w:sz w:val="24"/>
          <w:szCs w:val="24"/>
        </w:rPr>
        <w:t xml:space="preserve">Indeholder methylparahydroxybenzoat (E218) og propylparahydroxybenzoat (E216) som kan forårsage allergiske reaktioner (eventuelt forsinket). </w:t>
      </w:r>
    </w:p>
    <w:p w:rsidR="00CE61FB" w:rsidRDefault="00CE61FB" w:rsidP="00C44B3B">
      <w:pPr>
        <w:ind w:left="851"/>
        <w:rPr>
          <w:sz w:val="24"/>
          <w:szCs w:val="24"/>
        </w:rPr>
      </w:pPr>
    </w:p>
    <w:p w:rsidR="00CE61FB" w:rsidRDefault="00CE61FB" w:rsidP="00C44B3B">
      <w:pPr>
        <w:ind w:left="851"/>
        <w:rPr>
          <w:sz w:val="24"/>
          <w:szCs w:val="24"/>
        </w:rPr>
      </w:pPr>
      <w:r>
        <w:rPr>
          <w:sz w:val="24"/>
          <w:szCs w:val="24"/>
        </w:rPr>
        <w:t>Langvarig brug bør undgås.</w:t>
      </w:r>
    </w:p>
    <w:p w:rsidR="00CE61FB" w:rsidRDefault="00CE61FB" w:rsidP="00C44B3B">
      <w:pPr>
        <w:ind w:left="851"/>
        <w:rPr>
          <w:sz w:val="24"/>
          <w:szCs w:val="24"/>
        </w:rPr>
      </w:pPr>
    </w:p>
    <w:p w:rsidR="00CE61FB" w:rsidRDefault="00CE61FB" w:rsidP="00C44B3B">
      <w:pPr>
        <w:ind w:left="851"/>
        <w:rPr>
          <w:sz w:val="24"/>
          <w:szCs w:val="24"/>
        </w:rPr>
      </w:pPr>
      <w:r>
        <w:rPr>
          <w:sz w:val="24"/>
          <w:szCs w:val="24"/>
        </w:rPr>
        <w:t>Som med andre syreneutraliserende produkter, kan anvendelse af Galieve Forte maskere symptomerne på andre mere alvorlige, underliggende medicinske tilstande.</w:t>
      </w:r>
    </w:p>
    <w:p w:rsidR="00CE61FB" w:rsidRDefault="00CE61FB" w:rsidP="00C44B3B">
      <w:pPr>
        <w:ind w:left="851"/>
        <w:rPr>
          <w:sz w:val="24"/>
          <w:szCs w:val="24"/>
        </w:rPr>
      </w:pPr>
    </w:p>
    <w:p w:rsidR="00CE61FB" w:rsidRDefault="00CE61FB" w:rsidP="00C44B3B">
      <w:pPr>
        <w:ind w:left="851"/>
        <w:rPr>
          <w:sz w:val="24"/>
          <w:szCs w:val="24"/>
        </w:rPr>
      </w:pPr>
      <w:r>
        <w:rPr>
          <w:sz w:val="24"/>
          <w:szCs w:val="24"/>
        </w:rPr>
        <w:t>Galieve Forte bør ikke anvendes i følgende tilfælde:</w:t>
      </w:r>
    </w:p>
    <w:p w:rsidR="00CE61FB" w:rsidRDefault="00CE61FB" w:rsidP="00254EB8">
      <w:pPr>
        <w:numPr>
          <w:ilvl w:val="0"/>
          <w:numId w:val="7"/>
        </w:numPr>
        <w:tabs>
          <w:tab w:val="clear" w:pos="1211"/>
        </w:tabs>
        <w:ind w:left="1134" w:hanging="283"/>
        <w:rPr>
          <w:sz w:val="24"/>
          <w:szCs w:val="24"/>
        </w:rPr>
      </w:pPr>
      <w:r>
        <w:rPr>
          <w:sz w:val="24"/>
          <w:szCs w:val="24"/>
        </w:rPr>
        <w:t>Patienter med alvorlig/nedsat nyrefunktion/-insufficiens</w:t>
      </w:r>
    </w:p>
    <w:p w:rsidR="00CE61FB" w:rsidRDefault="00CE61FB" w:rsidP="00254EB8">
      <w:pPr>
        <w:numPr>
          <w:ilvl w:val="0"/>
          <w:numId w:val="7"/>
        </w:numPr>
        <w:tabs>
          <w:tab w:val="clear" w:pos="1211"/>
        </w:tabs>
        <w:ind w:left="1134" w:hanging="283"/>
        <w:rPr>
          <w:sz w:val="24"/>
          <w:szCs w:val="24"/>
        </w:rPr>
      </w:pPr>
      <w:r>
        <w:rPr>
          <w:sz w:val="24"/>
          <w:szCs w:val="24"/>
        </w:rPr>
        <w:t xml:space="preserve">Patienter med hypofosfatæmi </w:t>
      </w:r>
    </w:p>
    <w:p w:rsidR="00CE61FB" w:rsidRDefault="00CE61FB" w:rsidP="00C44B3B">
      <w:pPr>
        <w:ind w:left="851"/>
        <w:rPr>
          <w:sz w:val="24"/>
          <w:szCs w:val="24"/>
        </w:rPr>
      </w:pPr>
    </w:p>
    <w:p w:rsidR="00CE61FB" w:rsidRDefault="00CE61FB" w:rsidP="00C44B3B">
      <w:pPr>
        <w:ind w:left="851"/>
        <w:rPr>
          <w:sz w:val="24"/>
          <w:szCs w:val="24"/>
        </w:rPr>
      </w:pPr>
      <w:r>
        <w:rPr>
          <w:sz w:val="24"/>
          <w:szCs w:val="24"/>
        </w:rPr>
        <w:t xml:space="preserve">Der er mulighed for nedsat effekt hos patienter med meget lavt indhold af mavesyre. </w:t>
      </w:r>
    </w:p>
    <w:p w:rsidR="00CE61FB" w:rsidRDefault="00CE61FB" w:rsidP="00C44B3B">
      <w:pPr>
        <w:ind w:left="851"/>
        <w:rPr>
          <w:sz w:val="24"/>
          <w:szCs w:val="24"/>
        </w:rPr>
      </w:pPr>
    </w:p>
    <w:p w:rsidR="00CE61FB" w:rsidRDefault="00CE61FB" w:rsidP="00C44B3B">
      <w:pPr>
        <w:ind w:left="851"/>
        <w:rPr>
          <w:sz w:val="24"/>
          <w:szCs w:val="24"/>
        </w:rPr>
      </w:pPr>
      <w:r>
        <w:rPr>
          <w:sz w:val="24"/>
          <w:szCs w:val="24"/>
        </w:rPr>
        <w:t>Der er øget risiko for hypernatriæmi hos børn med gastroenteritis eller mistænkt nyreinsufficiens.</w:t>
      </w:r>
    </w:p>
    <w:p w:rsidR="00CE61FB" w:rsidRDefault="00CE61FB" w:rsidP="00C44B3B">
      <w:pPr>
        <w:ind w:left="851"/>
        <w:rPr>
          <w:sz w:val="24"/>
          <w:szCs w:val="24"/>
        </w:rPr>
      </w:pPr>
    </w:p>
    <w:p w:rsidR="00CE61FB" w:rsidRDefault="00CE61FB" w:rsidP="00C44B3B">
      <w:pPr>
        <w:ind w:left="851"/>
        <w:rPr>
          <w:sz w:val="24"/>
          <w:szCs w:val="24"/>
        </w:rPr>
      </w:pPr>
      <w:r>
        <w:rPr>
          <w:sz w:val="24"/>
          <w:szCs w:val="24"/>
        </w:rPr>
        <w:t xml:space="preserve">Behandling af børn under 12 år kan generelt ikke tilrådes, undtagen efter lægens anbefaling. </w:t>
      </w:r>
    </w:p>
    <w:p w:rsidR="00254EB8" w:rsidRDefault="00254EB8">
      <w:pPr>
        <w:rPr>
          <w:sz w:val="24"/>
          <w:szCs w:val="24"/>
        </w:rPr>
      </w:pPr>
      <w:r>
        <w:rPr>
          <w:sz w:val="24"/>
          <w:szCs w:val="24"/>
        </w:rPr>
        <w:br w:type="page"/>
      </w:r>
    </w:p>
    <w:p w:rsidR="00254EB8" w:rsidRPr="00171E28" w:rsidRDefault="00254EB8"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4.5</w:t>
      </w:r>
      <w:r w:rsidRPr="00171E28">
        <w:rPr>
          <w:b/>
          <w:sz w:val="24"/>
          <w:szCs w:val="24"/>
        </w:rPr>
        <w:tab/>
        <w:t>Interaktion med andre lægemidler og andre former for interaktion</w:t>
      </w:r>
    </w:p>
    <w:p w:rsidR="00B86531" w:rsidRDefault="00B86531" w:rsidP="00C44B3B">
      <w:pPr>
        <w:ind w:left="851"/>
        <w:rPr>
          <w:sz w:val="24"/>
          <w:szCs w:val="24"/>
        </w:rPr>
      </w:pPr>
      <w:r w:rsidRPr="00C841DE">
        <w:rPr>
          <w:sz w:val="24"/>
          <w:szCs w:val="24"/>
        </w:rPr>
        <w:t xml:space="preserve">Som følge af indholdet af calcium og carbonater, som har en syreneutraliserende virkning, bør et tidsinterval på 2 timer mellem indtagelse af </w:t>
      </w:r>
      <w:r w:rsidRPr="00C841DE">
        <w:rPr>
          <w:bCs/>
          <w:sz w:val="24"/>
          <w:szCs w:val="24"/>
        </w:rPr>
        <w:t xml:space="preserve">Galieve Forte </w:t>
      </w:r>
      <w:r w:rsidRPr="00C841DE">
        <w:rPr>
          <w:sz w:val="24"/>
          <w:szCs w:val="24"/>
        </w:rPr>
        <w:t>og administration af andre lægemidler overvejes, især H2-antihistaminer, tetracykliner, digoxin, fluorquinolon, jernsalte, thyreoideahormoner, ketoconazol, neuroleptika, thyroxin, penicillamin, betablokkere (atenolol, metoprolol, propanolol), glukokortikoid, klorokin, estramustin og difosfonater. Se også pkt. 4.4.</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4.6</w:t>
      </w:r>
      <w:r w:rsidRPr="00171E28">
        <w:rPr>
          <w:b/>
          <w:sz w:val="24"/>
          <w:szCs w:val="24"/>
        </w:rPr>
        <w:tab/>
        <w:t>Graviditet og amning</w:t>
      </w:r>
    </w:p>
    <w:p w:rsidR="00B86531" w:rsidRPr="00CE61FB" w:rsidRDefault="00B86531" w:rsidP="00C44B3B">
      <w:pPr>
        <w:ind w:left="851"/>
        <w:rPr>
          <w:rStyle w:val="longtext1"/>
          <w:b/>
          <w:sz w:val="24"/>
          <w:szCs w:val="24"/>
          <w:shd w:val="clear" w:color="auto" w:fill="FFFFFF"/>
        </w:rPr>
      </w:pPr>
    </w:p>
    <w:p w:rsidR="00B86531" w:rsidRPr="00CE61FB" w:rsidRDefault="00B86531" w:rsidP="00C44B3B">
      <w:pPr>
        <w:ind w:left="851"/>
        <w:rPr>
          <w:b/>
          <w:sz w:val="24"/>
          <w:szCs w:val="24"/>
        </w:rPr>
      </w:pPr>
      <w:r w:rsidRPr="00254EB8">
        <w:rPr>
          <w:rStyle w:val="longtext1"/>
          <w:sz w:val="24"/>
          <w:szCs w:val="24"/>
          <w:u w:val="single"/>
          <w:shd w:val="clear" w:color="auto" w:fill="FFFFFF"/>
        </w:rPr>
        <w:t>Fertilitet</w:t>
      </w:r>
      <w:r w:rsidRPr="00254EB8">
        <w:rPr>
          <w:rStyle w:val="longtext1"/>
          <w:sz w:val="24"/>
          <w:szCs w:val="24"/>
          <w:u w:val="single"/>
          <w:shd w:val="clear" w:color="auto" w:fill="FFFFFF"/>
        </w:rPr>
        <w:br/>
      </w:r>
      <w:r w:rsidRPr="00CE61FB">
        <w:rPr>
          <w:rStyle w:val="longtext1"/>
          <w:sz w:val="24"/>
          <w:szCs w:val="24"/>
          <w:shd w:val="clear" w:color="auto" w:fill="FFFFFF"/>
        </w:rPr>
        <w:t>Prækliniske undersøgelser på dyr har afsløret at alginat ikke har nogen negativ virkning på forældrenes eller afkommets fertilitet eller reproduktion. Kliniske data tyder ikke på, at Galieve Forte har en effekt på fertilitet hos mennesker.</w:t>
      </w:r>
    </w:p>
    <w:p w:rsidR="00B86531" w:rsidRPr="00CE61FB" w:rsidRDefault="00B86531" w:rsidP="00C44B3B">
      <w:pPr>
        <w:ind w:left="851"/>
        <w:rPr>
          <w:b/>
          <w:sz w:val="24"/>
          <w:szCs w:val="24"/>
        </w:rPr>
      </w:pPr>
    </w:p>
    <w:p w:rsidR="00B86531" w:rsidRPr="00254EB8" w:rsidRDefault="00B86531" w:rsidP="00C44B3B">
      <w:pPr>
        <w:ind w:left="851"/>
        <w:rPr>
          <w:sz w:val="24"/>
          <w:szCs w:val="24"/>
          <w:u w:val="single"/>
        </w:rPr>
      </w:pPr>
      <w:r w:rsidRPr="00254EB8">
        <w:rPr>
          <w:sz w:val="24"/>
          <w:szCs w:val="24"/>
          <w:u w:val="single"/>
        </w:rPr>
        <w:t>Graviditet</w:t>
      </w:r>
    </w:p>
    <w:p w:rsidR="00B86531" w:rsidRPr="00C841DE" w:rsidRDefault="00B86531" w:rsidP="00C44B3B">
      <w:pPr>
        <w:ind w:left="851"/>
        <w:rPr>
          <w:sz w:val="24"/>
          <w:szCs w:val="24"/>
        </w:rPr>
      </w:pPr>
      <w:r w:rsidRPr="00C841DE">
        <w:rPr>
          <w:sz w:val="24"/>
          <w:szCs w:val="24"/>
        </w:rPr>
        <w:t>En moderat mængde data om gravide kvinder (mellem 300 og 1000 graviditetsudfald) indikerer ingen misdannelser eller føtal/neonatal toksicitet på grund af de aktive stoffer.</w:t>
      </w:r>
    </w:p>
    <w:p w:rsidR="00B86531" w:rsidRPr="00C841DE" w:rsidRDefault="00B86531" w:rsidP="00C44B3B">
      <w:pPr>
        <w:ind w:left="851"/>
        <w:rPr>
          <w:sz w:val="24"/>
          <w:szCs w:val="24"/>
        </w:rPr>
      </w:pPr>
    </w:p>
    <w:p w:rsidR="00B86531" w:rsidRPr="00C841DE" w:rsidRDefault="00B86531" w:rsidP="00C44B3B">
      <w:pPr>
        <w:ind w:left="851"/>
        <w:rPr>
          <w:sz w:val="24"/>
          <w:szCs w:val="24"/>
        </w:rPr>
      </w:pPr>
      <w:r w:rsidRPr="00C841DE">
        <w:rPr>
          <w:sz w:val="24"/>
          <w:szCs w:val="24"/>
        </w:rPr>
        <w:t xml:space="preserve">Baseret herpå og på tidligere erfaringer, kan dette produkt anvendes under graviditet, hvis det er klinisk berettiget. </w:t>
      </w:r>
    </w:p>
    <w:p w:rsidR="00B86531" w:rsidRPr="00C841DE" w:rsidRDefault="00B86531" w:rsidP="00C44B3B">
      <w:pPr>
        <w:ind w:left="851"/>
        <w:rPr>
          <w:sz w:val="24"/>
          <w:szCs w:val="24"/>
        </w:rPr>
      </w:pPr>
    </w:p>
    <w:p w:rsidR="00B86531" w:rsidRPr="00C841DE" w:rsidRDefault="00B86531" w:rsidP="00C44B3B">
      <w:pPr>
        <w:ind w:left="851"/>
        <w:rPr>
          <w:rStyle w:val="longtext1"/>
          <w:szCs w:val="24"/>
          <w:shd w:val="clear" w:color="auto" w:fill="FFFFFF"/>
        </w:rPr>
      </w:pPr>
      <w:r w:rsidRPr="00C841DE">
        <w:rPr>
          <w:sz w:val="24"/>
          <w:szCs w:val="24"/>
        </w:rPr>
        <w:t>Ikke desto mindre anbefales det at gøre behandlingsvarigheden så kort som mulig på grund af indholdet af calciumkarbonat</w:t>
      </w:r>
      <w:r w:rsidRPr="00C841DE">
        <w:rPr>
          <w:rStyle w:val="longtext1"/>
          <w:szCs w:val="24"/>
          <w:shd w:val="clear" w:color="auto" w:fill="FFFFFF"/>
        </w:rPr>
        <w:t>.</w:t>
      </w:r>
    </w:p>
    <w:p w:rsidR="00B86531" w:rsidRPr="00093DFD" w:rsidRDefault="00B86531" w:rsidP="00C44B3B">
      <w:pPr>
        <w:ind w:left="851"/>
        <w:rPr>
          <w:rStyle w:val="longtext1"/>
          <w:sz w:val="24"/>
          <w:szCs w:val="24"/>
          <w:shd w:val="clear" w:color="auto" w:fill="FFFFFF"/>
        </w:rPr>
      </w:pPr>
    </w:p>
    <w:p w:rsidR="00B86531" w:rsidRPr="00D913D3" w:rsidRDefault="00B86531" w:rsidP="00C44B3B">
      <w:pPr>
        <w:ind w:left="851"/>
        <w:rPr>
          <w:rStyle w:val="longtext1"/>
          <w:sz w:val="24"/>
          <w:szCs w:val="24"/>
          <w:u w:val="single"/>
          <w:shd w:val="clear" w:color="auto" w:fill="FFFFFF"/>
        </w:rPr>
      </w:pPr>
      <w:r w:rsidRPr="00D913D3">
        <w:rPr>
          <w:rStyle w:val="longtext1"/>
          <w:sz w:val="24"/>
          <w:szCs w:val="24"/>
          <w:u w:val="single"/>
          <w:shd w:val="clear" w:color="auto" w:fill="FFFFFF"/>
        </w:rPr>
        <w:t>Amning</w:t>
      </w:r>
    </w:p>
    <w:p w:rsidR="00B86531" w:rsidRPr="00093DFD" w:rsidRDefault="00B86531" w:rsidP="00C44B3B">
      <w:pPr>
        <w:ind w:left="851"/>
        <w:rPr>
          <w:rStyle w:val="longtext1"/>
          <w:sz w:val="24"/>
          <w:szCs w:val="24"/>
          <w:shd w:val="clear" w:color="auto" w:fill="FFFFFF"/>
        </w:rPr>
      </w:pPr>
      <w:r w:rsidRPr="00093DFD">
        <w:rPr>
          <w:rStyle w:val="longtext1"/>
          <w:sz w:val="24"/>
          <w:szCs w:val="24"/>
          <w:shd w:val="clear" w:color="auto" w:fill="FFFFFF"/>
        </w:rPr>
        <w:t>Der er ikke påvist nogen indvirkning af de aktive stoffer på ammede nyfødte/spædbørn af behandlede mødre. Dette produkt kan anvendes under amning, hvis det er klinisk berettiget.</w:t>
      </w:r>
    </w:p>
    <w:p w:rsidR="00B86531" w:rsidRPr="00093DFD"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4.7</w:t>
      </w:r>
      <w:r w:rsidRPr="00171E28">
        <w:rPr>
          <w:b/>
          <w:sz w:val="24"/>
          <w:szCs w:val="24"/>
        </w:rPr>
        <w:tab/>
        <w:t>Virkninger på evnen til at føre motorkøretøj eller betjene maskiner</w:t>
      </w:r>
    </w:p>
    <w:p w:rsidR="00B86531" w:rsidRPr="00C841DE" w:rsidRDefault="00B86531" w:rsidP="00C44B3B">
      <w:pPr>
        <w:ind w:left="851"/>
        <w:rPr>
          <w:sz w:val="24"/>
          <w:szCs w:val="24"/>
        </w:rPr>
      </w:pPr>
      <w:r w:rsidRPr="00C841DE">
        <w:rPr>
          <w:sz w:val="24"/>
          <w:szCs w:val="24"/>
        </w:rPr>
        <w:t>Ikke mærkning.</w:t>
      </w:r>
    </w:p>
    <w:p w:rsidR="00B86531" w:rsidRDefault="00B86531" w:rsidP="00C44B3B">
      <w:pPr>
        <w:ind w:left="851"/>
        <w:rPr>
          <w:sz w:val="22"/>
          <w:szCs w:val="22"/>
        </w:rPr>
      </w:pPr>
      <w:r w:rsidRPr="00C841DE">
        <w:rPr>
          <w:sz w:val="24"/>
          <w:szCs w:val="24"/>
        </w:rPr>
        <w:t>Dette produkt påvirker ikke eller kun i ubetydelig grad evnen til at føre motorkøretøj og betjene maskiner</w:t>
      </w:r>
      <w:r>
        <w:rPr>
          <w:sz w:val="22"/>
          <w:szCs w:val="22"/>
        </w:rPr>
        <w:t>.</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4.8</w:t>
      </w:r>
      <w:r w:rsidRPr="00171E28">
        <w:rPr>
          <w:b/>
          <w:sz w:val="24"/>
          <w:szCs w:val="24"/>
        </w:rPr>
        <w:tab/>
        <w:t>Bivirkninger</w:t>
      </w:r>
    </w:p>
    <w:p w:rsidR="00B86531" w:rsidRPr="00C841DE" w:rsidRDefault="00B86531" w:rsidP="00C44B3B">
      <w:pPr>
        <w:ind w:left="851"/>
        <w:rPr>
          <w:sz w:val="24"/>
          <w:szCs w:val="24"/>
        </w:rPr>
      </w:pPr>
      <w:r w:rsidRPr="00C841DE">
        <w:rPr>
          <w:sz w:val="24"/>
          <w:szCs w:val="24"/>
        </w:rPr>
        <w:t>De bivirkninger, der er forbundet med natriumalginat, natriumbicarbonat og calciumcarbonat er opstillet nedenfor i tabelform efter organklasse og hyppighed. Hyppighederne er defineret således: Meget almindelig (</w:t>
      </w:r>
      <w:r w:rsidRPr="00C841DE">
        <w:rPr>
          <w:rFonts w:ascii="Symbol" w:hAnsi="Symbol"/>
          <w:sz w:val="24"/>
          <w:szCs w:val="24"/>
        </w:rPr>
        <w:t></w:t>
      </w:r>
      <w:r w:rsidRPr="00C841DE">
        <w:rPr>
          <w:sz w:val="24"/>
          <w:szCs w:val="24"/>
        </w:rPr>
        <w:t>1/10), almindelig (</w:t>
      </w:r>
      <w:r w:rsidRPr="00C841DE">
        <w:rPr>
          <w:rFonts w:ascii="Symbol" w:hAnsi="Symbol"/>
          <w:sz w:val="24"/>
          <w:szCs w:val="24"/>
        </w:rPr>
        <w:t></w:t>
      </w:r>
      <w:r w:rsidRPr="00C841DE">
        <w:rPr>
          <w:sz w:val="24"/>
          <w:szCs w:val="24"/>
        </w:rPr>
        <w:t>1/100 til &lt;1/10), ikke almindelig (</w:t>
      </w:r>
      <w:r w:rsidRPr="00C841DE">
        <w:rPr>
          <w:rFonts w:ascii="Symbol" w:hAnsi="Symbol"/>
          <w:sz w:val="24"/>
          <w:szCs w:val="24"/>
        </w:rPr>
        <w:t></w:t>
      </w:r>
      <w:r w:rsidRPr="00C841DE">
        <w:rPr>
          <w:sz w:val="24"/>
          <w:szCs w:val="24"/>
        </w:rPr>
        <w:t xml:space="preserve">1/1.000 til </w:t>
      </w:r>
      <w:r w:rsidRPr="00C841DE">
        <w:rPr>
          <w:rFonts w:ascii="Symbol" w:hAnsi="Symbol"/>
          <w:sz w:val="24"/>
          <w:szCs w:val="24"/>
        </w:rPr>
        <w:t></w:t>
      </w:r>
      <w:r w:rsidRPr="00C841DE">
        <w:rPr>
          <w:sz w:val="24"/>
          <w:szCs w:val="24"/>
        </w:rPr>
        <w:t>1/100), sj</w:t>
      </w:r>
      <w:r w:rsidRPr="00C841DE">
        <w:rPr>
          <w:sz w:val="24"/>
          <w:szCs w:val="24"/>
          <w:lang w:val="el-GR"/>
        </w:rPr>
        <w:t>æ</w:t>
      </w:r>
      <w:r w:rsidRPr="00C841DE">
        <w:rPr>
          <w:sz w:val="24"/>
          <w:szCs w:val="24"/>
        </w:rPr>
        <w:t>lden</w:t>
      </w:r>
      <w:r w:rsidRPr="00C841DE">
        <w:rPr>
          <w:sz w:val="24"/>
          <w:szCs w:val="24"/>
          <w:lang w:val="el-GR"/>
        </w:rPr>
        <w:t xml:space="preserve"> (</w:t>
      </w:r>
      <w:r w:rsidRPr="00C841DE">
        <w:rPr>
          <w:rFonts w:ascii="Symbol" w:hAnsi="Symbol"/>
          <w:sz w:val="24"/>
          <w:szCs w:val="24"/>
        </w:rPr>
        <w:t></w:t>
      </w:r>
      <w:r w:rsidRPr="00C841DE">
        <w:rPr>
          <w:sz w:val="24"/>
          <w:szCs w:val="24"/>
          <w:lang w:val="el-GR"/>
        </w:rPr>
        <w:t>1/10</w:t>
      </w:r>
      <w:r w:rsidRPr="00C841DE">
        <w:rPr>
          <w:sz w:val="24"/>
          <w:szCs w:val="24"/>
        </w:rPr>
        <w:t>.</w:t>
      </w:r>
      <w:r w:rsidRPr="00C841DE">
        <w:rPr>
          <w:sz w:val="24"/>
          <w:szCs w:val="24"/>
          <w:lang w:val="el-GR"/>
        </w:rPr>
        <w:t>000</w:t>
      </w:r>
      <w:r w:rsidRPr="00C841DE">
        <w:rPr>
          <w:sz w:val="24"/>
          <w:szCs w:val="24"/>
        </w:rPr>
        <w:t xml:space="preserve"> til</w:t>
      </w:r>
      <w:r w:rsidRPr="00C841DE">
        <w:rPr>
          <w:sz w:val="24"/>
          <w:szCs w:val="24"/>
          <w:lang w:val="el-GR"/>
        </w:rPr>
        <w:t xml:space="preserve"> </w:t>
      </w:r>
      <w:r w:rsidRPr="00C841DE">
        <w:rPr>
          <w:rFonts w:ascii="Symbol" w:hAnsi="Symbol"/>
          <w:sz w:val="24"/>
          <w:szCs w:val="24"/>
        </w:rPr>
        <w:t></w:t>
      </w:r>
      <w:r w:rsidRPr="00C841DE">
        <w:rPr>
          <w:sz w:val="24"/>
          <w:szCs w:val="24"/>
          <w:lang w:val="el-GR"/>
        </w:rPr>
        <w:t>1/1</w:t>
      </w:r>
      <w:r w:rsidRPr="00C841DE">
        <w:rPr>
          <w:sz w:val="24"/>
          <w:szCs w:val="24"/>
        </w:rPr>
        <w:t>.</w:t>
      </w:r>
      <w:r w:rsidRPr="00C841DE">
        <w:rPr>
          <w:sz w:val="24"/>
          <w:szCs w:val="24"/>
          <w:lang w:val="el-GR"/>
        </w:rPr>
        <w:t>000)</w:t>
      </w:r>
      <w:r w:rsidRPr="00C841DE">
        <w:rPr>
          <w:sz w:val="24"/>
          <w:szCs w:val="24"/>
        </w:rPr>
        <w:t>, meget sjælden (</w:t>
      </w:r>
      <w:r w:rsidRPr="00C841DE">
        <w:rPr>
          <w:rFonts w:ascii="Symbol" w:hAnsi="Symbol"/>
          <w:sz w:val="24"/>
          <w:szCs w:val="24"/>
        </w:rPr>
        <w:t></w:t>
      </w:r>
      <w:r w:rsidRPr="00C841DE">
        <w:rPr>
          <w:sz w:val="24"/>
          <w:szCs w:val="24"/>
        </w:rPr>
        <w:t>1/10.000), ikke kendt (kan ikke estimeres ud fra forhåndenværende data). Inden for hver hyppighedskategori er bivirkningerne opstillet efter, hvor alvorlige de er. De alvorligste bivirkninger er anført først.</w:t>
      </w:r>
    </w:p>
    <w:p w:rsidR="00B86531" w:rsidRDefault="00B86531" w:rsidP="00C44B3B">
      <w:pPr>
        <w:ind w:left="851"/>
        <w:rPr>
          <w:sz w:val="22"/>
          <w:szCs w:val="22"/>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1801"/>
        <w:gridCol w:w="4362"/>
      </w:tblGrid>
      <w:tr w:rsidR="00B86531" w:rsidRPr="004B0FF8" w:rsidTr="003B4BCE">
        <w:tc>
          <w:tcPr>
            <w:tcW w:w="2659"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ind w:left="33"/>
              <w:rPr>
                <w:b/>
                <w:sz w:val="22"/>
                <w:szCs w:val="22"/>
              </w:rPr>
            </w:pPr>
            <w:r w:rsidRPr="004B0FF8">
              <w:rPr>
                <w:b/>
                <w:sz w:val="22"/>
                <w:szCs w:val="22"/>
              </w:rPr>
              <w:t>Systemorganklasse</w:t>
            </w:r>
          </w:p>
        </w:tc>
        <w:tc>
          <w:tcPr>
            <w:tcW w:w="1843"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b/>
                <w:sz w:val="22"/>
                <w:szCs w:val="22"/>
              </w:rPr>
            </w:pPr>
            <w:r w:rsidRPr="004B0FF8">
              <w:rPr>
                <w:b/>
                <w:sz w:val="22"/>
                <w:szCs w:val="22"/>
              </w:rPr>
              <w:t>Hyppighed</w:t>
            </w:r>
          </w:p>
        </w:tc>
        <w:tc>
          <w:tcPr>
            <w:tcW w:w="4501"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b/>
                <w:sz w:val="22"/>
                <w:szCs w:val="22"/>
              </w:rPr>
            </w:pPr>
            <w:r w:rsidRPr="004B0FF8">
              <w:rPr>
                <w:b/>
                <w:sz w:val="22"/>
                <w:szCs w:val="22"/>
              </w:rPr>
              <w:t>Bivirkning</w:t>
            </w:r>
          </w:p>
        </w:tc>
      </w:tr>
      <w:tr w:rsidR="00B86531" w:rsidRPr="004B0FF8" w:rsidTr="003B4BCE">
        <w:tc>
          <w:tcPr>
            <w:tcW w:w="2659"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ind w:left="33"/>
              <w:rPr>
                <w:sz w:val="22"/>
                <w:szCs w:val="22"/>
              </w:rPr>
            </w:pPr>
            <w:r w:rsidRPr="004B0FF8">
              <w:rPr>
                <w:sz w:val="22"/>
                <w:szCs w:val="22"/>
              </w:rPr>
              <w:t>Immunsystemet</w:t>
            </w:r>
          </w:p>
        </w:tc>
        <w:tc>
          <w:tcPr>
            <w:tcW w:w="1843"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sz w:val="22"/>
                <w:szCs w:val="22"/>
              </w:rPr>
            </w:pPr>
            <w:r w:rsidRPr="004B0FF8">
              <w:rPr>
                <w:sz w:val="22"/>
                <w:szCs w:val="22"/>
              </w:rPr>
              <w:t>Meget sjælden</w:t>
            </w:r>
          </w:p>
        </w:tc>
        <w:tc>
          <w:tcPr>
            <w:tcW w:w="4501"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sz w:val="22"/>
                <w:szCs w:val="22"/>
              </w:rPr>
            </w:pPr>
            <w:r w:rsidRPr="004B0FF8">
              <w:rPr>
                <w:sz w:val="22"/>
                <w:szCs w:val="22"/>
              </w:rPr>
              <w:t>Anafylaktisk reaktion, anafylaktoid reaktion. Overfølsomhedsreaktioner såsom urticaria</w:t>
            </w:r>
          </w:p>
        </w:tc>
      </w:tr>
      <w:tr w:rsidR="00B86531" w:rsidRPr="00AA56CC" w:rsidTr="003B4BCE">
        <w:tc>
          <w:tcPr>
            <w:tcW w:w="2659"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ind w:left="33"/>
              <w:rPr>
                <w:sz w:val="22"/>
                <w:szCs w:val="22"/>
              </w:rPr>
            </w:pPr>
            <w:r w:rsidRPr="004B0FF8">
              <w:rPr>
                <w:sz w:val="22"/>
                <w:szCs w:val="22"/>
              </w:rPr>
              <w:t>Metabolisme og ernæring</w:t>
            </w:r>
          </w:p>
        </w:tc>
        <w:tc>
          <w:tcPr>
            <w:tcW w:w="1843"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sz w:val="22"/>
                <w:szCs w:val="22"/>
              </w:rPr>
            </w:pPr>
            <w:r w:rsidRPr="004B0FF8">
              <w:rPr>
                <w:sz w:val="22"/>
                <w:szCs w:val="22"/>
              </w:rPr>
              <w:t>Ikke kendt</w:t>
            </w:r>
          </w:p>
        </w:tc>
        <w:tc>
          <w:tcPr>
            <w:tcW w:w="4501" w:type="dxa"/>
            <w:tcBorders>
              <w:top w:val="single" w:sz="4" w:space="0" w:color="auto"/>
              <w:left w:val="single" w:sz="4" w:space="0" w:color="auto"/>
              <w:bottom w:val="single" w:sz="4" w:space="0" w:color="auto"/>
              <w:right w:val="single" w:sz="4" w:space="0" w:color="auto"/>
            </w:tcBorders>
            <w:hideMark/>
          </w:tcPr>
          <w:p w:rsidR="00B86531" w:rsidRPr="00AA56CC" w:rsidRDefault="00B86531" w:rsidP="005815CD">
            <w:pPr>
              <w:rPr>
                <w:sz w:val="22"/>
                <w:szCs w:val="22"/>
                <w:lang w:val="sv-SE"/>
              </w:rPr>
            </w:pPr>
            <w:r w:rsidRPr="00AA56CC">
              <w:rPr>
                <w:sz w:val="22"/>
                <w:szCs w:val="22"/>
                <w:lang w:val="sv-SE"/>
              </w:rPr>
              <w:t>Alkalose</w:t>
            </w:r>
            <w:r w:rsidRPr="00AA56CC">
              <w:rPr>
                <w:sz w:val="22"/>
                <w:szCs w:val="22"/>
                <w:vertAlign w:val="superscript"/>
                <w:lang w:val="sv-SE"/>
              </w:rPr>
              <w:t>1</w:t>
            </w:r>
            <w:r w:rsidRPr="00AA56CC">
              <w:rPr>
                <w:sz w:val="22"/>
                <w:szCs w:val="22"/>
                <w:lang w:val="sv-SE"/>
              </w:rPr>
              <w:t>, hyperkalcæmi</w:t>
            </w:r>
            <w:r w:rsidRPr="00AA56CC">
              <w:rPr>
                <w:sz w:val="22"/>
                <w:szCs w:val="22"/>
                <w:vertAlign w:val="superscript"/>
                <w:lang w:val="sv-SE"/>
              </w:rPr>
              <w:t>1</w:t>
            </w:r>
            <w:r w:rsidRPr="00AA56CC">
              <w:rPr>
                <w:sz w:val="22"/>
                <w:szCs w:val="22"/>
                <w:lang w:val="sv-SE"/>
              </w:rPr>
              <w:t>, mælk-alkali-syndrom</w:t>
            </w:r>
            <w:r w:rsidRPr="00AA56CC">
              <w:rPr>
                <w:sz w:val="22"/>
                <w:szCs w:val="22"/>
                <w:vertAlign w:val="superscript"/>
                <w:lang w:val="sv-SE"/>
              </w:rPr>
              <w:t>1</w:t>
            </w:r>
          </w:p>
        </w:tc>
      </w:tr>
      <w:tr w:rsidR="00B86531" w:rsidRPr="004B0FF8" w:rsidTr="003B4BCE">
        <w:tc>
          <w:tcPr>
            <w:tcW w:w="2659"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ind w:left="33"/>
              <w:rPr>
                <w:sz w:val="22"/>
                <w:szCs w:val="22"/>
              </w:rPr>
            </w:pPr>
            <w:r w:rsidRPr="004B0FF8">
              <w:rPr>
                <w:sz w:val="22"/>
                <w:szCs w:val="22"/>
              </w:rPr>
              <w:t>Luftveje, thorax og mediastinum</w:t>
            </w:r>
          </w:p>
        </w:tc>
        <w:tc>
          <w:tcPr>
            <w:tcW w:w="1843"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sz w:val="22"/>
                <w:szCs w:val="22"/>
              </w:rPr>
            </w:pPr>
            <w:r w:rsidRPr="004B0FF8">
              <w:rPr>
                <w:sz w:val="22"/>
                <w:szCs w:val="22"/>
              </w:rPr>
              <w:t>Ikke kendt</w:t>
            </w:r>
          </w:p>
        </w:tc>
        <w:tc>
          <w:tcPr>
            <w:tcW w:w="4501"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sz w:val="22"/>
                <w:szCs w:val="22"/>
              </w:rPr>
            </w:pPr>
            <w:r w:rsidRPr="004B0FF8">
              <w:rPr>
                <w:sz w:val="22"/>
                <w:szCs w:val="22"/>
              </w:rPr>
              <w:t>Respiratoriske påvirkninger såsom bronkospasme</w:t>
            </w:r>
          </w:p>
        </w:tc>
      </w:tr>
      <w:tr w:rsidR="00B86531" w:rsidRPr="004B0FF8" w:rsidTr="003B4BCE">
        <w:tc>
          <w:tcPr>
            <w:tcW w:w="2659" w:type="dxa"/>
            <w:vMerge w:val="restart"/>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ind w:left="33"/>
              <w:rPr>
                <w:sz w:val="22"/>
                <w:szCs w:val="22"/>
              </w:rPr>
            </w:pPr>
            <w:r w:rsidRPr="004B0FF8">
              <w:rPr>
                <w:sz w:val="22"/>
                <w:szCs w:val="22"/>
              </w:rPr>
              <w:lastRenderedPageBreak/>
              <w:t>Mave-tarm-kanalen</w:t>
            </w:r>
          </w:p>
        </w:tc>
        <w:tc>
          <w:tcPr>
            <w:tcW w:w="1843"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sz w:val="22"/>
                <w:szCs w:val="22"/>
              </w:rPr>
            </w:pPr>
            <w:r w:rsidRPr="004B0FF8">
              <w:rPr>
                <w:sz w:val="22"/>
                <w:szCs w:val="22"/>
              </w:rPr>
              <w:t>Meget sjælden</w:t>
            </w:r>
          </w:p>
        </w:tc>
        <w:tc>
          <w:tcPr>
            <w:tcW w:w="4501"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sz w:val="22"/>
                <w:szCs w:val="22"/>
              </w:rPr>
            </w:pPr>
            <w:r w:rsidRPr="004B0FF8">
              <w:rPr>
                <w:sz w:val="22"/>
                <w:szCs w:val="22"/>
              </w:rPr>
              <w:t>Abdominalsmerter, syrerefluks, diarré, kvalme, opkastning</w:t>
            </w:r>
          </w:p>
        </w:tc>
      </w:tr>
      <w:tr w:rsidR="00B86531" w:rsidRPr="004B0FF8"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B86531" w:rsidRPr="004B0FF8" w:rsidRDefault="00B86531" w:rsidP="005815CD">
            <w:pPr>
              <w:ind w:left="33"/>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sz w:val="22"/>
                <w:szCs w:val="22"/>
              </w:rPr>
            </w:pPr>
            <w:r w:rsidRPr="004B0FF8">
              <w:rPr>
                <w:sz w:val="22"/>
                <w:szCs w:val="22"/>
              </w:rPr>
              <w:t>Ikke kendt</w:t>
            </w:r>
          </w:p>
        </w:tc>
        <w:tc>
          <w:tcPr>
            <w:tcW w:w="4501"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sz w:val="22"/>
                <w:szCs w:val="22"/>
              </w:rPr>
            </w:pPr>
            <w:r w:rsidRPr="004B0FF8">
              <w:rPr>
                <w:sz w:val="22"/>
                <w:szCs w:val="22"/>
              </w:rPr>
              <w:t>Forstoppelse</w:t>
            </w:r>
            <w:r w:rsidRPr="004B0FF8">
              <w:rPr>
                <w:sz w:val="22"/>
                <w:szCs w:val="22"/>
                <w:vertAlign w:val="superscript"/>
              </w:rPr>
              <w:t>1</w:t>
            </w:r>
          </w:p>
        </w:tc>
      </w:tr>
      <w:tr w:rsidR="00B86531" w:rsidRPr="004B0FF8" w:rsidTr="003B4BCE">
        <w:tc>
          <w:tcPr>
            <w:tcW w:w="2659"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ind w:left="33"/>
              <w:rPr>
                <w:sz w:val="22"/>
                <w:szCs w:val="22"/>
              </w:rPr>
            </w:pPr>
            <w:r w:rsidRPr="004B0FF8">
              <w:rPr>
                <w:sz w:val="22"/>
                <w:szCs w:val="22"/>
              </w:rPr>
              <w:t>Hud og subkutane væv</w:t>
            </w:r>
          </w:p>
        </w:tc>
        <w:tc>
          <w:tcPr>
            <w:tcW w:w="1843"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sz w:val="22"/>
                <w:szCs w:val="22"/>
              </w:rPr>
            </w:pPr>
            <w:r w:rsidRPr="004B0FF8">
              <w:rPr>
                <w:sz w:val="22"/>
                <w:szCs w:val="22"/>
              </w:rPr>
              <w:t>Meget sjælden</w:t>
            </w:r>
          </w:p>
        </w:tc>
        <w:tc>
          <w:tcPr>
            <w:tcW w:w="4501" w:type="dxa"/>
            <w:tcBorders>
              <w:top w:val="single" w:sz="4" w:space="0" w:color="auto"/>
              <w:left w:val="single" w:sz="4" w:space="0" w:color="auto"/>
              <w:bottom w:val="single" w:sz="4" w:space="0" w:color="auto"/>
              <w:right w:val="single" w:sz="4" w:space="0" w:color="auto"/>
            </w:tcBorders>
            <w:hideMark/>
          </w:tcPr>
          <w:p w:rsidR="00B86531" w:rsidRPr="004B0FF8" w:rsidRDefault="00B86531" w:rsidP="005815CD">
            <w:pPr>
              <w:rPr>
                <w:sz w:val="22"/>
                <w:szCs w:val="22"/>
              </w:rPr>
            </w:pPr>
            <w:r w:rsidRPr="004B0FF8">
              <w:rPr>
                <w:sz w:val="22"/>
                <w:szCs w:val="22"/>
              </w:rPr>
              <w:t>Kløende udslæt</w:t>
            </w:r>
          </w:p>
        </w:tc>
      </w:tr>
    </w:tbl>
    <w:p w:rsidR="00B86531" w:rsidRDefault="00B86531" w:rsidP="00C44B3B">
      <w:pPr>
        <w:ind w:left="851"/>
        <w:rPr>
          <w:sz w:val="22"/>
          <w:szCs w:val="22"/>
        </w:rPr>
      </w:pPr>
    </w:p>
    <w:p w:rsidR="00B86531" w:rsidRPr="005815CD" w:rsidRDefault="00B86531" w:rsidP="00C44B3B">
      <w:pPr>
        <w:pStyle w:val="Sidehoved"/>
        <w:tabs>
          <w:tab w:val="left" w:pos="851"/>
        </w:tabs>
        <w:ind w:left="851"/>
        <w:rPr>
          <w:szCs w:val="24"/>
          <w:u w:val="single"/>
        </w:rPr>
      </w:pPr>
      <w:r w:rsidRPr="005815CD">
        <w:rPr>
          <w:szCs w:val="24"/>
          <w:u w:val="single"/>
        </w:rPr>
        <w:t>Beskrivelse af udvalgte bivirkninger</w:t>
      </w:r>
    </w:p>
    <w:p w:rsidR="00B86531" w:rsidRDefault="00B86531" w:rsidP="00C44B3B">
      <w:pPr>
        <w:pStyle w:val="Sidehoved"/>
        <w:tabs>
          <w:tab w:val="left" w:pos="851"/>
        </w:tabs>
        <w:ind w:left="851"/>
        <w:rPr>
          <w:szCs w:val="24"/>
        </w:rPr>
      </w:pPr>
      <w:r w:rsidRPr="00C841DE">
        <w:rPr>
          <w:szCs w:val="24"/>
          <w:vertAlign w:val="superscript"/>
        </w:rPr>
        <w:t>1</w:t>
      </w:r>
      <w:r w:rsidRPr="00C841DE">
        <w:rPr>
          <w:szCs w:val="24"/>
        </w:rPr>
        <w:t xml:space="preserve"> Forekommer sædvanligvis efter større doser end anbefalet.</w:t>
      </w:r>
    </w:p>
    <w:p w:rsidR="00B86531" w:rsidRPr="00C841DE" w:rsidRDefault="00B86531" w:rsidP="00C44B3B">
      <w:pPr>
        <w:pStyle w:val="Sidehoved"/>
        <w:tabs>
          <w:tab w:val="left" w:pos="851"/>
        </w:tabs>
        <w:ind w:left="851"/>
        <w:rPr>
          <w:szCs w:val="24"/>
        </w:rPr>
      </w:pPr>
    </w:p>
    <w:p w:rsidR="00B86531" w:rsidRPr="005815CD" w:rsidRDefault="00B86531" w:rsidP="00C44B3B">
      <w:pPr>
        <w:autoSpaceDE w:val="0"/>
        <w:autoSpaceDN w:val="0"/>
        <w:adjustRightInd w:val="0"/>
        <w:ind w:left="851"/>
        <w:rPr>
          <w:sz w:val="24"/>
          <w:szCs w:val="24"/>
          <w:u w:val="single"/>
        </w:rPr>
      </w:pPr>
      <w:r w:rsidRPr="005815CD">
        <w:rPr>
          <w:noProof/>
          <w:sz w:val="24"/>
          <w:szCs w:val="24"/>
          <w:u w:val="single"/>
        </w:rPr>
        <w:t>Indberetning af formodede bivirkninger</w:t>
      </w:r>
    </w:p>
    <w:p w:rsidR="00B86531" w:rsidRPr="00C841DE" w:rsidRDefault="00B86531" w:rsidP="00C44B3B">
      <w:pPr>
        <w:pStyle w:val="Sidehoved"/>
        <w:tabs>
          <w:tab w:val="left" w:pos="851"/>
        </w:tabs>
        <w:ind w:left="851"/>
        <w:rPr>
          <w:noProof/>
          <w:szCs w:val="24"/>
        </w:rPr>
      </w:pPr>
      <w:r w:rsidRPr="00C841DE">
        <w:rPr>
          <w:noProof/>
          <w:szCs w:val="24"/>
        </w:rPr>
        <w:t>Når lægemidlet er godkendt, er indberetning af formodede bivirkninger vigtig.</w:t>
      </w:r>
      <w:r w:rsidRPr="00C841DE">
        <w:rPr>
          <w:szCs w:val="24"/>
        </w:rPr>
        <w:t xml:space="preserve"> </w:t>
      </w:r>
      <w:r w:rsidRPr="00C841DE">
        <w:rPr>
          <w:noProof/>
          <w:szCs w:val="24"/>
        </w:rPr>
        <w:t>Det muliggør løbende overvågning af benefit/risk-forholdet for lægemidlet.</w:t>
      </w:r>
      <w:r w:rsidRPr="00C841DE">
        <w:rPr>
          <w:szCs w:val="24"/>
        </w:rPr>
        <w:t xml:space="preserve"> </w:t>
      </w:r>
      <w:r w:rsidR="004B0FF8">
        <w:rPr>
          <w:noProof/>
          <w:szCs w:val="24"/>
        </w:rPr>
        <w:t xml:space="preserve">Sundhedspersoner </w:t>
      </w:r>
      <w:r w:rsidRPr="00C841DE">
        <w:rPr>
          <w:noProof/>
          <w:szCs w:val="24"/>
        </w:rPr>
        <w:t>anmodes om at indberette alle formodede bivirkninger via:</w:t>
      </w:r>
    </w:p>
    <w:p w:rsidR="00B86531" w:rsidRPr="00C841DE" w:rsidRDefault="00B86531" w:rsidP="00C44B3B">
      <w:pPr>
        <w:pStyle w:val="Sidehoved"/>
        <w:tabs>
          <w:tab w:val="left" w:pos="851"/>
        </w:tabs>
        <w:ind w:left="851"/>
        <w:rPr>
          <w:noProof/>
          <w:szCs w:val="24"/>
        </w:rPr>
      </w:pPr>
    </w:p>
    <w:p w:rsidR="00B86531" w:rsidRPr="00C841DE" w:rsidRDefault="00B86531" w:rsidP="00C44B3B">
      <w:pPr>
        <w:pStyle w:val="Sidehoved"/>
        <w:tabs>
          <w:tab w:val="left" w:pos="851"/>
        </w:tabs>
        <w:ind w:left="851"/>
        <w:rPr>
          <w:noProof/>
          <w:szCs w:val="24"/>
        </w:rPr>
      </w:pPr>
      <w:r w:rsidRPr="00C841DE">
        <w:rPr>
          <w:noProof/>
          <w:szCs w:val="24"/>
        </w:rPr>
        <w:t>Lægemiddelstyrelsen</w:t>
      </w:r>
    </w:p>
    <w:p w:rsidR="00B86531" w:rsidRPr="00C841DE" w:rsidRDefault="00B86531" w:rsidP="00C44B3B">
      <w:pPr>
        <w:pStyle w:val="Sidehoved"/>
        <w:tabs>
          <w:tab w:val="left" w:pos="851"/>
        </w:tabs>
        <w:ind w:left="851"/>
        <w:rPr>
          <w:noProof/>
          <w:szCs w:val="24"/>
        </w:rPr>
      </w:pPr>
      <w:r w:rsidRPr="00C841DE">
        <w:rPr>
          <w:noProof/>
          <w:szCs w:val="24"/>
        </w:rPr>
        <w:t>Axel Heides Gade 1</w:t>
      </w:r>
    </w:p>
    <w:p w:rsidR="00B86531" w:rsidRPr="00C841DE" w:rsidRDefault="00B86531" w:rsidP="00C44B3B">
      <w:pPr>
        <w:pStyle w:val="Sidehoved"/>
        <w:tabs>
          <w:tab w:val="left" w:pos="851"/>
        </w:tabs>
        <w:ind w:left="851"/>
        <w:rPr>
          <w:noProof/>
          <w:szCs w:val="24"/>
        </w:rPr>
      </w:pPr>
      <w:r w:rsidRPr="00C841DE">
        <w:rPr>
          <w:noProof/>
          <w:szCs w:val="24"/>
        </w:rPr>
        <w:t>DK-2300 København S</w:t>
      </w:r>
    </w:p>
    <w:p w:rsidR="00B86531" w:rsidRPr="00AA56CC" w:rsidRDefault="00B86531" w:rsidP="00C44B3B">
      <w:pPr>
        <w:pStyle w:val="Sidehoved"/>
        <w:tabs>
          <w:tab w:val="left" w:pos="851"/>
        </w:tabs>
        <w:ind w:left="851"/>
        <w:rPr>
          <w:noProof/>
          <w:szCs w:val="24"/>
        </w:rPr>
      </w:pPr>
      <w:r w:rsidRPr="00AA56CC">
        <w:rPr>
          <w:noProof/>
          <w:szCs w:val="24"/>
        </w:rPr>
        <w:t xml:space="preserve">Websted: </w:t>
      </w:r>
      <w:r w:rsidRPr="005815CD">
        <w:rPr>
          <w:noProof/>
          <w:szCs w:val="24"/>
        </w:rPr>
        <w:t>www.meldenbivirkning.dk</w:t>
      </w:r>
    </w:p>
    <w:p w:rsidR="00B86531" w:rsidRPr="00AA56CC" w:rsidRDefault="00B86531" w:rsidP="00C44B3B">
      <w:pPr>
        <w:ind w:left="851"/>
        <w:rPr>
          <w:szCs w:val="24"/>
        </w:rPr>
      </w:pPr>
    </w:p>
    <w:p w:rsidR="00B86531" w:rsidRPr="00AA56CC" w:rsidRDefault="00B86531" w:rsidP="00B86531">
      <w:pPr>
        <w:ind w:left="851" w:hanging="851"/>
        <w:rPr>
          <w:b/>
          <w:sz w:val="24"/>
          <w:szCs w:val="24"/>
        </w:rPr>
      </w:pPr>
      <w:r w:rsidRPr="00AA56CC">
        <w:rPr>
          <w:b/>
          <w:sz w:val="24"/>
          <w:szCs w:val="24"/>
        </w:rPr>
        <w:t>4.9</w:t>
      </w:r>
      <w:r w:rsidRPr="00AA56CC">
        <w:rPr>
          <w:b/>
          <w:sz w:val="24"/>
          <w:szCs w:val="24"/>
        </w:rPr>
        <w:tab/>
        <w:t>Overdosering</w:t>
      </w:r>
    </w:p>
    <w:p w:rsidR="00B86531" w:rsidRPr="00AA56CC" w:rsidRDefault="00B86531" w:rsidP="00C44B3B">
      <w:pPr>
        <w:ind w:left="851"/>
        <w:rPr>
          <w:b/>
          <w:sz w:val="24"/>
          <w:szCs w:val="24"/>
        </w:rPr>
      </w:pPr>
    </w:p>
    <w:p w:rsidR="00B86531" w:rsidRPr="005815CD" w:rsidRDefault="00B86531" w:rsidP="00C44B3B">
      <w:pPr>
        <w:ind w:left="851"/>
        <w:rPr>
          <w:sz w:val="24"/>
          <w:szCs w:val="24"/>
          <w:u w:val="single"/>
        </w:rPr>
      </w:pPr>
      <w:r w:rsidRPr="005815CD">
        <w:rPr>
          <w:sz w:val="24"/>
          <w:szCs w:val="24"/>
          <w:u w:val="single"/>
        </w:rPr>
        <w:t>Symptomer</w:t>
      </w:r>
    </w:p>
    <w:p w:rsidR="00B86531" w:rsidRPr="00C841DE" w:rsidRDefault="00B86531" w:rsidP="00C44B3B">
      <w:pPr>
        <w:ind w:left="851"/>
        <w:rPr>
          <w:sz w:val="24"/>
          <w:szCs w:val="24"/>
        </w:rPr>
      </w:pPr>
      <w:r w:rsidRPr="00C841DE">
        <w:rPr>
          <w:sz w:val="24"/>
          <w:szCs w:val="24"/>
        </w:rPr>
        <w:t>Nogen abdominal distension kan forekomme.</w:t>
      </w:r>
    </w:p>
    <w:p w:rsidR="00B86531" w:rsidRPr="00C841DE" w:rsidRDefault="00B86531" w:rsidP="00C44B3B">
      <w:pPr>
        <w:ind w:left="851"/>
        <w:rPr>
          <w:sz w:val="24"/>
          <w:szCs w:val="24"/>
        </w:rPr>
      </w:pPr>
    </w:p>
    <w:p w:rsidR="00B86531" w:rsidRPr="005815CD" w:rsidRDefault="00B86531" w:rsidP="00C44B3B">
      <w:pPr>
        <w:ind w:left="851"/>
        <w:rPr>
          <w:sz w:val="24"/>
          <w:szCs w:val="24"/>
          <w:u w:val="single"/>
        </w:rPr>
      </w:pPr>
      <w:r w:rsidRPr="005815CD">
        <w:rPr>
          <w:sz w:val="24"/>
          <w:szCs w:val="24"/>
          <w:u w:val="single"/>
        </w:rPr>
        <w:t>Håndtering</w:t>
      </w:r>
    </w:p>
    <w:p w:rsidR="00B86531" w:rsidRPr="00C841DE" w:rsidRDefault="00B86531" w:rsidP="00C44B3B">
      <w:pPr>
        <w:ind w:left="851"/>
        <w:rPr>
          <w:sz w:val="22"/>
          <w:szCs w:val="22"/>
        </w:rPr>
      </w:pPr>
      <w:r w:rsidRPr="00C841DE">
        <w:rPr>
          <w:sz w:val="24"/>
          <w:szCs w:val="24"/>
        </w:rPr>
        <w:t>I tilfælde af overdosering bør symptomatisk behandling initieres</w:t>
      </w:r>
      <w:r>
        <w:rPr>
          <w:sz w:val="22"/>
          <w:szCs w:val="22"/>
        </w:rPr>
        <w:t>.</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4.10</w:t>
      </w:r>
      <w:r w:rsidRPr="00171E28">
        <w:rPr>
          <w:b/>
          <w:sz w:val="24"/>
          <w:szCs w:val="24"/>
        </w:rPr>
        <w:tab/>
        <w:t>Udlevering</w:t>
      </w:r>
    </w:p>
    <w:p w:rsidR="00B86531" w:rsidRPr="00171E28" w:rsidRDefault="00B86531" w:rsidP="00C44B3B">
      <w:pPr>
        <w:ind w:left="851"/>
        <w:rPr>
          <w:sz w:val="24"/>
          <w:szCs w:val="24"/>
        </w:rPr>
      </w:pPr>
      <w:r w:rsidRPr="00171E28">
        <w:rPr>
          <w:sz w:val="24"/>
          <w:szCs w:val="24"/>
        </w:rPr>
        <w:t>HF</w:t>
      </w:r>
    </w:p>
    <w:p w:rsidR="00B86531" w:rsidRPr="00171E28" w:rsidRDefault="00B86531" w:rsidP="00C44B3B">
      <w:pPr>
        <w:ind w:left="851"/>
        <w:rPr>
          <w:sz w:val="24"/>
          <w:szCs w:val="24"/>
        </w:rPr>
      </w:pP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5.</w:t>
      </w:r>
      <w:r w:rsidRPr="00171E28">
        <w:rPr>
          <w:b/>
          <w:sz w:val="24"/>
          <w:szCs w:val="24"/>
        </w:rPr>
        <w:tab/>
        <w:t>FARMAKOLOGISKE EGENSKABER</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5.0</w:t>
      </w:r>
      <w:r w:rsidRPr="00171E28">
        <w:rPr>
          <w:b/>
          <w:sz w:val="24"/>
          <w:szCs w:val="24"/>
        </w:rPr>
        <w:tab/>
        <w:t>Terapeutisk klassifikation</w:t>
      </w:r>
    </w:p>
    <w:p w:rsidR="00FD4297" w:rsidRPr="00B351D3" w:rsidRDefault="00FD4297" w:rsidP="00FD4297">
      <w:pPr>
        <w:ind w:left="851"/>
        <w:rPr>
          <w:sz w:val="24"/>
          <w:szCs w:val="24"/>
        </w:rPr>
      </w:pPr>
      <w:r>
        <w:rPr>
          <w:sz w:val="24"/>
          <w:szCs w:val="24"/>
        </w:rPr>
        <w:t xml:space="preserve">ATC-kode: </w:t>
      </w:r>
      <w:r w:rsidRPr="00B351D3">
        <w:rPr>
          <w:sz w:val="24"/>
          <w:szCs w:val="24"/>
        </w:rPr>
        <w:t>A</w:t>
      </w:r>
      <w:r>
        <w:rPr>
          <w:sz w:val="24"/>
          <w:szCs w:val="24"/>
        </w:rPr>
        <w:t xml:space="preserve"> </w:t>
      </w:r>
      <w:r w:rsidRPr="00B351D3">
        <w:rPr>
          <w:sz w:val="24"/>
          <w:szCs w:val="24"/>
        </w:rPr>
        <w:t>02</w:t>
      </w:r>
      <w:r>
        <w:rPr>
          <w:sz w:val="24"/>
          <w:szCs w:val="24"/>
        </w:rPr>
        <w:t xml:space="preserve"> </w:t>
      </w:r>
      <w:r w:rsidRPr="00B351D3">
        <w:rPr>
          <w:sz w:val="24"/>
          <w:szCs w:val="24"/>
        </w:rPr>
        <w:t>BX</w:t>
      </w:r>
      <w:r>
        <w:rPr>
          <w:sz w:val="24"/>
          <w:szCs w:val="24"/>
        </w:rPr>
        <w:t xml:space="preserve"> </w:t>
      </w:r>
      <w:r w:rsidRPr="00B351D3">
        <w:rPr>
          <w:sz w:val="24"/>
          <w:szCs w:val="24"/>
        </w:rPr>
        <w:t xml:space="preserve">13. </w:t>
      </w:r>
      <w:r w:rsidRPr="00B351D3">
        <w:rPr>
          <w:bCs/>
          <w:sz w:val="24"/>
          <w:szCs w:val="24"/>
        </w:rPr>
        <w:t>Andre midler mod mavesår og gastro-oesophageal reflux</w:t>
      </w:r>
      <w:r w:rsidRPr="00B351D3">
        <w:rPr>
          <w:sz w:val="24"/>
          <w:szCs w:val="24"/>
        </w:rPr>
        <w:t xml:space="preserve"> (gord).</w:t>
      </w:r>
    </w:p>
    <w:p w:rsidR="00B86531"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5.1</w:t>
      </w:r>
      <w:r w:rsidRPr="00171E28">
        <w:rPr>
          <w:b/>
          <w:sz w:val="24"/>
          <w:szCs w:val="24"/>
        </w:rPr>
        <w:tab/>
        <w:t>Farmakodynamiske egenskaber</w:t>
      </w:r>
    </w:p>
    <w:p w:rsidR="00B86531" w:rsidRPr="00171E28" w:rsidRDefault="00B86531" w:rsidP="00C44B3B">
      <w:pPr>
        <w:ind w:left="851"/>
        <w:rPr>
          <w:sz w:val="24"/>
          <w:szCs w:val="24"/>
        </w:rPr>
      </w:pPr>
      <w:r w:rsidRPr="00171E28">
        <w:rPr>
          <w:sz w:val="24"/>
          <w:szCs w:val="24"/>
        </w:rPr>
        <w:t xml:space="preserve">Lægemidlet er en kombination af et alginat og to syreneutraliserende </w:t>
      </w:r>
      <w:r>
        <w:rPr>
          <w:sz w:val="24"/>
          <w:szCs w:val="24"/>
        </w:rPr>
        <w:t>midler</w:t>
      </w:r>
      <w:r w:rsidRPr="00171E28">
        <w:rPr>
          <w:sz w:val="24"/>
          <w:szCs w:val="24"/>
        </w:rPr>
        <w:t xml:space="preserve"> (calciumcarbonat og natrium</w:t>
      </w:r>
      <w:r>
        <w:rPr>
          <w:sz w:val="24"/>
          <w:szCs w:val="24"/>
        </w:rPr>
        <w:t>hydrogen</w:t>
      </w:r>
      <w:r w:rsidRPr="00171E28">
        <w:rPr>
          <w:sz w:val="24"/>
          <w:szCs w:val="24"/>
        </w:rPr>
        <w:t>carbonat).</w:t>
      </w:r>
    </w:p>
    <w:p w:rsidR="00B86531" w:rsidRDefault="00B86531" w:rsidP="00C44B3B">
      <w:pPr>
        <w:ind w:left="851"/>
        <w:rPr>
          <w:sz w:val="24"/>
          <w:szCs w:val="24"/>
        </w:rPr>
      </w:pPr>
    </w:p>
    <w:p w:rsidR="00B86531" w:rsidRDefault="00B86531" w:rsidP="00C44B3B">
      <w:pPr>
        <w:ind w:left="851"/>
        <w:rPr>
          <w:sz w:val="24"/>
          <w:szCs w:val="24"/>
        </w:rPr>
      </w:pPr>
      <w:r w:rsidRPr="00057F7B">
        <w:rPr>
          <w:sz w:val="24"/>
          <w:szCs w:val="24"/>
        </w:rPr>
        <w:t>Efter indtagelse reagerer lægemidlet hurtigt med mavesyren, og alginsyren danner en viskøs opløsning, der har en næsten neutral pH-værdi, og ligger som et beskyttende lag oven på maveindholdet for effektivt at forhindre gastro-oesophageal reflux i op til 4 timer. I alvorlige tilfælde kan det beskyttende lag i stedet for maveindholdet løbe op i spiserøret og frembringe en lindrende effekt.</w:t>
      </w:r>
      <w:r w:rsidRPr="00057F7B">
        <w:rPr>
          <w:sz w:val="24"/>
          <w:szCs w:val="24"/>
        </w:rPr>
        <w:br/>
      </w:r>
    </w:p>
    <w:p w:rsidR="00B86531" w:rsidRDefault="00B86531" w:rsidP="00C44B3B">
      <w:pPr>
        <w:ind w:left="851"/>
        <w:rPr>
          <w:sz w:val="24"/>
          <w:szCs w:val="24"/>
        </w:rPr>
      </w:pPr>
      <w:r w:rsidRPr="00171E28">
        <w:rPr>
          <w:sz w:val="24"/>
          <w:szCs w:val="24"/>
        </w:rPr>
        <w:t>Calciumcarbonat neutraliserer mavesyren til at give hurtig lindring fra fordøjelse</w:t>
      </w:r>
      <w:r>
        <w:rPr>
          <w:sz w:val="24"/>
          <w:szCs w:val="24"/>
        </w:rPr>
        <w:t>s</w:t>
      </w:r>
      <w:r w:rsidRPr="00171E28">
        <w:rPr>
          <w:sz w:val="24"/>
          <w:szCs w:val="24"/>
        </w:rPr>
        <w:t>besvær</w:t>
      </w:r>
      <w:r>
        <w:rPr>
          <w:sz w:val="24"/>
          <w:szCs w:val="24"/>
        </w:rPr>
        <w:t xml:space="preserve"> relateret til reflux </w:t>
      </w:r>
      <w:r w:rsidRPr="00171E28">
        <w:rPr>
          <w:sz w:val="24"/>
          <w:szCs w:val="24"/>
        </w:rPr>
        <w:t>og halsbrand. Denne effekt øges ved tilsætning af natrium</w:t>
      </w:r>
      <w:r>
        <w:rPr>
          <w:sz w:val="24"/>
          <w:szCs w:val="24"/>
        </w:rPr>
        <w:t>hydrogen</w:t>
      </w:r>
      <w:r>
        <w:rPr>
          <w:sz w:val="24"/>
          <w:szCs w:val="24"/>
        </w:rPr>
        <w:softHyphen/>
      </w:r>
      <w:r w:rsidRPr="00171E28">
        <w:rPr>
          <w:sz w:val="24"/>
          <w:szCs w:val="24"/>
        </w:rPr>
        <w:t xml:space="preserve">carbonat, der også har en neutraliserende virkning. Den samlede neutraliserende kapacitet af produktet ved den laveste dosis på 10 ml er cirka 10mEqH+. </w:t>
      </w:r>
    </w:p>
    <w:p w:rsidR="00B86531" w:rsidRDefault="00B86531" w:rsidP="00C44B3B">
      <w:pPr>
        <w:ind w:left="851"/>
        <w:rPr>
          <w:sz w:val="24"/>
          <w:szCs w:val="24"/>
        </w:rPr>
      </w:pPr>
    </w:p>
    <w:p w:rsidR="00B86531" w:rsidRDefault="00B86531" w:rsidP="00C44B3B">
      <w:pPr>
        <w:ind w:left="851"/>
        <w:rPr>
          <w:sz w:val="24"/>
          <w:szCs w:val="24"/>
        </w:rPr>
      </w:pPr>
      <w:bookmarkStart w:id="1" w:name="_Hlk19888562"/>
      <w:r>
        <w:rPr>
          <w:sz w:val="24"/>
          <w:szCs w:val="24"/>
        </w:rPr>
        <w:lastRenderedPageBreak/>
        <w:t xml:space="preserve">Denne effekt er også blevet demonstreret in-vivo via intragastrisk pH-monitorering ved anvendelse af et multielektrode-kateter, hos fastende raske mandlige og kvindelige deltagere for at fjerne variabilitet forårsaget af </w:t>
      </w:r>
      <w:r w:rsidRPr="00697CAB">
        <w:rPr>
          <w:sz w:val="24"/>
          <w:szCs w:val="24"/>
        </w:rPr>
        <w:t>postprandial buffering</w:t>
      </w:r>
      <w:r>
        <w:rPr>
          <w:sz w:val="24"/>
          <w:szCs w:val="24"/>
        </w:rPr>
        <w:t xml:space="preserve">. </w:t>
      </w:r>
    </w:p>
    <w:p w:rsidR="00B86531" w:rsidRPr="00171E28" w:rsidRDefault="00B86531" w:rsidP="00C44B3B">
      <w:pPr>
        <w:ind w:left="851"/>
        <w:rPr>
          <w:sz w:val="24"/>
          <w:szCs w:val="24"/>
        </w:rPr>
      </w:pPr>
      <w:r>
        <w:rPr>
          <w:sz w:val="24"/>
          <w:szCs w:val="24"/>
        </w:rPr>
        <w:t>I undersøgelsen var det primære endepunkt procentdelen af tid som intragastrisk pH ≥ 4 under den 30 minutter postbehandlingsperiode. Resultaterne registrerede 50.8</w:t>
      </w:r>
      <w:r w:rsidR="0010250B">
        <w:rPr>
          <w:sz w:val="24"/>
          <w:szCs w:val="24"/>
        </w:rPr>
        <w:t xml:space="preserve"> %</w:t>
      </w:r>
      <w:r>
        <w:rPr>
          <w:sz w:val="24"/>
          <w:szCs w:val="24"/>
        </w:rPr>
        <w:t xml:space="preserve"> af tiden med Galieve Forte versus 3.5</w:t>
      </w:r>
      <w:r w:rsidR="0010250B">
        <w:rPr>
          <w:sz w:val="24"/>
          <w:szCs w:val="24"/>
        </w:rPr>
        <w:t xml:space="preserve"> %</w:t>
      </w:r>
      <w:r>
        <w:rPr>
          <w:sz w:val="24"/>
          <w:szCs w:val="24"/>
        </w:rPr>
        <w:t xml:space="preserve"> med placebo (p = 0,0051).</w:t>
      </w:r>
      <w:bookmarkEnd w:id="1"/>
    </w:p>
    <w:p w:rsidR="00B86531" w:rsidRPr="00171E28" w:rsidRDefault="00B86531" w:rsidP="00C44B3B">
      <w:pPr>
        <w:ind w:left="851"/>
        <w:rPr>
          <w:sz w:val="24"/>
          <w:szCs w:val="24"/>
        </w:rPr>
      </w:pPr>
    </w:p>
    <w:p w:rsidR="00B86531" w:rsidRPr="00171E28" w:rsidRDefault="00B86531" w:rsidP="00B86531">
      <w:pPr>
        <w:keepNext/>
        <w:ind w:left="851" w:hanging="851"/>
        <w:rPr>
          <w:b/>
          <w:sz w:val="24"/>
          <w:szCs w:val="24"/>
        </w:rPr>
      </w:pPr>
      <w:r w:rsidRPr="00171E28">
        <w:rPr>
          <w:b/>
          <w:sz w:val="24"/>
          <w:szCs w:val="24"/>
        </w:rPr>
        <w:t>5.2</w:t>
      </w:r>
      <w:r w:rsidRPr="00171E28">
        <w:rPr>
          <w:b/>
          <w:sz w:val="24"/>
          <w:szCs w:val="24"/>
        </w:rPr>
        <w:tab/>
        <w:t>Farmakokinetiske egenskaber</w:t>
      </w:r>
    </w:p>
    <w:p w:rsidR="00B86531" w:rsidRPr="00171E28" w:rsidRDefault="00B86531" w:rsidP="00C44B3B">
      <w:pPr>
        <w:ind w:left="851"/>
        <w:rPr>
          <w:sz w:val="24"/>
          <w:szCs w:val="24"/>
        </w:rPr>
      </w:pPr>
      <w:r w:rsidRPr="00171E28">
        <w:rPr>
          <w:sz w:val="24"/>
          <w:szCs w:val="24"/>
        </w:rPr>
        <w:t>Lægemidlets virkningsmekanisme er af fysisk art og afhænger ikke af optagelse i den systemiske cirkulation.</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5.3</w:t>
      </w:r>
      <w:r w:rsidRPr="00171E28">
        <w:rPr>
          <w:b/>
          <w:sz w:val="24"/>
          <w:szCs w:val="24"/>
        </w:rPr>
        <w:tab/>
        <w:t>Prækliniske sikkerhedsdata</w:t>
      </w:r>
    </w:p>
    <w:p w:rsidR="00B86531" w:rsidRPr="00171E28" w:rsidRDefault="00B86531" w:rsidP="00C44B3B">
      <w:pPr>
        <w:ind w:left="851"/>
        <w:rPr>
          <w:sz w:val="24"/>
          <w:szCs w:val="24"/>
        </w:rPr>
      </w:pPr>
      <w:r w:rsidRPr="00171E28">
        <w:rPr>
          <w:sz w:val="24"/>
          <w:szCs w:val="24"/>
        </w:rPr>
        <w:t>Ingen prækliniske resultater af nogen relevans for den ordinerende læge er blevet rapporteret</w:t>
      </w:r>
      <w:r w:rsidR="004B0FF8">
        <w:rPr>
          <w:sz w:val="24"/>
          <w:szCs w:val="24"/>
        </w:rPr>
        <w:t>.</w:t>
      </w:r>
    </w:p>
    <w:p w:rsidR="00B86531" w:rsidRPr="00171E28" w:rsidRDefault="00B86531" w:rsidP="00C44B3B">
      <w:pPr>
        <w:ind w:left="851"/>
        <w:rPr>
          <w:sz w:val="24"/>
          <w:szCs w:val="24"/>
        </w:rPr>
      </w:pP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6.</w:t>
      </w:r>
      <w:r w:rsidRPr="00171E28">
        <w:rPr>
          <w:b/>
          <w:sz w:val="24"/>
          <w:szCs w:val="24"/>
        </w:rPr>
        <w:tab/>
        <w:t>FARMACEUTISKE OPLYSNINGER</w:t>
      </w:r>
    </w:p>
    <w:p w:rsidR="00B86531" w:rsidRPr="00171E28" w:rsidRDefault="00B86531" w:rsidP="00C44B3B">
      <w:pPr>
        <w:ind w:left="851"/>
        <w:rPr>
          <w:b/>
          <w:sz w:val="24"/>
          <w:szCs w:val="24"/>
        </w:rPr>
      </w:pPr>
    </w:p>
    <w:p w:rsidR="00B86531" w:rsidRPr="00171E28" w:rsidRDefault="00B86531" w:rsidP="00B86531">
      <w:pPr>
        <w:ind w:left="851" w:hanging="851"/>
        <w:rPr>
          <w:b/>
          <w:sz w:val="24"/>
          <w:szCs w:val="24"/>
        </w:rPr>
      </w:pPr>
      <w:r w:rsidRPr="00171E28">
        <w:rPr>
          <w:b/>
          <w:sz w:val="24"/>
          <w:szCs w:val="24"/>
        </w:rPr>
        <w:t>6.1</w:t>
      </w:r>
      <w:r w:rsidRPr="00171E28">
        <w:rPr>
          <w:b/>
          <w:sz w:val="24"/>
          <w:szCs w:val="24"/>
        </w:rPr>
        <w:tab/>
        <w:t>Hjælpestoffer</w:t>
      </w:r>
    </w:p>
    <w:p w:rsidR="00B86531" w:rsidRPr="00171E28" w:rsidRDefault="00B86531" w:rsidP="00C44B3B">
      <w:pPr>
        <w:ind w:left="851"/>
        <w:rPr>
          <w:sz w:val="24"/>
          <w:szCs w:val="24"/>
        </w:rPr>
      </w:pPr>
      <w:r w:rsidRPr="00171E28">
        <w:rPr>
          <w:sz w:val="24"/>
          <w:szCs w:val="24"/>
        </w:rPr>
        <w:t>Carbomer 974P</w:t>
      </w:r>
      <w:r w:rsidRPr="00171E28">
        <w:rPr>
          <w:sz w:val="24"/>
          <w:szCs w:val="24"/>
        </w:rPr>
        <w:br/>
        <w:t>Methylparahydroxybenzoat (E218)</w:t>
      </w:r>
      <w:r w:rsidRPr="00171E28">
        <w:rPr>
          <w:sz w:val="24"/>
          <w:szCs w:val="24"/>
        </w:rPr>
        <w:br/>
        <w:t>Propylparahydroxybenzoat (E216)</w:t>
      </w:r>
      <w:r w:rsidRPr="00171E28">
        <w:rPr>
          <w:sz w:val="24"/>
          <w:szCs w:val="24"/>
        </w:rPr>
        <w:br/>
        <w:t>Saccharinnatrium</w:t>
      </w:r>
      <w:r w:rsidRPr="00171E28">
        <w:rPr>
          <w:sz w:val="24"/>
          <w:szCs w:val="24"/>
        </w:rPr>
        <w:br/>
        <w:t>Naturlig mintsmag</w:t>
      </w:r>
      <w:r w:rsidRPr="00171E28">
        <w:rPr>
          <w:sz w:val="24"/>
          <w:szCs w:val="24"/>
        </w:rPr>
        <w:br/>
        <w:t>Natriumhydroxid</w:t>
      </w:r>
      <w:r w:rsidRPr="00171E28">
        <w:rPr>
          <w:sz w:val="24"/>
          <w:szCs w:val="24"/>
        </w:rPr>
        <w:br/>
        <w:t>Vand, renset</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6.2</w:t>
      </w:r>
      <w:r w:rsidRPr="00171E28">
        <w:rPr>
          <w:b/>
          <w:sz w:val="24"/>
          <w:szCs w:val="24"/>
        </w:rPr>
        <w:tab/>
        <w:t>Uforligeligheder</w:t>
      </w:r>
    </w:p>
    <w:p w:rsidR="00B86531" w:rsidRPr="00171E28" w:rsidRDefault="00B86531" w:rsidP="00C44B3B">
      <w:pPr>
        <w:ind w:left="851"/>
        <w:rPr>
          <w:sz w:val="24"/>
          <w:szCs w:val="24"/>
        </w:rPr>
      </w:pPr>
      <w:r w:rsidRPr="00171E28">
        <w:rPr>
          <w:sz w:val="24"/>
          <w:szCs w:val="24"/>
        </w:rPr>
        <w:t>Ikke relevant.</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6.3</w:t>
      </w:r>
      <w:r w:rsidRPr="00171E28">
        <w:rPr>
          <w:b/>
          <w:sz w:val="24"/>
          <w:szCs w:val="24"/>
        </w:rPr>
        <w:tab/>
        <w:t>Opbevaringstid</w:t>
      </w:r>
    </w:p>
    <w:p w:rsidR="00B86531" w:rsidRPr="00171E28" w:rsidRDefault="00B86531" w:rsidP="00C44B3B">
      <w:pPr>
        <w:ind w:left="851"/>
        <w:rPr>
          <w:sz w:val="24"/>
          <w:szCs w:val="24"/>
        </w:rPr>
      </w:pPr>
      <w:r w:rsidRPr="00171E28">
        <w:rPr>
          <w:sz w:val="24"/>
          <w:szCs w:val="24"/>
        </w:rPr>
        <w:t>2 år.</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6.4</w:t>
      </w:r>
      <w:r w:rsidRPr="00171E28">
        <w:rPr>
          <w:b/>
          <w:sz w:val="24"/>
          <w:szCs w:val="24"/>
        </w:rPr>
        <w:tab/>
        <w:t>Særlige opbevaringsforhold</w:t>
      </w:r>
    </w:p>
    <w:p w:rsidR="00B86531" w:rsidRPr="00171E28" w:rsidRDefault="00B86531" w:rsidP="00C44B3B">
      <w:pPr>
        <w:ind w:left="851"/>
        <w:rPr>
          <w:sz w:val="24"/>
          <w:szCs w:val="24"/>
        </w:rPr>
      </w:pPr>
      <w:r w:rsidRPr="00171E28">
        <w:rPr>
          <w:sz w:val="24"/>
          <w:szCs w:val="24"/>
        </w:rPr>
        <w:t>Må ikke opbevares ved temperaturer over 30</w:t>
      </w:r>
      <w:r w:rsidR="005815CD">
        <w:rPr>
          <w:sz w:val="24"/>
          <w:szCs w:val="24"/>
        </w:rPr>
        <w:t xml:space="preserve"> </w:t>
      </w:r>
      <w:r w:rsidRPr="00171E28">
        <w:rPr>
          <w:sz w:val="24"/>
          <w:szCs w:val="24"/>
        </w:rPr>
        <w:t>°C. Må ikke opbevares i køleskab eller nedfryses.</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6.5</w:t>
      </w:r>
      <w:r w:rsidRPr="00171E28">
        <w:rPr>
          <w:b/>
          <w:sz w:val="24"/>
          <w:szCs w:val="24"/>
        </w:rPr>
        <w:tab/>
        <w:t>Emballagetyper og pakningsstørrelser</w:t>
      </w:r>
    </w:p>
    <w:p w:rsidR="00B86531" w:rsidRDefault="00B86531" w:rsidP="00C44B3B">
      <w:pPr>
        <w:ind w:left="851"/>
        <w:rPr>
          <w:sz w:val="24"/>
          <w:szCs w:val="24"/>
        </w:rPr>
      </w:pPr>
      <w:r w:rsidRPr="00171E28">
        <w:rPr>
          <w:sz w:val="24"/>
          <w:szCs w:val="24"/>
        </w:rPr>
        <w:t>Ydre emballage af karton indeholdende enkeltdosisbreve.</w:t>
      </w:r>
    </w:p>
    <w:p w:rsidR="000D4758" w:rsidRPr="00171E28" w:rsidRDefault="000D4758" w:rsidP="000D4758">
      <w:pPr>
        <w:ind w:left="851"/>
        <w:rPr>
          <w:sz w:val="24"/>
          <w:szCs w:val="24"/>
        </w:rPr>
      </w:pPr>
      <w:r w:rsidRPr="00171E28">
        <w:rPr>
          <w:sz w:val="24"/>
          <w:szCs w:val="24"/>
        </w:rPr>
        <w:t>Brevene er fremstillet af varmeforseglet laminat fremstillet af polyester</w:t>
      </w:r>
      <w:r>
        <w:rPr>
          <w:sz w:val="24"/>
          <w:szCs w:val="24"/>
        </w:rPr>
        <w:t>/</w:t>
      </w:r>
      <w:r w:rsidRPr="00171E28">
        <w:rPr>
          <w:sz w:val="24"/>
          <w:szCs w:val="24"/>
        </w:rPr>
        <w:t>aluminium</w:t>
      </w:r>
      <w:r>
        <w:rPr>
          <w:sz w:val="24"/>
          <w:szCs w:val="24"/>
        </w:rPr>
        <w:t>s</w:t>
      </w:r>
      <w:r>
        <w:rPr>
          <w:sz w:val="24"/>
          <w:szCs w:val="24"/>
        </w:rPr>
        <w:softHyphen/>
        <w:t>folie/</w:t>
      </w:r>
      <w:r w:rsidRPr="00171E28">
        <w:rPr>
          <w:sz w:val="24"/>
          <w:szCs w:val="24"/>
        </w:rPr>
        <w:t>polyethylen</w:t>
      </w:r>
      <w:r>
        <w:rPr>
          <w:sz w:val="24"/>
          <w:szCs w:val="24"/>
        </w:rPr>
        <w:t>/polyester/polyethylen</w:t>
      </w:r>
      <w:r w:rsidRPr="00171E28">
        <w:rPr>
          <w:sz w:val="24"/>
          <w:szCs w:val="24"/>
        </w:rPr>
        <w:t>.</w:t>
      </w:r>
    </w:p>
    <w:p w:rsidR="00B86531" w:rsidRPr="00171E28" w:rsidRDefault="00B86531" w:rsidP="00C44B3B">
      <w:pPr>
        <w:ind w:left="851"/>
        <w:rPr>
          <w:sz w:val="24"/>
          <w:szCs w:val="24"/>
        </w:rPr>
      </w:pPr>
    </w:p>
    <w:p w:rsidR="000D4758" w:rsidRPr="000D4758" w:rsidRDefault="00B86531" w:rsidP="00C44B3B">
      <w:pPr>
        <w:ind w:left="851"/>
        <w:rPr>
          <w:sz w:val="24"/>
          <w:szCs w:val="24"/>
          <w:u w:val="single"/>
        </w:rPr>
      </w:pPr>
      <w:r w:rsidRPr="000D4758">
        <w:rPr>
          <w:sz w:val="24"/>
          <w:szCs w:val="24"/>
          <w:u w:val="single"/>
        </w:rPr>
        <w:t>Pakningsstørrelser</w:t>
      </w:r>
    </w:p>
    <w:p w:rsidR="00B86531" w:rsidRPr="00171E28" w:rsidRDefault="00B86531" w:rsidP="00C44B3B">
      <w:pPr>
        <w:ind w:left="851"/>
        <w:rPr>
          <w:sz w:val="24"/>
          <w:szCs w:val="24"/>
        </w:rPr>
      </w:pPr>
      <w:r w:rsidRPr="00171E28">
        <w:rPr>
          <w:sz w:val="24"/>
          <w:szCs w:val="24"/>
        </w:rPr>
        <w:t>4, 12, 24</w:t>
      </w:r>
      <w:r w:rsidR="002D6133">
        <w:rPr>
          <w:sz w:val="24"/>
          <w:szCs w:val="24"/>
        </w:rPr>
        <w:t xml:space="preserve">, 48 </w:t>
      </w:r>
      <w:r w:rsidR="000D4758">
        <w:rPr>
          <w:sz w:val="24"/>
          <w:szCs w:val="24"/>
        </w:rPr>
        <w:t xml:space="preserve">breve </w:t>
      </w:r>
      <w:r w:rsidR="002D6133">
        <w:rPr>
          <w:sz w:val="24"/>
          <w:szCs w:val="24"/>
        </w:rPr>
        <w:t>og multipakninger indeholdende 48 (2</w:t>
      </w:r>
      <w:r w:rsidR="000D4758">
        <w:rPr>
          <w:sz w:val="24"/>
          <w:szCs w:val="24"/>
        </w:rPr>
        <w:t>×</w:t>
      </w:r>
      <w:r w:rsidR="002D6133">
        <w:rPr>
          <w:sz w:val="24"/>
          <w:szCs w:val="24"/>
        </w:rPr>
        <w:t xml:space="preserve">24) </w:t>
      </w:r>
      <w:r w:rsidRPr="00171E28">
        <w:rPr>
          <w:sz w:val="24"/>
          <w:szCs w:val="24"/>
        </w:rPr>
        <w:t>breve.</w:t>
      </w:r>
    </w:p>
    <w:p w:rsidR="00B86531" w:rsidRPr="00171E28" w:rsidRDefault="00B86531" w:rsidP="00C44B3B">
      <w:pPr>
        <w:ind w:left="851"/>
        <w:rPr>
          <w:sz w:val="24"/>
          <w:szCs w:val="24"/>
        </w:rPr>
      </w:pPr>
    </w:p>
    <w:p w:rsidR="00B86531" w:rsidRPr="00171E28" w:rsidRDefault="00B86531" w:rsidP="00C44B3B">
      <w:pPr>
        <w:ind w:left="851"/>
        <w:rPr>
          <w:sz w:val="24"/>
          <w:szCs w:val="24"/>
        </w:rPr>
      </w:pPr>
      <w:r w:rsidRPr="00171E28">
        <w:rPr>
          <w:sz w:val="24"/>
          <w:szCs w:val="24"/>
        </w:rPr>
        <w:t xml:space="preserve">Ikke alle pakningsstørrelser er nødvendigvis markedsført. </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Pr>
          <w:b/>
          <w:sz w:val="24"/>
          <w:szCs w:val="24"/>
        </w:rPr>
        <w:t>6.6</w:t>
      </w:r>
      <w:r>
        <w:rPr>
          <w:b/>
          <w:sz w:val="24"/>
          <w:szCs w:val="24"/>
        </w:rPr>
        <w:tab/>
        <w:t xml:space="preserve">Regler for </w:t>
      </w:r>
      <w:r w:rsidR="004B0FF8">
        <w:rPr>
          <w:b/>
          <w:sz w:val="24"/>
          <w:szCs w:val="24"/>
        </w:rPr>
        <w:t>destruktion</w:t>
      </w:r>
      <w:r w:rsidRPr="00171E28">
        <w:rPr>
          <w:b/>
          <w:sz w:val="24"/>
          <w:szCs w:val="24"/>
        </w:rPr>
        <w:t xml:space="preserve"> og anden håndtering</w:t>
      </w:r>
    </w:p>
    <w:p w:rsidR="00B86531" w:rsidRPr="00171E28" w:rsidRDefault="00B86531" w:rsidP="00C44B3B">
      <w:pPr>
        <w:ind w:left="851"/>
        <w:rPr>
          <w:sz w:val="24"/>
          <w:szCs w:val="24"/>
        </w:rPr>
      </w:pPr>
      <w:r w:rsidRPr="00171E28">
        <w:rPr>
          <w:sz w:val="24"/>
          <w:szCs w:val="24"/>
        </w:rPr>
        <w:t>Ingen særlige forholdsregler.</w:t>
      </w:r>
    </w:p>
    <w:p w:rsidR="00EE6EA6" w:rsidRDefault="00EE6EA6">
      <w:pPr>
        <w:rPr>
          <w:sz w:val="24"/>
          <w:szCs w:val="24"/>
        </w:rPr>
      </w:pPr>
      <w:r>
        <w:rPr>
          <w:sz w:val="24"/>
          <w:szCs w:val="24"/>
        </w:rPr>
        <w:br w:type="page"/>
      </w:r>
    </w:p>
    <w:p w:rsidR="00B86531" w:rsidRPr="00171E28" w:rsidRDefault="00B86531" w:rsidP="00C44B3B">
      <w:pPr>
        <w:ind w:left="851"/>
        <w:jc w:val="both"/>
        <w:rPr>
          <w:sz w:val="24"/>
          <w:szCs w:val="24"/>
        </w:rPr>
      </w:pPr>
    </w:p>
    <w:p w:rsidR="00B86531" w:rsidRPr="00171E28" w:rsidRDefault="00B86531" w:rsidP="00B86531">
      <w:pPr>
        <w:ind w:left="851" w:hanging="851"/>
        <w:rPr>
          <w:b/>
          <w:sz w:val="24"/>
          <w:szCs w:val="24"/>
        </w:rPr>
      </w:pPr>
      <w:r w:rsidRPr="00171E28">
        <w:rPr>
          <w:b/>
          <w:sz w:val="24"/>
          <w:szCs w:val="24"/>
        </w:rPr>
        <w:t>7.</w:t>
      </w:r>
      <w:r w:rsidRPr="00171E28">
        <w:rPr>
          <w:b/>
          <w:sz w:val="24"/>
          <w:szCs w:val="24"/>
        </w:rPr>
        <w:tab/>
        <w:t>INDEHAVER AF MARKEDSFØRINGSTILLADELSEN</w:t>
      </w:r>
    </w:p>
    <w:p w:rsidR="00B86531" w:rsidRPr="00171E28" w:rsidRDefault="00B86531" w:rsidP="00C44B3B">
      <w:pPr>
        <w:ind w:left="851"/>
        <w:rPr>
          <w:sz w:val="24"/>
          <w:szCs w:val="24"/>
          <w:lang w:val="en-US"/>
        </w:rPr>
      </w:pPr>
      <w:r w:rsidRPr="00171E28">
        <w:rPr>
          <w:sz w:val="24"/>
          <w:szCs w:val="24"/>
          <w:lang w:val="en-US"/>
        </w:rPr>
        <w:t>Reckitt Benckiser Healthcare (Scandinavia) A/S</w:t>
      </w:r>
    </w:p>
    <w:p w:rsidR="00B86531" w:rsidRPr="00171E28" w:rsidRDefault="00B86531" w:rsidP="00C44B3B">
      <w:pPr>
        <w:ind w:left="851"/>
        <w:rPr>
          <w:sz w:val="24"/>
          <w:szCs w:val="24"/>
        </w:rPr>
      </w:pPr>
      <w:r w:rsidRPr="00171E28">
        <w:rPr>
          <w:sz w:val="24"/>
          <w:szCs w:val="24"/>
        </w:rPr>
        <w:t>Vandtårnsvej 83A</w:t>
      </w:r>
    </w:p>
    <w:p w:rsidR="00B86531" w:rsidRPr="00171E28" w:rsidRDefault="00B86531" w:rsidP="00C44B3B">
      <w:pPr>
        <w:ind w:left="851"/>
        <w:rPr>
          <w:sz w:val="24"/>
          <w:szCs w:val="24"/>
        </w:rPr>
      </w:pPr>
      <w:r w:rsidRPr="00171E28">
        <w:rPr>
          <w:sz w:val="24"/>
          <w:szCs w:val="24"/>
        </w:rPr>
        <w:t>2860 Søborg</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8.</w:t>
      </w:r>
      <w:r w:rsidRPr="00171E28">
        <w:rPr>
          <w:b/>
          <w:sz w:val="24"/>
          <w:szCs w:val="24"/>
        </w:rPr>
        <w:tab/>
        <w:t>MARKEDSFØRINGSTILLADELSESNUMMER (NUMRE)</w:t>
      </w:r>
    </w:p>
    <w:p w:rsidR="00B86531" w:rsidRPr="00171E28" w:rsidRDefault="00B86531" w:rsidP="00C44B3B">
      <w:pPr>
        <w:ind w:left="851"/>
        <w:rPr>
          <w:sz w:val="24"/>
          <w:szCs w:val="24"/>
        </w:rPr>
      </w:pPr>
      <w:r w:rsidRPr="00171E28">
        <w:rPr>
          <w:sz w:val="24"/>
          <w:szCs w:val="24"/>
        </w:rPr>
        <w:t>48971</w:t>
      </w:r>
    </w:p>
    <w:p w:rsidR="00B86531" w:rsidRPr="00171E28" w:rsidRDefault="00B86531" w:rsidP="00C44B3B">
      <w:pPr>
        <w:ind w:left="851"/>
        <w:jc w:val="both"/>
        <w:rPr>
          <w:sz w:val="24"/>
          <w:szCs w:val="24"/>
        </w:rPr>
      </w:pPr>
    </w:p>
    <w:p w:rsidR="00B86531" w:rsidRPr="00171E28" w:rsidRDefault="00B86531" w:rsidP="00B86531">
      <w:pPr>
        <w:ind w:left="851" w:hanging="851"/>
        <w:rPr>
          <w:b/>
          <w:sz w:val="24"/>
          <w:szCs w:val="24"/>
        </w:rPr>
      </w:pPr>
      <w:r w:rsidRPr="00171E28">
        <w:rPr>
          <w:b/>
          <w:sz w:val="24"/>
          <w:szCs w:val="24"/>
        </w:rPr>
        <w:t>9.</w:t>
      </w:r>
      <w:r w:rsidRPr="00171E28">
        <w:rPr>
          <w:b/>
          <w:sz w:val="24"/>
          <w:szCs w:val="24"/>
        </w:rPr>
        <w:tab/>
        <w:t>DATO FOR FØRSTE MARKEDSFØRINGSTILLADELSE</w:t>
      </w:r>
    </w:p>
    <w:p w:rsidR="00B86531" w:rsidRPr="00171E28" w:rsidRDefault="00B86531" w:rsidP="00C44B3B">
      <w:pPr>
        <w:ind w:left="851"/>
        <w:rPr>
          <w:sz w:val="24"/>
          <w:szCs w:val="24"/>
        </w:rPr>
      </w:pPr>
      <w:r>
        <w:rPr>
          <w:sz w:val="24"/>
          <w:szCs w:val="24"/>
        </w:rPr>
        <w:t>23. april 2010</w:t>
      </w:r>
    </w:p>
    <w:p w:rsidR="00B86531" w:rsidRPr="00171E28" w:rsidRDefault="00B86531" w:rsidP="00C44B3B">
      <w:pPr>
        <w:ind w:left="851"/>
        <w:rPr>
          <w:sz w:val="24"/>
          <w:szCs w:val="24"/>
        </w:rPr>
      </w:pPr>
    </w:p>
    <w:p w:rsidR="00B86531" w:rsidRPr="00171E28" w:rsidRDefault="00B86531" w:rsidP="00B86531">
      <w:pPr>
        <w:ind w:left="851" w:hanging="851"/>
        <w:rPr>
          <w:b/>
          <w:sz w:val="24"/>
          <w:szCs w:val="24"/>
        </w:rPr>
      </w:pPr>
      <w:r w:rsidRPr="00171E28">
        <w:rPr>
          <w:b/>
          <w:sz w:val="24"/>
          <w:szCs w:val="24"/>
        </w:rPr>
        <w:t>10.</w:t>
      </w:r>
      <w:r w:rsidRPr="00171E28">
        <w:rPr>
          <w:b/>
          <w:sz w:val="24"/>
          <w:szCs w:val="24"/>
        </w:rPr>
        <w:tab/>
        <w:t>DATO FOR ÆNDRING AF TEKSTEN</w:t>
      </w:r>
    </w:p>
    <w:p w:rsidR="009260DE" w:rsidRPr="00EE6EA6" w:rsidRDefault="00EE6EA6" w:rsidP="00EE6EA6">
      <w:pPr>
        <w:ind w:left="851"/>
        <w:rPr>
          <w:sz w:val="24"/>
          <w:szCs w:val="24"/>
        </w:rPr>
      </w:pPr>
      <w:r>
        <w:rPr>
          <w:sz w:val="24"/>
          <w:szCs w:val="24"/>
        </w:rPr>
        <w:t>18. maj 2021</w:t>
      </w:r>
    </w:p>
    <w:sectPr w:rsidR="009260DE" w:rsidRPr="00EE6EA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531" w:rsidRDefault="00B86531">
      <w:r>
        <w:separator/>
      </w:r>
    </w:p>
  </w:endnote>
  <w:endnote w:type="continuationSeparator" w:id="0">
    <w:p w:rsidR="00B86531" w:rsidRDefault="00B8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D6133">
      <w:rPr>
        <w:i/>
        <w:noProof/>
        <w:sz w:val="18"/>
        <w:szCs w:val="18"/>
      </w:rPr>
      <w:t>Galieve Forte, oral suspension i brev 500+213+325 mg-10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531" w:rsidRDefault="00B86531">
      <w:r>
        <w:separator/>
      </w:r>
    </w:p>
  </w:footnote>
  <w:footnote w:type="continuationSeparator" w:id="0">
    <w:p w:rsidR="00B86531" w:rsidRDefault="00B86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8C23066"/>
    <w:multiLevelType w:val="hybridMultilevel"/>
    <w:tmpl w:val="D88A9E6E"/>
    <w:lvl w:ilvl="0" w:tplc="04090005">
      <w:start w:val="1"/>
      <w:numFmt w:val="bullet"/>
      <w:lvlText w:val=""/>
      <w:lvlJc w:val="left"/>
      <w:pPr>
        <w:tabs>
          <w:tab w:val="num" w:pos="1211"/>
        </w:tabs>
        <w:ind w:left="121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31"/>
    <w:rsid w:val="000259B9"/>
    <w:rsid w:val="00041491"/>
    <w:rsid w:val="00050D16"/>
    <w:rsid w:val="00074F2A"/>
    <w:rsid w:val="00093DFD"/>
    <w:rsid w:val="000A1CA8"/>
    <w:rsid w:val="000A466B"/>
    <w:rsid w:val="000B058C"/>
    <w:rsid w:val="000D4758"/>
    <w:rsid w:val="000E4EE6"/>
    <w:rsid w:val="0010250B"/>
    <w:rsid w:val="001454E2"/>
    <w:rsid w:val="00206CE8"/>
    <w:rsid w:val="00207BA6"/>
    <w:rsid w:val="0021526C"/>
    <w:rsid w:val="00254EB8"/>
    <w:rsid w:val="00283A2B"/>
    <w:rsid w:val="002B30AD"/>
    <w:rsid w:val="002C2C01"/>
    <w:rsid w:val="002D6133"/>
    <w:rsid w:val="003A29AE"/>
    <w:rsid w:val="003A32D7"/>
    <w:rsid w:val="003B4074"/>
    <w:rsid w:val="003C769A"/>
    <w:rsid w:val="003F1838"/>
    <w:rsid w:val="0045746C"/>
    <w:rsid w:val="0049104B"/>
    <w:rsid w:val="004B0FF8"/>
    <w:rsid w:val="004E3B12"/>
    <w:rsid w:val="00532310"/>
    <w:rsid w:val="00560ECC"/>
    <w:rsid w:val="00565F0F"/>
    <w:rsid w:val="005815CD"/>
    <w:rsid w:val="00594A86"/>
    <w:rsid w:val="00596D86"/>
    <w:rsid w:val="005A4D45"/>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A0528"/>
    <w:rsid w:val="00AA56CC"/>
    <w:rsid w:val="00B003BF"/>
    <w:rsid w:val="00B373D7"/>
    <w:rsid w:val="00B86531"/>
    <w:rsid w:val="00BD5CA1"/>
    <w:rsid w:val="00C36276"/>
    <w:rsid w:val="00C42586"/>
    <w:rsid w:val="00C44B3B"/>
    <w:rsid w:val="00C60CCD"/>
    <w:rsid w:val="00C6473B"/>
    <w:rsid w:val="00C71A2E"/>
    <w:rsid w:val="00C84483"/>
    <w:rsid w:val="00C95551"/>
    <w:rsid w:val="00CB20D7"/>
    <w:rsid w:val="00CE61FB"/>
    <w:rsid w:val="00D020B0"/>
    <w:rsid w:val="00D11748"/>
    <w:rsid w:val="00D366CF"/>
    <w:rsid w:val="00D913D3"/>
    <w:rsid w:val="00DB62C4"/>
    <w:rsid w:val="00E108AA"/>
    <w:rsid w:val="00E31812"/>
    <w:rsid w:val="00E3749A"/>
    <w:rsid w:val="00E62E7A"/>
    <w:rsid w:val="00E7437F"/>
    <w:rsid w:val="00E865B8"/>
    <w:rsid w:val="00EA2A43"/>
    <w:rsid w:val="00EC0B9B"/>
    <w:rsid w:val="00ED5E9F"/>
    <w:rsid w:val="00EE6EA6"/>
    <w:rsid w:val="00F66D4F"/>
    <w:rsid w:val="00FB6D01"/>
    <w:rsid w:val="00FD42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F97EB"/>
  <w15:chartTrackingRefBased/>
  <w15:docId w15:val="{5B57B0CD-CCED-4E02-9811-6AC84806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longtext1">
    <w:name w:val="long_text1"/>
    <w:rsid w:val="00B86531"/>
    <w:rPr>
      <w:sz w:val="20"/>
      <w:szCs w:val="20"/>
    </w:rPr>
  </w:style>
  <w:style w:type="character" w:styleId="Hyperlink">
    <w:name w:val="Hyperlink"/>
    <w:unhideWhenUsed/>
    <w:rsid w:val="00B86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50582098">
      <w:bodyDiv w:val="1"/>
      <w:marLeft w:val="0"/>
      <w:marRight w:val="0"/>
      <w:marTop w:val="0"/>
      <w:marBottom w:val="0"/>
      <w:divBdr>
        <w:top w:val="none" w:sz="0" w:space="0" w:color="auto"/>
        <w:left w:val="none" w:sz="0" w:space="0" w:color="auto"/>
        <w:bottom w:val="none" w:sz="0" w:space="0" w:color="auto"/>
        <w:right w:val="none" w:sz="0" w:space="0" w:color="auto"/>
      </w:divBdr>
    </w:div>
    <w:div w:id="1759331903">
      <w:bodyDiv w:val="1"/>
      <w:marLeft w:val="0"/>
      <w:marRight w:val="0"/>
      <w:marTop w:val="0"/>
      <w:marBottom w:val="0"/>
      <w:divBdr>
        <w:top w:val="none" w:sz="0" w:space="0" w:color="auto"/>
        <w:left w:val="none" w:sz="0" w:space="0" w:color="auto"/>
        <w:bottom w:val="none" w:sz="0" w:space="0" w:color="auto"/>
        <w:right w:val="none" w:sz="0" w:space="0" w:color="auto"/>
      </w:divBdr>
    </w:div>
    <w:div w:id="206721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38</TotalTime>
  <Pages>6</Pages>
  <Words>1174</Words>
  <Characters>7966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Efter aftale med Patrick Sønderskov, Reckitt, i tlf d. 18. maj er filnavnet for de 3 andre Galieve SmPCer korrigeret (sv.t. styrkeangivelsen i LEOPARD samt SmPC SOP). Layout mv i den forbindelse gennemgået og rettet op på. Derfor er Layout mv også gennemgået for dette SmPC.</dc:description>
  <cp:lastModifiedBy>Hanne Thy Iversen</cp:lastModifiedBy>
  <cp:revision>10</cp:revision>
  <cp:lastPrinted>2012-08-22T08:53:00Z</cp:lastPrinted>
  <dcterms:created xsi:type="dcterms:W3CDTF">2020-08-19T09:41:00Z</dcterms:created>
  <dcterms:modified xsi:type="dcterms:W3CDTF">2021-05-18T12:18:00Z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