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EE29" w14:textId="77777777" w:rsidR="009260DE" w:rsidRPr="005955A7" w:rsidRDefault="0021526C" w:rsidP="009260DE">
      <w:pPr>
        <w:rPr>
          <w:sz w:val="24"/>
          <w:szCs w:val="24"/>
        </w:rPr>
      </w:pPr>
      <w:r w:rsidRPr="005955A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5F3EECD9" wp14:editId="0C111AD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5955A7">
        <w:rPr>
          <w:sz w:val="24"/>
          <w:szCs w:val="24"/>
        </w:rPr>
        <w:br w:type="textWrapping" w:clear="all"/>
      </w:r>
    </w:p>
    <w:p w14:paraId="6B7AF887" w14:textId="40F501E0" w:rsidR="009260DE" w:rsidRPr="005955A7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5955A7">
        <w:rPr>
          <w:b w:val="0"/>
          <w:szCs w:val="24"/>
          <w:lang w:eastAsia="en-US"/>
        </w:rPr>
        <w:tab/>
      </w:r>
      <w:r w:rsidR="002E322D">
        <w:rPr>
          <w:szCs w:val="24"/>
        </w:rPr>
        <w:t>19</w:t>
      </w:r>
      <w:r w:rsidR="005B4ABD">
        <w:rPr>
          <w:szCs w:val="24"/>
        </w:rPr>
        <w:t xml:space="preserve">. </w:t>
      </w:r>
      <w:r w:rsidR="002E322D">
        <w:rPr>
          <w:szCs w:val="24"/>
        </w:rPr>
        <w:t>august</w:t>
      </w:r>
      <w:r w:rsidR="005B4ABD">
        <w:rPr>
          <w:szCs w:val="24"/>
        </w:rPr>
        <w:t xml:space="preserve"> 202</w:t>
      </w:r>
      <w:r w:rsidR="002E322D">
        <w:rPr>
          <w:szCs w:val="24"/>
        </w:rPr>
        <w:t>4</w:t>
      </w:r>
    </w:p>
    <w:p w14:paraId="679D3280" w14:textId="77777777" w:rsidR="009260DE" w:rsidRPr="005955A7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4A7423A" w14:textId="0DEA768C" w:rsidR="009260DE" w:rsidRPr="005955A7" w:rsidRDefault="009260DE" w:rsidP="009260DE">
      <w:pPr>
        <w:pStyle w:val="Titel"/>
        <w:jc w:val="left"/>
        <w:rPr>
          <w:b w:val="0"/>
          <w:szCs w:val="24"/>
        </w:rPr>
      </w:pPr>
    </w:p>
    <w:p w14:paraId="6FA469DC" w14:textId="77777777" w:rsidR="009260DE" w:rsidRPr="005955A7" w:rsidRDefault="009260DE" w:rsidP="009260DE">
      <w:pPr>
        <w:pStyle w:val="Titel"/>
        <w:jc w:val="left"/>
        <w:rPr>
          <w:b w:val="0"/>
          <w:szCs w:val="24"/>
        </w:rPr>
      </w:pPr>
    </w:p>
    <w:p w14:paraId="117DFF02" w14:textId="77777777" w:rsidR="009260DE" w:rsidRPr="005955A7" w:rsidRDefault="009260DE" w:rsidP="009260DE">
      <w:pPr>
        <w:jc w:val="center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PRODUKTRESUMÉ</w:t>
      </w:r>
    </w:p>
    <w:p w14:paraId="29AC9A5D" w14:textId="77777777" w:rsidR="009260DE" w:rsidRPr="005955A7" w:rsidRDefault="009260DE" w:rsidP="009260DE">
      <w:pPr>
        <w:jc w:val="center"/>
        <w:rPr>
          <w:b/>
          <w:sz w:val="24"/>
          <w:szCs w:val="24"/>
        </w:rPr>
      </w:pPr>
    </w:p>
    <w:p w14:paraId="5DAAA2D2" w14:textId="77777777" w:rsidR="009260DE" w:rsidRPr="005955A7" w:rsidRDefault="009260DE" w:rsidP="009260DE">
      <w:pPr>
        <w:jc w:val="center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for</w:t>
      </w:r>
    </w:p>
    <w:p w14:paraId="7635459A" w14:textId="77777777" w:rsidR="000B058C" w:rsidRPr="005955A7" w:rsidRDefault="000B058C" w:rsidP="009260DE">
      <w:pPr>
        <w:jc w:val="center"/>
        <w:rPr>
          <w:b/>
          <w:sz w:val="24"/>
          <w:szCs w:val="24"/>
        </w:rPr>
      </w:pPr>
    </w:p>
    <w:p w14:paraId="74BC13B0" w14:textId="252331D3" w:rsidR="009260DE" w:rsidRPr="005955A7" w:rsidRDefault="000A5DDD" w:rsidP="009260DE">
      <w:pPr>
        <w:jc w:val="center"/>
        <w:rPr>
          <w:b/>
          <w:sz w:val="24"/>
          <w:szCs w:val="24"/>
        </w:rPr>
      </w:pPr>
      <w:proofErr w:type="spellStart"/>
      <w:r w:rsidRPr="005955A7">
        <w:rPr>
          <w:b/>
          <w:sz w:val="24"/>
          <w:szCs w:val="24"/>
        </w:rPr>
        <w:t>Ganciclovir</w:t>
      </w:r>
      <w:proofErr w:type="spellEnd"/>
      <w:r w:rsidRPr="005955A7">
        <w:rPr>
          <w:b/>
          <w:sz w:val="24"/>
          <w:szCs w:val="24"/>
        </w:rPr>
        <w:t xml:space="preserve"> "</w:t>
      </w:r>
      <w:proofErr w:type="spellStart"/>
      <w:r w:rsidRPr="005955A7">
        <w:rPr>
          <w:b/>
          <w:sz w:val="24"/>
          <w:szCs w:val="24"/>
        </w:rPr>
        <w:t>O</w:t>
      </w:r>
      <w:r w:rsidR="00803F0A">
        <w:rPr>
          <w:b/>
          <w:sz w:val="24"/>
          <w:szCs w:val="24"/>
        </w:rPr>
        <w:t>re</w:t>
      </w:r>
      <w:r w:rsidRPr="005955A7">
        <w:rPr>
          <w:b/>
          <w:sz w:val="24"/>
          <w:szCs w:val="24"/>
        </w:rPr>
        <w:t>sund</w:t>
      </w:r>
      <w:proofErr w:type="spellEnd"/>
      <w:r w:rsidRPr="005955A7">
        <w:rPr>
          <w:b/>
          <w:sz w:val="24"/>
          <w:szCs w:val="24"/>
        </w:rPr>
        <w:t xml:space="preserve"> Pharma", pulver til koncentrat til infusionsvæske, opløsning</w:t>
      </w:r>
    </w:p>
    <w:p w14:paraId="6E4C32C2" w14:textId="77777777" w:rsidR="009260DE" w:rsidRPr="005955A7" w:rsidRDefault="009260DE" w:rsidP="009260DE">
      <w:pPr>
        <w:jc w:val="both"/>
        <w:rPr>
          <w:sz w:val="24"/>
          <w:szCs w:val="24"/>
        </w:rPr>
      </w:pPr>
    </w:p>
    <w:p w14:paraId="7C442500" w14:textId="77777777" w:rsidR="009260DE" w:rsidRPr="005955A7" w:rsidRDefault="009260DE" w:rsidP="009260DE">
      <w:pPr>
        <w:jc w:val="both"/>
        <w:rPr>
          <w:sz w:val="24"/>
          <w:szCs w:val="24"/>
        </w:rPr>
      </w:pPr>
    </w:p>
    <w:p w14:paraId="5D4C59D3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0.</w:t>
      </w:r>
      <w:r w:rsidRPr="005955A7">
        <w:rPr>
          <w:b/>
          <w:sz w:val="24"/>
          <w:szCs w:val="24"/>
        </w:rPr>
        <w:tab/>
        <w:t>D.SP.NR.</w:t>
      </w:r>
    </w:p>
    <w:p w14:paraId="551ED1FC" w14:textId="768F1DA6" w:rsidR="009260DE" w:rsidRPr="005955A7" w:rsidRDefault="007F7E0B" w:rsidP="009260DE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32736</w:t>
      </w:r>
    </w:p>
    <w:p w14:paraId="1A6AA4B0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3CBC3F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1.</w:t>
      </w:r>
      <w:r w:rsidRPr="005955A7">
        <w:rPr>
          <w:b/>
          <w:sz w:val="24"/>
          <w:szCs w:val="24"/>
        </w:rPr>
        <w:tab/>
        <w:t>LÆGEMIDLETS NAVN</w:t>
      </w:r>
    </w:p>
    <w:p w14:paraId="1D0E7B3B" w14:textId="2AD34CEC" w:rsidR="009260DE" w:rsidRPr="005955A7" w:rsidRDefault="000A5DDD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"</w:t>
      </w:r>
      <w:proofErr w:type="spellStart"/>
      <w:r w:rsidRPr="005955A7">
        <w:rPr>
          <w:sz w:val="24"/>
          <w:szCs w:val="24"/>
        </w:rPr>
        <w:t>Oresund</w:t>
      </w:r>
      <w:proofErr w:type="spellEnd"/>
      <w:r w:rsidRPr="005955A7">
        <w:rPr>
          <w:sz w:val="24"/>
          <w:szCs w:val="24"/>
        </w:rPr>
        <w:t xml:space="preserve"> Pharma"</w:t>
      </w:r>
    </w:p>
    <w:p w14:paraId="4F9A3EB4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64690A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2.</w:t>
      </w:r>
      <w:r w:rsidRPr="005955A7">
        <w:rPr>
          <w:b/>
          <w:sz w:val="24"/>
          <w:szCs w:val="24"/>
        </w:rPr>
        <w:tab/>
        <w:t>KVALITATIV OG KVANTITATIV SAMMENSÆTNING</w:t>
      </w:r>
    </w:p>
    <w:p w14:paraId="04F4BE7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 xml:space="preserve">Et hætteglas indeholder 500 mg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(som </w:t>
      </w:r>
      <w:proofErr w:type="spellStart"/>
      <w:r w:rsidRPr="005955A7">
        <w:rPr>
          <w:sz w:val="24"/>
          <w:szCs w:val="24"/>
        </w:rPr>
        <w:t>ganciclovirnatrium</w:t>
      </w:r>
      <w:proofErr w:type="spellEnd"/>
      <w:r w:rsidRPr="005955A7">
        <w:rPr>
          <w:sz w:val="24"/>
          <w:szCs w:val="24"/>
        </w:rPr>
        <w:t>).</w:t>
      </w:r>
    </w:p>
    <w:p w14:paraId="3C3CA0D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CF44E3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Efter </w:t>
      </w:r>
      <w:proofErr w:type="spellStart"/>
      <w:r w:rsidRPr="005955A7">
        <w:rPr>
          <w:sz w:val="24"/>
          <w:szCs w:val="24"/>
        </w:rPr>
        <w:t>rekonstitution</w:t>
      </w:r>
      <w:proofErr w:type="spellEnd"/>
      <w:r w:rsidRPr="005955A7">
        <w:rPr>
          <w:sz w:val="24"/>
          <w:szCs w:val="24"/>
        </w:rPr>
        <w:t xml:space="preserve"> med 10 ml vand til injektionsvæsker indeholder hver ml 50 mg </w:t>
      </w:r>
    </w:p>
    <w:p w14:paraId="4369B7E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>.</w:t>
      </w:r>
    </w:p>
    <w:p w14:paraId="49C1C30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964E6A0" w14:textId="6354A6A3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  <w:u w:val="single"/>
        </w:rPr>
        <w:t>Hjælpestof, som behandleren skal være opmærksom på:</w:t>
      </w:r>
      <w:r w:rsidRPr="005955A7">
        <w:rPr>
          <w:sz w:val="24"/>
          <w:szCs w:val="24"/>
        </w:rPr>
        <w:t xml:space="preserve"> 43 mg natrium pr. hætteglas (4,3</w:t>
      </w:r>
      <w:r w:rsidR="00803F0A">
        <w:rPr>
          <w:sz w:val="24"/>
          <w:szCs w:val="24"/>
        </w:rPr>
        <w:t> </w:t>
      </w:r>
      <w:r w:rsidRPr="005955A7">
        <w:rPr>
          <w:sz w:val="24"/>
          <w:szCs w:val="24"/>
        </w:rPr>
        <w:t xml:space="preserve">mg natrium pr. ml </w:t>
      </w:r>
      <w:proofErr w:type="spellStart"/>
      <w:r w:rsidRPr="005955A7">
        <w:rPr>
          <w:sz w:val="24"/>
          <w:szCs w:val="24"/>
        </w:rPr>
        <w:t>rekonstitueret</w:t>
      </w:r>
      <w:proofErr w:type="spellEnd"/>
      <w:r w:rsidRPr="005955A7">
        <w:rPr>
          <w:sz w:val="24"/>
          <w:szCs w:val="24"/>
        </w:rPr>
        <w:t xml:space="preserve"> opløsning).</w:t>
      </w:r>
    </w:p>
    <w:p w14:paraId="1EF0493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3367D1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Alle hjælpestoffer er anført under pkt. 6.1.</w:t>
      </w:r>
    </w:p>
    <w:p w14:paraId="5B8D7234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630C68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3.</w:t>
      </w:r>
      <w:r w:rsidRPr="005955A7">
        <w:rPr>
          <w:b/>
          <w:sz w:val="24"/>
          <w:szCs w:val="24"/>
        </w:rPr>
        <w:tab/>
        <w:t>LÆGEMIDDELFORM</w:t>
      </w:r>
    </w:p>
    <w:p w14:paraId="67B230A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>Pulver til koncentrat til infusionsvæske, opløsning</w:t>
      </w:r>
    </w:p>
    <w:p w14:paraId="3A013E6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CC2BC3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Hvid porøs masse eller pulver.</w:t>
      </w:r>
    </w:p>
    <w:p w14:paraId="4B795A16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81E6F8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867DED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4.</w:t>
      </w:r>
      <w:r w:rsidRPr="005955A7">
        <w:rPr>
          <w:b/>
          <w:sz w:val="24"/>
          <w:szCs w:val="24"/>
        </w:rPr>
        <w:tab/>
        <w:t>KLINISKE OPLYSNINGER</w:t>
      </w:r>
    </w:p>
    <w:p w14:paraId="5D99D206" w14:textId="77777777" w:rsidR="009260DE" w:rsidRPr="005955A7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11B23B7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5955A7">
        <w:rPr>
          <w:b/>
          <w:sz w:val="24"/>
          <w:szCs w:val="24"/>
        </w:rPr>
        <w:t>4.1</w:t>
      </w:r>
      <w:r w:rsidRPr="005955A7">
        <w:rPr>
          <w:b/>
          <w:sz w:val="24"/>
          <w:szCs w:val="24"/>
        </w:rPr>
        <w:tab/>
        <w:t>Terapeutiske indikationer</w:t>
      </w:r>
    </w:p>
    <w:p w14:paraId="0AEDB6C6" w14:textId="3FFCA003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er indiceret til voksne og unge ≥ 12 år til:</w:t>
      </w:r>
    </w:p>
    <w:p w14:paraId="5C898B6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3B65845" w14:textId="77777777" w:rsidR="007F7E0B" w:rsidRPr="005955A7" w:rsidRDefault="007F7E0B" w:rsidP="007F7E0B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 xml:space="preserve">behandling af </w:t>
      </w:r>
      <w:proofErr w:type="spellStart"/>
      <w:r w:rsidRPr="005955A7">
        <w:rPr>
          <w:sz w:val="24"/>
          <w:szCs w:val="24"/>
        </w:rPr>
        <w:t>cytomegalovirus</w:t>
      </w:r>
      <w:proofErr w:type="spellEnd"/>
      <w:r w:rsidRPr="005955A7">
        <w:rPr>
          <w:sz w:val="24"/>
          <w:szCs w:val="24"/>
        </w:rPr>
        <w:t>- (CMV-) infektion hos immunkompromitterede patienter;</w:t>
      </w:r>
    </w:p>
    <w:p w14:paraId="25652516" w14:textId="77777777" w:rsidR="007F7E0B" w:rsidRPr="005955A7" w:rsidRDefault="007F7E0B" w:rsidP="007F7E0B">
      <w:pPr>
        <w:tabs>
          <w:tab w:val="left" w:pos="851"/>
        </w:tabs>
        <w:ind w:left="1211"/>
        <w:rPr>
          <w:sz w:val="24"/>
          <w:szCs w:val="24"/>
        </w:rPr>
      </w:pPr>
    </w:p>
    <w:p w14:paraId="344C848D" w14:textId="77777777" w:rsidR="007F7E0B" w:rsidRPr="005955A7" w:rsidRDefault="007F7E0B" w:rsidP="007F7E0B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>prævention af CMV-infektion ved anvendelse af profylaktisk behandling hos patienter med lægemiddelinduceret immunsuppression (fx efter organtransplantation eller kemoterapi).</w:t>
      </w:r>
    </w:p>
    <w:p w14:paraId="7685DA9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8204DCB" w14:textId="097024FF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lastRenderedPageBreak/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er også indiceret fra fødsel til:</w:t>
      </w:r>
    </w:p>
    <w:p w14:paraId="5A55245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F60BF6E" w14:textId="77777777" w:rsidR="007F7E0B" w:rsidRPr="005955A7" w:rsidRDefault="007F7E0B" w:rsidP="007F7E0B">
      <w:pPr>
        <w:numPr>
          <w:ilvl w:val="0"/>
          <w:numId w:val="7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>prævention af CMV-infektion ved anvendelse af universel profylakse hos patienter med lægemiddelinduceret immunsuppression (fx efter organtransplantation eller ved kemoterapi mod kræft).</w:t>
      </w:r>
    </w:p>
    <w:p w14:paraId="0D9CA8E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E08FD9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De officielle retningslinjer vedrørende korrekt brug af antivirale midler bør følges.</w:t>
      </w:r>
    </w:p>
    <w:p w14:paraId="6D87FC5F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E9AB1F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4.2</w:t>
      </w:r>
      <w:r w:rsidRPr="005955A7">
        <w:rPr>
          <w:b/>
          <w:sz w:val="24"/>
          <w:szCs w:val="24"/>
        </w:rPr>
        <w:tab/>
        <w:t xml:space="preserve">Dosering og </w:t>
      </w:r>
      <w:r w:rsidR="002C1EC0" w:rsidRPr="005955A7">
        <w:rPr>
          <w:b/>
          <w:sz w:val="24"/>
          <w:szCs w:val="24"/>
        </w:rPr>
        <w:t>administration</w:t>
      </w:r>
    </w:p>
    <w:p w14:paraId="24EFD456" w14:textId="77777777" w:rsidR="00A26195" w:rsidRDefault="00A26195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B793702" w14:textId="6EEA1335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5955A7">
        <w:rPr>
          <w:sz w:val="24"/>
          <w:szCs w:val="24"/>
          <w:u w:val="single"/>
        </w:rPr>
        <w:t>Dosering</w:t>
      </w:r>
    </w:p>
    <w:p w14:paraId="568CA73B" w14:textId="77777777" w:rsidR="00803F0A" w:rsidRDefault="00803F0A" w:rsidP="00A26195">
      <w:pPr>
        <w:ind w:left="851"/>
        <w:rPr>
          <w:b/>
          <w:bCs/>
          <w:i/>
          <w:iCs/>
          <w:sz w:val="24"/>
          <w:szCs w:val="24"/>
        </w:rPr>
      </w:pPr>
    </w:p>
    <w:p w14:paraId="34402E87" w14:textId="418997AD" w:rsidR="007F7E0B" w:rsidRPr="005955A7" w:rsidRDefault="007F7E0B" w:rsidP="00A26195">
      <w:pPr>
        <w:ind w:left="851"/>
        <w:rPr>
          <w:b/>
          <w:bCs/>
          <w:i/>
          <w:iCs/>
          <w:sz w:val="24"/>
          <w:szCs w:val="24"/>
        </w:rPr>
      </w:pPr>
      <w:r w:rsidRPr="005955A7">
        <w:rPr>
          <w:b/>
          <w:bCs/>
          <w:i/>
          <w:iCs/>
          <w:sz w:val="24"/>
          <w:szCs w:val="24"/>
        </w:rPr>
        <w:t xml:space="preserve">Behandling af CMV-infektion </w:t>
      </w:r>
    </w:p>
    <w:p w14:paraId="1D45D2FA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Voksne og pædiatrisk population ≥ 12 år med normal nyrefunktion:</w:t>
      </w:r>
    </w:p>
    <w:p w14:paraId="1ABB83CF" w14:textId="77777777" w:rsidR="007F7E0B" w:rsidRPr="005955A7" w:rsidRDefault="007F7E0B" w:rsidP="007F7E0B">
      <w:pPr>
        <w:numPr>
          <w:ilvl w:val="0"/>
          <w:numId w:val="7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>Initialbehandling: 5 mg/kg som intravenøs infusion over 1 time hver 12. time i 14-21 dage.</w:t>
      </w:r>
    </w:p>
    <w:p w14:paraId="26BC5E83" w14:textId="77777777" w:rsidR="007F7E0B" w:rsidRPr="005955A7" w:rsidRDefault="007F7E0B" w:rsidP="007F7E0B">
      <w:pPr>
        <w:numPr>
          <w:ilvl w:val="0"/>
          <w:numId w:val="7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>Vedligeholdelsesbehandling: Der kan gives vedligeholdelsesbehandling til immunkompromitterede patienter med risiko for recidiv. Der gives 5 mg/kg som intravenøs infusion over 1 time 1 gang dagligt 7 dage om ugen eller 6 mg/kg 1 gang dagligt 5 dage om ugen. Varigheden af vedligeholdelsesbehandlingen skal vurderes individuelt i overensstemmelse med lokale vejledninger.</w:t>
      </w:r>
    </w:p>
    <w:p w14:paraId="238297EA" w14:textId="77777777" w:rsidR="007F7E0B" w:rsidRPr="005955A7" w:rsidRDefault="007F7E0B" w:rsidP="007F7E0B">
      <w:pPr>
        <w:numPr>
          <w:ilvl w:val="0"/>
          <w:numId w:val="7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 xml:space="preserve">Behandling af sygdomsprogression: Patienter, der oplever CMV-sygdomsprogression, enten under vedligeholdelsesbehandling, eller fordi behandlingen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seponeret, kan genbehandles ved at gentage initialbehandlingsregimet.</w:t>
      </w:r>
    </w:p>
    <w:p w14:paraId="640ABB0E" w14:textId="77777777" w:rsidR="007F7E0B" w:rsidRPr="005955A7" w:rsidRDefault="007F7E0B" w:rsidP="00A26195">
      <w:pPr>
        <w:ind w:left="851"/>
        <w:rPr>
          <w:sz w:val="24"/>
          <w:szCs w:val="24"/>
        </w:rPr>
      </w:pPr>
    </w:p>
    <w:p w14:paraId="0AB6FA21" w14:textId="6036F577" w:rsidR="007F7E0B" w:rsidRPr="005955A7" w:rsidRDefault="007F7E0B" w:rsidP="00A26195">
      <w:pPr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Pædiatrisk population fra fødsel til &lt; 12 år:</w:t>
      </w:r>
    </w:p>
    <w:p w14:paraId="28A68900" w14:textId="77777777" w:rsidR="007F7E0B" w:rsidRPr="005955A7" w:rsidRDefault="007F7E0B" w:rsidP="00A26195">
      <w:pPr>
        <w:ind w:left="851"/>
        <w:rPr>
          <w:sz w:val="24"/>
          <w:szCs w:val="24"/>
        </w:rPr>
      </w:pPr>
      <w:r w:rsidRPr="005955A7">
        <w:rPr>
          <w:sz w:val="24"/>
          <w:szCs w:val="24"/>
        </w:rPr>
        <w:t>Nuværende tilgængelige pædiatriske data er beskrevet i pkt. 5.1 og 5.2, men der kan ikke gives anbefalinger om doseringen.</w:t>
      </w:r>
    </w:p>
    <w:p w14:paraId="17E283A5" w14:textId="77777777" w:rsidR="007F7E0B" w:rsidRPr="005955A7" w:rsidRDefault="007F7E0B" w:rsidP="00A26195">
      <w:pPr>
        <w:ind w:left="851"/>
        <w:rPr>
          <w:sz w:val="24"/>
          <w:szCs w:val="24"/>
        </w:rPr>
      </w:pPr>
    </w:p>
    <w:p w14:paraId="67E0FEB8" w14:textId="77777777" w:rsidR="007F7E0B" w:rsidRPr="005955A7" w:rsidRDefault="007F7E0B" w:rsidP="007F7E0B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  <w:r w:rsidRPr="005955A7">
        <w:rPr>
          <w:b/>
          <w:bCs/>
          <w:i/>
          <w:iCs/>
          <w:sz w:val="24"/>
          <w:szCs w:val="24"/>
        </w:rPr>
        <w:t>Prævention af CMV-infektion ved anvendelse af præventiv behandling</w:t>
      </w:r>
    </w:p>
    <w:p w14:paraId="3D98D85F" w14:textId="3773C221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Voksne og pædiatrisk population ≥ 12 år med normal nyrefunktion:</w:t>
      </w:r>
    </w:p>
    <w:p w14:paraId="2BB1943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Initialbehandling: 5 mg/kg som intravenøs infusion over 1 time hver 12. time i 7-14 dage.</w:t>
      </w:r>
    </w:p>
    <w:p w14:paraId="568F1A47" w14:textId="10490BF9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Vedligeholdelsesbehandling: 5 mg/kg som intravenøs infusion over 1 time 1 gang dagligt 7 dage om ugen eller 6 mg/kg 1 gang dagligt 5 dage om ugen. Varigheden af vedlige</w:t>
      </w:r>
      <w:r w:rsidR="00803F0A">
        <w:rPr>
          <w:sz w:val="24"/>
          <w:szCs w:val="24"/>
        </w:rPr>
        <w:softHyphen/>
      </w:r>
      <w:r w:rsidRPr="005955A7">
        <w:rPr>
          <w:sz w:val="24"/>
          <w:szCs w:val="24"/>
        </w:rPr>
        <w:t>holdelses</w:t>
      </w:r>
      <w:r w:rsidR="00803F0A">
        <w:rPr>
          <w:sz w:val="24"/>
          <w:szCs w:val="24"/>
        </w:rPr>
        <w:softHyphen/>
      </w:r>
      <w:r w:rsidRPr="005955A7">
        <w:rPr>
          <w:sz w:val="24"/>
          <w:szCs w:val="24"/>
        </w:rPr>
        <w:t>behandlingen skal baseres på risikoen for CMV-infektion og i overensstemmelse med lokale vejledninger.</w:t>
      </w:r>
    </w:p>
    <w:p w14:paraId="4AF0070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549C32C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Pædiatrisk population fra fødsel til &lt; 12 år:</w:t>
      </w:r>
    </w:p>
    <w:p w14:paraId="29D15AF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Nuværende tilgængelige pædiatriske data er beskrevet i pkt. 5.1 og 5.2, men der kan ikke gives anbefalinger om doseringen.</w:t>
      </w:r>
    </w:p>
    <w:p w14:paraId="5F9B391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0EA7AF4" w14:textId="77777777" w:rsidR="007F7E0B" w:rsidRPr="005955A7" w:rsidRDefault="007F7E0B" w:rsidP="007F7E0B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  <w:r w:rsidRPr="005955A7">
        <w:rPr>
          <w:b/>
          <w:bCs/>
          <w:i/>
          <w:iCs/>
          <w:sz w:val="24"/>
          <w:szCs w:val="24"/>
        </w:rPr>
        <w:t>Prævention af CMV-infektion ved anvendelse af universel profylakse</w:t>
      </w:r>
    </w:p>
    <w:p w14:paraId="1E7BBAAF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Voksne og pædiatrisk population &gt;16 år:</w:t>
      </w:r>
    </w:p>
    <w:p w14:paraId="0BB58F7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5 mg/kg som intravenøs infusion over 1 time 1 gang dagligt 7 dage om ugen eller 6 mg/kg 1 gang dagligt 5 dage om ugen. Varigheden af behandlingen skal baseres på risikoen for CMV-infektion og i overensstemmelse med lokale vejledninger.</w:t>
      </w:r>
    </w:p>
    <w:p w14:paraId="4F4D6B1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8117D22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 xml:space="preserve">Pædiatrisk population fra fødsel til ≤ 16 år: </w:t>
      </w:r>
    </w:p>
    <w:p w14:paraId="01FA7B44" w14:textId="1B70AA43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Den anbefalede dosis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én gang dagligt givet som en intravenøs infusion over en time er baseret på kroppens overfladeareal (Body Surface </w:t>
      </w:r>
      <w:proofErr w:type="spellStart"/>
      <w:r w:rsidRPr="005955A7">
        <w:rPr>
          <w:sz w:val="24"/>
          <w:szCs w:val="24"/>
        </w:rPr>
        <w:t>Area</w:t>
      </w:r>
      <w:proofErr w:type="spellEnd"/>
      <w:r w:rsidRPr="005955A7">
        <w:rPr>
          <w:sz w:val="24"/>
          <w:szCs w:val="24"/>
        </w:rPr>
        <w:t xml:space="preserve"> (BSA)) ved anvendelse af </w:t>
      </w:r>
      <w:proofErr w:type="spellStart"/>
      <w:r w:rsidRPr="005955A7">
        <w:rPr>
          <w:sz w:val="24"/>
          <w:szCs w:val="24"/>
        </w:rPr>
        <w:t>Mosteller</w:t>
      </w:r>
      <w:proofErr w:type="spellEnd"/>
      <w:r w:rsidRPr="005955A7">
        <w:rPr>
          <w:sz w:val="24"/>
          <w:szCs w:val="24"/>
        </w:rPr>
        <w:t xml:space="preserve"> </w:t>
      </w:r>
      <w:proofErr w:type="gramStart"/>
      <w:r w:rsidRPr="005955A7">
        <w:rPr>
          <w:sz w:val="24"/>
          <w:szCs w:val="24"/>
        </w:rPr>
        <w:t>BSA formel</w:t>
      </w:r>
      <w:proofErr w:type="gramEnd"/>
      <w:r w:rsidRPr="005955A7">
        <w:rPr>
          <w:sz w:val="24"/>
          <w:szCs w:val="24"/>
        </w:rPr>
        <w:t xml:space="preserve"> samt </w:t>
      </w:r>
      <w:proofErr w:type="spellStart"/>
      <w:r w:rsidRPr="005955A7">
        <w:rPr>
          <w:sz w:val="24"/>
          <w:szCs w:val="24"/>
        </w:rPr>
        <w:t>kreatininclearance</w:t>
      </w:r>
      <w:proofErr w:type="spellEnd"/>
      <w:r w:rsidRPr="005955A7">
        <w:rPr>
          <w:sz w:val="24"/>
          <w:szCs w:val="24"/>
        </w:rPr>
        <w:t xml:space="preserve"> afledt fra </w:t>
      </w:r>
      <w:r w:rsidRPr="005955A7">
        <w:rPr>
          <w:sz w:val="24"/>
          <w:szCs w:val="24"/>
        </w:rPr>
        <w:lastRenderedPageBreak/>
        <w:t>Schwartz formel (</w:t>
      </w:r>
      <w:proofErr w:type="spellStart"/>
      <w:r w:rsidRPr="005955A7">
        <w:rPr>
          <w:sz w:val="24"/>
          <w:szCs w:val="24"/>
        </w:rPr>
        <w:t>CrCLS</w:t>
      </w:r>
      <w:proofErr w:type="spellEnd"/>
      <w:r w:rsidRPr="005955A7">
        <w:rPr>
          <w:sz w:val="24"/>
          <w:szCs w:val="24"/>
        </w:rPr>
        <w:t xml:space="preserve">). Værdierne er beregnet ved anvendelse af ligningerne nedenfor. Varigheden af universel profylakse er baseret på risikoen for CMV-infektion og skal bestemmes individuelt. </w:t>
      </w:r>
    </w:p>
    <w:p w14:paraId="0157812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15015C8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Pædiatrisk dosis (mg) = 3 x BSA x </w:t>
      </w:r>
      <w:proofErr w:type="spellStart"/>
      <w:r w:rsidRPr="005955A7">
        <w:rPr>
          <w:sz w:val="24"/>
          <w:szCs w:val="24"/>
        </w:rPr>
        <w:t>CrCLS</w:t>
      </w:r>
      <w:proofErr w:type="spellEnd"/>
      <w:r w:rsidRPr="005955A7">
        <w:rPr>
          <w:sz w:val="24"/>
          <w:szCs w:val="24"/>
        </w:rPr>
        <w:t xml:space="preserve"> (se </w:t>
      </w:r>
      <w:proofErr w:type="spellStart"/>
      <w:r w:rsidRPr="005955A7">
        <w:rPr>
          <w:sz w:val="24"/>
          <w:szCs w:val="24"/>
        </w:rPr>
        <w:t>Mosteller</w:t>
      </w:r>
      <w:proofErr w:type="spellEnd"/>
      <w:r w:rsidRPr="005955A7">
        <w:rPr>
          <w:sz w:val="24"/>
          <w:szCs w:val="24"/>
        </w:rPr>
        <w:t xml:space="preserve"> </w:t>
      </w:r>
      <w:proofErr w:type="gramStart"/>
      <w:r w:rsidRPr="005955A7">
        <w:rPr>
          <w:sz w:val="24"/>
          <w:szCs w:val="24"/>
        </w:rPr>
        <w:t>BSA formel</w:t>
      </w:r>
      <w:proofErr w:type="gramEnd"/>
      <w:r w:rsidRPr="005955A7">
        <w:rPr>
          <w:sz w:val="24"/>
          <w:szCs w:val="24"/>
        </w:rPr>
        <w:t xml:space="preserve"> og Schwartz </w:t>
      </w:r>
      <w:proofErr w:type="spellStart"/>
      <w:r w:rsidRPr="005955A7">
        <w:rPr>
          <w:sz w:val="24"/>
          <w:szCs w:val="24"/>
        </w:rPr>
        <w:t>kreatininclearance</w:t>
      </w:r>
      <w:proofErr w:type="spellEnd"/>
      <w:r w:rsidRPr="005955A7">
        <w:rPr>
          <w:sz w:val="24"/>
          <w:szCs w:val="24"/>
        </w:rPr>
        <w:t xml:space="preserve"> formel forneden). </w:t>
      </w:r>
    </w:p>
    <w:p w14:paraId="7048795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763C971" w14:textId="56B34090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Hvis den udregnede Schwartz </w:t>
      </w:r>
      <w:proofErr w:type="spellStart"/>
      <w:r w:rsidRPr="005955A7">
        <w:rPr>
          <w:sz w:val="24"/>
          <w:szCs w:val="24"/>
        </w:rPr>
        <w:t>kreatininclearance</w:t>
      </w:r>
      <w:proofErr w:type="spellEnd"/>
      <w:r w:rsidRPr="005955A7">
        <w:rPr>
          <w:sz w:val="24"/>
          <w:szCs w:val="24"/>
        </w:rPr>
        <w:t xml:space="preserve"> overskrider 150 ml/min/1,73</w:t>
      </w:r>
      <w:r w:rsidR="00803F0A">
        <w:rPr>
          <w:sz w:val="24"/>
          <w:szCs w:val="24"/>
        </w:rPr>
        <w:t xml:space="preserve"> </w:t>
      </w:r>
      <w:r w:rsidRPr="005955A7">
        <w:rPr>
          <w:sz w:val="24"/>
          <w:szCs w:val="24"/>
        </w:rPr>
        <w:t>m</w:t>
      </w:r>
      <w:r w:rsidRPr="005955A7">
        <w:rPr>
          <w:sz w:val="24"/>
          <w:szCs w:val="24"/>
          <w:vertAlign w:val="superscript"/>
        </w:rPr>
        <w:t>2</w:t>
      </w:r>
      <w:r w:rsidRPr="005955A7">
        <w:rPr>
          <w:sz w:val="24"/>
          <w:szCs w:val="24"/>
        </w:rPr>
        <w:t>, så anvendes den maksimale værdi 150 ml/min/1,73</w:t>
      </w:r>
      <w:r w:rsidR="00803F0A">
        <w:rPr>
          <w:sz w:val="24"/>
          <w:szCs w:val="24"/>
        </w:rPr>
        <w:t xml:space="preserve"> </w:t>
      </w:r>
      <w:r w:rsidRPr="005955A7">
        <w:rPr>
          <w:sz w:val="24"/>
          <w:szCs w:val="24"/>
        </w:rPr>
        <w:t>m</w:t>
      </w:r>
      <w:r w:rsidRPr="005955A7">
        <w:rPr>
          <w:sz w:val="24"/>
          <w:szCs w:val="24"/>
          <w:vertAlign w:val="superscript"/>
        </w:rPr>
        <w:t>2</w:t>
      </w:r>
      <w:r w:rsidRPr="005955A7">
        <w:rPr>
          <w:sz w:val="24"/>
          <w:szCs w:val="24"/>
        </w:rPr>
        <w:t xml:space="preserve"> i ligningen:</w:t>
      </w:r>
    </w:p>
    <w:p w14:paraId="3A33C10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E800BBE" w14:textId="77777777" w:rsidR="007F7E0B" w:rsidRPr="005955A7" w:rsidRDefault="007F7E0B" w:rsidP="007F7E0B">
      <w:pPr>
        <w:jc w:val="center"/>
        <w:rPr>
          <w:bCs/>
          <w:i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Mosteller BSA 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højde 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cm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x vægt (kg)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3600</m:t>
                  </m:r>
                </m:den>
              </m:f>
            </m:e>
          </m:rad>
        </m:oMath>
      </m:oMathPara>
    </w:p>
    <w:p w14:paraId="414F63B2" w14:textId="77777777" w:rsidR="007F7E0B" w:rsidRPr="005955A7" w:rsidRDefault="007F7E0B" w:rsidP="007F7E0B">
      <w:pPr>
        <w:jc w:val="center"/>
        <w:rPr>
          <w:bCs/>
          <w:i/>
          <w:iCs/>
          <w:sz w:val="24"/>
          <w:szCs w:val="24"/>
        </w:rPr>
      </w:pPr>
    </w:p>
    <w:p w14:paraId="1DB07E41" w14:textId="77777777" w:rsidR="007F7E0B" w:rsidRPr="005955A7" w:rsidRDefault="007F7E0B" w:rsidP="007F7E0B">
      <w:pPr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Schwartz kreatininclearance 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ml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min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1,73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 xml:space="preserve">k x højde 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Serumkreatinin (mg/dl)</m:t>
              </m:r>
            </m:den>
          </m:f>
        </m:oMath>
      </m:oMathPara>
    </w:p>
    <w:p w14:paraId="16E84E3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90E771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hvor k = 0,33 for patienter &lt;1 år med lav fødselsvægt, 0,45 for patienter &lt; 2 år, 0,55 for drenge 2 til &lt; 13 år og piger 2 til 16 år, samt 0,7 for drenge 13 til 16 år. For patienter ældre end 16 år se voksen dosering.</w:t>
      </w:r>
    </w:p>
    <w:p w14:paraId="6AFA992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AD215B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 angivne k-værdier er baseret på </w:t>
      </w:r>
      <w:proofErr w:type="spellStart"/>
      <w:r w:rsidRPr="005955A7">
        <w:rPr>
          <w:sz w:val="24"/>
          <w:szCs w:val="24"/>
        </w:rPr>
        <w:t>Jaffe</w:t>
      </w:r>
      <w:proofErr w:type="spellEnd"/>
      <w:r w:rsidRPr="005955A7">
        <w:rPr>
          <w:sz w:val="24"/>
          <w:szCs w:val="24"/>
        </w:rPr>
        <w:t xml:space="preserve"> metoden til måling af </w:t>
      </w:r>
      <w:proofErr w:type="spellStart"/>
      <w:r w:rsidRPr="005955A7">
        <w:rPr>
          <w:sz w:val="24"/>
          <w:szCs w:val="24"/>
        </w:rPr>
        <w:t>serumkreatinin</w:t>
      </w:r>
      <w:proofErr w:type="spellEnd"/>
      <w:r w:rsidRPr="005955A7">
        <w:rPr>
          <w:sz w:val="24"/>
          <w:szCs w:val="24"/>
        </w:rPr>
        <w:t xml:space="preserve">, og kan kræve korrektion når enzymatiske metoder anvendes.  </w:t>
      </w:r>
    </w:p>
    <w:p w14:paraId="58977E9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6DF7B4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Det anbefales at </w:t>
      </w:r>
      <w:proofErr w:type="spellStart"/>
      <w:r w:rsidRPr="005955A7">
        <w:rPr>
          <w:sz w:val="24"/>
          <w:szCs w:val="24"/>
        </w:rPr>
        <w:t>serumkreatinin</w:t>
      </w:r>
      <w:proofErr w:type="spellEnd"/>
      <w:r w:rsidRPr="005955A7">
        <w:rPr>
          <w:sz w:val="24"/>
          <w:szCs w:val="24"/>
        </w:rPr>
        <w:t xml:space="preserve"> værdier, højde og vægt vurderes regelmæssigt og passende dosisjusteringer foretages.</w:t>
      </w:r>
    </w:p>
    <w:p w14:paraId="0688731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3BB4D4B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Særlige doseringsvejledninger</w:t>
      </w:r>
    </w:p>
    <w:p w14:paraId="235208CA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Nedsat nyrefunktion</w:t>
      </w:r>
    </w:p>
    <w:p w14:paraId="1D27F4B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0E3E75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Pædiatriske patienter (fra fødsel til ≤16 år) med nedsat nyrefunktion, som får profylaktisk dosis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, udregnet med doseringsalgoritmen 3 x BSA x </w:t>
      </w:r>
      <w:proofErr w:type="spellStart"/>
      <w:r w:rsidRPr="005955A7">
        <w:rPr>
          <w:sz w:val="24"/>
          <w:szCs w:val="24"/>
        </w:rPr>
        <w:t>CrCLS</w:t>
      </w:r>
      <w:proofErr w:type="spellEnd"/>
      <w:r w:rsidRPr="005955A7">
        <w:rPr>
          <w:sz w:val="24"/>
          <w:szCs w:val="24"/>
        </w:rPr>
        <w:t xml:space="preserve">, har ikke behov for yderligere dosismodifikationer, fordi dosis er allerede justeret for </w:t>
      </w:r>
      <w:proofErr w:type="spellStart"/>
      <w:r w:rsidRPr="005955A7">
        <w:rPr>
          <w:sz w:val="24"/>
          <w:szCs w:val="24"/>
        </w:rPr>
        <w:t>kreatininclearance</w:t>
      </w:r>
      <w:proofErr w:type="spellEnd"/>
      <w:r w:rsidRPr="005955A7">
        <w:rPr>
          <w:sz w:val="24"/>
          <w:szCs w:val="24"/>
        </w:rPr>
        <w:t>.</w:t>
      </w:r>
    </w:p>
    <w:p w14:paraId="622E22A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1EF385A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Hos patienter 12 år og ældre med nedsat nyrefunktion, der er behandlet med en dosis, der er udregnet efter mg/kg legemsvægt for præventiv behandling og behandling af CMV-infektion, bør mg/kg </w:t>
      </w:r>
      <w:proofErr w:type="spellStart"/>
      <w:r w:rsidRPr="005955A7">
        <w:rPr>
          <w:sz w:val="24"/>
          <w:szCs w:val="24"/>
        </w:rPr>
        <w:t>ganciclovirdosis</w:t>
      </w:r>
      <w:proofErr w:type="spellEnd"/>
      <w:r w:rsidRPr="005955A7">
        <w:rPr>
          <w:sz w:val="24"/>
          <w:szCs w:val="24"/>
        </w:rPr>
        <w:t xml:space="preserve"> justeres i henhold til </w:t>
      </w:r>
      <w:proofErr w:type="spellStart"/>
      <w:r w:rsidRPr="005955A7">
        <w:rPr>
          <w:sz w:val="24"/>
          <w:szCs w:val="24"/>
        </w:rPr>
        <w:t>kreatininclearance</w:t>
      </w:r>
      <w:proofErr w:type="spellEnd"/>
      <w:r w:rsidRPr="005955A7">
        <w:rPr>
          <w:sz w:val="24"/>
          <w:szCs w:val="24"/>
        </w:rPr>
        <w:t>, som angivet i nedenstående tabel (se pkt. 4.4 og 5.2).</w:t>
      </w:r>
    </w:p>
    <w:p w14:paraId="7F5A571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7CBF2E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Dosisjusteringer til patienter med nedsat nyrefunktion, som modtager følgende dosis i mg/kg:</w:t>
      </w:r>
    </w:p>
    <w:p w14:paraId="7631A6B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855"/>
        <w:gridCol w:w="3107"/>
      </w:tblGrid>
      <w:tr w:rsidR="007F7E0B" w:rsidRPr="005955A7" w14:paraId="6A6426D9" w14:textId="77777777" w:rsidTr="007F7E0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63F2" w14:textId="77777777" w:rsidR="007F7E0B" w:rsidRPr="005955A7" w:rsidRDefault="007F7E0B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5955A7">
              <w:rPr>
                <w:b/>
                <w:bCs/>
                <w:sz w:val="24"/>
                <w:szCs w:val="24"/>
              </w:rPr>
              <w:t>CrCl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193F" w14:textId="77777777" w:rsidR="007F7E0B" w:rsidRPr="005955A7" w:rsidRDefault="007F7E0B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5955A7">
              <w:rPr>
                <w:b/>
                <w:bCs/>
                <w:sz w:val="24"/>
                <w:szCs w:val="24"/>
              </w:rPr>
              <w:t>Initial dosis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A08" w14:textId="77777777" w:rsidR="007F7E0B" w:rsidRPr="005955A7" w:rsidRDefault="007F7E0B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5955A7">
              <w:rPr>
                <w:b/>
                <w:bCs/>
                <w:sz w:val="24"/>
                <w:szCs w:val="24"/>
              </w:rPr>
              <w:t>Vedligeholdelsesdosis</w:t>
            </w:r>
          </w:p>
        </w:tc>
      </w:tr>
      <w:tr w:rsidR="007F7E0B" w:rsidRPr="005955A7" w14:paraId="2D10E85D" w14:textId="77777777" w:rsidTr="007F7E0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378A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&gt;70 mL/min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6168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5,0 mg/kg </w:t>
            </w:r>
            <w:proofErr w:type="spellStart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hver</w:t>
            </w:r>
            <w:proofErr w:type="spellEnd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 12. time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9611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5,0 mg/kg/</w:t>
            </w:r>
            <w:proofErr w:type="spellStart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dag</w:t>
            </w:r>
            <w:proofErr w:type="spellEnd"/>
          </w:p>
        </w:tc>
      </w:tr>
      <w:tr w:rsidR="007F7E0B" w:rsidRPr="005955A7" w14:paraId="19CFBD3D" w14:textId="77777777" w:rsidTr="007F7E0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F79F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50-69 mL/min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5AC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2,5 mg/kg </w:t>
            </w:r>
            <w:proofErr w:type="spellStart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hver</w:t>
            </w:r>
            <w:proofErr w:type="spellEnd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 12. time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FB83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2,5 mg/kg/</w:t>
            </w:r>
            <w:proofErr w:type="spellStart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dag</w:t>
            </w:r>
            <w:proofErr w:type="spellEnd"/>
          </w:p>
        </w:tc>
      </w:tr>
      <w:tr w:rsidR="007F7E0B" w:rsidRPr="005955A7" w14:paraId="14E3DE20" w14:textId="77777777" w:rsidTr="007F7E0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8F2C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25-49 mL/min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65CC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2,5 mg/kg/</w:t>
            </w:r>
            <w:proofErr w:type="spellStart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dag</w:t>
            </w:r>
            <w:proofErr w:type="spellEnd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22A4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1,25 mg/kg/</w:t>
            </w:r>
            <w:proofErr w:type="spellStart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dag</w:t>
            </w:r>
            <w:proofErr w:type="spellEnd"/>
          </w:p>
        </w:tc>
      </w:tr>
      <w:tr w:rsidR="007F7E0B" w:rsidRPr="005955A7" w14:paraId="5D5DB343" w14:textId="77777777" w:rsidTr="007F7E0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1E83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10-24 mL/min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337F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1,25 mg/kg/</w:t>
            </w:r>
            <w:proofErr w:type="spellStart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dag</w:t>
            </w:r>
            <w:proofErr w:type="spellEnd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79E9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0,625 mg/kg/</w:t>
            </w:r>
            <w:proofErr w:type="spellStart"/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>dag</w:t>
            </w:r>
            <w:proofErr w:type="spellEnd"/>
          </w:p>
        </w:tc>
      </w:tr>
      <w:tr w:rsidR="007F7E0B" w:rsidRPr="005955A7" w14:paraId="76D98D0B" w14:textId="77777777" w:rsidTr="007F7E0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0673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val="en-GB" w:eastAsia="en-GB"/>
              </w:rPr>
              <w:t xml:space="preserve">&lt;10 mL/min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664E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eastAsia="en-GB"/>
              </w:rPr>
              <w:t xml:space="preserve">1,25 mg/kg 3 gange om ugen efter hæmodialyse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BA59" w14:textId="77777777" w:rsidR="007F7E0B" w:rsidRPr="005955A7" w:rsidRDefault="007F7E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55A7">
              <w:rPr>
                <w:rFonts w:eastAsia="Arial Unicode MS"/>
                <w:iCs/>
                <w:snapToGrid w:val="0"/>
                <w:sz w:val="24"/>
                <w:szCs w:val="24"/>
                <w:lang w:eastAsia="en-GB"/>
              </w:rPr>
              <w:t xml:space="preserve">0,625 mg/kg 3 gange om ugen efter hæmodialyse </w:t>
            </w:r>
          </w:p>
        </w:tc>
      </w:tr>
    </w:tbl>
    <w:p w14:paraId="1304DF5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3CF9448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Estimeret </w:t>
      </w:r>
      <w:proofErr w:type="spellStart"/>
      <w:r w:rsidRPr="005955A7">
        <w:rPr>
          <w:sz w:val="24"/>
          <w:szCs w:val="24"/>
        </w:rPr>
        <w:t>kreatininclearance</w:t>
      </w:r>
      <w:proofErr w:type="spellEnd"/>
      <w:r w:rsidRPr="005955A7">
        <w:rPr>
          <w:sz w:val="24"/>
          <w:szCs w:val="24"/>
        </w:rPr>
        <w:t xml:space="preserve"> kan beregnes ud fra serum-</w:t>
      </w:r>
      <w:proofErr w:type="spellStart"/>
      <w:r w:rsidRPr="005955A7">
        <w:rPr>
          <w:sz w:val="24"/>
          <w:szCs w:val="24"/>
        </w:rPr>
        <w:t>kreatinin</w:t>
      </w:r>
      <w:proofErr w:type="spellEnd"/>
      <w:r w:rsidRPr="005955A7">
        <w:rPr>
          <w:sz w:val="24"/>
          <w:szCs w:val="24"/>
        </w:rPr>
        <w:t xml:space="preserve"> ved hjælp af følgende formler:</w:t>
      </w:r>
    </w:p>
    <w:p w14:paraId="41C7D2A7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9E92D0E" w14:textId="77777777" w:rsidR="007F7E0B" w:rsidRPr="005955A7" w:rsidRDefault="007F7E0B" w:rsidP="007F7E0B">
      <w:pPr>
        <w:ind w:firstLine="851"/>
        <w:rPr>
          <w:sz w:val="24"/>
          <w:szCs w:val="24"/>
        </w:rPr>
      </w:pPr>
      <w:r w:rsidRPr="005955A7">
        <w:rPr>
          <w:bCs/>
          <w:sz w:val="24"/>
          <w:szCs w:val="24"/>
        </w:rPr>
        <w:t xml:space="preserve">Mænd: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140-alder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år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x (vægt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kg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bCs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x (0,011 x serumkreatinin [mikromol/l])</m:t>
            </m:r>
          </m:den>
        </m:f>
      </m:oMath>
    </w:p>
    <w:p w14:paraId="71724A80" w14:textId="77777777" w:rsidR="007F7E0B" w:rsidRPr="005955A7" w:rsidRDefault="007F7E0B" w:rsidP="007F7E0B">
      <w:pPr>
        <w:ind w:firstLine="851"/>
        <w:rPr>
          <w:sz w:val="24"/>
          <w:szCs w:val="24"/>
        </w:rPr>
      </w:pPr>
    </w:p>
    <w:p w14:paraId="48A0F73A" w14:textId="77777777" w:rsidR="007F7E0B" w:rsidRPr="005955A7" w:rsidRDefault="007F7E0B" w:rsidP="007F7E0B">
      <w:pPr>
        <w:ind w:firstLine="851"/>
        <w:rPr>
          <w:sz w:val="24"/>
          <w:szCs w:val="24"/>
        </w:rPr>
      </w:pPr>
      <w:r w:rsidRPr="005955A7">
        <w:rPr>
          <w:sz w:val="24"/>
          <w:szCs w:val="24"/>
        </w:rPr>
        <w:t>Kvinder: 0,85 x værdien for mænd</w:t>
      </w:r>
    </w:p>
    <w:p w14:paraId="6239471B" w14:textId="77777777" w:rsidR="007F7E0B" w:rsidRPr="005955A7" w:rsidRDefault="007F7E0B" w:rsidP="007F7E0B">
      <w:pPr>
        <w:ind w:firstLine="851"/>
        <w:rPr>
          <w:sz w:val="24"/>
          <w:szCs w:val="24"/>
        </w:rPr>
      </w:pPr>
    </w:p>
    <w:p w14:paraId="4A69CB3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Dosisjustering anbefales til patienter med nedsat nyrefunktion, og derfor bør serum-</w:t>
      </w:r>
    </w:p>
    <w:p w14:paraId="57A7141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kreatinin</w:t>
      </w:r>
      <w:proofErr w:type="spellEnd"/>
      <w:r w:rsidRPr="005955A7">
        <w:rPr>
          <w:sz w:val="24"/>
          <w:szCs w:val="24"/>
        </w:rPr>
        <w:t xml:space="preserve"> eller estimeret </w:t>
      </w:r>
      <w:proofErr w:type="spellStart"/>
      <w:r w:rsidRPr="005955A7">
        <w:rPr>
          <w:sz w:val="24"/>
          <w:szCs w:val="24"/>
        </w:rPr>
        <w:t>kreatininclearance</w:t>
      </w:r>
      <w:proofErr w:type="spellEnd"/>
      <w:r w:rsidRPr="005955A7">
        <w:rPr>
          <w:sz w:val="24"/>
          <w:szCs w:val="24"/>
        </w:rPr>
        <w:t xml:space="preserve"> monitoreres.</w:t>
      </w:r>
    </w:p>
    <w:p w14:paraId="3FB9A46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FE496D3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Nedsat leverfunktion</w:t>
      </w:r>
    </w:p>
    <w:p w14:paraId="0F7AF838" w14:textId="61B9437E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Sikkerheden og effekten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er ikke blevet undersøgt blandt patienter med nedsat leverfunktion (se pkt. 5.2).</w:t>
      </w:r>
    </w:p>
    <w:p w14:paraId="7B912E7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BB09F4B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 xml:space="preserve">Svær </w:t>
      </w:r>
      <w:proofErr w:type="spellStart"/>
      <w:r w:rsidRPr="005955A7">
        <w:rPr>
          <w:i/>
          <w:iCs/>
          <w:sz w:val="24"/>
          <w:szCs w:val="24"/>
        </w:rPr>
        <w:t>leukopeni</w:t>
      </w:r>
      <w:proofErr w:type="spellEnd"/>
      <w:r w:rsidRPr="005955A7">
        <w:rPr>
          <w:i/>
          <w:iCs/>
          <w:sz w:val="24"/>
          <w:szCs w:val="24"/>
        </w:rPr>
        <w:t xml:space="preserve">, </w:t>
      </w:r>
      <w:proofErr w:type="spellStart"/>
      <w:r w:rsidRPr="005955A7">
        <w:rPr>
          <w:i/>
          <w:iCs/>
          <w:sz w:val="24"/>
          <w:szCs w:val="24"/>
        </w:rPr>
        <w:t>neutropeni</w:t>
      </w:r>
      <w:proofErr w:type="spellEnd"/>
      <w:r w:rsidRPr="005955A7">
        <w:rPr>
          <w:i/>
          <w:iCs/>
          <w:sz w:val="24"/>
          <w:szCs w:val="24"/>
        </w:rPr>
        <w:t xml:space="preserve">, anæmi, </w:t>
      </w:r>
      <w:proofErr w:type="spellStart"/>
      <w:r w:rsidRPr="005955A7">
        <w:rPr>
          <w:i/>
          <w:iCs/>
          <w:sz w:val="24"/>
          <w:szCs w:val="24"/>
        </w:rPr>
        <w:t>trombocytopeni</w:t>
      </w:r>
      <w:proofErr w:type="spellEnd"/>
      <w:r w:rsidRPr="005955A7">
        <w:rPr>
          <w:i/>
          <w:iCs/>
          <w:sz w:val="24"/>
          <w:szCs w:val="24"/>
        </w:rPr>
        <w:t xml:space="preserve"> og </w:t>
      </w:r>
      <w:proofErr w:type="spellStart"/>
      <w:r w:rsidRPr="005955A7">
        <w:rPr>
          <w:i/>
          <w:iCs/>
          <w:sz w:val="24"/>
          <w:szCs w:val="24"/>
        </w:rPr>
        <w:t>pancytopeni</w:t>
      </w:r>
      <w:proofErr w:type="spellEnd"/>
    </w:p>
    <w:p w14:paraId="11DBB0B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Se pkt. 4.4 før behandling påbegyndes.</w:t>
      </w:r>
    </w:p>
    <w:p w14:paraId="3417970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80AB28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Hvis antallet af blodceller falder betydeligt under behandlingen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, bør behandling med </w:t>
      </w:r>
      <w:proofErr w:type="spellStart"/>
      <w:r w:rsidRPr="005955A7">
        <w:rPr>
          <w:sz w:val="24"/>
          <w:szCs w:val="24"/>
        </w:rPr>
        <w:t>hæmatopoietiske</w:t>
      </w:r>
      <w:proofErr w:type="spellEnd"/>
      <w:r w:rsidRPr="005955A7">
        <w:rPr>
          <w:sz w:val="24"/>
          <w:szCs w:val="24"/>
        </w:rPr>
        <w:t xml:space="preserve"> vækstfaktorer og/eller </w:t>
      </w:r>
      <w:proofErr w:type="spellStart"/>
      <w:r w:rsidRPr="005955A7">
        <w:rPr>
          <w:sz w:val="24"/>
          <w:szCs w:val="24"/>
        </w:rPr>
        <w:t>seponering</w:t>
      </w:r>
      <w:proofErr w:type="spellEnd"/>
      <w:r w:rsidRPr="005955A7">
        <w:rPr>
          <w:sz w:val="24"/>
          <w:szCs w:val="24"/>
        </w:rPr>
        <w:t xml:space="preserve">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overvejes (se pkt. 4.4 og 4.8).</w:t>
      </w:r>
    </w:p>
    <w:p w14:paraId="1D6EBE1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3C7FD0F9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Ældre</w:t>
      </w:r>
    </w:p>
    <w:p w14:paraId="0E80BF0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Ganciclovirs</w:t>
      </w:r>
      <w:proofErr w:type="spellEnd"/>
      <w:r w:rsidRPr="005955A7">
        <w:rPr>
          <w:sz w:val="24"/>
          <w:szCs w:val="24"/>
        </w:rPr>
        <w:t xml:space="preserve"> virkning og sikkerhed er ikke undersøgt hos ældre patienter. Da nyrefunktionen falder med alderen, skal der tages særligt hensyn til denne, når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administreres til ældre patienter (se pkt. 5.2).</w:t>
      </w:r>
    </w:p>
    <w:p w14:paraId="7C2CDF2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078FDA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Administration</w:t>
      </w:r>
    </w:p>
    <w:p w14:paraId="1CA7FBD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Advarsel: </w:t>
      </w:r>
    </w:p>
    <w:p w14:paraId="7375FAF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skal administreres ved intravenøs infusion over 1 time i en koncentration på maksimalt 10 mg/ml. Må ikke gives hurtigt eller som intravenøs </w:t>
      </w:r>
      <w:proofErr w:type="spellStart"/>
      <w:r w:rsidRPr="005955A7">
        <w:rPr>
          <w:sz w:val="24"/>
          <w:szCs w:val="24"/>
        </w:rPr>
        <w:t>bolusinjektion</w:t>
      </w:r>
      <w:proofErr w:type="spellEnd"/>
      <w:r w:rsidRPr="005955A7">
        <w:rPr>
          <w:sz w:val="24"/>
          <w:szCs w:val="24"/>
        </w:rPr>
        <w:t xml:space="preserve">, da dette kan medføre meget høje plasmaværdier, der kan øge </w:t>
      </w:r>
      <w:proofErr w:type="spellStart"/>
      <w:r w:rsidRPr="005955A7">
        <w:rPr>
          <w:sz w:val="24"/>
          <w:szCs w:val="24"/>
        </w:rPr>
        <w:t>ganciclovirs</w:t>
      </w:r>
      <w:proofErr w:type="spellEnd"/>
      <w:r w:rsidRPr="005955A7">
        <w:rPr>
          <w:sz w:val="24"/>
          <w:szCs w:val="24"/>
        </w:rPr>
        <w:t xml:space="preserve"> toksicitet. </w:t>
      </w:r>
    </w:p>
    <w:p w14:paraId="102AB47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15A437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må ikke administreres ved intramuskulær eller subkutan injektion, da den høje pH (~11) i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-infusionsvæsken kan medføre svær vævsirritation (se pkt. 4.8). </w:t>
      </w:r>
    </w:p>
    <w:p w14:paraId="0EDB57A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FBF056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De anbefalede doser, doseringsfrekvenser og infusionshastigheder må ikke overskrides.</w:t>
      </w:r>
    </w:p>
    <w:p w14:paraId="2E3E0DF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1DA996C4" w14:textId="0D940B40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er pulver til koncentrat til infusionsvæske, opløsning. Efter </w:t>
      </w:r>
      <w:proofErr w:type="spellStart"/>
      <w:r w:rsidRPr="005955A7">
        <w:rPr>
          <w:sz w:val="24"/>
          <w:szCs w:val="24"/>
        </w:rPr>
        <w:t>rekonstitution</w:t>
      </w:r>
      <w:proofErr w:type="spellEnd"/>
      <w:r w:rsidRPr="005955A7">
        <w:rPr>
          <w:sz w:val="24"/>
          <w:szCs w:val="24"/>
        </w:rPr>
        <w:t xml:space="preserve"> er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en farveløs til let gullig opløsning stort set uden synlige partikler. </w:t>
      </w:r>
    </w:p>
    <w:p w14:paraId="0E09AA3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3D468C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Infusionen skal gives i en vene med tilstrækkelig blodgennemstrømning, helst via plastikkanyle.</w:t>
      </w:r>
    </w:p>
    <w:p w14:paraId="26C4A83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175D42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For instruktioner om </w:t>
      </w:r>
      <w:proofErr w:type="spellStart"/>
      <w:r w:rsidRPr="005955A7">
        <w:rPr>
          <w:sz w:val="24"/>
          <w:szCs w:val="24"/>
        </w:rPr>
        <w:t>rekonstitution</w:t>
      </w:r>
      <w:proofErr w:type="spellEnd"/>
      <w:r w:rsidRPr="005955A7">
        <w:rPr>
          <w:sz w:val="24"/>
          <w:szCs w:val="24"/>
        </w:rPr>
        <w:t xml:space="preserve"> af lægemidlet før administration, se pkt. 6.6.</w:t>
      </w:r>
    </w:p>
    <w:p w14:paraId="00584F9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6F1CD30" w14:textId="6EEB350A" w:rsidR="007F7E0B" w:rsidRPr="005955A7" w:rsidRDefault="007F7E0B" w:rsidP="00A26195">
      <w:pPr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Sikkerhedsforanstaltninger, der skal tages før håndtering og administration af lægemidlet:</w:t>
      </w:r>
    </w:p>
    <w:p w14:paraId="0775DCC0" w14:textId="505EC4A8" w:rsidR="009260DE" w:rsidRPr="005955A7" w:rsidRDefault="007F7E0B" w:rsidP="00A26195">
      <w:pPr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Da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potentielt er </w:t>
      </w:r>
      <w:proofErr w:type="spellStart"/>
      <w:r w:rsidRPr="005955A7">
        <w:rPr>
          <w:sz w:val="24"/>
          <w:szCs w:val="24"/>
        </w:rPr>
        <w:t>teratogent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karcinogent</w:t>
      </w:r>
      <w:proofErr w:type="spellEnd"/>
      <w:r w:rsidRPr="005955A7">
        <w:rPr>
          <w:sz w:val="24"/>
          <w:szCs w:val="24"/>
        </w:rPr>
        <w:t xml:space="preserve"> hos mennesker, skal der tages forholdsregler, når det håndteres (se pkt. 6.6).</w:t>
      </w:r>
      <w:r w:rsidRPr="005955A7">
        <w:rPr>
          <w:sz w:val="24"/>
          <w:szCs w:val="24"/>
        </w:rPr>
        <w:br/>
      </w:r>
    </w:p>
    <w:p w14:paraId="4FA25F15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lastRenderedPageBreak/>
        <w:t>4.3</w:t>
      </w:r>
      <w:r w:rsidRPr="005955A7">
        <w:rPr>
          <w:b/>
          <w:sz w:val="24"/>
          <w:szCs w:val="24"/>
        </w:rPr>
        <w:tab/>
        <w:t>Kontraindikationer</w:t>
      </w:r>
    </w:p>
    <w:p w14:paraId="1BE4FD8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 xml:space="preserve">Overfølsomhed over for det aktive stof eller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eller over for et eller flere af hjælpestofferne anført i pkt. 6.1. </w:t>
      </w:r>
    </w:p>
    <w:p w14:paraId="3ADEB05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C1F7EA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Amning (se pkt. 4.6).</w:t>
      </w:r>
    </w:p>
    <w:p w14:paraId="16C9EE62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CAD51B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4.4</w:t>
      </w:r>
      <w:r w:rsidRPr="005955A7">
        <w:rPr>
          <w:b/>
          <w:sz w:val="24"/>
          <w:szCs w:val="24"/>
        </w:rPr>
        <w:tab/>
        <w:t>Særlige advarsler og forsigtighedsregler vedrørende brugen</w:t>
      </w:r>
    </w:p>
    <w:p w14:paraId="6A4ECB0F" w14:textId="77777777" w:rsidR="00A26195" w:rsidRDefault="00A26195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C82803B" w14:textId="5EAB3CF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5955A7">
        <w:rPr>
          <w:sz w:val="24"/>
          <w:szCs w:val="24"/>
          <w:u w:val="single"/>
        </w:rPr>
        <w:t>Krydsallergi</w:t>
      </w:r>
    </w:p>
    <w:p w14:paraId="257E1E51" w14:textId="6DAA1E72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På grund af ligheder i den kemiske struktur mellem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aciclovir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penciclovir</w:t>
      </w:r>
      <w:proofErr w:type="spellEnd"/>
      <w:r w:rsidRPr="005955A7">
        <w:rPr>
          <w:sz w:val="24"/>
          <w:szCs w:val="24"/>
        </w:rPr>
        <w:t xml:space="preserve"> er der risiko for krydsallergi mellem disse lægemidler. Der skal derfor udvises forsigtighed, når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ordineres til patienter med kendt overfølsomhed over for </w:t>
      </w:r>
      <w:proofErr w:type="spellStart"/>
      <w:r w:rsidRPr="005955A7">
        <w:rPr>
          <w:sz w:val="24"/>
          <w:szCs w:val="24"/>
        </w:rPr>
        <w:t>aciclovir</w:t>
      </w:r>
      <w:proofErr w:type="spellEnd"/>
      <w:r w:rsidRPr="005955A7">
        <w:rPr>
          <w:sz w:val="24"/>
          <w:szCs w:val="24"/>
        </w:rPr>
        <w:t xml:space="preserve"> eller </w:t>
      </w:r>
      <w:proofErr w:type="spellStart"/>
      <w:r w:rsidRPr="005955A7">
        <w:rPr>
          <w:sz w:val="24"/>
          <w:szCs w:val="24"/>
        </w:rPr>
        <w:t>penciclovir</w:t>
      </w:r>
      <w:proofErr w:type="spellEnd"/>
      <w:r w:rsidRPr="005955A7">
        <w:rPr>
          <w:sz w:val="24"/>
          <w:szCs w:val="24"/>
        </w:rPr>
        <w:t xml:space="preserve"> (eller deres prodrugs, henholdsvis </w:t>
      </w:r>
      <w:proofErr w:type="spellStart"/>
      <w:r w:rsidRPr="005955A7">
        <w:rPr>
          <w:sz w:val="24"/>
          <w:szCs w:val="24"/>
        </w:rPr>
        <w:t>valaciclovir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famciclovir</w:t>
      </w:r>
      <w:proofErr w:type="spellEnd"/>
      <w:r w:rsidRPr="005955A7">
        <w:rPr>
          <w:sz w:val="24"/>
          <w:szCs w:val="24"/>
        </w:rPr>
        <w:t xml:space="preserve">).  </w:t>
      </w:r>
    </w:p>
    <w:p w14:paraId="725DDCD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15ED448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5955A7">
        <w:rPr>
          <w:sz w:val="24"/>
          <w:szCs w:val="24"/>
          <w:u w:val="single"/>
        </w:rPr>
        <w:t>Mutagenicitet</w:t>
      </w:r>
      <w:proofErr w:type="spellEnd"/>
      <w:r w:rsidRPr="005955A7">
        <w:rPr>
          <w:sz w:val="24"/>
          <w:szCs w:val="24"/>
          <w:u w:val="single"/>
        </w:rPr>
        <w:t xml:space="preserve">, </w:t>
      </w:r>
      <w:proofErr w:type="spellStart"/>
      <w:r w:rsidRPr="005955A7">
        <w:rPr>
          <w:sz w:val="24"/>
          <w:szCs w:val="24"/>
          <w:u w:val="single"/>
        </w:rPr>
        <w:t>teratogenicitet</w:t>
      </w:r>
      <w:proofErr w:type="spellEnd"/>
      <w:r w:rsidRPr="005955A7">
        <w:rPr>
          <w:sz w:val="24"/>
          <w:szCs w:val="24"/>
          <w:u w:val="single"/>
        </w:rPr>
        <w:t xml:space="preserve">, </w:t>
      </w:r>
      <w:proofErr w:type="spellStart"/>
      <w:r w:rsidRPr="005955A7">
        <w:rPr>
          <w:sz w:val="24"/>
          <w:szCs w:val="24"/>
          <w:u w:val="single"/>
        </w:rPr>
        <w:t>karcinogenicitet</w:t>
      </w:r>
      <w:proofErr w:type="spellEnd"/>
      <w:r w:rsidRPr="005955A7">
        <w:rPr>
          <w:sz w:val="24"/>
          <w:szCs w:val="24"/>
          <w:u w:val="single"/>
        </w:rPr>
        <w:t>, fertilitet og prævention</w:t>
      </w:r>
    </w:p>
    <w:p w14:paraId="4A699EA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Inden påbegyndelse af behandling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skal patienterne informeres om den </w:t>
      </w:r>
      <w:proofErr w:type="spellStart"/>
      <w:r w:rsidRPr="005955A7">
        <w:rPr>
          <w:sz w:val="24"/>
          <w:szCs w:val="24"/>
        </w:rPr>
        <w:t>potientielle</w:t>
      </w:r>
      <w:proofErr w:type="spellEnd"/>
      <w:r w:rsidRPr="005955A7">
        <w:rPr>
          <w:sz w:val="24"/>
          <w:szCs w:val="24"/>
        </w:rPr>
        <w:t xml:space="preserve"> risiko for fostret.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i dyrestudier vist at være mutagent, </w:t>
      </w:r>
      <w:proofErr w:type="spellStart"/>
      <w:r w:rsidRPr="005955A7">
        <w:rPr>
          <w:sz w:val="24"/>
          <w:szCs w:val="24"/>
        </w:rPr>
        <w:t>teratogent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karcinogent</w:t>
      </w:r>
      <w:proofErr w:type="spellEnd"/>
      <w:r w:rsidRPr="005955A7">
        <w:rPr>
          <w:sz w:val="24"/>
          <w:szCs w:val="24"/>
        </w:rPr>
        <w:t xml:space="preserve"> samt at nedsætte fertiliteten. Baseret på kliniske og non-kliniske studier anses det som sandsynligt, at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forårsager midlertidig eller permanent hæmning af </w:t>
      </w:r>
      <w:proofErr w:type="spellStart"/>
      <w:r w:rsidRPr="005955A7">
        <w:rPr>
          <w:sz w:val="24"/>
          <w:szCs w:val="24"/>
        </w:rPr>
        <w:t>spermatogenesen</w:t>
      </w:r>
      <w:proofErr w:type="spellEnd"/>
      <w:r w:rsidRPr="005955A7">
        <w:rPr>
          <w:sz w:val="24"/>
          <w:szCs w:val="24"/>
        </w:rPr>
        <w:t xml:space="preserve"> (se pkt. 4.6, 4.8 og 5.3).</w:t>
      </w:r>
    </w:p>
    <w:p w14:paraId="50F8DA7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bør derfor anses som værende potentielt </w:t>
      </w:r>
      <w:proofErr w:type="spellStart"/>
      <w:r w:rsidRPr="005955A7">
        <w:rPr>
          <w:sz w:val="24"/>
          <w:szCs w:val="24"/>
        </w:rPr>
        <w:t>teratogent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karcinogent</w:t>
      </w:r>
      <w:proofErr w:type="spellEnd"/>
      <w:r w:rsidRPr="005955A7">
        <w:rPr>
          <w:sz w:val="24"/>
          <w:szCs w:val="24"/>
        </w:rPr>
        <w:t xml:space="preserve"> hos mennesker, med risiko for at forårsage fosterskader og cancer. Fertile kvinder skal derfor informeres om at anvende effektiv prævention under behandlingen og i mindst 30 dage efter, behandlingen er afsluttet. Mænd skal informeres om at anvende barriere-prævention under behandlingen og i mindst 90 dage efter, behandlingen er afsluttet, medmindre det er absolut sikkert, at en kvindelig partner ikke risikerer graviditet (se pkt. 4.6, 4.8 og 5.3).</w:t>
      </w:r>
    </w:p>
    <w:p w14:paraId="75E2DB7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1B0AD10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På grund af langtidsrisiko for </w:t>
      </w:r>
      <w:proofErr w:type="spellStart"/>
      <w:r w:rsidRPr="005955A7">
        <w:rPr>
          <w:sz w:val="24"/>
          <w:szCs w:val="24"/>
        </w:rPr>
        <w:t>karcinogenicitet</w:t>
      </w:r>
      <w:proofErr w:type="spellEnd"/>
      <w:r w:rsidRPr="005955A7">
        <w:rPr>
          <w:sz w:val="24"/>
          <w:szCs w:val="24"/>
        </w:rPr>
        <w:t xml:space="preserve"> og reproduktionstoksicitet er ekstrem forsigtighed nødvendig ved brug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specielt til den pædiatriske population. Fordelene ved behandling bør omhyggeligt overvejes i hvert enkelt tilfælde og bør klart opveje risiciene (se pkt. 4.2). Der henvises til retningslinjer for behandling.</w:t>
      </w:r>
    </w:p>
    <w:p w14:paraId="0900EC9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381B69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5955A7">
        <w:rPr>
          <w:sz w:val="24"/>
          <w:szCs w:val="24"/>
          <w:u w:val="single"/>
        </w:rPr>
        <w:t>Myelosuppression</w:t>
      </w:r>
      <w:proofErr w:type="spellEnd"/>
    </w:p>
    <w:p w14:paraId="2246DF94" w14:textId="7C6FA19D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bør anvendes med forsigtighed hos patienter med allerede eksisterende </w:t>
      </w:r>
      <w:proofErr w:type="spellStart"/>
      <w:r w:rsidRPr="005955A7">
        <w:rPr>
          <w:sz w:val="24"/>
          <w:szCs w:val="24"/>
        </w:rPr>
        <w:t>cytopeni</w:t>
      </w:r>
      <w:proofErr w:type="spellEnd"/>
      <w:r w:rsidRPr="005955A7">
        <w:rPr>
          <w:sz w:val="24"/>
          <w:szCs w:val="24"/>
        </w:rPr>
        <w:t xml:space="preserve"> eller med lægemiddelrelateret </w:t>
      </w:r>
      <w:proofErr w:type="spellStart"/>
      <w:r w:rsidRPr="005955A7">
        <w:rPr>
          <w:sz w:val="24"/>
          <w:szCs w:val="24"/>
        </w:rPr>
        <w:t>cytopeni</w:t>
      </w:r>
      <w:proofErr w:type="spellEnd"/>
      <w:r w:rsidRPr="005955A7">
        <w:rPr>
          <w:sz w:val="24"/>
          <w:szCs w:val="24"/>
        </w:rPr>
        <w:t xml:space="preserve"> i anamnesen samt til patienter i strålebehandling. Der er observeret svær </w:t>
      </w:r>
      <w:proofErr w:type="spellStart"/>
      <w:r w:rsidRPr="005955A7">
        <w:rPr>
          <w:sz w:val="24"/>
          <w:szCs w:val="24"/>
        </w:rPr>
        <w:t>leukopeni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, anæmi, </w:t>
      </w:r>
      <w:proofErr w:type="spellStart"/>
      <w:r w:rsidRPr="005955A7">
        <w:rPr>
          <w:sz w:val="24"/>
          <w:szCs w:val="24"/>
        </w:rPr>
        <w:t>trombocytopeni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pancytopeni</w:t>
      </w:r>
      <w:proofErr w:type="spellEnd"/>
      <w:r w:rsidRPr="005955A7">
        <w:rPr>
          <w:sz w:val="24"/>
          <w:szCs w:val="24"/>
        </w:rPr>
        <w:t xml:space="preserve"> og knoglemarvssvigt hos patienter behandlet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. Behandling bør ikke påbegyndes, hvis det absolutte </w:t>
      </w:r>
      <w:proofErr w:type="spellStart"/>
      <w:r w:rsidRPr="005955A7">
        <w:rPr>
          <w:sz w:val="24"/>
          <w:szCs w:val="24"/>
        </w:rPr>
        <w:t>neutrofiltal</w:t>
      </w:r>
      <w:proofErr w:type="spellEnd"/>
      <w:r w:rsidRPr="005955A7">
        <w:rPr>
          <w:sz w:val="24"/>
          <w:szCs w:val="24"/>
        </w:rPr>
        <w:t xml:space="preserve"> er under 500 celler/µl, </w:t>
      </w:r>
      <w:proofErr w:type="spellStart"/>
      <w:r w:rsidRPr="005955A7">
        <w:rPr>
          <w:sz w:val="24"/>
          <w:szCs w:val="24"/>
        </w:rPr>
        <w:t>trombocytter</w:t>
      </w:r>
      <w:proofErr w:type="spellEnd"/>
      <w:r w:rsidRPr="005955A7">
        <w:rPr>
          <w:sz w:val="24"/>
          <w:szCs w:val="24"/>
        </w:rPr>
        <w:t xml:space="preserve"> er under 25.000 celler/µl, eller hæmoglobin er under 8 g/dl (se pkt. 4.2 og 4.8).</w:t>
      </w:r>
    </w:p>
    <w:p w14:paraId="13FBFBF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4FF273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Det anbefales, at der udføres komplet blodtælling, inklusive </w:t>
      </w:r>
      <w:proofErr w:type="spellStart"/>
      <w:r w:rsidRPr="005955A7">
        <w:rPr>
          <w:sz w:val="24"/>
          <w:szCs w:val="24"/>
        </w:rPr>
        <w:t>trombocytter</w:t>
      </w:r>
      <w:proofErr w:type="spellEnd"/>
      <w:r w:rsidRPr="005955A7">
        <w:rPr>
          <w:sz w:val="24"/>
          <w:szCs w:val="24"/>
        </w:rPr>
        <w:t xml:space="preserve">, under behandlingen. Hyppigere hæmatologisk monitorering kan være nødvendig hos patienter med nedsat nyrefunktion og hos spædbørn og småbørn (se pkt. 4.8). I de første 14 dage af behandlingen anbefales det at monitorere hvide blodlegemer hver 2. dag (helst som </w:t>
      </w:r>
      <w:proofErr w:type="spellStart"/>
      <w:r w:rsidRPr="005955A7">
        <w:rPr>
          <w:sz w:val="24"/>
          <w:szCs w:val="24"/>
        </w:rPr>
        <w:t>differentialtest</w:t>
      </w:r>
      <w:proofErr w:type="spellEnd"/>
      <w:r w:rsidRPr="005955A7">
        <w:rPr>
          <w:sz w:val="24"/>
          <w:szCs w:val="24"/>
        </w:rPr>
        <w:t xml:space="preserve">); hos patienter med lave </w:t>
      </w:r>
      <w:proofErr w:type="spellStart"/>
      <w:r w:rsidRPr="005955A7">
        <w:rPr>
          <w:sz w:val="24"/>
          <w:szCs w:val="24"/>
        </w:rPr>
        <w:t>neutrofilværdier</w:t>
      </w:r>
      <w:proofErr w:type="spellEnd"/>
      <w:r w:rsidRPr="005955A7">
        <w:rPr>
          <w:sz w:val="24"/>
          <w:szCs w:val="24"/>
        </w:rPr>
        <w:t xml:space="preserve"> (&lt;1000 </w:t>
      </w:r>
      <w:proofErr w:type="spellStart"/>
      <w:r w:rsidRPr="005955A7">
        <w:rPr>
          <w:sz w:val="24"/>
          <w:szCs w:val="24"/>
        </w:rPr>
        <w:t>neutrofiler</w:t>
      </w:r>
      <w:proofErr w:type="spellEnd"/>
      <w:r w:rsidRPr="005955A7">
        <w:rPr>
          <w:sz w:val="24"/>
          <w:szCs w:val="24"/>
        </w:rPr>
        <w:t xml:space="preserve">/µl) ved baseline, hos patienter, der tidligere har udviklet </w:t>
      </w:r>
      <w:proofErr w:type="spellStart"/>
      <w:r w:rsidRPr="005955A7">
        <w:rPr>
          <w:sz w:val="24"/>
          <w:szCs w:val="24"/>
        </w:rPr>
        <w:t>leukopeni</w:t>
      </w:r>
      <w:proofErr w:type="spellEnd"/>
      <w:r w:rsidRPr="005955A7">
        <w:rPr>
          <w:sz w:val="24"/>
          <w:szCs w:val="24"/>
        </w:rPr>
        <w:t xml:space="preserve"> under behandling med </w:t>
      </w:r>
      <w:proofErr w:type="spellStart"/>
      <w:r w:rsidRPr="005955A7">
        <w:rPr>
          <w:sz w:val="24"/>
          <w:szCs w:val="24"/>
        </w:rPr>
        <w:t>myelotoksiske</w:t>
      </w:r>
      <w:proofErr w:type="spellEnd"/>
      <w:r w:rsidRPr="005955A7">
        <w:rPr>
          <w:sz w:val="24"/>
          <w:szCs w:val="24"/>
        </w:rPr>
        <w:t xml:space="preserve"> midler, og hos patienter med nedsat nyrefunktion bør denne monitorering udføres dagligt.</w:t>
      </w:r>
    </w:p>
    <w:p w14:paraId="0B8FA6E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1027117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lastRenderedPageBreak/>
        <w:t xml:space="preserve">For patienter med svær </w:t>
      </w:r>
      <w:proofErr w:type="spellStart"/>
      <w:r w:rsidRPr="005955A7">
        <w:rPr>
          <w:sz w:val="24"/>
          <w:szCs w:val="24"/>
        </w:rPr>
        <w:t>leukopeni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, anæmi og/eller </w:t>
      </w:r>
      <w:proofErr w:type="spellStart"/>
      <w:r w:rsidRPr="005955A7">
        <w:rPr>
          <w:sz w:val="24"/>
          <w:szCs w:val="24"/>
        </w:rPr>
        <w:t>trombocytopeni</w:t>
      </w:r>
      <w:proofErr w:type="spellEnd"/>
      <w:r w:rsidRPr="005955A7">
        <w:rPr>
          <w:sz w:val="24"/>
          <w:szCs w:val="24"/>
        </w:rPr>
        <w:t xml:space="preserve"> anbefales det at overveje brug af </w:t>
      </w:r>
      <w:proofErr w:type="spellStart"/>
      <w:r w:rsidRPr="005955A7">
        <w:rPr>
          <w:sz w:val="24"/>
          <w:szCs w:val="24"/>
        </w:rPr>
        <w:t>hæmatopoietiske</w:t>
      </w:r>
      <w:proofErr w:type="spellEnd"/>
      <w:r w:rsidRPr="005955A7">
        <w:rPr>
          <w:sz w:val="24"/>
          <w:szCs w:val="24"/>
        </w:rPr>
        <w:t xml:space="preserve"> vækstfaktorer og/eller at afbryde behandlingen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(se pkt. 4.2 og 4.8).</w:t>
      </w:r>
    </w:p>
    <w:p w14:paraId="75B9474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FF0A3B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Nedsat nyrefunktion</w:t>
      </w:r>
    </w:p>
    <w:p w14:paraId="2DC6A357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Patienter med nedsat nyrefunktion har øget risiko for toksicitet (særligt hæmatologisk toksicitet). Dosisreduktion er nødvendig (se pkt. 4.2 og 5.2).</w:t>
      </w:r>
    </w:p>
    <w:p w14:paraId="387508F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CE69737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Samtidig administration af andre lægemidler</w:t>
      </w:r>
    </w:p>
    <w:p w14:paraId="354419D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Der er rapporteret krampeanfald hos patienter behandlet med </w:t>
      </w:r>
      <w:proofErr w:type="spellStart"/>
      <w:r w:rsidRPr="005955A7">
        <w:rPr>
          <w:sz w:val="24"/>
          <w:szCs w:val="24"/>
        </w:rPr>
        <w:t>imipenem-cilastatin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bør ikke anvendes sammen med </w:t>
      </w:r>
      <w:proofErr w:type="spellStart"/>
      <w:r w:rsidRPr="005955A7">
        <w:rPr>
          <w:sz w:val="24"/>
          <w:szCs w:val="24"/>
        </w:rPr>
        <w:t>imipenem-cilastatin</w:t>
      </w:r>
      <w:proofErr w:type="spellEnd"/>
      <w:r w:rsidRPr="005955A7">
        <w:rPr>
          <w:sz w:val="24"/>
          <w:szCs w:val="24"/>
        </w:rPr>
        <w:t>, medmindre de potentielle fordele opvejer de potentielle risici (se pkt. 4.5).</w:t>
      </w:r>
    </w:p>
    <w:p w14:paraId="10A0D09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46EBEC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Patienter behandlet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didanosin</w:t>
      </w:r>
      <w:proofErr w:type="spellEnd"/>
      <w:r w:rsidRPr="005955A7">
        <w:rPr>
          <w:sz w:val="24"/>
          <w:szCs w:val="24"/>
        </w:rPr>
        <w:t xml:space="preserve">, lægemidler, der vides at være </w:t>
      </w:r>
      <w:proofErr w:type="spellStart"/>
      <w:r w:rsidRPr="005955A7">
        <w:rPr>
          <w:sz w:val="24"/>
          <w:szCs w:val="24"/>
        </w:rPr>
        <w:t>myelosupprimerende</w:t>
      </w:r>
      <w:proofErr w:type="spellEnd"/>
      <w:r w:rsidRPr="005955A7">
        <w:rPr>
          <w:sz w:val="24"/>
          <w:szCs w:val="24"/>
        </w:rPr>
        <w:t xml:space="preserve"> eller påvirke nyrefunktionen, skal omhyggeligt monitoreres for tegn på øget toksicitet (se pkt. 4.5).</w:t>
      </w:r>
    </w:p>
    <w:p w14:paraId="279A435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416596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Hjælpestoffer</w:t>
      </w:r>
    </w:p>
    <w:p w14:paraId="487023AD" w14:textId="3AA9AE11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Dette lægemiddel indeholder 43 mg natrium pr. 500 mg hætteglas, svarende til 2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af den WHO anbefalede maksimale daglige indtagelse af 2 g natrium for en voksen.</w:t>
      </w:r>
    </w:p>
    <w:p w14:paraId="2FB4D560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6A7E3E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4.5</w:t>
      </w:r>
      <w:r w:rsidRPr="005955A7">
        <w:rPr>
          <w:b/>
          <w:sz w:val="24"/>
          <w:szCs w:val="24"/>
        </w:rPr>
        <w:tab/>
        <w:t>Interaktion med andre lægemidler og andre former for interaktion</w:t>
      </w:r>
    </w:p>
    <w:p w14:paraId="4BA95FA2" w14:textId="77777777" w:rsidR="00A26195" w:rsidRDefault="00A26195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19C551B" w14:textId="6BD0FDE6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proofErr w:type="spellStart"/>
      <w:r w:rsidRPr="005955A7">
        <w:rPr>
          <w:sz w:val="24"/>
          <w:szCs w:val="24"/>
          <w:u w:val="single"/>
        </w:rPr>
        <w:t>Farmakokinetiske</w:t>
      </w:r>
      <w:proofErr w:type="spellEnd"/>
      <w:r w:rsidRPr="005955A7">
        <w:rPr>
          <w:sz w:val="24"/>
          <w:szCs w:val="24"/>
          <w:u w:val="single"/>
        </w:rPr>
        <w:t xml:space="preserve"> interaktioner</w:t>
      </w:r>
    </w:p>
    <w:p w14:paraId="1579D99B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5955A7">
        <w:rPr>
          <w:i/>
          <w:iCs/>
          <w:sz w:val="24"/>
          <w:szCs w:val="24"/>
        </w:rPr>
        <w:t>Probenecid</w:t>
      </w:r>
      <w:proofErr w:type="spellEnd"/>
    </w:p>
    <w:p w14:paraId="7E9DDF41" w14:textId="1F774EE1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Samtidig administration af </w:t>
      </w:r>
      <w:proofErr w:type="spellStart"/>
      <w:r w:rsidRPr="005955A7">
        <w:rPr>
          <w:sz w:val="24"/>
          <w:szCs w:val="24"/>
        </w:rPr>
        <w:t>probenecid</w:t>
      </w:r>
      <w:proofErr w:type="spellEnd"/>
      <w:r w:rsidRPr="005955A7">
        <w:rPr>
          <w:sz w:val="24"/>
          <w:szCs w:val="24"/>
        </w:rPr>
        <w:t xml:space="preserve"> og oral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har medført et statistisk signifikant fald i den </w:t>
      </w:r>
      <w:proofErr w:type="spellStart"/>
      <w:r w:rsidRPr="005955A7">
        <w:rPr>
          <w:sz w:val="24"/>
          <w:szCs w:val="24"/>
        </w:rPr>
        <w:t>renale</w:t>
      </w:r>
      <w:proofErr w:type="spellEnd"/>
      <w:r w:rsidRPr="005955A7">
        <w:rPr>
          <w:sz w:val="24"/>
          <w:szCs w:val="24"/>
        </w:rPr>
        <w:t xml:space="preserve"> </w:t>
      </w:r>
      <w:proofErr w:type="spellStart"/>
      <w:r w:rsidRPr="005955A7">
        <w:rPr>
          <w:sz w:val="24"/>
          <w:szCs w:val="24"/>
        </w:rPr>
        <w:t>clearance</w:t>
      </w:r>
      <w:proofErr w:type="spellEnd"/>
      <w:r w:rsidRPr="005955A7">
        <w:rPr>
          <w:sz w:val="24"/>
          <w:szCs w:val="24"/>
        </w:rPr>
        <w:t xml:space="preserve">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og medført klinisk signifikant øget eksponering. En sådan effekt forventes også ved samtidig administration af intravenøs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probenecid</w:t>
      </w:r>
      <w:proofErr w:type="spellEnd"/>
      <w:r w:rsidRPr="005955A7">
        <w:rPr>
          <w:sz w:val="24"/>
          <w:szCs w:val="24"/>
        </w:rPr>
        <w:t xml:space="preserve">. Patienter, der får </w:t>
      </w:r>
      <w:proofErr w:type="spellStart"/>
      <w:r w:rsidRPr="005955A7">
        <w:rPr>
          <w:sz w:val="24"/>
          <w:szCs w:val="24"/>
        </w:rPr>
        <w:t>probenecid</w:t>
      </w:r>
      <w:proofErr w:type="spellEnd"/>
      <w:r w:rsidRPr="005955A7">
        <w:rPr>
          <w:sz w:val="24"/>
          <w:szCs w:val="24"/>
        </w:rPr>
        <w:t xml:space="preserve"> samtidig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, bør derfor monitoreres omhyggeligt for </w:t>
      </w:r>
      <w:proofErr w:type="spellStart"/>
      <w:r w:rsidRPr="005955A7">
        <w:rPr>
          <w:sz w:val="24"/>
          <w:szCs w:val="24"/>
        </w:rPr>
        <w:t>ganciclovirtoksicitet</w:t>
      </w:r>
      <w:proofErr w:type="spellEnd"/>
      <w:r w:rsidRPr="005955A7">
        <w:rPr>
          <w:sz w:val="24"/>
          <w:szCs w:val="24"/>
        </w:rPr>
        <w:t>.</w:t>
      </w:r>
    </w:p>
    <w:p w14:paraId="098AB98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9FD104B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5955A7">
        <w:rPr>
          <w:i/>
          <w:iCs/>
          <w:sz w:val="24"/>
          <w:szCs w:val="24"/>
        </w:rPr>
        <w:t>Didanosin</w:t>
      </w:r>
      <w:proofErr w:type="spellEnd"/>
    </w:p>
    <w:p w14:paraId="6C66DE51" w14:textId="555E6DDF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Plasmakoncentrationen af </w:t>
      </w:r>
      <w:proofErr w:type="spellStart"/>
      <w:r w:rsidRPr="005955A7">
        <w:rPr>
          <w:sz w:val="24"/>
          <w:szCs w:val="24"/>
        </w:rPr>
        <w:t>didanosin</w:t>
      </w:r>
      <w:proofErr w:type="spellEnd"/>
      <w:r w:rsidRPr="005955A7">
        <w:rPr>
          <w:sz w:val="24"/>
          <w:szCs w:val="24"/>
        </w:rPr>
        <w:t xml:space="preserve"> var vedvarende forhøjet, når det blev givet sammen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>. Ved intravenøse doser på 5 og 10 mg/kg/dag ses 38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til 67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stigning i </w:t>
      </w:r>
      <w:proofErr w:type="spellStart"/>
      <w:r w:rsidRPr="005955A7">
        <w:rPr>
          <w:sz w:val="24"/>
          <w:szCs w:val="24"/>
        </w:rPr>
        <w:t>didanosins</w:t>
      </w:r>
      <w:proofErr w:type="spellEnd"/>
      <w:r w:rsidRPr="005955A7">
        <w:rPr>
          <w:sz w:val="24"/>
          <w:szCs w:val="24"/>
        </w:rPr>
        <w:t xml:space="preserve"> AUC. Der ses ingen klinisk signifikant påvirkning af </w:t>
      </w:r>
      <w:proofErr w:type="spellStart"/>
      <w:r w:rsidRPr="005955A7">
        <w:rPr>
          <w:sz w:val="24"/>
          <w:szCs w:val="24"/>
        </w:rPr>
        <w:t>ganciclovir</w:t>
      </w:r>
      <w:r w:rsidR="00803F0A">
        <w:rPr>
          <w:sz w:val="24"/>
          <w:szCs w:val="24"/>
        </w:rPr>
        <w:softHyphen/>
      </w:r>
      <w:r w:rsidRPr="005955A7">
        <w:rPr>
          <w:sz w:val="24"/>
          <w:szCs w:val="24"/>
        </w:rPr>
        <w:t>koncentrationen</w:t>
      </w:r>
      <w:proofErr w:type="spellEnd"/>
      <w:r w:rsidRPr="005955A7">
        <w:rPr>
          <w:sz w:val="24"/>
          <w:szCs w:val="24"/>
        </w:rPr>
        <w:t xml:space="preserve">. Patienterne bør monitoreres tæt for </w:t>
      </w:r>
      <w:proofErr w:type="spellStart"/>
      <w:r w:rsidRPr="005955A7">
        <w:rPr>
          <w:sz w:val="24"/>
          <w:szCs w:val="24"/>
        </w:rPr>
        <w:t>didanosintoksicitet</w:t>
      </w:r>
      <w:proofErr w:type="spellEnd"/>
      <w:r w:rsidRPr="005955A7">
        <w:rPr>
          <w:sz w:val="24"/>
          <w:szCs w:val="24"/>
        </w:rPr>
        <w:t xml:space="preserve"> (se pkt. 4.4).</w:t>
      </w:r>
    </w:p>
    <w:p w14:paraId="416BB7C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C76D603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 xml:space="preserve">Andre </w:t>
      </w:r>
      <w:proofErr w:type="spellStart"/>
      <w:r w:rsidRPr="005955A7">
        <w:rPr>
          <w:i/>
          <w:iCs/>
          <w:sz w:val="24"/>
          <w:szCs w:val="24"/>
        </w:rPr>
        <w:t>antiretrovirale</w:t>
      </w:r>
      <w:proofErr w:type="spellEnd"/>
      <w:r w:rsidRPr="005955A7">
        <w:rPr>
          <w:i/>
          <w:iCs/>
          <w:sz w:val="24"/>
          <w:szCs w:val="24"/>
        </w:rPr>
        <w:t xml:space="preserve"> lægemidler</w:t>
      </w:r>
    </w:p>
    <w:p w14:paraId="55FD272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Cytokrom</w:t>
      </w:r>
      <w:proofErr w:type="spellEnd"/>
      <w:r w:rsidRPr="005955A7">
        <w:rPr>
          <w:sz w:val="24"/>
          <w:szCs w:val="24"/>
        </w:rPr>
        <w:t xml:space="preserve"> P450 </w:t>
      </w:r>
      <w:proofErr w:type="spellStart"/>
      <w:r w:rsidRPr="005955A7">
        <w:rPr>
          <w:sz w:val="24"/>
          <w:szCs w:val="24"/>
        </w:rPr>
        <w:t>isoenzymer</w:t>
      </w:r>
      <w:proofErr w:type="spellEnd"/>
      <w:r w:rsidRPr="005955A7">
        <w:rPr>
          <w:sz w:val="24"/>
          <w:szCs w:val="24"/>
        </w:rPr>
        <w:t xml:space="preserve"> har ingen indvirkning på </w:t>
      </w:r>
      <w:proofErr w:type="spellStart"/>
      <w:r w:rsidRPr="005955A7">
        <w:rPr>
          <w:sz w:val="24"/>
          <w:szCs w:val="24"/>
        </w:rPr>
        <w:t>ganciclovirs</w:t>
      </w:r>
      <w:proofErr w:type="spellEnd"/>
      <w:r w:rsidRPr="005955A7">
        <w:rPr>
          <w:sz w:val="24"/>
          <w:szCs w:val="24"/>
        </w:rPr>
        <w:t xml:space="preserve"> farmakokinetik. Derfor forventes ingen </w:t>
      </w:r>
      <w:proofErr w:type="spellStart"/>
      <w:r w:rsidRPr="005955A7">
        <w:rPr>
          <w:sz w:val="24"/>
          <w:szCs w:val="24"/>
        </w:rPr>
        <w:t>farmakokinetiske</w:t>
      </w:r>
      <w:proofErr w:type="spellEnd"/>
      <w:r w:rsidRPr="005955A7">
        <w:rPr>
          <w:sz w:val="24"/>
          <w:szCs w:val="24"/>
        </w:rPr>
        <w:t xml:space="preserve"> interaktioner med </w:t>
      </w:r>
      <w:proofErr w:type="spellStart"/>
      <w:r w:rsidRPr="005955A7">
        <w:rPr>
          <w:sz w:val="24"/>
          <w:szCs w:val="24"/>
        </w:rPr>
        <w:t>proteasehæmmere</w:t>
      </w:r>
      <w:proofErr w:type="spellEnd"/>
      <w:r w:rsidRPr="005955A7">
        <w:rPr>
          <w:sz w:val="24"/>
          <w:szCs w:val="24"/>
        </w:rPr>
        <w:t xml:space="preserve"> og non-</w:t>
      </w:r>
      <w:proofErr w:type="spellStart"/>
      <w:r w:rsidRPr="005955A7">
        <w:rPr>
          <w:sz w:val="24"/>
          <w:szCs w:val="24"/>
        </w:rPr>
        <w:t>nukleosid</w:t>
      </w:r>
      <w:proofErr w:type="spellEnd"/>
      <w:r w:rsidRPr="005955A7">
        <w:rPr>
          <w:sz w:val="24"/>
          <w:szCs w:val="24"/>
        </w:rPr>
        <w:t>-revers-</w:t>
      </w:r>
      <w:proofErr w:type="spellStart"/>
      <w:r w:rsidRPr="005955A7">
        <w:rPr>
          <w:sz w:val="24"/>
          <w:szCs w:val="24"/>
        </w:rPr>
        <w:t>transkriptasehæmmere</w:t>
      </w:r>
      <w:proofErr w:type="spellEnd"/>
      <w:r w:rsidRPr="005955A7">
        <w:rPr>
          <w:sz w:val="24"/>
          <w:szCs w:val="24"/>
        </w:rPr>
        <w:t>.</w:t>
      </w:r>
    </w:p>
    <w:p w14:paraId="6BD4CD6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DD7C88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5955A7">
        <w:rPr>
          <w:sz w:val="24"/>
          <w:szCs w:val="24"/>
          <w:u w:val="single"/>
        </w:rPr>
        <w:t>Farmakodynamiske</w:t>
      </w:r>
      <w:proofErr w:type="spellEnd"/>
      <w:r w:rsidRPr="005955A7">
        <w:rPr>
          <w:sz w:val="24"/>
          <w:szCs w:val="24"/>
          <w:u w:val="single"/>
        </w:rPr>
        <w:t xml:space="preserve"> interaktioner</w:t>
      </w:r>
    </w:p>
    <w:p w14:paraId="3A347ED8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5955A7">
        <w:rPr>
          <w:i/>
          <w:iCs/>
          <w:sz w:val="24"/>
          <w:szCs w:val="24"/>
        </w:rPr>
        <w:t>Imipenem</w:t>
      </w:r>
      <w:proofErr w:type="spellEnd"/>
      <w:r w:rsidRPr="005955A7">
        <w:rPr>
          <w:i/>
          <w:iCs/>
          <w:sz w:val="24"/>
          <w:szCs w:val="24"/>
        </w:rPr>
        <w:t xml:space="preserve"> –</w:t>
      </w:r>
      <w:proofErr w:type="spellStart"/>
      <w:r w:rsidRPr="005955A7">
        <w:rPr>
          <w:i/>
          <w:iCs/>
          <w:sz w:val="24"/>
          <w:szCs w:val="24"/>
        </w:rPr>
        <w:t>cilastatin</w:t>
      </w:r>
      <w:proofErr w:type="spellEnd"/>
    </w:p>
    <w:p w14:paraId="0AF2E6D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Der har været rapporter om krampeanfald hos patienter behandlet med </w:t>
      </w:r>
      <w:proofErr w:type="spellStart"/>
      <w:r w:rsidRPr="005955A7">
        <w:rPr>
          <w:sz w:val="24"/>
          <w:szCs w:val="24"/>
        </w:rPr>
        <w:t>imipenem-cilastatin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samtidigt. Disse lægemidler bør ikke anvendes sammen, medmindre de potentielle fordele opvejer de potentielle risici (se pkt. 4.4).</w:t>
      </w:r>
    </w:p>
    <w:p w14:paraId="238F36DA" w14:textId="22A9D696" w:rsidR="00803F0A" w:rsidRDefault="00803F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99F26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8381420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5955A7">
        <w:rPr>
          <w:i/>
          <w:iCs/>
          <w:sz w:val="24"/>
          <w:szCs w:val="24"/>
        </w:rPr>
        <w:t>Zidovudin</w:t>
      </w:r>
      <w:proofErr w:type="spellEnd"/>
    </w:p>
    <w:p w14:paraId="2A68DBA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Både </w:t>
      </w:r>
      <w:proofErr w:type="spellStart"/>
      <w:r w:rsidRPr="005955A7">
        <w:rPr>
          <w:sz w:val="24"/>
          <w:szCs w:val="24"/>
        </w:rPr>
        <w:t>zidovudin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kan potentielt forårsage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og anæmi. Ved samtidig administration af disse lægemidler kan der forekomme en </w:t>
      </w:r>
      <w:proofErr w:type="spellStart"/>
      <w:r w:rsidRPr="005955A7">
        <w:rPr>
          <w:sz w:val="24"/>
          <w:szCs w:val="24"/>
        </w:rPr>
        <w:t>farmakodynamisk</w:t>
      </w:r>
      <w:proofErr w:type="spellEnd"/>
      <w:r w:rsidRPr="005955A7">
        <w:rPr>
          <w:sz w:val="24"/>
          <w:szCs w:val="24"/>
        </w:rPr>
        <w:t xml:space="preserve"> interaktion. Nogle patienter vil ikke kunne tåle samtidig behandling med fuld dosis (se pkt. 4.4).</w:t>
      </w:r>
    </w:p>
    <w:p w14:paraId="13C063B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6BD9A6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Andre potentielle lægemiddelinteraktioner</w:t>
      </w:r>
    </w:p>
    <w:p w14:paraId="42DA1D9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Toksiciteten kan øges, hvis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administreres sammen med andre lægemidler, der vides at være </w:t>
      </w:r>
      <w:proofErr w:type="spellStart"/>
      <w:r w:rsidRPr="005955A7">
        <w:rPr>
          <w:sz w:val="24"/>
          <w:szCs w:val="24"/>
        </w:rPr>
        <w:t>myelosupprimerende</w:t>
      </w:r>
      <w:proofErr w:type="spellEnd"/>
      <w:r w:rsidRPr="005955A7">
        <w:rPr>
          <w:sz w:val="24"/>
          <w:szCs w:val="24"/>
        </w:rPr>
        <w:t xml:space="preserve"> eller forbundne med nedsat nyrefunktion. Dette inkluderer </w:t>
      </w:r>
      <w:proofErr w:type="spellStart"/>
      <w:r w:rsidRPr="005955A7">
        <w:rPr>
          <w:sz w:val="24"/>
          <w:szCs w:val="24"/>
        </w:rPr>
        <w:t>antiinfektive</w:t>
      </w:r>
      <w:proofErr w:type="spellEnd"/>
      <w:r w:rsidRPr="005955A7">
        <w:rPr>
          <w:sz w:val="24"/>
          <w:szCs w:val="24"/>
        </w:rPr>
        <w:t xml:space="preserve"> midler (såsom </w:t>
      </w:r>
      <w:proofErr w:type="spellStart"/>
      <w:r w:rsidRPr="005955A7">
        <w:rPr>
          <w:sz w:val="24"/>
          <w:szCs w:val="24"/>
        </w:rPr>
        <w:t>dapson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pentamidin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flucytosin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amphotericin</w:t>
      </w:r>
      <w:proofErr w:type="spellEnd"/>
      <w:r w:rsidRPr="005955A7">
        <w:rPr>
          <w:sz w:val="24"/>
          <w:szCs w:val="24"/>
        </w:rPr>
        <w:t xml:space="preserve"> B, </w:t>
      </w:r>
      <w:proofErr w:type="spellStart"/>
      <w:r w:rsidRPr="005955A7">
        <w:rPr>
          <w:sz w:val="24"/>
          <w:szCs w:val="24"/>
        </w:rPr>
        <w:t>trimethoprim</w:t>
      </w:r>
      <w:proofErr w:type="spellEnd"/>
      <w:r w:rsidRPr="005955A7">
        <w:rPr>
          <w:sz w:val="24"/>
          <w:szCs w:val="24"/>
        </w:rPr>
        <w:t>/</w:t>
      </w:r>
      <w:proofErr w:type="spellStart"/>
      <w:r w:rsidRPr="005955A7">
        <w:rPr>
          <w:sz w:val="24"/>
          <w:szCs w:val="24"/>
        </w:rPr>
        <w:t>sulfamethoxazol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immunsuppressiva</w:t>
      </w:r>
      <w:proofErr w:type="spellEnd"/>
      <w:r w:rsidRPr="005955A7">
        <w:rPr>
          <w:sz w:val="24"/>
          <w:szCs w:val="24"/>
        </w:rPr>
        <w:t xml:space="preserve"> (fx </w:t>
      </w:r>
      <w:proofErr w:type="spellStart"/>
      <w:r w:rsidRPr="005955A7">
        <w:rPr>
          <w:sz w:val="24"/>
          <w:szCs w:val="24"/>
        </w:rPr>
        <w:t>ciclosporin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tacrolimus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mycofenolatmofetil</w:t>
      </w:r>
      <w:proofErr w:type="spellEnd"/>
      <w:r w:rsidRPr="005955A7">
        <w:rPr>
          <w:sz w:val="24"/>
          <w:szCs w:val="24"/>
        </w:rPr>
        <w:t xml:space="preserve">), </w:t>
      </w:r>
      <w:proofErr w:type="spellStart"/>
      <w:r w:rsidRPr="005955A7">
        <w:rPr>
          <w:sz w:val="24"/>
          <w:szCs w:val="24"/>
        </w:rPr>
        <w:t>antineoplastiske</w:t>
      </w:r>
      <w:proofErr w:type="spellEnd"/>
      <w:r w:rsidRPr="005955A7">
        <w:rPr>
          <w:sz w:val="24"/>
          <w:szCs w:val="24"/>
        </w:rPr>
        <w:t xml:space="preserve"> midler (fx </w:t>
      </w:r>
      <w:proofErr w:type="spellStart"/>
      <w:r w:rsidRPr="005955A7">
        <w:rPr>
          <w:sz w:val="24"/>
          <w:szCs w:val="24"/>
        </w:rPr>
        <w:t>vincristin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vinblastin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doxorubicin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hydroxyurinstof</w:t>
      </w:r>
      <w:proofErr w:type="spellEnd"/>
      <w:r w:rsidRPr="005955A7">
        <w:rPr>
          <w:sz w:val="24"/>
          <w:szCs w:val="24"/>
        </w:rPr>
        <w:t xml:space="preserve">) såvel som </w:t>
      </w:r>
      <w:proofErr w:type="spellStart"/>
      <w:r w:rsidRPr="005955A7">
        <w:rPr>
          <w:sz w:val="24"/>
          <w:szCs w:val="24"/>
        </w:rPr>
        <w:t>nukleosider</w:t>
      </w:r>
      <w:proofErr w:type="spellEnd"/>
      <w:r w:rsidRPr="005955A7">
        <w:rPr>
          <w:sz w:val="24"/>
          <w:szCs w:val="24"/>
        </w:rPr>
        <w:t xml:space="preserve"> (inklusive </w:t>
      </w:r>
      <w:proofErr w:type="spellStart"/>
      <w:r w:rsidRPr="005955A7">
        <w:rPr>
          <w:sz w:val="24"/>
          <w:szCs w:val="24"/>
        </w:rPr>
        <w:t>zidovudin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stavudin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didanosin</w:t>
      </w:r>
      <w:proofErr w:type="spellEnd"/>
      <w:r w:rsidRPr="005955A7">
        <w:rPr>
          <w:sz w:val="24"/>
          <w:szCs w:val="24"/>
        </w:rPr>
        <w:t xml:space="preserve">) og </w:t>
      </w:r>
      <w:proofErr w:type="spellStart"/>
      <w:r w:rsidRPr="005955A7">
        <w:rPr>
          <w:sz w:val="24"/>
          <w:szCs w:val="24"/>
        </w:rPr>
        <w:t>nukleotidanaloger</w:t>
      </w:r>
      <w:proofErr w:type="spellEnd"/>
      <w:r w:rsidRPr="005955A7">
        <w:rPr>
          <w:sz w:val="24"/>
          <w:szCs w:val="24"/>
        </w:rPr>
        <w:t xml:space="preserve"> (inklusive </w:t>
      </w:r>
      <w:proofErr w:type="spellStart"/>
      <w:r w:rsidRPr="005955A7">
        <w:rPr>
          <w:sz w:val="24"/>
          <w:szCs w:val="24"/>
        </w:rPr>
        <w:t>tenofovir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adefovir</w:t>
      </w:r>
      <w:proofErr w:type="spellEnd"/>
      <w:r w:rsidRPr="005955A7">
        <w:rPr>
          <w:sz w:val="24"/>
          <w:szCs w:val="24"/>
        </w:rPr>
        <w:t xml:space="preserve">). Samtidig administration af disse lægemidler og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bør derfor kun overvejes, hvis de potentielle fordele opvejer de potentielle risici (se pkt. 4.4). </w:t>
      </w:r>
    </w:p>
    <w:p w14:paraId="44AEFDF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851656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Pædiatrisk population</w:t>
      </w:r>
    </w:p>
    <w:p w14:paraId="35AB687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Interaktionsstudier er kun udført hos voksne.</w:t>
      </w:r>
    </w:p>
    <w:p w14:paraId="71FDC27A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1AB304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4.6</w:t>
      </w:r>
      <w:r w:rsidRPr="005955A7">
        <w:rPr>
          <w:b/>
          <w:sz w:val="24"/>
          <w:szCs w:val="24"/>
        </w:rPr>
        <w:tab/>
      </w:r>
      <w:r w:rsidR="0071241E" w:rsidRPr="005955A7">
        <w:rPr>
          <w:b/>
          <w:sz w:val="24"/>
          <w:szCs w:val="24"/>
        </w:rPr>
        <w:t>Fertilitet, g</w:t>
      </w:r>
      <w:r w:rsidRPr="005955A7">
        <w:rPr>
          <w:b/>
          <w:sz w:val="24"/>
          <w:szCs w:val="24"/>
        </w:rPr>
        <w:t>raviditet og amning</w:t>
      </w:r>
    </w:p>
    <w:p w14:paraId="4EDE8AD5" w14:textId="77777777" w:rsidR="00A26195" w:rsidRDefault="00A26195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1B99D5C" w14:textId="3BC6A61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5955A7">
        <w:rPr>
          <w:sz w:val="24"/>
          <w:szCs w:val="24"/>
          <w:u w:val="single"/>
        </w:rPr>
        <w:t>Fertilitet</w:t>
      </w:r>
    </w:p>
    <w:p w14:paraId="68D683B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Et klinisk studie med begrænset antal nyretransplanterede patienter, som fik </w:t>
      </w:r>
      <w:proofErr w:type="spellStart"/>
      <w:r w:rsidRPr="005955A7">
        <w:rPr>
          <w:sz w:val="24"/>
          <w:szCs w:val="24"/>
        </w:rPr>
        <w:t>Valcyte</w:t>
      </w:r>
      <w:proofErr w:type="spellEnd"/>
      <w:r w:rsidRPr="005955A7">
        <w:rPr>
          <w:sz w:val="24"/>
          <w:szCs w:val="24"/>
        </w:rPr>
        <w:t xml:space="preserve"> for prævention af CMV i op til 200 dage, viste at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>/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påvirkede </w:t>
      </w:r>
      <w:proofErr w:type="spellStart"/>
      <w:r w:rsidRPr="005955A7">
        <w:rPr>
          <w:sz w:val="24"/>
          <w:szCs w:val="24"/>
        </w:rPr>
        <w:t>spermatogenesen</w:t>
      </w:r>
      <w:proofErr w:type="spellEnd"/>
      <w:r w:rsidRPr="005955A7">
        <w:rPr>
          <w:sz w:val="24"/>
          <w:szCs w:val="24"/>
        </w:rPr>
        <w:t xml:space="preserve">, med nedsat sædcelle densitet og bevægelighed ved måling efter behandlingens afslutning. Denne påvirkning ser ud til at være reversibel og ca. 6 måneder efter </w:t>
      </w:r>
      <w:proofErr w:type="spellStart"/>
      <w:r w:rsidRPr="005955A7">
        <w:rPr>
          <w:sz w:val="24"/>
          <w:szCs w:val="24"/>
        </w:rPr>
        <w:t>seponering</w:t>
      </w:r>
      <w:proofErr w:type="spellEnd"/>
      <w:r w:rsidRPr="005955A7">
        <w:rPr>
          <w:sz w:val="24"/>
          <w:szCs w:val="24"/>
        </w:rPr>
        <w:t xml:space="preserve"> af </w:t>
      </w:r>
      <w:proofErr w:type="spellStart"/>
      <w:r w:rsidRPr="005955A7">
        <w:rPr>
          <w:sz w:val="24"/>
          <w:szCs w:val="24"/>
        </w:rPr>
        <w:t>Valcyte</w:t>
      </w:r>
      <w:proofErr w:type="spellEnd"/>
      <w:r w:rsidRPr="005955A7">
        <w:rPr>
          <w:sz w:val="24"/>
          <w:szCs w:val="24"/>
        </w:rPr>
        <w:t xml:space="preserve">-behandlingen var den gennemsnitlige sædcelle densitet og bevægelighed genoprettet til niveauer som var sammenlignelige med niveauerne hos den ubehandlede kontrolgruppe. </w:t>
      </w:r>
    </w:p>
    <w:p w14:paraId="08883DF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I dyreforsøg nedsatte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fertiliteten hos han- og </w:t>
      </w:r>
      <w:proofErr w:type="spellStart"/>
      <w:r w:rsidRPr="005955A7">
        <w:rPr>
          <w:sz w:val="24"/>
          <w:szCs w:val="24"/>
        </w:rPr>
        <w:t>hunmus</w:t>
      </w:r>
      <w:proofErr w:type="spellEnd"/>
      <w:r w:rsidRPr="005955A7">
        <w:rPr>
          <w:sz w:val="24"/>
          <w:szCs w:val="24"/>
        </w:rPr>
        <w:t xml:space="preserve"> og viste hæmning af </w:t>
      </w:r>
      <w:proofErr w:type="spellStart"/>
      <w:r w:rsidRPr="005955A7">
        <w:rPr>
          <w:sz w:val="24"/>
          <w:szCs w:val="24"/>
        </w:rPr>
        <w:t>spermatogenesen</w:t>
      </w:r>
      <w:proofErr w:type="spellEnd"/>
      <w:r w:rsidRPr="005955A7">
        <w:rPr>
          <w:sz w:val="24"/>
          <w:szCs w:val="24"/>
        </w:rPr>
        <w:t xml:space="preserve"> samt fremkaldte testikelatrofi hos mus, rotter og hunde ved klinisk relevante doser.  </w:t>
      </w:r>
    </w:p>
    <w:p w14:paraId="6DBE7DA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3FE6733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Baseret på kliniske og prækliniske studier anses det som sandsynligt, at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kan forårsage midlertidig eller permanent hæmning af den humane </w:t>
      </w:r>
      <w:proofErr w:type="spellStart"/>
      <w:r w:rsidRPr="005955A7">
        <w:rPr>
          <w:sz w:val="24"/>
          <w:szCs w:val="24"/>
        </w:rPr>
        <w:t>spermatogenese</w:t>
      </w:r>
      <w:proofErr w:type="spellEnd"/>
      <w:r w:rsidRPr="005955A7">
        <w:rPr>
          <w:sz w:val="24"/>
          <w:szCs w:val="24"/>
        </w:rPr>
        <w:t xml:space="preserve"> (se pkt. 4.4 og 5.3).</w:t>
      </w:r>
    </w:p>
    <w:p w14:paraId="06DEC3D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B0C1E8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Graviditet</w:t>
      </w:r>
    </w:p>
    <w:p w14:paraId="0AFBA11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Ganciclovirs</w:t>
      </w:r>
      <w:proofErr w:type="spellEnd"/>
      <w:r w:rsidRPr="005955A7">
        <w:rPr>
          <w:sz w:val="24"/>
          <w:szCs w:val="24"/>
        </w:rPr>
        <w:t xml:space="preserve"> sikkerhed ved anvendelse til gravide kvinder er ikke undersøgt.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passerer dog i udstrakt grad den humane placentabarriere. I dyrestudier har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været forbundet med reproduktionstoksicitet og </w:t>
      </w:r>
      <w:proofErr w:type="spellStart"/>
      <w:r w:rsidRPr="005955A7">
        <w:rPr>
          <w:sz w:val="24"/>
          <w:szCs w:val="24"/>
        </w:rPr>
        <w:t>teratogenicitet</w:t>
      </w:r>
      <w:proofErr w:type="spellEnd"/>
      <w:r w:rsidRPr="005955A7">
        <w:rPr>
          <w:sz w:val="24"/>
          <w:szCs w:val="24"/>
        </w:rPr>
        <w:t xml:space="preserve"> (se pkt. 4.4 og 5.3).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bør derfor ikke anvendes til gravide kvinder, medmindre kvindens kliniske behov for behandling opvejer den potentielle </w:t>
      </w:r>
      <w:proofErr w:type="spellStart"/>
      <w:r w:rsidRPr="005955A7">
        <w:rPr>
          <w:sz w:val="24"/>
          <w:szCs w:val="24"/>
        </w:rPr>
        <w:t>teratogene</w:t>
      </w:r>
      <w:proofErr w:type="spellEnd"/>
      <w:r w:rsidRPr="005955A7">
        <w:rPr>
          <w:sz w:val="24"/>
          <w:szCs w:val="24"/>
        </w:rPr>
        <w:t xml:space="preserve"> risiko for fostret.</w:t>
      </w:r>
    </w:p>
    <w:p w14:paraId="7260DCB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8FFD94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Prævention hos mænd og kvinder</w:t>
      </w:r>
    </w:p>
    <w:p w14:paraId="5A405F2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På grund af potentiel reproduktionstoksicitet og </w:t>
      </w:r>
      <w:proofErr w:type="spellStart"/>
      <w:r w:rsidRPr="005955A7">
        <w:rPr>
          <w:sz w:val="24"/>
          <w:szCs w:val="24"/>
        </w:rPr>
        <w:t>teratogenicitet</w:t>
      </w:r>
      <w:proofErr w:type="spellEnd"/>
      <w:r w:rsidRPr="005955A7">
        <w:rPr>
          <w:sz w:val="24"/>
          <w:szCs w:val="24"/>
        </w:rPr>
        <w:t xml:space="preserve"> skal fertile kvinder informeres om at anvende effektiv prævention under behandlingen og i mindst 30 dage efter, behandlingen er afsluttet. Mandlige patienter skal informeres om at anvende barriere-prævention under behandlingen og i mindst 90 dage efter, behandlingen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</w:t>
      </w:r>
      <w:r w:rsidRPr="005955A7">
        <w:rPr>
          <w:sz w:val="24"/>
          <w:szCs w:val="24"/>
        </w:rPr>
        <w:lastRenderedPageBreak/>
        <w:t>afsluttet, medmindre det er sikkert, at den kvindelige partner ikke risikerer graviditet (se pkt. 4.4 og 5.3).</w:t>
      </w:r>
    </w:p>
    <w:p w14:paraId="7290130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1C36803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Amning</w:t>
      </w:r>
    </w:p>
    <w:p w14:paraId="71E13F8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Det vides ikke, om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udskilles i human mælk, men det kan ikke udelukkes, at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udskilles i mælken og forårsager alvorlige bivirkninger hos det ammede barn. Præklinisk data indikerer, at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udskilles i mælken fra rotter. Amning skal derfor ophøre under behandling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(se pkt. 4.3).</w:t>
      </w:r>
    </w:p>
    <w:p w14:paraId="287E96B8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68DE3F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4.7</w:t>
      </w:r>
      <w:r w:rsidRPr="005955A7">
        <w:rPr>
          <w:b/>
          <w:sz w:val="24"/>
          <w:szCs w:val="24"/>
        </w:rPr>
        <w:tab/>
        <w:t xml:space="preserve">Virkning på evnen til at føre motorkøretøj </w:t>
      </w:r>
      <w:r w:rsidR="0071241E" w:rsidRPr="005955A7">
        <w:rPr>
          <w:b/>
          <w:sz w:val="24"/>
          <w:szCs w:val="24"/>
        </w:rPr>
        <w:t>og</w:t>
      </w:r>
      <w:r w:rsidRPr="005955A7">
        <w:rPr>
          <w:b/>
          <w:sz w:val="24"/>
          <w:szCs w:val="24"/>
        </w:rPr>
        <w:t xml:space="preserve"> betjene maskiner</w:t>
      </w:r>
    </w:p>
    <w:p w14:paraId="7F8D01C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>Ikke mærkning.</w:t>
      </w:r>
    </w:p>
    <w:p w14:paraId="5F8AFDF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Gancliclovir</w:t>
      </w:r>
      <w:proofErr w:type="spellEnd"/>
      <w:r w:rsidRPr="005955A7">
        <w:rPr>
          <w:sz w:val="24"/>
          <w:szCs w:val="24"/>
        </w:rPr>
        <w:t xml:space="preserve"> kan i høj grad påvirke evnen til at føre motorkøretøj og betjene maskiner (se pkt. 4.8).</w:t>
      </w:r>
    </w:p>
    <w:p w14:paraId="5260596D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53875C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4.8</w:t>
      </w:r>
      <w:r w:rsidRPr="005955A7">
        <w:rPr>
          <w:b/>
          <w:sz w:val="24"/>
          <w:szCs w:val="24"/>
        </w:rPr>
        <w:tab/>
        <w:t>Bivirkninger</w:t>
      </w:r>
    </w:p>
    <w:p w14:paraId="515DBC8C" w14:textId="77777777" w:rsidR="00A26195" w:rsidRDefault="00A26195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B031B9B" w14:textId="4A80FC59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5955A7">
        <w:rPr>
          <w:sz w:val="24"/>
          <w:szCs w:val="24"/>
          <w:u w:val="single"/>
        </w:rPr>
        <w:t>Opsummering af sikkerhedsprofilen</w:t>
      </w:r>
    </w:p>
    <w:p w14:paraId="6146D2A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er </w:t>
      </w:r>
      <w:proofErr w:type="gramStart"/>
      <w:r w:rsidRPr="005955A7">
        <w:rPr>
          <w:sz w:val="24"/>
          <w:szCs w:val="24"/>
        </w:rPr>
        <w:t>et prodrug</w:t>
      </w:r>
      <w:proofErr w:type="gramEnd"/>
      <w:r w:rsidRPr="005955A7">
        <w:rPr>
          <w:sz w:val="24"/>
          <w:szCs w:val="24"/>
        </w:rPr>
        <w:t xml:space="preserve"> til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, og bivirkninger set med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kan forventes at forekomme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. Oral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ikke længere tilgængeligt, men de bivirkninger, der er rapporteret ved brug af dette, kan også forventes at forekomme hos patienter, der behandles intravenøst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. Derfor er alle de bivirkninger, der er rapporteret med intravenøs og oral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samt med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>, inkluderet i bivirkningstabellen.</w:t>
      </w:r>
    </w:p>
    <w:p w14:paraId="750C96E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8C26ECF" w14:textId="14171503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 alvorligste og hyppigst forekommende bivirkninger hos patienter behandlet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>/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er hæmatologiske bivirkninger og omfatter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, anæmi og </w:t>
      </w:r>
      <w:proofErr w:type="spellStart"/>
      <w:r w:rsidRPr="005955A7">
        <w:rPr>
          <w:sz w:val="24"/>
          <w:szCs w:val="24"/>
        </w:rPr>
        <w:t>trombocytopeni</w:t>
      </w:r>
      <w:proofErr w:type="spellEnd"/>
      <w:r w:rsidRPr="005955A7">
        <w:rPr>
          <w:sz w:val="24"/>
          <w:szCs w:val="24"/>
        </w:rPr>
        <w:t xml:space="preserve"> (se pkt. 4.4). Andre bivirkninger er angivet i tabellen nedenfor.</w:t>
      </w:r>
    </w:p>
    <w:p w14:paraId="6621D57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Bivirkningshyppigheden i skemaet over bivirkninger er baseret på en samlet population bestående af HIV-inficerede patienter (n = 1704) i vedligeholdelsesbehandling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eller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. For </w:t>
      </w:r>
      <w:proofErr w:type="spellStart"/>
      <w:r w:rsidRPr="005955A7">
        <w:rPr>
          <w:sz w:val="24"/>
          <w:szCs w:val="24"/>
        </w:rPr>
        <w:t>agranulocytose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granulocytopeni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anafylaktisk</w:t>
      </w:r>
      <w:proofErr w:type="spellEnd"/>
      <w:r w:rsidRPr="005955A7">
        <w:rPr>
          <w:sz w:val="24"/>
          <w:szCs w:val="24"/>
        </w:rPr>
        <w:t xml:space="preserve"> reaktion er hyppigheden til gengæld baseret på erfaringer efter markedsføring. Bivirkningerne er listet ifølge </w:t>
      </w:r>
      <w:proofErr w:type="spellStart"/>
      <w:r w:rsidRPr="005955A7">
        <w:rPr>
          <w:sz w:val="24"/>
          <w:szCs w:val="24"/>
        </w:rPr>
        <w:t>MedDRA</w:t>
      </w:r>
      <w:proofErr w:type="spellEnd"/>
      <w:r w:rsidRPr="005955A7">
        <w:rPr>
          <w:sz w:val="24"/>
          <w:szCs w:val="24"/>
        </w:rPr>
        <w:t xml:space="preserve"> systemorganklasser. Hyppighedskategorierne er defineret på følgende måde: meget almindelig (≥ 1/10), almindelig (≥ 1/100 til &lt;1/10), ikke almindelig (≥ 1/1.000 til &lt; 1/100), sjælden (≥ 1/10.000 til &lt; 1/1.000) og meget sjælden (&lt; 1/10.000).</w:t>
      </w:r>
    </w:p>
    <w:p w14:paraId="3B07F188" w14:textId="74F58FA4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Den samlede sikkerhedsprofil for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>/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stemmer overens for HIV og transplantation populationer, dog ses nethindeløsning kun hos HIV-patienter med CMV-</w:t>
      </w:r>
      <w:proofErr w:type="spellStart"/>
      <w:r w:rsidRPr="005955A7">
        <w:rPr>
          <w:sz w:val="24"/>
          <w:szCs w:val="24"/>
        </w:rPr>
        <w:t>retinitis</w:t>
      </w:r>
      <w:proofErr w:type="spellEnd"/>
      <w:r w:rsidRPr="005955A7">
        <w:rPr>
          <w:sz w:val="24"/>
          <w:szCs w:val="24"/>
        </w:rPr>
        <w:t xml:space="preserve">. Desuden er der forskelle i hyppigheden af bestemte bivirkninger. Intravenøs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forbundet med en lavere ris</w:t>
      </w:r>
      <w:r w:rsidR="00803F0A">
        <w:rPr>
          <w:sz w:val="24"/>
          <w:szCs w:val="24"/>
        </w:rPr>
        <w:t>i</w:t>
      </w:r>
      <w:r w:rsidRPr="005955A7">
        <w:rPr>
          <w:sz w:val="24"/>
          <w:szCs w:val="24"/>
        </w:rPr>
        <w:t xml:space="preserve">ko for diarré sammenlignet med oral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. </w:t>
      </w:r>
      <w:proofErr w:type="spellStart"/>
      <w:r w:rsidRPr="005955A7">
        <w:rPr>
          <w:sz w:val="24"/>
          <w:szCs w:val="24"/>
        </w:rPr>
        <w:t>Pyreksi</w:t>
      </w:r>
      <w:proofErr w:type="spellEnd"/>
      <w:r w:rsidRPr="005955A7">
        <w:rPr>
          <w:sz w:val="24"/>
          <w:szCs w:val="24"/>
        </w:rPr>
        <w:t xml:space="preserve">, </w:t>
      </w:r>
      <w:proofErr w:type="spellStart"/>
      <w:r w:rsidRPr="005955A7">
        <w:rPr>
          <w:sz w:val="24"/>
          <w:szCs w:val="24"/>
        </w:rPr>
        <w:t>Candida</w:t>
      </w:r>
      <w:proofErr w:type="spellEnd"/>
      <w:r w:rsidRPr="005955A7">
        <w:rPr>
          <w:sz w:val="24"/>
          <w:szCs w:val="24"/>
        </w:rPr>
        <w:t xml:space="preserve">-infektioner, depression, svær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(ANC &lt;500/µL) og hudreaktioner er hyppigere rapporteret hos patienter med HIV. Blandt patienter der havde fået </w:t>
      </w:r>
      <w:proofErr w:type="spellStart"/>
      <w:r w:rsidRPr="005955A7">
        <w:rPr>
          <w:sz w:val="24"/>
          <w:szCs w:val="24"/>
        </w:rPr>
        <w:t>organtransplatation</w:t>
      </w:r>
      <w:proofErr w:type="spellEnd"/>
      <w:r w:rsidRPr="005955A7">
        <w:rPr>
          <w:sz w:val="24"/>
          <w:szCs w:val="24"/>
        </w:rPr>
        <w:t xml:space="preserve"> er der hyppigere blevet rapporteret nyre og lever dysfunktion.   </w:t>
      </w:r>
    </w:p>
    <w:p w14:paraId="3AC9AF1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64E160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Skema over bivirkninger</w:t>
      </w:r>
    </w:p>
    <w:p w14:paraId="5CAF4E1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2816"/>
      </w:tblGrid>
      <w:tr w:rsidR="007F7E0B" w:rsidRPr="005955A7" w14:paraId="0CD2CAC5" w14:textId="77777777" w:rsidTr="007F7E0B">
        <w:trPr>
          <w:tblHeader/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18B3" w14:textId="77777777" w:rsidR="007F7E0B" w:rsidRPr="005955A7" w:rsidRDefault="007F7E0B">
            <w:pPr>
              <w:tabs>
                <w:tab w:val="left" w:pos="1843"/>
              </w:tabs>
              <w:rPr>
                <w:b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noProof/>
                <w:sz w:val="24"/>
                <w:szCs w:val="24"/>
                <w:lang w:eastAsia="ja-JP"/>
              </w:rPr>
              <w:t>Systemorganklasser i henhold til MedDRA-databasen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7727" w14:textId="77777777" w:rsidR="007F7E0B" w:rsidRPr="005955A7" w:rsidRDefault="007F7E0B">
            <w:pPr>
              <w:tabs>
                <w:tab w:val="left" w:pos="1843"/>
              </w:tabs>
              <w:rPr>
                <w:b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noProof/>
                <w:sz w:val="24"/>
                <w:szCs w:val="24"/>
                <w:lang w:eastAsia="ja-JP"/>
              </w:rPr>
              <w:t>Hyppighed</w:t>
            </w:r>
          </w:p>
        </w:tc>
      </w:tr>
      <w:tr w:rsidR="007F7E0B" w:rsidRPr="005955A7" w14:paraId="2336156A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9281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i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noProof/>
                <w:sz w:val="24"/>
                <w:szCs w:val="24"/>
                <w:lang w:eastAsia="ja-JP"/>
              </w:rPr>
              <w:t>Infektioner og parasitære sygdomme:</w:t>
            </w:r>
          </w:p>
        </w:tc>
      </w:tr>
      <w:tr w:rsidR="007F7E0B" w:rsidRPr="005955A7" w14:paraId="7D7D67C2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3FF9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u w:val="single"/>
                <w:lang w:val="sv-SE" w:eastAsia="ja-JP"/>
              </w:rPr>
            </w:pPr>
            <w:proofErr w:type="spellStart"/>
            <w:r w:rsidRPr="005955A7">
              <w:rPr>
                <w:iCs/>
                <w:sz w:val="24"/>
                <w:szCs w:val="24"/>
                <w:lang w:val="sv-SE" w:eastAsia="ja-JP"/>
              </w:rPr>
              <w:t>Candida</w:t>
            </w:r>
            <w:proofErr w:type="spellEnd"/>
            <w:r w:rsidRPr="005955A7">
              <w:rPr>
                <w:iCs/>
                <w:sz w:val="24"/>
                <w:szCs w:val="24"/>
                <w:lang w:val="sv-SE" w:eastAsia="ja-JP"/>
              </w:rPr>
              <w:t>-infektioner</w:t>
            </w:r>
            <w:r w:rsidRPr="005955A7">
              <w:rPr>
                <w:sz w:val="24"/>
                <w:szCs w:val="24"/>
                <w:lang w:val="sv-SE" w:eastAsia="ja-JP"/>
              </w:rPr>
              <w:t xml:space="preserve">, inklusive oral </w:t>
            </w:r>
            <w:proofErr w:type="spellStart"/>
            <w:r w:rsidRPr="005955A7">
              <w:rPr>
                <w:sz w:val="24"/>
                <w:szCs w:val="24"/>
                <w:lang w:val="sv-SE" w:eastAsia="ja-JP"/>
              </w:rPr>
              <w:t>candidiasis</w:t>
            </w:r>
            <w:proofErr w:type="spellEnd"/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23B2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Meget almindelig</w:t>
            </w:r>
          </w:p>
        </w:tc>
      </w:tr>
      <w:tr w:rsidR="007F7E0B" w:rsidRPr="005955A7" w14:paraId="1169333F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86AB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Infektion i de øvre luftveje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3E71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7CA4B3B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A23A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lastRenderedPageBreak/>
              <w:t>Sepsis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303D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32C00385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03AE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Influenza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FD9A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585B7E94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C17D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eastAsia="ja-JP"/>
              </w:rPr>
              <w:t>Urinvejsinfektion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66B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48E36E16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C716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eastAsia="ja-JP"/>
              </w:rPr>
              <w:t>Cellulitis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703C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96F5624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15FC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Blod og lymfesystem:</w:t>
            </w:r>
          </w:p>
        </w:tc>
      </w:tr>
      <w:tr w:rsidR="007F7E0B" w:rsidRPr="005955A7" w14:paraId="132F1BD0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64A5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da-DK"/>
              </w:rPr>
            </w:pPr>
            <w:proofErr w:type="spellStart"/>
            <w:r w:rsidRPr="005955A7">
              <w:rPr>
                <w:sz w:val="24"/>
                <w:szCs w:val="24"/>
                <w:lang w:val="en-US"/>
              </w:rPr>
              <w:t>Neutropeni</w:t>
            </w:r>
            <w:proofErr w:type="spellEnd"/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BEF1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Meget almindelig</w:t>
            </w:r>
          </w:p>
        </w:tc>
      </w:tr>
      <w:tr w:rsidR="007F7E0B" w:rsidRPr="005955A7" w14:paraId="308180E1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C27F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ja-JP"/>
              </w:rPr>
            </w:pPr>
            <w:proofErr w:type="spellStart"/>
            <w:r w:rsidRPr="005955A7">
              <w:rPr>
                <w:sz w:val="24"/>
                <w:szCs w:val="24"/>
                <w:lang w:val="en-US"/>
              </w:rPr>
              <w:t>Anæmi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43FF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1DB499A8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F94C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da-DK"/>
              </w:rPr>
            </w:pPr>
            <w:proofErr w:type="spellStart"/>
            <w:r w:rsidRPr="005955A7">
              <w:rPr>
                <w:sz w:val="24"/>
                <w:szCs w:val="24"/>
                <w:lang w:val="en-US"/>
              </w:rPr>
              <w:t>Trombocytopeni</w:t>
            </w:r>
            <w:proofErr w:type="spellEnd"/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D658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1ACADDBE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7189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da-DK"/>
              </w:rPr>
            </w:pPr>
            <w:proofErr w:type="spellStart"/>
            <w:r w:rsidRPr="005955A7">
              <w:rPr>
                <w:sz w:val="24"/>
                <w:szCs w:val="24"/>
                <w:lang w:val="en-US"/>
              </w:rPr>
              <w:t>Leukopeni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74C0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D6F5C78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7C64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ja-JP"/>
              </w:rPr>
            </w:pPr>
            <w:proofErr w:type="spellStart"/>
            <w:r w:rsidRPr="005955A7">
              <w:rPr>
                <w:sz w:val="24"/>
                <w:szCs w:val="24"/>
                <w:lang w:val="en-US"/>
              </w:rPr>
              <w:t>Pancytopeni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F546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4BE0684D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980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ja-JP"/>
              </w:rPr>
            </w:pPr>
            <w:proofErr w:type="spellStart"/>
            <w:r w:rsidRPr="005955A7">
              <w:rPr>
                <w:sz w:val="24"/>
                <w:szCs w:val="24"/>
                <w:lang w:val="en-US"/>
              </w:rPr>
              <w:t>Knoglemarvssvigt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F5ED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Ikke almindelig</w:t>
            </w:r>
          </w:p>
        </w:tc>
      </w:tr>
      <w:tr w:rsidR="007F7E0B" w:rsidRPr="005955A7" w14:paraId="37CDBFC9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3EB1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Aplastisk</w:t>
            </w:r>
            <w:proofErr w:type="spellEnd"/>
            <w:r w:rsidRPr="005955A7">
              <w:rPr>
                <w:sz w:val="24"/>
                <w:szCs w:val="24"/>
              </w:rPr>
              <w:t xml:space="preserve"> anæmi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BA4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Sjælden</w:t>
            </w:r>
          </w:p>
        </w:tc>
      </w:tr>
      <w:tr w:rsidR="007F7E0B" w:rsidRPr="00A26195" w14:paraId="02902B71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4993" w14:textId="77777777" w:rsidR="007F7E0B" w:rsidRPr="00A26195" w:rsidRDefault="007F7E0B" w:rsidP="00A26195">
            <w:pPr>
              <w:rPr>
                <w:sz w:val="24"/>
                <w:szCs w:val="24"/>
              </w:rPr>
            </w:pPr>
            <w:proofErr w:type="spellStart"/>
            <w:r w:rsidRPr="00A26195">
              <w:rPr>
                <w:sz w:val="24"/>
                <w:szCs w:val="24"/>
              </w:rPr>
              <w:t>Agranulocytose</w:t>
            </w:r>
            <w:proofErr w:type="spellEnd"/>
            <w:r w:rsidRPr="00A26195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7827" w14:textId="77777777" w:rsidR="007F7E0B" w:rsidRPr="00A26195" w:rsidRDefault="007F7E0B" w:rsidP="00A26195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72D681E9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3529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Granulocytopeni</w:t>
            </w:r>
            <w:proofErr w:type="spellEnd"/>
            <w:r w:rsidRPr="005955A7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5F0E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5E1C4B9C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C214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u w:val="single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Immunsystemet:</w:t>
            </w:r>
          </w:p>
        </w:tc>
      </w:tr>
      <w:tr w:rsidR="007F7E0B" w:rsidRPr="005955A7" w14:paraId="47199EED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9169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da-DK"/>
              </w:rPr>
            </w:pPr>
            <w:proofErr w:type="spellStart"/>
            <w:r w:rsidRPr="005955A7">
              <w:rPr>
                <w:sz w:val="24"/>
                <w:szCs w:val="24"/>
                <w:lang w:val="en-US"/>
              </w:rPr>
              <w:t>Hypersensitivitet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F02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005556A5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C3B6" w14:textId="4A3E9358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Anafylaktisk</w:t>
            </w:r>
            <w:proofErr w:type="spellEnd"/>
            <w:r w:rsidRPr="005955A7">
              <w:rPr>
                <w:sz w:val="24"/>
                <w:szCs w:val="24"/>
              </w:rPr>
              <w:t xml:space="preserve"> rea</w:t>
            </w:r>
            <w:r w:rsidR="00A26195">
              <w:rPr>
                <w:sz w:val="24"/>
                <w:szCs w:val="24"/>
              </w:rPr>
              <w:t>k</w:t>
            </w:r>
            <w:r w:rsidRPr="005955A7">
              <w:rPr>
                <w:sz w:val="24"/>
                <w:szCs w:val="24"/>
              </w:rPr>
              <w:t>tion*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003F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Sjælden</w:t>
            </w:r>
          </w:p>
        </w:tc>
      </w:tr>
      <w:tr w:rsidR="007F7E0B" w:rsidRPr="005955A7" w14:paraId="71794F87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EAD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Metabolisme og ernæring:</w:t>
            </w:r>
          </w:p>
        </w:tc>
      </w:tr>
      <w:tr w:rsidR="007F7E0B" w:rsidRPr="005955A7" w14:paraId="7FF49433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DFDC" w14:textId="77777777" w:rsidR="007F7E0B" w:rsidRPr="005955A7" w:rsidRDefault="007F7E0B">
            <w:pPr>
              <w:tabs>
                <w:tab w:val="left" w:pos="1843"/>
              </w:tabs>
              <w:rPr>
                <w:color w:val="FF0000"/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Nedsat appetit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D176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Meget almindelig</w:t>
            </w:r>
          </w:p>
        </w:tc>
      </w:tr>
      <w:tr w:rsidR="007F7E0B" w:rsidRPr="005955A7" w14:paraId="6CFB2650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5DF0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da-DK"/>
              </w:rPr>
            </w:pPr>
            <w:proofErr w:type="spellStart"/>
            <w:r w:rsidRPr="005955A7">
              <w:rPr>
                <w:sz w:val="24"/>
                <w:szCs w:val="24"/>
                <w:lang w:val="en-US"/>
              </w:rPr>
              <w:t>Vægttab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24D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7A4BF73F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C17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Psykiske forstyrrelser:</w:t>
            </w:r>
          </w:p>
        </w:tc>
      </w:tr>
      <w:tr w:rsidR="007F7E0B" w:rsidRPr="005955A7" w14:paraId="4CC33DAD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26B2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Depression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496A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47CAB067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EB56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Konfusion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4C1D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2040F25F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3E47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Angst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01FB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5DC2F1FC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E779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Agitation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F94E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Ikke almindelig</w:t>
            </w:r>
          </w:p>
        </w:tc>
      </w:tr>
      <w:tr w:rsidR="007F7E0B" w:rsidRPr="005955A7" w14:paraId="2BF73BCB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49C9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</w:rPr>
              <w:t>Psykotiske forstyrrelser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5373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134F6875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AC7E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</w:rPr>
              <w:t>Abnorme tanker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3E21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2B07BDD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1CB4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val="en-US" w:eastAsia="da-DK"/>
              </w:rPr>
            </w:pPr>
            <w:r w:rsidRPr="005955A7">
              <w:rPr>
                <w:sz w:val="24"/>
                <w:szCs w:val="24"/>
              </w:rPr>
              <w:t>Hallucinationer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B2D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A26195" w14:paraId="5F3E2B62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CA6B" w14:textId="77777777" w:rsidR="007F7E0B" w:rsidRPr="00A26195" w:rsidRDefault="007F7E0B" w:rsidP="00A26195">
            <w:pPr>
              <w:rPr>
                <w:b/>
                <w:i/>
                <w:sz w:val="24"/>
                <w:szCs w:val="24"/>
                <w:lang w:eastAsia="ja-JP"/>
              </w:rPr>
            </w:pPr>
            <w:r w:rsidRPr="00A26195">
              <w:rPr>
                <w:b/>
                <w:i/>
                <w:sz w:val="24"/>
                <w:szCs w:val="24"/>
              </w:rPr>
              <w:t>Nervesystemet:</w:t>
            </w:r>
          </w:p>
        </w:tc>
      </w:tr>
      <w:tr w:rsidR="007F7E0B" w:rsidRPr="00A26195" w14:paraId="2752DEB2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3780" w14:textId="77777777" w:rsidR="007F7E0B" w:rsidRPr="00A26195" w:rsidRDefault="007F7E0B" w:rsidP="00A26195">
            <w:pPr>
              <w:rPr>
                <w:sz w:val="24"/>
                <w:szCs w:val="24"/>
                <w:lang w:eastAsia="da-DK"/>
              </w:rPr>
            </w:pPr>
            <w:r w:rsidRPr="00A26195">
              <w:rPr>
                <w:sz w:val="24"/>
                <w:szCs w:val="24"/>
              </w:rPr>
              <w:t>Hovedpine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0EBA" w14:textId="77777777" w:rsidR="007F7E0B" w:rsidRPr="00A26195" w:rsidRDefault="007F7E0B" w:rsidP="00A26195">
            <w:pPr>
              <w:rPr>
                <w:sz w:val="24"/>
                <w:szCs w:val="24"/>
              </w:rPr>
            </w:pPr>
            <w:r w:rsidRPr="00A26195">
              <w:rPr>
                <w:sz w:val="24"/>
                <w:szCs w:val="24"/>
              </w:rPr>
              <w:t>Meget almindelig</w:t>
            </w:r>
          </w:p>
        </w:tc>
      </w:tr>
      <w:tr w:rsidR="007F7E0B" w:rsidRPr="005955A7" w14:paraId="4D303A04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266F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Søvnløshed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4D04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4D84B902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81B2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 xml:space="preserve">Perifer </w:t>
            </w:r>
            <w:proofErr w:type="spellStart"/>
            <w:r w:rsidRPr="005955A7">
              <w:rPr>
                <w:sz w:val="24"/>
                <w:szCs w:val="24"/>
              </w:rPr>
              <w:t>neuropati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620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791DE400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6454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Svimmelhed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C37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37BDDA3E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508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Paræstesier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3F4B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6B527DC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46A2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Hypæstesi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5A9D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188D52D4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8D5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Kramper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9022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3365B92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46C4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Dysgeusi</w:t>
            </w:r>
            <w:proofErr w:type="spellEnd"/>
            <w:r w:rsidRPr="005955A7">
              <w:rPr>
                <w:sz w:val="24"/>
                <w:szCs w:val="24"/>
              </w:rPr>
              <w:t xml:space="preserve"> (smagsforstyrrelser)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8612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AEF3A97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F15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Tremor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09D0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Ikke almindelig</w:t>
            </w:r>
          </w:p>
        </w:tc>
      </w:tr>
      <w:tr w:rsidR="007F7E0B" w:rsidRPr="005955A7" w14:paraId="1773BBE5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E60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i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noProof/>
                <w:sz w:val="24"/>
                <w:szCs w:val="24"/>
                <w:lang w:eastAsia="ja-JP"/>
              </w:rPr>
              <w:t>Øjne:</w:t>
            </w:r>
          </w:p>
        </w:tc>
      </w:tr>
      <w:tr w:rsidR="007F7E0B" w:rsidRPr="005955A7" w14:paraId="15D30F33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ECC6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Nedsat syn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44B1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1B0812EC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349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Nethindeløsning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A45C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3927B591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B5BD" w14:textId="77777777" w:rsidR="007F7E0B" w:rsidRPr="005955A7" w:rsidRDefault="007F7E0B">
            <w:pPr>
              <w:tabs>
                <w:tab w:val="left" w:pos="1843"/>
              </w:tabs>
              <w:rPr>
                <w:iCs/>
                <w:color w:val="FF0000"/>
                <w:sz w:val="24"/>
                <w:szCs w:val="24"/>
              </w:rPr>
            </w:pPr>
            <w:r w:rsidRPr="005955A7">
              <w:rPr>
                <w:iCs/>
                <w:sz w:val="24"/>
                <w:szCs w:val="24"/>
              </w:rPr>
              <w:t xml:space="preserve">Mouches </w:t>
            </w:r>
            <w:proofErr w:type="spellStart"/>
            <w:r w:rsidRPr="005955A7">
              <w:rPr>
                <w:iCs/>
                <w:sz w:val="24"/>
                <w:szCs w:val="24"/>
              </w:rPr>
              <w:t>volantes</w:t>
            </w:r>
            <w:proofErr w:type="spellEnd"/>
            <w:r w:rsidRPr="005955A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CA82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805D2E0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5B6F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Øjensmerter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9068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FA7B5D2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C732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Konjunktivitis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B19E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5183D678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EE57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Makulaødem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A29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7E02177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8FB0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Øre og labyrint:</w:t>
            </w:r>
          </w:p>
        </w:tc>
      </w:tr>
      <w:tr w:rsidR="007F7E0B" w:rsidRPr="005955A7" w14:paraId="6A8B44DE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937E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Øresmerter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2AA1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533EC06E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E571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lastRenderedPageBreak/>
              <w:t>Døvhed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165E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Ikke almindelig</w:t>
            </w:r>
          </w:p>
        </w:tc>
      </w:tr>
      <w:tr w:rsidR="007F7E0B" w:rsidRPr="005955A7" w14:paraId="4178B3FF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2337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Hjerte:</w:t>
            </w:r>
          </w:p>
        </w:tc>
      </w:tr>
      <w:tr w:rsidR="007F7E0B" w:rsidRPr="005955A7" w14:paraId="317B2D1D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0E42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Arytmier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E4E7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Ikke almindelig</w:t>
            </w:r>
          </w:p>
        </w:tc>
      </w:tr>
      <w:tr w:rsidR="007F7E0B" w:rsidRPr="005955A7" w14:paraId="57D014E9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80B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sz w:val="24"/>
                <w:szCs w:val="24"/>
                <w:lang w:eastAsia="da-DK"/>
              </w:rPr>
            </w:pPr>
            <w:proofErr w:type="spellStart"/>
            <w:r w:rsidRPr="005955A7">
              <w:rPr>
                <w:b/>
                <w:bCs/>
                <w:i/>
                <w:sz w:val="24"/>
                <w:szCs w:val="24"/>
              </w:rPr>
              <w:t>Vaskulære</w:t>
            </w:r>
            <w:proofErr w:type="spellEnd"/>
            <w:r w:rsidRPr="005955A7">
              <w:rPr>
                <w:b/>
                <w:bCs/>
                <w:i/>
                <w:sz w:val="24"/>
                <w:szCs w:val="24"/>
              </w:rPr>
              <w:t xml:space="preserve"> sygdomme:</w:t>
            </w:r>
            <w:r w:rsidRPr="005955A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7E0B" w:rsidRPr="005955A7" w14:paraId="4C9EAADF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2375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Hypotension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02A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7C62FCC4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0F04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noProof/>
                <w:sz w:val="24"/>
                <w:szCs w:val="24"/>
              </w:rPr>
              <w:t>Luftveje, thorax og mediastinum</w:t>
            </w:r>
            <w:r w:rsidRPr="005955A7">
              <w:rPr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7F7E0B" w:rsidRPr="005955A7" w14:paraId="278E99BC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F631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Hoste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B3E9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Meget almindelig</w:t>
            </w:r>
          </w:p>
        </w:tc>
      </w:tr>
      <w:tr w:rsidR="007F7E0B" w:rsidRPr="005955A7" w14:paraId="24340E63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7B98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Dyspnø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5D6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5B07DCEC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5EA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Mave-tarm-kanalen:</w:t>
            </w:r>
          </w:p>
        </w:tc>
      </w:tr>
      <w:tr w:rsidR="007F7E0B" w:rsidRPr="005955A7" w14:paraId="383E276F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40F2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Diarré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5D62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Meget almindelig</w:t>
            </w:r>
          </w:p>
        </w:tc>
      </w:tr>
      <w:tr w:rsidR="007F7E0B" w:rsidRPr="005955A7" w14:paraId="79D44B6B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94F5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Kvamle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475A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11A2C047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2E4C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Opkastning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FF24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5EB39225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201D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Abdominalsmerter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47B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7FFC02D7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8FE0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Dyspepsi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5693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14A46AD7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F037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Flatulens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1611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3563CE91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6A5D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Smerter i øvre abdomen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245C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38AB9367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65CB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Obstipation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03C5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5A1D0A1A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B368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Sår i munden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6037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772FE11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657B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Dysfagi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F7F4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32494459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B562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Abdominal</w:t>
            </w:r>
            <w:proofErr w:type="spellEnd"/>
            <w:r w:rsidRPr="005955A7">
              <w:rPr>
                <w:sz w:val="24"/>
                <w:szCs w:val="24"/>
              </w:rPr>
              <w:t xml:space="preserve"> udspiling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36F5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CC9D003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106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Pankreatitis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8317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2F7F547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E7F2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i/>
                <w:sz w:val="24"/>
                <w:szCs w:val="24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Lever og galdeveje:</w:t>
            </w:r>
          </w:p>
        </w:tc>
      </w:tr>
      <w:tr w:rsidR="007F7E0B" w:rsidRPr="005955A7" w14:paraId="156DD1A8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4768" w14:textId="77777777" w:rsidR="007F7E0B" w:rsidRPr="005955A7" w:rsidRDefault="007F7E0B">
            <w:pPr>
              <w:tabs>
                <w:tab w:val="left" w:pos="1843"/>
              </w:tabs>
              <w:ind w:left="-108"/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 xml:space="preserve">  Forhøjet alkalisk fosfatase i blodet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5DD7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48DEB92F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D7A0" w14:textId="77777777" w:rsidR="007F7E0B" w:rsidRPr="005955A7" w:rsidRDefault="007F7E0B">
            <w:pPr>
              <w:tabs>
                <w:tab w:val="left" w:pos="1843"/>
              </w:tabs>
              <w:ind w:left="-108"/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 xml:space="preserve">  Unormal leverfunktion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D470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7F1EF6B9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1A84" w14:textId="77777777" w:rsidR="007F7E0B" w:rsidRPr="005955A7" w:rsidRDefault="007F7E0B">
            <w:pPr>
              <w:tabs>
                <w:tab w:val="left" w:pos="1843"/>
              </w:tabs>
              <w:ind w:left="-108"/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 xml:space="preserve">  Forhøjet </w:t>
            </w:r>
            <w:proofErr w:type="spellStart"/>
            <w:r w:rsidRPr="005955A7">
              <w:rPr>
                <w:sz w:val="24"/>
                <w:szCs w:val="24"/>
              </w:rPr>
              <w:t>aspartat-aminotransferase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F6A6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030E1E5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0ECA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 xml:space="preserve">Forhøjet </w:t>
            </w:r>
            <w:proofErr w:type="spellStart"/>
            <w:r w:rsidRPr="005955A7">
              <w:rPr>
                <w:sz w:val="24"/>
                <w:szCs w:val="24"/>
              </w:rPr>
              <w:t>alanin-aminotransferase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57B1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EDDEAFE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B155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Hud og subkutane væv:</w:t>
            </w:r>
          </w:p>
        </w:tc>
      </w:tr>
      <w:tr w:rsidR="007F7E0B" w:rsidRPr="005955A7" w14:paraId="3FCC3D05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BD5B" w14:textId="77777777" w:rsidR="007F7E0B" w:rsidRPr="005955A7" w:rsidRDefault="007F7E0B">
            <w:pPr>
              <w:tabs>
                <w:tab w:val="left" w:pos="1843"/>
                <w:tab w:val="left" w:pos="3597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Dermatitis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36E9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Meget almindelig</w:t>
            </w:r>
          </w:p>
        </w:tc>
      </w:tr>
      <w:tr w:rsidR="007F7E0B" w:rsidRPr="005955A7" w14:paraId="4D4362A3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C162" w14:textId="77777777" w:rsidR="007F7E0B" w:rsidRPr="005955A7" w:rsidRDefault="007F7E0B">
            <w:pPr>
              <w:tabs>
                <w:tab w:val="left" w:pos="1843"/>
                <w:tab w:val="left" w:pos="3597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Nattesved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AE7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0CB21921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F570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Pruritus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8496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5A6CAD84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C807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Udslæt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817F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2F19473D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8CA1" w14:textId="77777777" w:rsidR="007F7E0B" w:rsidRPr="005955A7" w:rsidRDefault="007F7E0B">
            <w:pPr>
              <w:tabs>
                <w:tab w:val="left" w:pos="1843"/>
                <w:tab w:val="left" w:pos="3597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Alopeci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B0A4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459BEABF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C9D2" w14:textId="77777777" w:rsidR="007F7E0B" w:rsidRPr="005955A7" w:rsidRDefault="007F7E0B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Tør hud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7540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Ikke almindelig</w:t>
            </w:r>
          </w:p>
        </w:tc>
      </w:tr>
      <w:tr w:rsidR="007F7E0B" w:rsidRPr="005955A7" w14:paraId="61193A2D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AB4" w14:textId="77777777" w:rsidR="007F7E0B" w:rsidRPr="005955A7" w:rsidRDefault="007F7E0B">
            <w:pPr>
              <w:tabs>
                <w:tab w:val="left" w:pos="1843"/>
                <w:tab w:val="left" w:pos="3597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Urticaria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12A5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0061B36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C277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Knogler, led, muskler og bindevæv:</w:t>
            </w:r>
          </w:p>
        </w:tc>
      </w:tr>
      <w:tr w:rsidR="007F7E0B" w:rsidRPr="005955A7" w14:paraId="76123118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A124" w14:textId="77777777" w:rsidR="007F7E0B" w:rsidRPr="005955A7" w:rsidRDefault="007F7E0B">
            <w:pPr>
              <w:tabs>
                <w:tab w:val="left" w:pos="142"/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Rygsmerter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903D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47AC2CC8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518B" w14:textId="77777777" w:rsidR="007F7E0B" w:rsidRPr="005955A7" w:rsidRDefault="007F7E0B">
            <w:pPr>
              <w:tabs>
                <w:tab w:val="left" w:pos="142"/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Myalgi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03A9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56FF614E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CBF3" w14:textId="77777777" w:rsidR="007F7E0B" w:rsidRPr="005955A7" w:rsidRDefault="007F7E0B">
            <w:pPr>
              <w:tabs>
                <w:tab w:val="left" w:pos="142"/>
                <w:tab w:val="left" w:pos="1843"/>
              </w:tabs>
              <w:rPr>
                <w:sz w:val="24"/>
                <w:szCs w:val="24"/>
              </w:rPr>
            </w:pPr>
            <w:proofErr w:type="spellStart"/>
            <w:r w:rsidRPr="005955A7">
              <w:rPr>
                <w:sz w:val="24"/>
                <w:szCs w:val="24"/>
              </w:rPr>
              <w:t>Artralgi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F436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9E381C2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D530" w14:textId="77777777" w:rsidR="007F7E0B" w:rsidRPr="005955A7" w:rsidRDefault="007F7E0B">
            <w:pPr>
              <w:tabs>
                <w:tab w:val="left" w:pos="1843"/>
                <w:tab w:val="left" w:pos="3597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Muskelspasmer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62D6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0E3B5771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DD65" w14:textId="77777777" w:rsidR="007F7E0B" w:rsidRPr="005955A7" w:rsidRDefault="007F7E0B">
            <w:pPr>
              <w:tabs>
                <w:tab w:val="left" w:pos="1843"/>
              </w:tabs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Nyrer og urinveje:</w:t>
            </w:r>
          </w:p>
        </w:tc>
      </w:tr>
      <w:tr w:rsidR="007F7E0B" w:rsidRPr="005955A7" w14:paraId="2EFEB7B8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452C" w14:textId="77777777" w:rsidR="007F7E0B" w:rsidRPr="005955A7" w:rsidRDefault="007F7E0B">
            <w:pPr>
              <w:tabs>
                <w:tab w:val="left" w:pos="142"/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Nedsat nyrefunktion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6886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2022B785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DBEA" w14:textId="77777777" w:rsidR="007F7E0B" w:rsidRPr="005955A7" w:rsidRDefault="007F7E0B">
            <w:pPr>
              <w:tabs>
                <w:tab w:val="left" w:pos="142"/>
                <w:tab w:val="left" w:pos="1843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 xml:space="preserve">Nedsat </w:t>
            </w:r>
            <w:proofErr w:type="spellStart"/>
            <w:r w:rsidRPr="005955A7">
              <w:rPr>
                <w:sz w:val="24"/>
                <w:szCs w:val="24"/>
              </w:rPr>
              <w:t>renal</w:t>
            </w:r>
            <w:proofErr w:type="spellEnd"/>
            <w:r w:rsidRPr="005955A7">
              <w:rPr>
                <w:sz w:val="24"/>
                <w:szCs w:val="24"/>
              </w:rPr>
              <w:t xml:space="preserve"> </w:t>
            </w:r>
            <w:proofErr w:type="spellStart"/>
            <w:r w:rsidRPr="005955A7">
              <w:rPr>
                <w:sz w:val="24"/>
                <w:szCs w:val="24"/>
              </w:rPr>
              <w:t>kreatininclearance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A8C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28F6A7CD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A20" w14:textId="77777777" w:rsidR="007F7E0B" w:rsidRPr="005955A7" w:rsidRDefault="007F7E0B">
            <w:pPr>
              <w:tabs>
                <w:tab w:val="left" w:pos="1843"/>
                <w:tab w:val="left" w:pos="3597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Forhøjet blod-</w:t>
            </w:r>
            <w:proofErr w:type="spellStart"/>
            <w:r w:rsidRPr="005955A7">
              <w:rPr>
                <w:sz w:val="24"/>
                <w:szCs w:val="24"/>
              </w:rPr>
              <w:t>kreatinin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1266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368B3649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27A9" w14:textId="77777777" w:rsidR="007F7E0B" w:rsidRPr="005955A7" w:rsidRDefault="007F7E0B">
            <w:pPr>
              <w:tabs>
                <w:tab w:val="left" w:pos="1843"/>
                <w:tab w:val="left" w:pos="3597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Nyresvigt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D1C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Ikke almindelig</w:t>
            </w:r>
          </w:p>
        </w:tc>
      </w:tr>
      <w:tr w:rsidR="007F7E0B" w:rsidRPr="005955A7" w14:paraId="35D9F01B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6391" w14:textId="77777777" w:rsidR="007F7E0B" w:rsidRPr="005955A7" w:rsidRDefault="007F7E0B">
            <w:pPr>
              <w:tabs>
                <w:tab w:val="left" w:pos="1843"/>
                <w:tab w:val="left" w:pos="3597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Hæmaturi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6B5E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30FEAE31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186D" w14:textId="77777777" w:rsidR="007F7E0B" w:rsidRPr="005955A7" w:rsidRDefault="007F7E0B">
            <w:pPr>
              <w:tabs>
                <w:tab w:val="left" w:pos="142"/>
                <w:tab w:val="left" w:pos="1843"/>
              </w:tabs>
              <w:ind w:right="459"/>
              <w:rPr>
                <w:b/>
                <w:bCs/>
                <w:i/>
                <w:sz w:val="24"/>
                <w:szCs w:val="24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t>Det reproduktive system og mammae:</w:t>
            </w:r>
          </w:p>
        </w:tc>
      </w:tr>
      <w:tr w:rsidR="007F7E0B" w:rsidRPr="005955A7" w14:paraId="1987E5E0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682A" w14:textId="77777777" w:rsidR="007F7E0B" w:rsidRPr="005955A7" w:rsidRDefault="007F7E0B">
            <w:pPr>
              <w:tabs>
                <w:tab w:val="left" w:pos="34"/>
                <w:tab w:val="left" w:pos="1843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 xml:space="preserve">Mandlig </w:t>
            </w:r>
            <w:proofErr w:type="spellStart"/>
            <w:r w:rsidRPr="005955A7">
              <w:rPr>
                <w:sz w:val="24"/>
                <w:szCs w:val="24"/>
              </w:rPr>
              <w:t>infertilitet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EF58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Ikke almindelig</w:t>
            </w:r>
          </w:p>
        </w:tc>
      </w:tr>
      <w:tr w:rsidR="007F7E0B" w:rsidRPr="005955A7" w14:paraId="183ECB2D" w14:textId="77777777" w:rsidTr="007F7E0B">
        <w:trPr>
          <w:jc w:val="center"/>
        </w:trPr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933A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ind w:right="459"/>
              <w:rPr>
                <w:b/>
                <w:bCs/>
                <w:noProof/>
                <w:sz w:val="24"/>
                <w:szCs w:val="24"/>
                <w:lang w:eastAsia="ja-JP"/>
              </w:rPr>
            </w:pPr>
            <w:r w:rsidRPr="005955A7">
              <w:rPr>
                <w:b/>
                <w:bCs/>
                <w:i/>
                <w:sz w:val="24"/>
                <w:szCs w:val="24"/>
              </w:rPr>
              <w:lastRenderedPageBreak/>
              <w:t>Almene symptomer og reaktioner fra administrationsstedet:</w:t>
            </w:r>
          </w:p>
        </w:tc>
      </w:tr>
      <w:tr w:rsidR="007F7E0B" w:rsidRPr="005955A7" w14:paraId="22530453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2C2E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5955A7">
              <w:rPr>
                <w:sz w:val="24"/>
                <w:szCs w:val="24"/>
              </w:rPr>
              <w:t>Pyreksi</w:t>
            </w:r>
            <w:proofErr w:type="spellEnd"/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A858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Meget almindelig</w:t>
            </w:r>
          </w:p>
        </w:tc>
      </w:tr>
      <w:tr w:rsidR="007F7E0B" w:rsidRPr="005955A7" w14:paraId="77AAE824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9B26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Træthed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E714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2E5EB99B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B346" w14:textId="77777777" w:rsidR="007F7E0B" w:rsidRPr="005955A7" w:rsidRDefault="007F7E0B">
            <w:pPr>
              <w:tabs>
                <w:tab w:val="left" w:pos="1843"/>
                <w:tab w:val="left" w:pos="3597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Reaktion ved injektionsstedet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6A8E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Almindelig</w:t>
            </w:r>
          </w:p>
        </w:tc>
      </w:tr>
      <w:tr w:rsidR="007F7E0B" w:rsidRPr="005955A7" w14:paraId="4CC750C0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7FE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  <w:lang w:eastAsia="da-DK"/>
              </w:rPr>
            </w:pPr>
            <w:r w:rsidRPr="005955A7">
              <w:rPr>
                <w:sz w:val="24"/>
                <w:szCs w:val="24"/>
              </w:rPr>
              <w:t>Smerter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C618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9E9B80A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1EA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Kulderystelser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2185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289281E6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57D6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Almen utilpashed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7E6B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1E706E20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22C8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Asteni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E69" w14:textId="77777777" w:rsidR="007F7E0B" w:rsidRPr="005955A7" w:rsidRDefault="007F7E0B">
            <w:pPr>
              <w:rPr>
                <w:noProof/>
                <w:sz w:val="24"/>
                <w:szCs w:val="24"/>
                <w:lang w:eastAsia="ja-JP"/>
              </w:rPr>
            </w:pPr>
          </w:p>
        </w:tc>
      </w:tr>
      <w:tr w:rsidR="007F7E0B" w:rsidRPr="005955A7" w14:paraId="6DCA9202" w14:textId="77777777" w:rsidTr="007F7E0B">
        <w:trPr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7C25" w14:textId="77777777" w:rsidR="007F7E0B" w:rsidRPr="005955A7" w:rsidRDefault="007F7E0B">
            <w:pPr>
              <w:tabs>
                <w:tab w:val="left" w:pos="-1440"/>
                <w:tab w:val="left" w:pos="0"/>
                <w:tab w:val="left" w:pos="1843"/>
                <w:tab w:val="left" w:pos="2016"/>
                <w:tab w:val="left" w:pos="3744"/>
                <w:tab w:val="left" w:pos="5472"/>
                <w:tab w:val="left" w:pos="7488"/>
              </w:tabs>
              <w:rPr>
                <w:sz w:val="24"/>
                <w:szCs w:val="24"/>
              </w:rPr>
            </w:pPr>
            <w:r w:rsidRPr="005955A7">
              <w:rPr>
                <w:sz w:val="24"/>
                <w:szCs w:val="24"/>
              </w:rPr>
              <w:t>Brystsmerter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6BF7" w14:textId="77777777" w:rsidR="007F7E0B" w:rsidRPr="005955A7" w:rsidRDefault="007F7E0B">
            <w:pPr>
              <w:tabs>
                <w:tab w:val="left" w:pos="1843"/>
              </w:tabs>
              <w:rPr>
                <w:noProof/>
                <w:sz w:val="24"/>
                <w:szCs w:val="24"/>
                <w:lang w:eastAsia="ja-JP"/>
              </w:rPr>
            </w:pPr>
            <w:r w:rsidRPr="005955A7">
              <w:rPr>
                <w:noProof/>
                <w:sz w:val="24"/>
                <w:szCs w:val="24"/>
                <w:lang w:eastAsia="ja-JP"/>
              </w:rPr>
              <w:t>Ikke almindelig</w:t>
            </w:r>
          </w:p>
        </w:tc>
      </w:tr>
    </w:tbl>
    <w:p w14:paraId="0F50482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>* Hyppigheden for disse bivirkninger stammer fra erfaringer efter markedsføring, mens alle andre hyppighedskategorier er baseret på den hyppighed, der er registreret i kliniske studier.</w:t>
      </w:r>
    </w:p>
    <w:p w14:paraId="15ED73C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17EC70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Beskrivelse af udvalgte bivirkninger</w:t>
      </w:r>
    </w:p>
    <w:p w14:paraId="07A5FA17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577EDB8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5955A7">
        <w:rPr>
          <w:i/>
          <w:iCs/>
          <w:sz w:val="24"/>
          <w:szCs w:val="24"/>
        </w:rPr>
        <w:t>Neutropeni</w:t>
      </w:r>
      <w:proofErr w:type="spellEnd"/>
    </w:p>
    <w:p w14:paraId="64E7698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Risko</w:t>
      </w:r>
      <w:proofErr w:type="spellEnd"/>
      <w:r w:rsidRPr="005955A7">
        <w:rPr>
          <w:sz w:val="24"/>
          <w:szCs w:val="24"/>
        </w:rPr>
        <w:t xml:space="preserve"> for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kan ikke forudsiges ud fra </w:t>
      </w:r>
      <w:proofErr w:type="spellStart"/>
      <w:r w:rsidRPr="005955A7">
        <w:rPr>
          <w:sz w:val="24"/>
          <w:szCs w:val="24"/>
        </w:rPr>
        <w:t>neutrofilocyttallet</w:t>
      </w:r>
      <w:proofErr w:type="spellEnd"/>
      <w:r w:rsidRPr="005955A7">
        <w:rPr>
          <w:sz w:val="24"/>
          <w:szCs w:val="24"/>
        </w:rPr>
        <w:t xml:space="preserve"> inden behandling.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opstår sædvanligvis inden for den første eller anden uge efter, behandlingen er påbegyndt, og efter en kumulativ dosis på ≤200 mg/kg. Celletallet normaliseres sædvanligvis inden for 2-5 dage efter </w:t>
      </w:r>
      <w:proofErr w:type="spellStart"/>
      <w:r w:rsidRPr="005955A7">
        <w:rPr>
          <w:sz w:val="24"/>
          <w:szCs w:val="24"/>
        </w:rPr>
        <w:t>seponering</w:t>
      </w:r>
      <w:proofErr w:type="spellEnd"/>
      <w:r w:rsidRPr="005955A7">
        <w:rPr>
          <w:sz w:val="24"/>
          <w:szCs w:val="24"/>
        </w:rPr>
        <w:t xml:space="preserve"> af lægemidlet eller dosisreduktion (se pkt. 4.4).</w:t>
      </w:r>
    </w:p>
    <w:p w14:paraId="1CC78CE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E742F63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 xml:space="preserve">Svær </w:t>
      </w:r>
      <w:proofErr w:type="spellStart"/>
      <w:r w:rsidRPr="005955A7">
        <w:rPr>
          <w:i/>
          <w:iCs/>
          <w:sz w:val="24"/>
          <w:szCs w:val="24"/>
        </w:rPr>
        <w:t>neutropeni</w:t>
      </w:r>
      <w:proofErr w:type="spellEnd"/>
    </w:p>
    <w:p w14:paraId="3A4AC3C7" w14:textId="3823A834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Svær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blev rapporteret hyppigere blandt HIV patienter (14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), der fik vedligeholdelsesbehandling med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, oral eller intravenøs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(n=1704) sammenlignet med organtransplanterede patienter, som fik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eller oral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. Hos patienter, som fik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eller oral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op til dag 100 efter transplantation, var forekomsten af svær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på henholdsvis 5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og 3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, mens patienter, som fik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op til dag 200 efter transplantation, var forekomsten af svær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på 10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. </w:t>
      </w:r>
    </w:p>
    <w:p w14:paraId="614588D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39EF732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5955A7">
        <w:rPr>
          <w:i/>
          <w:iCs/>
          <w:sz w:val="24"/>
          <w:szCs w:val="24"/>
        </w:rPr>
        <w:t>Trombocytopeni</w:t>
      </w:r>
      <w:proofErr w:type="spellEnd"/>
    </w:p>
    <w:p w14:paraId="447E0C4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Patienter med lavt </w:t>
      </w:r>
      <w:proofErr w:type="spellStart"/>
      <w:r w:rsidRPr="005955A7">
        <w:rPr>
          <w:sz w:val="24"/>
          <w:szCs w:val="24"/>
        </w:rPr>
        <w:t>trombocyttal</w:t>
      </w:r>
      <w:proofErr w:type="spellEnd"/>
      <w:r w:rsidRPr="005955A7">
        <w:rPr>
          <w:sz w:val="24"/>
          <w:szCs w:val="24"/>
        </w:rPr>
        <w:t xml:space="preserve"> ved baseline (&lt;100.000/µl) har øget risiko for at udvikle </w:t>
      </w:r>
      <w:proofErr w:type="spellStart"/>
      <w:r w:rsidRPr="005955A7">
        <w:rPr>
          <w:sz w:val="24"/>
          <w:szCs w:val="24"/>
        </w:rPr>
        <w:t>trombocytopeni</w:t>
      </w:r>
      <w:proofErr w:type="spellEnd"/>
      <w:r w:rsidRPr="005955A7">
        <w:rPr>
          <w:sz w:val="24"/>
          <w:szCs w:val="24"/>
        </w:rPr>
        <w:t xml:space="preserve">. Patienter med </w:t>
      </w:r>
      <w:proofErr w:type="spellStart"/>
      <w:r w:rsidRPr="005955A7">
        <w:rPr>
          <w:sz w:val="24"/>
          <w:szCs w:val="24"/>
        </w:rPr>
        <w:t>iatrogen</w:t>
      </w:r>
      <w:proofErr w:type="spellEnd"/>
      <w:r w:rsidRPr="005955A7">
        <w:rPr>
          <w:sz w:val="24"/>
          <w:szCs w:val="24"/>
        </w:rPr>
        <w:t xml:space="preserve"> immunsuppression på grund af behandling med immunsuppressive midler har større risiko for </w:t>
      </w:r>
      <w:proofErr w:type="spellStart"/>
      <w:r w:rsidRPr="005955A7">
        <w:rPr>
          <w:sz w:val="24"/>
          <w:szCs w:val="24"/>
        </w:rPr>
        <w:t>trombocytopeni</w:t>
      </w:r>
      <w:proofErr w:type="spellEnd"/>
      <w:r w:rsidRPr="005955A7">
        <w:rPr>
          <w:sz w:val="24"/>
          <w:szCs w:val="24"/>
        </w:rPr>
        <w:t xml:space="preserve"> end patienter med AIDS (se pkt. 4.4). Alvorlig </w:t>
      </w:r>
      <w:proofErr w:type="spellStart"/>
      <w:r w:rsidRPr="005955A7">
        <w:rPr>
          <w:sz w:val="24"/>
          <w:szCs w:val="24"/>
        </w:rPr>
        <w:t>trombocytopeni</w:t>
      </w:r>
      <w:proofErr w:type="spellEnd"/>
      <w:r w:rsidRPr="005955A7">
        <w:rPr>
          <w:sz w:val="24"/>
          <w:szCs w:val="24"/>
        </w:rPr>
        <w:t xml:space="preserve"> kan være forbundet med livstruende blødninger.</w:t>
      </w:r>
    </w:p>
    <w:p w14:paraId="32A92AA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1ED6FB80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Krampeanfald</w:t>
      </w:r>
    </w:p>
    <w:p w14:paraId="387B305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Der er rapporteret krampeanfald hos patienter behandlet med </w:t>
      </w:r>
      <w:proofErr w:type="spellStart"/>
      <w:r w:rsidRPr="005955A7">
        <w:rPr>
          <w:sz w:val="24"/>
          <w:szCs w:val="24"/>
        </w:rPr>
        <w:t>imipenem-cilastatin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(se pkt. 4.4 og 4.5).</w:t>
      </w:r>
    </w:p>
    <w:p w14:paraId="68FB824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3C2C35B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Nethindeløsning</w:t>
      </w:r>
    </w:p>
    <w:p w14:paraId="31CD257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Denne bivirkning har kun været rapporteret i studier med HIV-patienter behandlet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for CMV-</w:t>
      </w:r>
      <w:proofErr w:type="spellStart"/>
      <w:r w:rsidRPr="005955A7">
        <w:rPr>
          <w:sz w:val="24"/>
          <w:szCs w:val="24"/>
        </w:rPr>
        <w:t>retinitis</w:t>
      </w:r>
      <w:proofErr w:type="spellEnd"/>
      <w:r w:rsidRPr="005955A7">
        <w:rPr>
          <w:sz w:val="24"/>
          <w:szCs w:val="24"/>
        </w:rPr>
        <w:t>.</w:t>
      </w:r>
    </w:p>
    <w:p w14:paraId="2622406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B0DC641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Reaktioner ved injektionsstedet</w:t>
      </w:r>
    </w:p>
    <w:p w14:paraId="2A7B5161" w14:textId="5B1BC0E2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Reaktioner ved injektionsstedet er hyppigt forekommende hos patienter behandlet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bør administreres som anbefalet i pkt. 4.2 med henblik på at minimere risikoen for lokal vævsirritation.  </w:t>
      </w:r>
    </w:p>
    <w:p w14:paraId="57EDBEB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6B97EF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Pædiatrisk population</w:t>
      </w:r>
    </w:p>
    <w:p w14:paraId="2547B9F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Der er ikke gennemført formelle sikkerhedsstudier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hos børn &lt; 12 år, men baseret på erfaringer med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, </w:t>
      </w:r>
      <w:proofErr w:type="gramStart"/>
      <w:r w:rsidRPr="005955A7">
        <w:rPr>
          <w:sz w:val="24"/>
          <w:szCs w:val="24"/>
        </w:rPr>
        <w:t>et prodrug</w:t>
      </w:r>
      <w:proofErr w:type="gramEnd"/>
      <w:r w:rsidRPr="005955A7">
        <w:rPr>
          <w:sz w:val="24"/>
          <w:szCs w:val="24"/>
        </w:rPr>
        <w:t xml:space="preserve"> til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, er den overordnede sikkerhedsprofil for det aktive stof ens hos voksne og børn.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ses oftere hos børn, men der er ingen korrelation mellem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og infektionsrelaterede bivirkninger i den pædiatriske population. En højere risiko for </w:t>
      </w:r>
      <w:proofErr w:type="spellStart"/>
      <w:r w:rsidRPr="005955A7">
        <w:rPr>
          <w:sz w:val="24"/>
          <w:szCs w:val="24"/>
        </w:rPr>
        <w:t>cytopeni</w:t>
      </w:r>
      <w:proofErr w:type="spellEnd"/>
      <w:r w:rsidRPr="005955A7">
        <w:rPr>
          <w:sz w:val="24"/>
          <w:szCs w:val="24"/>
        </w:rPr>
        <w:t xml:space="preserve"> hos spædbørn og småbørn kræver omhyggelig </w:t>
      </w:r>
      <w:proofErr w:type="spellStart"/>
      <w:r w:rsidRPr="005955A7">
        <w:rPr>
          <w:sz w:val="24"/>
          <w:szCs w:val="24"/>
        </w:rPr>
        <w:t>monitoring</w:t>
      </w:r>
      <w:proofErr w:type="spellEnd"/>
      <w:r w:rsidRPr="005955A7">
        <w:rPr>
          <w:sz w:val="24"/>
          <w:szCs w:val="24"/>
        </w:rPr>
        <w:t xml:space="preserve"> af blodtælling i disse aldersgrupper (se pkt. 4.4).</w:t>
      </w:r>
    </w:p>
    <w:p w14:paraId="4BB53CF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2F00D6C" w14:textId="0B947D31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Data for nyfødte og spædbørn med HIV/AIDS eller symptomatisk medfødt CMV-infektion behandlet med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eller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begrænsede, dog synes sikkerheds</w:t>
      </w:r>
      <w:r w:rsidR="00803F0A">
        <w:rPr>
          <w:sz w:val="24"/>
          <w:szCs w:val="24"/>
        </w:rPr>
        <w:softHyphen/>
      </w:r>
      <w:r w:rsidRPr="005955A7">
        <w:rPr>
          <w:sz w:val="24"/>
          <w:szCs w:val="24"/>
        </w:rPr>
        <w:t xml:space="preserve">profilen at svare til den kendte sikkerhedsprofil for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>/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>.</w:t>
      </w:r>
    </w:p>
    <w:p w14:paraId="4E3FA53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AB2765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Indberetning af formodede bivirkninger</w:t>
      </w:r>
    </w:p>
    <w:p w14:paraId="2B73CBE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5955A7">
        <w:rPr>
          <w:sz w:val="24"/>
          <w:szCs w:val="24"/>
        </w:rPr>
        <w:t>risk</w:t>
      </w:r>
      <w:proofErr w:type="spellEnd"/>
      <w:r w:rsidRPr="005955A7">
        <w:rPr>
          <w:sz w:val="24"/>
          <w:szCs w:val="24"/>
        </w:rPr>
        <w:t xml:space="preserve">-forholdet for lægemidlet. Sundhedspersoner anmodes om at indberette alle formodede bivirkninger via: </w:t>
      </w:r>
    </w:p>
    <w:p w14:paraId="1461B84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3E75C7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Lægemiddelstyrelsen</w:t>
      </w:r>
    </w:p>
    <w:p w14:paraId="5DD28DC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Axel Heides Gade 1</w:t>
      </w:r>
    </w:p>
    <w:p w14:paraId="7195071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DK-2300 København S</w:t>
      </w:r>
    </w:p>
    <w:p w14:paraId="7D3EFA3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Websted: </w:t>
      </w:r>
      <w:hyperlink r:id="rId8" w:history="1">
        <w:r w:rsidRPr="005955A7">
          <w:rPr>
            <w:rStyle w:val="Hyperlink"/>
            <w:sz w:val="24"/>
            <w:szCs w:val="24"/>
          </w:rPr>
          <w:t>www.meldenbivirkning.dk</w:t>
        </w:r>
      </w:hyperlink>
      <w:r w:rsidRPr="005955A7">
        <w:rPr>
          <w:sz w:val="24"/>
          <w:szCs w:val="24"/>
        </w:rPr>
        <w:t xml:space="preserve"> </w:t>
      </w:r>
    </w:p>
    <w:p w14:paraId="49785A8C" w14:textId="77777777" w:rsidR="009260DE" w:rsidRPr="005955A7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93689B3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4.9</w:t>
      </w:r>
      <w:r w:rsidRPr="005955A7">
        <w:rPr>
          <w:b/>
          <w:sz w:val="24"/>
          <w:szCs w:val="24"/>
        </w:rPr>
        <w:tab/>
        <w:t>Overdosering</w:t>
      </w:r>
    </w:p>
    <w:p w14:paraId="7E2369E6" w14:textId="77777777" w:rsidR="00A26195" w:rsidRDefault="00A26195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DDA9F6F" w14:textId="5DA7819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5955A7">
        <w:rPr>
          <w:sz w:val="24"/>
          <w:szCs w:val="24"/>
          <w:u w:val="single"/>
        </w:rPr>
        <w:t>Symptomer</w:t>
      </w:r>
    </w:p>
    <w:p w14:paraId="372324D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Der har i kliniske forsøg samt efter markedsføring været rapporter om overdosering med intravenøs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ganciclovir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, nogle med dødeligt udfald. </w:t>
      </w:r>
      <w:r w:rsidRPr="005955A7">
        <w:rPr>
          <w:sz w:val="24"/>
          <w:szCs w:val="24"/>
        </w:rPr>
        <w:t>De fleste af rapporterne var enten ikke forbundet med bivirkninger eller omfattede én eller flere af nedenstående bivirkninger:</w:t>
      </w:r>
    </w:p>
    <w:p w14:paraId="65EDF73A" w14:textId="1374DE9C" w:rsidR="007F7E0B" w:rsidRPr="00A26195" w:rsidRDefault="007F7E0B" w:rsidP="00A26195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A26195">
        <w:rPr>
          <w:sz w:val="24"/>
          <w:szCs w:val="24"/>
        </w:rPr>
        <w:t xml:space="preserve">Hæmatologisk toksicitet: </w:t>
      </w:r>
      <w:proofErr w:type="spellStart"/>
      <w:r w:rsidRPr="00A26195">
        <w:rPr>
          <w:sz w:val="24"/>
          <w:szCs w:val="24"/>
        </w:rPr>
        <w:t>myelosuppression</w:t>
      </w:r>
      <w:proofErr w:type="spellEnd"/>
      <w:r w:rsidRPr="00A26195">
        <w:rPr>
          <w:sz w:val="24"/>
          <w:szCs w:val="24"/>
        </w:rPr>
        <w:t xml:space="preserve"> inklusive </w:t>
      </w:r>
      <w:proofErr w:type="spellStart"/>
      <w:r w:rsidRPr="00A26195">
        <w:rPr>
          <w:sz w:val="24"/>
          <w:szCs w:val="24"/>
        </w:rPr>
        <w:t>pancytopeni</w:t>
      </w:r>
      <w:proofErr w:type="spellEnd"/>
      <w:r w:rsidRPr="00A26195">
        <w:rPr>
          <w:sz w:val="24"/>
          <w:szCs w:val="24"/>
        </w:rPr>
        <w:t xml:space="preserve">, knoglemarvssvigt, </w:t>
      </w:r>
      <w:proofErr w:type="spellStart"/>
      <w:r w:rsidRPr="00A26195">
        <w:rPr>
          <w:sz w:val="24"/>
          <w:szCs w:val="24"/>
        </w:rPr>
        <w:t>leukopeni</w:t>
      </w:r>
      <w:proofErr w:type="spellEnd"/>
      <w:r w:rsidRPr="00A26195">
        <w:rPr>
          <w:sz w:val="24"/>
          <w:szCs w:val="24"/>
        </w:rPr>
        <w:t xml:space="preserve">, </w:t>
      </w:r>
      <w:proofErr w:type="spellStart"/>
      <w:r w:rsidRPr="00A26195">
        <w:rPr>
          <w:sz w:val="24"/>
          <w:szCs w:val="24"/>
        </w:rPr>
        <w:t>neutropeni</w:t>
      </w:r>
      <w:proofErr w:type="spellEnd"/>
      <w:r w:rsidRPr="00A26195">
        <w:rPr>
          <w:sz w:val="24"/>
          <w:szCs w:val="24"/>
        </w:rPr>
        <w:t xml:space="preserve">, </w:t>
      </w:r>
      <w:proofErr w:type="spellStart"/>
      <w:r w:rsidRPr="00A26195">
        <w:rPr>
          <w:sz w:val="24"/>
          <w:szCs w:val="24"/>
        </w:rPr>
        <w:t>granulocytopeni</w:t>
      </w:r>
      <w:proofErr w:type="spellEnd"/>
    </w:p>
    <w:p w14:paraId="7532503F" w14:textId="7BA54787" w:rsidR="007F7E0B" w:rsidRPr="00A26195" w:rsidRDefault="007F7E0B" w:rsidP="00A26195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A26195">
        <w:rPr>
          <w:sz w:val="24"/>
          <w:szCs w:val="24"/>
        </w:rPr>
        <w:t>Levertoksicitet: hepatitis, leverfunktionsforstyrrelser</w:t>
      </w:r>
    </w:p>
    <w:p w14:paraId="263D7B79" w14:textId="6C7C91F4" w:rsidR="007F7E0B" w:rsidRPr="00A26195" w:rsidRDefault="007F7E0B" w:rsidP="00A26195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A26195">
        <w:rPr>
          <w:sz w:val="24"/>
          <w:szCs w:val="24"/>
        </w:rPr>
        <w:t>Nyretoksicitet: forværring af hæmaturi hos en patient med allerede eksisterende nedsat</w:t>
      </w:r>
      <w:r w:rsidR="00A26195">
        <w:rPr>
          <w:sz w:val="24"/>
          <w:szCs w:val="24"/>
        </w:rPr>
        <w:t xml:space="preserve"> </w:t>
      </w:r>
      <w:r w:rsidRPr="00A26195">
        <w:rPr>
          <w:sz w:val="24"/>
          <w:szCs w:val="24"/>
        </w:rPr>
        <w:t xml:space="preserve">nyrefunktion, akut nyreskade, forhøjet </w:t>
      </w:r>
      <w:proofErr w:type="spellStart"/>
      <w:r w:rsidRPr="00A26195">
        <w:rPr>
          <w:sz w:val="24"/>
          <w:szCs w:val="24"/>
        </w:rPr>
        <w:t>kreatinin</w:t>
      </w:r>
      <w:proofErr w:type="spellEnd"/>
      <w:r w:rsidRPr="00A26195">
        <w:rPr>
          <w:sz w:val="24"/>
          <w:szCs w:val="24"/>
        </w:rPr>
        <w:t>.</w:t>
      </w:r>
    </w:p>
    <w:p w14:paraId="1FB68ABB" w14:textId="535F1F6F" w:rsidR="007F7E0B" w:rsidRPr="00A26195" w:rsidRDefault="007F7E0B" w:rsidP="00A26195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A26195">
        <w:rPr>
          <w:sz w:val="24"/>
          <w:szCs w:val="24"/>
        </w:rPr>
        <w:t>Gastrointestinal</w:t>
      </w:r>
      <w:proofErr w:type="spellEnd"/>
      <w:r w:rsidRPr="00A26195">
        <w:rPr>
          <w:sz w:val="24"/>
          <w:szCs w:val="24"/>
        </w:rPr>
        <w:t xml:space="preserve"> toksicitet: </w:t>
      </w:r>
      <w:proofErr w:type="spellStart"/>
      <w:r w:rsidRPr="00A26195">
        <w:rPr>
          <w:sz w:val="24"/>
          <w:szCs w:val="24"/>
        </w:rPr>
        <w:t>abdominalsmerter</w:t>
      </w:r>
      <w:proofErr w:type="spellEnd"/>
      <w:r w:rsidRPr="00A26195">
        <w:rPr>
          <w:sz w:val="24"/>
          <w:szCs w:val="24"/>
        </w:rPr>
        <w:t>, diarré, opkastning</w:t>
      </w:r>
    </w:p>
    <w:p w14:paraId="38F4DD22" w14:textId="2C2F42BD" w:rsidR="007F7E0B" w:rsidRPr="00A26195" w:rsidRDefault="007F7E0B" w:rsidP="00A26195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A26195">
        <w:rPr>
          <w:sz w:val="24"/>
          <w:szCs w:val="24"/>
        </w:rPr>
        <w:t>Neurotoksicitet</w:t>
      </w:r>
      <w:proofErr w:type="spellEnd"/>
      <w:r w:rsidRPr="00A26195">
        <w:rPr>
          <w:sz w:val="24"/>
          <w:szCs w:val="24"/>
        </w:rPr>
        <w:t xml:space="preserve">: generaliseret </w:t>
      </w:r>
      <w:proofErr w:type="spellStart"/>
      <w:r w:rsidRPr="00A26195">
        <w:rPr>
          <w:sz w:val="24"/>
          <w:szCs w:val="24"/>
        </w:rPr>
        <w:t>tremor</w:t>
      </w:r>
      <w:proofErr w:type="spellEnd"/>
      <w:r w:rsidRPr="00A26195">
        <w:rPr>
          <w:sz w:val="24"/>
          <w:szCs w:val="24"/>
        </w:rPr>
        <w:t>, kramper</w:t>
      </w:r>
    </w:p>
    <w:p w14:paraId="24D439D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CBBDAC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Behandling</w:t>
      </w:r>
    </w:p>
    <w:p w14:paraId="4DC5C15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fjernes ved hæmodialyse og derfor kan hæmodialyse være gavnligt til at reducere eksponeringen hos patienter, der har fået en overdosis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(se pkt. 5.2).</w:t>
      </w:r>
    </w:p>
    <w:p w14:paraId="369607F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34BD13E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Yderligere information vedrørende særlige populationer</w:t>
      </w:r>
    </w:p>
    <w:p w14:paraId="54B272F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Patienter med nedsat nyrefunktion: Det forventes, at overdosering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kan medføre øget nyretoksicitet hos patienter med nedsat nyrefunktion (se pkt. 4.4). </w:t>
      </w:r>
    </w:p>
    <w:p w14:paraId="5CF06D7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EA3D62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Pædiatrisk population</w:t>
      </w:r>
    </w:p>
    <w:p w14:paraId="3E5C70C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Der foreligger ingen specifik information.</w:t>
      </w:r>
    </w:p>
    <w:p w14:paraId="2E5BCE42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04867B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4.10</w:t>
      </w:r>
      <w:r w:rsidRPr="005955A7">
        <w:rPr>
          <w:b/>
          <w:sz w:val="24"/>
          <w:szCs w:val="24"/>
        </w:rPr>
        <w:tab/>
        <w:t>Udlevering</w:t>
      </w:r>
    </w:p>
    <w:p w14:paraId="54D8DB0B" w14:textId="21F992B6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>BEGR</w:t>
      </w:r>
      <w:r w:rsidR="00803F0A">
        <w:rPr>
          <w:sz w:val="24"/>
          <w:szCs w:val="24"/>
        </w:rPr>
        <w:t xml:space="preserve"> – kun til sygehuse</w:t>
      </w:r>
    </w:p>
    <w:p w14:paraId="5687486F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F2A298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5453A5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5.</w:t>
      </w:r>
      <w:r w:rsidRPr="005955A7">
        <w:rPr>
          <w:b/>
          <w:sz w:val="24"/>
          <w:szCs w:val="24"/>
        </w:rPr>
        <w:tab/>
        <w:t>FARMAKOLOGISKE EGENSKABER</w:t>
      </w:r>
    </w:p>
    <w:p w14:paraId="0719C426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86AC2B" w14:textId="77777777" w:rsidR="009260DE" w:rsidRPr="005955A7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5.1</w:t>
      </w:r>
      <w:r w:rsidRPr="005955A7">
        <w:rPr>
          <w:b/>
          <w:sz w:val="24"/>
          <w:szCs w:val="24"/>
        </w:rPr>
        <w:tab/>
      </w:r>
      <w:proofErr w:type="spellStart"/>
      <w:r w:rsidRPr="005955A7">
        <w:rPr>
          <w:b/>
          <w:sz w:val="24"/>
          <w:szCs w:val="24"/>
        </w:rPr>
        <w:t>Farmakodynamiske</w:t>
      </w:r>
      <w:proofErr w:type="spellEnd"/>
      <w:r w:rsidRPr="005955A7">
        <w:rPr>
          <w:b/>
          <w:sz w:val="24"/>
          <w:szCs w:val="24"/>
        </w:rPr>
        <w:t xml:space="preserve"> egenskaber</w:t>
      </w:r>
    </w:p>
    <w:p w14:paraId="4564646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5955A7">
        <w:rPr>
          <w:sz w:val="24"/>
          <w:szCs w:val="24"/>
        </w:rPr>
        <w:t>Farmakoterapeutisk</w:t>
      </w:r>
      <w:proofErr w:type="spellEnd"/>
      <w:r w:rsidRPr="005955A7">
        <w:rPr>
          <w:sz w:val="24"/>
          <w:szCs w:val="24"/>
        </w:rPr>
        <w:t xml:space="preserve"> klassifikation: Antivirale midler til systemisk brug, direkte virkende antivirale midler, </w:t>
      </w:r>
      <w:proofErr w:type="spellStart"/>
      <w:r w:rsidRPr="005955A7">
        <w:rPr>
          <w:sz w:val="24"/>
          <w:szCs w:val="24"/>
        </w:rPr>
        <w:t>nukleosider</w:t>
      </w:r>
      <w:proofErr w:type="spellEnd"/>
      <w:r w:rsidRPr="005955A7">
        <w:rPr>
          <w:sz w:val="24"/>
          <w:szCs w:val="24"/>
        </w:rPr>
        <w:t xml:space="preserve"> og nukleotider eksklusive revers-</w:t>
      </w:r>
      <w:proofErr w:type="spellStart"/>
      <w:r w:rsidRPr="005955A7">
        <w:rPr>
          <w:sz w:val="24"/>
          <w:szCs w:val="24"/>
        </w:rPr>
        <w:t>transkriptase</w:t>
      </w:r>
      <w:proofErr w:type="spellEnd"/>
      <w:r w:rsidRPr="005955A7">
        <w:rPr>
          <w:sz w:val="24"/>
          <w:szCs w:val="24"/>
        </w:rPr>
        <w:t>-</w:t>
      </w:r>
      <w:proofErr w:type="spellStart"/>
      <w:r w:rsidRPr="005955A7">
        <w:rPr>
          <w:sz w:val="24"/>
          <w:szCs w:val="24"/>
        </w:rPr>
        <w:t>hæmmere</w:t>
      </w:r>
      <w:proofErr w:type="spellEnd"/>
      <w:r w:rsidRPr="005955A7">
        <w:rPr>
          <w:sz w:val="24"/>
          <w:szCs w:val="24"/>
        </w:rPr>
        <w:t>, ATC-kode: J05AB06.</w:t>
      </w:r>
    </w:p>
    <w:p w14:paraId="0387903E" w14:textId="376CE03E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3C85C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5955A7">
        <w:rPr>
          <w:sz w:val="24"/>
          <w:szCs w:val="24"/>
          <w:u w:val="single"/>
        </w:rPr>
        <w:t>Virkningsmekanisme</w:t>
      </w:r>
    </w:p>
    <w:p w14:paraId="04E3D88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en syntetisk analog af 2’-deoxyguanosin, der hæmmer replikation af herpesvira, både </w:t>
      </w:r>
      <w:r w:rsidRPr="005955A7">
        <w:rPr>
          <w:i/>
          <w:iCs/>
          <w:sz w:val="24"/>
          <w:szCs w:val="24"/>
        </w:rPr>
        <w:t xml:space="preserve">in </w:t>
      </w:r>
      <w:proofErr w:type="spellStart"/>
      <w:r w:rsidRPr="005955A7">
        <w:rPr>
          <w:i/>
          <w:iCs/>
          <w:sz w:val="24"/>
          <w:szCs w:val="24"/>
        </w:rPr>
        <w:t>vitro</w:t>
      </w:r>
      <w:proofErr w:type="spellEnd"/>
      <w:r w:rsidRPr="005955A7">
        <w:rPr>
          <w:sz w:val="24"/>
          <w:szCs w:val="24"/>
        </w:rPr>
        <w:t xml:space="preserve"> og </w:t>
      </w:r>
      <w:r w:rsidRPr="005955A7">
        <w:rPr>
          <w:i/>
          <w:iCs/>
          <w:sz w:val="24"/>
          <w:szCs w:val="24"/>
        </w:rPr>
        <w:t xml:space="preserve">in </w:t>
      </w:r>
      <w:proofErr w:type="spellStart"/>
      <w:r w:rsidRPr="005955A7">
        <w:rPr>
          <w:i/>
          <w:iCs/>
          <w:sz w:val="24"/>
          <w:szCs w:val="24"/>
        </w:rPr>
        <w:t>vivo</w:t>
      </w:r>
      <w:proofErr w:type="spellEnd"/>
      <w:r w:rsidRPr="005955A7">
        <w:rPr>
          <w:sz w:val="24"/>
          <w:szCs w:val="24"/>
        </w:rPr>
        <w:t xml:space="preserve">. Følsomme humane vira inkluderer humant </w:t>
      </w:r>
      <w:proofErr w:type="spellStart"/>
      <w:r w:rsidRPr="005955A7">
        <w:rPr>
          <w:sz w:val="24"/>
          <w:szCs w:val="24"/>
        </w:rPr>
        <w:t>cytomegalovirus</w:t>
      </w:r>
      <w:proofErr w:type="spellEnd"/>
      <w:r w:rsidRPr="005955A7">
        <w:rPr>
          <w:sz w:val="24"/>
          <w:szCs w:val="24"/>
        </w:rPr>
        <w:t xml:space="preserve"> (HCMV), herpes </w:t>
      </w:r>
      <w:proofErr w:type="spellStart"/>
      <w:r w:rsidRPr="005955A7">
        <w:rPr>
          <w:sz w:val="24"/>
          <w:szCs w:val="24"/>
        </w:rPr>
        <w:t>simplex</w:t>
      </w:r>
      <w:proofErr w:type="spellEnd"/>
      <w:r w:rsidRPr="005955A7">
        <w:rPr>
          <w:sz w:val="24"/>
          <w:szCs w:val="24"/>
        </w:rPr>
        <w:t xml:space="preserve"> virus-1 og -2 (HSV-1 og HSV-2), humant herpesvirus-6, -7 og -8 (HHV-6, HHV-7, HHV-8), </w:t>
      </w:r>
      <w:proofErr w:type="spellStart"/>
      <w:r w:rsidRPr="005955A7">
        <w:rPr>
          <w:sz w:val="24"/>
          <w:szCs w:val="24"/>
        </w:rPr>
        <w:t>Epstein</w:t>
      </w:r>
      <w:proofErr w:type="spellEnd"/>
      <w:r w:rsidRPr="005955A7">
        <w:rPr>
          <w:sz w:val="24"/>
          <w:szCs w:val="24"/>
        </w:rPr>
        <w:t xml:space="preserve">-Barr-virus (EBV), </w:t>
      </w:r>
      <w:proofErr w:type="spellStart"/>
      <w:r w:rsidRPr="005955A7">
        <w:rPr>
          <w:sz w:val="24"/>
          <w:szCs w:val="24"/>
        </w:rPr>
        <w:t>varicella</w:t>
      </w:r>
      <w:proofErr w:type="spellEnd"/>
      <w:r w:rsidRPr="005955A7">
        <w:rPr>
          <w:sz w:val="24"/>
          <w:szCs w:val="24"/>
        </w:rPr>
        <w:t xml:space="preserve"> </w:t>
      </w:r>
      <w:proofErr w:type="spellStart"/>
      <w:r w:rsidRPr="005955A7">
        <w:rPr>
          <w:sz w:val="24"/>
          <w:szCs w:val="24"/>
        </w:rPr>
        <w:t>zoster</w:t>
      </w:r>
      <w:proofErr w:type="spellEnd"/>
      <w:r w:rsidRPr="005955A7">
        <w:rPr>
          <w:sz w:val="24"/>
          <w:szCs w:val="24"/>
        </w:rPr>
        <w:t>-virus (VZV) samt hepatitis B-virus. De kliniske studier har udelukkende evalueret effekten hos patienter med CMV-infektion.</w:t>
      </w:r>
    </w:p>
    <w:p w14:paraId="33F6EC0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2CA278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I CMV-inficerede celler </w:t>
      </w:r>
      <w:proofErr w:type="spellStart"/>
      <w:r w:rsidRPr="005955A7">
        <w:rPr>
          <w:sz w:val="24"/>
          <w:szCs w:val="24"/>
        </w:rPr>
        <w:t>fosforyleres</w:t>
      </w:r>
      <w:proofErr w:type="spellEnd"/>
      <w:r w:rsidRPr="005955A7">
        <w:rPr>
          <w:sz w:val="24"/>
          <w:szCs w:val="24"/>
        </w:rPr>
        <w:t xml:space="preserve">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initialt til </w:t>
      </w:r>
      <w:proofErr w:type="spellStart"/>
      <w:r w:rsidRPr="005955A7">
        <w:rPr>
          <w:sz w:val="24"/>
          <w:szCs w:val="24"/>
        </w:rPr>
        <w:t>ganciclovirmonophosphat</w:t>
      </w:r>
      <w:proofErr w:type="spellEnd"/>
      <w:r w:rsidRPr="005955A7">
        <w:rPr>
          <w:sz w:val="24"/>
          <w:szCs w:val="24"/>
        </w:rPr>
        <w:t xml:space="preserve"> af den virale </w:t>
      </w:r>
      <w:proofErr w:type="spellStart"/>
      <w:r w:rsidRPr="005955A7">
        <w:rPr>
          <w:sz w:val="24"/>
          <w:szCs w:val="24"/>
        </w:rPr>
        <w:t>proteinkinase</w:t>
      </w:r>
      <w:proofErr w:type="spellEnd"/>
      <w:r w:rsidRPr="005955A7">
        <w:rPr>
          <w:sz w:val="24"/>
          <w:szCs w:val="24"/>
        </w:rPr>
        <w:t xml:space="preserve"> UL97. Yderligere </w:t>
      </w:r>
      <w:proofErr w:type="spellStart"/>
      <w:r w:rsidRPr="005955A7">
        <w:rPr>
          <w:sz w:val="24"/>
          <w:szCs w:val="24"/>
        </w:rPr>
        <w:t>fosforylering</w:t>
      </w:r>
      <w:proofErr w:type="spellEnd"/>
      <w:r w:rsidRPr="005955A7">
        <w:rPr>
          <w:sz w:val="24"/>
          <w:szCs w:val="24"/>
        </w:rPr>
        <w:t xml:space="preserve"> finder sted ved hjælp af flere cellulære </w:t>
      </w:r>
      <w:proofErr w:type="spellStart"/>
      <w:r w:rsidRPr="005955A7">
        <w:rPr>
          <w:sz w:val="24"/>
          <w:szCs w:val="24"/>
        </w:rPr>
        <w:t>kinaser</w:t>
      </w:r>
      <w:proofErr w:type="spellEnd"/>
      <w:r w:rsidRPr="005955A7">
        <w:rPr>
          <w:sz w:val="24"/>
          <w:szCs w:val="24"/>
        </w:rPr>
        <w:t xml:space="preserve"> til </w:t>
      </w:r>
      <w:proofErr w:type="spellStart"/>
      <w:r w:rsidRPr="005955A7">
        <w:rPr>
          <w:sz w:val="24"/>
          <w:szCs w:val="24"/>
        </w:rPr>
        <w:t>ganciclovirtriphosphat</w:t>
      </w:r>
      <w:proofErr w:type="spellEnd"/>
      <w:r w:rsidRPr="005955A7">
        <w:rPr>
          <w:sz w:val="24"/>
          <w:szCs w:val="24"/>
        </w:rPr>
        <w:t xml:space="preserve">, der herefter langsomt </w:t>
      </w:r>
      <w:proofErr w:type="spellStart"/>
      <w:r w:rsidRPr="005955A7">
        <w:rPr>
          <w:sz w:val="24"/>
          <w:szCs w:val="24"/>
        </w:rPr>
        <w:t>metaboliseres</w:t>
      </w:r>
      <w:proofErr w:type="spellEnd"/>
      <w:r w:rsidRPr="005955A7">
        <w:rPr>
          <w:sz w:val="24"/>
          <w:szCs w:val="24"/>
        </w:rPr>
        <w:t xml:space="preserve"> intracellulært. Dette er vist at forekomme i HSV- og HCMV inficerede celler med halveringstider på henholdsvis 18 og 6-24 timer, efter ekstracellulært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fjernet. Da </w:t>
      </w:r>
      <w:proofErr w:type="spellStart"/>
      <w:r w:rsidRPr="005955A7">
        <w:rPr>
          <w:sz w:val="24"/>
          <w:szCs w:val="24"/>
        </w:rPr>
        <w:t>fosforylering</w:t>
      </w:r>
      <w:proofErr w:type="spellEnd"/>
      <w:r w:rsidRPr="005955A7">
        <w:rPr>
          <w:sz w:val="24"/>
          <w:szCs w:val="24"/>
        </w:rPr>
        <w:t xml:space="preserve"> i stor udstrækning er afhængig af den virale </w:t>
      </w:r>
      <w:proofErr w:type="spellStart"/>
      <w:r w:rsidRPr="005955A7">
        <w:rPr>
          <w:sz w:val="24"/>
          <w:szCs w:val="24"/>
        </w:rPr>
        <w:t>kinase</w:t>
      </w:r>
      <w:proofErr w:type="spellEnd"/>
      <w:r w:rsidRPr="005955A7">
        <w:rPr>
          <w:sz w:val="24"/>
          <w:szCs w:val="24"/>
        </w:rPr>
        <w:t xml:space="preserve">, finder </w:t>
      </w:r>
      <w:proofErr w:type="spellStart"/>
      <w:r w:rsidRPr="005955A7">
        <w:rPr>
          <w:sz w:val="24"/>
          <w:szCs w:val="24"/>
        </w:rPr>
        <w:t>fosforyleringen</w:t>
      </w:r>
      <w:proofErr w:type="spellEnd"/>
      <w:r w:rsidRPr="005955A7">
        <w:rPr>
          <w:sz w:val="24"/>
          <w:szCs w:val="24"/>
        </w:rPr>
        <w:t xml:space="preserve">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primært sted i virusinficerede celler. </w:t>
      </w:r>
    </w:p>
    <w:p w14:paraId="405B557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Ganciclovirs</w:t>
      </w:r>
      <w:proofErr w:type="spellEnd"/>
      <w:r w:rsidRPr="005955A7">
        <w:rPr>
          <w:sz w:val="24"/>
          <w:szCs w:val="24"/>
        </w:rPr>
        <w:t xml:space="preserve"> </w:t>
      </w:r>
      <w:proofErr w:type="spellStart"/>
      <w:r w:rsidRPr="005955A7">
        <w:rPr>
          <w:sz w:val="24"/>
          <w:szCs w:val="24"/>
        </w:rPr>
        <w:t>virustatiske</w:t>
      </w:r>
      <w:proofErr w:type="spellEnd"/>
      <w:r w:rsidRPr="005955A7">
        <w:rPr>
          <w:sz w:val="24"/>
          <w:szCs w:val="24"/>
        </w:rPr>
        <w:t xml:space="preserve"> aktivitet er resultat af hæmningen af den virale DNA-syntese ved: (1) </w:t>
      </w:r>
      <w:proofErr w:type="spellStart"/>
      <w:r w:rsidRPr="005955A7">
        <w:rPr>
          <w:sz w:val="24"/>
          <w:szCs w:val="24"/>
        </w:rPr>
        <w:t>kompetitiv</w:t>
      </w:r>
      <w:proofErr w:type="spellEnd"/>
      <w:r w:rsidRPr="005955A7">
        <w:rPr>
          <w:sz w:val="24"/>
          <w:szCs w:val="24"/>
        </w:rPr>
        <w:t xml:space="preserve"> hæmning af inkorporering af </w:t>
      </w:r>
      <w:proofErr w:type="spellStart"/>
      <w:r w:rsidRPr="005955A7">
        <w:rPr>
          <w:sz w:val="24"/>
          <w:szCs w:val="24"/>
        </w:rPr>
        <w:t>deoxyguanosintriphosphat</w:t>
      </w:r>
      <w:proofErr w:type="spellEnd"/>
      <w:r w:rsidRPr="005955A7">
        <w:rPr>
          <w:sz w:val="24"/>
          <w:szCs w:val="24"/>
        </w:rPr>
        <w:t xml:space="preserve"> i DNA ved DNA-polymerase og (2) inkorporering af </w:t>
      </w:r>
      <w:proofErr w:type="spellStart"/>
      <w:r w:rsidRPr="005955A7">
        <w:rPr>
          <w:sz w:val="24"/>
          <w:szCs w:val="24"/>
        </w:rPr>
        <w:t>ganciclovirtriphosphat</w:t>
      </w:r>
      <w:proofErr w:type="spellEnd"/>
      <w:r w:rsidRPr="005955A7">
        <w:rPr>
          <w:sz w:val="24"/>
          <w:szCs w:val="24"/>
        </w:rPr>
        <w:t xml:space="preserve"> i viralt DNA medførende </w:t>
      </w:r>
      <w:proofErr w:type="spellStart"/>
      <w:r w:rsidRPr="005955A7">
        <w:rPr>
          <w:sz w:val="24"/>
          <w:szCs w:val="24"/>
        </w:rPr>
        <w:t>terminering</w:t>
      </w:r>
      <w:proofErr w:type="spellEnd"/>
      <w:r w:rsidRPr="005955A7">
        <w:rPr>
          <w:sz w:val="24"/>
          <w:szCs w:val="24"/>
        </w:rPr>
        <w:t xml:space="preserve"> eller – i meget begrænset omfang – elongering.</w:t>
      </w:r>
    </w:p>
    <w:p w14:paraId="0AEA6D8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E78AFD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Antiviral aktivitet</w:t>
      </w:r>
    </w:p>
    <w:p w14:paraId="56FE456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i/>
          <w:iCs/>
          <w:sz w:val="24"/>
          <w:szCs w:val="24"/>
        </w:rPr>
        <w:t xml:space="preserve">In </w:t>
      </w:r>
      <w:proofErr w:type="spellStart"/>
      <w:r w:rsidRPr="005955A7">
        <w:rPr>
          <w:i/>
          <w:iCs/>
          <w:sz w:val="24"/>
          <w:szCs w:val="24"/>
        </w:rPr>
        <w:t>vitro</w:t>
      </w:r>
      <w:proofErr w:type="spellEnd"/>
      <w:r w:rsidRPr="005955A7">
        <w:rPr>
          <w:sz w:val="24"/>
          <w:szCs w:val="24"/>
        </w:rPr>
        <w:t xml:space="preserve"> antiviral aktivitet, målt som IC50 for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mod CMV, er inden for området 0,08 µM (0,02 µg/ml) til 14 µM (3,57 µg/ml).</w:t>
      </w:r>
    </w:p>
    <w:p w14:paraId="73B9AE7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3567564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Klinisk virkning og sikkerhed</w:t>
      </w:r>
    </w:p>
    <w:p w14:paraId="586611F3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Viral resistens</w:t>
      </w:r>
    </w:p>
    <w:p w14:paraId="5ECB728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Muligheden for viral resistens skal overvejes hos patienter, der gentagne gange oplever dårligt klinisk respons eller vedvarende viral udskillelse under behandling. </w:t>
      </w:r>
    </w:p>
    <w:p w14:paraId="3DF5FB1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0AF5F5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Viral resistens mod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kan opstå ved selektion af mutationer i det virale </w:t>
      </w:r>
      <w:proofErr w:type="spellStart"/>
      <w:r w:rsidRPr="005955A7">
        <w:rPr>
          <w:sz w:val="24"/>
          <w:szCs w:val="24"/>
        </w:rPr>
        <w:t>kinasegen</w:t>
      </w:r>
      <w:proofErr w:type="spellEnd"/>
      <w:r w:rsidRPr="005955A7">
        <w:rPr>
          <w:sz w:val="24"/>
          <w:szCs w:val="24"/>
        </w:rPr>
        <w:t xml:space="preserve"> (UL97), der er ansvarligt for </w:t>
      </w:r>
      <w:proofErr w:type="spellStart"/>
      <w:r w:rsidRPr="005955A7">
        <w:rPr>
          <w:sz w:val="24"/>
          <w:szCs w:val="24"/>
        </w:rPr>
        <w:t>ganciclovir-monofosforylering</w:t>
      </w:r>
      <w:proofErr w:type="spellEnd"/>
      <w:r w:rsidRPr="005955A7">
        <w:rPr>
          <w:sz w:val="24"/>
          <w:szCs w:val="24"/>
        </w:rPr>
        <w:t xml:space="preserve"> og/eller det virale </w:t>
      </w:r>
      <w:proofErr w:type="spellStart"/>
      <w:r w:rsidRPr="005955A7">
        <w:rPr>
          <w:sz w:val="24"/>
          <w:szCs w:val="24"/>
        </w:rPr>
        <w:t>polymerasegen</w:t>
      </w:r>
      <w:proofErr w:type="spellEnd"/>
      <w:r w:rsidRPr="005955A7">
        <w:rPr>
          <w:sz w:val="24"/>
          <w:szCs w:val="24"/>
        </w:rPr>
        <w:t xml:space="preserve"> (UL54). Vira med mutationer i UL97-genet er kun resistente over for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, mens vira med mutationer i UL54-genet er resistente over for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og kan være krydsresistente over for andre antivirale midler, der også er rettet mod viral polymerase.</w:t>
      </w:r>
    </w:p>
    <w:p w14:paraId="02E9D50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F9EB63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Pædiatrisk population</w:t>
      </w:r>
    </w:p>
    <w:p w14:paraId="66C0AD0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I et </w:t>
      </w:r>
      <w:proofErr w:type="spellStart"/>
      <w:r w:rsidRPr="005955A7">
        <w:rPr>
          <w:sz w:val="24"/>
          <w:szCs w:val="24"/>
        </w:rPr>
        <w:t>prospektivt</w:t>
      </w:r>
      <w:proofErr w:type="spellEnd"/>
      <w:r w:rsidRPr="005955A7">
        <w:rPr>
          <w:sz w:val="24"/>
          <w:szCs w:val="24"/>
        </w:rPr>
        <w:t xml:space="preserve"> studie fik 36 svært immunkompromitterede pædiatriske patienter (6 måneder - 16 år) med HIV- og CMV-infektion intravenøs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i en dosis på 5 mg/kg per dag i 2 dage efterfulgt af oral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i en medianperiode på 32 uger.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var effektivt med en toksicitetsprofil svarende til den, der ses hos voksne.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var forbundet med et fald i detektion af CMV ved dyrkning eller </w:t>
      </w:r>
      <w:proofErr w:type="spellStart"/>
      <w:r w:rsidRPr="005955A7">
        <w:rPr>
          <w:sz w:val="24"/>
          <w:szCs w:val="24"/>
        </w:rPr>
        <w:t>polymerasekædereaktion</w:t>
      </w:r>
      <w:proofErr w:type="spellEnd"/>
      <w:r w:rsidRPr="005955A7">
        <w:rPr>
          <w:sz w:val="24"/>
          <w:szCs w:val="24"/>
        </w:rPr>
        <w:t xml:space="preserve"> (PCR).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var den eneste svære bivirkning, der blev </w:t>
      </w:r>
      <w:r w:rsidRPr="005955A7">
        <w:rPr>
          <w:sz w:val="24"/>
          <w:szCs w:val="24"/>
        </w:rPr>
        <w:lastRenderedPageBreak/>
        <w:t xml:space="preserve">observeret under studiet, og selvom </w:t>
      </w:r>
      <w:proofErr w:type="spellStart"/>
      <w:r w:rsidRPr="005955A7">
        <w:rPr>
          <w:sz w:val="24"/>
          <w:szCs w:val="24"/>
        </w:rPr>
        <w:t>seponering</w:t>
      </w:r>
      <w:proofErr w:type="spellEnd"/>
      <w:r w:rsidRPr="005955A7">
        <w:rPr>
          <w:sz w:val="24"/>
          <w:szCs w:val="24"/>
        </w:rPr>
        <w:t xml:space="preserve"> ikke var nødvendig hos nogen af børnene, havde 4 behov for behandling med granulocytkolonistimulerende faktor (G-CSF) for at opretholde et absolut </w:t>
      </w:r>
      <w:proofErr w:type="spellStart"/>
      <w:r w:rsidRPr="005955A7">
        <w:rPr>
          <w:sz w:val="24"/>
          <w:szCs w:val="24"/>
        </w:rPr>
        <w:t>neutrofiltal</w:t>
      </w:r>
      <w:proofErr w:type="spellEnd"/>
      <w:r w:rsidRPr="005955A7">
        <w:rPr>
          <w:sz w:val="24"/>
          <w:szCs w:val="24"/>
        </w:rPr>
        <w:t xml:space="preserve"> </w:t>
      </w:r>
      <w:r w:rsidRPr="005955A7">
        <w:rPr>
          <w:bCs/>
          <w:iCs/>
          <w:sz w:val="24"/>
          <w:szCs w:val="24"/>
        </w:rPr>
        <w:t xml:space="preserve">&gt; </w:t>
      </w:r>
      <w:r w:rsidRPr="005955A7">
        <w:rPr>
          <w:sz w:val="24"/>
          <w:szCs w:val="24"/>
        </w:rPr>
        <w:t>400 celler/mm</w:t>
      </w:r>
      <w:r w:rsidRPr="005955A7">
        <w:rPr>
          <w:sz w:val="24"/>
          <w:szCs w:val="24"/>
          <w:vertAlign w:val="superscript"/>
        </w:rPr>
        <w:t>3</w:t>
      </w:r>
      <w:r w:rsidRPr="005955A7">
        <w:rPr>
          <w:sz w:val="24"/>
          <w:szCs w:val="24"/>
        </w:rPr>
        <w:t xml:space="preserve">. </w:t>
      </w:r>
    </w:p>
    <w:p w14:paraId="08B9CE1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B2504B4" w14:textId="4779EC34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I et retrospektivt studie fik 122 levertransplanterede børn (16 dage - 18 år, medianalder 2,5 år) mindst 14 dages intravenøs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5 mg/kg 2 gange dagligt, efterfulgt af præventiv monitorering af CMV ved PCR. 43 patienter blev vurderet til at være i høj risiko for CMV og 79 var i den almindelige risikogruppe. Asymptomatisk CMV-infektion blev påvist ved PCR hos 34,4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af patienterne og var mere sandsynlig i </w:t>
      </w:r>
      <w:proofErr w:type="spellStart"/>
      <w:r w:rsidRPr="005955A7">
        <w:rPr>
          <w:sz w:val="24"/>
          <w:szCs w:val="24"/>
        </w:rPr>
        <w:t>højrisiko-gruppen</w:t>
      </w:r>
      <w:proofErr w:type="spellEnd"/>
      <w:r w:rsidRPr="005955A7">
        <w:rPr>
          <w:sz w:val="24"/>
          <w:szCs w:val="24"/>
        </w:rPr>
        <w:t xml:space="preserve"> end i den almindelige risikogruppe (58,1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</w:t>
      </w:r>
      <w:r w:rsidRPr="005955A7">
        <w:rPr>
          <w:i/>
          <w:iCs/>
          <w:sz w:val="24"/>
          <w:szCs w:val="24"/>
        </w:rPr>
        <w:t>vs.</w:t>
      </w:r>
      <w:r w:rsidRPr="005955A7">
        <w:rPr>
          <w:sz w:val="24"/>
          <w:szCs w:val="24"/>
        </w:rPr>
        <w:t xml:space="preserve"> 21,8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>; p = 0,0001). 12 patienter (9,8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) udviklede CMV-sygdom (8 i højrisikogruppen </w:t>
      </w:r>
      <w:r w:rsidRPr="005955A7">
        <w:rPr>
          <w:i/>
          <w:iCs/>
          <w:sz w:val="24"/>
          <w:szCs w:val="24"/>
        </w:rPr>
        <w:t>vs</w:t>
      </w:r>
      <w:r w:rsidRPr="005955A7">
        <w:rPr>
          <w:sz w:val="24"/>
          <w:szCs w:val="24"/>
        </w:rPr>
        <w:t>. 4 i den almindelige risikogruppe, p = 0,03). 3 patienter udviklede akut afstødning inden for 6 måneder efter påvisning af CMV, men hos 13 patienter fandt afstødning sted inden CMV. Der var ingen dødsfald sekundært til CMV. I alt 38,5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af patienterne fik ikke yderligere antiviral behandling ud over den initiale postoperative profylakse.</w:t>
      </w:r>
    </w:p>
    <w:p w14:paraId="363242E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13CBB9B" w14:textId="36FF82BA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En retrospektiv analyse sammenlignede sikkerheden og virkningen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hos 92 nyre- og/eller levertransplanterede børn (i aldersgruppen 7 måneder -18 år, medianalder 9 år). Alle børnene fik intravenøs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5 mg/kg 2 gange dagligt i 2 uger efter transplantationen. Børn behandlet før 2004 fik herefter oral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30 mg/kg/dosis, op til 1 g/dosis, 3 gange dagligt (n = 41), mens børn behandlet efter 2004 fik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op til 900 mg 1 gang dagligt (n = 51). Den samlede forekomst af CMV var 16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(15/92 patienter). Tid til indtræden af CMV-infektion var sammenlignelig grupperne imellem.  </w:t>
      </w:r>
    </w:p>
    <w:p w14:paraId="51F60B8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7258BFD" w14:textId="5ED9732C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I et randomiseret, kontrolleret studie fik 100 nyfødte (≤1 måned) med symptomatisk kongenital CMV-sygdom med CNS-påvirkning 6 ugers behandling med intravenøs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6 mg/kg hver 12. time eller ingen behandling. Ud af de 100 inkluderede patienter opfyldte 42 alle studiekriterier og blev evalueret audiometrisk ved såvel baseline som ved 6 måneders opfølgningen. Ud af disse fik 25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, og 17 fik ingen behandling. 21 af de 25 </w:t>
      </w:r>
      <w:proofErr w:type="spellStart"/>
      <w:r w:rsidRPr="005955A7">
        <w:rPr>
          <w:sz w:val="24"/>
          <w:szCs w:val="24"/>
        </w:rPr>
        <w:t>ganciclovirbehandlede</w:t>
      </w:r>
      <w:proofErr w:type="spellEnd"/>
      <w:r w:rsidRPr="005955A7">
        <w:rPr>
          <w:sz w:val="24"/>
          <w:szCs w:val="24"/>
        </w:rPr>
        <w:t xml:space="preserve"> patienter havde forbedret eller fortsat normal hørelse efter 6 måneder i forhold til baseline sammenlignet med 10/17 kontrolpatienter (henholdsvis 84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og 59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, p = 0,06). Ingen af de </w:t>
      </w:r>
      <w:proofErr w:type="spellStart"/>
      <w:r w:rsidRPr="005955A7">
        <w:rPr>
          <w:sz w:val="24"/>
          <w:szCs w:val="24"/>
        </w:rPr>
        <w:t>ganciclovirbehandlede</w:t>
      </w:r>
      <w:proofErr w:type="spellEnd"/>
      <w:r w:rsidRPr="005955A7">
        <w:rPr>
          <w:sz w:val="24"/>
          <w:szCs w:val="24"/>
        </w:rPr>
        <w:t xml:space="preserve"> patienter havde dårligere hørelse efter 6 måneder i forhold til baseline sammenlignet med 7 kontrolpatienter (p </w:t>
      </w:r>
      <w:r w:rsidRPr="005955A7">
        <w:rPr>
          <w:bCs/>
          <w:iCs/>
          <w:sz w:val="24"/>
          <w:szCs w:val="24"/>
        </w:rPr>
        <w:t xml:space="preserve">&lt; </w:t>
      </w:r>
      <w:r w:rsidRPr="005955A7">
        <w:rPr>
          <w:sz w:val="24"/>
          <w:szCs w:val="24"/>
        </w:rPr>
        <w:t xml:space="preserve">0,01). 1 år efter </w:t>
      </w:r>
      <w:r w:rsidRPr="005955A7">
        <w:rPr>
          <w:i/>
          <w:iCs/>
          <w:sz w:val="24"/>
          <w:szCs w:val="24"/>
        </w:rPr>
        <w:t>baseline</w:t>
      </w:r>
      <w:r w:rsidRPr="005955A7">
        <w:rPr>
          <w:sz w:val="24"/>
          <w:szCs w:val="24"/>
        </w:rPr>
        <w:t xml:space="preserve"> havde 5/24 </w:t>
      </w:r>
      <w:proofErr w:type="spellStart"/>
      <w:r w:rsidRPr="005955A7">
        <w:rPr>
          <w:sz w:val="24"/>
          <w:szCs w:val="24"/>
        </w:rPr>
        <w:t>ganciclovirbehandlede</w:t>
      </w:r>
      <w:proofErr w:type="spellEnd"/>
      <w:r w:rsidRPr="005955A7">
        <w:rPr>
          <w:sz w:val="24"/>
          <w:szCs w:val="24"/>
        </w:rPr>
        <w:t xml:space="preserve"> patienter og 13/19 kontrolpatienter dårligere hørelse (p </w:t>
      </w:r>
      <w:r w:rsidRPr="005955A7">
        <w:rPr>
          <w:bCs/>
          <w:iCs/>
          <w:sz w:val="24"/>
          <w:szCs w:val="24"/>
        </w:rPr>
        <w:t xml:space="preserve">&lt; </w:t>
      </w:r>
      <w:r w:rsidRPr="005955A7">
        <w:rPr>
          <w:sz w:val="24"/>
          <w:szCs w:val="24"/>
        </w:rPr>
        <w:t xml:space="preserve">0,01). I løbet af studiet oplevede 29/46 patienter i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-gruppen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sammenlignet med 9/43 kontrolpatienter (p </w:t>
      </w:r>
      <w:r w:rsidRPr="005955A7">
        <w:rPr>
          <w:bCs/>
          <w:iCs/>
          <w:sz w:val="24"/>
          <w:szCs w:val="24"/>
        </w:rPr>
        <w:t xml:space="preserve">&lt; </w:t>
      </w:r>
      <w:r w:rsidRPr="005955A7">
        <w:rPr>
          <w:sz w:val="24"/>
          <w:szCs w:val="24"/>
        </w:rPr>
        <w:t xml:space="preserve">0,1). Der var 9 dødsfald i løbet af studiet, 3 i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>-gruppen og 6 i kontrolgruppen. Ingen af dødsfaldene var relateret til studiemedicinen.</w:t>
      </w:r>
    </w:p>
    <w:p w14:paraId="26786777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426120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I et randomiseret, kontrolleret fase III-studie fik 100 nyfødte (alder 3-33 dage; medianalder 12 dage) med svær, symptomatisk kongenital CMV med CNS-påvirkning enten intravenøs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6 mg/kg 2 gange dagligt i 6 uger (n = 48) eller ingen antiviral behandling (n = 52). Spædbørn, der blev behandlet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, havde bedre neurologisk udvikling ved måned 6 og 12 sammenlignet med de spædbørn, der ikke fik antiviral behandling. Selvom de </w:t>
      </w:r>
      <w:proofErr w:type="spellStart"/>
      <w:r w:rsidRPr="005955A7">
        <w:rPr>
          <w:sz w:val="24"/>
          <w:szCs w:val="24"/>
        </w:rPr>
        <w:t>ganciclovirbehandlede</w:t>
      </w:r>
      <w:proofErr w:type="spellEnd"/>
      <w:r w:rsidRPr="005955A7">
        <w:rPr>
          <w:sz w:val="24"/>
          <w:szCs w:val="24"/>
        </w:rPr>
        <w:t xml:space="preserve"> spædbørns udvikling i mindre grad var forsinket, og deres neurologiske resultater var tættere på normalen, var de flestes udvikling stadig forsinket i forhold til normalen ved 6 ugers-, 6 måneders- og 12 måneders-alderen. Sikkerheden blev ikke undersøgt i dette studie.  </w:t>
      </w:r>
    </w:p>
    <w:p w14:paraId="738F640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5EFE0CC7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lastRenderedPageBreak/>
        <w:t>Et retrospektivt studie undersøgte effekten af antiviral behandling på sent indsættende høretab hos spædbørn med kongenital CMV-infektion (aldersgruppe 4-34 måneder, gennemsnitsalder 10,3±7,8 måneder, medianalder 8 måneder). Studiet inkluderede 21 spædbørn med normal hørelse ved fødslen, som udviklede sent indsættende høretab. Den antivirale behandling bestod af:</w:t>
      </w:r>
    </w:p>
    <w:p w14:paraId="533D283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C3C1AAB" w14:textId="43A1ACC9" w:rsidR="007F7E0B" w:rsidRPr="005955A7" w:rsidRDefault="007F7E0B" w:rsidP="007F7E0B">
      <w:pPr>
        <w:tabs>
          <w:tab w:val="left" w:pos="851"/>
        </w:tabs>
        <w:ind w:left="1301" w:hanging="450"/>
        <w:rPr>
          <w:sz w:val="24"/>
          <w:szCs w:val="24"/>
        </w:rPr>
      </w:pPr>
      <w:r w:rsidRPr="005955A7">
        <w:rPr>
          <w:sz w:val="24"/>
          <w:szCs w:val="24"/>
        </w:rPr>
        <w:t>-</w:t>
      </w:r>
      <w:r w:rsidRPr="005955A7">
        <w:rPr>
          <w:sz w:val="24"/>
          <w:szCs w:val="24"/>
        </w:rPr>
        <w:tab/>
        <w:t xml:space="preserve">Intravenøs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5 mg/kg dagligt i 6 uger efterfulgt af oral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17</w:t>
      </w:r>
      <w:r w:rsidR="00803F0A">
        <w:rPr>
          <w:sz w:val="24"/>
          <w:szCs w:val="24"/>
        </w:rPr>
        <w:t> </w:t>
      </w:r>
      <w:r w:rsidRPr="005955A7">
        <w:rPr>
          <w:sz w:val="24"/>
          <w:szCs w:val="24"/>
        </w:rPr>
        <w:t>mg/kg 2 gange dagligt i 6 uger, herefter dagligt indtil 1 årsalderen, eller</w:t>
      </w:r>
    </w:p>
    <w:p w14:paraId="58D812C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-</w:t>
      </w:r>
      <w:r w:rsidRPr="005955A7">
        <w:rPr>
          <w:sz w:val="24"/>
          <w:szCs w:val="24"/>
        </w:rPr>
        <w:tab/>
        <w:t xml:space="preserve">Oral </w:t>
      </w:r>
      <w:proofErr w:type="spellStart"/>
      <w:r w:rsidRPr="005955A7">
        <w:rPr>
          <w:sz w:val="24"/>
          <w:szCs w:val="24"/>
        </w:rPr>
        <w:t>valganciclovir</w:t>
      </w:r>
      <w:proofErr w:type="spellEnd"/>
      <w:r w:rsidRPr="005955A7">
        <w:rPr>
          <w:sz w:val="24"/>
          <w:szCs w:val="24"/>
        </w:rPr>
        <w:t xml:space="preserve"> 17 mg/kg 2 gange dagligt i 12 uger, herefter dagligt i 9 måneder.</w:t>
      </w:r>
    </w:p>
    <w:p w14:paraId="74550B1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D989241" w14:textId="27F1B6CB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Ingen af børnene havde behov for </w:t>
      </w:r>
      <w:proofErr w:type="spellStart"/>
      <w:r w:rsidRPr="005955A7">
        <w:rPr>
          <w:sz w:val="24"/>
          <w:szCs w:val="24"/>
        </w:rPr>
        <w:t>cochlea</w:t>
      </w:r>
      <w:proofErr w:type="spellEnd"/>
      <w:r w:rsidRPr="005955A7">
        <w:rPr>
          <w:sz w:val="24"/>
          <w:szCs w:val="24"/>
        </w:rPr>
        <w:t>-implantat, og høretabet forbedredes på 83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af de ører, der var påvirket ved </w:t>
      </w:r>
      <w:r w:rsidRPr="005955A7">
        <w:rPr>
          <w:i/>
          <w:iCs/>
          <w:sz w:val="24"/>
          <w:szCs w:val="24"/>
        </w:rPr>
        <w:t>baseline</w:t>
      </w:r>
      <w:r w:rsidRPr="005955A7">
        <w:rPr>
          <w:sz w:val="24"/>
          <w:szCs w:val="24"/>
        </w:rPr>
        <w:t xml:space="preserve">. </w:t>
      </w:r>
      <w:proofErr w:type="spellStart"/>
      <w:r w:rsidRPr="005955A7">
        <w:rPr>
          <w:sz w:val="24"/>
          <w:szCs w:val="24"/>
        </w:rPr>
        <w:t>Neutropeni</w:t>
      </w:r>
      <w:proofErr w:type="spellEnd"/>
      <w:r w:rsidRPr="005955A7">
        <w:rPr>
          <w:sz w:val="24"/>
          <w:szCs w:val="24"/>
        </w:rPr>
        <w:t xml:space="preserve"> var den eneste rapporterede bivirkning, og </w:t>
      </w:r>
      <w:proofErr w:type="spellStart"/>
      <w:r w:rsidRPr="005955A7">
        <w:rPr>
          <w:sz w:val="24"/>
          <w:szCs w:val="24"/>
        </w:rPr>
        <w:t>seponering</w:t>
      </w:r>
      <w:proofErr w:type="spellEnd"/>
      <w:r w:rsidRPr="005955A7">
        <w:rPr>
          <w:sz w:val="24"/>
          <w:szCs w:val="24"/>
        </w:rPr>
        <w:t xml:space="preserve"> var ikke nødvendig hos nogen patienter.</w:t>
      </w:r>
    </w:p>
    <w:p w14:paraId="02B54ADC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05841A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5.2</w:t>
      </w:r>
      <w:r w:rsidRPr="005955A7">
        <w:rPr>
          <w:b/>
          <w:sz w:val="24"/>
          <w:szCs w:val="24"/>
        </w:rPr>
        <w:tab/>
      </w:r>
      <w:proofErr w:type="spellStart"/>
      <w:r w:rsidRPr="005955A7">
        <w:rPr>
          <w:b/>
          <w:sz w:val="24"/>
          <w:szCs w:val="24"/>
        </w:rPr>
        <w:t>Farmakokinetiske</w:t>
      </w:r>
      <w:proofErr w:type="spellEnd"/>
      <w:r w:rsidRPr="005955A7">
        <w:rPr>
          <w:b/>
          <w:sz w:val="24"/>
          <w:szCs w:val="24"/>
        </w:rPr>
        <w:t xml:space="preserve"> egenskaber</w:t>
      </w:r>
    </w:p>
    <w:p w14:paraId="57B7349C" w14:textId="270A7D75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>Den systemiske eksponering (AUC</w:t>
      </w:r>
      <w:r w:rsidRPr="005955A7">
        <w:rPr>
          <w:sz w:val="24"/>
          <w:szCs w:val="24"/>
          <w:vertAlign w:val="subscript"/>
        </w:rPr>
        <w:t>0-∞</w:t>
      </w:r>
      <w:r w:rsidRPr="005955A7">
        <w:rPr>
          <w:sz w:val="24"/>
          <w:szCs w:val="24"/>
        </w:rPr>
        <w:t xml:space="preserve">), rapporteret efter dosering med en enkelt 1 times intravenøs infusion af 5 mg/kg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hos voksne levertransplanterede patienter, var i gennemsnit 50,6 µ</w:t>
      </w:r>
      <w:proofErr w:type="spellStart"/>
      <w:r w:rsidRPr="005955A7">
        <w:rPr>
          <w:sz w:val="24"/>
          <w:szCs w:val="24"/>
        </w:rPr>
        <w:t>g.h</w:t>
      </w:r>
      <w:proofErr w:type="spellEnd"/>
      <w:r w:rsidRPr="005955A7">
        <w:rPr>
          <w:sz w:val="24"/>
          <w:szCs w:val="24"/>
        </w:rPr>
        <w:t>/ml (CV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40). I denne patientpopulation var peak plasmakoncentrationen (</w:t>
      </w:r>
      <w:proofErr w:type="spellStart"/>
      <w:r w:rsidRPr="005955A7">
        <w:rPr>
          <w:sz w:val="24"/>
          <w:szCs w:val="24"/>
        </w:rPr>
        <w:t>C</w:t>
      </w:r>
      <w:r w:rsidRPr="005955A7">
        <w:rPr>
          <w:sz w:val="24"/>
          <w:szCs w:val="24"/>
          <w:vertAlign w:val="subscript"/>
        </w:rPr>
        <w:t>max</w:t>
      </w:r>
      <w:proofErr w:type="spellEnd"/>
      <w:r w:rsidRPr="005955A7">
        <w:rPr>
          <w:sz w:val="24"/>
          <w:szCs w:val="24"/>
        </w:rPr>
        <w:t>) i gennemsnit 12,2 µg/ml (CV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24). </w:t>
      </w:r>
    </w:p>
    <w:p w14:paraId="2A6A25A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5326CF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Fordeling</w:t>
      </w:r>
    </w:p>
    <w:p w14:paraId="3A8B8458" w14:textId="6B91B41C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Fordelingsvolumen for intravenøst administreret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korreleret til kropsvægt. Fordelingsvolumen ved </w:t>
      </w:r>
      <w:proofErr w:type="spellStart"/>
      <w:r w:rsidRPr="005955A7">
        <w:rPr>
          <w:sz w:val="24"/>
          <w:szCs w:val="24"/>
        </w:rPr>
        <w:t>steady</w:t>
      </w:r>
      <w:proofErr w:type="spellEnd"/>
      <w:r w:rsidRPr="005955A7">
        <w:rPr>
          <w:sz w:val="24"/>
          <w:szCs w:val="24"/>
        </w:rPr>
        <w:t xml:space="preserve"> </w:t>
      </w:r>
      <w:proofErr w:type="spellStart"/>
      <w:r w:rsidRPr="005955A7">
        <w:rPr>
          <w:sz w:val="24"/>
          <w:szCs w:val="24"/>
        </w:rPr>
        <w:t>state</w:t>
      </w:r>
      <w:proofErr w:type="spellEnd"/>
      <w:r w:rsidRPr="005955A7">
        <w:rPr>
          <w:sz w:val="24"/>
          <w:szCs w:val="24"/>
        </w:rPr>
        <w:t xml:space="preserve"> er 0,54-0,87 L/kg. Plasmaproteinbindingen er 1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>-2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ved </w:t>
      </w:r>
      <w:proofErr w:type="spellStart"/>
      <w:r w:rsidRPr="005955A7">
        <w:rPr>
          <w:sz w:val="24"/>
          <w:szCs w:val="24"/>
        </w:rPr>
        <w:t>ganciclovirkoncentrationer</w:t>
      </w:r>
      <w:proofErr w:type="spellEnd"/>
      <w:r w:rsidRPr="005955A7">
        <w:rPr>
          <w:sz w:val="24"/>
          <w:szCs w:val="24"/>
        </w:rPr>
        <w:t xml:space="preserve"> på 0,5-51 </w:t>
      </w:r>
      <w:r w:rsidRPr="005955A7">
        <w:rPr>
          <w:iCs/>
          <w:noProof/>
          <w:sz w:val="24"/>
          <w:szCs w:val="24"/>
        </w:rPr>
        <w:t>µ</w:t>
      </w:r>
      <w:r w:rsidRPr="005955A7">
        <w:rPr>
          <w:sz w:val="24"/>
          <w:szCs w:val="24"/>
        </w:rPr>
        <w:t xml:space="preserve">g/ml.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passerer over i cerebrospinalvæsken, hvor de observerede koncentrationer ligger på 24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>-67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af plasmakoncentrationen.</w:t>
      </w:r>
    </w:p>
    <w:p w14:paraId="1560EF6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42CDD8B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Biotransformation</w:t>
      </w:r>
    </w:p>
    <w:p w14:paraId="6DFF3C6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proofErr w:type="spellStart"/>
      <w:r w:rsidRPr="005955A7">
        <w:rPr>
          <w:sz w:val="24"/>
          <w:szCs w:val="24"/>
        </w:rPr>
        <w:t>metaboliseres</w:t>
      </w:r>
      <w:proofErr w:type="spellEnd"/>
      <w:r w:rsidRPr="005955A7">
        <w:rPr>
          <w:sz w:val="24"/>
          <w:szCs w:val="24"/>
        </w:rPr>
        <w:t xml:space="preserve"> ikke i betydelig grad.</w:t>
      </w:r>
    </w:p>
    <w:p w14:paraId="73BCC1B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B6046D9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955A7">
        <w:rPr>
          <w:sz w:val="24"/>
          <w:szCs w:val="24"/>
          <w:u w:val="single"/>
        </w:rPr>
        <w:t>Elimination</w:t>
      </w:r>
    </w:p>
    <w:p w14:paraId="278AC3AE" w14:textId="50DBBE8B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elimineres primært </w:t>
      </w:r>
      <w:proofErr w:type="spellStart"/>
      <w:r w:rsidRPr="005955A7">
        <w:rPr>
          <w:sz w:val="24"/>
          <w:szCs w:val="24"/>
        </w:rPr>
        <w:t>renalt</w:t>
      </w:r>
      <w:proofErr w:type="spellEnd"/>
      <w:r w:rsidRPr="005955A7">
        <w:rPr>
          <w:sz w:val="24"/>
          <w:szCs w:val="24"/>
        </w:rPr>
        <w:t xml:space="preserve"> via </w:t>
      </w:r>
      <w:proofErr w:type="spellStart"/>
      <w:r w:rsidRPr="005955A7">
        <w:rPr>
          <w:sz w:val="24"/>
          <w:szCs w:val="24"/>
        </w:rPr>
        <w:t>glomerulær</w:t>
      </w:r>
      <w:proofErr w:type="spellEnd"/>
      <w:r w:rsidRPr="005955A7">
        <w:rPr>
          <w:sz w:val="24"/>
          <w:szCs w:val="24"/>
        </w:rPr>
        <w:t xml:space="preserve"> filtration og aktiv </w:t>
      </w:r>
      <w:proofErr w:type="spellStart"/>
      <w:r w:rsidRPr="005955A7">
        <w:rPr>
          <w:sz w:val="24"/>
          <w:szCs w:val="24"/>
        </w:rPr>
        <w:t>tubulær</w:t>
      </w:r>
      <w:proofErr w:type="spellEnd"/>
      <w:r w:rsidRPr="005955A7">
        <w:rPr>
          <w:sz w:val="24"/>
          <w:szCs w:val="24"/>
        </w:rPr>
        <w:t xml:space="preserve"> sekretion af </w:t>
      </w:r>
      <w:proofErr w:type="spellStart"/>
      <w:r w:rsidRPr="005955A7">
        <w:rPr>
          <w:sz w:val="24"/>
          <w:szCs w:val="24"/>
        </w:rPr>
        <w:t>uomdannet</w:t>
      </w:r>
      <w:proofErr w:type="spellEnd"/>
      <w:r w:rsidRPr="005955A7">
        <w:rPr>
          <w:sz w:val="24"/>
          <w:szCs w:val="24"/>
        </w:rPr>
        <w:t xml:space="preserve">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>. Hos patienter med normal nyrefunktion kan mere end 90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af den intravenøst administrerede </w:t>
      </w:r>
      <w:proofErr w:type="spellStart"/>
      <w:r w:rsidRPr="005955A7">
        <w:rPr>
          <w:sz w:val="24"/>
          <w:szCs w:val="24"/>
        </w:rPr>
        <w:t>ganciclovirdosis</w:t>
      </w:r>
      <w:proofErr w:type="spellEnd"/>
      <w:r w:rsidRPr="005955A7">
        <w:rPr>
          <w:sz w:val="24"/>
          <w:szCs w:val="24"/>
        </w:rPr>
        <w:t xml:space="preserve"> genfindes </w:t>
      </w:r>
      <w:proofErr w:type="spellStart"/>
      <w:r w:rsidRPr="005955A7">
        <w:rPr>
          <w:sz w:val="24"/>
          <w:szCs w:val="24"/>
        </w:rPr>
        <w:t>uomdannet</w:t>
      </w:r>
      <w:proofErr w:type="spellEnd"/>
      <w:r w:rsidRPr="005955A7">
        <w:rPr>
          <w:sz w:val="24"/>
          <w:szCs w:val="24"/>
        </w:rPr>
        <w:t xml:space="preserve"> i urinen inden for 24 timer. Gennemsnitlig systemisk </w:t>
      </w:r>
      <w:proofErr w:type="spellStart"/>
      <w:r w:rsidRPr="005955A7">
        <w:rPr>
          <w:sz w:val="24"/>
          <w:szCs w:val="24"/>
        </w:rPr>
        <w:t>clearance</w:t>
      </w:r>
      <w:proofErr w:type="spellEnd"/>
      <w:r w:rsidRPr="005955A7">
        <w:rPr>
          <w:sz w:val="24"/>
          <w:szCs w:val="24"/>
        </w:rPr>
        <w:t xml:space="preserve"> ligger i området 2,64 </w:t>
      </w:r>
      <w:r w:rsidRPr="005955A7">
        <w:rPr>
          <w:iCs/>
          <w:noProof/>
          <w:sz w:val="24"/>
          <w:szCs w:val="24"/>
        </w:rPr>
        <w:t>±</w:t>
      </w:r>
      <w:r w:rsidRPr="005955A7">
        <w:rPr>
          <w:sz w:val="24"/>
          <w:szCs w:val="24"/>
        </w:rPr>
        <w:t xml:space="preserve"> 0,38 ml/min/kg (N = 15) til 4,52 </w:t>
      </w:r>
      <w:r w:rsidRPr="005955A7">
        <w:rPr>
          <w:iCs/>
          <w:noProof/>
          <w:sz w:val="24"/>
          <w:szCs w:val="24"/>
        </w:rPr>
        <w:t>±</w:t>
      </w:r>
      <w:r w:rsidRPr="005955A7">
        <w:rPr>
          <w:sz w:val="24"/>
          <w:szCs w:val="24"/>
        </w:rPr>
        <w:t xml:space="preserve"> 2,79 ml/min/kg (N = 6), og den </w:t>
      </w:r>
      <w:proofErr w:type="spellStart"/>
      <w:r w:rsidRPr="005955A7">
        <w:rPr>
          <w:sz w:val="24"/>
          <w:szCs w:val="24"/>
        </w:rPr>
        <w:t>renale</w:t>
      </w:r>
      <w:proofErr w:type="spellEnd"/>
      <w:r w:rsidRPr="005955A7">
        <w:rPr>
          <w:sz w:val="24"/>
          <w:szCs w:val="24"/>
        </w:rPr>
        <w:t xml:space="preserve"> </w:t>
      </w:r>
      <w:proofErr w:type="spellStart"/>
      <w:r w:rsidRPr="005955A7">
        <w:rPr>
          <w:sz w:val="24"/>
          <w:szCs w:val="24"/>
        </w:rPr>
        <w:t>clearance</w:t>
      </w:r>
      <w:proofErr w:type="spellEnd"/>
      <w:r w:rsidRPr="005955A7">
        <w:rPr>
          <w:sz w:val="24"/>
          <w:szCs w:val="24"/>
        </w:rPr>
        <w:t xml:space="preserve"> ligger i området 2,57 </w:t>
      </w:r>
      <w:r w:rsidRPr="005955A7">
        <w:rPr>
          <w:iCs/>
          <w:noProof/>
          <w:sz w:val="24"/>
          <w:szCs w:val="24"/>
        </w:rPr>
        <w:t>±</w:t>
      </w:r>
      <w:r w:rsidRPr="005955A7">
        <w:rPr>
          <w:sz w:val="24"/>
          <w:szCs w:val="24"/>
        </w:rPr>
        <w:t xml:space="preserve"> 0,69 ml/min/kg (N = 15) til 3,48 </w:t>
      </w:r>
      <w:r w:rsidRPr="005955A7">
        <w:rPr>
          <w:iCs/>
          <w:noProof/>
          <w:sz w:val="24"/>
          <w:szCs w:val="24"/>
        </w:rPr>
        <w:t>±</w:t>
      </w:r>
      <w:r w:rsidRPr="005955A7">
        <w:rPr>
          <w:sz w:val="24"/>
          <w:szCs w:val="24"/>
        </w:rPr>
        <w:t xml:space="preserve"> 0,68 ml/min/kg (N = 20), svarende til 90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>-101</w:t>
      </w:r>
      <w:r w:rsidR="00803F0A">
        <w:rPr>
          <w:sz w:val="24"/>
          <w:szCs w:val="24"/>
        </w:rPr>
        <w:t xml:space="preserve"> %</w:t>
      </w:r>
      <w:r w:rsidRPr="005955A7">
        <w:rPr>
          <w:sz w:val="24"/>
          <w:szCs w:val="24"/>
        </w:rPr>
        <w:t xml:space="preserve"> af administreret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. Halveringstid hos patienter uden nedsat nyrefunktion ligger i området 2,73 </w:t>
      </w:r>
      <w:r w:rsidRPr="005955A7">
        <w:rPr>
          <w:iCs/>
          <w:noProof/>
          <w:sz w:val="24"/>
          <w:szCs w:val="24"/>
        </w:rPr>
        <w:t>±</w:t>
      </w:r>
      <w:r w:rsidRPr="005955A7">
        <w:rPr>
          <w:sz w:val="24"/>
          <w:szCs w:val="24"/>
        </w:rPr>
        <w:t xml:space="preserve"> 1,29 (N = 6) til 3,98 </w:t>
      </w:r>
      <w:r w:rsidRPr="005955A7">
        <w:rPr>
          <w:iCs/>
          <w:noProof/>
          <w:sz w:val="24"/>
          <w:szCs w:val="24"/>
        </w:rPr>
        <w:t>±</w:t>
      </w:r>
      <w:r w:rsidRPr="005955A7">
        <w:rPr>
          <w:sz w:val="24"/>
          <w:szCs w:val="24"/>
        </w:rPr>
        <w:t xml:space="preserve"> 1,78 timer (N = 8).</w:t>
      </w:r>
    </w:p>
    <w:p w14:paraId="1181C3A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3A3C990B" w14:textId="77777777" w:rsidR="007F7E0B" w:rsidRPr="005955A7" w:rsidRDefault="007F7E0B" w:rsidP="007F7E0B">
      <w:pPr>
        <w:tabs>
          <w:tab w:val="left" w:pos="1843"/>
        </w:tabs>
        <w:spacing w:line="260" w:lineRule="exact"/>
        <w:ind w:left="851"/>
        <w:rPr>
          <w:rFonts w:eastAsia="Arial Unicode MS"/>
          <w:iCs/>
          <w:snapToGrid w:val="0"/>
          <w:sz w:val="24"/>
          <w:szCs w:val="24"/>
          <w:u w:val="single"/>
          <w:lang w:eastAsia="en-GB"/>
        </w:rPr>
      </w:pPr>
      <w:r w:rsidRPr="005955A7">
        <w:rPr>
          <w:rFonts w:eastAsia="Arial Unicode MS"/>
          <w:iCs/>
          <w:snapToGrid w:val="0"/>
          <w:sz w:val="24"/>
          <w:szCs w:val="24"/>
          <w:u w:val="single"/>
          <w:lang w:eastAsia="en-GB"/>
        </w:rPr>
        <w:t>Linearitet/non-linearitet</w:t>
      </w:r>
    </w:p>
    <w:p w14:paraId="41C802A1" w14:textId="77777777" w:rsidR="007F7E0B" w:rsidRPr="005955A7" w:rsidRDefault="007F7E0B" w:rsidP="007F7E0B">
      <w:pPr>
        <w:tabs>
          <w:tab w:val="left" w:pos="1843"/>
        </w:tabs>
        <w:spacing w:line="260" w:lineRule="exact"/>
        <w:ind w:left="851"/>
        <w:rPr>
          <w:rFonts w:eastAsia="Arial Unicode MS"/>
          <w:iCs/>
          <w:snapToGrid w:val="0"/>
          <w:sz w:val="24"/>
          <w:szCs w:val="24"/>
          <w:lang w:eastAsia="en-GB"/>
        </w:rPr>
      </w:pPr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Intravenøs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ganciclovir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udviser lineær farmakokinetik i dosisintervallet 1,6-5,0 mg/kg.</w:t>
      </w:r>
    </w:p>
    <w:p w14:paraId="3119A6D7" w14:textId="77777777" w:rsidR="007F7E0B" w:rsidRPr="005955A7" w:rsidRDefault="007F7E0B" w:rsidP="007F7E0B">
      <w:pPr>
        <w:tabs>
          <w:tab w:val="left" w:pos="1843"/>
        </w:tabs>
        <w:spacing w:line="260" w:lineRule="exact"/>
        <w:ind w:left="1702"/>
        <w:rPr>
          <w:rFonts w:eastAsia="Arial Unicode MS"/>
          <w:iCs/>
          <w:snapToGrid w:val="0"/>
          <w:sz w:val="24"/>
          <w:szCs w:val="24"/>
          <w:u w:val="single"/>
          <w:lang w:eastAsia="en-GB"/>
        </w:rPr>
      </w:pPr>
    </w:p>
    <w:p w14:paraId="40226377" w14:textId="77777777" w:rsidR="007F7E0B" w:rsidRPr="005955A7" w:rsidRDefault="007F7E0B" w:rsidP="007F7E0B">
      <w:pPr>
        <w:tabs>
          <w:tab w:val="left" w:pos="1843"/>
        </w:tabs>
        <w:spacing w:line="260" w:lineRule="exact"/>
        <w:ind w:left="851"/>
        <w:rPr>
          <w:rFonts w:eastAsia="Arial Unicode MS"/>
          <w:iCs/>
          <w:snapToGrid w:val="0"/>
          <w:sz w:val="24"/>
          <w:szCs w:val="24"/>
          <w:u w:val="single"/>
          <w:lang w:eastAsia="en-GB"/>
        </w:rPr>
      </w:pPr>
      <w:r w:rsidRPr="005955A7">
        <w:rPr>
          <w:rFonts w:eastAsia="Arial Unicode MS"/>
          <w:iCs/>
          <w:snapToGrid w:val="0"/>
          <w:sz w:val="24"/>
          <w:szCs w:val="24"/>
          <w:u w:val="single"/>
          <w:lang w:eastAsia="en-GB"/>
        </w:rPr>
        <w:t>Patienter med nedsat nyrefunktion</w:t>
      </w:r>
    </w:p>
    <w:p w14:paraId="024EB283" w14:textId="2C6E84BF" w:rsidR="007F7E0B" w:rsidRPr="005955A7" w:rsidRDefault="007F7E0B" w:rsidP="007F7E0B">
      <w:pPr>
        <w:tabs>
          <w:tab w:val="left" w:pos="1843"/>
        </w:tabs>
        <w:spacing w:line="260" w:lineRule="exact"/>
        <w:ind w:left="851"/>
        <w:rPr>
          <w:rFonts w:eastAsia="Arial Unicode MS"/>
          <w:iCs/>
          <w:snapToGrid w:val="0"/>
          <w:sz w:val="24"/>
          <w:szCs w:val="24"/>
          <w:lang w:eastAsia="en-GB"/>
        </w:rPr>
      </w:pPr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Den totale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clearance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af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ganciclovir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er lineært korreleret med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kreatininclearance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. Hos patienter med let, middelsvær og svært nedsat nyrefunktion er der set gennemsnitlig systemisk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clearance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på henholdsvis 2,1; 1 og 0,3 ml/min/kg. Patienter med nedsat nyrefunktion har forlænget eliminationshalveringstid. </w:t>
      </w:r>
      <w:r w:rsidRPr="005955A7">
        <w:rPr>
          <w:rFonts w:eastAsia="Arial Unicode MS"/>
          <w:iCs/>
          <w:sz w:val="24"/>
          <w:szCs w:val="24"/>
        </w:rPr>
        <w:t>Blandt patienter med svær nedsat nyrefunktion kan eliminationshalveringstiden være øget op til 10 gange</w:t>
      </w:r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(se pkt. 4.2 for dosisjustering til patienter med nedsat nyrefunktion).</w:t>
      </w:r>
    </w:p>
    <w:p w14:paraId="2022FCBF" w14:textId="26E7522E" w:rsidR="00803F0A" w:rsidRDefault="00803F0A">
      <w:pPr>
        <w:rPr>
          <w:rFonts w:eastAsia="Arial Unicode MS"/>
          <w:iCs/>
          <w:snapToGrid w:val="0"/>
          <w:sz w:val="24"/>
          <w:szCs w:val="24"/>
          <w:lang w:eastAsia="en-GB"/>
        </w:rPr>
      </w:pPr>
      <w:r>
        <w:rPr>
          <w:rFonts w:eastAsia="Arial Unicode MS"/>
          <w:iCs/>
          <w:snapToGrid w:val="0"/>
          <w:sz w:val="24"/>
          <w:szCs w:val="24"/>
          <w:lang w:eastAsia="en-GB"/>
        </w:rPr>
        <w:br w:type="page"/>
      </w:r>
    </w:p>
    <w:p w14:paraId="13486A6F" w14:textId="77777777" w:rsidR="007F7E0B" w:rsidRPr="005955A7" w:rsidRDefault="007F7E0B" w:rsidP="007F7E0B">
      <w:pPr>
        <w:tabs>
          <w:tab w:val="left" w:pos="1843"/>
        </w:tabs>
        <w:spacing w:line="260" w:lineRule="exact"/>
        <w:ind w:left="851"/>
        <w:rPr>
          <w:rFonts w:eastAsia="Arial Unicode MS"/>
          <w:iCs/>
          <w:snapToGrid w:val="0"/>
          <w:sz w:val="24"/>
          <w:szCs w:val="24"/>
          <w:lang w:eastAsia="en-GB"/>
        </w:rPr>
      </w:pPr>
    </w:p>
    <w:p w14:paraId="7946E4DB" w14:textId="77777777" w:rsidR="007F7E0B" w:rsidRPr="00A26195" w:rsidRDefault="007F7E0B" w:rsidP="00A26195">
      <w:pPr>
        <w:ind w:left="851"/>
        <w:rPr>
          <w:rFonts w:eastAsia="Arial Unicode MS"/>
          <w:snapToGrid w:val="0"/>
          <w:sz w:val="24"/>
          <w:szCs w:val="24"/>
          <w:u w:val="single"/>
          <w:lang w:eastAsia="en-GB"/>
        </w:rPr>
      </w:pPr>
      <w:r w:rsidRPr="00A26195">
        <w:rPr>
          <w:rFonts w:eastAsia="Arial Unicode MS"/>
          <w:snapToGrid w:val="0"/>
          <w:sz w:val="24"/>
          <w:szCs w:val="24"/>
          <w:u w:val="single"/>
          <w:lang w:eastAsia="en-GB"/>
        </w:rPr>
        <w:t>Patienter med nedsat nyrefunktion i hæmodialyse</w:t>
      </w:r>
    </w:p>
    <w:p w14:paraId="2FC6A29D" w14:textId="70C42FBB" w:rsidR="007F7E0B" w:rsidRPr="005955A7" w:rsidRDefault="007F7E0B" w:rsidP="007F7E0B">
      <w:pPr>
        <w:tabs>
          <w:tab w:val="left" w:pos="1843"/>
        </w:tabs>
        <w:spacing w:line="260" w:lineRule="exact"/>
        <w:ind w:left="851"/>
        <w:rPr>
          <w:rFonts w:eastAsia="Arial Unicode MS"/>
          <w:iCs/>
          <w:snapToGrid w:val="0"/>
          <w:sz w:val="24"/>
          <w:szCs w:val="24"/>
          <w:lang w:eastAsia="en-GB"/>
        </w:rPr>
      </w:pPr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I løbet af en 4-timers hæmodialyse-session reduceres plasmakoncentrationen af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ganciclovir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efter intravenøs administration med ca. 50</w:t>
      </w:r>
      <w:r w:rsidR="00803F0A">
        <w:rPr>
          <w:rFonts w:eastAsia="Arial Unicode MS"/>
          <w:iCs/>
          <w:snapToGrid w:val="0"/>
          <w:sz w:val="24"/>
          <w:szCs w:val="24"/>
          <w:lang w:eastAsia="en-GB"/>
        </w:rPr>
        <w:t xml:space="preserve"> %</w:t>
      </w:r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. </w:t>
      </w:r>
    </w:p>
    <w:p w14:paraId="72594104" w14:textId="46379F21" w:rsidR="007F7E0B" w:rsidRPr="005955A7" w:rsidRDefault="007F7E0B" w:rsidP="007F7E0B">
      <w:pPr>
        <w:tabs>
          <w:tab w:val="left" w:pos="1843"/>
        </w:tabs>
        <w:spacing w:line="260" w:lineRule="exact"/>
        <w:ind w:left="851"/>
        <w:rPr>
          <w:rFonts w:eastAsia="Arial Unicode MS"/>
          <w:iCs/>
          <w:snapToGrid w:val="0"/>
          <w:sz w:val="24"/>
          <w:szCs w:val="24"/>
          <w:lang w:eastAsia="en-GB"/>
        </w:rPr>
      </w:pPr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Ved intermitterende hæmodialyse spændte estimater for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ganciclovir-clearance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fra 42 til 92 ml/min, hvilket giver en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intradialytisk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halveringstid på 3,3-4,5 timer. Den andel af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ganciclovir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, der fjernes ved en enkelt dialyse-session, varierer fra 50</w:t>
      </w:r>
      <w:r w:rsidR="00803F0A">
        <w:rPr>
          <w:rFonts w:eastAsia="Arial Unicode MS"/>
          <w:iCs/>
          <w:snapToGrid w:val="0"/>
          <w:sz w:val="24"/>
          <w:szCs w:val="24"/>
          <w:lang w:eastAsia="en-GB"/>
        </w:rPr>
        <w:t xml:space="preserve"> %</w:t>
      </w:r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til 63</w:t>
      </w:r>
      <w:r w:rsidR="00803F0A">
        <w:rPr>
          <w:rFonts w:eastAsia="Arial Unicode MS"/>
          <w:iCs/>
          <w:snapToGrid w:val="0"/>
          <w:sz w:val="24"/>
          <w:szCs w:val="24"/>
          <w:lang w:eastAsia="en-GB"/>
        </w:rPr>
        <w:t xml:space="preserve"> %</w:t>
      </w:r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. Estimater for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ganciclovir-clearance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ved kontinuerlig dialyse er lavere (4,0-29,6 ml/min), men medfører, at mere </w:t>
      </w:r>
      <w:proofErr w:type="spellStart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>ganciclovir</w:t>
      </w:r>
      <w:proofErr w:type="spellEnd"/>
      <w:r w:rsidRPr="005955A7">
        <w:rPr>
          <w:rFonts w:eastAsia="Arial Unicode MS"/>
          <w:iCs/>
          <w:snapToGrid w:val="0"/>
          <w:sz w:val="24"/>
          <w:szCs w:val="24"/>
          <w:lang w:eastAsia="en-GB"/>
        </w:rPr>
        <w:t xml:space="preserve"> fjernes over et dosisinterval.  </w:t>
      </w:r>
    </w:p>
    <w:p w14:paraId="65202A7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14:paraId="1E0911C9" w14:textId="77777777" w:rsidR="007F7E0B" w:rsidRPr="005955A7" w:rsidRDefault="007F7E0B" w:rsidP="007F7E0B">
      <w:pPr>
        <w:tabs>
          <w:tab w:val="left" w:pos="1843"/>
        </w:tabs>
        <w:ind w:left="851"/>
        <w:rPr>
          <w:rFonts w:eastAsia="Arial Unicode MS"/>
          <w:iCs/>
          <w:sz w:val="24"/>
          <w:szCs w:val="24"/>
          <w:u w:val="single"/>
        </w:rPr>
      </w:pPr>
      <w:r w:rsidRPr="005955A7">
        <w:rPr>
          <w:rFonts w:eastAsia="Arial Unicode MS"/>
          <w:iCs/>
          <w:sz w:val="24"/>
          <w:szCs w:val="24"/>
          <w:u w:val="single"/>
        </w:rPr>
        <w:t>Patienter med nedsat leverfunktion</w:t>
      </w:r>
    </w:p>
    <w:p w14:paraId="5CFC129A" w14:textId="77777777" w:rsidR="007F7E0B" w:rsidRPr="005955A7" w:rsidRDefault="007F7E0B" w:rsidP="007F7E0B">
      <w:pPr>
        <w:tabs>
          <w:tab w:val="left" w:pos="1843"/>
        </w:tabs>
        <w:ind w:left="851"/>
        <w:rPr>
          <w:rFonts w:eastAsia="Arial Unicode MS"/>
          <w:iCs/>
          <w:sz w:val="24"/>
          <w:szCs w:val="24"/>
        </w:rPr>
      </w:pPr>
      <w:r w:rsidRPr="005955A7">
        <w:rPr>
          <w:rFonts w:eastAsia="Arial Unicode MS"/>
          <w:iCs/>
          <w:sz w:val="24"/>
          <w:szCs w:val="24"/>
        </w:rPr>
        <w:t xml:space="preserve">Sikkerheden og effekten af </w:t>
      </w:r>
      <w:proofErr w:type="spellStart"/>
      <w:r w:rsidRPr="005955A7">
        <w:rPr>
          <w:rFonts w:eastAsia="Arial Unicode MS"/>
          <w:iCs/>
          <w:sz w:val="24"/>
          <w:szCs w:val="24"/>
        </w:rPr>
        <w:t>ganciclovir</w:t>
      </w:r>
      <w:proofErr w:type="spellEnd"/>
      <w:r w:rsidRPr="005955A7">
        <w:rPr>
          <w:rFonts w:eastAsia="Arial Unicode MS"/>
          <w:iCs/>
          <w:sz w:val="24"/>
          <w:szCs w:val="24"/>
        </w:rPr>
        <w:t xml:space="preserve"> er ikke blevet undersøgt blandt patienter med nedsat leverfunktion. Farmakokinetikken af </w:t>
      </w:r>
      <w:proofErr w:type="spellStart"/>
      <w:r w:rsidRPr="005955A7">
        <w:rPr>
          <w:rFonts w:eastAsia="Arial Unicode MS"/>
          <w:iCs/>
          <w:sz w:val="24"/>
          <w:szCs w:val="24"/>
        </w:rPr>
        <w:t>ganciclovir</w:t>
      </w:r>
      <w:proofErr w:type="spellEnd"/>
      <w:r w:rsidRPr="005955A7">
        <w:rPr>
          <w:rFonts w:eastAsia="Arial Unicode MS"/>
          <w:iCs/>
          <w:sz w:val="24"/>
          <w:szCs w:val="24"/>
        </w:rPr>
        <w:t xml:space="preserve"> burde ikke påvirkes af nedsat leverfunktion, da </w:t>
      </w:r>
      <w:proofErr w:type="spellStart"/>
      <w:r w:rsidRPr="005955A7">
        <w:rPr>
          <w:rFonts w:eastAsia="Arial Unicode MS"/>
          <w:iCs/>
          <w:sz w:val="24"/>
          <w:szCs w:val="24"/>
        </w:rPr>
        <w:t>ganciclovir</w:t>
      </w:r>
      <w:proofErr w:type="spellEnd"/>
      <w:r w:rsidRPr="005955A7">
        <w:rPr>
          <w:rFonts w:eastAsia="Arial Unicode MS"/>
          <w:iCs/>
          <w:sz w:val="24"/>
          <w:szCs w:val="24"/>
        </w:rPr>
        <w:t xml:space="preserve"> bliver udskilt gennem nyrerne. Derfor er der ikke lavet specifikke dosis anbefalinger (se pkt. 4.2).</w:t>
      </w:r>
    </w:p>
    <w:p w14:paraId="4D627BD4" w14:textId="77777777" w:rsidR="007F7E0B" w:rsidRPr="005955A7" w:rsidRDefault="007F7E0B" w:rsidP="007F7E0B">
      <w:pPr>
        <w:tabs>
          <w:tab w:val="left" w:pos="0"/>
          <w:tab w:val="left" w:pos="851"/>
          <w:tab w:val="left" w:pos="1713"/>
          <w:tab w:val="left" w:pos="4569"/>
        </w:tabs>
        <w:suppressAutoHyphens/>
        <w:ind w:left="851"/>
        <w:rPr>
          <w:spacing w:val="-3"/>
          <w:sz w:val="24"/>
          <w:szCs w:val="24"/>
        </w:rPr>
      </w:pPr>
    </w:p>
    <w:p w14:paraId="563564B5" w14:textId="77777777" w:rsidR="007F7E0B" w:rsidRPr="005955A7" w:rsidRDefault="007F7E0B" w:rsidP="007F7E0B">
      <w:pPr>
        <w:tabs>
          <w:tab w:val="left" w:pos="1843"/>
        </w:tabs>
        <w:spacing w:line="260" w:lineRule="exact"/>
        <w:ind w:left="851"/>
        <w:rPr>
          <w:rFonts w:eastAsia="Arial Unicode MS"/>
          <w:iCs/>
          <w:snapToGrid w:val="0"/>
          <w:sz w:val="24"/>
          <w:szCs w:val="24"/>
          <w:u w:val="single"/>
          <w:lang w:eastAsia="en-GB"/>
        </w:rPr>
      </w:pPr>
      <w:r w:rsidRPr="005955A7">
        <w:rPr>
          <w:rFonts w:eastAsia="Arial Unicode MS"/>
          <w:iCs/>
          <w:snapToGrid w:val="0"/>
          <w:sz w:val="24"/>
          <w:szCs w:val="24"/>
          <w:u w:val="single"/>
          <w:lang w:eastAsia="en-GB"/>
        </w:rPr>
        <w:t>Pædiatrisk population</w:t>
      </w:r>
    </w:p>
    <w:p w14:paraId="596554C9" w14:textId="77777777" w:rsidR="007F7E0B" w:rsidRPr="005955A7" w:rsidRDefault="007F7E0B" w:rsidP="007F7E0B">
      <w:pPr>
        <w:tabs>
          <w:tab w:val="left" w:pos="1843"/>
        </w:tabs>
        <w:ind w:left="851"/>
        <w:rPr>
          <w:sz w:val="24"/>
          <w:szCs w:val="24"/>
          <w:lang w:eastAsia="ja-JP"/>
        </w:rPr>
      </w:pPr>
      <w:r w:rsidRPr="005955A7">
        <w:rPr>
          <w:sz w:val="24"/>
          <w:szCs w:val="24"/>
          <w:lang w:eastAsia="ja-JP"/>
        </w:rPr>
        <w:t xml:space="preserve">Farmakokinetikken af intravenøs </w:t>
      </w:r>
      <w:proofErr w:type="spellStart"/>
      <w:r w:rsidRPr="005955A7">
        <w:rPr>
          <w:sz w:val="24"/>
          <w:szCs w:val="24"/>
          <w:lang w:eastAsia="ja-JP"/>
        </w:rPr>
        <w:t>ganciclovir</w:t>
      </w:r>
      <w:proofErr w:type="spellEnd"/>
      <w:r w:rsidRPr="005955A7">
        <w:rPr>
          <w:sz w:val="24"/>
          <w:szCs w:val="24"/>
          <w:lang w:eastAsia="ja-JP"/>
        </w:rPr>
        <w:t xml:space="preserve"> (administreret som 200 mg/m</w:t>
      </w:r>
      <w:r w:rsidRPr="005955A7">
        <w:rPr>
          <w:sz w:val="24"/>
          <w:szCs w:val="24"/>
          <w:vertAlign w:val="superscript"/>
          <w:lang w:eastAsia="ja-JP"/>
        </w:rPr>
        <w:t>2</w:t>
      </w:r>
      <w:r w:rsidRPr="005955A7">
        <w:rPr>
          <w:sz w:val="24"/>
          <w:szCs w:val="24"/>
          <w:lang w:eastAsia="ja-JP"/>
        </w:rPr>
        <w:t xml:space="preserve"> dosis) blev undersøgt på tværs af to pædiatriske studier med levertransplanterede patienter (n=18) og nyretransplanterede patienter (n=25) i alderen 3 måneder til 16 år. Farmakokinetikken blev evalueret med en </w:t>
      </w:r>
      <w:proofErr w:type="spellStart"/>
      <w:r w:rsidRPr="005955A7">
        <w:rPr>
          <w:sz w:val="24"/>
          <w:szCs w:val="24"/>
          <w:lang w:eastAsia="ja-JP"/>
        </w:rPr>
        <w:t>populationsfarmakokinetisk</w:t>
      </w:r>
      <w:proofErr w:type="spellEnd"/>
      <w:r w:rsidRPr="005955A7">
        <w:rPr>
          <w:sz w:val="24"/>
          <w:szCs w:val="24"/>
          <w:lang w:eastAsia="ja-JP"/>
        </w:rPr>
        <w:t xml:space="preserve"> model. </w:t>
      </w:r>
      <w:proofErr w:type="spellStart"/>
      <w:r w:rsidRPr="005955A7">
        <w:rPr>
          <w:sz w:val="24"/>
          <w:szCs w:val="24"/>
          <w:lang w:eastAsia="ja-JP"/>
        </w:rPr>
        <w:t>Kreatininclearance</w:t>
      </w:r>
      <w:proofErr w:type="spellEnd"/>
      <w:r w:rsidRPr="005955A7">
        <w:rPr>
          <w:sz w:val="24"/>
          <w:szCs w:val="24"/>
          <w:lang w:eastAsia="ja-JP"/>
        </w:rPr>
        <w:t xml:space="preserve"> (</w:t>
      </w:r>
      <w:proofErr w:type="spellStart"/>
      <w:r w:rsidRPr="005955A7">
        <w:rPr>
          <w:sz w:val="24"/>
          <w:szCs w:val="24"/>
          <w:lang w:eastAsia="ja-JP"/>
        </w:rPr>
        <w:t>CrCL</w:t>
      </w:r>
      <w:proofErr w:type="spellEnd"/>
      <w:r w:rsidRPr="005955A7">
        <w:rPr>
          <w:sz w:val="24"/>
          <w:szCs w:val="24"/>
          <w:lang w:eastAsia="ja-JP"/>
        </w:rPr>
        <w:t xml:space="preserve">) var identificeret som en statistisk signifikant </w:t>
      </w:r>
      <w:proofErr w:type="spellStart"/>
      <w:r w:rsidRPr="005955A7">
        <w:rPr>
          <w:sz w:val="24"/>
          <w:szCs w:val="24"/>
          <w:lang w:eastAsia="ja-JP"/>
        </w:rPr>
        <w:t>kovariat</w:t>
      </w:r>
      <w:proofErr w:type="spellEnd"/>
      <w:r w:rsidRPr="005955A7">
        <w:rPr>
          <w:sz w:val="24"/>
          <w:szCs w:val="24"/>
          <w:lang w:eastAsia="ja-JP"/>
        </w:rPr>
        <w:t xml:space="preserve"> for </w:t>
      </w:r>
      <w:proofErr w:type="spellStart"/>
      <w:r w:rsidRPr="005955A7">
        <w:rPr>
          <w:sz w:val="24"/>
          <w:szCs w:val="24"/>
          <w:lang w:eastAsia="ja-JP"/>
        </w:rPr>
        <w:t>ganciclovir</w:t>
      </w:r>
      <w:proofErr w:type="spellEnd"/>
      <w:r w:rsidRPr="005955A7">
        <w:rPr>
          <w:sz w:val="24"/>
          <w:szCs w:val="24"/>
          <w:lang w:eastAsia="ja-JP"/>
        </w:rPr>
        <w:t xml:space="preserve"> </w:t>
      </w:r>
      <w:proofErr w:type="spellStart"/>
      <w:r w:rsidRPr="005955A7">
        <w:rPr>
          <w:sz w:val="24"/>
          <w:szCs w:val="24"/>
          <w:lang w:eastAsia="ja-JP"/>
        </w:rPr>
        <w:t>clearance</w:t>
      </w:r>
      <w:proofErr w:type="spellEnd"/>
      <w:r w:rsidRPr="005955A7">
        <w:rPr>
          <w:sz w:val="24"/>
          <w:szCs w:val="24"/>
          <w:lang w:eastAsia="ja-JP"/>
        </w:rPr>
        <w:t xml:space="preserve">, og patientens højde var en statistisk signifikant </w:t>
      </w:r>
      <w:proofErr w:type="spellStart"/>
      <w:r w:rsidRPr="005955A7">
        <w:rPr>
          <w:sz w:val="24"/>
          <w:szCs w:val="24"/>
          <w:lang w:eastAsia="ja-JP"/>
        </w:rPr>
        <w:t>kovariat</w:t>
      </w:r>
      <w:proofErr w:type="spellEnd"/>
      <w:r w:rsidRPr="005955A7">
        <w:rPr>
          <w:sz w:val="24"/>
          <w:szCs w:val="24"/>
          <w:lang w:eastAsia="ja-JP"/>
        </w:rPr>
        <w:t xml:space="preserve"> for </w:t>
      </w:r>
      <w:proofErr w:type="spellStart"/>
      <w:r w:rsidRPr="005955A7">
        <w:rPr>
          <w:sz w:val="24"/>
          <w:szCs w:val="24"/>
          <w:lang w:eastAsia="ja-JP"/>
        </w:rPr>
        <w:t>ganciclovir</w:t>
      </w:r>
      <w:proofErr w:type="spellEnd"/>
      <w:r w:rsidRPr="005955A7">
        <w:rPr>
          <w:sz w:val="24"/>
          <w:szCs w:val="24"/>
          <w:lang w:eastAsia="ja-JP"/>
        </w:rPr>
        <w:t xml:space="preserve"> </w:t>
      </w:r>
      <w:proofErr w:type="spellStart"/>
      <w:r w:rsidRPr="005955A7">
        <w:rPr>
          <w:sz w:val="24"/>
          <w:szCs w:val="24"/>
          <w:lang w:eastAsia="ja-JP"/>
        </w:rPr>
        <w:t>clearance</w:t>
      </w:r>
      <w:proofErr w:type="spellEnd"/>
      <w:r w:rsidRPr="005955A7">
        <w:rPr>
          <w:sz w:val="24"/>
          <w:szCs w:val="24"/>
          <w:lang w:eastAsia="ja-JP"/>
        </w:rPr>
        <w:t xml:space="preserve">, </w:t>
      </w:r>
      <w:proofErr w:type="spellStart"/>
      <w:r w:rsidRPr="005955A7">
        <w:rPr>
          <w:i/>
          <w:sz w:val="24"/>
          <w:szCs w:val="24"/>
          <w:lang w:eastAsia="ja-JP"/>
        </w:rPr>
        <w:t>steady</w:t>
      </w:r>
      <w:proofErr w:type="spellEnd"/>
      <w:r w:rsidRPr="005955A7">
        <w:rPr>
          <w:i/>
          <w:sz w:val="24"/>
          <w:szCs w:val="24"/>
          <w:lang w:eastAsia="ja-JP"/>
        </w:rPr>
        <w:t xml:space="preserve"> </w:t>
      </w:r>
      <w:proofErr w:type="spellStart"/>
      <w:r w:rsidRPr="005955A7">
        <w:rPr>
          <w:i/>
          <w:sz w:val="24"/>
          <w:szCs w:val="24"/>
          <w:lang w:eastAsia="ja-JP"/>
        </w:rPr>
        <w:t>state</w:t>
      </w:r>
      <w:proofErr w:type="spellEnd"/>
      <w:r w:rsidRPr="005955A7">
        <w:rPr>
          <w:sz w:val="24"/>
          <w:szCs w:val="24"/>
          <w:lang w:eastAsia="ja-JP"/>
        </w:rPr>
        <w:t xml:space="preserve"> volumen og perifert distributionsvolumen. Når </w:t>
      </w:r>
      <w:proofErr w:type="spellStart"/>
      <w:r w:rsidRPr="005955A7">
        <w:rPr>
          <w:sz w:val="24"/>
          <w:szCs w:val="24"/>
          <w:lang w:eastAsia="ja-JP"/>
        </w:rPr>
        <w:t>CrCL</w:t>
      </w:r>
      <w:proofErr w:type="spellEnd"/>
      <w:r w:rsidRPr="005955A7">
        <w:rPr>
          <w:sz w:val="24"/>
          <w:szCs w:val="24"/>
          <w:lang w:eastAsia="ja-JP"/>
        </w:rPr>
        <w:t xml:space="preserve"> og højde blev inkluderet i modellen, forklarede dette de tilsyneladende forskelle i </w:t>
      </w:r>
      <w:proofErr w:type="spellStart"/>
      <w:r w:rsidRPr="005955A7">
        <w:rPr>
          <w:sz w:val="24"/>
          <w:szCs w:val="24"/>
          <w:lang w:eastAsia="ja-JP"/>
        </w:rPr>
        <w:t>ganciclovirs</w:t>
      </w:r>
      <w:proofErr w:type="spellEnd"/>
      <w:r w:rsidRPr="005955A7">
        <w:rPr>
          <w:sz w:val="24"/>
          <w:szCs w:val="24"/>
          <w:lang w:eastAsia="ja-JP"/>
        </w:rPr>
        <w:t xml:space="preserve"> farmakokinetik på tværs af forskellige aldersgrupper. Hverken alder, køn eller typen af organtransplantation var signifikante </w:t>
      </w:r>
      <w:proofErr w:type="spellStart"/>
      <w:r w:rsidRPr="005955A7">
        <w:rPr>
          <w:sz w:val="24"/>
          <w:szCs w:val="24"/>
          <w:lang w:eastAsia="ja-JP"/>
        </w:rPr>
        <w:t>kovariater</w:t>
      </w:r>
      <w:proofErr w:type="spellEnd"/>
      <w:r w:rsidRPr="005955A7">
        <w:rPr>
          <w:sz w:val="24"/>
          <w:szCs w:val="24"/>
          <w:lang w:eastAsia="ja-JP"/>
        </w:rPr>
        <w:t xml:space="preserve"> i disse populationer. Tabel 1 viser de estimerede </w:t>
      </w:r>
      <w:proofErr w:type="spellStart"/>
      <w:r w:rsidRPr="005955A7">
        <w:rPr>
          <w:sz w:val="24"/>
          <w:szCs w:val="24"/>
          <w:lang w:eastAsia="ja-JP"/>
        </w:rPr>
        <w:t>farmakokinetiske</w:t>
      </w:r>
      <w:proofErr w:type="spellEnd"/>
      <w:r w:rsidRPr="005955A7">
        <w:rPr>
          <w:sz w:val="24"/>
          <w:szCs w:val="24"/>
          <w:lang w:eastAsia="ja-JP"/>
        </w:rPr>
        <w:t xml:space="preserve"> parametre per aldersgruppe.</w:t>
      </w:r>
    </w:p>
    <w:p w14:paraId="1F72857A" w14:textId="77777777" w:rsidR="007F7E0B" w:rsidRPr="005955A7" w:rsidRDefault="007F7E0B" w:rsidP="007F7E0B">
      <w:pPr>
        <w:tabs>
          <w:tab w:val="left" w:pos="1843"/>
        </w:tabs>
        <w:ind w:left="851"/>
        <w:rPr>
          <w:sz w:val="24"/>
          <w:szCs w:val="24"/>
          <w:lang w:eastAsia="ja-JP"/>
        </w:rPr>
      </w:pPr>
    </w:p>
    <w:p w14:paraId="077766BA" w14:textId="5BA71CD7" w:rsidR="007F7E0B" w:rsidRPr="005955A7" w:rsidRDefault="007F7E0B" w:rsidP="007F7E0B">
      <w:pPr>
        <w:keepNext/>
        <w:tabs>
          <w:tab w:val="left" w:pos="1843"/>
        </w:tabs>
        <w:ind w:left="851"/>
        <w:rPr>
          <w:b/>
          <w:sz w:val="24"/>
          <w:szCs w:val="24"/>
          <w:lang w:eastAsia="ja-JP"/>
        </w:rPr>
      </w:pPr>
      <w:r w:rsidRPr="005955A7">
        <w:rPr>
          <w:b/>
          <w:sz w:val="24"/>
          <w:szCs w:val="24"/>
          <w:lang w:eastAsia="ja-JP"/>
        </w:rPr>
        <w:t xml:space="preserve">Tabel 1 </w:t>
      </w:r>
      <w:proofErr w:type="spellStart"/>
      <w:r w:rsidRPr="005955A7">
        <w:rPr>
          <w:b/>
          <w:sz w:val="24"/>
          <w:szCs w:val="24"/>
          <w:lang w:eastAsia="ja-JP"/>
        </w:rPr>
        <w:t>Farmakokinetiske</w:t>
      </w:r>
      <w:proofErr w:type="spellEnd"/>
      <w:r w:rsidRPr="005955A7">
        <w:rPr>
          <w:b/>
          <w:sz w:val="24"/>
          <w:szCs w:val="24"/>
          <w:lang w:eastAsia="ja-JP"/>
        </w:rPr>
        <w:t xml:space="preserve"> parametre efter </w:t>
      </w:r>
      <w:proofErr w:type="spellStart"/>
      <w:r w:rsidRPr="005955A7">
        <w:rPr>
          <w:b/>
          <w:sz w:val="24"/>
          <w:szCs w:val="24"/>
          <w:lang w:eastAsia="ja-JP"/>
        </w:rPr>
        <w:t>ganciclovir</w:t>
      </w:r>
      <w:proofErr w:type="spellEnd"/>
      <w:r w:rsidRPr="005955A7">
        <w:rPr>
          <w:b/>
          <w:sz w:val="24"/>
          <w:szCs w:val="24"/>
          <w:lang w:eastAsia="ja-JP"/>
        </w:rPr>
        <w:t xml:space="preserve"> </w:t>
      </w:r>
      <w:proofErr w:type="spellStart"/>
      <w:r w:rsidRPr="005955A7">
        <w:rPr>
          <w:b/>
          <w:sz w:val="24"/>
          <w:szCs w:val="24"/>
          <w:lang w:eastAsia="ja-JP"/>
        </w:rPr>
        <w:t>i.v</w:t>
      </w:r>
      <w:proofErr w:type="spellEnd"/>
      <w:r w:rsidRPr="005955A7">
        <w:rPr>
          <w:b/>
          <w:sz w:val="24"/>
          <w:szCs w:val="24"/>
          <w:lang w:eastAsia="ja-JP"/>
        </w:rPr>
        <w:t xml:space="preserve">. udregnet </w:t>
      </w:r>
      <w:proofErr w:type="spellStart"/>
      <w:r w:rsidRPr="005955A7">
        <w:rPr>
          <w:b/>
          <w:sz w:val="24"/>
          <w:szCs w:val="24"/>
          <w:lang w:eastAsia="ja-JP"/>
        </w:rPr>
        <w:t>udfra</w:t>
      </w:r>
      <w:proofErr w:type="spellEnd"/>
      <w:r w:rsidRPr="005955A7">
        <w:rPr>
          <w:b/>
          <w:sz w:val="24"/>
          <w:szCs w:val="24"/>
          <w:lang w:eastAsia="ja-JP"/>
        </w:rPr>
        <w:t xml:space="preserve"> BSA (200</w:t>
      </w:r>
      <w:r w:rsidR="00803F0A">
        <w:rPr>
          <w:b/>
          <w:sz w:val="24"/>
          <w:szCs w:val="24"/>
          <w:lang w:eastAsia="ja-JP"/>
        </w:rPr>
        <w:t> </w:t>
      </w:r>
      <w:r w:rsidRPr="005955A7">
        <w:rPr>
          <w:b/>
          <w:sz w:val="24"/>
          <w:szCs w:val="24"/>
          <w:lang w:eastAsia="ja-JP"/>
        </w:rPr>
        <w:t>mg/m</w:t>
      </w:r>
      <w:r w:rsidRPr="005955A7">
        <w:rPr>
          <w:b/>
          <w:sz w:val="24"/>
          <w:szCs w:val="24"/>
          <w:vertAlign w:val="superscript"/>
          <w:lang w:eastAsia="ja-JP"/>
        </w:rPr>
        <w:t>2</w:t>
      </w:r>
      <w:r w:rsidRPr="005955A7">
        <w:rPr>
          <w:b/>
          <w:sz w:val="24"/>
          <w:szCs w:val="24"/>
          <w:lang w:eastAsia="ja-JP"/>
        </w:rPr>
        <w:t>) hos nyre- og levertransplanterede patienter som medianer (minimal-maximale).</w:t>
      </w:r>
    </w:p>
    <w:p w14:paraId="0AAC930A" w14:textId="77777777" w:rsidR="007F7E0B" w:rsidRPr="005955A7" w:rsidRDefault="007F7E0B" w:rsidP="007F7E0B">
      <w:pPr>
        <w:ind w:left="851"/>
        <w:rPr>
          <w:b/>
          <w:bCs/>
          <w:sz w:val="24"/>
          <w:szCs w:val="24"/>
          <w:lang w:eastAsia="da-DK"/>
        </w:rPr>
      </w:pPr>
    </w:p>
    <w:tbl>
      <w:tblPr>
        <w:tblW w:w="8640" w:type="dxa"/>
        <w:tblInd w:w="9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5"/>
        <w:gridCol w:w="2338"/>
        <w:gridCol w:w="2338"/>
        <w:gridCol w:w="1839"/>
      </w:tblGrid>
      <w:tr w:rsidR="007F7E0B" w:rsidRPr="005955A7" w14:paraId="24E70913" w14:textId="77777777" w:rsidTr="007F7E0B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919338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rPr>
                <w:sz w:val="24"/>
                <w:szCs w:val="24"/>
                <w:lang w:val="x-none" w:eastAsia="ja-JP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C981BF" w14:textId="77777777" w:rsidR="007F7E0B" w:rsidRPr="005955A7" w:rsidRDefault="007F7E0B">
            <w:pPr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 xml:space="preserve">&lt; 6 </w:t>
            </w:r>
            <w:r w:rsidRPr="005955A7">
              <w:rPr>
                <w:sz w:val="24"/>
                <w:szCs w:val="24"/>
                <w:lang w:eastAsia="ja-JP"/>
              </w:rPr>
              <w:t>år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832AEB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 xml:space="preserve">6 </w:t>
            </w:r>
            <w:r w:rsidRPr="005955A7">
              <w:rPr>
                <w:sz w:val="24"/>
                <w:szCs w:val="24"/>
                <w:lang w:eastAsia="ja-JP"/>
              </w:rPr>
              <w:t>til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 &lt; 12 </w:t>
            </w:r>
            <w:r w:rsidRPr="005955A7">
              <w:rPr>
                <w:sz w:val="24"/>
                <w:szCs w:val="24"/>
                <w:lang w:eastAsia="ja-JP"/>
              </w:rPr>
              <w:t>år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24B7F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≥12 t</w:t>
            </w:r>
            <w:r w:rsidRPr="005955A7">
              <w:rPr>
                <w:sz w:val="24"/>
                <w:szCs w:val="24"/>
                <w:lang w:eastAsia="ja-JP"/>
              </w:rPr>
              <w:t>il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 </w:t>
            </w:r>
            <w:r w:rsidRPr="005955A7">
              <w:rPr>
                <w:sz w:val="24"/>
                <w:szCs w:val="24"/>
                <w:u w:val="single"/>
                <w:lang w:val="x-none" w:eastAsia="ja-JP"/>
              </w:rPr>
              <w:t>&lt;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16 </w:t>
            </w:r>
            <w:r w:rsidRPr="005955A7">
              <w:rPr>
                <w:sz w:val="24"/>
                <w:szCs w:val="24"/>
                <w:lang w:eastAsia="ja-JP"/>
              </w:rPr>
              <w:t>år</w:t>
            </w:r>
          </w:p>
        </w:tc>
      </w:tr>
      <w:tr w:rsidR="007F7E0B" w:rsidRPr="005955A7" w14:paraId="700BB54B" w14:textId="77777777" w:rsidTr="007F7E0B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53F1BF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rPr>
                <w:sz w:val="24"/>
                <w:szCs w:val="24"/>
                <w:lang w:val="x-none" w:eastAsia="ja-JP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6E100C" w14:textId="77777777" w:rsidR="007F7E0B" w:rsidRPr="005955A7" w:rsidRDefault="007F7E0B">
            <w:pPr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n=17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6A3FCC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n=9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91E7218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n=17</w:t>
            </w:r>
          </w:p>
        </w:tc>
      </w:tr>
      <w:tr w:rsidR="007F7E0B" w:rsidRPr="005955A7" w14:paraId="5BC9D6D2" w14:textId="77777777" w:rsidTr="007F7E0B">
        <w:trPr>
          <w:cantSplit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36EF64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C</w:t>
            </w:r>
            <w:r w:rsidRPr="005955A7">
              <w:rPr>
                <w:sz w:val="24"/>
                <w:szCs w:val="24"/>
                <w:lang w:eastAsia="ja-JP"/>
              </w:rPr>
              <w:t>l</w:t>
            </w:r>
            <w:r w:rsidRPr="005955A7">
              <w:rPr>
                <w:sz w:val="24"/>
                <w:szCs w:val="24"/>
                <w:lang w:val="x-none" w:eastAsia="ja-JP"/>
              </w:rPr>
              <w:t>(</w:t>
            </w:r>
            <w:r w:rsidRPr="005955A7">
              <w:rPr>
                <w:sz w:val="24"/>
                <w:szCs w:val="24"/>
                <w:lang w:eastAsia="ja-JP"/>
              </w:rPr>
              <w:t>l</w:t>
            </w:r>
            <w:r w:rsidRPr="005955A7">
              <w:rPr>
                <w:sz w:val="24"/>
                <w:szCs w:val="24"/>
                <w:lang w:val="x-none" w:eastAsia="ja-JP"/>
              </w:rPr>
              <w:t>/h)</w:t>
            </w:r>
          </w:p>
        </w:tc>
        <w:tc>
          <w:tcPr>
            <w:tcW w:w="2340" w:type="dxa"/>
            <w:hideMark/>
          </w:tcPr>
          <w:p w14:paraId="328A8D98" w14:textId="77777777" w:rsidR="007F7E0B" w:rsidRPr="005955A7" w:rsidRDefault="007F7E0B">
            <w:pPr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4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23 (2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11-7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92)</w:t>
            </w:r>
          </w:p>
        </w:tc>
        <w:tc>
          <w:tcPr>
            <w:tcW w:w="2340" w:type="dxa"/>
            <w:hideMark/>
          </w:tcPr>
          <w:p w14:paraId="0866D7E3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4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03 (1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88-7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8)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4E6DE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7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53 (2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89-16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8)</w:t>
            </w:r>
          </w:p>
        </w:tc>
      </w:tr>
      <w:tr w:rsidR="007F7E0B" w:rsidRPr="005955A7" w14:paraId="35641ADE" w14:textId="77777777" w:rsidTr="007F7E0B">
        <w:trPr>
          <w:cantSplit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432003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rPr>
                <w:sz w:val="24"/>
                <w:szCs w:val="24"/>
                <w:lang w:val="x-none" w:eastAsia="ja-JP"/>
              </w:rPr>
            </w:pPr>
            <w:proofErr w:type="spellStart"/>
            <w:r w:rsidRPr="005955A7">
              <w:rPr>
                <w:sz w:val="24"/>
                <w:szCs w:val="24"/>
                <w:lang w:val="x-none" w:eastAsia="ja-JP"/>
              </w:rPr>
              <w:t>Vcent</w:t>
            </w:r>
            <w:proofErr w:type="spellEnd"/>
            <w:r w:rsidRPr="005955A7">
              <w:rPr>
                <w:sz w:val="24"/>
                <w:szCs w:val="24"/>
                <w:lang w:val="x-none" w:eastAsia="ja-JP"/>
              </w:rPr>
              <w:t xml:space="preserve"> (</w:t>
            </w:r>
            <w:r w:rsidRPr="005955A7">
              <w:rPr>
                <w:sz w:val="24"/>
                <w:szCs w:val="24"/>
                <w:lang w:eastAsia="ja-JP"/>
              </w:rPr>
              <w:t>l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2340" w:type="dxa"/>
            <w:hideMark/>
          </w:tcPr>
          <w:p w14:paraId="4F2FF83E" w14:textId="77777777" w:rsidR="007F7E0B" w:rsidRPr="005955A7" w:rsidRDefault="007F7E0B">
            <w:pPr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83 (0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45-5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05)</w:t>
            </w:r>
          </w:p>
        </w:tc>
        <w:tc>
          <w:tcPr>
            <w:tcW w:w="2340" w:type="dxa"/>
            <w:hideMark/>
          </w:tcPr>
          <w:p w14:paraId="7E53449A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6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48 (3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34-9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95)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7BBF3B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12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1 (3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6-18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4)</w:t>
            </w:r>
          </w:p>
        </w:tc>
      </w:tr>
      <w:tr w:rsidR="007F7E0B" w:rsidRPr="005955A7" w14:paraId="3AA12194" w14:textId="77777777" w:rsidTr="007F7E0B">
        <w:trPr>
          <w:cantSplit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6787B8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rPr>
                <w:sz w:val="24"/>
                <w:szCs w:val="24"/>
                <w:lang w:val="x-none" w:eastAsia="ja-JP"/>
              </w:rPr>
            </w:pPr>
            <w:proofErr w:type="spellStart"/>
            <w:r w:rsidRPr="005955A7">
              <w:rPr>
                <w:sz w:val="24"/>
                <w:szCs w:val="24"/>
                <w:lang w:val="x-none" w:eastAsia="ja-JP"/>
              </w:rPr>
              <w:t>Vperi</w:t>
            </w:r>
            <w:r w:rsidRPr="005955A7">
              <w:rPr>
                <w:sz w:val="24"/>
                <w:szCs w:val="24"/>
                <w:lang w:eastAsia="ja-JP"/>
              </w:rPr>
              <w:t>fer</w:t>
            </w:r>
            <w:proofErr w:type="spellEnd"/>
            <w:r w:rsidRPr="005955A7">
              <w:rPr>
                <w:sz w:val="24"/>
                <w:szCs w:val="24"/>
                <w:lang w:val="x-none" w:eastAsia="ja-JP"/>
              </w:rPr>
              <w:t xml:space="preserve"> (</w:t>
            </w:r>
            <w:r w:rsidRPr="005955A7">
              <w:rPr>
                <w:sz w:val="24"/>
                <w:szCs w:val="24"/>
                <w:lang w:eastAsia="ja-JP"/>
              </w:rPr>
              <w:t>l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2340" w:type="dxa"/>
            <w:hideMark/>
          </w:tcPr>
          <w:p w14:paraId="0ACE8C37" w14:textId="77777777" w:rsidR="007F7E0B" w:rsidRPr="005955A7" w:rsidRDefault="007F7E0B">
            <w:pPr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81 (2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9-11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5)</w:t>
            </w:r>
          </w:p>
        </w:tc>
        <w:tc>
          <w:tcPr>
            <w:tcW w:w="2340" w:type="dxa"/>
            <w:hideMark/>
          </w:tcPr>
          <w:p w14:paraId="30E5E2D0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16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4 (11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3-20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1)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3B0E50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27 (10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6-39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3)</w:t>
            </w:r>
          </w:p>
        </w:tc>
      </w:tr>
      <w:tr w:rsidR="007F7E0B" w:rsidRPr="005955A7" w14:paraId="55EB72FE" w14:textId="77777777" w:rsidTr="007F7E0B">
        <w:trPr>
          <w:cantSplit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91F0D3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rPr>
                <w:sz w:val="24"/>
                <w:szCs w:val="24"/>
                <w:lang w:eastAsia="ja-JP"/>
              </w:rPr>
            </w:pPr>
            <w:proofErr w:type="spellStart"/>
            <w:r w:rsidRPr="005955A7">
              <w:rPr>
                <w:sz w:val="24"/>
                <w:szCs w:val="24"/>
                <w:lang w:val="x-none" w:eastAsia="ja-JP"/>
              </w:rPr>
              <w:t>Vss</w:t>
            </w:r>
            <w:proofErr w:type="spellEnd"/>
            <w:r w:rsidRPr="005955A7">
              <w:rPr>
                <w:sz w:val="24"/>
                <w:szCs w:val="24"/>
                <w:lang w:val="x-none" w:eastAsia="ja-JP"/>
              </w:rPr>
              <w:t xml:space="preserve"> (</w:t>
            </w:r>
            <w:r w:rsidRPr="005955A7">
              <w:rPr>
                <w:sz w:val="24"/>
                <w:szCs w:val="24"/>
                <w:lang w:eastAsia="ja-JP"/>
              </w:rPr>
              <w:t>l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  <w:p w14:paraId="43D0A21F" w14:textId="77777777" w:rsidR="007F7E0B" w:rsidRPr="005955A7" w:rsidRDefault="007F7E0B">
            <w:pPr>
              <w:tabs>
                <w:tab w:val="left" w:pos="1843"/>
              </w:tabs>
              <w:spacing w:after="170" w:line="280" w:lineRule="exact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AUC</w:t>
            </w:r>
            <w:r w:rsidRPr="005955A7">
              <w:rPr>
                <w:sz w:val="24"/>
                <w:szCs w:val="24"/>
                <w:vertAlign w:val="subscript"/>
                <w:lang w:val="x-none" w:eastAsia="ja-JP"/>
              </w:rPr>
              <w:t>0-24h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 (</w:t>
            </w:r>
            <w:proofErr w:type="spellStart"/>
            <w:r w:rsidRPr="005955A7">
              <w:rPr>
                <w:sz w:val="24"/>
                <w:szCs w:val="24"/>
                <w:lang w:val="x-none" w:eastAsia="ja-JP"/>
              </w:rPr>
              <w:t>μg.h</w:t>
            </w:r>
            <w:proofErr w:type="spellEnd"/>
            <w:r w:rsidRPr="005955A7">
              <w:rPr>
                <w:sz w:val="24"/>
                <w:szCs w:val="24"/>
                <w:lang w:val="x-none" w:eastAsia="ja-JP"/>
              </w:rPr>
              <w:t>/</w:t>
            </w:r>
            <w:r w:rsidRPr="005955A7">
              <w:rPr>
                <w:sz w:val="24"/>
                <w:szCs w:val="24"/>
                <w:lang w:eastAsia="ja-JP"/>
              </w:rPr>
              <w:t>ml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  <w:r w:rsidRPr="005955A7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5955A7">
              <w:rPr>
                <w:sz w:val="24"/>
                <w:szCs w:val="24"/>
                <w:lang w:val="x-none" w:eastAsia="ja-JP"/>
              </w:rPr>
              <w:t>Cmax</w:t>
            </w:r>
            <w:proofErr w:type="spellEnd"/>
            <w:r w:rsidRPr="005955A7">
              <w:rPr>
                <w:sz w:val="24"/>
                <w:szCs w:val="24"/>
                <w:lang w:val="x-none" w:eastAsia="ja-JP"/>
              </w:rPr>
              <w:t xml:space="preserve"> (</w:t>
            </w:r>
            <w:proofErr w:type="spellStart"/>
            <w:r w:rsidRPr="005955A7">
              <w:rPr>
                <w:sz w:val="24"/>
                <w:szCs w:val="24"/>
                <w:lang w:val="x-none" w:eastAsia="ja-JP"/>
              </w:rPr>
              <w:t>μg</w:t>
            </w:r>
            <w:proofErr w:type="spellEnd"/>
            <w:r w:rsidRPr="005955A7">
              <w:rPr>
                <w:sz w:val="24"/>
                <w:szCs w:val="24"/>
                <w:lang w:val="x-none" w:eastAsia="ja-JP"/>
              </w:rPr>
              <w:t>/m</w:t>
            </w:r>
            <w:r w:rsidRPr="005955A7">
              <w:rPr>
                <w:sz w:val="24"/>
                <w:szCs w:val="24"/>
                <w:lang w:eastAsia="ja-JP"/>
              </w:rPr>
              <w:t>l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86670" w14:textId="77777777" w:rsidR="007F7E0B" w:rsidRPr="005955A7" w:rsidRDefault="007F7E0B">
            <w:pPr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en-US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8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06 (3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35-16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6)</w:t>
            </w:r>
          </w:p>
          <w:p w14:paraId="2FAEB519" w14:textId="77777777" w:rsidR="007F7E0B" w:rsidRPr="005955A7" w:rsidRDefault="007F7E0B">
            <w:pPr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en-GB" w:eastAsia="ja-JP"/>
              </w:rPr>
            </w:pPr>
            <w:r w:rsidRPr="005955A7">
              <w:rPr>
                <w:sz w:val="24"/>
                <w:szCs w:val="24"/>
                <w:lang w:val="en-GB" w:eastAsia="ja-JP"/>
              </w:rPr>
              <w:t>24,3 (14,1-38,9)</w:t>
            </w:r>
          </w:p>
          <w:p w14:paraId="5C6654D3" w14:textId="77777777" w:rsidR="007F7E0B" w:rsidRPr="005955A7" w:rsidRDefault="007F7E0B">
            <w:pPr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en-US" w:eastAsia="ja-JP"/>
              </w:rPr>
            </w:pPr>
            <w:r w:rsidRPr="005955A7">
              <w:rPr>
                <w:sz w:val="24"/>
                <w:szCs w:val="24"/>
                <w:lang w:val="en-US" w:eastAsia="ja-JP"/>
              </w:rPr>
              <w:t>12,1 (9,17-15)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D10D33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en-US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22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1 (14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6-30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1)</w:t>
            </w:r>
          </w:p>
          <w:p w14:paraId="5AF4429B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en-GB" w:eastAsia="ja-JP"/>
              </w:rPr>
            </w:pPr>
            <w:r w:rsidRPr="005955A7">
              <w:rPr>
                <w:sz w:val="24"/>
                <w:szCs w:val="24"/>
                <w:lang w:val="en-GB" w:eastAsia="ja-JP"/>
              </w:rPr>
              <w:t>40,4 (17,7-48,6)</w:t>
            </w:r>
          </w:p>
          <w:p w14:paraId="67AC0F6B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x-none" w:eastAsia="ja-JP"/>
              </w:rPr>
            </w:pPr>
            <w:r w:rsidRPr="005955A7">
              <w:rPr>
                <w:sz w:val="24"/>
                <w:szCs w:val="24"/>
                <w:lang w:val="en-US" w:eastAsia="ja-JP"/>
              </w:rPr>
              <w:t>13,3 (4,73-15)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87747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en-US"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37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9 (16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5-57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2)</w:t>
            </w:r>
          </w:p>
          <w:p w14:paraId="6164BED9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en-GB" w:eastAsia="ja-JP"/>
              </w:rPr>
            </w:pPr>
            <w:r w:rsidRPr="005955A7">
              <w:rPr>
                <w:sz w:val="24"/>
                <w:szCs w:val="24"/>
                <w:lang w:val="en-GB" w:eastAsia="ja-JP"/>
              </w:rPr>
              <w:t>37,6 (19,2-80,2)</w:t>
            </w:r>
          </w:p>
          <w:p w14:paraId="70FA85C9" w14:textId="77777777" w:rsidR="007F7E0B" w:rsidRPr="005955A7" w:rsidRDefault="007F7E0B">
            <w:pPr>
              <w:keepNext/>
              <w:keepLines/>
              <w:tabs>
                <w:tab w:val="left" w:pos="1843"/>
              </w:tabs>
              <w:spacing w:before="50" w:after="50" w:line="240" w:lineRule="exact"/>
              <w:jc w:val="center"/>
              <w:rPr>
                <w:sz w:val="24"/>
                <w:szCs w:val="24"/>
                <w:lang w:val="en-US" w:eastAsia="ja-JP"/>
              </w:rPr>
            </w:pPr>
            <w:r w:rsidRPr="005955A7">
              <w:rPr>
                <w:sz w:val="24"/>
                <w:szCs w:val="24"/>
                <w:lang w:val="en-US" w:eastAsia="ja-JP"/>
              </w:rPr>
              <w:t>12,4 (4,57-30,8)</w:t>
            </w:r>
          </w:p>
        </w:tc>
      </w:tr>
    </w:tbl>
    <w:p w14:paraId="44A76798" w14:textId="77777777" w:rsidR="007F7E0B" w:rsidRPr="005955A7" w:rsidRDefault="007F7E0B" w:rsidP="007F7E0B">
      <w:pPr>
        <w:tabs>
          <w:tab w:val="left" w:pos="1843"/>
        </w:tabs>
        <w:ind w:left="851"/>
        <w:rPr>
          <w:sz w:val="24"/>
          <w:szCs w:val="24"/>
          <w:lang w:eastAsia="ja-JP"/>
        </w:rPr>
      </w:pPr>
    </w:p>
    <w:p w14:paraId="653E0C95" w14:textId="28B8F324" w:rsidR="007F7E0B" w:rsidRPr="005955A7" w:rsidRDefault="007F7E0B" w:rsidP="007F7E0B">
      <w:pPr>
        <w:tabs>
          <w:tab w:val="left" w:pos="1843"/>
        </w:tabs>
        <w:ind w:left="851"/>
        <w:rPr>
          <w:sz w:val="24"/>
          <w:szCs w:val="24"/>
          <w:lang w:eastAsia="ja-JP"/>
        </w:rPr>
      </w:pPr>
      <w:r w:rsidRPr="005955A7">
        <w:rPr>
          <w:rFonts w:eastAsia="Arial Unicode MS"/>
          <w:iCs/>
          <w:sz w:val="24"/>
          <w:szCs w:val="24"/>
          <w:lang w:eastAsia="ja-JP"/>
        </w:rPr>
        <w:t xml:space="preserve">Farmakokinetikken af intravenøs </w:t>
      </w:r>
      <w:proofErr w:type="spellStart"/>
      <w:r w:rsidRPr="005955A7">
        <w:rPr>
          <w:rFonts w:eastAsia="Arial Unicode MS"/>
          <w:iCs/>
          <w:sz w:val="24"/>
          <w:szCs w:val="24"/>
          <w:lang w:eastAsia="ja-JP"/>
        </w:rPr>
        <w:t>ganciclovir</w:t>
      </w:r>
      <w:proofErr w:type="spellEnd"/>
      <w:r w:rsidRPr="005955A7">
        <w:rPr>
          <w:rFonts w:eastAsia="Arial Unicode MS"/>
          <w:iCs/>
          <w:sz w:val="24"/>
          <w:szCs w:val="24"/>
          <w:lang w:eastAsia="ja-JP"/>
        </w:rPr>
        <w:t xml:space="preserve"> blev undersøgt hos en lille gruppe af småbørn og børn med normal nyrefunktion i alderen 9 måneder til 12 år (n=10, gennemsnitsalder 3,1 år), som havde fået </w:t>
      </w:r>
      <w:r w:rsidRPr="005955A7">
        <w:rPr>
          <w:rFonts w:eastAsia="Arial Unicode MS"/>
          <w:sz w:val="24"/>
          <w:szCs w:val="24"/>
          <w:lang w:eastAsia="ja-JP"/>
        </w:rPr>
        <w:t>doseringsregimet som er godkendt for voksne (5 mg/kg intravenøs infusion administreret over 1 time)</w:t>
      </w:r>
      <w:r w:rsidRPr="005955A7">
        <w:rPr>
          <w:rFonts w:eastAsia="Arial Unicode MS"/>
          <w:iCs/>
          <w:sz w:val="24"/>
          <w:szCs w:val="24"/>
          <w:lang w:eastAsia="ja-JP"/>
        </w:rPr>
        <w:t>. Eksponeringen, som blev målt med middelværdi AUC</w:t>
      </w:r>
      <w:r w:rsidRPr="005955A7">
        <w:rPr>
          <w:rFonts w:eastAsia="Arial Unicode MS"/>
          <w:iCs/>
          <w:sz w:val="24"/>
          <w:szCs w:val="24"/>
          <w:vertAlign w:val="subscript"/>
          <w:lang w:eastAsia="ja-JP"/>
        </w:rPr>
        <w:t>0</w:t>
      </w:r>
      <w:r w:rsidRPr="005955A7">
        <w:rPr>
          <w:rFonts w:eastAsia="Arial Unicode MS"/>
          <w:iCs/>
          <w:sz w:val="24"/>
          <w:szCs w:val="24"/>
          <w:vertAlign w:val="subscript"/>
          <w:lang w:val="en-US" w:eastAsia="ja-JP"/>
        </w:rPr>
        <w:sym w:font="Symbol" w:char="F02D"/>
      </w:r>
      <w:r w:rsidRPr="005955A7">
        <w:rPr>
          <w:rFonts w:eastAsia="Arial Unicode MS"/>
          <w:iCs/>
          <w:sz w:val="24"/>
          <w:szCs w:val="24"/>
          <w:vertAlign w:val="subscript"/>
          <w:lang w:eastAsia="ja-JP"/>
        </w:rPr>
        <w:t>∞</w:t>
      </w:r>
      <w:r w:rsidRPr="005955A7">
        <w:rPr>
          <w:rFonts w:eastAsia="Arial Unicode MS"/>
          <w:iCs/>
          <w:sz w:val="24"/>
          <w:szCs w:val="24"/>
          <w:lang w:eastAsia="ja-JP"/>
        </w:rPr>
        <w:t xml:space="preserve"> på dag 1 </w:t>
      </w:r>
      <w:r w:rsidRPr="005955A7">
        <w:rPr>
          <w:rFonts w:eastAsia="Arial Unicode MS"/>
          <w:sz w:val="24"/>
          <w:szCs w:val="24"/>
          <w:lang w:eastAsia="ja-JP"/>
        </w:rPr>
        <w:t>(n=10) og</w:t>
      </w:r>
      <w:r w:rsidRPr="005955A7">
        <w:rPr>
          <w:rFonts w:eastAsia="Arial Unicode MS"/>
          <w:iCs/>
          <w:sz w:val="24"/>
          <w:szCs w:val="24"/>
          <w:lang w:eastAsia="ja-JP"/>
        </w:rPr>
        <w:t> </w:t>
      </w:r>
      <w:r w:rsidRPr="005955A7">
        <w:rPr>
          <w:sz w:val="24"/>
          <w:szCs w:val="24"/>
          <w:lang w:eastAsia="ja-JP"/>
        </w:rPr>
        <w:t>AUC</w:t>
      </w:r>
      <w:r w:rsidRPr="005955A7">
        <w:rPr>
          <w:sz w:val="24"/>
          <w:szCs w:val="24"/>
          <w:vertAlign w:val="subscript"/>
          <w:lang w:eastAsia="ja-JP"/>
        </w:rPr>
        <w:t>0-12</w:t>
      </w:r>
      <w:r w:rsidRPr="005955A7">
        <w:rPr>
          <w:sz w:val="24"/>
          <w:szCs w:val="24"/>
          <w:lang w:eastAsia="ja-JP"/>
        </w:rPr>
        <w:t xml:space="preserve">, på dag </w:t>
      </w:r>
      <w:r w:rsidRPr="005955A7">
        <w:rPr>
          <w:rFonts w:eastAsia="Arial Unicode MS"/>
          <w:iCs/>
          <w:sz w:val="24"/>
          <w:szCs w:val="24"/>
          <w:lang w:eastAsia="ja-JP"/>
        </w:rPr>
        <w:t xml:space="preserve">14 </w:t>
      </w:r>
      <w:r w:rsidRPr="005955A7">
        <w:rPr>
          <w:rFonts w:eastAsia="Arial Unicode MS"/>
          <w:sz w:val="24"/>
          <w:szCs w:val="24"/>
          <w:lang w:eastAsia="ja-JP"/>
        </w:rPr>
        <w:t>(n=7), var</w:t>
      </w:r>
      <w:r w:rsidRPr="005955A7">
        <w:rPr>
          <w:rFonts w:eastAsia="Arial Unicode MS"/>
          <w:iCs/>
          <w:sz w:val="24"/>
          <w:szCs w:val="24"/>
          <w:lang w:eastAsia="ja-JP"/>
        </w:rPr>
        <w:t xml:space="preserve"> henholdsvis 19,4 </w:t>
      </w:r>
      <w:r w:rsidRPr="005955A7">
        <w:rPr>
          <w:rFonts w:eastAsia="Arial Unicode MS"/>
          <w:iCs/>
          <w:sz w:val="24"/>
          <w:szCs w:val="24"/>
          <w:lang w:val="en-US" w:eastAsia="ja-JP"/>
        </w:rPr>
        <w:sym w:font="Symbol" w:char="F0B1"/>
      </w:r>
      <w:r w:rsidRPr="005955A7">
        <w:rPr>
          <w:rFonts w:eastAsia="Arial Unicode MS"/>
          <w:iCs/>
          <w:sz w:val="24"/>
          <w:szCs w:val="24"/>
          <w:lang w:eastAsia="ja-JP"/>
        </w:rPr>
        <w:t> 7,1 og 24,1 </w:t>
      </w:r>
      <w:r w:rsidRPr="005955A7">
        <w:rPr>
          <w:rFonts w:eastAsia="Arial Unicode MS"/>
          <w:iCs/>
          <w:sz w:val="24"/>
          <w:szCs w:val="24"/>
          <w:lang w:val="en-US" w:eastAsia="ja-JP"/>
        </w:rPr>
        <w:sym w:font="Symbol" w:char="F0B1"/>
      </w:r>
      <w:r w:rsidRPr="005955A7">
        <w:rPr>
          <w:rFonts w:eastAsia="Arial Unicode MS"/>
          <w:iCs/>
          <w:sz w:val="24"/>
          <w:szCs w:val="24"/>
          <w:lang w:eastAsia="ja-JP"/>
        </w:rPr>
        <w:t> 14,6 </w:t>
      </w:r>
      <w:r w:rsidRPr="005955A7">
        <w:rPr>
          <w:rFonts w:eastAsia="Arial Unicode MS"/>
          <w:iCs/>
          <w:sz w:val="24"/>
          <w:szCs w:val="24"/>
          <w:lang w:val="en-US" w:eastAsia="ja-JP"/>
        </w:rPr>
        <w:sym w:font="Symbol" w:char="F06D"/>
      </w:r>
      <w:proofErr w:type="spellStart"/>
      <w:r w:rsidRPr="005955A7">
        <w:rPr>
          <w:rFonts w:eastAsia="Arial Unicode MS"/>
          <w:iCs/>
          <w:sz w:val="24"/>
          <w:szCs w:val="24"/>
          <w:lang w:eastAsia="ja-JP"/>
        </w:rPr>
        <w:t>g.h</w:t>
      </w:r>
      <w:proofErr w:type="spellEnd"/>
      <w:r w:rsidRPr="005955A7">
        <w:rPr>
          <w:rFonts w:eastAsia="Arial Unicode MS"/>
          <w:iCs/>
          <w:sz w:val="24"/>
          <w:szCs w:val="24"/>
          <w:lang w:eastAsia="ja-JP"/>
        </w:rPr>
        <w:t xml:space="preserve">/ml med tilsvarende </w:t>
      </w:r>
      <w:proofErr w:type="spellStart"/>
      <w:r w:rsidRPr="005955A7">
        <w:rPr>
          <w:rFonts w:eastAsia="Arial Unicode MS"/>
          <w:iCs/>
          <w:sz w:val="24"/>
          <w:szCs w:val="24"/>
          <w:lang w:eastAsia="ja-JP"/>
        </w:rPr>
        <w:t>C</w:t>
      </w:r>
      <w:r w:rsidRPr="005955A7">
        <w:rPr>
          <w:rFonts w:eastAsia="Arial Unicode MS"/>
          <w:iCs/>
          <w:sz w:val="24"/>
          <w:szCs w:val="24"/>
          <w:vertAlign w:val="subscript"/>
          <w:lang w:eastAsia="ja-JP"/>
        </w:rPr>
        <w:t>max</w:t>
      </w:r>
      <w:proofErr w:type="spellEnd"/>
      <w:r w:rsidRPr="005955A7">
        <w:rPr>
          <w:rFonts w:eastAsia="Arial Unicode MS"/>
          <w:iCs/>
          <w:sz w:val="24"/>
          <w:szCs w:val="24"/>
          <w:lang w:eastAsia="ja-JP"/>
        </w:rPr>
        <w:t xml:space="preserve"> værdier på henholdsvis 7,59 </w:t>
      </w:r>
      <w:r w:rsidRPr="005955A7">
        <w:rPr>
          <w:rFonts w:eastAsia="Arial Unicode MS"/>
          <w:iCs/>
          <w:sz w:val="24"/>
          <w:szCs w:val="24"/>
          <w:lang w:val="en-US" w:eastAsia="ja-JP"/>
        </w:rPr>
        <w:sym w:font="Symbol" w:char="F0B1"/>
      </w:r>
      <w:r w:rsidRPr="005955A7">
        <w:rPr>
          <w:rFonts w:eastAsia="Arial Unicode MS"/>
          <w:iCs/>
          <w:sz w:val="24"/>
          <w:szCs w:val="24"/>
          <w:lang w:eastAsia="ja-JP"/>
        </w:rPr>
        <w:t> 3,21 </w:t>
      </w:r>
      <w:r w:rsidRPr="005955A7">
        <w:rPr>
          <w:rFonts w:eastAsia="Arial Unicode MS"/>
          <w:iCs/>
          <w:sz w:val="24"/>
          <w:szCs w:val="24"/>
          <w:lang w:val="en-US" w:eastAsia="ja-JP"/>
        </w:rPr>
        <w:sym w:font="Symbol" w:char="F06D"/>
      </w:r>
      <w:r w:rsidRPr="005955A7">
        <w:rPr>
          <w:rFonts w:eastAsia="Arial Unicode MS"/>
          <w:iCs/>
          <w:sz w:val="24"/>
          <w:szCs w:val="24"/>
          <w:lang w:eastAsia="ja-JP"/>
        </w:rPr>
        <w:t>g/ml (dag 1) og 8,31 </w:t>
      </w:r>
      <w:r w:rsidRPr="005955A7">
        <w:rPr>
          <w:rFonts w:eastAsia="Arial Unicode MS"/>
          <w:iCs/>
          <w:sz w:val="24"/>
          <w:szCs w:val="24"/>
          <w:lang w:val="en-US" w:eastAsia="ja-JP"/>
        </w:rPr>
        <w:sym w:font="Symbol" w:char="F0B1"/>
      </w:r>
      <w:r w:rsidRPr="005955A7">
        <w:rPr>
          <w:rFonts w:eastAsia="Arial Unicode MS"/>
          <w:iCs/>
          <w:sz w:val="24"/>
          <w:szCs w:val="24"/>
          <w:lang w:eastAsia="ja-JP"/>
        </w:rPr>
        <w:t> 4,9 </w:t>
      </w:r>
      <w:r w:rsidRPr="005955A7">
        <w:rPr>
          <w:rFonts w:eastAsia="Arial Unicode MS"/>
          <w:iCs/>
          <w:sz w:val="24"/>
          <w:szCs w:val="24"/>
          <w:lang w:val="en-US" w:eastAsia="ja-JP"/>
        </w:rPr>
        <w:sym w:font="Symbol" w:char="F06D"/>
      </w:r>
      <w:r w:rsidRPr="005955A7">
        <w:rPr>
          <w:rFonts w:eastAsia="Arial Unicode MS"/>
          <w:iCs/>
          <w:sz w:val="24"/>
          <w:szCs w:val="24"/>
          <w:lang w:eastAsia="ja-JP"/>
        </w:rPr>
        <w:t>g/ml (dag 14). Der blev observeret en t</w:t>
      </w:r>
      <w:r w:rsidRPr="005955A7">
        <w:rPr>
          <w:sz w:val="24"/>
          <w:szCs w:val="24"/>
          <w:lang w:eastAsia="ja-JP"/>
        </w:rPr>
        <w:t xml:space="preserve">rend til lavere eksponering </w:t>
      </w:r>
      <w:r w:rsidRPr="005955A7">
        <w:rPr>
          <w:sz w:val="24"/>
          <w:szCs w:val="24"/>
          <w:lang w:eastAsia="ja-JP"/>
        </w:rPr>
        <w:lastRenderedPageBreak/>
        <w:t>hos yngre pædiatriske patienter med legemsvægt-baseret dosering i dette studie. Hos pædiatriske patienter op til 5 år var gennemsnitsværdierne for AUC</w:t>
      </w:r>
      <w:r w:rsidRPr="005955A7">
        <w:rPr>
          <w:sz w:val="24"/>
          <w:szCs w:val="24"/>
          <w:vertAlign w:val="subscript"/>
          <w:lang w:eastAsia="ja-JP"/>
        </w:rPr>
        <w:t>0-∞</w:t>
      </w:r>
      <w:r w:rsidRPr="005955A7">
        <w:rPr>
          <w:sz w:val="24"/>
          <w:szCs w:val="24"/>
          <w:lang w:eastAsia="ja-JP"/>
        </w:rPr>
        <w:t xml:space="preserve"> på dag 1 (n=7) og AUC</w:t>
      </w:r>
      <w:r w:rsidRPr="005955A7">
        <w:rPr>
          <w:sz w:val="24"/>
          <w:szCs w:val="24"/>
          <w:vertAlign w:val="subscript"/>
          <w:lang w:eastAsia="ja-JP"/>
        </w:rPr>
        <w:t>0-12h</w:t>
      </w:r>
      <w:r w:rsidRPr="005955A7">
        <w:rPr>
          <w:sz w:val="24"/>
          <w:szCs w:val="24"/>
          <w:lang w:eastAsia="ja-JP"/>
        </w:rPr>
        <w:t xml:space="preserve"> på dag 14 (n=4) henholdsvis 17,7 ± 5,5 and 17,1 ± 7,5 µ</w:t>
      </w:r>
      <w:proofErr w:type="spellStart"/>
      <w:r w:rsidRPr="005955A7">
        <w:rPr>
          <w:sz w:val="24"/>
          <w:szCs w:val="24"/>
          <w:lang w:eastAsia="ja-JP"/>
        </w:rPr>
        <w:t>g.h</w:t>
      </w:r>
      <w:proofErr w:type="spellEnd"/>
      <w:r w:rsidRPr="005955A7">
        <w:rPr>
          <w:sz w:val="24"/>
          <w:szCs w:val="24"/>
          <w:lang w:eastAsia="ja-JP"/>
        </w:rPr>
        <w:t>/ml.</w:t>
      </w:r>
    </w:p>
    <w:p w14:paraId="18758C38" w14:textId="77777777" w:rsidR="007F7E0B" w:rsidRPr="005955A7" w:rsidRDefault="007F7E0B" w:rsidP="007F7E0B">
      <w:pPr>
        <w:tabs>
          <w:tab w:val="left" w:pos="1843"/>
        </w:tabs>
        <w:ind w:left="851"/>
        <w:rPr>
          <w:sz w:val="24"/>
          <w:szCs w:val="24"/>
          <w:lang w:eastAsia="ja-JP"/>
        </w:rPr>
      </w:pPr>
    </w:p>
    <w:p w14:paraId="7090FCE2" w14:textId="77777777" w:rsidR="007F7E0B" w:rsidRPr="005955A7" w:rsidRDefault="007F7E0B" w:rsidP="007F7E0B">
      <w:pPr>
        <w:tabs>
          <w:tab w:val="left" w:pos="1843"/>
        </w:tabs>
        <w:ind w:left="851"/>
        <w:rPr>
          <w:sz w:val="24"/>
          <w:szCs w:val="24"/>
          <w:lang w:eastAsia="ja-JP"/>
        </w:rPr>
      </w:pPr>
      <w:proofErr w:type="spellStart"/>
      <w:r w:rsidRPr="005955A7">
        <w:rPr>
          <w:sz w:val="24"/>
          <w:szCs w:val="24"/>
          <w:lang w:eastAsia="ja-JP"/>
        </w:rPr>
        <w:t>Ganciclovir</w:t>
      </w:r>
      <w:proofErr w:type="spellEnd"/>
      <w:r w:rsidRPr="005955A7">
        <w:rPr>
          <w:sz w:val="24"/>
          <w:szCs w:val="24"/>
          <w:lang w:eastAsia="ja-JP"/>
        </w:rPr>
        <w:t xml:space="preserve"> </w:t>
      </w:r>
      <w:proofErr w:type="gramStart"/>
      <w:r w:rsidRPr="005955A7">
        <w:rPr>
          <w:sz w:val="24"/>
          <w:szCs w:val="24"/>
          <w:lang w:eastAsia="ja-JP"/>
        </w:rPr>
        <w:t>intravenøs doseringsregime</w:t>
      </w:r>
      <w:proofErr w:type="gramEnd"/>
      <w:r w:rsidRPr="005955A7">
        <w:rPr>
          <w:sz w:val="24"/>
          <w:szCs w:val="24"/>
          <w:lang w:eastAsia="ja-JP"/>
        </w:rPr>
        <w:t xml:space="preserve"> baseret på BSA og nyrefunktion (3x BSA x </w:t>
      </w:r>
      <w:proofErr w:type="spellStart"/>
      <w:r w:rsidRPr="005955A7">
        <w:rPr>
          <w:sz w:val="24"/>
          <w:szCs w:val="24"/>
          <w:lang w:eastAsia="ja-JP"/>
        </w:rPr>
        <w:t>CrCLS</w:t>
      </w:r>
      <w:proofErr w:type="spellEnd"/>
      <w:r w:rsidRPr="005955A7">
        <w:rPr>
          <w:sz w:val="24"/>
          <w:szCs w:val="24"/>
          <w:lang w:eastAsia="ja-JP"/>
        </w:rPr>
        <w:t xml:space="preserve">), afledt fra den pædiatriske doseringsalgoritme for </w:t>
      </w:r>
      <w:proofErr w:type="spellStart"/>
      <w:r w:rsidRPr="005955A7">
        <w:rPr>
          <w:sz w:val="24"/>
          <w:szCs w:val="24"/>
          <w:lang w:eastAsia="ja-JP"/>
        </w:rPr>
        <w:t>valganciclovir</w:t>
      </w:r>
      <w:proofErr w:type="spellEnd"/>
      <w:r w:rsidRPr="005955A7">
        <w:rPr>
          <w:sz w:val="24"/>
          <w:szCs w:val="24"/>
          <w:lang w:eastAsia="ja-JP"/>
        </w:rPr>
        <w:t xml:space="preserve">, giver sammenlignelig </w:t>
      </w:r>
      <w:proofErr w:type="spellStart"/>
      <w:r w:rsidRPr="005955A7">
        <w:rPr>
          <w:sz w:val="24"/>
          <w:szCs w:val="24"/>
          <w:lang w:eastAsia="ja-JP"/>
        </w:rPr>
        <w:t>ganciclovir</w:t>
      </w:r>
      <w:proofErr w:type="spellEnd"/>
      <w:r w:rsidRPr="005955A7">
        <w:rPr>
          <w:sz w:val="24"/>
          <w:szCs w:val="24"/>
          <w:lang w:eastAsia="ja-JP"/>
        </w:rPr>
        <w:t xml:space="preserve"> eksponering hos den pædiatriske population fra fødsel til 16 år (se tabel 2).</w:t>
      </w:r>
    </w:p>
    <w:p w14:paraId="05426151" w14:textId="77777777" w:rsidR="007F7E0B" w:rsidRPr="005955A7" w:rsidRDefault="007F7E0B" w:rsidP="007F7E0B">
      <w:pPr>
        <w:tabs>
          <w:tab w:val="left" w:pos="1843"/>
        </w:tabs>
        <w:ind w:left="851"/>
        <w:rPr>
          <w:sz w:val="24"/>
          <w:szCs w:val="24"/>
          <w:lang w:eastAsia="ja-JP"/>
        </w:rPr>
      </w:pPr>
    </w:p>
    <w:p w14:paraId="5E9C139A" w14:textId="77777777" w:rsidR="007F7E0B" w:rsidRPr="005955A7" w:rsidRDefault="007F7E0B" w:rsidP="007F7E0B">
      <w:pPr>
        <w:tabs>
          <w:tab w:val="left" w:pos="1843"/>
        </w:tabs>
        <w:ind w:left="851"/>
        <w:rPr>
          <w:b/>
          <w:sz w:val="24"/>
          <w:szCs w:val="24"/>
          <w:lang w:eastAsia="ja-JP"/>
        </w:rPr>
      </w:pPr>
      <w:r w:rsidRPr="005955A7">
        <w:rPr>
          <w:b/>
          <w:sz w:val="24"/>
          <w:szCs w:val="24"/>
          <w:lang w:eastAsia="ja-JP"/>
        </w:rPr>
        <w:t xml:space="preserve">Tabel 2 Simulerede* </w:t>
      </w:r>
      <w:proofErr w:type="spellStart"/>
      <w:r w:rsidRPr="005955A7">
        <w:rPr>
          <w:b/>
          <w:sz w:val="24"/>
          <w:szCs w:val="24"/>
          <w:lang w:eastAsia="ja-JP"/>
        </w:rPr>
        <w:t>ganciclovir</w:t>
      </w:r>
      <w:proofErr w:type="spellEnd"/>
      <w:r w:rsidRPr="005955A7">
        <w:rPr>
          <w:b/>
          <w:sz w:val="24"/>
          <w:szCs w:val="24"/>
          <w:lang w:eastAsia="ja-JP"/>
        </w:rPr>
        <w:t xml:space="preserve"> AUC</w:t>
      </w:r>
      <w:r w:rsidRPr="005955A7">
        <w:rPr>
          <w:b/>
          <w:sz w:val="24"/>
          <w:szCs w:val="24"/>
          <w:vertAlign w:val="subscript"/>
          <w:lang w:eastAsia="ja-JP"/>
        </w:rPr>
        <w:t xml:space="preserve">0-24h </w:t>
      </w:r>
      <w:r w:rsidRPr="005955A7">
        <w:rPr>
          <w:b/>
          <w:sz w:val="24"/>
          <w:szCs w:val="24"/>
          <w:lang w:eastAsia="ja-JP"/>
        </w:rPr>
        <w:t>(</w:t>
      </w:r>
      <w:r w:rsidRPr="005955A7">
        <w:rPr>
          <w:b/>
          <w:sz w:val="24"/>
          <w:szCs w:val="24"/>
          <w:lang w:val="en-US" w:eastAsia="ja-JP"/>
        </w:rPr>
        <w:sym w:font="Symbol" w:char="F06D"/>
      </w:r>
      <w:r w:rsidRPr="005955A7">
        <w:rPr>
          <w:b/>
          <w:sz w:val="24"/>
          <w:szCs w:val="24"/>
          <w:lang w:eastAsia="ja-JP"/>
        </w:rPr>
        <w:t>g </w:t>
      </w:r>
      <w:r w:rsidRPr="005955A7">
        <w:rPr>
          <w:b/>
          <w:position w:val="2"/>
          <w:sz w:val="24"/>
          <w:szCs w:val="24"/>
          <w:lang w:val="en-US" w:eastAsia="ja-JP"/>
        </w:rPr>
        <w:sym w:font="Symbol" w:char="F0B7"/>
      </w:r>
      <w:r w:rsidRPr="005955A7">
        <w:rPr>
          <w:b/>
          <w:sz w:val="24"/>
          <w:szCs w:val="24"/>
          <w:lang w:eastAsia="ja-JP"/>
        </w:rPr>
        <w:t> h/</w:t>
      </w:r>
      <w:proofErr w:type="spellStart"/>
      <w:r w:rsidRPr="005955A7">
        <w:rPr>
          <w:b/>
          <w:sz w:val="24"/>
          <w:szCs w:val="24"/>
          <w:lang w:eastAsia="ja-JP"/>
        </w:rPr>
        <w:t>mL</w:t>
      </w:r>
      <w:proofErr w:type="spellEnd"/>
      <w:r w:rsidRPr="005955A7">
        <w:rPr>
          <w:b/>
          <w:sz w:val="24"/>
          <w:szCs w:val="24"/>
          <w:lang w:eastAsia="ja-JP"/>
        </w:rPr>
        <w:t xml:space="preserve">) for pædiatriske patienter behandlet med </w:t>
      </w:r>
      <w:proofErr w:type="spellStart"/>
      <w:r w:rsidRPr="005955A7">
        <w:rPr>
          <w:b/>
          <w:sz w:val="24"/>
          <w:szCs w:val="24"/>
          <w:lang w:eastAsia="ja-JP"/>
        </w:rPr>
        <w:t>ganciclovir</w:t>
      </w:r>
      <w:proofErr w:type="spellEnd"/>
      <w:r w:rsidRPr="005955A7">
        <w:rPr>
          <w:b/>
          <w:sz w:val="24"/>
          <w:szCs w:val="24"/>
          <w:lang w:eastAsia="ja-JP"/>
        </w:rPr>
        <w:t xml:space="preserve"> dosis (mg) på 3xBSAxCrCLS, givet som 1 times infusion.</w:t>
      </w:r>
    </w:p>
    <w:p w14:paraId="24A8D71C" w14:textId="77777777" w:rsidR="007F7E0B" w:rsidRPr="005955A7" w:rsidRDefault="007F7E0B" w:rsidP="007F7E0B">
      <w:pPr>
        <w:tabs>
          <w:tab w:val="left" w:pos="1843"/>
        </w:tabs>
        <w:spacing w:beforeLines="20" w:before="48" w:afterLines="20" w:after="48"/>
        <w:ind w:left="851"/>
        <w:rPr>
          <w:b/>
          <w:sz w:val="24"/>
          <w:szCs w:val="24"/>
          <w:lang w:eastAsia="ja-JP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043"/>
        <w:gridCol w:w="1112"/>
        <w:gridCol w:w="1075"/>
        <w:gridCol w:w="970"/>
        <w:gridCol w:w="1113"/>
        <w:gridCol w:w="1056"/>
      </w:tblGrid>
      <w:tr w:rsidR="007F7E0B" w:rsidRPr="005955A7" w14:paraId="33E30291" w14:textId="77777777" w:rsidTr="007F7E0B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5110AE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rPr>
                <w:sz w:val="24"/>
                <w:szCs w:val="24"/>
                <w:lang w:eastAsia="ja-JP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F9D64D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sym w:font="Symbol" w:char="F03C"/>
            </w:r>
            <w:r w:rsidRPr="005955A7">
              <w:rPr>
                <w:sz w:val="24"/>
                <w:szCs w:val="24"/>
                <w:lang w:val="x-none" w:eastAsia="ja-JP"/>
              </w:rPr>
              <w:t> 4 m</w:t>
            </w:r>
            <w:r w:rsidRPr="005955A7">
              <w:rPr>
                <w:sz w:val="24"/>
                <w:szCs w:val="24"/>
                <w:lang w:eastAsia="ja-JP"/>
              </w:rPr>
              <w:t>åneder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9F21D0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sym w:font="Symbol" w:char="F0B3"/>
            </w:r>
            <w:r w:rsidRPr="005955A7">
              <w:rPr>
                <w:sz w:val="24"/>
                <w:szCs w:val="24"/>
                <w:lang w:val="x-none" w:eastAsia="ja-JP"/>
              </w:rPr>
              <w:t> 4 m</w:t>
            </w:r>
            <w:r w:rsidRPr="005955A7">
              <w:rPr>
                <w:sz w:val="24"/>
                <w:szCs w:val="24"/>
                <w:lang w:eastAsia="ja-JP"/>
              </w:rPr>
              <w:t>åneder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 t</w:t>
            </w:r>
            <w:r w:rsidRPr="005955A7">
              <w:rPr>
                <w:sz w:val="24"/>
                <w:szCs w:val="24"/>
                <w:lang w:eastAsia="ja-JP"/>
              </w:rPr>
              <w:t>il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 </w:t>
            </w:r>
            <w:r w:rsidRPr="005955A7">
              <w:rPr>
                <w:sz w:val="24"/>
                <w:szCs w:val="24"/>
                <w:lang w:val="x-none" w:eastAsia="ja-JP"/>
              </w:rPr>
              <w:sym w:font="Symbol" w:char="F0A3"/>
            </w:r>
            <w:r w:rsidRPr="005955A7">
              <w:rPr>
                <w:sz w:val="24"/>
                <w:szCs w:val="24"/>
                <w:lang w:val="x-none" w:eastAsia="ja-JP"/>
              </w:rPr>
              <w:t xml:space="preserve"> 2 </w:t>
            </w:r>
            <w:r w:rsidRPr="005955A7">
              <w:rPr>
                <w:sz w:val="24"/>
                <w:szCs w:val="24"/>
                <w:lang w:eastAsia="ja-JP"/>
              </w:rPr>
              <w:t>år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E0FA3D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sym w:font="Symbol" w:char="F03E"/>
            </w:r>
            <w:r w:rsidRPr="005955A7">
              <w:rPr>
                <w:sz w:val="24"/>
                <w:szCs w:val="24"/>
                <w:lang w:val="x-none" w:eastAsia="ja-JP"/>
              </w:rPr>
              <w:t> 2 t</w:t>
            </w:r>
            <w:r w:rsidRPr="005955A7">
              <w:rPr>
                <w:sz w:val="24"/>
                <w:szCs w:val="24"/>
                <w:lang w:eastAsia="ja-JP"/>
              </w:rPr>
              <w:t>il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 </w:t>
            </w:r>
            <w:r w:rsidRPr="005955A7">
              <w:rPr>
                <w:sz w:val="24"/>
                <w:szCs w:val="24"/>
                <w:lang w:val="x-none" w:eastAsia="ja-JP"/>
              </w:rPr>
              <w:sym w:font="Symbol" w:char="F03C"/>
            </w:r>
            <w:r w:rsidRPr="005955A7">
              <w:rPr>
                <w:sz w:val="24"/>
                <w:szCs w:val="24"/>
                <w:lang w:val="x-none" w:eastAsia="ja-JP"/>
              </w:rPr>
              <w:t> 6 </w:t>
            </w:r>
            <w:r w:rsidRPr="005955A7">
              <w:rPr>
                <w:sz w:val="24"/>
                <w:szCs w:val="24"/>
                <w:lang w:eastAsia="ja-JP"/>
              </w:rPr>
              <w:t>år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ECA930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sym w:font="Symbol" w:char="F0B3"/>
            </w:r>
            <w:r w:rsidRPr="005955A7">
              <w:rPr>
                <w:sz w:val="24"/>
                <w:szCs w:val="24"/>
                <w:lang w:val="x-none" w:eastAsia="ja-JP"/>
              </w:rPr>
              <w:t> 6 t</w:t>
            </w:r>
            <w:r w:rsidRPr="005955A7">
              <w:rPr>
                <w:sz w:val="24"/>
                <w:szCs w:val="24"/>
                <w:lang w:eastAsia="ja-JP"/>
              </w:rPr>
              <w:t xml:space="preserve">il </w:t>
            </w:r>
            <w:r w:rsidRPr="005955A7">
              <w:rPr>
                <w:sz w:val="24"/>
                <w:szCs w:val="24"/>
                <w:lang w:val="x-none" w:eastAsia="ja-JP"/>
              </w:rPr>
              <w:sym w:font="Symbol" w:char="F03C"/>
            </w:r>
            <w:r w:rsidRPr="005955A7">
              <w:rPr>
                <w:sz w:val="24"/>
                <w:szCs w:val="24"/>
                <w:lang w:val="x-none" w:eastAsia="ja-JP"/>
              </w:rPr>
              <w:t> 12 </w:t>
            </w:r>
            <w:r w:rsidRPr="005955A7">
              <w:rPr>
                <w:sz w:val="24"/>
                <w:szCs w:val="24"/>
                <w:lang w:eastAsia="ja-JP"/>
              </w:rPr>
              <w:t>år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2364AB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sym w:font="Symbol" w:char="F0B3"/>
            </w:r>
            <w:r w:rsidRPr="005955A7">
              <w:rPr>
                <w:sz w:val="24"/>
                <w:szCs w:val="24"/>
                <w:lang w:val="x-none" w:eastAsia="ja-JP"/>
              </w:rPr>
              <w:t> 12 t</w:t>
            </w:r>
            <w:r w:rsidRPr="005955A7">
              <w:rPr>
                <w:sz w:val="24"/>
                <w:szCs w:val="24"/>
                <w:lang w:eastAsia="ja-JP"/>
              </w:rPr>
              <w:t>il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 </w:t>
            </w:r>
            <w:r w:rsidRPr="005955A7">
              <w:rPr>
                <w:sz w:val="24"/>
                <w:szCs w:val="24"/>
                <w:lang w:val="x-none" w:eastAsia="ja-JP"/>
              </w:rPr>
              <w:sym w:font="Symbol" w:char="F0A3"/>
            </w:r>
            <w:r w:rsidRPr="005955A7">
              <w:rPr>
                <w:sz w:val="24"/>
                <w:szCs w:val="24"/>
                <w:lang w:val="x-none" w:eastAsia="ja-JP"/>
              </w:rPr>
              <w:t> 16 </w:t>
            </w:r>
            <w:r w:rsidRPr="005955A7">
              <w:rPr>
                <w:sz w:val="24"/>
                <w:szCs w:val="24"/>
                <w:lang w:eastAsia="ja-JP"/>
              </w:rPr>
              <w:t>år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99983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All</w:t>
            </w:r>
            <w:r w:rsidRPr="005955A7">
              <w:rPr>
                <w:sz w:val="24"/>
                <w:szCs w:val="24"/>
                <w:lang w:eastAsia="ja-JP"/>
              </w:rPr>
              <w:t xml:space="preserve">e 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 patien</w:t>
            </w:r>
            <w:r w:rsidRPr="005955A7">
              <w:rPr>
                <w:sz w:val="24"/>
                <w:szCs w:val="24"/>
                <w:lang w:eastAsia="ja-JP"/>
              </w:rPr>
              <w:t>ter</w:t>
            </w:r>
          </w:p>
        </w:tc>
      </w:tr>
      <w:tr w:rsidR="007F7E0B" w:rsidRPr="005955A7" w14:paraId="1974903F" w14:textId="77777777" w:rsidTr="007F7E0B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E6558F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eastAsia="ja-JP"/>
              </w:rPr>
              <w:t>Antal</w:t>
            </w:r>
            <w:r w:rsidRPr="005955A7">
              <w:rPr>
                <w:sz w:val="24"/>
                <w:szCs w:val="24"/>
                <w:lang w:val="x-none" w:eastAsia="ja-JP"/>
              </w:rPr>
              <w:t xml:space="preserve"> patient</w:t>
            </w:r>
            <w:r w:rsidRPr="005955A7">
              <w:rPr>
                <w:sz w:val="24"/>
                <w:szCs w:val="24"/>
                <w:lang w:eastAsia="ja-JP"/>
              </w:rPr>
              <w:t>er</w:t>
            </w:r>
            <w:r w:rsidRPr="005955A7">
              <w:rPr>
                <w:sz w:val="24"/>
                <w:szCs w:val="24"/>
                <w:lang w:eastAsia="ja-JP"/>
              </w:rPr>
              <w:br/>
            </w:r>
            <w:r w:rsidRPr="005955A7">
              <w:rPr>
                <w:sz w:val="24"/>
                <w:szCs w:val="24"/>
                <w:lang w:val="x-none" w:eastAsia="ja-JP"/>
              </w:rPr>
              <w:t>simul</w:t>
            </w:r>
            <w:r w:rsidRPr="005955A7">
              <w:rPr>
                <w:sz w:val="24"/>
                <w:szCs w:val="24"/>
                <w:lang w:eastAsia="ja-JP"/>
              </w:rPr>
              <w:t>erede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6D2377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781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6883D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D55751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837904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96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C6904D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79AD1EF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1473</w:t>
            </w:r>
          </w:p>
        </w:tc>
      </w:tr>
      <w:tr w:rsidR="007F7E0B" w:rsidRPr="005955A7" w14:paraId="22C9223F" w14:textId="77777777" w:rsidTr="007F7E0B">
        <w:trPr>
          <w:trHeight w:val="289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CE933C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Median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302D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55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BFDD9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56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63CF4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54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D55A6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51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BA8A2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51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4114D5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55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4</w:t>
            </w:r>
          </w:p>
        </w:tc>
      </w:tr>
      <w:tr w:rsidR="007F7E0B" w:rsidRPr="005955A7" w14:paraId="7EFC4E0A" w14:textId="77777777" w:rsidTr="007F7E0B">
        <w:trPr>
          <w:trHeight w:val="289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38FE6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M</w:t>
            </w:r>
            <w:r w:rsidRPr="005955A7">
              <w:rPr>
                <w:sz w:val="24"/>
                <w:szCs w:val="24"/>
                <w:lang w:eastAsia="ja-JP"/>
              </w:rPr>
              <w:t>iddelværdi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42931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57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D3750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58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FAADE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55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ABFF8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52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36536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51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CE9379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56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4</w:t>
            </w:r>
          </w:p>
        </w:tc>
      </w:tr>
      <w:tr w:rsidR="007F7E0B" w:rsidRPr="005955A7" w14:paraId="5B2FDAF8" w14:textId="77777777" w:rsidTr="007F7E0B">
        <w:trPr>
          <w:trHeight w:val="289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4AC19B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Min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22768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24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EA149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24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E6BEC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16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F270E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23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A3AB2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22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DAAD1C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16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5</w:t>
            </w:r>
          </w:p>
        </w:tc>
      </w:tr>
      <w:tr w:rsidR="007F7E0B" w:rsidRPr="005955A7" w14:paraId="78139902" w14:textId="77777777" w:rsidTr="007F7E0B">
        <w:trPr>
          <w:trHeight w:val="289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F04717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Max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425E1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124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8E117D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133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41BFDA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105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69E70F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115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2149F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94</w:t>
            </w:r>
            <w:r w:rsidRPr="005955A7">
              <w:rPr>
                <w:sz w:val="24"/>
                <w:szCs w:val="24"/>
                <w:lang w:eastAsia="ja-JP"/>
              </w:rPr>
              <w:t>,</w:t>
            </w:r>
            <w:r w:rsidRPr="005955A7">
              <w:rPr>
                <w:sz w:val="24"/>
                <w:szCs w:val="24"/>
                <w:lang w:val="x-none" w:eastAsia="ja-JP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0070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133</w:t>
            </w:r>
            <w:r w:rsidRPr="005955A7">
              <w:rPr>
                <w:sz w:val="24"/>
                <w:szCs w:val="24"/>
                <w:lang w:eastAsia="ja-JP"/>
              </w:rPr>
              <w:t>.</w:t>
            </w:r>
            <w:r w:rsidRPr="005955A7">
              <w:rPr>
                <w:sz w:val="24"/>
                <w:szCs w:val="24"/>
                <w:lang w:val="x-none" w:eastAsia="ja-JP"/>
              </w:rPr>
              <w:t>0</w:t>
            </w:r>
          </w:p>
        </w:tc>
      </w:tr>
      <w:tr w:rsidR="007F7E0B" w:rsidRPr="005955A7" w14:paraId="4273A328" w14:textId="77777777" w:rsidTr="007F7E0B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E1D724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rPr>
                <w:sz w:val="24"/>
                <w:szCs w:val="24"/>
                <w:lang w:val="de-DE" w:eastAsia="ja-JP"/>
              </w:rPr>
            </w:pPr>
            <w:proofErr w:type="spellStart"/>
            <w:r w:rsidRPr="005955A7">
              <w:rPr>
                <w:sz w:val="24"/>
                <w:szCs w:val="24"/>
                <w:lang w:val="de-DE" w:eastAsia="ja-JP"/>
              </w:rPr>
              <w:t>Patienter</w:t>
            </w:r>
            <w:proofErr w:type="spellEnd"/>
            <w:r w:rsidRPr="005955A7">
              <w:rPr>
                <w:sz w:val="24"/>
                <w:szCs w:val="24"/>
                <w:lang w:val="de-DE" w:eastAsia="ja-JP"/>
              </w:rPr>
              <w:br/>
              <w:t>AUC </w:t>
            </w:r>
            <w:r w:rsidRPr="005955A7">
              <w:rPr>
                <w:sz w:val="24"/>
                <w:szCs w:val="24"/>
                <w:lang w:val="x-none" w:eastAsia="ja-JP"/>
              </w:rPr>
              <w:sym w:font="Symbol" w:char="F03C"/>
            </w:r>
            <w:r w:rsidRPr="005955A7">
              <w:rPr>
                <w:sz w:val="24"/>
                <w:szCs w:val="24"/>
                <w:lang w:val="de-DE" w:eastAsia="ja-JP"/>
              </w:rPr>
              <w:t> 40 µg</w:t>
            </w:r>
            <w:r w:rsidRPr="005955A7">
              <w:rPr>
                <w:sz w:val="24"/>
                <w:szCs w:val="24"/>
                <w:lang w:val="de-DE"/>
              </w:rPr>
              <w:t> </w:t>
            </w:r>
            <w:r w:rsidRPr="005955A7">
              <w:rPr>
                <w:position w:val="2"/>
                <w:sz w:val="24"/>
                <w:szCs w:val="24"/>
                <w:lang w:val="x-none"/>
              </w:rPr>
              <w:sym w:font="Symbol" w:char="F0B7"/>
            </w:r>
            <w:r w:rsidRPr="005955A7">
              <w:rPr>
                <w:sz w:val="24"/>
                <w:szCs w:val="24"/>
                <w:lang w:val="de-DE"/>
              </w:rPr>
              <w:t> h/ml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074BD5" w14:textId="67E84BC8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89</w:t>
            </w:r>
            <w:r w:rsidRPr="005955A7">
              <w:rPr>
                <w:sz w:val="24"/>
                <w:szCs w:val="24"/>
                <w:lang w:val="x-none" w:eastAsia="ja-JP"/>
              </w:rPr>
              <w:br/>
              <w:t>(11</w:t>
            </w:r>
            <w:r w:rsidR="00803F0A">
              <w:rPr>
                <w:sz w:val="24"/>
                <w:szCs w:val="24"/>
                <w:lang w:val="x-none" w:eastAsia="ja-JP"/>
              </w:rPr>
              <w:t xml:space="preserve"> %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F4F65C" w14:textId="5FF7D729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38</w:t>
            </w:r>
            <w:r w:rsidRPr="005955A7">
              <w:rPr>
                <w:sz w:val="24"/>
                <w:szCs w:val="24"/>
                <w:lang w:val="x-none" w:eastAsia="ja-JP"/>
              </w:rPr>
              <w:br/>
              <w:t>(10</w:t>
            </w:r>
            <w:r w:rsidR="00803F0A">
              <w:rPr>
                <w:sz w:val="24"/>
                <w:szCs w:val="24"/>
                <w:lang w:val="x-none" w:eastAsia="ja-JP"/>
              </w:rPr>
              <w:t xml:space="preserve"> %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BE1F0" w14:textId="7F07B39D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13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(15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37AF12" w14:textId="59DD0B42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23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(24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441B2E" w14:textId="47B08985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28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(22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D3A527" w14:textId="2912ED3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191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(13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</w:tr>
      <w:tr w:rsidR="007F7E0B" w:rsidRPr="005955A7" w14:paraId="6806147A" w14:textId="77777777" w:rsidTr="007F7E0B"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471523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rPr>
                <w:sz w:val="24"/>
                <w:szCs w:val="24"/>
                <w:lang w:eastAsia="ja-JP"/>
              </w:rPr>
            </w:pPr>
            <w:proofErr w:type="spellStart"/>
            <w:r w:rsidRPr="005955A7">
              <w:rPr>
                <w:sz w:val="24"/>
                <w:szCs w:val="24"/>
                <w:lang w:val="de-DE" w:eastAsia="ja-JP"/>
              </w:rPr>
              <w:t>Patienter</w:t>
            </w:r>
            <w:proofErr w:type="spellEnd"/>
            <w:r w:rsidRPr="005955A7">
              <w:rPr>
                <w:sz w:val="24"/>
                <w:szCs w:val="24"/>
                <w:lang w:val="de-DE" w:eastAsia="ja-JP"/>
              </w:rPr>
              <w:t xml:space="preserve"> </w:t>
            </w:r>
            <w:r w:rsidRPr="005955A7">
              <w:rPr>
                <w:sz w:val="24"/>
                <w:szCs w:val="24"/>
                <w:lang w:val="de-DE" w:eastAsia="ja-JP"/>
              </w:rPr>
              <w:br/>
              <w:t>AUC 40</w:t>
            </w:r>
            <w:r w:rsidRPr="005955A7">
              <w:rPr>
                <w:sz w:val="24"/>
                <w:szCs w:val="24"/>
                <w:lang w:val="x-none" w:eastAsia="ja-JP"/>
              </w:rPr>
              <w:sym w:font="Symbol" w:char="F02D"/>
            </w:r>
            <w:r w:rsidRPr="005955A7">
              <w:rPr>
                <w:sz w:val="24"/>
                <w:szCs w:val="24"/>
                <w:lang w:val="de-DE" w:eastAsia="ja-JP"/>
              </w:rPr>
              <w:t>60 µg </w:t>
            </w:r>
            <w:r w:rsidRPr="005955A7">
              <w:rPr>
                <w:position w:val="2"/>
                <w:sz w:val="24"/>
                <w:szCs w:val="24"/>
                <w:lang w:val="x-none" w:eastAsia="ja-JP"/>
              </w:rPr>
              <w:sym w:font="Symbol" w:char="F0B7"/>
            </w:r>
            <w:r w:rsidRPr="005955A7">
              <w:rPr>
                <w:sz w:val="24"/>
                <w:szCs w:val="24"/>
                <w:lang w:val="de-DE" w:eastAsia="ja-JP"/>
              </w:rPr>
              <w:t> h/ml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2D739" w14:textId="1B298719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398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(51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79B0B" w14:textId="190DE8F0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195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(51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3E013" w14:textId="411D2912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44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(51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7DBBF" w14:textId="7D853E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41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(43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5F39E" w14:textId="382A1973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63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(50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1FEE4E" w14:textId="3CA7EFA1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de-CH" w:eastAsia="ja-JP"/>
              </w:rPr>
              <w:t>741</w:t>
            </w:r>
            <w:r w:rsidRPr="005955A7">
              <w:rPr>
                <w:sz w:val="24"/>
                <w:szCs w:val="24"/>
                <w:lang w:val="de-CH" w:eastAsia="ja-JP"/>
              </w:rPr>
              <w:br/>
              <w:t>(50</w:t>
            </w:r>
            <w:r w:rsidR="00803F0A">
              <w:rPr>
                <w:sz w:val="24"/>
                <w:szCs w:val="24"/>
                <w:lang w:val="de-CH" w:eastAsia="ja-JP"/>
              </w:rPr>
              <w:t xml:space="preserve"> %</w:t>
            </w:r>
            <w:r w:rsidRPr="005955A7">
              <w:rPr>
                <w:sz w:val="24"/>
                <w:szCs w:val="24"/>
                <w:lang w:val="de-CH" w:eastAsia="ja-JP"/>
              </w:rPr>
              <w:t>)</w:t>
            </w:r>
          </w:p>
        </w:tc>
      </w:tr>
      <w:tr w:rsidR="007F7E0B" w:rsidRPr="005955A7" w14:paraId="36F31C03" w14:textId="77777777" w:rsidTr="007F7E0B"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4C8CF9" w14:textId="77777777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rPr>
                <w:sz w:val="24"/>
                <w:szCs w:val="24"/>
                <w:lang w:eastAsia="ja-JP"/>
              </w:rPr>
            </w:pPr>
            <w:proofErr w:type="spellStart"/>
            <w:r w:rsidRPr="005955A7">
              <w:rPr>
                <w:sz w:val="24"/>
                <w:szCs w:val="24"/>
                <w:lang w:val="de-DE" w:eastAsia="ja-JP"/>
              </w:rPr>
              <w:t>Patienter</w:t>
            </w:r>
            <w:proofErr w:type="spellEnd"/>
            <w:r w:rsidRPr="005955A7">
              <w:rPr>
                <w:sz w:val="24"/>
                <w:szCs w:val="24"/>
                <w:lang w:val="de-DE" w:eastAsia="ja-JP"/>
              </w:rPr>
              <w:br/>
              <w:t>AUC </w:t>
            </w:r>
            <w:r w:rsidRPr="005955A7">
              <w:rPr>
                <w:sz w:val="24"/>
                <w:szCs w:val="24"/>
                <w:lang w:val="x-none" w:eastAsia="ja-JP"/>
              </w:rPr>
              <w:sym w:font="Symbol" w:char="F03E"/>
            </w:r>
            <w:r w:rsidRPr="005955A7">
              <w:rPr>
                <w:sz w:val="24"/>
                <w:szCs w:val="24"/>
                <w:lang w:val="de-DE" w:eastAsia="ja-JP"/>
              </w:rPr>
              <w:t> 60 µg </w:t>
            </w:r>
            <w:r w:rsidRPr="005955A7">
              <w:rPr>
                <w:position w:val="2"/>
                <w:sz w:val="24"/>
                <w:szCs w:val="24"/>
                <w:lang w:val="x-none" w:eastAsia="ja-JP"/>
              </w:rPr>
              <w:sym w:font="Symbol" w:char="F0B7"/>
            </w:r>
            <w:r w:rsidRPr="005955A7">
              <w:rPr>
                <w:sz w:val="24"/>
                <w:szCs w:val="24"/>
                <w:lang w:val="de-DE" w:eastAsia="ja-JP"/>
              </w:rPr>
              <w:t> h/ml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C90194" w14:textId="5EFDB7B0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294</w:t>
            </w:r>
            <w:r w:rsidRPr="005955A7">
              <w:rPr>
                <w:sz w:val="24"/>
                <w:szCs w:val="24"/>
                <w:lang w:val="x-none" w:eastAsia="ja-JP"/>
              </w:rPr>
              <w:br/>
              <w:t>(38</w:t>
            </w:r>
            <w:r w:rsidR="00803F0A">
              <w:rPr>
                <w:sz w:val="24"/>
                <w:szCs w:val="24"/>
                <w:lang w:val="x-none" w:eastAsia="ja-JP"/>
              </w:rPr>
              <w:t xml:space="preserve"> %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4E4B6E" w14:textId="3D185AF6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151</w:t>
            </w:r>
            <w:r w:rsidRPr="005955A7">
              <w:rPr>
                <w:sz w:val="24"/>
                <w:szCs w:val="24"/>
                <w:lang w:val="x-none" w:eastAsia="ja-JP"/>
              </w:rPr>
              <w:br/>
              <w:t>(39</w:t>
            </w:r>
            <w:r w:rsidR="00803F0A">
              <w:rPr>
                <w:sz w:val="24"/>
                <w:szCs w:val="24"/>
                <w:lang w:val="x-none" w:eastAsia="ja-JP"/>
              </w:rPr>
              <w:t xml:space="preserve"> %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B08B6F" w14:textId="739A420C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29</w:t>
            </w:r>
            <w:r w:rsidRPr="005955A7">
              <w:rPr>
                <w:sz w:val="24"/>
                <w:szCs w:val="24"/>
                <w:lang w:val="x-none" w:eastAsia="ja-JP"/>
              </w:rPr>
              <w:br/>
              <w:t>(34</w:t>
            </w:r>
            <w:r w:rsidR="00803F0A">
              <w:rPr>
                <w:sz w:val="24"/>
                <w:szCs w:val="24"/>
                <w:lang w:val="x-none" w:eastAsia="ja-JP"/>
              </w:rPr>
              <w:t xml:space="preserve"> %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E1FE4F" w14:textId="04D668C1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32</w:t>
            </w:r>
            <w:r w:rsidRPr="005955A7">
              <w:rPr>
                <w:sz w:val="24"/>
                <w:szCs w:val="24"/>
                <w:lang w:val="x-none" w:eastAsia="ja-JP"/>
              </w:rPr>
              <w:br/>
              <w:t>(33</w:t>
            </w:r>
            <w:r w:rsidR="00803F0A">
              <w:rPr>
                <w:sz w:val="24"/>
                <w:szCs w:val="24"/>
                <w:lang w:val="x-none" w:eastAsia="ja-JP"/>
              </w:rPr>
              <w:t xml:space="preserve"> %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E6067F" w14:textId="580CC5BB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35</w:t>
            </w:r>
            <w:r w:rsidRPr="005955A7">
              <w:rPr>
                <w:sz w:val="24"/>
                <w:szCs w:val="24"/>
                <w:lang w:val="x-none" w:eastAsia="ja-JP"/>
              </w:rPr>
              <w:br/>
              <w:t>(28</w:t>
            </w:r>
            <w:r w:rsidR="00803F0A">
              <w:rPr>
                <w:sz w:val="24"/>
                <w:szCs w:val="24"/>
                <w:lang w:val="x-none" w:eastAsia="ja-JP"/>
              </w:rPr>
              <w:t xml:space="preserve"> %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42241" w14:textId="15DCDEDC" w:rsidR="007F7E0B" w:rsidRPr="005955A7" w:rsidRDefault="007F7E0B">
            <w:pPr>
              <w:tabs>
                <w:tab w:val="left" w:pos="1843"/>
              </w:tabs>
              <w:spacing w:beforeLines="20" w:before="48" w:afterLines="20" w:after="48"/>
              <w:jc w:val="center"/>
              <w:rPr>
                <w:sz w:val="24"/>
                <w:szCs w:val="24"/>
                <w:lang w:eastAsia="ja-JP"/>
              </w:rPr>
            </w:pPr>
            <w:r w:rsidRPr="005955A7">
              <w:rPr>
                <w:sz w:val="24"/>
                <w:szCs w:val="24"/>
                <w:lang w:val="x-none" w:eastAsia="ja-JP"/>
              </w:rPr>
              <w:t>541</w:t>
            </w:r>
            <w:r w:rsidRPr="005955A7">
              <w:rPr>
                <w:sz w:val="24"/>
                <w:szCs w:val="24"/>
                <w:lang w:val="x-none" w:eastAsia="ja-JP"/>
              </w:rPr>
              <w:br/>
              <w:t>(37</w:t>
            </w:r>
            <w:r w:rsidR="00803F0A">
              <w:rPr>
                <w:sz w:val="24"/>
                <w:szCs w:val="24"/>
                <w:lang w:val="x-none" w:eastAsia="ja-JP"/>
              </w:rPr>
              <w:t xml:space="preserve"> %</w:t>
            </w:r>
            <w:r w:rsidRPr="005955A7">
              <w:rPr>
                <w:sz w:val="24"/>
                <w:szCs w:val="24"/>
                <w:lang w:val="x-none" w:eastAsia="ja-JP"/>
              </w:rPr>
              <w:t>)</w:t>
            </w:r>
          </w:p>
        </w:tc>
      </w:tr>
    </w:tbl>
    <w:p w14:paraId="2786776F" w14:textId="77777777" w:rsidR="007F7E0B" w:rsidRPr="005955A7" w:rsidRDefault="007F7E0B" w:rsidP="00803F0A">
      <w:pPr>
        <w:ind w:left="851"/>
        <w:rPr>
          <w:rFonts w:eastAsia="SimSun"/>
          <w:i/>
          <w:sz w:val="24"/>
          <w:szCs w:val="24"/>
          <w:lang w:eastAsia="zh-CN"/>
        </w:rPr>
      </w:pPr>
      <w:r w:rsidRPr="005955A7">
        <w:rPr>
          <w:rFonts w:eastAsia="SimSun"/>
          <w:i/>
          <w:sz w:val="24"/>
          <w:szCs w:val="24"/>
          <w:lang w:eastAsia="zh-CN"/>
        </w:rPr>
        <w:t>AUC </w:t>
      </w:r>
      <w:r w:rsidRPr="005955A7">
        <w:rPr>
          <w:rFonts w:eastAsia="SimSun"/>
          <w:i/>
          <w:sz w:val="24"/>
          <w:szCs w:val="24"/>
          <w:lang w:val="en-US" w:eastAsia="zh-CN"/>
        </w:rPr>
        <w:sym w:font="Symbol" w:char="F03D"/>
      </w:r>
      <w:r w:rsidRPr="005955A7">
        <w:rPr>
          <w:rFonts w:eastAsia="SimSun"/>
          <w:i/>
          <w:sz w:val="24"/>
          <w:szCs w:val="24"/>
          <w:lang w:eastAsia="zh-CN"/>
        </w:rPr>
        <w:t> arealet under plasmakoncentration</w:t>
      </w:r>
      <w:r w:rsidRPr="005955A7">
        <w:rPr>
          <w:rFonts w:eastAsia="SimSun"/>
          <w:i/>
          <w:sz w:val="24"/>
          <w:szCs w:val="24"/>
          <w:lang w:eastAsia="zh-CN"/>
        </w:rPr>
        <w:noBreakHyphen/>
        <w:t>tid kurve; BSA </w:t>
      </w:r>
      <w:r w:rsidRPr="005955A7">
        <w:rPr>
          <w:rFonts w:eastAsia="SimSun"/>
          <w:i/>
          <w:sz w:val="24"/>
          <w:szCs w:val="24"/>
          <w:lang w:val="en-US" w:eastAsia="zh-CN"/>
        </w:rPr>
        <w:sym w:font="Symbol" w:char="F03D"/>
      </w:r>
      <w:r w:rsidRPr="005955A7">
        <w:rPr>
          <w:rFonts w:eastAsia="SimSun"/>
          <w:i/>
          <w:sz w:val="24"/>
          <w:szCs w:val="24"/>
          <w:lang w:eastAsia="zh-CN"/>
        </w:rPr>
        <w:t xml:space="preserve"> body </w:t>
      </w:r>
      <w:proofErr w:type="spellStart"/>
      <w:r w:rsidRPr="005955A7">
        <w:rPr>
          <w:rFonts w:eastAsia="SimSun"/>
          <w:i/>
          <w:sz w:val="24"/>
          <w:szCs w:val="24"/>
          <w:lang w:eastAsia="zh-CN"/>
        </w:rPr>
        <w:t>surface</w:t>
      </w:r>
      <w:proofErr w:type="spellEnd"/>
      <w:r w:rsidRPr="005955A7">
        <w:rPr>
          <w:rFonts w:eastAsia="SimSun"/>
          <w:i/>
          <w:sz w:val="24"/>
          <w:szCs w:val="24"/>
          <w:lang w:eastAsia="zh-CN"/>
        </w:rPr>
        <w:t xml:space="preserve"> </w:t>
      </w:r>
      <w:proofErr w:type="spellStart"/>
      <w:r w:rsidRPr="005955A7">
        <w:rPr>
          <w:rFonts w:eastAsia="SimSun"/>
          <w:i/>
          <w:sz w:val="24"/>
          <w:szCs w:val="24"/>
          <w:lang w:eastAsia="zh-CN"/>
        </w:rPr>
        <w:t>area</w:t>
      </w:r>
      <w:proofErr w:type="spellEnd"/>
      <w:r w:rsidRPr="005955A7">
        <w:rPr>
          <w:rFonts w:eastAsia="SimSun"/>
          <w:i/>
          <w:sz w:val="24"/>
          <w:szCs w:val="24"/>
          <w:lang w:eastAsia="zh-CN"/>
        </w:rPr>
        <w:t xml:space="preserve"> (legemsoverflade); </w:t>
      </w:r>
    </w:p>
    <w:p w14:paraId="6CA096B8" w14:textId="77777777" w:rsidR="007F7E0B" w:rsidRPr="005955A7" w:rsidRDefault="007F7E0B" w:rsidP="00803F0A">
      <w:pPr>
        <w:ind w:left="851"/>
        <w:rPr>
          <w:rFonts w:eastAsia="SimSun"/>
          <w:i/>
          <w:sz w:val="24"/>
          <w:szCs w:val="24"/>
          <w:lang w:eastAsia="zh-CN"/>
        </w:rPr>
      </w:pPr>
      <w:proofErr w:type="spellStart"/>
      <w:r w:rsidRPr="005955A7">
        <w:rPr>
          <w:rFonts w:eastAsia="SimSun"/>
          <w:i/>
          <w:sz w:val="24"/>
          <w:szCs w:val="24"/>
          <w:lang w:eastAsia="zh-CN"/>
        </w:rPr>
        <w:t>CrCL</w:t>
      </w:r>
      <w:proofErr w:type="spellEnd"/>
      <w:r w:rsidRPr="005955A7">
        <w:rPr>
          <w:rFonts w:eastAsia="SimSun"/>
          <w:i/>
          <w:sz w:val="24"/>
          <w:szCs w:val="24"/>
          <w:lang w:eastAsia="zh-CN"/>
        </w:rPr>
        <w:t> </w:t>
      </w:r>
      <w:r w:rsidRPr="005955A7">
        <w:rPr>
          <w:rFonts w:eastAsia="SimSun"/>
          <w:i/>
          <w:sz w:val="24"/>
          <w:szCs w:val="24"/>
          <w:lang w:val="en-US" w:eastAsia="zh-CN"/>
        </w:rPr>
        <w:sym w:font="Symbol" w:char="F03D"/>
      </w:r>
      <w:r w:rsidRPr="005955A7">
        <w:rPr>
          <w:rFonts w:eastAsia="SimSun"/>
          <w:i/>
          <w:sz w:val="24"/>
          <w:szCs w:val="24"/>
          <w:lang w:val="en-US" w:eastAsia="zh-CN"/>
        </w:rPr>
        <w:t xml:space="preserve"> </w:t>
      </w:r>
      <w:proofErr w:type="spellStart"/>
      <w:r w:rsidRPr="005955A7">
        <w:rPr>
          <w:rFonts w:eastAsia="SimSun"/>
          <w:i/>
          <w:sz w:val="24"/>
          <w:szCs w:val="24"/>
          <w:lang w:eastAsia="zh-CN"/>
        </w:rPr>
        <w:t>kreatininclearance</w:t>
      </w:r>
      <w:proofErr w:type="spellEnd"/>
      <w:r w:rsidRPr="005955A7">
        <w:rPr>
          <w:rFonts w:eastAsia="SimSun"/>
          <w:i/>
          <w:sz w:val="24"/>
          <w:szCs w:val="24"/>
          <w:lang w:eastAsia="zh-CN"/>
        </w:rPr>
        <w:t>; max </w:t>
      </w:r>
      <w:r w:rsidRPr="005955A7">
        <w:rPr>
          <w:rFonts w:eastAsia="SimSun"/>
          <w:i/>
          <w:sz w:val="24"/>
          <w:szCs w:val="24"/>
          <w:lang w:val="en-US" w:eastAsia="zh-CN"/>
        </w:rPr>
        <w:sym w:font="Symbol" w:char="F03D"/>
      </w:r>
      <w:r w:rsidRPr="005955A7">
        <w:rPr>
          <w:rFonts w:eastAsia="SimSun"/>
          <w:i/>
          <w:sz w:val="24"/>
          <w:szCs w:val="24"/>
          <w:lang w:eastAsia="zh-CN"/>
        </w:rPr>
        <w:t> maksimal; min </w:t>
      </w:r>
      <w:r w:rsidRPr="005955A7">
        <w:rPr>
          <w:rFonts w:eastAsia="SimSun"/>
          <w:i/>
          <w:sz w:val="24"/>
          <w:szCs w:val="24"/>
          <w:lang w:val="en-US" w:eastAsia="zh-CN"/>
        </w:rPr>
        <w:sym w:font="Symbol" w:char="F03D"/>
      </w:r>
      <w:r w:rsidRPr="005955A7">
        <w:rPr>
          <w:rFonts w:eastAsia="SimSun"/>
          <w:i/>
          <w:sz w:val="24"/>
          <w:szCs w:val="24"/>
          <w:lang w:eastAsia="zh-CN"/>
        </w:rPr>
        <w:t> minimal.</w:t>
      </w:r>
    </w:p>
    <w:p w14:paraId="67C2EFED" w14:textId="350A52A0" w:rsidR="007F7E0B" w:rsidRPr="005955A7" w:rsidRDefault="007F7E0B" w:rsidP="00803F0A">
      <w:pPr>
        <w:ind w:left="851"/>
        <w:rPr>
          <w:rFonts w:eastAsia="SimSun"/>
          <w:i/>
          <w:sz w:val="24"/>
          <w:szCs w:val="24"/>
          <w:lang w:eastAsia="zh-CN"/>
        </w:rPr>
      </w:pPr>
      <w:r w:rsidRPr="005955A7">
        <w:rPr>
          <w:i/>
          <w:sz w:val="24"/>
          <w:szCs w:val="24"/>
          <w:vertAlign w:val="superscript"/>
          <w:lang w:eastAsia="ja-JP"/>
        </w:rPr>
        <w:t>*</w:t>
      </w:r>
      <w:r w:rsidRPr="005955A7">
        <w:rPr>
          <w:i/>
          <w:sz w:val="24"/>
          <w:szCs w:val="24"/>
          <w:lang w:eastAsia="ja-JP"/>
        </w:rPr>
        <w:t xml:space="preserve"> Simulationerne var udført med anvendelse af en valideret pædiatrisk </w:t>
      </w:r>
      <w:proofErr w:type="spellStart"/>
      <w:r w:rsidRPr="005955A7">
        <w:rPr>
          <w:i/>
          <w:sz w:val="24"/>
          <w:szCs w:val="24"/>
          <w:lang w:eastAsia="ja-JP"/>
        </w:rPr>
        <w:t>populations</w:t>
      </w:r>
      <w:r w:rsidR="00803F0A">
        <w:rPr>
          <w:i/>
          <w:sz w:val="24"/>
          <w:szCs w:val="24"/>
          <w:lang w:eastAsia="ja-JP"/>
        </w:rPr>
        <w:softHyphen/>
      </w:r>
      <w:r w:rsidRPr="005955A7">
        <w:rPr>
          <w:i/>
          <w:sz w:val="24"/>
          <w:szCs w:val="24"/>
          <w:lang w:eastAsia="ja-JP"/>
        </w:rPr>
        <w:t>farmakokinetisk</w:t>
      </w:r>
      <w:proofErr w:type="spellEnd"/>
      <w:r w:rsidRPr="005955A7">
        <w:rPr>
          <w:i/>
          <w:sz w:val="24"/>
          <w:szCs w:val="24"/>
          <w:lang w:eastAsia="ja-JP"/>
        </w:rPr>
        <w:t xml:space="preserve"> model og demografiske data fra pædiatriske patienter, som fik </w:t>
      </w:r>
      <w:proofErr w:type="spellStart"/>
      <w:r w:rsidRPr="005955A7">
        <w:rPr>
          <w:i/>
          <w:sz w:val="24"/>
          <w:szCs w:val="24"/>
          <w:lang w:eastAsia="ja-JP"/>
        </w:rPr>
        <w:t>valganciclovir</w:t>
      </w:r>
      <w:proofErr w:type="spellEnd"/>
      <w:r w:rsidRPr="005955A7">
        <w:rPr>
          <w:i/>
          <w:sz w:val="24"/>
          <w:szCs w:val="24"/>
          <w:lang w:eastAsia="ja-JP"/>
        </w:rPr>
        <w:t xml:space="preserve"> eller </w:t>
      </w:r>
      <w:proofErr w:type="spellStart"/>
      <w:r w:rsidRPr="005955A7">
        <w:rPr>
          <w:i/>
          <w:sz w:val="24"/>
          <w:szCs w:val="24"/>
          <w:lang w:eastAsia="ja-JP"/>
        </w:rPr>
        <w:t>ganciclovir</w:t>
      </w:r>
      <w:proofErr w:type="spellEnd"/>
      <w:r w:rsidRPr="005955A7">
        <w:rPr>
          <w:i/>
          <w:sz w:val="24"/>
          <w:szCs w:val="24"/>
          <w:lang w:eastAsia="ja-JP"/>
        </w:rPr>
        <w:t xml:space="preserve"> behandling i kliniske studier (n=1473 datasæt)</w:t>
      </w:r>
    </w:p>
    <w:p w14:paraId="3C7B4445" w14:textId="77777777" w:rsidR="007F7E0B" w:rsidRPr="00A26195" w:rsidRDefault="007F7E0B" w:rsidP="007F7E0B">
      <w:pPr>
        <w:tabs>
          <w:tab w:val="left" w:pos="1843"/>
        </w:tabs>
        <w:ind w:left="851"/>
        <w:rPr>
          <w:sz w:val="24"/>
          <w:szCs w:val="24"/>
          <w:lang w:eastAsia="ja-JP"/>
        </w:rPr>
      </w:pPr>
    </w:p>
    <w:p w14:paraId="5FF6D77E" w14:textId="77777777" w:rsidR="007F7E0B" w:rsidRPr="005955A7" w:rsidRDefault="007F7E0B" w:rsidP="007F7E0B">
      <w:pPr>
        <w:tabs>
          <w:tab w:val="left" w:pos="1843"/>
        </w:tabs>
        <w:ind w:left="851"/>
        <w:rPr>
          <w:sz w:val="24"/>
          <w:szCs w:val="24"/>
          <w:u w:val="single"/>
          <w:lang w:eastAsia="ja-JP"/>
        </w:rPr>
      </w:pPr>
      <w:r w:rsidRPr="005955A7">
        <w:rPr>
          <w:sz w:val="24"/>
          <w:szCs w:val="24"/>
          <w:u w:val="single"/>
          <w:lang w:eastAsia="ja-JP"/>
        </w:rPr>
        <w:t>Ældre</w:t>
      </w:r>
    </w:p>
    <w:p w14:paraId="1BB5E11B" w14:textId="77777777" w:rsidR="007F7E0B" w:rsidRPr="005955A7" w:rsidRDefault="007F7E0B" w:rsidP="007F7E0B">
      <w:pPr>
        <w:tabs>
          <w:tab w:val="left" w:pos="1843"/>
        </w:tabs>
        <w:ind w:left="851"/>
        <w:rPr>
          <w:sz w:val="24"/>
          <w:szCs w:val="24"/>
          <w:lang w:eastAsia="ja-JP"/>
        </w:rPr>
      </w:pPr>
      <w:r w:rsidRPr="005955A7">
        <w:rPr>
          <w:sz w:val="24"/>
          <w:szCs w:val="24"/>
          <w:lang w:eastAsia="ja-JP"/>
        </w:rPr>
        <w:t>Der er ikke udført studier hos voksne over 65 år (se pkt. 4.2).</w:t>
      </w:r>
    </w:p>
    <w:p w14:paraId="78CADF47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E48CA0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5.3</w:t>
      </w:r>
      <w:r w:rsidRPr="005955A7">
        <w:rPr>
          <w:b/>
          <w:sz w:val="24"/>
          <w:szCs w:val="24"/>
        </w:rPr>
        <w:tab/>
      </w:r>
      <w:r w:rsidR="00BD7931" w:rsidRPr="005955A7">
        <w:rPr>
          <w:b/>
          <w:sz w:val="24"/>
          <w:szCs w:val="24"/>
        </w:rPr>
        <w:t>Non-</w:t>
      </w:r>
      <w:r w:rsidRPr="005955A7">
        <w:rPr>
          <w:b/>
          <w:sz w:val="24"/>
          <w:szCs w:val="24"/>
        </w:rPr>
        <w:t>kliniske sikkerhedsdata</w:t>
      </w:r>
    </w:p>
    <w:p w14:paraId="35A2480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mutagent i </w:t>
      </w:r>
      <w:proofErr w:type="spellStart"/>
      <w:r w:rsidRPr="005955A7">
        <w:rPr>
          <w:sz w:val="24"/>
          <w:szCs w:val="24"/>
        </w:rPr>
        <w:t>muselymfomceller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klastogent</w:t>
      </w:r>
      <w:proofErr w:type="spellEnd"/>
      <w:r w:rsidRPr="005955A7">
        <w:rPr>
          <w:sz w:val="24"/>
          <w:szCs w:val="24"/>
        </w:rPr>
        <w:t xml:space="preserve"> i pattedyrceller. Dette er konsistent med de positive </w:t>
      </w:r>
      <w:proofErr w:type="spellStart"/>
      <w:r w:rsidRPr="005955A7">
        <w:rPr>
          <w:sz w:val="24"/>
          <w:szCs w:val="24"/>
        </w:rPr>
        <w:t>karcinogenicitetsstudier</w:t>
      </w:r>
      <w:proofErr w:type="spellEnd"/>
      <w:r w:rsidRPr="005955A7">
        <w:rPr>
          <w:sz w:val="24"/>
          <w:szCs w:val="24"/>
        </w:rPr>
        <w:t xml:space="preserve">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hos mus.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er potentielt </w:t>
      </w:r>
      <w:proofErr w:type="spellStart"/>
      <w:r w:rsidRPr="005955A7">
        <w:rPr>
          <w:sz w:val="24"/>
          <w:szCs w:val="24"/>
        </w:rPr>
        <w:t>karcinogent</w:t>
      </w:r>
      <w:proofErr w:type="spellEnd"/>
      <w:r w:rsidRPr="005955A7">
        <w:rPr>
          <w:sz w:val="24"/>
          <w:szCs w:val="24"/>
        </w:rPr>
        <w:t>.</w:t>
      </w:r>
    </w:p>
    <w:p w14:paraId="2DB0E7C4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6FF383E7" w14:textId="6B817FD3" w:rsidR="009260DE" w:rsidRPr="005955A7" w:rsidRDefault="007F7E0B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forårsager nedsat fertilitet og </w:t>
      </w:r>
      <w:proofErr w:type="spellStart"/>
      <w:r w:rsidRPr="005955A7">
        <w:rPr>
          <w:sz w:val="24"/>
          <w:szCs w:val="24"/>
        </w:rPr>
        <w:t>teratogenicitet</w:t>
      </w:r>
      <w:proofErr w:type="spellEnd"/>
      <w:r w:rsidRPr="005955A7">
        <w:rPr>
          <w:sz w:val="24"/>
          <w:szCs w:val="24"/>
        </w:rPr>
        <w:t xml:space="preserve"> hos dyr. På baggrund af dyrestudier, hvor hæmning af </w:t>
      </w:r>
      <w:proofErr w:type="spellStart"/>
      <w:r w:rsidRPr="005955A7">
        <w:rPr>
          <w:sz w:val="24"/>
          <w:szCs w:val="24"/>
        </w:rPr>
        <w:t>spermatogenese</w:t>
      </w:r>
      <w:proofErr w:type="spellEnd"/>
      <w:r w:rsidRPr="005955A7">
        <w:rPr>
          <w:sz w:val="24"/>
          <w:szCs w:val="24"/>
        </w:rPr>
        <w:t xml:space="preserve"> induceres ved systemisk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-eksponering under terapeutisk niveau, er det sandsynligt, at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kan hæmme den humane </w:t>
      </w:r>
      <w:proofErr w:type="spellStart"/>
      <w:r w:rsidRPr="005955A7">
        <w:rPr>
          <w:sz w:val="24"/>
          <w:szCs w:val="24"/>
        </w:rPr>
        <w:t>spermatogenese</w:t>
      </w:r>
      <w:proofErr w:type="spellEnd"/>
      <w:r w:rsidRPr="005955A7">
        <w:rPr>
          <w:sz w:val="24"/>
          <w:szCs w:val="24"/>
        </w:rPr>
        <w:t>.</w:t>
      </w:r>
    </w:p>
    <w:p w14:paraId="6C183472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A0D93F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BB2C03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6.</w:t>
      </w:r>
      <w:r w:rsidRPr="005955A7">
        <w:rPr>
          <w:b/>
          <w:sz w:val="24"/>
          <w:szCs w:val="24"/>
        </w:rPr>
        <w:tab/>
        <w:t>FARMACEUTISKE OPLYSNINGER</w:t>
      </w:r>
    </w:p>
    <w:p w14:paraId="57945F1B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117DED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6.1</w:t>
      </w:r>
      <w:r w:rsidRPr="005955A7">
        <w:rPr>
          <w:b/>
          <w:sz w:val="24"/>
          <w:szCs w:val="24"/>
        </w:rPr>
        <w:tab/>
        <w:t>Hjælpestoffer</w:t>
      </w:r>
    </w:p>
    <w:p w14:paraId="1C3F0D8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>Natriumhydroxid (til pH-justering).</w:t>
      </w:r>
    </w:p>
    <w:p w14:paraId="39F5B92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Saltsyre (til pH-justering).</w:t>
      </w:r>
    </w:p>
    <w:p w14:paraId="67B9BE4E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C6B02B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6.2</w:t>
      </w:r>
      <w:r w:rsidRPr="005955A7">
        <w:rPr>
          <w:b/>
          <w:sz w:val="24"/>
          <w:szCs w:val="24"/>
        </w:rPr>
        <w:tab/>
        <w:t>Uforligeligheder</w:t>
      </w:r>
    </w:p>
    <w:p w14:paraId="60DE535A" w14:textId="18112839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>Må ikke anvendes samtidig med opløsninger indeholdende parabener (</w:t>
      </w:r>
      <w:proofErr w:type="spellStart"/>
      <w:r w:rsidRPr="005955A7">
        <w:rPr>
          <w:sz w:val="24"/>
          <w:szCs w:val="24"/>
        </w:rPr>
        <w:t>parahydroxy</w:t>
      </w:r>
      <w:r w:rsidR="00803F0A">
        <w:rPr>
          <w:sz w:val="24"/>
          <w:szCs w:val="24"/>
        </w:rPr>
        <w:softHyphen/>
      </w:r>
      <w:r w:rsidRPr="005955A7">
        <w:rPr>
          <w:sz w:val="24"/>
          <w:szCs w:val="24"/>
        </w:rPr>
        <w:t>benzoater</w:t>
      </w:r>
      <w:proofErr w:type="spellEnd"/>
      <w:r w:rsidRPr="005955A7">
        <w:rPr>
          <w:sz w:val="24"/>
          <w:szCs w:val="24"/>
        </w:rPr>
        <w:t xml:space="preserve">), såsom </w:t>
      </w:r>
      <w:proofErr w:type="spellStart"/>
      <w:r w:rsidRPr="005955A7">
        <w:rPr>
          <w:sz w:val="24"/>
          <w:szCs w:val="24"/>
        </w:rPr>
        <w:t>bakteriostatisk</w:t>
      </w:r>
      <w:proofErr w:type="spellEnd"/>
      <w:r w:rsidRPr="005955A7">
        <w:rPr>
          <w:sz w:val="24"/>
          <w:szCs w:val="24"/>
        </w:rPr>
        <w:t xml:space="preserve"> vand til injektionsvæsker. Dette kan forårsage udfældning.</w:t>
      </w:r>
    </w:p>
    <w:p w14:paraId="5C9A73A6" w14:textId="77777777" w:rsidR="00A26195" w:rsidRDefault="00A26195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C411772" w14:textId="6211B6B0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Dette lægemiddel må ikke blandes med andre lægemidler end dem, der er anført under pkt. 6.6. </w:t>
      </w:r>
    </w:p>
    <w:p w14:paraId="5F329884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11FB10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6.3</w:t>
      </w:r>
      <w:r w:rsidRPr="005955A7">
        <w:rPr>
          <w:b/>
          <w:sz w:val="24"/>
          <w:szCs w:val="24"/>
        </w:rPr>
        <w:tab/>
        <w:t>Opbevaringstid</w:t>
      </w:r>
    </w:p>
    <w:p w14:paraId="4136DD1C" w14:textId="2C538EDB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 xml:space="preserve">5 år. </w:t>
      </w:r>
    </w:p>
    <w:p w14:paraId="70CD43A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DA843C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Efter </w:t>
      </w:r>
      <w:proofErr w:type="spellStart"/>
      <w:r w:rsidRPr="005955A7">
        <w:rPr>
          <w:sz w:val="24"/>
          <w:szCs w:val="24"/>
        </w:rPr>
        <w:t>rekonstitution</w:t>
      </w:r>
      <w:proofErr w:type="spellEnd"/>
      <w:r w:rsidRPr="005955A7">
        <w:rPr>
          <w:sz w:val="24"/>
          <w:szCs w:val="24"/>
        </w:rPr>
        <w:t>:</w:t>
      </w:r>
    </w:p>
    <w:p w14:paraId="0B3C8CC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Det </w:t>
      </w:r>
      <w:proofErr w:type="spellStart"/>
      <w:r w:rsidRPr="005955A7">
        <w:rPr>
          <w:sz w:val="24"/>
          <w:szCs w:val="24"/>
        </w:rPr>
        <w:t>rekonstituerede</w:t>
      </w:r>
      <w:proofErr w:type="spellEnd"/>
      <w:r w:rsidRPr="005955A7">
        <w:rPr>
          <w:sz w:val="24"/>
          <w:szCs w:val="24"/>
        </w:rPr>
        <w:t xml:space="preserve"> præparats kemiske og fysiske i-brug-holdbarhed i hætteglasset er dokumenteret at være 12 timer ved 20-25 °C. Må ikke opbevares i køleskab eller fryses. </w:t>
      </w:r>
    </w:p>
    <w:p w14:paraId="2CF04D5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Ud fra en mikrobiologisk betragtning bør det </w:t>
      </w:r>
      <w:proofErr w:type="spellStart"/>
      <w:r w:rsidRPr="005955A7">
        <w:rPr>
          <w:sz w:val="24"/>
          <w:szCs w:val="24"/>
        </w:rPr>
        <w:t>rekonstituerede</w:t>
      </w:r>
      <w:proofErr w:type="spellEnd"/>
      <w:r w:rsidRPr="005955A7">
        <w:rPr>
          <w:sz w:val="24"/>
          <w:szCs w:val="24"/>
        </w:rPr>
        <w:t xml:space="preserve"> koncentrat anvendes straks, medmindre </w:t>
      </w:r>
      <w:proofErr w:type="spellStart"/>
      <w:r w:rsidRPr="005955A7">
        <w:rPr>
          <w:sz w:val="24"/>
          <w:szCs w:val="24"/>
        </w:rPr>
        <w:t>rekonstitutionsmetoden</w:t>
      </w:r>
      <w:proofErr w:type="spellEnd"/>
      <w:r w:rsidRPr="005955A7">
        <w:rPr>
          <w:sz w:val="24"/>
          <w:szCs w:val="24"/>
        </w:rPr>
        <w:t xml:space="preserve"> udelukker risikoen for mikrobiel kontaminering. Hvis det ikke anvendes straks, er opbevaringstid og -forhold inden brug brugerens ansvar. </w:t>
      </w:r>
    </w:p>
    <w:p w14:paraId="19D4915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AD7DAE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Efter fortynding:</w:t>
      </w:r>
    </w:p>
    <w:p w14:paraId="15F5507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Der er vist kemisk og fysisk i-brug-holdbarhed efter fortynding i 24 timer ved 2-8 °C. Må ikke fryses. </w:t>
      </w:r>
    </w:p>
    <w:p w14:paraId="7F1BE34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Ud fra en mikrobiologisk betragtning bør den fortyndede infusionsvæske anvendes straks, medmindre </w:t>
      </w:r>
      <w:proofErr w:type="spellStart"/>
      <w:r w:rsidRPr="005955A7">
        <w:rPr>
          <w:sz w:val="24"/>
          <w:szCs w:val="24"/>
        </w:rPr>
        <w:t>rekonstitutionsmetoden</w:t>
      </w:r>
      <w:proofErr w:type="spellEnd"/>
      <w:r w:rsidRPr="005955A7">
        <w:rPr>
          <w:sz w:val="24"/>
          <w:szCs w:val="24"/>
        </w:rPr>
        <w:t xml:space="preserve"> udelukker risikoen for mikrobiel kontaminering. Hvis den ikke anvendes straks, er opbevaringstid og -forhold inden brug brugerens ansvar.</w:t>
      </w:r>
    </w:p>
    <w:p w14:paraId="543813B7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592E99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6.4</w:t>
      </w:r>
      <w:r w:rsidRPr="005955A7">
        <w:rPr>
          <w:b/>
          <w:sz w:val="24"/>
          <w:szCs w:val="24"/>
        </w:rPr>
        <w:tab/>
        <w:t>Særlige opbevaringsforhold</w:t>
      </w:r>
    </w:p>
    <w:p w14:paraId="46C9EF09" w14:textId="77777777" w:rsidR="007F7E0B" w:rsidRPr="005955A7" w:rsidRDefault="007F7E0B" w:rsidP="007F7E0B">
      <w:pPr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>Dette lægemiddel kræver ingen særlige forholdsregler vedrørende opbevaringen.</w:t>
      </w:r>
    </w:p>
    <w:p w14:paraId="4BE3FCD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Opbevaringsforhold efter </w:t>
      </w:r>
      <w:proofErr w:type="spellStart"/>
      <w:r w:rsidRPr="005955A7">
        <w:rPr>
          <w:sz w:val="24"/>
          <w:szCs w:val="24"/>
        </w:rPr>
        <w:t>rekonstitution</w:t>
      </w:r>
      <w:proofErr w:type="spellEnd"/>
      <w:r w:rsidRPr="005955A7">
        <w:rPr>
          <w:sz w:val="24"/>
          <w:szCs w:val="24"/>
        </w:rPr>
        <w:t xml:space="preserve"> og fortynding af lægemidlet, se pkt. 6.3.</w:t>
      </w:r>
    </w:p>
    <w:p w14:paraId="6529B465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FA81A7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6.5</w:t>
      </w:r>
      <w:r w:rsidRPr="005955A7">
        <w:rPr>
          <w:b/>
          <w:sz w:val="24"/>
          <w:szCs w:val="24"/>
        </w:rPr>
        <w:tab/>
        <w:t>Emballagetype og pakningsstørrelser</w:t>
      </w:r>
    </w:p>
    <w:p w14:paraId="140F7ADF" w14:textId="77777777" w:rsidR="007F7E0B" w:rsidRPr="005955A7" w:rsidRDefault="007F7E0B" w:rsidP="007F7E0B">
      <w:pPr>
        <w:ind w:left="1702" w:hanging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 xml:space="preserve">10 ml klare hætteglas med </w:t>
      </w:r>
      <w:proofErr w:type="spellStart"/>
      <w:r w:rsidRPr="005955A7">
        <w:rPr>
          <w:sz w:val="24"/>
          <w:szCs w:val="24"/>
        </w:rPr>
        <w:t>brombutylgummiprop</w:t>
      </w:r>
      <w:proofErr w:type="spellEnd"/>
      <w:r w:rsidRPr="005955A7">
        <w:rPr>
          <w:sz w:val="24"/>
          <w:szCs w:val="24"/>
        </w:rPr>
        <w:t xml:space="preserve"> og aluminiumshætte, der kan vippes af.</w:t>
      </w:r>
    </w:p>
    <w:p w14:paraId="30E98937" w14:textId="77777777" w:rsidR="007F7E0B" w:rsidRPr="005955A7" w:rsidRDefault="007F7E0B" w:rsidP="007F7E0B">
      <w:pPr>
        <w:ind w:left="1702" w:hanging="851"/>
        <w:rPr>
          <w:sz w:val="24"/>
          <w:szCs w:val="24"/>
        </w:rPr>
      </w:pPr>
    </w:p>
    <w:p w14:paraId="0A41D268" w14:textId="77777777" w:rsidR="007F7E0B" w:rsidRPr="005955A7" w:rsidRDefault="007F7E0B" w:rsidP="007F7E0B">
      <w:pPr>
        <w:ind w:left="1702" w:hanging="851"/>
        <w:rPr>
          <w:sz w:val="24"/>
          <w:szCs w:val="24"/>
        </w:rPr>
      </w:pPr>
      <w:r w:rsidRPr="005955A7">
        <w:rPr>
          <w:sz w:val="24"/>
          <w:szCs w:val="24"/>
        </w:rPr>
        <w:t>Pakningsstørrelse:</w:t>
      </w:r>
    </w:p>
    <w:p w14:paraId="1A31A7F1" w14:textId="77777777" w:rsidR="007F7E0B" w:rsidRPr="005955A7" w:rsidRDefault="007F7E0B" w:rsidP="007F7E0B">
      <w:pPr>
        <w:ind w:left="1702" w:hanging="851"/>
        <w:rPr>
          <w:sz w:val="24"/>
          <w:szCs w:val="24"/>
        </w:rPr>
      </w:pPr>
      <w:r w:rsidRPr="005955A7">
        <w:rPr>
          <w:sz w:val="24"/>
          <w:szCs w:val="24"/>
        </w:rPr>
        <w:t>1, 5 eller 10 hætteglas</w:t>
      </w:r>
    </w:p>
    <w:p w14:paraId="31ADF5EB" w14:textId="77777777" w:rsidR="00A26195" w:rsidRDefault="00A26195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CA10F85" w14:textId="1C9C4273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Ikke alle pakningsstørrelser er nødvendigvis markedsført.</w:t>
      </w:r>
    </w:p>
    <w:p w14:paraId="29B99354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55D7E1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6.6</w:t>
      </w:r>
      <w:r w:rsidRPr="005955A7">
        <w:rPr>
          <w:b/>
          <w:sz w:val="24"/>
          <w:szCs w:val="24"/>
        </w:rPr>
        <w:tab/>
        <w:t xml:space="preserve">Regler for </w:t>
      </w:r>
      <w:r w:rsidR="00BD7931" w:rsidRPr="005955A7">
        <w:rPr>
          <w:b/>
          <w:sz w:val="24"/>
          <w:szCs w:val="24"/>
        </w:rPr>
        <w:t>bortskaffelse</w:t>
      </w:r>
      <w:r w:rsidRPr="005955A7">
        <w:rPr>
          <w:b/>
          <w:sz w:val="24"/>
          <w:szCs w:val="24"/>
        </w:rPr>
        <w:t xml:space="preserve"> og anden håndtering</w:t>
      </w:r>
    </w:p>
    <w:p w14:paraId="52035022" w14:textId="77777777" w:rsidR="008A6222" w:rsidRDefault="008A6222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77B8C405" w14:textId="7814D383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  <w:lang w:eastAsia="da-DK"/>
        </w:rPr>
      </w:pPr>
      <w:r w:rsidRPr="005955A7">
        <w:rPr>
          <w:i/>
          <w:iCs/>
          <w:sz w:val="24"/>
          <w:szCs w:val="24"/>
        </w:rPr>
        <w:t xml:space="preserve">Metode til håndtering og bortskaffelse af </w:t>
      </w:r>
      <w:proofErr w:type="spellStart"/>
      <w:r w:rsidRPr="005955A7">
        <w:rPr>
          <w:i/>
          <w:iCs/>
          <w:sz w:val="24"/>
          <w:szCs w:val="24"/>
        </w:rPr>
        <w:t>ganciclovir</w:t>
      </w:r>
      <w:proofErr w:type="spellEnd"/>
    </w:p>
    <w:p w14:paraId="0644EEDA" w14:textId="31167C21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Da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vurderes at være potentielt </w:t>
      </w:r>
      <w:proofErr w:type="spellStart"/>
      <w:r w:rsidRPr="005955A7">
        <w:rPr>
          <w:sz w:val="24"/>
          <w:szCs w:val="24"/>
        </w:rPr>
        <w:t>teratogent</w:t>
      </w:r>
      <w:proofErr w:type="spellEnd"/>
      <w:r w:rsidRPr="005955A7">
        <w:rPr>
          <w:sz w:val="24"/>
          <w:szCs w:val="24"/>
        </w:rPr>
        <w:t xml:space="preserve"> og </w:t>
      </w:r>
      <w:proofErr w:type="spellStart"/>
      <w:r w:rsidRPr="005955A7">
        <w:rPr>
          <w:sz w:val="24"/>
          <w:szCs w:val="24"/>
        </w:rPr>
        <w:t>karcinogent</w:t>
      </w:r>
      <w:proofErr w:type="spellEnd"/>
      <w:r w:rsidRPr="005955A7">
        <w:rPr>
          <w:sz w:val="24"/>
          <w:szCs w:val="24"/>
        </w:rPr>
        <w:t xml:space="preserve"> hos mennesker, skal der udvises forsigtighed ved håndtering og bortskaffelse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</w:t>
      </w:r>
      <w:r w:rsidR="00A26195">
        <w:rPr>
          <w:sz w:val="24"/>
          <w:szCs w:val="24"/>
        </w:rPr>
        <w:t>"</w:t>
      </w:r>
      <w:proofErr w:type="spellStart"/>
      <w:r w:rsidR="00A26195">
        <w:rPr>
          <w:sz w:val="24"/>
          <w:szCs w:val="24"/>
        </w:rPr>
        <w:t>Oresund</w:t>
      </w:r>
      <w:proofErr w:type="spellEnd"/>
      <w:r w:rsidR="00A26195">
        <w:rPr>
          <w:sz w:val="24"/>
          <w:szCs w:val="24"/>
        </w:rPr>
        <w:t xml:space="preserve"> Pharma"</w:t>
      </w:r>
      <w:r w:rsidRPr="005955A7">
        <w:rPr>
          <w:sz w:val="24"/>
          <w:szCs w:val="24"/>
        </w:rPr>
        <w:t xml:space="preserve"> (se pkt. 4.4 og 4.8).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opløsninger har en høj pH (9-11).</w:t>
      </w:r>
    </w:p>
    <w:p w14:paraId="1D8BDE90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19E60B1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lastRenderedPageBreak/>
        <w:t>UNDGÅ INDTAGELSE, INHALERING ELLER DIREKTE KONTAKT MED HUD ELLER SLIMHINDER</w:t>
      </w:r>
    </w:p>
    <w:p w14:paraId="29441D7D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352C1DBA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Hvis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kommer i kontakt med hud eller slimhinder, vaskes grundigt med vand og sæbe. I tilfælde af kontakt med øjnene skylles grundigt med sterilt vand, eller med postevand hvis sterilt vand ikke er tilgængeligt.</w:t>
      </w:r>
    </w:p>
    <w:p w14:paraId="787D2FD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5A0A7E3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5955A7">
        <w:rPr>
          <w:i/>
          <w:iCs/>
          <w:sz w:val="24"/>
          <w:szCs w:val="24"/>
        </w:rPr>
        <w:t>Rekonstitution</w:t>
      </w:r>
      <w:proofErr w:type="spellEnd"/>
    </w:p>
    <w:p w14:paraId="2F55A195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Hvert 10 ml hætteglas i klart glas indeholder det der svarer til 500 mg af den frie base af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>. Indholdet af hætteglasset skal forberedes til administration på følgende måde ved brug af aseptisk teknik:</w:t>
      </w:r>
    </w:p>
    <w:p w14:paraId="03249D2F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EAED590" w14:textId="77777777" w:rsidR="007F7E0B" w:rsidRPr="005955A7" w:rsidRDefault="007F7E0B" w:rsidP="007F7E0B">
      <w:pPr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 xml:space="preserve">Frysetørret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 skal </w:t>
      </w:r>
      <w:proofErr w:type="spellStart"/>
      <w:r w:rsidRPr="005955A7">
        <w:rPr>
          <w:sz w:val="24"/>
          <w:szCs w:val="24"/>
        </w:rPr>
        <w:t>rekonstitueres</w:t>
      </w:r>
      <w:proofErr w:type="spellEnd"/>
      <w:r w:rsidRPr="005955A7">
        <w:rPr>
          <w:sz w:val="24"/>
          <w:szCs w:val="24"/>
        </w:rPr>
        <w:t xml:space="preserve"> med 10 ml sterilt vand til injektionsvæsker ved injektion i hætteglasset. Brug ikke </w:t>
      </w:r>
      <w:proofErr w:type="spellStart"/>
      <w:r w:rsidRPr="005955A7">
        <w:rPr>
          <w:sz w:val="24"/>
          <w:szCs w:val="24"/>
        </w:rPr>
        <w:t>bakteriostatisk</w:t>
      </w:r>
      <w:proofErr w:type="spellEnd"/>
      <w:r w:rsidRPr="005955A7">
        <w:rPr>
          <w:sz w:val="24"/>
          <w:szCs w:val="24"/>
        </w:rPr>
        <w:t xml:space="preserve"> vand til injektionsvæsker indeholdende parabener (</w:t>
      </w:r>
      <w:proofErr w:type="spellStart"/>
      <w:r w:rsidRPr="005955A7">
        <w:rPr>
          <w:sz w:val="24"/>
          <w:szCs w:val="24"/>
        </w:rPr>
        <w:t>parahydroxybenzoater</w:t>
      </w:r>
      <w:proofErr w:type="spellEnd"/>
      <w:r w:rsidRPr="005955A7">
        <w:rPr>
          <w:sz w:val="24"/>
          <w:szCs w:val="24"/>
        </w:rPr>
        <w:t xml:space="preserve">), da disse er uforligelige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>.</w:t>
      </w:r>
    </w:p>
    <w:p w14:paraId="0443C5B8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3704C424" w14:textId="77777777" w:rsidR="007F7E0B" w:rsidRPr="005955A7" w:rsidRDefault="007F7E0B" w:rsidP="007F7E0B">
      <w:pPr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 xml:space="preserve">Ryst hætteglasset i 60 sekunder for at opløse lægemidlet. Efter </w:t>
      </w:r>
      <w:proofErr w:type="spellStart"/>
      <w:r w:rsidRPr="005955A7">
        <w:rPr>
          <w:sz w:val="24"/>
          <w:szCs w:val="24"/>
        </w:rPr>
        <w:t>rekonstituering</w:t>
      </w:r>
      <w:proofErr w:type="spellEnd"/>
      <w:r w:rsidRPr="005955A7">
        <w:rPr>
          <w:sz w:val="24"/>
          <w:szCs w:val="24"/>
        </w:rPr>
        <w:t xml:space="preserve"> indeholder hætteglasset en klar opløsning og er praktisk talt fri for synlige partikler.</w:t>
      </w:r>
    </w:p>
    <w:p w14:paraId="4CE5579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155D4240" w14:textId="77777777" w:rsidR="007F7E0B" w:rsidRPr="005955A7" w:rsidRDefault="007F7E0B" w:rsidP="007F7E0B">
      <w:pPr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 xml:space="preserve">Den </w:t>
      </w:r>
      <w:proofErr w:type="spellStart"/>
      <w:r w:rsidRPr="005955A7">
        <w:rPr>
          <w:sz w:val="24"/>
          <w:szCs w:val="24"/>
        </w:rPr>
        <w:t>rekonstituerede</w:t>
      </w:r>
      <w:proofErr w:type="spellEnd"/>
      <w:r w:rsidRPr="005955A7">
        <w:rPr>
          <w:sz w:val="24"/>
          <w:szCs w:val="24"/>
        </w:rPr>
        <w:t xml:space="preserve"> opløsning skal inspiceres for tilstedeværelsen af partikler før tilsætning til infusionsvæske.</w:t>
      </w:r>
    </w:p>
    <w:p w14:paraId="35C34C4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2052B82F" w14:textId="77777777" w:rsidR="007F7E0B" w:rsidRPr="005955A7" w:rsidRDefault="007F7E0B" w:rsidP="007F7E0B">
      <w:pPr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 w:rsidRPr="005955A7">
        <w:rPr>
          <w:sz w:val="24"/>
          <w:szCs w:val="24"/>
        </w:rPr>
        <w:t xml:space="preserve">Kemisk og fysisk stabilitet af den </w:t>
      </w:r>
      <w:proofErr w:type="spellStart"/>
      <w:r w:rsidRPr="005955A7">
        <w:rPr>
          <w:sz w:val="24"/>
          <w:szCs w:val="24"/>
        </w:rPr>
        <w:t>rekonstituerede</w:t>
      </w:r>
      <w:proofErr w:type="spellEnd"/>
      <w:r w:rsidRPr="005955A7">
        <w:rPr>
          <w:sz w:val="24"/>
          <w:szCs w:val="24"/>
        </w:rPr>
        <w:t xml:space="preserve"> opløsning i hætteglasset er blevet påvist i 12 timer ved 20-25 °C. Den må ikke fryses.</w:t>
      </w:r>
    </w:p>
    <w:p w14:paraId="20709BDF" w14:textId="77777777" w:rsidR="007F7E0B" w:rsidRPr="005955A7" w:rsidRDefault="007F7E0B" w:rsidP="00A26195">
      <w:pPr>
        <w:tabs>
          <w:tab w:val="left" w:pos="851"/>
        </w:tabs>
        <w:ind w:left="851"/>
        <w:rPr>
          <w:sz w:val="24"/>
          <w:szCs w:val="24"/>
        </w:rPr>
      </w:pPr>
    </w:p>
    <w:p w14:paraId="1B1887B7" w14:textId="77777777" w:rsidR="007F7E0B" w:rsidRPr="005955A7" w:rsidRDefault="007F7E0B" w:rsidP="007F7E0B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5955A7">
        <w:rPr>
          <w:i/>
          <w:iCs/>
          <w:sz w:val="24"/>
          <w:szCs w:val="24"/>
        </w:rPr>
        <w:t>Klargøring af infusionsopløsningen</w:t>
      </w:r>
    </w:p>
    <w:p w14:paraId="171B38D2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Baseret på patientens vægt og den terapeutiske indikation skal det passende beregnede volumen udtages fra hætteglasset og tilsættes en egnet infusionsvæske (normalt 100 ml) til administration over en periode på 1 time.</w:t>
      </w:r>
    </w:p>
    <w:p w14:paraId="0A5F92C1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F8DAE0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Følgende infusionsvæsker er fundet kemisk og fysisk forligelige med </w:t>
      </w:r>
      <w:proofErr w:type="spellStart"/>
      <w:r w:rsidRPr="005955A7">
        <w:rPr>
          <w:sz w:val="24"/>
          <w:szCs w:val="24"/>
        </w:rPr>
        <w:t>ganciclovir</w:t>
      </w:r>
      <w:proofErr w:type="spellEnd"/>
      <w:r w:rsidRPr="005955A7">
        <w:rPr>
          <w:sz w:val="24"/>
          <w:szCs w:val="24"/>
        </w:rPr>
        <w:t xml:space="preserve">: </w:t>
      </w:r>
      <w:proofErr w:type="spellStart"/>
      <w:r w:rsidRPr="005955A7">
        <w:rPr>
          <w:sz w:val="24"/>
          <w:szCs w:val="24"/>
        </w:rPr>
        <w:t>natriumchlorid</w:t>
      </w:r>
      <w:proofErr w:type="spellEnd"/>
      <w:r w:rsidRPr="005955A7">
        <w:rPr>
          <w:sz w:val="24"/>
          <w:szCs w:val="24"/>
        </w:rPr>
        <w:t xml:space="preserve"> 9 mg/ml, </w:t>
      </w:r>
      <w:proofErr w:type="spellStart"/>
      <w:r w:rsidRPr="005955A7">
        <w:rPr>
          <w:sz w:val="24"/>
          <w:szCs w:val="24"/>
        </w:rPr>
        <w:t>glucose</w:t>
      </w:r>
      <w:proofErr w:type="spellEnd"/>
      <w:r w:rsidRPr="005955A7">
        <w:rPr>
          <w:sz w:val="24"/>
          <w:szCs w:val="24"/>
        </w:rPr>
        <w:t xml:space="preserve"> 50 mg/ml, Ringers opløsning, Ringers laktatopløsning.</w:t>
      </w:r>
    </w:p>
    <w:p w14:paraId="49596FE6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072696FC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 xml:space="preserve">Hver </w:t>
      </w:r>
      <w:proofErr w:type="spellStart"/>
      <w:r w:rsidRPr="005955A7">
        <w:rPr>
          <w:sz w:val="24"/>
          <w:szCs w:val="24"/>
        </w:rPr>
        <w:t>ganciclovirholdig</w:t>
      </w:r>
      <w:proofErr w:type="spellEnd"/>
      <w:r w:rsidRPr="005955A7">
        <w:rPr>
          <w:sz w:val="24"/>
          <w:szCs w:val="24"/>
        </w:rPr>
        <w:t xml:space="preserve"> infusionsopløsning skal bruges inden for 24 timer efter tilberedning for at reducere risikoen for bakteriel kontaminering. Resten af den </w:t>
      </w:r>
      <w:proofErr w:type="spellStart"/>
      <w:r w:rsidRPr="005955A7">
        <w:rPr>
          <w:sz w:val="24"/>
          <w:szCs w:val="24"/>
        </w:rPr>
        <w:t>rekonstituerede</w:t>
      </w:r>
      <w:proofErr w:type="spellEnd"/>
      <w:r w:rsidRPr="005955A7">
        <w:rPr>
          <w:sz w:val="24"/>
          <w:szCs w:val="24"/>
        </w:rPr>
        <w:t xml:space="preserve"> opløsning i hætteglasset skal kasseres efter 12 timer.</w:t>
      </w:r>
    </w:p>
    <w:p w14:paraId="6E7AFF83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</w:p>
    <w:p w14:paraId="7FA926BE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Ikke anvendt lægemiddel samt affald heraf skal bortskaffes i henhold til lokale retningslinjer.</w:t>
      </w:r>
    </w:p>
    <w:p w14:paraId="780AB78E" w14:textId="77777777" w:rsidR="009260DE" w:rsidRPr="005955A7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E30B9CC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7.</w:t>
      </w:r>
      <w:r w:rsidRPr="005955A7">
        <w:rPr>
          <w:b/>
          <w:sz w:val="24"/>
          <w:szCs w:val="24"/>
        </w:rPr>
        <w:tab/>
        <w:t>INDEHAVER AF MARKEDSFØRINGSTILLADELSEN</w:t>
      </w:r>
    </w:p>
    <w:p w14:paraId="1BB858EB" w14:textId="77777777" w:rsidR="007F7E0B" w:rsidRPr="005955A7" w:rsidRDefault="007F7E0B" w:rsidP="007F7E0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55A7">
        <w:rPr>
          <w:sz w:val="24"/>
          <w:szCs w:val="24"/>
        </w:rPr>
        <w:t xml:space="preserve">Øresund Pharma ApS </w:t>
      </w:r>
    </w:p>
    <w:p w14:paraId="443D6F24" w14:textId="77777777" w:rsidR="00CA0507" w:rsidRPr="00CA0507" w:rsidRDefault="00CA0507" w:rsidP="00CA0507">
      <w:pPr>
        <w:tabs>
          <w:tab w:val="left" w:pos="851"/>
        </w:tabs>
        <w:ind w:left="851"/>
        <w:rPr>
          <w:sz w:val="24"/>
          <w:szCs w:val="24"/>
        </w:rPr>
      </w:pPr>
      <w:r w:rsidRPr="00CA0507">
        <w:rPr>
          <w:sz w:val="24"/>
          <w:szCs w:val="24"/>
        </w:rPr>
        <w:t>Orient Pl</w:t>
      </w:r>
      <w:bookmarkStart w:id="0" w:name="_GoBack"/>
      <w:bookmarkEnd w:id="0"/>
      <w:r w:rsidRPr="00CA0507">
        <w:rPr>
          <w:sz w:val="24"/>
          <w:szCs w:val="24"/>
        </w:rPr>
        <w:t>ads 1</w:t>
      </w:r>
    </w:p>
    <w:p w14:paraId="558A1C9C" w14:textId="68899B24" w:rsidR="00641C65" w:rsidRDefault="00CA0507" w:rsidP="00CA0507">
      <w:pPr>
        <w:tabs>
          <w:tab w:val="left" w:pos="851"/>
        </w:tabs>
        <w:ind w:left="851"/>
        <w:rPr>
          <w:sz w:val="24"/>
          <w:szCs w:val="24"/>
        </w:rPr>
      </w:pPr>
      <w:r w:rsidRPr="00CA0507">
        <w:rPr>
          <w:sz w:val="24"/>
          <w:szCs w:val="24"/>
        </w:rPr>
        <w:t>2150 Nordhavn</w:t>
      </w:r>
    </w:p>
    <w:p w14:paraId="0211A6A6" w14:textId="77777777" w:rsidR="00CA0507" w:rsidRPr="005955A7" w:rsidRDefault="00CA0507" w:rsidP="00CA0507">
      <w:pPr>
        <w:tabs>
          <w:tab w:val="left" w:pos="851"/>
        </w:tabs>
        <w:ind w:left="851"/>
        <w:rPr>
          <w:sz w:val="24"/>
          <w:szCs w:val="24"/>
        </w:rPr>
      </w:pPr>
    </w:p>
    <w:p w14:paraId="2E785E58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8.</w:t>
      </w:r>
      <w:r w:rsidRPr="005955A7">
        <w:rPr>
          <w:b/>
          <w:sz w:val="24"/>
          <w:szCs w:val="24"/>
        </w:rPr>
        <w:tab/>
        <w:t>MARKEDSFØRINGSTILLADELSESNUMMER (</w:t>
      </w:r>
      <w:r w:rsidR="00BF6243" w:rsidRPr="005955A7">
        <w:rPr>
          <w:b/>
          <w:sz w:val="24"/>
          <w:szCs w:val="24"/>
        </w:rPr>
        <w:t>-</w:t>
      </w:r>
      <w:r w:rsidRPr="005955A7">
        <w:rPr>
          <w:b/>
          <w:sz w:val="24"/>
          <w:szCs w:val="24"/>
        </w:rPr>
        <w:t>NUMRE)</w:t>
      </w:r>
    </w:p>
    <w:p w14:paraId="5AC82F5B" w14:textId="20820984" w:rsidR="009260DE" w:rsidRPr="005955A7" w:rsidRDefault="007F7E0B" w:rsidP="009260DE">
      <w:pPr>
        <w:tabs>
          <w:tab w:val="left" w:pos="851"/>
        </w:tabs>
        <w:ind w:left="851"/>
        <w:rPr>
          <w:sz w:val="24"/>
          <w:szCs w:val="24"/>
        </w:rPr>
      </w:pPr>
      <w:r w:rsidRPr="005955A7">
        <w:rPr>
          <w:sz w:val="24"/>
          <w:szCs w:val="24"/>
        </w:rPr>
        <w:t>669</w:t>
      </w:r>
      <w:r w:rsidR="00DD5E0E" w:rsidRPr="005955A7">
        <w:rPr>
          <w:sz w:val="24"/>
          <w:szCs w:val="24"/>
        </w:rPr>
        <w:t>69</w:t>
      </w:r>
    </w:p>
    <w:p w14:paraId="4CCDAAA6" w14:textId="77777777" w:rsidR="009260DE" w:rsidRPr="005955A7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9186E10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9.</w:t>
      </w:r>
      <w:r w:rsidRPr="005955A7">
        <w:rPr>
          <w:b/>
          <w:sz w:val="24"/>
          <w:szCs w:val="24"/>
        </w:rPr>
        <w:tab/>
        <w:t>DATO FOR FØRSTE MARKEDSFØRINGSTILLADELSE</w:t>
      </w:r>
    </w:p>
    <w:p w14:paraId="0943016E" w14:textId="69B51845" w:rsidR="009260DE" w:rsidRPr="005955A7" w:rsidRDefault="005B4AB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januar 2023</w:t>
      </w:r>
    </w:p>
    <w:p w14:paraId="6A9A937A" w14:textId="77777777" w:rsidR="009260DE" w:rsidRPr="005955A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18AA34" w14:textId="77777777" w:rsidR="009260DE" w:rsidRPr="005955A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955A7">
        <w:rPr>
          <w:b/>
          <w:sz w:val="24"/>
          <w:szCs w:val="24"/>
        </w:rPr>
        <w:t>10.</w:t>
      </w:r>
      <w:r w:rsidRPr="005955A7">
        <w:rPr>
          <w:b/>
          <w:sz w:val="24"/>
          <w:szCs w:val="24"/>
        </w:rPr>
        <w:tab/>
        <w:t>DATO FOR ÆNDRING AF TEKSTEN</w:t>
      </w:r>
    </w:p>
    <w:p w14:paraId="18466289" w14:textId="1ACEA747" w:rsidR="009260DE" w:rsidRPr="005955A7" w:rsidRDefault="002E322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august 2024</w:t>
      </w:r>
    </w:p>
    <w:sectPr w:rsidR="009260DE" w:rsidRPr="005955A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5A3AC" w14:textId="77777777" w:rsidR="007F7E0B" w:rsidRDefault="007F7E0B">
      <w:r>
        <w:separator/>
      </w:r>
    </w:p>
  </w:endnote>
  <w:endnote w:type="continuationSeparator" w:id="0">
    <w:p w14:paraId="1DD47F06" w14:textId="77777777" w:rsidR="007F7E0B" w:rsidRDefault="007F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F4C7" w14:textId="77777777" w:rsidR="007F7E0B" w:rsidRDefault="007F7E0B">
    <w:pPr>
      <w:pStyle w:val="Sidefod"/>
      <w:pBdr>
        <w:bottom w:val="single" w:sz="6" w:space="1" w:color="auto"/>
      </w:pBdr>
    </w:pPr>
  </w:p>
  <w:p w14:paraId="705C3142" w14:textId="77777777" w:rsidR="007F7E0B" w:rsidRDefault="007F7E0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BDAAF4F" w14:textId="45FCEEEC" w:rsidR="007F7E0B" w:rsidRPr="00B373D7" w:rsidRDefault="007F7E0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03F0A">
      <w:rPr>
        <w:i/>
        <w:noProof/>
        <w:sz w:val="18"/>
        <w:szCs w:val="18"/>
      </w:rPr>
      <w:t>Ganciclovir Oresund Pharma, pulver til koncentrat til infusionsvæske, opløsning 500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325D" w14:textId="77777777" w:rsidR="007F7E0B" w:rsidRDefault="007F7E0B">
      <w:r>
        <w:separator/>
      </w:r>
    </w:p>
  </w:footnote>
  <w:footnote w:type="continuationSeparator" w:id="0">
    <w:p w14:paraId="1DFA1829" w14:textId="77777777" w:rsidR="007F7E0B" w:rsidRDefault="007F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5D2"/>
    <w:multiLevelType w:val="hybridMultilevel"/>
    <w:tmpl w:val="826A8CA8"/>
    <w:lvl w:ilvl="0" w:tplc="FFFFFFFF">
      <w:start w:val="1"/>
      <w:numFmt w:val="bullet"/>
      <w:lvlText w:val="-"/>
      <w:lvlJc w:val="left"/>
      <w:pPr>
        <w:ind w:left="1211" w:hanging="360"/>
      </w:pPr>
    </w:lvl>
    <w:lvl w:ilvl="1" w:tplc="040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67486D"/>
    <w:multiLevelType w:val="hybridMultilevel"/>
    <w:tmpl w:val="FD8454C6"/>
    <w:lvl w:ilvl="0" w:tplc="0406000F">
      <w:start w:val="1"/>
      <w:numFmt w:val="decimal"/>
      <w:lvlText w:val="%1."/>
      <w:lvlJc w:val="left"/>
      <w:pPr>
        <w:ind w:left="1211" w:hanging="360"/>
      </w:pPr>
    </w:lvl>
    <w:lvl w:ilvl="1" w:tplc="04060019">
      <w:start w:val="1"/>
      <w:numFmt w:val="lowerLetter"/>
      <w:lvlText w:val="%2."/>
      <w:lvlJc w:val="left"/>
      <w:pPr>
        <w:ind w:left="1931" w:hanging="360"/>
      </w:pPr>
    </w:lvl>
    <w:lvl w:ilvl="2" w:tplc="0406001B">
      <w:start w:val="1"/>
      <w:numFmt w:val="lowerRoman"/>
      <w:lvlText w:val="%3."/>
      <w:lvlJc w:val="right"/>
      <w:pPr>
        <w:ind w:left="2651" w:hanging="180"/>
      </w:pPr>
    </w:lvl>
    <w:lvl w:ilvl="3" w:tplc="0406000F">
      <w:start w:val="1"/>
      <w:numFmt w:val="decimal"/>
      <w:lvlText w:val="%4."/>
      <w:lvlJc w:val="left"/>
      <w:pPr>
        <w:ind w:left="3371" w:hanging="360"/>
      </w:pPr>
    </w:lvl>
    <w:lvl w:ilvl="4" w:tplc="04060019">
      <w:start w:val="1"/>
      <w:numFmt w:val="lowerLetter"/>
      <w:lvlText w:val="%5."/>
      <w:lvlJc w:val="left"/>
      <w:pPr>
        <w:ind w:left="4091" w:hanging="360"/>
      </w:pPr>
    </w:lvl>
    <w:lvl w:ilvl="5" w:tplc="0406001B">
      <w:start w:val="1"/>
      <w:numFmt w:val="lowerRoman"/>
      <w:lvlText w:val="%6."/>
      <w:lvlJc w:val="right"/>
      <w:pPr>
        <w:ind w:left="4811" w:hanging="180"/>
      </w:pPr>
    </w:lvl>
    <w:lvl w:ilvl="6" w:tplc="0406000F">
      <w:start w:val="1"/>
      <w:numFmt w:val="decimal"/>
      <w:lvlText w:val="%7."/>
      <w:lvlJc w:val="left"/>
      <w:pPr>
        <w:ind w:left="5531" w:hanging="360"/>
      </w:pPr>
    </w:lvl>
    <w:lvl w:ilvl="7" w:tplc="04060019">
      <w:start w:val="1"/>
      <w:numFmt w:val="lowerLetter"/>
      <w:lvlText w:val="%8."/>
      <w:lvlJc w:val="left"/>
      <w:pPr>
        <w:ind w:left="6251" w:hanging="360"/>
      </w:pPr>
    </w:lvl>
    <w:lvl w:ilvl="8" w:tplc="0406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EA84E1E"/>
    <w:multiLevelType w:val="hybridMultilevel"/>
    <w:tmpl w:val="11763CD0"/>
    <w:lvl w:ilvl="0" w:tplc="FFFFFFFF">
      <w:start w:val="1"/>
      <w:numFmt w:val="bullet"/>
      <w:lvlText w:val="-"/>
      <w:lvlJc w:val="left"/>
      <w:pPr>
        <w:ind w:left="1211" w:hanging="360"/>
      </w:pPr>
    </w:lvl>
    <w:lvl w:ilvl="1" w:tplc="040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77537E2C"/>
    <w:multiLevelType w:val="hybridMultilevel"/>
    <w:tmpl w:val="74CE8494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B6"/>
    <w:rsid w:val="000259B9"/>
    <w:rsid w:val="00041491"/>
    <w:rsid w:val="00050D16"/>
    <w:rsid w:val="000730CA"/>
    <w:rsid w:val="00074F2A"/>
    <w:rsid w:val="000A1CA8"/>
    <w:rsid w:val="000A466B"/>
    <w:rsid w:val="000A5DDD"/>
    <w:rsid w:val="000B058C"/>
    <w:rsid w:val="000D68B0"/>
    <w:rsid w:val="000E4EE6"/>
    <w:rsid w:val="001454E2"/>
    <w:rsid w:val="00206CE8"/>
    <w:rsid w:val="0021526C"/>
    <w:rsid w:val="00283A2B"/>
    <w:rsid w:val="00284FD6"/>
    <w:rsid w:val="002B30AD"/>
    <w:rsid w:val="002C1EC0"/>
    <w:rsid w:val="002C2C01"/>
    <w:rsid w:val="002E322D"/>
    <w:rsid w:val="003A29AE"/>
    <w:rsid w:val="003A32D7"/>
    <w:rsid w:val="003B4074"/>
    <w:rsid w:val="003C769A"/>
    <w:rsid w:val="003D3A90"/>
    <w:rsid w:val="003F1838"/>
    <w:rsid w:val="0045746C"/>
    <w:rsid w:val="0049104B"/>
    <w:rsid w:val="004E3B12"/>
    <w:rsid w:val="00517EE2"/>
    <w:rsid w:val="00532310"/>
    <w:rsid w:val="00565F0F"/>
    <w:rsid w:val="00594A86"/>
    <w:rsid w:val="005955A7"/>
    <w:rsid w:val="00596D86"/>
    <w:rsid w:val="005B4ABD"/>
    <w:rsid w:val="00637F5A"/>
    <w:rsid w:val="00641C65"/>
    <w:rsid w:val="006560B1"/>
    <w:rsid w:val="006756DD"/>
    <w:rsid w:val="0071241E"/>
    <w:rsid w:val="00737275"/>
    <w:rsid w:val="00740EEC"/>
    <w:rsid w:val="00775DFA"/>
    <w:rsid w:val="0078011A"/>
    <w:rsid w:val="00782AF4"/>
    <w:rsid w:val="00790EE7"/>
    <w:rsid w:val="007B6649"/>
    <w:rsid w:val="007F7E0B"/>
    <w:rsid w:val="00803F0A"/>
    <w:rsid w:val="0082576E"/>
    <w:rsid w:val="008A6222"/>
    <w:rsid w:val="00907F75"/>
    <w:rsid w:val="009260DE"/>
    <w:rsid w:val="0093258A"/>
    <w:rsid w:val="00945B43"/>
    <w:rsid w:val="00982E33"/>
    <w:rsid w:val="009C7BA3"/>
    <w:rsid w:val="009D1F5A"/>
    <w:rsid w:val="009D7E9B"/>
    <w:rsid w:val="00A10294"/>
    <w:rsid w:val="00A26195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A0507"/>
    <w:rsid w:val="00CB20D7"/>
    <w:rsid w:val="00D020B0"/>
    <w:rsid w:val="00D11748"/>
    <w:rsid w:val="00D237F6"/>
    <w:rsid w:val="00D34D98"/>
    <w:rsid w:val="00D366CF"/>
    <w:rsid w:val="00D93992"/>
    <w:rsid w:val="00DD5E0E"/>
    <w:rsid w:val="00E108AA"/>
    <w:rsid w:val="00E3749A"/>
    <w:rsid w:val="00E7437F"/>
    <w:rsid w:val="00E865B8"/>
    <w:rsid w:val="00EC0B9B"/>
    <w:rsid w:val="00ED5E9F"/>
    <w:rsid w:val="00F02E1D"/>
    <w:rsid w:val="00F66D4F"/>
    <w:rsid w:val="00F717B6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C0F82"/>
  <w15:chartTrackingRefBased/>
  <w15:docId w15:val="{641C760E-9664-4AE6-BE62-31473066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7F7E0B"/>
    <w:rPr>
      <w:color w:val="0563C1"/>
      <w:u w:val="single"/>
    </w:rPr>
  </w:style>
  <w:style w:type="character" w:customStyle="1" w:styleId="TableCell10LeftChar">
    <w:name w:val="Table Cell 10 Left Char"/>
    <w:link w:val="TableCell10Left"/>
    <w:locked/>
    <w:rsid w:val="007F7E0B"/>
    <w:rPr>
      <w:rFonts w:ascii="Arial" w:eastAsia="SimSun" w:hAnsi="Arial" w:cs="Arial"/>
      <w:szCs w:val="24"/>
      <w:lang w:val="en-US" w:eastAsia="zh-CN"/>
    </w:rPr>
  </w:style>
  <w:style w:type="paragraph" w:customStyle="1" w:styleId="TableCell10Left">
    <w:name w:val="Table Cell 10 Left"/>
    <w:basedOn w:val="Normal"/>
    <w:link w:val="TableCell10LeftChar"/>
    <w:rsid w:val="007F7E0B"/>
    <w:pPr>
      <w:keepNext/>
      <w:keepLines/>
      <w:spacing w:before="50" w:after="50" w:line="240" w:lineRule="exact"/>
    </w:pPr>
    <w:rPr>
      <w:rFonts w:ascii="Arial" w:eastAsia="SimSun" w:hAnsi="Arial" w:cs="Arial"/>
      <w:sz w:val="20"/>
      <w:szCs w:val="24"/>
      <w:lang w:val="en-US" w:eastAsia="zh-CN"/>
    </w:rPr>
  </w:style>
  <w:style w:type="paragraph" w:styleId="Listeafsnit">
    <w:name w:val="List Paragraph"/>
    <w:basedOn w:val="Normal"/>
    <w:uiPriority w:val="34"/>
    <w:qFormat/>
    <w:rsid w:val="00A2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1</TotalTime>
  <Pages>20</Pages>
  <Words>6048</Words>
  <Characters>39261</Characters>
  <Application>Microsoft Office Word</Application>
  <DocSecurity>0</DocSecurity>
  <Lines>327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2024051546_x000d_
Ændring af MAH adresse</dc:description>
  <cp:lastModifiedBy>Marianne Ott Jensen</cp:lastModifiedBy>
  <cp:revision>3</cp:revision>
  <cp:lastPrinted>2012-08-22T08:53:00Z</cp:lastPrinted>
  <dcterms:created xsi:type="dcterms:W3CDTF">2024-08-20T07:59:00Z</dcterms:created>
  <dcterms:modified xsi:type="dcterms:W3CDTF">2024-08-20T08:00:00Z</dcterms:modified>
</cp:coreProperties>
</file>