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95" w:rsidRPr="008F49E1" w:rsidRDefault="00960295" w:rsidP="00960295">
      <w:pPr>
        <w:rPr>
          <w:sz w:val="24"/>
          <w:szCs w:val="24"/>
        </w:rPr>
      </w:pPr>
      <w:r w:rsidRPr="009260DE">
        <w:rPr>
          <w:noProof/>
          <w:sz w:val="24"/>
          <w:szCs w:val="24"/>
          <w:lang w:eastAsia="da-DK"/>
        </w:rPr>
        <w:drawing>
          <wp:anchor distT="0" distB="0" distL="114300" distR="114300" simplePos="0" relativeHeight="251659264" behindDoc="0" locked="0" layoutInCell="1" allowOverlap="1" wp14:anchorId="5887F737" wp14:editId="7323D81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31C9B" w:rsidRDefault="00331C9B" w:rsidP="00960295">
      <w:pPr>
        <w:pStyle w:val="Titel"/>
        <w:tabs>
          <w:tab w:val="right" w:pos="9356"/>
        </w:tabs>
        <w:jc w:val="left"/>
        <w:rPr>
          <w:b w:val="0"/>
          <w:szCs w:val="24"/>
          <w:lang w:eastAsia="en-US"/>
        </w:rPr>
      </w:pPr>
    </w:p>
    <w:p w:rsidR="00960295" w:rsidRPr="00C84483" w:rsidRDefault="00960295" w:rsidP="00960295">
      <w:pPr>
        <w:pStyle w:val="Titel"/>
        <w:tabs>
          <w:tab w:val="right" w:pos="9356"/>
        </w:tabs>
        <w:jc w:val="left"/>
        <w:rPr>
          <w:b w:val="0"/>
          <w:szCs w:val="24"/>
          <w:lang w:eastAsia="en-US"/>
        </w:rPr>
      </w:pPr>
      <w:r w:rsidRPr="00C84483">
        <w:rPr>
          <w:b w:val="0"/>
          <w:szCs w:val="24"/>
          <w:lang w:eastAsia="en-US"/>
        </w:rPr>
        <w:tab/>
      </w:r>
      <w:r w:rsidR="00A22F3D">
        <w:rPr>
          <w:szCs w:val="24"/>
        </w:rPr>
        <w:t>14. juli 2022</w:t>
      </w:r>
    </w:p>
    <w:p w:rsidR="00960295" w:rsidRPr="00C84483" w:rsidRDefault="00960295" w:rsidP="00960295">
      <w:pPr>
        <w:pStyle w:val="Titel"/>
        <w:tabs>
          <w:tab w:val="left" w:pos="8222"/>
        </w:tabs>
        <w:jc w:val="left"/>
        <w:rPr>
          <w:b w:val="0"/>
          <w:szCs w:val="24"/>
        </w:rPr>
      </w:pPr>
    </w:p>
    <w:p w:rsidR="00960295" w:rsidRPr="00C84483" w:rsidRDefault="00960295" w:rsidP="00960295">
      <w:pPr>
        <w:pStyle w:val="Titel"/>
        <w:jc w:val="left"/>
        <w:rPr>
          <w:b w:val="0"/>
          <w:szCs w:val="24"/>
        </w:rPr>
      </w:pPr>
    </w:p>
    <w:p w:rsidR="00960295" w:rsidRPr="00C84483" w:rsidRDefault="00960295" w:rsidP="00960295">
      <w:pPr>
        <w:pStyle w:val="Titel"/>
        <w:jc w:val="left"/>
        <w:rPr>
          <w:b w:val="0"/>
          <w:szCs w:val="24"/>
        </w:rPr>
      </w:pPr>
    </w:p>
    <w:p w:rsidR="00960295" w:rsidRPr="00C84483" w:rsidRDefault="00960295" w:rsidP="00960295">
      <w:pPr>
        <w:jc w:val="center"/>
        <w:rPr>
          <w:b/>
          <w:sz w:val="24"/>
          <w:szCs w:val="24"/>
        </w:rPr>
      </w:pPr>
      <w:r w:rsidRPr="00C84483">
        <w:rPr>
          <w:b/>
          <w:sz w:val="24"/>
          <w:szCs w:val="24"/>
        </w:rPr>
        <w:t>PRODUKTRESUMÉ</w:t>
      </w:r>
    </w:p>
    <w:p w:rsidR="00960295" w:rsidRPr="00C84483" w:rsidRDefault="00960295" w:rsidP="00960295">
      <w:pPr>
        <w:jc w:val="center"/>
        <w:rPr>
          <w:b/>
          <w:sz w:val="24"/>
          <w:szCs w:val="24"/>
        </w:rPr>
      </w:pPr>
    </w:p>
    <w:p w:rsidR="00960295" w:rsidRDefault="00960295" w:rsidP="00960295">
      <w:pPr>
        <w:jc w:val="center"/>
        <w:rPr>
          <w:b/>
          <w:sz w:val="24"/>
          <w:szCs w:val="24"/>
        </w:rPr>
      </w:pPr>
      <w:r w:rsidRPr="00C84483">
        <w:rPr>
          <w:b/>
          <w:sz w:val="24"/>
          <w:szCs w:val="24"/>
        </w:rPr>
        <w:t>for</w:t>
      </w:r>
    </w:p>
    <w:p w:rsidR="00960295" w:rsidRPr="00C84483" w:rsidRDefault="00960295" w:rsidP="00960295">
      <w:pPr>
        <w:jc w:val="center"/>
        <w:rPr>
          <w:b/>
          <w:sz w:val="24"/>
          <w:szCs w:val="24"/>
        </w:rPr>
      </w:pPr>
    </w:p>
    <w:p w:rsidR="00960295" w:rsidRPr="00C84483" w:rsidRDefault="00960295" w:rsidP="00960295">
      <w:pPr>
        <w:jc w:val="center"/>
        <w:rPr>
          <w:b/>
          <w:sz w:val="24"/>
          <w:szCs w:val="24"/>
        </w:rPr>
      </w:pPr>
      <w:proofErr w:type="spellStart"/>
      <w:r>
        <w:rPr>
          <w:b/>
          <w:sz w:val="24"/>
          <w:szCs w:val="24"/>
        </w:rPr>
        <w:t>Gangiden</w:t>
      </w:r>
      <w:proofErr w:type="spellEnd"/>
      <w:r>
        <w:rPr>
          <w:b/>
          <w:sz w:val="24"/>
          <w:szCs w:val="24"/>
        </w:rPr>
        <w:t xml:space="preserve"> Neutral, pulver til oral opløsning</w:t>
      </w:r>
    </w:p>
    <w:p w:rsidR="00960295" w:rsidRPr="00C84483" w:rsidRDefault="00960295" w:rsidP="00960295">
      <w:pPr>
        <w:jc w:val="both"/>
        <w:rPr>
          <w:sz w:val="24"/>
          <w:szCs w:val="24"/>
        </w:rPr>
      </w:pPr>
    </w:p>
    <w:p w:rsidR="00960295" w:rsidRPr="00C84483" w:rsidRDefault="00960295" w:rsidP="00960295">
      <w:pPr>
        <w:jc w:val="both"/>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0.</w:t>
      </w:r>
      <w:r w:rsidRPr="00C84483">
        <w:rPr>
          <w:b/>
          <w:sz w:val="24"/>
          <w:szCs w:val="24"/>
        </w:rPr>
        <w:tab/>
        <w:t>D.SP.NR.</w:t>
      </w:r>
    </w:p>
    <w:p w:rsidR="00960295" w:rsidRPr="00C84483" w:rsidRDefault="00960295" w:rsidP="00960295">
      <w:pPr>
        <w:tabs>
          <w:tab w:val="left" w:pos="851"/>
        </w:tabs>
        <w:ind w:left="851"/>
        <w:rPr>
          <w:sz w:val="24"/>
          <w:szCs w:val="24"/>
        </w:rPr>
      </w:pPr>
      <w:r>
        <w:rPr>
          <w:sz w:val="24"/>
          <w:szCs w:val="24"/>
        </w:rPr>
        <w:t>26905</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1.</w:t>
      </w:r>
      <w:r w:rsidRPr="00C84483">
        <w:rPr>
          <w:b/>
          <w:sz w:val="24"/>
          <w:szCs w:val="24"/>
        </w:rPr>
        <w:tab/>
        <w:t>LÆGEMIDLETS NAVN</w:t>
      </w:r>
    </w:p>
    <w:p w:rsidR="00960295" w:rsidRPr="00C84483" w:rsidRDefault="00960295" w:rsidP="00960295">
      <w:pPr>
        <w:tabs>
          <w:tab w:val="left" w:pos="851"/>
        </w:tabs>
        <w:ind w:left="851"/>
        <w:rPr>
          <w:sz w:val="24"/>
          <w:szCs w:val="24"/>
        </w:rPr>
      </w:pPr>
      <w:proofErr w:type="spellStart"/>
      <w:r>
        <w:rPr>
          <w:sz w:val="24"/>
          <w:szCs w:val="24"/>
        </w:rPr>
        <w:t>Gangiden</w:t>
      </w:r>
      <w:proofErr w:type="spellEnd"/>
      <w:r>
        <w:rPr>
          <w:sz w:val="24"/>
          <w:szCs w:val="24"/>
        </w:rPr>
        <w:t xml:space="preserve"> Neutral</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60295" w:rsidRDefault="00960295" w:rsidP="00960295">
      <w:pPr>
        <w:tabs>
          <w:tab w:val="left" w:pos="851"/>
        </w:tabs>
        <w:ind w:left="851"/>
        <w:rPr>
          <w:sz w:val="24"/>
          <w:szCs w:val="24"/>
        </w:rPr>
      </w:pPr>
    </w:p>
    <w:p w:rsidR="00EE7D25" w:rsidRDefault="00EE7D25" w:rsidP="00EE7D25">
      <w:pPr>
        <w:tabs>
          <w:tab w:val="left" w:pos="851"/>
        </w:tabs>
        <w:ind w:left="851"/>
        <w:rPr>
          <w:sz w:val="24"/>
          <w:szCs w:val="24"/>
          <w:u w:val="single"/>
        </w:rPr>
      </w:pPr>
      <w:r>
        <w:rPr>
          <w:sz w:val="24"/>
          <w:szCs w:val="24"/>
          <w:u w:val="single"/>
        </w:rPr>
        <w:t>Et brev indeholder aktive stoffer i følgende kvantitative sammensætning</w:t>
      </w:r>
    </w:p>
    <w:p w:rsidR="00EE7D25" w:rsidRPr="00FE0F62" w:rsidRDefault="00EE7D25" w:rsidP="00EE7D25">
      <w:pPr>
        <w:tabs>
          <w:tab w:val="left" w:pos="851"/>
          <w:tab w:val="left" w:pos="4253"/>
        </w:tabs>
        <w:ind w:left="851"/>
        <w:rPr>
          <w:sz w:val="24"/>
          <w:lang w:val="en-US"/>
        </w:rPr>
      </w:pPr>
      <w:r w:rsidRPr="00FE0F62">
        <w:rPr>
          <w:sz w:val="24"/>
          <w:lang w:val="en-US"/>
        </w:rPr>
        <w:t xml:space="preserve">Macrogol 3350 </w:t>
      </w:r>
      <w:r w:rsidRPr="00FE0F62">
        <w:rPr>
          <w:sz w:val="24"/>
          <w:lang w:val="en-US"/>
        </w:rPr>
        <w:tab/>
        <w:t>13,125 g</w:t>
      </w:r>
    </w:p>
    <w:p w:rsidR="00EE7D25" w:rsidRPr="00FE0F62" w:rsidRDefault="00EE7D25" w:rsidP="00EE7D25">
      <w:pPr>
        <w:tabs>
          <w:tab w:val="left" w:pos="851"/>
          <w:tab w:val="left" w:pos="4253"/>
        </w:tabs>
        <w:ind w:left="851"/>
        <w:rPr>
          <w:sz w:val="24"/>
          <w:lang w:val="en-US"/>
        </w:rPr>
      </w:pPr>
      <w:proofErr w:type="spellStart"/>
      <w:r w:rsidRPr="00FE0F62">
        <w:rPr>
          <w:sz w:val="24"/>
          <w:lang w:val="en-US"/>
        </w:rPr>
        <w:t>Natriumchlorid</w:t>
      </w:r>
      <w:proofErr w:type="spellEnd"/>
      <w:r w:rsidRPr="00FE0F62">
        <w:rPr>
          <w:sz w:val="24"/>
          <w:lang w:val="en-US"/>
        </w:rPr>
        <w:t xml:space="preserve"> </w:t>
      </w:r>
      <w:r w:rsidRPr="00FE0F62">
        <w:rPr>
          <w:sz w:val="24"/>
          <w:lang w:val="en-US"/>
        </w:rPr>
        <w:tab/>
        <w:t>0,3507 g</w:t>
      </w:r>
    </w:p>
    <w:p w:rsidR="00EE7D25" w:rsidRPr="00FE0F62" w:rsidRDefault="00EE7D25" w:rsidP="00EE7D25">
      <w:pPr>
        <w:tabs>
          <w:tab w:val="left" w:pos="851"/>
          <w:tab w:val="left" w:pos="4253"/>
        </w:tabs>
        <w:ind w:left="851"/>
        <w:rPr>
          <w:sz w:val="24"/>
          <w:lang w:val="en-US"/>
        </w:rPr>
      </w:pPr>
      <w:proofErr w:type="spellStart"/>
      <w:r w:rsidRPr="00FE0F62">
        <w:rPr>
          <w:sz w:val="24"/>
          <w:lang w:val="en-US"/>
        </w:rPr>
        <w:t>Natriumhydrogencarbonat</w:t>
      </w:r>
      <w:proofErr w:type="spellEnd"/>
      <w:r w:rsidRPr="00FE0F62">
        <w:rPr>
          <w:sz w:val="24"/>
          <w:lang w:val="en-US"/>
        </w:rPr>
        <w:t xml:space="preserve"> </w:t>
      </w:r>
      <w:r w:rsidRPr="00FE0F62">
        <w:rPr>
          <w:sz w:val="24"/>
          <w:lang w:val="en-US"/>
        </w:rPr>
        <w:tab/>
        <w:t>0,1785 g</w:t>
      </w:r>
    </w:p>
    <w:p w:rsidR="00EE7D25" w:rsidRDefault="00EE7D25" w:rsidP="00EE7D25">
      <w:pPr>
        <w:tabs>
          <w:tab w:val="left" w:pos="851"/>
          <w:tab w:val="left" w:pos="4253"/>
        </w:tabs>
        <w:ind w:left="851"/>
        <w:rPr>
          <w:sz w:val="24"/>
          <w:szCs w:val="24"/>
        </w:rPr>
      </w:pPr>
      <w:proofErr w:type="spellStart"/>
      <w:r>
        <w:rPr>
          <w:sz w:val="24"/>
          <w:szCs w:val="24"/>
        </w:rPr>
        <w:t>Kaliumchlorid</w:t>
      </w:r>
      <w:proofErr w:type="spellEnd"/>
      <w:r>
        <w:rPr>
          <w:sz w:val="24"/>
          <w:szCs w:val="24"/>
        </w:rPr>
        <w:t xml:space="preserve"> </w:t>
      </w:r>
      <w:r>
        <w:rPr>
          <w:sz w:val="24"/>
          <w:szCs w:val="24"/>
        </w:rPr>
        <w:tab/>
        <w:t>0,0466 g</w:t>
      </w:r>
    </w:p>
    <w:p w:rsidR="00EE7D25" w:rsidRDefault="00EE7D25" w:rsidP="00EE7D25">
      <w:pPr>
        <w:tabs>
          <w:tab w:val="left" w:pos="851"/>
        </w:tabs>
        <w:ind w:left="851"/>
        <w:rPr>
          <w:sz w:val="24"/>
          <w:szCs w:val="24"/>
        </w:rPr>
      </w:pPr>
    </w:p>
    <w:p w:rsidR="00EE7D25" w:rsidRDefault="00EE7D25" w:rsidP="00EE7D25">
      <w:pPr>
        <w:tabs>
          <w:tab w:val="left" w:pos="851"/>
        </w:tabs>
        <w:ind w:left="851"/>
        <w:rPr>
          <w:sz w:val="24"/>
          <w:szCs w:val="24"/>
          <w:u w:val="single"/>
        </w:rPr>
      </w:pPr>
      <w:bookmarkStart w:id="0" w:name="OLE_LINK3"/>
      <w:bookmarkStart w:id="1" w:name="OLE_LINK4"/>
      <w:r>
        <w:rPr>
          <w:sz w:val="24"/>
          <w:szCs w:val="24"/>
          <w:u w:val="single"/>
        </w:rPr>
        <w:t xml:space="preserve">Efter </w:t>
      </w:r>
      <w:proofErr w:type="spellStart"/>
      <w:r>
        <w:rPr>
          <w:sz w:val="24"/>
          <w:szCs w:val="24"/>
          <w:u w:val="single"/>
        </w:rPr>
        <w:t>rekonstitution</w:t>
      </w:r>
      <w:proofErr w:type="spellEnd"/>
      <w:r>
        <w:rPr>
          <w:sz w:val="24"/>
          <w:szCs w:val="24"/>
          <w:u w:val="single"/>
        </w:rPr>
        <w:t xml:space="preserve"> med 125 ml vand svarer brevets indhold af elektrolytter til</w:t>
      </w:r>
    </w:p>
    <w:bookmarkEnd w:id="0"/>
    <w:bookmarkEnd w:id="1"/>
    <w:p w:rsidR="00EE7D25" w:rsidRPr="00FE0F62" w:rsidRDefault="00EE7D25" w:rsidP="00EE7D25">
      <w:pPr>
        <w:tabs>
          <w:tab w:val="left" w:pos="851"/>
          <w:tab w:val="left" w:pos="4253"/>
        </w:tabs>
        <w:ind w:left="851"/>
        <w:rPr>
          <w:sz w:val="24"/>
          <w:lang w:val="en-US"/>
        </w:rPr>
      </w:pPr>
      <w:r w:rsidRPr="00FE0F62">
        <w:rPr>
          <w:sz w:val="24"/>
          <w:lang w:val="en-US"/>
        </w:rPr>
        <w:t xml:space="preserve">Natrium </w:t>
      </w:r>
      <w:r w:rsidRPr="00FE0F62">
        <w:rPr>
          <w:sz w:val="24"/>
          <w:lang w:val="en-US"/>
        </w:rPr>
        <w:tab/>
        <w:t>65 mmol/l</w:t>
      </w:r>
    </w:p>
    <w:p w:rsidR="00EE7D25" w:rsidRPr="00FE0F62" w:rsidRDefault="00EE7D25" w:rsidP="00EE7D25">
      <w:pPr>
        <w:tabs>
          <w:tab w:val="left" w:pos="851"/>
          <w:tab w:val="left" w:pos="4253"/>
        </w:tabs>
        <w:ind w:left="851"/>
        <w:rPr>
          <w:sz w:val="24"/>
          <w:lang w:val="en-US"/>
        </w:rPr>
      </w:pPr>
      <w:proofErr w:type="spellStart"/>
      <w:r w:rsidRPr="00FE0F62">
        <w:rPr>
          <w:sz w:val="24"/>
          <w:lang w:val="en-US"/>
        </w:rPr>
        <w:t>Chlorid</w:t>
      </w:r>
      <w:proofErr w:type="spellEnd"/>
      <w:r w:rsidRPr="00FE0F62">
        <w:rPr>
          <w:sz w:val="24"/>
          <w:lang w:val="en-US"/>
        </w:rPr>
        <w:t xml:space="preserve"> </w:t>
      </w:r>
      <w:r w:rsidRPr="00FE0F62">
        <w:rPr>
          <w:sz w:val="24"/>
          <w:lang w:val="en-US"/>
        </w:rPr>
        <w:tab/>
        <w:t>53 mmol/l</w:t>
      </w:r>
    </w:p>
    <w:p w:rsidR="00EE7D25" w:rsidRPr="00C87E40" w:rsidRDefault="00EE7D25" w:rsidP="00EE7D25">
      <w:pPr>
        <w:tabs>
          <w:tab w:val="left" w:pos="851"/>
          <w:tab w:val="left" w:pos="4253"/>
        </w:tabs>
        <w:ind w:left="851"/>
        <w:rPr>
          <w:sz w:val="24"/>
          <w:szCs w:val="24"/>
        </w:rPr>
      </w:pPr>
      <w:proofErr w:type="spellStart"/>
      <w:r w:rsidRPr="00C87E40">
        <w:rPr>
          <w:sz w:val="24"/>
          <w:szCs w:val="24"/>
        </w:rPr>
        <w:t>Hydrogencarbonat</w:t>
      </w:r>
      <w:proofErr w:type="spellEnd"/>
      <w:r w:rsidRPr="00C87E40">
        <w:rPr>
          <w:sz w:val="24"/>
          <w:szCs w:val="24"/>
        </w:rPr>
        <w:t xml:space="preserve"> (</w:t>
      </w:r>
      <w:proofErr w:type="spellStart"/>
      <w:r w:rsidRPr="00C87E40">
        <w:rPr>
          <w:sz w:val="24"/>
          <w:szCs w:val="24"/>
        </w:rPr>
        <w:t>bicarbonat</w:t>
      </w:r>
      <w:proofErr w:type="spellEnd"/>
      <w:r w:rsidRPr="00C87E40">
        <w:rPr>
          <w:sz w:val="24"/>
          <w:szCs w:val="24"/>
        </w:rPr>
        <w:t>)</w:t>
      </w:r>
      <w:r w:rsidRPr="00C87E40">
        <w:rPr>
          <w:sz w:val="24"/>
          <w:szCs w:val="24"/>
        </w:rPr>
        <w:tab/>
        <w:t>17 mmol/l</w:t>
      </w:r>
    </w:p>
    <w:p w:rsidR="00EE7D25" w:rsidRPr="00C87E40" w:rsidRDefault="00EE7D25" w:rsidP="00EE7D25">
      <w:pPr>
        <w:tabs>
          <w:tab w:val="left" w:pos="851"/>
          <w:tab w:val="left" w:pos="4253"/>
        </w:tabs>
        <w:ind w:left="851"/>
        <w:rPr>
          <w:sz w:val="24"/>
          <w:szCs w:val="24"/>
        </w:rPr>
      </w:pPr>
      <w:r w:rsidRPr="00C87E40">
        <w:rPr>
          <w:sz w:val="24"/>
          <w:szCs w:val="24"/>
        </w:rPr>
        <w:t>Kalium</w:t>
      </w:r>
      <w:proofErr w:type="gramStart"/>
      <w:r w:rsidRPr="00C87E40">
        <w:rPr>
          <w:sz w:val="24"/>
          <w:szCs w:val="24"/>
        </w:rPr>
        <w:tab/>
        <w:t xml:space="preserve">  5</w:t>
      </w:r>
      <w:proofErr w:type="gramEnd"/>
      <w:r w:rsidRPr="00C87E40">
        <w:rPr>
          <w:sz w:val="24"/>
          <w:szCs w:val="24"/>
        </w:rPr>
        <w:t xml:space="preserve"> mmol/l</w:t>
      </w:r>
    </w:p>
    <w:p w:rsidR="00EE7D25" w:rsidRPr="00C87E40" w:rsidRDefault="00EE7D25" w:rsidP="00EE7D25">
      <w:pPr>
        <w:tabs>
          <w:tab w:val="left" w:pos="851"/>
        </w:tabs>
        <w:ind w:left="851"/>
        <w:rPr>
          <w:sz w:val="24"/>
          <w:szCs w:val="24"/>
        </w:rPr>
      </w:pPr>
    </w:p>
    <w:p w:rsidR="00EE7D25" w:rsidRDefault="00EE7D25" w:rsidP="00EE7D25">
      <w:pPr>
        <w:tabs>
          <w:tab w:val="left" w:pos="851"/>
        </w:tabs>
        <w:ind w:left="851"/>
        <w:rPr>
          <w:sz w:val="24"/>
          <w:szCs w:val="24"/>
          <w:u w:val="single"/>
        </w:rPr>
      </w:pPr>
      <w:r>
        <w:rPr>
          <w:sz w:val="24"/>
          <w:szCs w:val="24"/>
          <w:u w:val="single"/>
        </w:rPr>
        <w:t>Hjælpestoffer, som behandleren skal være opmærksom på</w:t>
      </w:r>
    </w:p>
    <w:p w:rsidR="00EE7D25" w:rsidRDefault="00EE7D25" w:rsidP="00EE7D25">
      <w:pPr>
        <w:ind w:firstLine="851"/>
        <w:rPr>
          <w:sz w:val="24"/>
          <w:szCs w:val="24"/>
        </w:rPr>
      </w:pPr>
      <w:r>
        <w:rPr>
          <w:sz w:val="24"/>
          <w:szCs w:val="24"/>
        </w:rPr>
        <w:t>Et brev indeholder 8,2 mmol (188 mg) natrium og 0,6 mmol (24,4 mg) kalium.</w:t>
      </w:r>
    </w:p>
    <w:p w:rsidR="00EE7D25" w:rsidRDefault="00EE7D25" w:rsidP="00EE7D25">
      <w:pPr>
        <w:tabs>
          <w:tab w:val="left" w:pos="851"/>
        </w:tabs>
        <w:ind w:left="851"/>
        <w:rPr>
          <w:sz w:val="24"/>
          <w:szCs w:val="24"/>
        </w:rPr>
      </w:pPr>
    </w:p>
    <w:p w:rsidR="00EE7D25" w:rsidRDefault="00EE7D25" w:rsidP="00EE7D25">
      <w:pPr>
        <w:tabs>
          <w:tab w:val="left" w:pos="851"/>
        </w:tabs>
        <w:ind w:left="851"/>
        <w:rPr>
          <w:sz w:val="24"/>
          <w:szCs w:val="24"/>
        </w:rPr>
      </w:pPr>
      <w:r>
        <w:rPr>
          <w:sz w:val="24"/>
          <w:szCs w:val="24"/>
        </w:rPr>
        <w:t>Alle hjælpestoffer er anført under pkt. 6.1.</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3.</w:t>
      </w:r>
      <w:r w:rsidRPr="00C84483">
        <w:rPr>
          <w:b/>
          <w:sz w:val="24"/>
          <w:szCs w:val="24"/>
        </w:rPr>
        <w:tab/>
        <w:t>LÆGEMIDDELFORM</w:t>
      </w:r>
    </w:p>
    <w:p w:rsidR="00960295" w:rsidRPr="00C84483" w:rsidRDefault="00960295" w:rsidP="00960295">
      <w:pPr>
        <w:tabs>
          <w:tab w:val="left" w:pos="851"/>
        </w:tabs>
        <w:ind w:left="851"/>
        <w:rPr>
          <w:sz w:val="24"/>
          <w:szCs w:val="24"/>
        </w:rPr>
      </w:pPr>
      <w:r>
        <w:rPr>
          <w:sz w:val="24"/>
          <w:szCs w:val="24"/>
        </w:rPr>
        <w:t>Pulver til oral opløsning</w:t>
      </w:r>
    </w:p>
    <w:p w:rsidR="00960295" w:rsidRPr="00C84483" w:rsidRDefault="00960295" w:rsidP="00960295">
      <w:pPr>
        <w:tabs>
          <w:tab w:val="left" w:pos="851"/>
        </w:tabs>
        <w:ind w:left="851"/>
        <w:rPr>
          <w:sz w:val="24"/>
          <w:szCs w:val="24"/>
        </w:rPr>
      </w:pPr>
    </w:p>
    <w:p w:rsidR="00960295" w:rsidRDefault="00EE7D25" w:rsidP="00960295">
      <w:pPr>
        <w:tabs>
          <w:tab w:val="left" w:pos="851"/>
        </w:tabs>
        <w:ind w:left="851"/>
        <w:rPr>
          <w:sz w:val="24"/>
          <w:szCs w:val="24"/>
        </w:rPr>
      </w:pPr>
      <w:r>
        <w:rPr>
          <w:sz w:val="24"/>
          <w:szCs w:val="24"/>
        </w:rPr>
        <w:t>Enkeltdosisbrev med hvidt krystallinsk pulver.</w:t>
      </w:r>
    </w:p>
    <w:p w:rsidR="00960295" w:rsidRPr="003C6E09" w:rsidRDefault="00960295" w:rsidP="00960295">
      <w:pPr>
        <w:tabs>
          <w:tab w:val="left" w:pos="851"/>
        </w:tabs>
        <w:ind w:left="851"/>
        <w:rPr>
          <w:sz w:val="24"/>
          <w:szCs w:val="24"/>
        </w:rPr>
      </w:pPr>
    </w:p>
    <w:p w:rsidR="00960295" w:rsidRDefault="00960295" w:rsidP="00960295">
      <w:pPr>
        <w:rPr>
          <w:sz w:val="24"/>
          <w:szCs w:val="24"/>
        </w:rPr>
      </w:pPr>
      <w:r>
        <w:rPr>
          <w:sz w:val="24"/>
          <w:szCs w:val="24"/>
        </w:rPr>
        <w:br w:type="page"/>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w:t>
      </w:r>
      <w:r w:rsidRPr="00C84483">
        <w:rPr>
          <w:b/>
          <w:sz w:val="24"/>
          <w:szCs w:val="24"/>
        </w:rPr>
        <w:tab/>
        <w:t>KLINISKE OPLYSNINGER</w:t>
      </w:r>
    </w:p>
    <w:p w:rsidR="00960295" w:rsidRPr="00C84483" w:rsidRDefault="00960295" w:rsidP="00960295">
      <w:pPr>
        <w:tabs>
          <w:tab w:val="left" w:pos="851"/>
        </w:tabs>
        <w:ind w:left="851"/>
        <w:rPr>
          <w:b/>
          <w:sz w:val="24"/>
          <w:szCs w:val="24"/>
        </w:rPr>
      </w:pPr>
    </w:p>
    <w:p w:rsidR="00960295" w:rsidRPr="00C84483" w:rsidRDefault="00960295" w:rsidP="0096029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60295" w:rsidRPr="003C6E09" w:rsidRDefault="00960295" w:rsidP="00960295">
      <w:pPr>
        <w:tabs>
          <w:tab w:val="left" w:pos="851"/>
        </w:tabs>
        <w:ind w:left="851"/>
        <w:rPr>
          <w:sz w:val="24"/>
          <w:szCs w:val="24"/>
        </w:rPr>
      </w:pPr>
      <w:r w:rsidRPr="003C6E09">
        <w:rPr>
          <w:sz w:val="24"/>
          <w:szCs w:val="24"/>
        </w:rPr>
        <w:t xml:space="preserve">Til behandling af kronisk obstipation. </w:t>
      </w:r>
      <w:proofErr w:type="spellStart"/>
      <w:r w:rsidRPr="003C6E09">
        <w:rPr>
          <w:sz w:val="24"/>
          <w:szCs w:val="24"/>
        </w:rPr>
        <w:t>Gangiden</w:t>
      </w:r>
      <w:proofErr w:type="spellEnd"/>
      <w:r w:rsidRPr="003C6E09">
        <w:rPr>
          <w:sz w:val="24"/>
          <w:szCs w:val="24"/>
        </w:rPr>
        <w:t xml:space="preserve"> Neutral er også effektivt til behandling af </w:t>
      </w:r>
      <w:proofErr w:type="spellStart"/>
      <w:r w:rsidRPr="003C6E09">
        <w:rPr>
          <w:sz w:val="24"/>
          <w:szCs w:val="24"/>
        </w:rPr>
        <w:t>fækalom</w:t>
      </w:r>
      <w:proofErr w:type="spellEnd"/>
      <w:r w:rsidRPr="003C6E09">
        <w:rPr>
          <w:sz w:val="24"/>
          <w:szCs w:val="24"/>
        </w:rPr>
        <w:t xml:space="preserve">, defineret som refraktær obstipation med fækal ophobning i </w:t>
      </w:r>
      <w:proofErr w:type="spellStart"/>
      <w:r w:rsidRPr="003C6E09">
        <w:rPr>
          <w:sz w:val="24"/>
          <w:szCs w:val="24"/>
        </w:rPr>
        <w:t>rectum</w:t>
      </w:r>
      <w:proofErr w:type="spellEnd"/>
      <w:r w:rsidRPr="003C6E09">
        <w:rPr>
          <w:sz w:val="24"/>
          <w:szCs w:val="24"/>
        </w:rPr>
        <w:t xml:space="preserve"> og/eller </w:t>
      </w:r>
      <w:proofErr w:type="spellStart"/>
      <w:r w:rsidRPr="003C6E09">
        <w:rPr>
          <w:sz w:val="24"/>
          <w:szCs w:val="24"/>
        </w:rPr>
        <w:t>colon</w:t>
      </w:r>
      <w:proofErr w:type="spellEnd"/>
      <w:r w:rsidRPr="003C6E09">
        <w:rPr>
          <w:sz w:val="24"/>
          <w:szCs w:val="24"/>
        </w:rPr>
        <w:t>.</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60295" w:rsidRDefault="00960295" w:rsidP="00960295">
      <w:pPr>
        <w:pStyle w:val="Listeafsnit"/>
        <w:tabs>
          <w:tab w:val="left" w:pos="851"/>
        </w:tabs>
        <w:ind w:left="851"/>
        <w:rPr>
          <w:b/>
          <w:bCs/>
          <w:sz w:val="24"/>
          <w:szCs w:val="24"/>
        </w:rPr>
      </w:pPr>
    </w:p>
    <w:p w:rsidR="00960295" w:rsidRDefault="00960295" w:rsidP="00960295">
      <w:pPr>
        <w:pStyle w:val="Listeafsnit"/>
        <w:tabs>
          <w:tab w:val="left" w:pos="851"/>
        </w:tabs>
        <w:ind w:left="851"/>
        <w:rPr>
          <w:b/>
          <w:bCs/>
          <w:sz w:val="24"/>
          <w:szCs w:val="24"/>
        </w:rPr>
      </w:pPr>
      <w:r>
        <w:rPr>
          <w:b/>
          <w:bCs/>
          <w:sz w:val="24"/>
          <w:szCs w:val="24"/>
        </w:rPr>
        <w:t>Dosering</w:t>
      </w:r>
    </w:p>
    <w:p w:rsidR="00960295" w:rsidRDefault="00960295" w:rsidP="00960295">
      <w:pPr>
        <w:pStyle w:val="Listeafsnit"/>
        <w:tabs>
          <w:tab w:val="left" w:pos="851"/>
        </w:tabs>
        <w:ind w:left="851"/>
        <w:rPr>
          <w:sz w:val="24"/>
          <w:szCs w:val="24"/>
        </w:rPr>
      </w:pPr>
    </w:p>
    <w:p w:rsidR="00960295" w:rsidRPr="003C6E09" w:rsidRDefault="00960295" w:rsidP="00960295">
      <w:pPr>
        <w:pStyle w:val="Listeafsnit"/>
        <w:tabs>
          <w:tab w:val="left" w:pos="851"/>
        </w:tabs>
        <w:ind w:left="851"/>
        <w:rPr>
          <w:sz w:val="24"/>
          <w:szCs w:val="24"/>
          <w:u w:val="single"/>
        </w:rPr>
      </w:pPr>
      <w:bookmarkStart w:id="2" w:name="OLE_LINK7"/>
      <w:bookmarkStart w:id="3" w:name="OLE_LINK8"/>
      <w:bookmarkStart w:id="4" w:name="OLE_LINK13"/>
      <w:bookmarkStart w:id="5" w:name="OLE_LINK14"/>
      <w:bookmarkStart w:id="6" w:name="OLE_LINK9"/>
      <w:bookmarkStart w:id="7" w:name="OLE_LINK10"/>
      <w:bookmarkStart w:id="8" w:name="OLE_LINK11"/>
      <w:bookmarkStart w:id="9" w:name="OLE_LINK12"/>
      <w:r>
        <w:rPr>
          <w:sz w:val="24"/>
          <w:szCs w:val="24"/>
          <w:u w:val="single"/>
        </w:rPr>
        <w:t>Kronisk obstipation</w:t>
      </w:r>
    </w:p>
    <w:p w:rsidR="00960295" w:rsidRDefault="00960295" w:rsidP="00960295">
      <w:pPr>
        <w:pStyle w:val="Listeafsnit"/>
        <w:tabs>
          <w:tab w:val="left" w:pos="851"/>
        </w:tabs>
        <w:ind w:left="851"/>
        <w:rPr>
          <w:sz w:val="24"/>
          <w:szCs w:val="24"/>
        </w:rPr>
      </w:pPr>
      <w:r>
        <w:rPr>
          <w:sz w:val="24"/>
          <w:szCs w:val="24"/>
        </w:rPr>
        <w:t xml:space="preserve">En behandling af kronisk obstipation med </w:t>
      </w:r>
      <w:proofErr w:type="spellStart"/>
      <w:r>
        <w:rPr>
          <w:sz w:val="24"/>
          <w:szCs w:val="24"/>
        </w:rPr>
        <w:t>Gangiden</w:t>
      </w:r>
      <w:proofErr w:type="spellEnd"/>
      <w:r>
        <w:rPr>
          <w:sz w:val="24"/>
          <w:szCs w:val="24"/>
        </w:rPr>
        <w:t xml:space="preserve"> Neutral må normalt ikke overstige 2 uger, men kan om nødvendigt gentages.</w:t>
      </w:r>
      <w:bookmarkEnd w:id="2"/>
      <w:bookmarkEnd w:id="3"/>
      <w:bookmarkEnd w:id="4"/>
      <w:bookmarkEnd w:id="5"/>
      <w:bookmarkEnd w:id="6"/>
      <w:bookmarkEnd w:id="7"/>
      <w:bookmarkEnd w:id="8"/>
      <w:bookmarkEnd w:id="9"/>
    </w:p>
    <w:p w:rsidR="00960295" w:rsidRDefault="00960295" w:rsidP="00960295">
      <w:pPr>
        <w:pStyle w:val="Listeafsnit"/>
        <w:tabs>
          <w:tab w:val="left" w:pos="851"/>
        </w:tabs>
        <w:ind w:left="851"/>
        <w:rPr>
          <w:sz w:val="24"/>
          <w:szCs w:val="24"/>
        </w:rPr>
      </w:pPr>
      <w:r>
        <w:rPr>
          <w:sz w:val="24"/>
          <w:szCs w:val="24"/>
        </w:rPr>
        <w:t xml:space="preserve">Længerevarende brug af </w:t>
      </w:r>
      <w:proofErr w:type="spellStart"/>
      <w:r>
        <w:rPr>
          <w:sz w:val="24"/>
          <w:szCs w:val="24"/>
        </w:rPr>
        <w:t>laksantia</w:t>
      </w:r>
      <w:proofErr w:type="spellEnd"/>
      <w:r>
        <w:rPr>
          <w:sz w:val="24"/>
          <w:szCs w:val="24"/>
        </w:rPr>
        <w:t xml:space="preserve"> anbefales normalt ikke. Det kan være nødvendigt med langvarig brug hos patienter med svær kronisk eller refraktær obstipation, der er sekundær til multipel sklerose eller Parkinsons sygdom, eller som er forårsaget af regelmæssig brug af obstiperende lægemidler, i særdeleshed opioider og </w:t>
      </w:r>
      <w:proofErr w:type="spellStart"/>
      <w:r>
        <w:rPr>
          <w:sz w:val="24"/>
          <w:szCs w:val="24"/>
        </w:rPr>
        <w:t>antimuskariner</w:t>
      </w:r>
      <w:proofErr w:type="spellEnd"/>
      <w:r>
        <w:rPr>
          <w:sz w:val="24"/>
          <w:szCs w:val="24"/>
        </w:rPr>
        <w:t>.</w:t>
      </w:r>
    </w:p>
    <w:p w:rsidR="00960295" w:rsidRDefault="00960295" w:rsidP="00960295">
      <w:pPr>
        <w:tabs>
          <w:tab w:val="left" w:pos="851"/>
        </w:tabs>
        <w:ind w:left="851"/>
        <w:rPr>
          <w:sz w:val="24"/>
          <w:szCs w:val="24"/>
        </w:rPr>
      </w:pPr>
    </w:p>
    <w:p w:rsidR="00960295" w:rsidRPr="00E3619F" w:rsidRDefault="00960295" w:rsidP="00960295">
      <w:pPr>
        <w:tabs>
          <w:tab w:val="left" w:pos="851"/>
        </w:tabs>
        <w:ind w:left="851"/>
        <w:rPr>
          <w:i/>
          <w:sz w:val="24"/>
          <w:szCs w:val="24"/>
        </w:rPr>
      </w:pPr>
      <w:bookmarkStart w:id="10" w:name="OLE_LINK15"/>
      <w:bookmarkStart w:id="11" w:name="OLE_LINK16"/>
      <w:r w:rsidRPr="00E3619F">
        <w:rPr>
          <w:i/>
          <w:sz w:val="24"/>
          <w:szCs w:val="24"/>
        </w:rPr>
        <w:t>Voksne, unge og ældre</w:t>
      </w:r>
    </w:p>
    <w:p w:rsidR="00960295" w:rsidRDefault="00960295" w:rsidP="00960295">
      <w:pPr>
        <w:tabs>
          <w:tab w:val="left" w:pos="851"/>
        </w:tabs>
        <w:ind w:left="851"/>
        <w:rPr>
          <w:sz w:val="24"/>
          <w:szCs w:val="24"/>
        </w:rPr>
      </w:pPr>
      <w:r>
        <w:rPr>
          <w:sz w:val="24"/>
          <w:szCs w:val="24"/>
        </w:rPr>
        <w:t xml:space="preserve">1-3 breve daglig fordelt på flere doser afhængigt af individuelt respons. </w:t>
      </w:r>
      <w:r>
        <w:rPr>
          <w:sz w:val="24"/>
          <w:szCs w:val="24"/>
          <w:lang w:bidi="da-DK"/>
        </w:rPr>
        <w:t>Ved langvarig brug kan dosis reduceres til 1 eller 2 breve daglig.</w:t>
      </w:r>
    </w:p>
    <w:bookmarkEnd w:id="10"/>
    <w:bookmarkEnd w:id="11"/>
    <w:p w:rsidR="00960295" w:rsidRDefault="00960295" w:rsidP="00960295">
      <w:pPr>
        <w:tabs>
          <w:tab w:val="left" w:pos="851"/>
        </w:tabs>
        <w:ind w:left="851"/>
        <w:rPr>
          <w:sz w:val="24"/>
          <w:szCs w:val="24"/>
        </w:rPr>
      </w:pPr>
    </w:p>
    <w:p w:rsidR="00960295" w:rsidRPr="00E3619F" w:rsidRDefault="00960295" w:rsidP="00960295">
      <w:pPr>
        <w:tabs>
          <w:tab w:val="left" w:pos="851"/>
        </w:tabs>
        <w:ind w:left="851"/>
        <w:rPr>
          <w:i/>
          <w:sz w:val="24"/>
          <w:szCs w:val="24"/>
        </w:rPr>
      </w:pPr>
      <w:r w:rsidRPr="00E3619F">
        <w:rPr>
          <w:i/>
          <w:sz w:val="24"/>
          <w:szCs w:val="24"/>
        </w:rPr>
        <w:t>Børn under 12 år</w:t>
      </w:r>
    </w:p>
    <w:p w:rsidR="00960295" w:rsidRDefault="00960295" w:rsidP="00960295">
      <w:pPr>
        <w:tabs>
          <w:tab w:val="left" w:pos="851"/>
        </w:tabs>
        <w:ind w:left="851"/>
        <w:rPr>
          <w:sz w:val="24"/>
          <w:szCs w:val="24"/>
        </w:rPr>
      </w:pPr>
      <w:proofErr w:type="spellStart"/>
      <w:r>
        <w:rPr>
          <w:sz w:val="24"/>
          <w:szCs w:val="24"/>
        </w:rPr>
        <w:t>Gangiden</w:t>
      </w:r>
      <w:proofErr w:type="spellEnd"/>
      <w:r>
        <w:rPr>
          <w:sz w:val="24"/>
          <w:szCs w:val="24"/>
        </w:rPr>
        <w:t xml:space="preserve"> Neutral bør ikke anvendes til børn under 12 år.</w:t>
      </w:r>
    </w:p>
    <w:p w:rsidR="00960295" w:rsidRDefault="00960295" w:rsidP="00960295">
      <w:pPr>
        <w:tabs>
          <w:tab w:val="left" w:pos="851"/>
        </w:tabs>
        <w:ind w:left="851"/>
        <w:rPr>
          <w:sz w:val="24"/>
          <w:szCs w:val="24"/>
        </w:rPr>
      </w:pPr>
    </w:p>
    <w:p w:rsidR="00960295" w:rsidRPr="00E3619F" w:rsidRDefault="00960295" w:rsidP="00960295">
      <w:pPr>
        <w:tabs>
          <w:tab w:val="left" w:pos="851"/>
        </w:tabs>
        <w:ind w:left="851"/>
        <w:rPr>
          <w:sz w:val="24"/>
          <w:szCs w:val="24"/>
        </w:rPr>
      </w:pPr>
      <w:proofErr w:type="spellStart"/>
      <w:r w:rsidRPr="00E3619F">
        <w:rPr>
          <w:sz w:val="24"/>
          <w:szCs w:val="24"/>
          <w:u w:val="single"/>
        </w:rPr>
        <w:t>Fækalom</w:t>
      </w:r>
      <w:proofErr w:type="spellEnd"/>
    </w:p>
    <w:p w:rsidR="00960295" w:rsidRDefault="00960295" w:rsidP="00960295">
      <w:pPr>
        <w:tabs>
          <w:tab w:val="left" w:pos="851"/>
        </w:tabs>
        <w:ind w:left="851"/>
        <w:rPr>
          <w:sz w:val="24"/>
          <w:szCs w:val="24"/>
        </w:rPr>
      </w:pPr>
      <w:r>
        <w:rPr>
          <w:sz w:val="24"/>
          <w:szCs w:val="24"/>
        </w:rPr>
        <w:t xml:space="preserve">Behandlingen med </w:t>
      </w:r>
      <w:proofErr w:type="spellStart"/>
      <w:r>
        <w:rPr>
          <w:sz w:val="24"/>
          <w:szCs w:val="24"/>
        </w:rPr>
        <w:t>Gangiden</w:t>
      </w:r>
      <w:proofErr w:type="spellEnd"/>
      <w:r>
        <w:rPr>
          <w:sz w:val="24"/>
          <w:szCs w:val="24"/>
        </w:rPr>
        <w:t xml:space="preserve"> Neutral mod </w:t>
      </w:r>
      <w:proofErr w:type="spellStart"/>
      <w:r>
        <w:rPr>
          <w:sz w:val="24"/>
          <w:szCs w:val="24"/>
        </w:rPr>
        <w:t>fækalom</w:t>
      </w:r>
      <w:proofErr w:type="spellEnd"/>
      <w:r>
        <w:rPr>
          <w:sz w:val="24"/>
          <w:szCs w:val="24"/>
        </w:rPr>
        <w:t xml:space="preserve"> overstiger normalt ikke 3 dage.</w:t>
      </w:r>
    </w:p>
    <w:p w:rsidR="00960295" w:rsidRDefault="00960295" w:rsidP="00960295">
      <w:pPr>
        <w:tabs>
          <w:tab w:val="left" w:pos="851"/>
        </w:tabs>
        <w:ind w:left="851"/>
        <w:rPr>
          <w:sz w:val="24"/>
          <w:szCs w:val="24"/>
        </w:rPr>
      </w:pPr>
    </w:p>
    <w:p w:rsidR="00960295" w:rsidRPr="00E3619F" w:rsidRDefault="00960295" w:rsidP="00960295">
      <w:pPr>
        <w:tabs>
          <w:tab w:val="left" w:pos="851"/>
        </w:tabs>
        <w:ind w:left="851"/>
        <w:rPr>
          <w:i/>
          <w:sz w:val="24"/>
          <w:szCs w:val="24"/>
        </w:rPr>
      </w:pPr>
      <w:r w:rsidRPr="00E3619F">
        <w:rPr>
          <w:i/>
          <w:sz w:val="24"/>
          <w:szCs w:val="24"/>
        </w:rPr>
        <w:t>Voksne, unge og ældre</w:t>
      </w:r>
    </w:p>
    <w:p w:rsidR="00960295" w:rsidRDefault="00960295" w:rsidP="00960295">
      <w:pPr>
        <w:tabs>
          <w:tab w:val="left" w:pos="851"/>
        </w:tabs>
        <w:ind w:left="851"/>
        <w:rPr>
          <w:sz w:val="24"/>
          <w:szCs w:val="24"/>
        </w:rPr>
      </w:pPr>
      <w:r>
        <w:rPr>
          <w:sz w:val="24"/>
          <w:szCs w:val="24"/>
        </w:rPr>
        <w:t xml:space="preserve">Den daglige dosis er 8 breve, der alle bør indtages i løbet af en periode på 6 timer. </w:t>
      </w:r>
    </w:p>
    <w:p w:rsidR="00960295" w:rsidRDefault="00960295" w:rsidP="00960295">
      <w:pPr>
        <w:tabs>
          <w:tab w:val="left" w:pos="851"/>
        </w:tabs>
        <w:ind w:left="851"/>
        <w:rPr>
          <w:sz w:val="24"/>
          <w:szCs w:val="24"/>
        </w:rPr>
      </w:pPr>
    </w:p>
    <w:p w:rsidR="00960295" w:rsidRPr="00E3619F" w:rsidRDefault="00960295" w:rsidP="00960295">
      <w:pPr>
        <w:tabs>
          <w:tab w:val="left" w:pos="851"/>
        </w:tabs>
        <w:ind w:left="851"/>
        <w:rPr>
          <w:i/>
          <w:sz w:val="24"/>
          <w:szCs w:val="24"/>
        </w:rPr>
      </w:pPr>
      <w:r w:rsidRPr="00E3619F">
        <w:rPr>
          <w:i/>
          <w:sz w:val="24"/>
          <w:szCs w:val="24"/>
        </w:rPr>
        <w:t>Børn under 12 år</w:t>
      </w:r>
    </w:p>
    <w:p w:rsidR="00960295" w:rsidRDefault="00960295" w:rsidP="00960295">
      <w:pPr>
        <w:tabs>
          <w:tab w:val="left" w:pos="851"/>
        </w:tabs>
        <w:ind w:left="851"/>
        <w:rPr>
          <w:sz w:val="24"/>
          <w:szCs w:val="24"/>
        </w:rPr>
      </w:pPr>
      <w:r>
        <w:rPr>
          <w:sz w:val="24"/>
          <w:szCs w:val="24"/>
        </w:rPr>
        <w:t>Brug er frarådet.</w:t>
      </w:r>
    </w:p>
    <w:p w:rsidR="00960295" w:rsidRDefault="00960295" w:rsidP="00960295">
      <w:pPr>
        <w:tabs>
          <w:tab w:val="left" w:pos="851"/>
        </w:tabs>
        <w:ind w:left="851"/>
        <w:rPr>
          <w:sz w:val="24"/>
          <w:szCs w:val="24"/>
        </w:rPr>
      </w:pPr>
    </w:p>
    <w:p w:rsidR="00960295" w:rsidRPr="00A93032" w:rsidRDefault="00960295" w:rsidP="00960295">
      <w:pPr>
        <w:tabs>
          <w:tab w:val="left" w:pos="851"/>
        </w:tabs>
        <w:ind w:left="851"/>
        <w:rPr>
          <w:sz w:val="24"/>
          <w:szCs w:val="24"/>
          <w:u w:val="single"/>
        </w:rPr>
      </w:pPr>
      <w:r w:rsidRPr="00A93032">
        <w:rPr>
          <w:sz w:val="24"/>
          <w:szCs w:val="24"/>
          <w:u w:val="single"/>
        </w:rPr>
        <w:t xml:space="preserve">Patienter med nedsat </w:t>
      </w:r>
      <w:proofErr w:type="spellStart"/>
      <w:r w:rsidRPr="00A93032">
        <w:rPr>
          <w:sz w:val="24"/>
          <w:szCs w:val="24"/>
          <w:u w:val="single"/>
        </w:rPr>
        <w:t>kardiovaskulær</w:t>
      </w:r>
      <w:proofErr w:type="spellEnd"/>
      <w:r w:rsidRPr="00A93032">
        <w:rPr>
          <w:sz w:val="24"/>
          <w:szCs w:val="24"/>
          <w:u w:val="single"/>
        </w:rPr>
        <w:t xml:space="preserve"> funktion</w:t>
      </w:r>
    </w:p>
    <w:p w:rsidR="00960295" w:rsidRDefault="00960295" w:rsidP="00960295">
      <w:pPr>
        <w:tabs>
          <w:tab w:val="left" w:pos="851"/>
        </w:tabs>
        <w:ind w:left="851"/>
        <w:rPr>
          <w:sz w:val="24"/>
          <w:szCs w:val="24"/>
        </w:rPr>
      </w:pPr>
      <w:r>
        <w:rPr>
          <w:sz w:val="24"/>
          <w:szCs w:val="24"/>
        </w:rPr>
        <w:t xml:space="preserve">Ved behandling af </w:t>
      </w:r>
      <w:proofErr w:type="spellStart"/>
      <w:r>
        <w:rPr>
          <w:sz w:val="24"/>
          <w:szCs w:val="24"/>
        </w:rPr>
        <w:t>fækalom</w:t>
      </w:r>
      <w:proofErr w:type="spellEnd"/>
      <w:r>
        <w:rPr>
          <w:sz w:val="24"/>
          <w:szCs w:val="24"/>
        </w:rPr>
        <w:t xml:space="preserve"> bør dosis inddeles således, at der ikke tages mere end to breve i timen.</w:t>
      </w:r>
    </w:p>
    <w:p w:rsidR="00960295" w:rsidRDefault="00960295" w:rsidP="00960295">
      <w:pPr>
        <w:tabs>
          <w:tab w:val="left" w:pos="851"/>
        </w:tabs>
        <w:ind w:left="851"/>
        <w:rPr>
          <w:sz w:val="24"/>
          <w:szCs w:val="24"/>
        </w:rPr>
      </w:pPr>
    </w:p>
    <w:p w:rsidR="00960295" w:rsidRDefault="00960295" w:rsidP="00960295">
      <w:pPr>
        <w:tabs>
          <w:tab w:val="left" w:pos="851"/>
        </w:tabs>
        <w:ind w:left="851"/>
        <w:rPr>
          <w:sz w:val="24"/>
          <w:szCs w:val="24"/>
        </w:rPr>
      </w:pPr>
      <w:r>
        <w:rPr>
          <w:sz w:val="24"/>
          <w:szCs w:val="24"/>
          <w:u w:val="single"/>
        </w:rPr>
        <w:t>Patienter med nedsat nyrefunktion</w:t>
      </w:r>
    </w:p>
    <w:p w:rsidR="00960295" w:rsidRDefault="00960295" w:rsidP="00960295">
      <w:pPr>
        <w:tabs>
          <w:tab w:val="left" w:pos="851"/>
        </w:tabs>
        <w:ind w:left="851"/>
        <w:rPr>
          <w:sz w:val="24"/>
          <w:szCs w:val="24"/>
        </w:rPr>
      </w:pPr>
      <w:r>
        <w:rPr>
          <w:sz w:val="24"/>
          <w:szCs w:val="24"/>
        </w:rPr>
        <w:t xml:space="preserve">Det er ikke nødvendigt at justere dosis ved behandling af obstipation eller </w:t>
      </w:r>
      <w:proofErr w:type="spellStart"/>
      <w:r>
        <w:rPr>
          <w:sz w:val="24"/>
          <w:szCs w:val="24"/>
        </w:rPr>
        <w:t>fækalom</w:t>
      </w:r>
      <w:proofErr w:type="spellEnd"/>
      <w:r>
        <w:rPr>
          <w:sz w:val="24"/>
          <w:szCs w:val="24"/>
        </w:rPr>
        <w:t>.</w:t>
      </w:r>
    </w:p>
    <w:p w:rsidR="00960295" w:rsidRDefault="00960295" w:rsidP="00960295">
      <w:pPr>
        <w:tabs>
          <w:tab w:val="left" w:pos="851"/>
        </w:tabs>
        <w:ind w:left="851"/>
        <w:rPr>
          <w:sz w:val="24"/>
          <w:szCs w:val="24"/>
        </w:rPr>
      </w:pPr>
    </w:p>
    <w:p w:rsidR="00960295" w:rsidRDefault="00960295" w:rsidP="00960295">
      <w:pPr>
        <w:tabs>
          <w:tab w:val="left" w:pos="851"/>
        </w:tabs>
        <w:ind w:left="851"/>
        <w:rPr>
          <w:b/>
          <w:iCs/>
          <w:sz w:val="24"/>
          <w:szCs w:val="24"/>
        </w:rPr>
      </w:pPr>
      <w:r>
        <w:rPr>
          <w:b/>
          <w:iCs/>
          <w:sz w:val="24"/>
          <w:szCs w:val="24"/>
        </w:rPr>
        <w:t>Administration</w:t>
      </w:r>
    </w:p>
    <w:p w:rsidR="00960295" w:rsidRDefault="00960295" w:rsidP="00960295">
      <w:pPr>
        <w:tabs>
          <w:tab w:val="left" w:pos="851"/>
        </w:tabs>
        <w:ind w:left="851"/>
        <w:rPr>
          <w:sz w:val="24"/>
          <w:szCs w:val="24"/>
        </w:rPr>
      </w:pPr>
      <w:r>
        <w:rPr>
          <w:sz w:val="24"/>
          <w:szCs w:val="24"/>
        </w:rPr>
        <w:t xml:space="preserve">Brevets indhold opløses i 125 ml vand. I forbindelse med brug mod </w:t>
      </w:r>
      <w:proofErr w:type="spellStart"/>
      <w:r>
        <w:rPr>
          <w:sz w:val="24"/>
          <w:szCs w:val="24"/>
        </w:rPr>
        <w:t>fækalom</w:t>
      </w:r>
      <w:proofErr w:type="spellEnd"/>
      <w:r>
        <w:rPr>
          <w:sz w:val="24"/>
          <w:szCs w:val="24"/>
        </w:rPr>
        <w:t xml:space="preserve"> kan der opløses 8 breve i 1 liter vand.</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4.3</w:t>
      </w:r>
      <w:r w:rsidRPr="00C84483">
        <w:rPr>
          <w:b/>
          <w:sz w:val="24"/>
          <w:szCs w:val="24"/>
        </w:rPr>
        <w:tab/>
        <w:t>Kontraindikationer</w:t>
      </w:r>
    </w:p>
    <w:p w:rsidR="00960295" w:rsidRDefault="00960295" w:rsidP="00960295">
      <w:pPr>
        <w:pStyle w:val="Listeafsnit"/>
        <w:tabs>
          <w:tab w:val="left" w:pos="851"/>
        </w:tabs>
        <w:ind w:left="851"/>
        <w:rPr>
          <w:sz w:val="24"/>
          <w:szCs w:val="24"/>
        </w:rPr>
      </w:pPr>
      <w:proofErr w:type="spellStart"/>
      <w:r>
        <w:rPr>
          <w:sz w:val="24"/>
          <w:szCs w:val="24"/>
        </w:rPr>
        <w:t>Intestinal</w:t>
      </w:r>
      <w:proofErr w:type="spellEnd"/>
      <w:r>
        <w:rPr>
          <w:sz w:val="24"/>
          <w:szCs w:val="24"/>
        </w:rPr>
        <w:t xml:space="preserve"> perforation eller obstruktion på grund af strukturelle eller funktionelle forstyrrelser i tarmvæggen, </w:t>
      </w:r>
      <w:proofErr w:type="spellStart"/>
      <w:r>
        <w:rPr>
          <w:sz w:val="24"/>
          <w:szCs w:val="24"/>
        </w:rPr>
        <w:t>ileus</w:t>
      </w:r>
      <w:proofErr w:type="spellEnd"/>
      <w:r>
        <w:rPr>
          <w:sz w:val="24"/>
          <w:szCs w:val="24"/>
        </w:rPr>
        <w:t xml:space="preserve">, svære inflammatoriske tarmsygdomme, såsom </w:t>
      </w:r>
      <w:proofErr w:type="spellStart"/>
      <w:r>
        <w:rPr>
          <w:sz w:val="24"/>
          <w:szCs w:val="24"/>
        </w:rPr>
        <w:t>Crohns</w:t>
      </w:r>
      <w:proofErr w:type="spellEnd"/>
      <w:r>
        <w:rPr>
          <w:sz w:val="24"/>
          <w:szCs w:val="24"/>
        </w:rPr>
        <w:t xml:space="preserve"> sygdom og colitis </w:t>
      </w:r>
      <w:proofErr w:type="spellStart"/>
      <w:r>
        <w:rPr>
          <w:sz w:val="24"/>
          <w:szCs w:val="24"/>
        </w:rPr>
        <w:t>ulcerosa</w:t>
      </w:r>
      <w:proofErr w:type="spellEnd"/>
      <w:r>
        <w:rPr>
          <w:sz w:val="24"/>
          <w:szCs w:val="24"/>
        </w:rPr>
        <w:t xml:space="preserve"> og toksisk </w:t>
      </w:r>
      <w:proofErr w:type="spellStart"/>
      <w:r>
        <w:rPr>
          <w:sz w:val="24"/>
          <w:szCs w:val="24"/>
        </w:rPr>
        <w:t>megacolon</w:t>
      </w:r>
      <w:proofErr w:type="spellEnd"/>
      <w:r>
        <w:rPr>
          <w:sz w:val="24"/>
          <w:szCs w:val="24"/>
        </w:rPr>
        <w:t>.</w:t>
      </w:r>
    </w:p>
    <w:p w:rsidR="00960295" w:rsidRDefault="00960295" w:rsidP="00960295">
      <w:pPr>
        <w:pStyle w:val="Listeafsnit"/>
        <w:tabs>
          <w:tab w:val="left" w:pos="851"/>
        </w:tabs>
        <w:ind w:left="851"/>
        <w:rPr>
          <w:sz w:val="24"/>
          <w:szCs w:val="24"/>
        </w:rPr>
      </w:pPr>
    </w:p>
    <w:p w:rsidR="00960295" w:rsidRDefault="00960295" w:rsidP="00960295">
      <w:pPr>
        <w:pStyle w:val="Listeafsnit"/>
        <w:tabs>
          <w:tab w:val="left" w:pos="851"/>
        </w:tabs>
        <w:ind w:left="851"/>
        <w:rPr>
          <w:sz w:val="24"/>
          <w:szCs w:val="24"/>
        </w:rPr>
      </w:pPr>
      <w:r>
        <w:rPr>
          <w:sz w:val="24"/>
          <w:szCs w:val="24"/>
        </w:rPr>
        <w:t>Overfølsomhed over for de aktive stoffer eller over for et eller flere af hjælpestofferne anført i pkt. 6.1.</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E7D25" w:rsidRDefault="00EE7D25" w:rsidP="00EE7D25">
      <w:pPr>
        <w:pStyle w:val="Listeafsnit"/>
        <w:tabs>
          <w:tab w:val="left" w:pos="851"/>
        </w:tabs>
        <w:ind w:left="851"/>
        <w:rPr>
          <w:sz w:val="24"/>
          <w:szCs w:val="24"/>
        </w:rPr>
      </w:pPr>
      <w:r>
        <w:rPr>
          <w:sz w:val="24"/>
          <w:szCs w:val="24"/>
        </w:rPr>
        <w:t xml:space="preserve">Væskeindholdet af </w:t>
      </w:r>
      <w:proofErr w:type="spellStart"/>
      <w:r>
        <w:rPr>
          <w:sz w:val="24"/>
          <w:szCs w:val="24"/>
        </w:rPr>
        <w:t>Gangiden</w:t>
      </w:r>
      <w:proofErr w:type="spellEnd"/>
      <w:r>
        <w:rPr>
          <w:sz w:val="24"/>
          <w:szCs w:val="24"/>
        </w:rPr>
        <w:t xml:space="preserve"> Neutral, når det er </w:t>
      </w:r>
      <w:proofErr w:type="spellStart"/>
      <w:r>
        <w:rPr>
          <w:sz w:val="24"/>
          <w:szCs w:val="24"/>
        </w:rPr>
        <w:t>rekonstitueret</w:t>
      </w:r>
      <w:proofErr w:type="spellEnd"/>
      <w:r>
        <w:rPr>
          <w:sz w:val="24"/>
          <w:szCs w:val="24"/>
        </w:rPr>
        <w:t xml:space="preserve"> med vand, erstatter ikke sædvanligt væskeindtag, og et passende væskeindtag bør opretholdes.</w:t>
      </w:r>
    </w:p>
    <w:p w:rsidR="00EE7D25" w:rsidRDefault="00EE7D25" w:rsidP="00EE7D25">
      <w:pPr>
        <w:pStyle w:val="Listeafsnit"/>
        <w:tabs>
          <w:tab w:val="left" w:pos="851"/>
        </w:tabs>
        <w:ind w:left="851"/>
        <w:rPr>
          <w:sz w:val="24"/>
          <w:szCs w:val="24"/>
        </w:rPr>
      </w:pPr>
    </w:p>
    <w:p w:rsidR="00EE7D25" w:rsidRDefault="00EE7D25" w:rsidP="00EE7D25">
      <w:pPr>
        <w:pStyle w:val="Listeafsnit"/>
        <w:tabs>
          <w:tab w:val="left" w:pos="851"/>
        </w:tabs>
        <w:ind w:left="851"/>
        <w:rPr>
          <w:sz w:val="24"/>
          <w:szCs w:val="24"/>
        </w:rPr>
      </w:pPr>
      <w:r>
        <w:rPr>
          <w:sz w:val="24"/>
          <w:szCs w:val="24"/>
        </w:rPr>
        <w:t xml:space="preserve">Diagnosen </w:t>
      </w:r>
      <w:proofErr w:type="spellStart"/>
      <w:r>
        <w:rPr>
          <w:sz w:val="24"/>
          <w:szCs w:val="24"/>
        </w:rPr>
        <w:t>fækalom</w:t>
      </w:r>
      <w:proofErr w:type="spellEnd"/>
      <w:r>
        <w:rPr>
          <w:sz w:val="24"/>
          <w:szCs w:val="24"/>
        </w:rPr>
        <w:t xml:space="preserve">/fækal ophobning i </w:t>
      </w:r>
      <w:proofErr w:type="spellStart"/>
      <w:r>
        <w:rPr>
          <w:sz w:val="24"/>
          <w:szCs w:val="24"/>
        </w:rPr>
        <w:t>rectum</w:t>
      </w:r>
      <w:proofErr w:type="spellEnd"/>
      <w:r>
        <w:rPr>
          <w:sz w:val="24"/>
          <w:szCs w:val="24"/>
        </w:rPr>
        <w:t xml:space="preserve"> bør bekræftes ved fysisk eller radiologisk undersøgelse af </w:t>
      </w:r>
      <w:proofErr w:type="spellStart"/>
      <w:r>
        <w:rPr>
          <w:sz w:val="24"/>
          <w:szCs w:val="24"/>
        </w:rPr>
        <w:t>rectum</w:t>
      </w:r>
      <w:proofErr w:type="spellEnd"/>
      <w:r>
        <w:rPr>
          <w:sz w:val="24"/>
          <w:szCs w:val="24"/>
        </w:rPr>
        <w:t xml:space="preserve"> og abdomen.</w:t>
      </w:r>
    </w:p>
    <w:p w:rsidR="00EE7D25" w:rsidRDefault="00EE7D25" w:rsidP="00EE7D25">
      <w:pPr>
        <w:pStyle w:val="Listeafsnit"/>
        <w:tabs>
          <w:tab w:val="left" w:pos="851"/>
        </w:tabs>
        <w:ind w:left="851"/>
        <w:rPr>
          <w:sz w:val="24"/>
          <w:szCs w:val="24"/>
        </w:rPr>
      </w:pPr>
    </w:p>
    <w:p w:rsidR="00EE7D25" w:rsidRDefault="00EE7D25" w:rsidP="00EE7D25">
      <w:pPr>
        <w:pStyle w:val="Listeafsnit"/>
        <w:tabs>
          <w:tab w:val="left" w:pos="851"/>
        </w:tabs>
        <w:ind w:left="851"/>
        <w:rPr>
          <w:sz w:val="24"/>
          <w:szCs w:val="24"/>
        </w:rPr>
      </w:pPr>
      <w:r>
        <w:rPr>
          <w:sz w:val="24"/>
          <w:szCs w:val="24"/>
        </w:rPr>
        <w:t xml:space="preserve">Der kan forekomme milde bivirkninger, se pkt. 4.8. Ved tilfælde af diarre bør der tages særligt hensyn til patienter, som er i øget risiko for forstyrrelser i væske- og elektrolytbalancen (fx. ældre, patienter med nedsat lever- eller nyrefunktion eller patienter, som tager </w:t>
      </w:r>
      <w:proofErr w:type="spellStart"/>
      <w:r>
        <w:rPr>
          <w:sz w:val="24"/>
          <w:szCs w:val="24"/>
        </w:rPr>
        <w:t>diuretika</w:t>
      </w:r>
      <w:proofErr w:type="spellEnd"/>
      <w:r>
        <w:rPr>
          <w:sz w:val="24"/>
          <w:szCs w:val="24"/>
        </w:rPr>
        <w:t xml:space="preserve">) og elektrolytkontrol bør overvejes. Hvis patienten får symptomer, der tyder på forstyrrelser i elektrolyt- eller væskebalancen (f.eks. ødem, åndenød, tiltagende træthed, dehydrering, hjerteinsufficiens), skal behandlingen med </w:t>
      </w:r>
      <w:proofErr w:type="spellStart"/>
      <w:r>
        <w:rPr>
          <w:sz w:val="24"/>
          <w:szCs w:val="24"/>
        </w:rPr>
        <w:t>Gangiden</w:t>
      </w:r>
      <w:proofErr w:type="spellEnd"/>
      <w:r>
        <w:rPr>
          <w:sz w:val="24"/>
          <w:szCs w:val="24"/>
        </w:rPr>
        <w:t xml:space="preserve"> Neutral straks seponeres, patienten skal have målt elektrolyttal og have passende behandling for eventuelle anomalier.</w:t>
      </w:r>
    </w:p>
    <w:p w:rsidR="00EE7D25" w:rsidRDefault="00EE7D25" w:rsidP="00EE7D25">
      <w:pPr>
        <w:pStyle w:val="Listeafsnit"/>
        <w:tabs>
          <w:tab w:val="left" w:pos="851"/>
        </w:tabs>
        <w:ind w:left="851"/>
        <w:rPr>
          <w:sz w:val="24"/>
          <w:szCs w:val="24"/>
        </w:rPr>
      </w:pPr>
    </w:p>
    <w:p w:rsidR="00591FBE" w:rsidRDefault="00591FBE" w:rsidP="00591FBE">
      <w:pPr>
        <w:pStyle w:val="Listeafsnit"/>
        <w:tabs>
          <w:tab w:val="left" w:pos="851"/>
        </w:tabs>
        <w:ind w:left="851"/>
        <w:rPr>
          <w:sz w:val="24"/>
          <w:szCs w:val="24"/>
          <w:lang w:bidi="da-DK"/>
        </w:rPr>
      </w:pPr>
      <w:r>
        <w:rPr>
          <w:sz w:val="24"/>
          <w:szCs w:val="24"/>
          <w:lang w:bidi="da-DK"/>
        </w:rPr>
        <w:t xml:space="preserve">Absorptionen af andre lægemidler kan være midlertidigt reduceret, idet </w:t>
      </w:r>
      <w:proofErr w:type="spellStart"/>
      <w:r>
        <w:rPr>
          <w:sz w:val="24"/>
          <w:szCs w:val="24"/>
          <w:lang w:bidi="da-DK"/>
        </w:rPr>
        <w:t>Gangiden</w:t>
      </w:r>
      <w:proofErr w:type="spellEnd"/>
      <w:r>
        <w:rPr>
          <w:sz w:val="24"/>
          <w:szCs w:val="24"/>
          <w:lang w:bidi="da-DK"/>
        </w:rPr>
        <w:t xml:space="preserve"> Neutral øger den </w:t>
      </w:r>
      <w:proofErr w:type="spellStart"/>
      <w:r>
        <w:rPr>
          <w:sz w:val="24"/>
          <w:szCs w:val="24"/>
          <w:lang w:bidi="da-DK"/>
        </w:rPr>
        <w:t>gastrointestinale</w:t>
      </w:r>
      <w:proofErr w:type="spellEnd"/>
      <w:r>
        <w:rPr>
          <w:sz w:val="24"/>
          <w:szCs w:val="24"/>
          <w:lang w:bidi="da-DK"/>
        </w:rPr>
        <w:t xml:space="preserve"> transithastighed (se pkt. 4.5).</w:t>
      </w:r>
    </w:p>
    <w:p w:rsidR="00A22F3D" w:rsidRDefault="00A22F3D" w:rsidP="00591FBE">
      <w:pPr>
        <w:pStyle w:val="Listeafsnit"/>
        <w:tabs>
          <w:tab w:val="left" w:pos="851"/>
        </w:tabs>
        <w:ind w:left="851"/>
        <w:rPr>
          <w:sz w:val="24"/>
          <w:szCs w:val="24"/>
          <w:lang w:bidi="da-DK"/>
        </w:rPr>
      </w:pPr>
    </w:p>
    <w:p w:rsidR="00A22F3D" w:rsidRPr="00A22F3D" w:rsidRDefault="00A22F3D" w:rsidP="00A22F3D">
      <w:pPr>
        <w:pStyle w:val="Listeafsnit"/>
        <w:tabs>
          <w:tab w:val="left" w:pos="851"/>
        </w:tabs>
        <w:ind w:left="851"/>
        <w:rPr>
          <w:sz w:val="24"/>
          <w:szCs w:val="24"/>
          <w:lang w:bidi="da-DK"/>
        </w:rPr>
      </w:pPr>
      <w:r w:rsidRPr="00516169">
        <w:rPr>
          <w:sz w:val="24"/>
          <w:szCs w:val="24"/>
          <w:lang w:bidi="da-DK"/>
        </w:rPr>
        <w:t>Hos personer med synkebesvær, der har brug for at tilføje fortykningsmidler for at sikre et passende indtag, bør interaktioner tages i betragtning, se pkt. 4.5.</w:t>
      </w:r>
    </w:p>
    <w:p w:rsidR="00591FBE" w:rsidRDefault="00591FBE" w:rsidP="00591FBE">
      <w:pPr>
        <w:pStyle w:val="Listeafsnit"/>
        <w:tabs>
          <w:tab w:val="left" w:pos="851"/>
        </w:tabs>
        <w:ind w:left="851"/>
        <w:rPr>
          <w:sz w:val="24"/>
          <w:szCs w:val="24"/>
          <w:lang w:bidi="da-DK"/>
        </w:rPr>
      </w:pPr>
    </w:p>
    <w:p w:rsidR="00591FBE" w:rsidRPr="006079D4" w:rsidRDefault="00591FBE" w:rsidP="00591FBE">
      <w:pPr>
        <w:ind w:left="851"/>
        <w:rPr>
          <w:sz w:val="24"/>
          <w:szCs w:val="24"/>
          <w:u w:val="single"/>
        </w:rPr>
      </w:pPr>
      <w:r w:rsidRPr="006079D4">
        <w:rPr>
          <w:sz w:val="24"/>
          <w:szCs w:val="24"/>
          <w:u w:val="single"/>
        </w:rPr>
        <w:t>Iskæmisk colitis</w:t>
      </w:r>
    </w:p>
    <w:p w:rsidR="00EE7D25" w:rsidRPr="00591FBE" w:rsidRDefault="00591FBE" w:rsidP="00591FBE">
      <w:pPr>
        <w:ind w:left="851"/>
        <w:rPr>
          <w:sz w:val="24"/>
          <w:szCs w:val="24"/>
        </w:rPr>
      </w:pPr>
      <w:r w:rsidRPr="006079D4">
        <w:rPr>
          <w:sz w:val="24"/>
          <w:szCs w:val="24"/>
        </w:rPr>
        <w:t xml:space="preserve">Tilfælde af iskæmisk colitis, herunder alvorlige tilfælde, er efter markedsføring rapporteret hos patienter, der er blevet behandlet med </w:t>
      </w:r>
      <w:proofErr w:type="spellStart"/>
      <w:r w:rsidRPr="006079D4">
        <w:rPr>
          <w:sz w:val="24"/>
          <w:szCs w:val="24"/>
        </w:rPr>
        <w:t>macrogol</w:t>
      </w:r>
      <w:proofErr w:type="spellEnd"/>
      <w:r w:rsidRPr="006079D4">
        <w:rPr>
          <w:sz w:val="24"/>
          <w:szCs w:val="24"/>
        </w:rPr>
        <w:t xml:space="preserve"> til tømning af tarmen. </w:t>
      </w:r>
      <w:proofErr w:type="spellStart"/>
      <w:r w:rsidRPr="006079D4">
        <w:rPr>
          <w:sz w:val="24"/>
          <w:szCs w:val="24"/>
        </w:rPr>
        <w:t>Macrogol</w:t>
      </w:r>
      <w:proofErr w:type="spellEnd"/>
      <w:r w:rsidRPr="006079D4">
        <w:rPr>
          <w:sz w:val="24"/>
          <w:szCs w:val="24"/>
        </w:rPr>
        <w:t xml:space="preserve"> bør anvendes med forsigtighed hos patienter med kendte risikofaktorer for iskæmisk colitis eller i tilfælde af samtidig anvendelse af stimulerende </w:t>
      </w:r>
      <w:proofErr w:type="spellStart"/>
      <w:r w:rsidRPr="006079D4">
        <w:rPr>
          <w:sz w:val="24"/>
          <w:szCs w:val="24"/>
        </w:rPr>
        <w:t>laksantia</w:t>
      </w:r>
      <w:proofErr w:type="spellEnd"/>
      <w:r w:rsidRPr="006079D4">
        <w:rPr>
          <w:sz w:val="24"/>
          <w:szCs w:val="24"/>
        </w:rPr>
        <w:t xml:space="preserve"> (f.eks. </w:t>
      </w:r>
      <w:proofErr w:type="spellStart"/>
      <w:r w:rsidRPr="006079D4">
        <w:rPr>
          <w:sz w:val="24"/>
          <w:szCs w:val="24"/>
        </w:rPr>
        <w:t>bisacodyl</w:t>
      </w:r>
      <w:proofErr w:type="spellEnd"/>
      <w:r w:rsidRPr="006079D4">
        <w:rPr>
          <w:sz w:val="24"/>
          <w:szCs w:val="24"/>
        </w:rPr>
        <w:t xml:space="preserve"> eller </w:t>
      </w:r>
      <w:proofErr w:type="spellStart"/>
      <w:r w:rsidRPr="006079D4">
        <w:rPr>
          <w:sz w:val="24"/>
          <w:szCs w:val="24"/>
        </w:rPr>
        <w:t>natriumpicosulfat</w:t>
      </w:r>
      <w:proofErr w:type="spellEnd"/>
      <w:r w:rsidRPr="006079D4">
        <w:rPr>
          <w:sz w:val="24"/>
          <w:szCs w:val="24"/>
        </w:rPr>
        <w:t xml:space="preserve">). Patienter med pludselige mavesmerter, </w:t>
      </w:r>
      <w:proofErr w:type="spellStart"/>
      <w:r w:rsidRPr="006079D4">
        <w:rPr>
          <w:sz w:val="24"/>
          <w:szCs w:val="24"/>
        </w:rPr>
        <w:t>rektal</w:t>
      </w:r>
      <w:proofErr w:type="spellEnd"/>
      <w:r w:rsidRPr="006079D4">
        <w:rPr>
          <w:sz w:val="24"/>
          <w:szCs w:val="24"/>
        </w:rPr>
        <w:t xml:space="preserve"> blødning eller andre symptomer på iskæmisk colitis bør undersøges omgående.</w:t>
      </w:r>
    </w:p>
    <w:p w:rsidR="00EE7D25" w:rsidRDefault="00EE7D25" w:rsidP="00EE7D25">
      <w:pPr>
        <w:ind w:left="851"/>
        <w:rPr>
          <w:b/>
          <w:sz w:val="24"/>
          <w:szCs w:val="24"/>
        </w:rPr>
      </w:pPr>
    </w:p>
    <w:p w:rsidR="00EE7D25" w:rsidRDefault="00EE7D25" w:rsidP="00EE7D25">
      <w:pPr>
        <w:tabs>
          <w:tab w:val="left" w:pos="851"/>
        </w:tabs>
        <w:ind w:left="851"/>
        <w:rPr>
          <w:sz w:val="24"/>
          <w:szCs w:val="24"/>
          <w:u w:val="single"/>
          <w:lang w:bidi="da-DK"/>
        </w:rPr>
      </w:pPr>
      <w:r>
        <w:rPr>
          <w:sz w:val="24"/>
          <w:szCs w:val="24"/>
          <w:u w:val="single"/>
          <w:lang w:bidi="da-DK"/>
        </w:rPr>
        <w:t>Pædiatrisk population</w:t>
      </w:r>
    </w:p>
    <w:p w:rsidR="00EE7D25" w:rsidRDefault="00EE7D25" w:rsidP="00EE7D25">
      <w:pPr>
        <w:tabs>
          <w:tab w:val="left" w:pos="851"/>
        </w:tabs>
        <w:ind w:left="851"/>
        <w:rPr>
          <w:sz w:val="24"/>
          <w:szCs w:val="24"/>
          <w:lang w:bidi="da-DK"/>
        </w:rPr>
      </w:pPr>
      <w:r>
        <w:rPr>
          <w:sz w:val="24"/>
          <w:szCs w:val="24"/>
          <w:lang w:bidi="da-DK"/>
        </w:rPr>
        <w:t>Frarådet.</w:t>
      </w:r>
    </w:p>
    <w:p w:rsidR="00EE7D25" w:rsidRDefault="00EE7D25" w:rsidP="00EE7D25">
      <w:pPr>
        <w:tabs>
          <w:tab w:val="left" w:pos="851"/>
        </w:tabs>
        <w:ind w:left="851"/>
        <w:rPr>
          <w:b/>
          <w:sz w:val="24"/>
          <w:szCs w:val="24"/>
        </w:rPr>
      </w:pPr>
    </w:p>
    <w:p w:rsidR="00EE7D25" w:rsidRDefault="00EE7D25" w:rsidP="00EE7D25">
      <w:pPr>
        <w:pStyle w:val="Text"/>
        <w:ind w:left="851"/>
        <w:rPr>
          <w:rFonts w:cs="Mangal"/>
          <w:sz w:val="24"/>
          <w:szCs w:val="24"/>
          <w:u w:val="single"/>
          <w:lang w:val="da-DK" w:bidi="ne-NP"/>
        </w:rPr>
      </w:pPr>
      <w:r>
        <w:rPr>
          <w:rFonts w:cs="Mangal"/>
          <w:sz w:val="24"/>
          <w:szCs w:val="24"/>
          <w:u w:val="single"/>
          <w:lang w:val="da-DK" w:bidi="ne-NP"/>
        </w:rPr>
        <w:t>Særlige oplysninger om visse af indholdsstofferne</w:t>
      </w:r>
    </w:p>
    <w:p w:rsidR="00EE7D25" w:rsidRDefault="00EE7D25" w:rsidP="00EE7D25">
      <w:pPr>
        <w:pStyle w:val="Text"/>
        <w:ind w:left="851"/>
        <w:rPr>
          <w:sz w:val="24"/>
          <w:szCs w:val="24"/>
          <w:lang w:val="da-DK"/>
        </w:rPr>
      </w:pPr>
      <w:r>
        <w:rPr>
          <w:sz w:val="24"/>
          <w:szCs w:val="24"/>
          <w:lang w:val="da-DK"/>
        </w:rPr>
        <w:t xml:space="preserve">Dette lægemiddel indeholder 188 mg natrium pr. brev, svarende til 9,4 % af den WHO anbefalede </w:t>
      </w:r>
      <w:proofErr w:type="gramStart"/>
      <w:r>
        <w:rPr>
          <w:sz w:val="24"/>
          <w:szCs w:val="24"/>
          <w:lang w:val="da-DK"/>
        </w:rPr>
        <w:t>maximale</w:t>
      </w:r>
      <w:proofErr w:type="gramEnd"/>
      <w:r>
        <w:rPr>
          <w:sz w:val="24"/>
          <w:szCs w:val="24"/>
          <w:lang w:val="da-DK"/>
        </w:rPr>
        <w:t xml:space="preserve"> daglige indtagelse af 2 g natrium for en voksen.</w:t>
      </w:r>
    </w:p>
    <w:p w:rsidR="00EE7D25" w:rsidRDefault="00EE7D25" w:rsidP="00EE7D25">
      <w:pPr>
        <w:pStyle w:val="Text"/>
        <w:ind w:left="851"/>
        <w:rPr>
          <w:sz w:val="24"/>
          <w:szCs w:val="24"/>
          <w:lang w:val="da-DK"/>
        </w:rPr>
      </w:pPr>
      <w:r>
        <w:rPr>
          <w:sz w:val="24"/>
          <w:szCs w:val="24"/>
          <w:lang w:val="da-DK"/>
        </w:rPr>
        <w:t xml:space="preserve">Den maximale daglige dosis af dette lægemiddel til patienter med </w:t>
      </w:r>
      <w:proofErr w:type="spellStart"/>
      <w:r>
        <w:rPr>
          <w:sz w:val="24"/>
          <w:szCs w:val="24"/>
          <w:lang w:val="da-DK"/>
        </w:rPr>
        <w:t>fækalom</w:t>
      </w:r>
      <w:proofErr w:type="spellEnd"/>
      <w:r>
        <w:rPr>
          <w:sz w:val="24"/>
          <w:szCs w:val="24"/>
          <w:lang w:val="da-DK"/>
        </w:rPr>
        <w:t xml:space="preserve"> er svarende til 75,2 % af den WHO anbefalede </w:t>
      </w:r>
      <w:proofErr w:type="gramStart"/>
      <w:r>
        <w:rPr>
          <w:sz w:val="24"/>
          <w:szCs w:val="24"/>
          <w:lang w:val="da-DK"/>
        </w:rPr>
        <w:t>maximale</w:t>
      </w:r>
      <w:proofErr w:type="gramEnd"/>
      <w:r>
        <w:rPr>
          <w:sz w:val="24"/>
          <w:szCs w:val="24"/>
          <w:lang w:val="da-DK"/>
        </w:rPr>
        <w:t xml:space="preserve"> daglige indtagelse af natrium.</w:t>
      </w:r>
    </w:p>
    <w:p w:rsidR="00EE7D25" w:rsidRDefault="00EE7D25" w:rsidP="00EE7D25">
      <w:pPr>
        <w:pStyle w:val="Text"/>
        <w:ind w:left="851"/>
        <w:rPr>
          <w:sz w:val="24"/>
          <w:szCs w:val="24"/>
          <w:lang w:val="da-DK"/>
        </w:rPr>
      </w:pPr>
      <w:r>
        <w:rPr>
          <w:sz w:val="24"/>
          <w:szCs w:val="24"/>
          <w:lang w:val="da-DK"/>
        </w:rPr>
        <w:t xml:space="preserve">Den maximale daglige dosis af dette lægemiddel til patienter med kronisk obstipation er svarende til 28,2 % af den WHO anbefalede </w:t>
      </w:r>
      <w:proofErr w:type="gramStart"/>
      <w:r>
        <w:rPr>
          <w:sz w:val="24"/>
          <w:szCs w:val="24"/>
          <w:lang w:val="da-DK"/>
        </w:rPr>
        <w:t>maximale</w:t>
      </w:r>
      <w:proofErr w:type="gramEnd"/>
      <w:r>
        <w:rPr>
          <w:sz w:val="24"/>
          <w:szCs w:val="24"/>
          <w:lang w:val="da-DK"/>
        </w:rPr>
        <w:t xml:space="preserve"> daglige indtagelse af natrium.</w:t>
      </w:r>
    </w:p>
    <w:p w:rsidR="00EE7D25" w:rsidRDefault="00EE7D25" w:rsidP="00EE7D25">
      <w:pPr>
        <w:pStyle w:val="Text"/>
        <w:ind w:left="851"/>
        <w:rPr>
          <w:sz w:val="24"/>
          <w:szCs w:val="24"/>
          <w:lang w:val="da-DK"/>
        </w:rPr>
      </w:pPr>
      <w:proofErr w:type="spellStart"/>
      <w:r>
        <w:rPr>
          <w:sz w:val="24"/>
          <w:szCs w:val="24"/>
          <w:lang w:val="da-DK"/>
        </w:rPr>
        <w:t>Gangiden</w:t>
      </w:r>
      <w:proofErr w:type="spellEnd"/>
      <w:r>
        <w:rPr>
          <w:sz w:val="24"/>
          <w:szCs w:val="24"/>
          <w:lang w:val="da-DK"/>
        </w:rPr>
        <w:t xml:space="preserve"> Neutral har et højt natriumindhold. Der skal tages højde for dette for patienter på saltfattig diæt.</w:t>
      </w:r>
    </w:p>
    <w:p w:rsidR="00EE7D25" w:rsidRDefault="00EE7D25" w:rsidP="00EE7D25">
      <w:pPr>
        <w:pStyle w:val="Text"/>
        <w:ind w:left="851"/>
        <w:rPr>
          <w:sz w:val="24"/>
          <w:szCs w:val="24"/>
          <w:lang w:val="da-DK"/>
        </w:rPr>
      </w:pPr>
    </w:p>
    <w:p w:rsidR="00EE7D25" w:rsidRDefault="00EE7D25" w:rsidP="00EE7D25">
      <w:pPr>
        <w:pStyle w:val="Text"/>
        <w:ind w:left="851"/>
        <w:rPr>
          <w:sz w:val="24"/>
          <w:szCs w:val="24"/>
          <w:lang w:val="da-DK"/>
        </w:rPr>
      </w:pPr>
      <w:r>
        <w:rPr>
          <w:sz w:val="24"/>
          <w:szCs w:val="24"/>
          <w:lang w:val="da-DK"/>
        </w:rPr>
        <w:t>Dette lægemiddel indeholder 0,6 mmol (eller 24,4 mg) kalium pr. brev. Hertil skal der tages hensyn for patienter der får kaliumfattig diæt.</w:t>
      </w:r>
    </w:p>
    <w:p w:rsidR="00960295" w:rsidRPr="00C84483" w:rsidRDefault="00A22F3D" w:rsidP="00960295">
      <w:pPr>
        <w:tabs>
          <w:tab w:val="left" w:pos="851"/>
        </w:tabs>
        <w:ind w:left="851"/>
        <w:rPr>
          <w:sz w:val="24"/>
          <w:szCs w:val="24"/>
        </w:rPr>
      </w:pPr>
      <w:r>
        <w:rPr>
          <w:sz w:val="24"/>
          <w:szCs w:val="24"/>
        </w:rPr>
        <w:br/>
      </w:r>
    </w:p>
    <w:p w:rsidR="00960295" w:rsidRPr="00C84483" w:rsidRDefault="00960295" w:rsidP="0096029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E7D25" w:rsidRDefault="00EE7D25" w:rsidP="00EE7D25">
      <w:pPr>
        <w:tabs>
          <w:tab w:val="left" w:pos="851"/>
        </w:tabs>
        <w:ind w:left="851"/>
        <w:rPr>
          <w:sz w:val="24"/>
          <w:szCs w:val="24"/>
        </w:rPr>
      </w:pPr>
      <w:bookmarkStart w:id="12" w:name="OLE_LINK26"/>
      <w:bookmarkStart w:id="13" w:name="OLE_LINK25"/>
      <w:bookmarkStart w:id="14" w:name="OLE_LINK24"/>
      <w:bookmarkStart w:id="15" w:name="OLE_LINK23"/>
      <w:proofErr w:type="spellStart"/>
      <w:r>
        <w:rPr>
          <w:sz w:val="24"/>
          <w:szCs w:val="24"/>
        </w:rPr>
        <w:t>Macrogol</w:t>
      </w:r>
      <w:proofErr w:type="spellEnd"/>
      <w:r>
        <w:rPr>
          <w:sz w:val="24"/>
          <w:szCs w:val="24"/>
        </w:rPr>
        <w:t xml:space="preserve"> 3350 øger opløseligheden af lægemidler, der er opløselige i alkohol og relativt uopløselige i vand. Det er muligt, at absorptionen af andre lægemidler kan blive midlertidigt reduceret i forbindelse med brug af </w:t>
      </w:r>
      <w:proofErr w:type="spellStart"/>
      <w:r>
        <w:rPr>
          <w:sz w:val="24"/>
          <w:szCs w:val="24"/>
        </w:rPr>
        <w:t>Gangiden</w:t>
      </w:r>
      <w:proofErr w:type="spellEnd"/>
      <w:r>
        <w:rPr>
          <w:sz w:val="24"/>
          <w:szCs w:val="24"/>
        </w:rPr>
        <w:t xml:space="preserve"> Neutral (se pkt. 4.4).</w:t>
      </w:r>
    </w:p>
    <w:p w:rsidR="00EE7D25" w:rsidRDefault="00EE7D25" w:rsidP="00EE7D25">
      <w:pPr>
        <w:tabs>
          <w:tab w:val="left" w:pos="851"/>
        </w:tabs>
        <w:ind w:left="851"/>
        <w:rPr>
          <w:sz w:val="24"/>
          <w:szCs w:val="24"/>
        </w:rPr>
      </w:pPr>
    </w:p>
    <w:bookmarkEnd w:id="12"/>
    <w:bookmarkEnd w:id="13"/>
    <w:bookmarkEnd w:id="14"/>
    <w:bookmarkEnd w:id="15"/>
    <w:p w:rsidR="00EE7D25" w:rsidRDefault="00EE7D25" w:rsidP="00EE7D25">
      <w:pPr>
        <w:tabs>
          <w:tab w:val="left" w:pos="851"/>
        </w:tabs>
        <w:ind w:left="851"/>
        <w:rPr>
          <w:sz w:val="24"/>
          <w:szCs w:val="24"/>
          <w:lang w:bidi="da-DK"/>
        </w:rPr>
      </w:pPr>
      <w:r>
        <w:rPr>
          <w:sz w:val="24"/>
          <w:szCs w:val="24"/>
        </w:rPr>
        <w:t xml:space="preserve">Den </w:t>
      </w:r>
      <w:proofErr w:type="spellStart"/>
      <w:r>
        <w:rPr>
          <w:sz w:val="24"/>
          <w:szCs w:val="24"/>
        </w:rPr>
        <w:t>intestinale</w:t>
      </w:r>
      <w:proofErr w:type="spellEnd"/>
      <w:r>
        <w:rPr>
          <w:sz w:val="24"/>
          <w:szCs w:val="24"/>
        </w:rPr>
        <w:t xml:space="preserve"> absorption af andre lægemidler kan reduceres midlertidigt ved samtidig anvendelse af </w:t>
      </w:r>
      <w:proofErr w:type="spellStart"/>
      <w:r>
        <w:rPr>
          <w:sz w:val="24"/>
          <w:szCs w:val="24"/>
        </w:rPr>
        <w:t>Gangiden</w:t>
      </w:r>
      <w:proofErr w:type="spellEnd"/>
      <w:r>
        <w:rPr>
          <w:sz w:val="24"/>
          <w:szCs w:val="24"/>
        </w:rPr>
        <w:t xml:space="preserve"> Neutral. Der foreligger isolerede rapporter om nedsat virkning ved samtidig administration af visse lægemidler, f.eks. </w:t>
      </w:r>
      <w:proofErr w:type="spellStart"/>
      <w:r>
        <w:rPr>
          <w:sz w:val="24"/>
          <w:szCs w:val="24"/>
        </w:rPr>
        <w:t>antiepileptika</w:t>
      </w:r>
      <w:proofErr w:type="spellEnd"/>
      <w:r>
        <w:rPr>
          <w:sz w:val="24"/>
          <w:szCs w:val="24"/>
        </w:rPr>
        <w:t>.</w:t>
      </w:r>
      <w:r>
        <w:rPr>
          <w:rFonts w:ascii="Calibri" w:eastAsia="Calibri" w:hAnsi="Calibri"/>
          <w:sz w:val="22"/>
          <w:szCs w:val="22"/>
          <w:lang w:eastAsia="da-DK" w:bidi="da-DK"/>
        </w:rPr>
        <w:t xml:space="preserve"> </w:t>
      </w:r>
      <w:r>
        <w:rPr>
          <w:sz w:val="24"/>
          <w:szCs w:val="24"/>
          <w:lang w:bidi="da-DK"/>
        </w:rPr>
        <w:t xml:space="preserve">Derfor bør der ikke tages andre orale lægemidler i en time før og en time efter indtagelse af </w:t>
      </w:r>
      <w:proofErr w:type="spellStart"/>
      <w:r>
        <w:rPr>
          <w:sz w:val="24"/>
          <w:szCs w:val="24"/>
          <w:lang w:bidi="da-DK"/>
        </w:rPr>
        <w:t>Gangiden</w:t>
      </w:r>
      <w:proofErr w:type="spellEnd"/>
      <w:r>
        <w:rPr>
          <w:sz w:val="24"/>
          <w:szCs w:val="24"/>
          <w:lang w:bidi="da-DK"/>
        </w:rPr>
        <w:t xml:space="preserve"> Neutral.</w:t>
      </w:r>
    </w:p>
    <w:p w:rsidR="00A22F3D" w:rsidRDefault="00A22F3D" w:rsidP="00EE7D25">
      <w:pPr>
        <w:tabs>
          <w:tab w:val="left" w:pos="851"/>
        </w:tabs>
        <w:ind w:left="851"/>
        <w:rPr>
          <w:sz w:val="24"/>
          <w:szCs w:val="24"/>
          <w:lang w:bidi="da-DK"/>
        </w:rPr>
      </w:pPr>
    </w:p>
    <w:p w:rsidR="00A22F3D" w:rsidRDefault="00A22F3D" w:rsidP="00A22F3D">
      <w:pPr>
        <w:tabs>
          <w:tab w:val="left" w:pos="851"/>
        </w:tabs>
        <w:ind w:left="851"/>
        <w:rPr>
          <w:sz w:val="24"/>
          <w:szCs w:val="24"/>
          <w:lang w:bidi="da-DK"/>
        </w:rPr>
      </w:pPr>
      <w:proofErr w:type="spellStart"/>
      <w:r>
        <w:rPr>
          <w:sz w:val="24"/>
          <w:szCs w:val="24"/>
          <w:lang w:bidi="da-DK"/>
        </w:rPr>
        <w:t>Gangiden</w:t>
      </w:r>
      <w:proofErr w:type="spellEnd"/>
      <w:r>
        <w:rPr>
          <w:sz w:val="24"/>
          <w:szCs w:val="24"/>
          <w:lang w:bidi="da-DK"/>
        </w:rPr>
        <w:t xml:space="preserve"> Neutral</w:t>
      </w:r>
      <w:r w:rsidRPr="00516169">
        <w:rPr>
          <w:sz w:val="24"/>
          <w:szCs w:val="24"/>
          <w:lang w:bidi="da-DK"/>
        </w:rPr>
        <w:t xml:space="preserve"> kan muligvis forårsage en interaktiv effekt, hvis det bruges sammen med stivelsesbaserede fortykningsmidler beregnet til mad. </w:t>
      </w:r>
      <w:proofErr w:type="spellStart"/>
      <w:r w:rsidRPr="00516169">
        <w:rPr>
          <w:sz w:val="24"/>
          <w:szCs w:val="24"/>
          <w:lang w:bidi="da-DK"/>
        </w:rPr>
        <w:t>Macrogol</w:t>
      </w:r>
      <w:proofErr w:type="spellEnd"/>
      <w:r w:rsidRPr="00516169">
        <w:rPr>
          <w:sz w:val="24"/>
          <w:szCs w:val="24"/>
          <w:lang w:bidi="da-DK"/>
        </w:rPr>
        <w:t> modvirker stivelsens fortykkende effekt. Dette bevirker at opløsninger, der skal forblive tyktflydende til personer med synkebesvær, bliver tyndtflydende.</w:t>
      </w:r>
    </w:p>
    <w:p w:rsidR="00960295" w:rsidRPr="00C84483" w:rsidRDefault="00960295" w:rsidP="00960295">
      <w:pPr>
        <w:tabs>
          <w:tab w:val="left" w:pos="851"/>
        </w:tabs>
        <w:ind w:left="851"/>
        <w:rPr>
          <w:sz w:val="24"/>
          <w:szCs w:val="24"/>
        </w:rPr>
      </w:pPr>
    </w:p>
    <w:p w:rsidR="00960295" w:rsidRPr="00C84483" w:rsidRDefault="00960295" w:rsidP="00EE7D25">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rsidR="00960295" w:rsidRDefault="00960295" w:rsidP="00EE7D25">
      <w:pPr>
        <w:keepNext/>
        <w:tabs>
          <w:tab w:val="left" w:pos="851"/>
        </w:tabs>
        <w:ind w:left="851"/>
        <w:rPr>
          <w:sz w:val="24"/>
          <w:szCs w:val="24"/>
        </w:rPr>
      </w:pPr>
    </w:p>
    <w:p w:rsidR="00960295" w:rsidRDefault="00960295" w:rsidP="00960295">
      <w:pPr>
        <w:tabs>
          <w:tab w:val="left" w:pos="851"/>
        </w:tabs>
        <w:ind w:left="851"/>
        <w:rPr>
          <w:sz w:val="24"/>
          <w:szCs w:val="24"/>
        </w:rPr>
      </w:pPr>
      <w:r>
        <w:rPr>
          <w:sz w:val="24"/>
          <w:szCs w:val="24"/>
          <w:u w:val="single"/>
        </w:rPr>
        <w:t>Graviditet</w:t>
      </w:r>
    </w:p>
    <w:p w:rsidR="00960295" w:rsidRDefault="00960295" w:rsidP="00960295">
      <w:pPr>
        <w:tabs>
          <w:tab w:val="left" w:pos="851"/>
        </w:tabs>
        <w:ind w:left="851"/>
        <w:rPr>
          <w:sz w:val="24"/>
          <w:szCs w:val="24"/>
        </w:rPr>
      </w:pPr>
      <w:r>
        <w:rPr>
          <w:sz w:val="24"/>
          <w:szCs w:val="24"/>
        </w:rPr>
        <w:t xml:space="preserve">Der er begrænsede data vedrørende brug af </w:t>
      </w:r>
      <w:proofErr w:type="spellStart"/>
      <w:r>
        <w:rPr>
          <w:sz w:val="24"/>
          <w:szCs w:val="24"/>
        </w:rPr>
        <w:t>macrogol</w:t>
      </w:r>
      <w:proofErr w:type="spellEnd"/>
      <w:r>
        <w:rPr>
          <w:sz w:val="24"/>
          <w:szCs w:val="24"/>
        </w:rPr>
        <w:t xml:space="preserve"> 3350 hos gravide kvinder. Dyreforsøg har påvist indirekte reproduktionstoksicitet (se pkt. 5.3). I klinisk praksis forventes der ingen virkninger under graviditeten, idet den systemiske eksponering for </w:t>
      </w:r>
      <w:proofErr w:type="spellStart"/>
      <w:r>
        <w:rPr>
          <w:sz w:val="24"/>
          <w:szCs w:val="24"/>
        </w:rPr>
        <w:t>macrogol</w:t>
      </w:r>
      <w:proofErr w:type="spellEnd"/>
      <w:r>
        <w:rPr>
          <w:sz w:val="24"/>
          <w:szCs w:val="24"/>
        </w:rPr>
        <w:t xml:space="preserve"> 3350 er ubetydelig.</w:t>
      </w:r>
    </w:p>
    <w:p w:rsidR="00960295" w:rsidRDefault="00960295" w:rsidP="00960295">
      <w:pPr>
        <w:tabs>
          <w:tab w:val="left" w:pos="851"/>
        </w:tabs>
        <w:ind w:left="851"/>
        <w:rPr>
          <w:sz w:val="24"/>
          <w:szCs w:val="24"/>
        </w:rPr>
      </w:pPr>
    </w:p>
    <w:p w:rsidR="00960295" w:rsidRDefault="00960295" w:rsidP="00960295">
      <w:pPr>
        <w:tabs>
          <w:tab w:val="left" w:pos="851"/>
        </w:tabs>
        <w:ind w:left="851"/>
        <w:rPr>
          <w:sz w:val="24"/>
          <w:szCs w:val="24"/>
        </w:rPr>
      </w:pPr>
      <w:proofErr w:type="spellStart"/>
      <w:r>
        <w:rPr>
          <w:sz w:val="24"/>
          <w:szCs w:val="24"/>
        </w:rPr>
        <w:t>Gangiden</w:t>
      </w:r>
      <w:proofErr w:type="spellEnd"/>
      <w:r>
        <w:rPr>
          <w:sz w:val="24"/>
          <w:szCs w:val="24"/>
        </w:rPr>
        <w:t xml:space="preserve"> Neutral kan anvendes under graviditeten.</w:t>
      </w:r>
    </w:p>
    <w:p w:rsidR="00960295" w:rsidRDefault="00960295" w:rsidP="00960295">
      <w:pPr>
        <w:tabs>
          <w:tab w:val="left" w:pos="851"/>
        </w:tabs>
        <w:ind w:left="851"/>
        <w:rPr>
          <w:sz w:val="24"/>
          <w:szCs w:val="24"/>
        </w:rPr>
      </w:pPr>
    </w:p>
    <w:p w:rsidR="00960295" w:rsidRDefault="00960295" w:rsidP="00960295">
      <w:pPr>
        <w:tabs>
          <w:tab w:val="left" w:pos="851"/>
        </w:tabs>
        <w:ind w:left="851"/>
        <w:rPr>
          <w:sz w:val="24"/>
          <w:szCs w:val="24"/>
          <w:u w:val="single"/>
        </w:rPr>
      </w:pPr>
      <w:r>
        <w:rPr>
          <w:sz w:val="24"/>
          <w:szCs w:val="24"/>
          <w:u w:val="single"/>
        </w:rPr>
        <w:t>Amning</w:t>
      </w:r>
    </w:p>
    <w:p w:rsidR="00960295" w:rsidRDefault="00960295" w:rsidP="00960295">
      <w:pPr>
        <w:tabs>
          <w:tab w:val="left" w:pos="851"/>
        </w:tabs>
        <w:ind w:left="851"/>
        <w:rPr>
          <w:sz w:val="24"/>
          <w:szCs w:val="24"/>
        </w:rPr>
      </w:pPr>
      <w:r>
        <w:rPr>
          <w:sz w:val="24"/>
          <w:szCs w:val="24"/>
        </w:rPr>
        <w:t xml:space="preserve">Der forventes ingen virkninger på det ammede nyfødte barn/spædbarn, idet den systemiske eksponering for </w:t>
      </w:r>
      <w:proofErr w:type="spellStart"/>
      <w:r>
        <w:rPr>
          <w:sz w:val="24"/>
          <w:szCs w:val="24"/>
        </w:rPr>
        <w:t>macrogol</w:t>
      </w:r>
      <w:proofErr w:type="spellEnd"/>
      <w:r>
        <w:rPr>
          <w:sz w:val="24"/>
          <w:szCs w:val="24"/>
        </w:rPr>
        <w:t xml:space="preserve"> 3350 hos den ammende kvinde er ubetydelig.</w:t>
      </w:r>
    </w:p>
    <w:p w:rsidR="00960295" w:rsidRDefault="00960295" w:rsidP="00960295">
      <w:pPr>
        <w:tabs>
          <w:tab w:val="left" w:pos="851"/>
        </w:tabs>
        <w:ind w:left="851"/>
        <w:rPr>
          <w:sz w:val="24"/>
          <w:szCs w:val="24"/>
        </w:rPr>
      </w:pPr>
    </w:p>
    <w:p w:rsidR="00960295" w:rsidRDefault="00960295" w:rsidP="00960295">
      <w:pPr>
        <w:tabs>
          <w:tab w:val="left" w:pos="851"/>
        </w:tabs>
        <w:ind w:left="851"/>
        <w:rPr>
          <w:sz w:val="24"/>
          <w:szCs w:val="24"/>
        </w:rPr>
      </w:pPr>
      <w:proofErr w:type="spellStart"/>
      <w:r>
        <w:rPr>
          <w:sz w:val="24"/>
          <w:szCs w:val="24"/>
        </w:rPr>
        <w:t>Gangiden</w:t>
      </w:r>
      <w:proofErr w:type="spellEnd"/>
      <w:r>
        <w:rPr>
          <w:sz w:val="24"/>
          <w:szCs w:val="24"/>
        </w:rPr>
        <w:t xml:space="preserve"> Neutral kan anvendes hos kvinder, der ammer.</w:t>
      </w:r>
    </w:p>
    <w:p w:rsidR="00960295" w:rsidRDefault="00960295" w:rsidP="00960295">
      <w:pPr>
        <w:tabs>
          <w:tab w:val="left" w:pos="851"/>
        </w:tabs>
        <w:ind w:left="851"/>
        <w:rPr>
          <w:sz w:val="24"/>
          <w:szCs w:val="24"/>
        </w:rPr>
      </w:pPr>
    </w:p>
    <w:p w:rsidR="00960295" w:rsidRDefault="00960295" w:rsidP="00960295">
      <w:pPr>
        <w:tabs>
          <w:tab w:val="left" w:pos="851"/>
        </w:tabs>
        <w:ind w:left="851"/>
        <w:rPr>
          <w:sz w:val="24"/>
          <w:szCs w:val="24"/>
        </w:rPr>
      </w:pPr>
      <w:r>
        <w:rPr>
          <w:sz w:val="24"/>
          <w:szCs w:val="24"/>
          <w:u w:val="single"/>
        </w:rPr>
        <w:t>Fertilitet</w:t>
      </w:r>
    </w:p>
    <w:p w:rsidR="00960295" w:rsidRDefault="00960295" w:rsidP="00960295">
      <w:pPr>
        <w:tabs>
          <w:tab w:val="left" w:pos="851"/>
        </w:tabs>
        <w:ind w:left="851"/>
        <w:rPr>
          <w:sz w:val="24"/>
          <w:szCs w:val="24"/>
        </w:rPr>
      </w:pPr>
      <w:r>
        <w:rPr>
          <w:sz w:val="24"/>
          <w:szCs w:val="24"/>
        </w:rPr>
        <w:t xml:space="preserve">Der er ingen data vedrørende virkningen af </w:t>
      </w:r>
      <w:proofErr w:type="spellStart"/>
      <w:r>
        <w:rPr>
          <w:sz w:val="24"/>
          <w:szCs w:val="24"/>
        </w:rPr>
        <w:t>macrogol</w:t>
      </w:r>
      <w:proofErr w:type="spellEnd"/>
      <w:r>
        <w:rPr>
          <w:sz w:val="24"/>
          <w:szCs w:val="24"/>
        </w:rPr>
        <w:t xml:space="preserve"> 3350 på fertiliteten hos mennesker. Der var ingen virkninger på fertiliteten i studier med han- og hunrotter (se pkt. 5.3).</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60295" w:rsidRDefault="00960295" w:rsidP="00960295">
      <w:pPr>
        <w:tabs>
          <w:tab w:val="left" w:pos="851"/>
        </w:tabs>
        <w:ind w:left="851"/>
        <w:rPr>
          <w:sz w:val="24"/>
          <w:szCs w:val="24"/>
        </w:rPr>
      </w:pPr>
      <w:r>
        <w:rPr>
          <w:sz w:val="24"/>
          <w:szCs w:val="24"/>
        </w:rPr>
        <w:t>Ikke mærkning.</w:t>
      </w:r>
    </w:p>
    <w:p w:rsidR="00960295" w:rsidRDefault="00960295" w:rsidP="00960295">
      <w:pPr>
        <w:tabs>
          <w:tab w:val="left" w:pos="851"/>
        </w:tabs>
        <w:ind w:left="851"/>
        <w:rPr>
          <w:sz w:val="24"/>
          <w:szCs w:val="24"/>
        </w:rPr>
      </w:pPr>
      <w:proofErr w:type="spellStart"/>
      <w:r>
        <w:rPr>
          <w:sz w:val="24"/>
          <w:szCs w:val="24"/>
        </w:rPr>
        <w:t>Gangiden</w:t>
      </w:r>
      <w:proofErr w:type="spellEnd"/>
      <w:r>
        <w:rPr>
          <w:sz w:val="24"/>
          <w:szCs w:val="24"/>
        </w:rPr>
        <w:t xml:space="preserve"> Neutral påvirker ikke evnen til at føre motorkøretøj og betjene maskiner.</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4.8</w:t>
      </w:r>
      <w:r w:rsidRPr="00C84483">
        <w:rPr>
          <w:b/>
          <w:sz w:val="24"/>
          <w:szCs w:val="24"/>
        </w:rPr>
        <w:tab/>
        <w:t>Bivirkninger</w:t>
      </w:r>
    </w:p>
    <w:p w:rsidR="00960295" w:rsidRDefault="00960295" w:rsidP="00960295">
      <w:pPr>
        <w:tabs>
          <w:tab w:val="left" w:pos="851"/>
        </w:tabs>
        <w:ind w:left="851"/>
        <w:rPr>
          <w:sz w:val="24"/>
          <w:szCs w:val="24"/>
          <w:u w:val="single"/>
        </w:rPr>
      </w:pPr>
    </w:p>
    <w:p w:rsidR="00960295" w:rsidRDefault="00960295" w:rsidP="00960295">
      <w:pPr>
        <w:tabs>
          <w:tab w:val="left" w:pos="851"/>
        </w:tabs>
        <w:ind w:left="851"/>
        <w:rPr>
          <w:sz w:val="24"/>
          <w:szCs w:val="24"/>
        </w:rPr>
      </w:pPr>
      <w:r>
        <w:rPr>
          <w:sz w:val="24"/>
          <w:szCs w:val="24"/>
          <w:u w:val="single"/>
        </w:rPr>
        <w:t>Resumé af sikkerhedsprofilen</w:t>
      </w:r>
    </w:p>
    <w:p w:rsidR="00960295" w:rsidRDefault="00960295" w:rsidP="00960295">
      <w:pPr>
        <w:tabs>
          <w:tab w:val="left" w:pos="851"/>
        </w:tabs>
        <w:ind w:left="851"/>
        <w:rPr>
          <w:sz w:val="24"/>
          <w:szCs w:val="24"/>
          <w:lang w:bidi="da-DK"/>
        </w:rPr>
      </w:pPr>
      <w:r>
        <w:rPr>
          <w:sz w:val="24"/>
          <w:szCs w:val="24"/>
          <w:lang w:bidi="da-DK"/>
        </w:rPr>
        <w:t xml:space="preserve">De hyppigste bivirkninger er </w:t>
      </w:r>
      <w:proofErr w:type="spellStart"/>
      <w:r>
        <w:rPr>
          <w:sz w:val="24"/>
          <w:szCs w:val="24"/>
          <w:lang w:bidi="da-DK"/>
        </w:rPr>
        <w:t>gastrointestinale</w:t>
      </w:r>
      <w:proofErr w:type="spellEnd"/>
      <w:r>
        <w:rPr>
          <w:sz w:val="24"/>
          <w:szCs w:val="24"/>
          <w:lang w:bidi="da-DK"/>
        </w:rPr>
        <w:t xml:space="preserve"> gener.</w:t>
      </w:r>
    </w:p>
    <w:p w:rsidR="00960295" w:rsidRDefault="00960295" w:rsidP="00960295">
      <w:pPr>
        <w:tabs>
          <w:tab w:val="left" w:pos="851"/>
        </w:tabs>
        <w:ind w:left="851"/>
        <w:rPr>
          <w:sz w:val="24"/>
          <w:szCs w:val="24"/>
        </w:rPr>
      </w:pPr>
    </w:p>
    <w:p w:rsidR="00960295" w:rsidRDefault="00960295" w:rsidP="00960295">
      <w:pPr>
        <w:tabs>
          <w:tab w:val="left" w:pos="851"/>
        </w:tabs>
        <w:ind w:left="851"/>
        <w:rPr>
          <w:sz w:val="24"/>
          <w:szCs w:val="24"/>
          <w:lang w:bidi="da-DK"/>
        </w:rPr>
      </w:pPr>
      <w:r>
        <w:rPr>
          <w:sz w:val="24"/>
          <w:szCs w:val="24"/>
          <w:lang w:bidi="da-DK"/>
        </w:rPr>
        <w:t xml:space="preserve">Disse reaktioner kan indtræde som følge af udvidelse af indholdet i mave-tarm-kanalen og øget </w:t>
      </w:r>
      <w:proofErr w:type="spellStart"/>
      <w:r>
        <w:rPr>
          <w:sz w:val="24"/>
          <w:szCs w:val="24"/>
          <w:lang w:bidi="da-DK"/>
        </w:rPr>
        <w:t>motilitet</w:t>
      </w:r>
      <w:proofErr w:type="spellEnd"/>
      <w:r>
        <w:rPr>
          <w:sz w:val="24"/>
          <w:szCs w:val="24"/>
          <w:lang w:bidi="da-DK"/>
        </w:rPr>
        <w:t xml:space="preserve"> på grund af de farmakologiske virkninger af </w:t>
      </w:r>
      <w:proofErr w:type="spellStart"/>
      <w:r>
        <w:rPr>
          <w:sz w:val="24"/>
          <w:szCs w:val="24"/>
          <w:lang w:bidi="da-DK"/>
        </w:rPr>
        <w:t>Gangiden</w:t>
      </w:r>
      <w:proofErr w:type="spellEnd"/>
      <w:r>
        <w:rPr>
          <w:sz w:val="24"/>
          <w:szCs w:val="24"/>
          <w:lang w:bidi="da-DK"/>
        </w:rPr>
        <w:t xml:space="preserve"> Neutral. Mild diarré responderer som regel på dosisreduktion.</w:t>
      </w:r>
    </w:p>
    <w:p w:rsidR="00960295" w:rsidRDefault="00960295" w:rsidP="00960295">
      <w:pPr>
        <w:tabs>
          <w:tab w:val="left" w:pos="851"/>
        </w:tabs>
        <w:ind w:left="851"/>
        <w:rPr>
          <w:sz w:val="24"/>
          <w:szCs w:val="24"/>
          <w:lang w:bidi="da-DK"/>
        </w:rPr>
      </w:pPr>
    </w:p>
    <w:p w:rsidR="00960295" w:rsidRDefault="00960295" w:rsidP="00960295">
      <w:pPr>
        <w:tabs>
          <w:tab w:val="left" w:pos="851"/>
        </w:tabs>
        <w:ind w:left="851"/>
        <w:rPr>
          <w:sz w:val="24"/>
          <w:szCs w:val="24"/>
          <w:u w:val="single"/>
          <w:lang w:bidi="da-DK"/>
        </w:rPr>
      </w:pPr>
      <w:r>
        <w:rPr>
          <w:sz w:val="24"/>
          <w:szCs w:val="24"/>
          <w:u w:val="single"/>
          <w:lang w:bidi="da-DK"/>
        </w:rPr>
        <w:t>Liste over bivirkninger</w:t>
      </w:r>
    </w:p>
    <w:p w:rsidR="00960295" w:rsidRDefault="00960295" w:rsidP="00960295">
      <w:pPr>
        <w:tabs>
          <w:tab w:val="left" w:pos="851"/>
        </w:tabs>
        <w:ind w:left="851"/>
        <w:rPr>
          <w:sz w:val="24"/>
          <w:szCs w:val="24"/>
          <w:lang w:bidi="da-DK"/>
        </w:rPr>
      </w:pPr>
      <w:r>
        <w:rPr>
          <w:sz w:val="24"/>
          <w:szCs w:val="24"/>
          <w:lang w:bidi="da-DK"/>
        </w:rPr>
        <w:t>Hyppigheden af bivirkningerne er ikke kendt og kan ikke estimeres ud fra forhåndenværende data.</w:t>
      </w:r>
    </w:p>
    <w:p w:rsidR="00960295" w:rsidRDefault="00960295" w:rsidP="00960295">
      <w:pPr>
        <w:pStyle w:val="Text"/>
        <w:ind w:left="851"/>
        <w:rPr>
          <w:sz w:val="24"/>
          <w:szCs w:val="24"/>
          <w:lang w:val="da-DK"/>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395"/>
      </w:tblGrid>
      <w:tr w:rsidR="00960295" w:rsidRPr="00B25D8D" w:rsidTr="003B4BCE">
        <w:tc>
          <w:tcPr>
            <w:tcW w:w="4497" w:type="dxa"/>
            <w:tcBorders>
              <w:top w:val="single" w:sz="4" w:space="0" w:color="auto"/>
              <w:left w:val="single" w:sz="4" w:space="0" w:color="auto"/>
              <w:bottom w:val="single" w:sz="4" w:space="0" w:color="auto"/>
              <w:right w:val="single" w:sz="4" w:space="0" w:color="auto"/>
            </w:tcBorders>
            <w:hideMark/>
          </w:tcPr>
          <w:p w:rsidR="00960295" w:rsidRPr="00B25D8D" w:rsidRDefault="00960295" w:rsidP="003B4BCE">
            <w:pPr>
              <w:spacing w:line="256" w:lineRule="auto"/>
              <w:ind w:left="29"/>
              <w:rPr>
                <w:b/>
                <w:i/>
                <w:sz w:val="24"/>
                <w:szCs w:val="24"/>
              </w:rPr>
            </w:pPr>
            <w:r w:rsidRPr="00B25D8D">
              <w:rPr>
                <w:b/>
                <w:i/>
                <w:sz w:val="24"/>
                <w:szCs w:val="24"/>
              </w:rPr>
              <w:t>Systemorganklasse</w:t>
            </w:r>
          </w:p>
        </w:tc>
        <w:tc>
          <w:tcPr>
            <w:tcW w:w="4506"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70"/>
              <w:rPr>
                <w:b/>
                <w:i/>
                <w:sz w:val="24"/>
                <w:szCs w:val="24"/>
              </w:rPr>
            </w:pPr>
            <w:r w:rsidRPr="00B25D8D">
              <w:rPr>
                <w:b/>
                <w:i/>
                <w:sz w:val="24"/>
                <w:szCs w:val="24"/>
              </w:rPr>
              <w:t>Bivirkning</w:t>
            </w:r>
          </w:p>
        </w:tc>
      </w:tr>
      <w:tr w:rsidR="00960295" w:rsidRPr="00B25D8D" w:rsidTr="003B4BCE">
        <w:tc>
          <w:tcPr>
            <w:tcW w:w="4497"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29"/>
              <w:rPr>
                <w:i/>
                <w:sz w:val="24"/>
                <w:szCs w:val="24"/>
              </w:rPr>
            </w:pPr>
            <w:r w:rsidRPr="00B25D8D">
              <w:rPr>
                <w:i/>
                <w:sz w:val="24"/>
                <w:szCs w:val="24"/>
              </w:rPr>
              <w:t>Immunsystemet</w:t>
            </w:r>
          </w:p>
          <w:p w:rsidR="00960295" w:rsidRPr="00B25D8D" w:rsidRDefault="00960295" w:rsidP="003B4BCE">
            <w:pPr>
              <w:spacing w:line="256" w:lineRule="auto"/>
              <w:ind w:left="29"/>
              <w:rPr>
                <w:i/>
                <w:sz w:val="24"/>
                <w:szCs w:val="24"/>
              </w:rPr>
            </w:pPr>
          </w:p>
        </w:tc>
        <w:tc>
          <w:tcPr>
            <w:tcW w:w="4506"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70"/>
              <w:rPr>
                <w:sz w:val="24"/>
                <w:szCs w:val="24"/>
              </w:rPr>
            </w:pPr>
            <w:r w:rsidRPr="00B25D8D">
              <w:rPr>
                <w:sz w:val="24"/>
                <w:szCs w:val="24"/>
              </w:rPr>
              <w:t xml:space="preserve">Allergiske reaktioner inklusive </w:t>
            </w:r>
            <w:proofErr w:type="spellStart"/>
            <w:r w:rsidRPr="00B25D8D">
              <w:rPr>
                <w:sz w:val="24"/>
                <w:szCs w:val="24"/>
              </w:rPr>
              <w:t>anafylaktisk</w:t>
            </w:r>
            <w:proofErr w:type="spellEnd"/>
            <w:r w:rsidRPr="00B25D8D">
              <w:rPr>
                <w:sz w:val="24"/>
                <w:szCs w:val="24"/>
              </w:rPr>
              <w:t xml:space="preserve"> reaktion, dyspnø</w:t>
            </w:r>
            <w:r w:rsidRPr="00B25D8D">
              <w:rPr>
                <w:szCs w:val="24"/>
              </w:rPr>
              <w:t xml:space="preserve"> og hudreaktioner (se nedenstående)</w:t>
            </w:r>
          </w:p>
          <w:p w:rsidR="00960295" w:rsidRPr="00B25D8D" w:rsidRDefault="00960295" w:rsidP="003B4BCE">
            <w:pPr>
              <w:spacing w:line="256" w:lineRule="auto"/>
              <w:ind w:left="70"/>
              <w:rPr>
                <w:i/>
                <w:sz w:val="24"/>
                <w:szCs w:val="24"/>
              </w:rPr>
            </w:pPr>
          </w:p>
        </w:tc>
      </w:tr>
      <w:tr w:rsidR="00960295" w:rsidRPr="00B25D8D" w:rsidTr="003B4BCE">
        <w:tc>
          <w:tcPr>
            <w:tcW w:w="4497" w:type="dxa"/>
            <w:tcBorders>
              <w:top w:val="single" w:sz="4" w:space="0" w:color="auto"/>
              <w:left w:val="single" w:sz="4" w:space="0" w:color="auto"/>
              <w:bottom w:val="single" w:sz="4" w:space="0" w:color="auto"/>
              <w:right w:val="single" w:sz="4" w:space="0" w:color="auto"/>
            </w:tcBorders>
            <w:hideMark/>
          </w:tcPr>
          <w:p w:rsidR="00960295" w:rsidRPr="00B25D8D" w:rsidRDefault="00960295" w:rsidP="003B4BCE">
            <w:pPr>
              <w:spacing w:line="256" w:lineRule="auto"/>
              <w:ind w:left="29"/>
              <w:rPr>
                <w:i/>
                <w:sz w:val="24"/>
                <w:szCs w:val="24"/>
                <w:lang w:bidi="da-DK"/>
              </w:rPr>
            </w:pPr>
            <w:r w:rsidRPr="00B25D8D">
              <w:rPr>
                <w:i/>
                <w:sz w:val="24"/>
                <w:szCs w:val="24"/>
                <w:lang w:bidi="da-DK"/>
              </w:rPr>
              <w:t>Hud og subkutane væv</w:t>
            </w:r>
          </w:p>
        </w:tc>
        <w:tc>
          <w:tcPr>
            <w:tcW w:w="4506" w:type="dxa"/>
            <w:tcBorders>
              <w:top w:val="single" w:sz="4" w:space="0" w:color="auto"/>
              <w:left w:val="single" w:sz="4" w:space="0" w:color="auto"/>
              <w:bottom w:val="single" w:sz="4" w:space="0" w:color="auto"/>
              <w:right w:val="single" w:sz="4" w:space="0" w:color="auto"/>
            </w:tcBorders>
            <w:hideMark/>
          </w:tcPr>
          <w:p w:rsidR="00960295" w:rsidRPr="00B25D8D" w:rsidRDefault="00960295" w:rsidP="003B4BCE">
            <w:pPr>
              <w:spacing w:line="256" w:lineRule="auto"/>
              <w:ind w:left="70"/>
              <w:rPr>
                <w:sz w:val="24"/>
                <w:szCs w:val="24"/>
                <w:lang w:bidi="da-DK"/>
              </w:rPr>
            </w:pPr>
            <w:r w:rsidRPr="00B25D8D">
              <w:rPr>
                <w:sz w:val="24"/>
                <w:szCs w:val="24"/>
                <w:lang w:bidi="da-DK"/>
              </w:rPr>
              <w:t xml:space="preserve">Allergiske hudreaktioner inklusiv </w:t>
            </w:r>
            <w:proofErr w:type="spellStart"/>
            <w:r w:rsidRPr="00B25D8D">
              <w:rPr>
                <w:sz w:val="24"/>
                <w:szCs w:val="24"/>
                <w:lang w:bidi="da-DK"/>
              </w:rPr>
              <w:t>angioødem</w:t>
            </w:r>
            <w:proofErr w:type="spellEnd"/>
            <w:r w:rsidRPr="00B25D8D">
              <w:rPr>
                <w:sz w:val="24"/>
                <w:szCs w:val="24"/>
                <w:lang w:bidi="da-DK"/>
              </w:rPr>
              <w:t xml:space="preserve">, </w:t>
            </w:r>
            <w:proofErr w:type="spellStart"/>
            <w:r w:rsidRPr="00B25D8D">
              <w:rPr>
                <w:sz w:val="24"/>
                <w:szCs w:val="24"/>
                <w:lang w:bidi="da-DK"/>
              </w:rPr>
              <w:t>urticaria</w:t>
            </w:r>
            <w:proofErr w:type="spellEnd"/>
            <w:r w:rsidRPr="00B25D8D">
              <w:rPr>
                <w:sz w:val="24"/>
                <w:szCs w:val="24"/>
                <w:lang w:bidi="da-DK"/>
              </w:rPr>
              <w:t xml:space="preserve">, </w:t>
            </w:r>
            <w:proofErr w:type="spellStart"/>
            <w:r w:rsidRPr="00B25D8D">
              <w:rPr>
                <w:sz w:val="24"/>
                <w:szCs w:val="24"/>
                <w:lang w:bidi="da-DK"/>
              </w:rPr>
              <w:t>pruritus</w:t>
            </w:r>
            <w:proofErr w:type="spellEnd"/>
            <w:r w:rsidRPr="00B25D8D">
              <w:rPr>
                <w:sz w:val="24"/>
                <w:szCs w:val="24"/>
                <w:lang w:bidi="da-DK"/>
              </w:rPr>
              <w:t xml:space="preserve">, udslæt og </w:t>
            </w:r>
            <w:proofErr w:type="spellStart"/>
            <w:r w:rsidRPr="00B25D8D">
              <w:rPr>
                <w:sz w:val="24"/>
                <w:szCs w:val="24"/>
                <w:lang w:bidi="da-DK"/>
              </w:rPr>
              <w:t>erythem</w:t>
            </w:r>
            <w:proofErr w:type="spellEnd"/>
          </w:p>
        </w:tc>
      </w:tr>
      <w:tr w:rsidR="00960295" w:rsidRPr="00B25D8D" w:rsidTr="003B4BCE">
        <w:tc>
          <w:tcPr>
            <w:tcW w:w="4497"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29"/>
              <w:rPr>
                <w:i/>
                <w:sz w:val="24"/>
                <w:szCs w:val="24"/>
                <w:lang w:bidi="da-DK"/>
              </w:rPr>
            </w:pPr>
            <w:r w:rsidRPr="00B25D8D">
              <w:rPr>
                <w:i/>
                <w:sz w:val="24"/>
                <w:szCs w:val="24"/>
                <w:lang w:bidi="da-DK"/>
              </w:rPr>
              <w:t>Metabolisme og ernæring</w:t>
            </w:r>
          </w:p>
          <w:p w:rsidR="00960295" w:rsidRPr="00B25D8D" w:rsidRDefault="00960295" w:rsidP="003B4BCE">
            <w:pPr>
              <w:spacing w:line="256" w:lineRule="auto"/>
              <w:ind w:left="29"/>
              <w:rPr>
                <w:i/>
                <w:sz w:val="24"/>
                <w:szCs w:val="24"/>
                <w:lang w:bidi="da-DK"/>
              </w:rPr>
            </w:pPr>
          </w:p>
        </w:tc>
        <w:tc>
          <w:tcPr>
            <w:tcW w:w="4506" w:type="dxa"/>
            <w:tcBorders>
              <w:top w:val="single" w:sz="4" w:space="0" w:color="auto"/>
              <w:left w:val="single" w:sz="4" w:space="0" w:color="auto"/>
              <w:bottom w:val="single" w:sz="4" w:space="0" w:color="auto"/>
              <w:right w:val="single" w:sz="4" w:space="0" w:color="auto"/>
            </w:tcBorders>
          </w:tcPr>
          <w:p w:rsidR="00EE7D25" w:rsidRPr="00B25D8D" w:rsidRDefault="00EE7D25" w:rsidP="00EE7D25">
            <w:pPr>
              <w:spacing w:line="254" w:lineRule="auto"/>
              <w:ind w:left="70"/>
              <w:rPr>
                <w:sz w:val="24"/>
                <w:szCs w:val="24"/>
                <w:lang w:bidi="da-DK"/>
              </w:rPr>
            </w:pPr>
            <w:r w:rsidRPr="00B25D8D">
              <w:rPr>
                <w:sz w:val="24"/>
                <w:szCs w:val="24"/>
                <w:lang w:bidi="da-DK"/>
              </w:rPr>
              <w:t>Dehydrering, elektrolytforstyrrelser (</w:t>
            </w:r>
            <w:proofErr w:type="spellStart"/>
            <w:r w:rsidRPr="00B25D8D">
              <w:rPr>
                <w:sz w:val="24"/>
                <w:szCs w:val="24"/>
                <w:lang w:bidi="da-DK"/>
              </w:rPr>
              <w:t>hypokaliæmi</w:t>
            </w:r>
            <w:proofErr w:type="spellEnd"/>
            <w:r w:rsidRPr="00B25D8D">
              <w:rPr>
                <w:sz w:val="24"/>
                <w:szCs w:val="24"/>
                <w:lang w:bidi="da-DK"/>
              </w:rPr>
              <w:t xml:space="preserve">, </w:t>
            </w:r>
            <w:proofErr w:type="spellStart"/>
            <w:r w:rsidRPr="00B25D8D">
              <w:rPr>
                <w:sz w:val="24"/>
                <w:szCs w:val="24"/>
                <w:lang w:bidi="da-DK"/>
              </w:rPr>
              <w:t>hyponatriæmi</w:t>
            </w:r>
            <w:proofErr w:type="spellEnd"/>
            <w:r w:rsidRPr="00B25D8D">
              <w:rPr>
                <w:sz w:val="24"/>
                <w:szCs w:val="24"/>
                <w:lang w:bidi="da-DK"/>
              </w:rPr>
              <w:t xml:space="preserve">, </w:t>
            </w:r>
            <w:proofErr w:type="spellStart"/>
            <w:r w:rsidRPr="00B25D8D">
              <w:rPr>
                <w:sz w:val="24"/>
                <w:szCs w:val="24"/>
                <w:lang w:bidi="da-DK"/>
              </w:rPr>
              <w:t>hyperkaliæmi</w:t>
            </w:r>
            <w:proofErr w:type="spellEnd"/>
            <w:r w:rsidRPr="00B25D8D">
              <w:rPr>
                <w:sz w:val="24"/>
                <w:szCs w:val="24"/>
                <w:lang w:bidi="da-DK"/>
              </w:rPr>
              <w:t>)</w:t>
            </w:r>
          </w:p>
          <w:p w:rsidR="00960295" w:rsidRPr="00B25D8D" w:rsidRDefault="00960295" w:rsidP="003B4BCE">
            <w:pPr>
              <w:spacing w:line="256" w:lineRule="auto"/>
              <w:ind w:left="70"/>
              <w:rPr>
                <w:sz w:val="24"/>
                <w:szCs w:val="24"/>
                <w:lang w:bidi="da-DK"/>
              </w:rPr>
            </w:pPr>
          </w:p>
        </w:tc>
      </w:tr>
      <w:tr w:rsidR="00960295" w:rsidRPr="00B25D8D" w:rsidTr="003B4BCE">
        <w:tc>
          <w:tcPr>
            <w:tcW w:w="4497"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29"/>
              <w:rPr>
                <w:i/>
                <w:sz w:val="24"/>
                <w:szCs w:val="24"/>
                <w:lang w:bidi="da-DK"/>
              </w:rPr>
            </w:pPr>
            <w:r w:rsidRPr="00B25D8D">
              <w:rPr>
                <w:i/>
                <w:sz w:val="24"/>
                <w:szCs w:val="24"/>
                <w:lang w:bidi="da-DK"/>
              </w:rPr>
              <w:t>Nervesystemet</w:t>
            </w:r>
          </w:p>
          <w:p w:rsidR="00960295" w:rsidRPr="00B25D8D" w:rsidRDefault="00960295" w:rsidP="003B4BCE">
            <w:pPr>
              <w:spacing w:line="256" w:lineRule="auto"/>
              <w:ind w:left="29"/>
              <w:rPr>
                <w:i/>
                <w:sz w:val="24"/>
                <w:szCs w:val="24"/>
              </w:rPr>
            </w:pPr>
          </w:p>
        </w:tc>
        <w:tc>
          <w:tcPr>
            <w:tcW w:w="4506"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70"/>
              <w:rPr>
                <w:sz w:val="24"/>
                <w:szCs w:val="24"/>
                <w:lang w:bidi="da-DK"/>
              </w:rPr>
            </w:pPr>
            <w:r w:rsidRPr="00B25D8D">
              <w:rPr>
                <w:sz w:val="24"/>
                <w:szCs w:val="24"/>
                <w:lang w:bidi="da-DK"/>
              </w:rPr>
              <w:t>Hovedpine</w:t>
            </w:r>
          </w:p>
          <w:p w:rsidR="00960295" w:rsidRPr="00B25D8D" w:rsidRDefault="00960295" w:rsidP="003B4BCE">
            <w:pPr>
              <w:spacing w:line="256" w:lineRule="auto"/>
              <w:ind w:left="70"/>
              <w:rPr>
                <w:sz w:val="24"/>
                <w:szCs w:val="24"/>
                <w:lang w:bidi="da-DK"/>
              </w:rPr>
            </w:pPr>
          </w:p>
        </w:tc>
      </w:tr>
      <w:tr w:rsidR="00960295" w:rsidRPr="00B25D8D" w:rsidTr="003B4BCE">
        <w:tc>
          <w:tcPr>
            <w:tcW w:w="4497"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29"/>
              <w:rPr>
                <w:i/>
                <w:sz w:val="24"/>
                <w:szCs w:val="24"/>
              </w:rPr>
            </w:pPr>
            <w:r w:rsidRPr="00B25D8D">
              <w:rPr>
                <w:i/>
                <w:sz w:val="24"/>
                <w:szCs w:val="24"/>
              </w:rPr>
              <w:t>Mave-tarm-kanalen</w:t>
            </w:r>
          </w:p>
          <w:p w:rsidR="00960295" w:rsidRPr="00B25D8D" w:rsidRDefault="00960295" w:rsidP="003B4BCE">
            <w:pPr>
              <w:spacing w:line="256" w:lineRule="auto"/>
              <w:ind w:left="29"/>
              <w:rPr>
                <w:i/>
                <w:sz w:val="24"/>
                <w:szCs w:val="24"/>
              </w:rPr>
            </w:pPr>
          </w:p>
        </w:tc>
        <w:tc>
          <w:tcPr>
            <w:tcW w:w="4506"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70"/>
              <w:rPr>
                <w:sz w:val="24"/>
                <w:szCs w:val="24"/>
                <w:lang w:bidi="da-DK"/>
              </w:rPr>
            </w:pPr>
            <w:r w:rsidRPr="00B25D8D">
              <w:rPr>
                <w:sz w:val="24"/>
                <w:szCs w:val="24"/>
                <w:lang w:bidi="da-DK"/>
              </w:rPr>
              <w:t>Mavesmerter, diarré, opkastning, kvalme, d</w:t>
            </w:r>
            <w:r w:rsidRPr="00B25D8D">
              <w:t xml:space="preserve">yspepsi, </w:t>
            </w:r>
            <w:proofErr w:type="spellStart"/>
            <w:r w:rsidRPr="00B25D8D">
              <w:t>abdominal</w:t>
            </w:r>
            <w:proofErr w:type="spellEnd"/>
            <w:r w:rsidRPr="00B25D8D">
              <w:t xml:space="preserve"> udspiling</w:t>
            </w:r>
            <w:r w:rsidRPr="00B25D8D">
              <w:rPr>
                <w:sz w:val="24"/>
                <w:szCs w:val="24"/>
                <w:lang w:bidi="da-DK"/>
              </w:rPr>
              <w:t xml:space="preserve">, </w:t>
            </w:r>
            <w:proofErr w:type="spellStart"/>
            <w:r w:rsidRPr="00B25D8D">
              <w:rPr>
                <w:sz w:val="24"/>
                <w:szCs w:val="24"/>
                <w:lang w:bidi="da-DK"/>
              </w:rPr>
              <w:t>borborygmi</w:t>
            </w:r>
            <w:proofErr w:type="spellEnd"/>
            <w:r w:rsidRPr="00B25D8D">
              <w:rPr>
                <w:sz w:val="24"/>
                <w:szCs w:val="24"/>
                <w:lang w:bidi="da-DK"/>
              </w:rPr>
              <w:t xml:space="preserve">, </w:t>
            </w:r>
            <w:proofErr w:type="spellStart"/>
            <w:r w:rsidRPr="00B25D8D">
              <w:rPr>
                <w:sz w:val="24"/>
                <w:szCs w:val="24"/>
                <w:lang w:bidi="da-DK"/>
              </w:rPr>
              <w:t>flatulens</w:t>
            </w:r>
            <w:proofErr w:type="spellEnd"/>
            <w:r w:rsidRPr="00B25D8D">
              <w:rPr>
                <w:sz w:val="24"/>
                <w:szCs w:val="24"/>
                <w:lang w:bidi="da-DK"/>
              </w:rPr>
              <w:t xml:space="preserve"> og </w:t>
            </w:r>
            <w:proofErr w:type="spellStart"/>
            <w:r w:rsidRPr="00B25D8D">
              <w:rPr>
                <w:sz w:val="24"/>
                <w:szCs w:val="24"/>
                <w:lang w:bidi="da-DK"/>
              </w:rPr>
              <w:t>a</w:t>
            </w:r>
            <w:r w:rsidRPr="00B25D8D">
              <w:t>norektal</w:t>
            </w:r>
            <w:proofErr w:type="spellEnd"/>
            <w:r w:rsidRPr="00B25D8D">
              <w:t xml:space="preserve"> irritation</w:t>
            </w:r>
          </w:p>
          <w:p w:rsidR="00960295" w:rsidRPr="00B25D8D" w:rsidRDefault="00960295" w:rsidP="003B4BCE">
            <w:pPr>
              <w:spacing w:line="256" w:lineRule="auto"/>
              <w:ind w:left="70"/>
              <w:rPr>
                <w:sz w:val="24"/>
                <w:szCs w:val="24"/>
                <w:lang w:bidi="da-DK"/>
              </w:rPr>
            </w:pPr>
          </w:p>
        </w:tc>
      </w:tr>
      <w:tr w:rsidR="00960295" w:rsidRPr="00B25D8D" w:rsidTr="003B4BCE">
        <w:tc>
          <w:tcPr>
            <w:tcW w:w="4497"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29"/>
              <w:rPr>
                <w:i/>
                <w:sz w:val="24"/>
                <w:szCs w:val="24"/>
                <w:lang w:bidi="da-DK"/>
              </w:rPr>
            </w:pPr>
            <w:r w:rsidRPr="00B25D8D">
              <w:rPr>
                <w:i/>
                <w:sz w:val="24"/>
                <w:szCs w:val="24"/>
                <w:lang w:bidi="da-DK"/>
              </w:rPr>
              <w:t>Almene symptomer og reaktioner på administrationsstedet</w:t>
            </w:r>
          </w:p>
          <w:p w:rsidR="00960295" w:rsidRPr="00B25D8D" w:rsidRDefault="00960295" w:rsidP="003B4BCE">
            <w:pPr>
              <w:spacing w:line="256" w:lineRule="auto"/>
              <w:ind w:left="29"/>
              <w:rPr>
                <w:i/>
                <w:sz w:val="24"/>
                <w:szCs w:val="24"/>
              </w:rPr>
            </w:pPr>
          </w:p>
        </w:tc>
        <w:tc>
          <w:tcPr>
            <w:tcW w:w="4506" w:type="dxa"/>
            <w:tcBorders>
              <w:top w:val="single" w:sz="4" w:space="0" w:color="auto"/>
              <w:left w:val="single" w:sz="4" w:space="0" w:color="auto"/>
              <w:bottom w:val="single" w:sz="4" w:space="0" w:color="auto"/>
              <w:right w:val="single" w:sz="4" w:space="0" w:color="auto"/>
            </w:tcBorders>
          </w:tcPr>
          <w:p w:rsidR="00960295" w:rsidRPr="00B25D8D" w:rsidRDefault="00960295" w:rsidP="003B4BCE">
            <w:pPr>
              <w:spacing w:line="256" w:lineRule="auto"/>
              <w:ind w:left="70"/>
              <w:rPr>
                <w:sz w:val="24"/>
                <w:szCs w:val="24"/>
                <w:lang w:bidi="da-DK"/>
              </w:rPr>
            </w:pPr>
            <w:r w:rsidRPr="00B25D8D">
              <w:rPr>
                <w:sz w:val="24"/>
                <w:szCs w:val="24"/>
                <w:lang w:bidi="da-DK"/>
              </w:rPr>
              <w:t>Perifert ødem</w:t>
            </w:r>
          </w:p>
          <w:p w:rsidR="00960295" w:rsidRPr="00B25D8D" w:rsidRDefault="00960295" w:rsidP="003B4BCE">
            <w:pPr>
              <w:spacing w:line="256" w:lineRule="auto"/>
              <w:ind w:left="70"/>
              <w:rPr>
                <w:sz w:val="24"/>
                <w:szCs w:val="24"/>
                <w:lang w:bidi="da-DK"/>
              </w:rPr>
            </w:pPr>
          </w:p>
        </w:tc>
      </w:tr>
    </w:tbl>
    <w:p w:rsidR="00960295" w:rsidRDefault="00960295" w:rsidP="00960295">
      <w:pPr>
        <w:pStyle w:val="Text"/>
        <w:ind w:left="851"/>
        <w:rPr>
          <w:sz w:val="24"/>
          <w:szCs w:val="24"/>
          <w:lang w:val="da-DK"/>
        </w:rPr>
      </w:pPr>
    </w:p>
    <w:p w:rsidR="00960295" w:rsidRPr="008F49E1" w:rsidRDefault="00960295" w:rsidP="0096029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60295" w:rsidRPr="008F49E1" w:rsidRDefault="00960295" w:rsidP="00960295">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EE7D25">
        <w:rPr>
          <w:sz w:val="24"/>
          <w:szCs w:val="24"/>
          <w:lang w:eastAsia="da-DK"/>
        </w:rPr>
        <w:t>S</w:t>
      </w:r>
      <w:r w:rsidRPr="008F49E1">
        <w:rPr>
          <w:sz w:val="24"/>
          <w:szCs w:val="24"/>
          <w:lang w:eastAsia="da-DK"/>
        </w:rPr>
        <w:t>undhedsperson</w:t>
      </w:r>
      <w:r w:rsidR="00EE7D25">
        <w:rPr>
          <w:sz w:val="24"/>
          <w:szCs w:val="24"/>
          <w:lang w:eastAsia="da-DK"/>
        </w:rPr>
        <w:t>er</w:t>
      </w:r>
      <w:r w:rsidRPr="008F49E1">
        <w:rPr>
          <w:sz w:val="24"/>
          <w:szCs w:val="24"/>
          <w:lang w:eastAsia="da-DK"/>
        </w:rPr>
        <w:t xml:space="preserve"> anmodes om at indberette alle formodede bivirkninger via:</w:t>
      </w:r>
    </w:p>
    <w:p w:rsidR="00960295" w:rsidRPr="008F49E1" w:rsidRDefault="00960295" w:rsidP="00960295">
      <w:pPr>
        <w:ind w:left="851"/>
        <w:rPr>
          <w:sz w:val="24"/>
          <w:szCs w:val="24"/>
          <w:lang w:eastAsia="da-DK"/>
        </w:rPr>
      </w:pPr>
    </w:p>
    <w:p w:rsidR="00960295" w:rsidRPr="007A276A" w:rsidRDefault="00960295" w:rsidP="00960295">
      <w:pPr>
        <w:ind w:left="851"/>
        <w:rPr>
          <w:sz w:val="24"/>
          <w:szCs w:val="24"/>
          <w:lang w:eastAsia="da-DK"/>
        </w:rPr>
      </w:pPr>
      <w:r w:rsidRPr="007A276A">
        <w:rPr>
          <w:sz w:val="24"/>
          <w:szCs w:val="24"/>
          <w:lang w:eastAsia="da-DK"/>
        </w:rPr>
        <w:t>Lægemiddelstyrelsen</w:t>
      </w:r>
    </w:p>
    <w:p w:rsidR="00960295" w:rsidRPr="007A276A" w:rsidRDefault="00960295" w:rsidP="00960295">
      <w:pPr>
        <w:ind w:left="851"/>
        <w:rPr>
          <w:sz w:val="24"/>
          <w:szCs w:val="24"/>
          <w:lang w:eastAsia="da-DK"/>
        </w:rPr>
      </w:pPr>
      <w:r w:rsidRPr="007A276A">
        <w:rPr>
          <w:sz w:val="24"/>
          <w:szCs w:val="24"/>
          <w:lang w:eastAsia="da-DK"/>
        </w:rPr>
        <w:t>Axel Heides Gade 1</w:t>
      </w:r>
    </w:p>
    <w:p w:rsidR="00960295" w:rsidRPr="007A276A" w:rsidRDefault="00960295" w:rsidP="00960295">
      <w:pPr>
        <w:ind w:left="851"/>
        <w:rPr>
          <w:sz w:val="24"/>
          <w:szCs w:val="24"/>
          <w:lang w:eastAsia="da-DK"/>
        </w:rPr>
      </w:pPr>
      <w:r w:rsidRPr="007A276A">
        <w:rPr>
          <w:sz w:val="24"/>
          <w:szCs w:val="24"/>
          <w:lang w:eastAsia="da-DK"/>
        </w:rPr>
        <w:t>DK-2300 København S</w:t>
      </w:r>
    </w:p>
    <w:p w:rsidR="00960295" w:rsidRPr="00B25D8D" w:rsidRDefault="00960295" w:rsidP="00960295">
      <w:pPr>
        <w:ind w:left="851"/>
        <w:rPr>
          <w:sz w:val="24"/>
          <w:szCs w:val="24"/>
          <w:lang w:eastAsia="da-DK"/>
        </w:rPr>
      </w:pPr>
      <w:r w:rsidRPr="00B25D8D">
        <w:rPr>
          <w:sz w:val="24"/>
          <w:szCs w:val="24"/>
          <w:lang w:eastAsia="da-DK"/>
        </w:rPr>
        <w:t xml:space="preserve">Websted: </w:t>
      </w:r>
      <w:r w:rsidRPr="00B25D8D">
        <w:rPr>
          <w:sz w:val="24"/>
          <w:lang w:eastAsia="da-DK"/>
        </w:rPr>
        <w:t>www.meldenbivirkning.dk</w:t>
      </w:r>
    </w:p>
    <w:p w:rsidR="00960295" w:rsidRPr="00B25D8D" w:rsidRDefault="00960295" w:rsidP="00960295">
      <w:pPr>
        <w:pStyle w:val="Sidehoved"/>
        <w:tabs>
          <w:tab w:val="left" w:pos="851"/>
        </w:tabs>
        <w:ind w:left="851"/>
        <w:rPr>
          <w:szCs w:val="24"/>
        </w:rPr>
      </w:pPr>
    </w:p>
    <w:p w:rsidR="00960295" w:rsidRPr="00C84483" w:rsidRDefault="00960295" w:rsidP="00960295">
      <w:pPr>
        <w:tabs>
          <w:tab w:val="left" w:pos="851"/>
        </w:tabs>
        <w:ind w:left="851" w:hanging="851"/>
        <w:rPr>
          <w:b/>
          <w:sz w:val="24"/>
          <w:szCs w:val="24"/>
        </w:rPr>
      </w:pPr>
      <w:r w:rsidRPr="00C84483">
        <w:rPr>
          <w:b/>
          <w:sz w:val="24"/>
          <w:szCs w:val="24"/>
        </w:rPr>
        <w:t>4.9</w:t>
      </w:r>
      <w:r w:rsidRPr="00C84483">
        <w:rPr>
          <w:b/>
          <w:sz w:val="24"/>
          <w:szCs w:val="24"/>
        </w:rPr>
        <w:tab/>
        <w:t>Overdosering</w:t>
      </w:r>
    </w:p>
    <w:p w:rsidR="00960295" w:rsidRDefault="00960295" w:rsidP="00960295">
      <w:pPr>
        <w:tabs>
          <w:tab w:val="left" w:pos="851"/>
        </w:tabs>
        <w:ind w:left="851"/>
        <w:rPr>
          <w:sz w:val="24"/>
          <w:szCs w:val="24"/>
        </w:rPr>
      </w:pPr>
      <w:bookmarkStart w:id="16" w:name="OLE_LINK30"/>
      <w:bookmarkStart w:id="17" w:name="OLE_LINK29"/>
      <w:r>
        <w:rPr>
          <w:sz w:val="24"/>
          <w:szCs w:val="24"/>
        </w:rPr>
        <w:t xml:space="preserve">Svære mavesmerter eller voldsom </w:t>
      </w:r>
      <w:proofErr w:type="spellStart"/>
      <w:r>
        <w:rPr>
          <w:sz w:val="24"/>
          <w:szCs w:val="24"/>
        </w:rPr>
        <w:t>udspilen</w:t>
      </w:r>
      <w:proofErr w:type="spellEnd"/>
      <w:r>
        <w:rPr>
          <w:sz w:val="24"/>
          <w:szCs w:val="24"/>
        </w:rPr>
        <w:t xml:space="preserve"> kan behandles med </w:t>
      </w:r>
      <w:proofErr w:type="spellStart"/>
      <w:r>
        <w:rPr>
          <w:sz w:val="24"/>
          <w:szCs w:val="24"/>
        </w:rPr>
        <w:t>nasogastrisk</w:t>
      </w:r>
      <w:proofErr w:type="spellEnd"/>
      <w:r>
        <w:rPr>
          <w:sz w:val="24"/>
          <w:szCs w:val="24"/>
        </w:rPr>
        <w:t xml:space="preserve"> aspiration. Udtalt væsketab som følge af opkastning eller diarré kan nødvendiggøre korrektion af elektrolytforstyrrelser.</w:t>
      </w:r>
      <w:bookmarkEnd w:id="16"/>
      <w:bookmarkEnd w:id="17"/>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4.10</w:t>
      </w:r>
      <w:r w:rsidRPr="00C84483">
        <w:rPr>
          <w:b/>
          <w:sz w:val="24"/>
          <w:szCs w:val="24"/>
        </w:rPr>
        <w:tab/>
        <w:t>Udlevering</w:t>
      </w:r>
    </w:p>
    <w:p w:rsidR="00960295" w:rsidRPr="00C84483" w:rsidRDefault="00960295" w:rsidP="00960295">
      <w:pPr>
        <w:tabs>
          <w:tab w:val="left" w:pos="851"/>
        </w:tabs>
        <w:ind w:left="851"/>
        <w:rPr>
          <w:sz w:val="24"/>
          <w:szCs w:val="24"/>
        </w:rPr>
      </w:pPr>
      <w:r>
        <w:rPr>
          <w:sz w:val="24"/>
          <w:szCs w:val="24"/>
        </w:rPr>
        <w:t>HF</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60295" w:rsidRPr="00C84483" w:rsidRDefault="00960295" w:rsidP="00960295">
      <w:pPr>
        <w:tabs>
          <w:tab w:val="left" w:pos="851"/>
        </w:tabs>
        <w:ind w:left="851"/>
        <w:rPr>
          <w:sz w:val="24"/>
          <w:szCs w:val="24"/>
        </w:rPr>
      </w:pPr>
      <w:r w:rsidRPr="001E5F99">
        <w:rPr>
          <w:sz w:val="24"/>
          <w:szCs w:val="24"/>
        </w:rPr>
        <w:t>ATC-kode: A 06 AD 65</w:t>
      </w:r>
      <w:r>
        <w:rPr>
          <w:sz w:val="24"/>
          <w:szCs w:val="24"/>
        </w:rPr>
        <w:t xml:space="preserve">. </w:t>
      </w:r>
      <w:proofErr w:type="spellStart"/>
      <w:r w:rsidRPr="001E5F99">
        <w:rPr>
          <w:sz w:val="24"/>
          <w:szCs w:val="24"/>
        </w:rPr>
        <w:t>Laksantia</w:t>
      </w:r>
      <w:proofErr w:type="spellEnd"/>
      <w:r w:rsidRPr="001E5F99">
        <w:rPr>
          <w:sz w:val="24"/>
          <w:szCs w:val="24"/>
        </w:rPr>
        <w:t xml:space="preserve">, </w:t>
      </w:r>
      <w:proofErr w:type="spellStart"/>
      <w:r w:rsidRPr="001E5F99">
        <w:rPr>
          <w:sz w:val="24"/>
          <w:szCs w:val="24"/>
        </w:rPr>
        <w:t>macrogol</w:t>
      </w:r>
      <w:proofErr w:type="spellEnd"/>
      <w:r w:rsidRPr="001E5F99">
        <w:rPr>
          <w:sz w:val="24"/>
          <w:szCs w:val="24"/>
        </w:rPr>
        <w:t>, kombinationer.</w:t>
      </w:r>
    </w:p>
    <w:p w:rsidR="00960295" w:rsidRPr="00C84483" w:rsidRDefault="00A22F3D" w:rsidP="00960295">
      <w:pPr>
        <w:tabs>
          <w:tab w:val="left" w:pos="851"/>
        </w:tabs>
        <w:ind w:left="851"/>
        <w:rPr>
          <w:sz w:val="24"/>
          <w:szCs w:val="24"/>
        </w:rPr>
      </w:pPr>
      <w:r>
        <w:rPr>
          <w:sz w:val="24"/>
          <w:szCs w:val="24"/>
        </w:rPr>
        <w:br/>
      </w:r>
      <w:r>
        <w:rPr>
          <w:sz w:val="24"/>
          <w:szCs w:val="24"/>
        </w:rPr>
        <w:br/>
      </w:r>
    </w:p>
    <w:p w:rsidR="00960295" w:rsidRPr="00C84483" w:rsidRDefault="00960295" w:rsidP="0096029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60295" w:rsidRPr="00C05593" w:rsidRDefault="00960295" w:rsidP="00960295">
      <w:pPr>
        <w:tabs>
          <w:tab w:val="left" w:pos="851"/>
        </w:tabs>
        <w:ind w:left="851"/>
        <w:rPr>
          <w:sz w:val="24"/>
          <w:szCs w:val="24"/>
        </w:rPr>
      </w:pPr>
      <w:bookmarkStart w:id="18" w:name="OLE_LINK31"/>
      <w:bookmarkStart w:id="19" w:name="OLE_LINK32"/>
      <w:bookmarkStart w:id="20" w:name="OLE_LINK33"/>
      <w:bookmarkStart w:id="21" w:name="OLE_LINK34"/>
      <w:bookmarkStart w:id="22" w:name="OLE_LINK35"/>
      <w:bookmarkStart w:id="23" w:name="OLE_LINK36"/>
      <w:bookmarkStart w:id="24" w:name="OLE_LINK37"/>
      <w:proofErr w:type="spellStart"/>
      <w:r w:rsidRPr="00C05593">
        <w:rPr>
          <w:sz w:val="24"/>
          <w:szCs w:val="24"/>
        </w:rPr>
        <w:t>Macrogol</w:t>
      </w:r>
      <w:proofErr w:type="spellEnd"/>
      <w:r w:rsidRPr="00C05593">
        <w:rPr>
          <w:sz w:val="24"/>
          <w:szCs w:val="24"/>
        </w:rPr>
        <w:t xml:space="preserve"> 3350 virker i kraft af sin osmotiske virkning i tarmen, som inducerer en laksativ virkning. </w:t>
      </w:r>
      <w:proofErr w:type="spellStart"/>
      <w:r w:rsidRPr="00C05593">
        <w:rPr>
          <w:sz w:val="24"/>
          <w:szCs w:val="24"/>
        </w:rPr>
        <w:t>Macrogol</w:t>
      </w:r>
      <w:proofErr w:type="spellEnd"/>
      <w:r w:rsidRPr="00C05593">
        <w:rPr>
          <w:sz w:val="24"/>
          <w:szCs w:val="24"/>
        </w:rPr>
        <w:t xml:space="preserve"> 3350 øger tarmindholdets volumen, hvorved </w:t>
      </w:r>
      <w:proofErr w:type="spellStart"/>
      <w:r w:rsidRPr="00C05593">
        <w:rPr>
          <w:sz w:val="24"/>
          <w:szCs w:val="24"/>
        </w:rPr>
        <w:t>motiliteten</w:t>
      </w:r>
      <w:proofErr w:type="spellEnd"/>
      <w:r w:rsidRPr="00C05593">
        <w:rPr>
          <w:sz w:val="24"/>
          <w:szCs w:val="24"/>
        </w:rPr>
        <w:t xml:space="preserve"> i </w:t>
      </w:r>
      <w:proofErr w:type="spellStart"/>
      <w:r w:rsidRPr="00C05593">
        <w:rPr>
          <w:sz w:val="24"/>
          <w:szCs w:val="24"/>
        </w:rPr>
        <w:t>colon</w:t>
      </w:r>
      <w:proofErr w:type="spellEnd"/>
      <w:r w:rsidRPr="00C05593">
        <w:rPr>
          <w:sz w:val="24"/>
          <w:szCs w:val="24"/>
        </w:rPr>
        <w:t xml:space="preserve"> øges via </w:t>
      </w:r>
      <w:proofErr w:type="spellStart"/>
      <w:r w:rsidRPr="00C05593">
        <w:rPr>
          <w:sz w:val="24"/>
          <w:szCs w:val="24"/>
        </w:rPr>
        <w:t>neuromuskulære</w:t>
      </w:r>
      <w:proofErr w:type="spellEnd"/>
      <w:r w:rsidRPr="00C05593">
        <w:rPr>
          <w:sz w:val="24"/>
          <w:szCs w:val="24"/>
        </w:rPr>
        <w:t xml:space="preserve"> baner. Den fysiologiske konsekvens af dette er forbedret viderebefordring gennem </w:t>
      </w:r>
      <w:proofErr w:type="spellStart"/>
      <w:r w:rsidRPr="00C05593">
        <w:rPr>
          <w:sz w:val="24"/>
          <w:szCs w:val="24"/>
        </w:rPr>
        <w:t>colon</w:t>
      </w:r>
      <w:proofErr w:type="spellEnd"/>
      <w:r w:rsidRPr="00C05593">
        <w:rPr>
          <w:sz w:val="24"/>
          <w:szCs w:val="24"/>
        </w:rPr>
        <w:t xml:space="preserve"> af blødgjort fæces og lettere </w:t>
      </w:r>
      <w:proofErr w:type="spellStart"/>
      <w:r w:rsidRPr="00C05593">
        <w:rPr>
          <w:sz w:val="24"/>
          <w:szCs w:val="24"/>
        </w:rPr>
        <w:t>defækering</w:t>
      </w:r>
      <w:proofErr w:type="spellEnd"/>
      <w:r w:rsidRPr="00C05593">
        <w:rPr>
          <w:sz w:val="24"/>
          <w:szCs w:val="24"/>
        </w:rPr>
        <w:t xml:space="preserve">. Elektrolytter kombineret med </w:t>
      </w:r>
      <w:proofErr w:type="spellStart"/>
      <w:r w:rsidRPr="00C05593">
        <w:rPr>
          <w:sz w:val="24"/>
          <w:szCs w:val="24"/>
        </w:rPr>
        <w:t>macrogol</w:t>
      </w:r>
      <w:proofErr w:type="spellEnd"/>
      <w:r w:rsidRPr="00C05593">
        <w:rPr>
          <w:sz w:val="24"/>
          <w:szCs w:val="24"/>
        </w:rPr>
        <w:t xml:space="preserve"> 3350 udveksles gennem tarmbarrieren (slimhinden) med serum-elektrolytter og udskilles i vandindholdet i fæces uden nettostigning eller </w:t>
      </w:r>
      <w:r w:rsidRPr="00C05593">
        <w:rPr>
          <w:sz w:val="24"/>
          <w:szCs w:val="24"/>
        </w:rPr>
        <w:noBreakHyphen/>
        <w:t xml:space="preserve">tab af natrium, kalium eller vand. </w:t>
      </w:r>
    </w:p>
    <w:p w:rsidR="00960295" w:rsidRPr="00C05593" w:rsidRDefault="00960295" w:rsidP="00960295">
      <w:pPr>
        <w:tabs>
          <w:tab w:val="left" w:pos="851"/>
        </w:tabs>
        <w:ind w:left="851"/>
        <w:rPr>
          <w:sz w:val="24"/>
          <w:szCs w:val="24"/>
        </w:rPr>
      </w:pPr>
    </w:p>
    <w:bookmarkEnd w:id="18"/>
    <w:bookmarkEnd w:id="19"/>
    <w:bookmarkEnd w:id="20"/>
    <w:bookmarkEnd w:id="21"/>
    <w:bookmarkEnd w:id="22"/>
    <w:bookmarkEnd w:id="23"/>
    <w:bookmarkEnd w:id="24"/>
    <w:p w:rsidR="00960295" w:rsidRPr="00C05593" w:rsidRDefault="00960295" w:rsidP="00960295">
      <w:pPr>
        <w:tabs>
          <w:tab w:val="left" w:pos="851"/>
        </w:tabs>
        <w:ind w:left="851"/>
        <w:rPr>
          <w:sz w:val="24"/>
          <w:szCs w:val="24"/>
        </w:rPr>
      </w:pPr>
      <w:r w:rsidRPr="00C05593">
        <w:rPr>
          <w:sz w:val="24"/>
          <w:szCs w:val="24"/>
        </w:rPr>
        <w:t xml:space="preserve">Der er ikke udført komparative studier af </w:t>
      </w:r>
      <w:proofErr w:type="spellStart"/>
      <w:r w:rsidRPr="00C05593">
        <w:rPr>
          <w:sz w:val="24"/>
          <w:szCs w:val="24"/>
        </w:rPr>
        <w:t>fækalom</w:t>
      </w:r>
      <w:proofErr w:type="spellEnd"/>
      <w:r w:rsidRPr="00C05593">
        <w:rPr>
          <w:sz w:val="24"/>
          <w:szCs w:val="24"/>
        </w:rPr>
        <w:t xml:space="preserve"> ved brug af aktivkontrol (f.eks. lavement). Resultaterne fra et ikke-komparativt studie med en population på 27 voksne patienter har imidlertid vist, at den nævnte kombination af lægemidler eliminerede </w:t>
      </w:r>
      <w:proofErr w:type="spellStart"/>
      <w:r w:rsidRPr="00C05593">
        <w:rPr>
          <w:sz w:val="24"/>
          <w:szCs w:val="24"/>
        </w:rPr>
        <w:t>fækalom</w:t>
      </w:r>
      <w:proofErr w:type="spellEnd"/>
      <w:r w:rsidRPr="00C05593">
        <w:rPr>
          <w:sz w:val="24"/>
          <w:szCs w:val="24"/>
        </w:rPr>
        <w:t xml:space="preserve"> hos 12/27 patienter (44 %) efter en dags behandling, og at dette tal steg til 23/27 (85 %) efter to dages behandling, og at 24/27 (89 %) var helbredt efter tre dage. </w:t>
      </w:r>
    </w:p>
    <w:p w:rsidR="00960295" w:rsidRPr="00C05593" w:rsidRDefault="00960295" w:rsidP="00960295">
      <w:pPr>
        <w:tabs>
          <w:tab w:val="left" w:pos="851"/>
        </w:tabs>
        <w:ind w:left="851"/>
        <w:rPr>
          <w:sz w:val="24"/>
          <w:szCs w:val="24"/>
        </w:rPr>
      </w:pPr>
    </w:p>
    <w:p w:rsidR="00960295" w:rsidRPr="00C84483" w:rsidRDefault="00960295" w:rsidP="00960295">
      <w:pPr>
        <w:tabs>
          <w:tab w:val="left" w:pos="851"/>
        </w:tabs>
        <w:ind w:left="851"/>
        <w:rPr>
          <w:sz w:val="24"/>
          <w:szCs w:val="24"/>
        </w:rPr>
      </w:pPr>
      <w:r w:rsidRPr="00C05593">
        <w:rPr>
          <w:sz w:val="24"/>
          <w:szCs w:val="24"/>
        </w:rPr>
        <w:t xml:space="preserve">Det fremgår af kliniske studier, hvor de angivne lægemidler blev anvendt til behandling af kronisk obstipation, at den dosis, der kræves for at opnå afføring med normal konsistens, bliver lavere med tiden. Mange patienter responderer på 1-2 breve </w:t>
      </w:r>
      <w:r>
        <w:rPr>
          <w:sz w:val="24"/>
          <w:szCs w:val="24"/>
        </w:rPr>
        <w:t>daglig</w:t>
      </w:r>
      <w:r w:rsidRPr="00C05593">
        <w:rPr>
          <w:sz w:val="24"/>
          <w:szCs w:val="24"/>
        </w:rPr>
        <w:t>, men denne dosis bør justeres i henhold til individuelt respons.</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60295" w:rsidRPr="00C84483" w:rsidRDefault="00960295" w:rsidP="00960295">
      <w:pPr>
        <w:tabs>
          <w:tab w:val="left" w:pos="851"/>
        </w:tabs>
        <w:ind w:left="851"/>
        <w:rPr>
          <w:sz w:val="24"/>
          <w:szCs w:val="24"/>
        </w:rPr>
      </w:pPr>
      <w:proofErr w:type="spellStart"/>
      <w:r w:rsidRPr="00955129">
        <w:rPr>
          <w:sz w:val="24"/>
          <w:szCs w:val="24"/>
        </w:rPr>
        <w:t>Macrogol</w:t>
      </w:r>
      <w:proofErr w:type="spellEnd"/>
      <w:r w:rsidRPr="00955129">
        <w:rPr>
          <w:sz w:val="24"/>
          <w:szCs w:val="24"/>
        </w:rPr>
        <w:t xml:space="preserve"> 3350 omdannes ikke i tarmen. Det absorberes stort set ikke fra mave-tarm-kanalen. Eventuelt absorberet </w:t>
      </w:r>
      <w:proofErr w:type="spellStart"/>
      <w:r w:rsidRPr="00955129">
        <w:rPr>
          <w:sz w:val="24"/>
          <w:szCs w:val="24"/>
        </w:rPr>
        <w:t>macrogol</w:t>
      </w:r>
      <w:proofErr w:type="spellEnd"/>
      <w:r w:rsidRPr="00955129">
        <w:rPr>
          <w:sz w:val="24"/>
          <w:szCs w:val="24"/>
        </w:rPr>
        <w:t xml:space="preserve"> 3350 udskilles via urinen.</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60295" w:rsidRPr="00004509" w:rsidRDefault="00960295" w:rsidP="00960295">
      <w:pPr>
        <w:tabs>
          <w:tab w:val="left" w:pos="851"/>
        </w:tabs>
        <w:ind w:left="851"/>
        <w:rPr>
          <w:sz w:val="24"/>
          <w:szCs w:val="24"/>
        </w:rPr>
      </w:pPr>
      <w:r w:rsidRPr="00004509">
        <w:rPr>
          <w:sz w:val="24"/>
          <w:szCs w:val="24"/>
        </w:rPr>
        <w:t xml:space="preserve">Prækliniske studier har frembragt evidens for, at </w:t>
      </w:r>
      <w:proofErr w:type="spellStart"/>
      <w:r w:rsidRPr="00004509">
        <w:rPr>
          <w:sz w:val="24"/>
          <w:szCs w:val="24"/>
        </w:rPr>
        <w:t>macrogol</w:t>
      </w:r>
      <w:proofErr w:type="spellEnd"/>
      <w:r w:rsidRPr="00004509">
        <w:rPr>
          <w:sz w:val="24"/>
          <w:szCs w:val="24"/>
        </w:rPr>
        <w:t xml:space="preserve"> 3350 ikke har noget signifikant potentiale for at udløse systemisk toksicitet vurderet ud fra konventionelle studier af farmakologi, toksicitet efter gentagne doser og genotoksicitet.</w:t>
      </w:r>
    </w:p>
    <w:p w:rsidR="00960295" w:rsidRPr="00004509" w:rsidRDefault="00960295" w:rsidP="00960295">
      <w:pPr>
        <w:tabs>
          <w:tab w:val="left" w:pos="851"/>
        </w:tabs>
        <w:ind w:left="851"/>
        <w:rPr>
          <w:sz w:val="24"/>
          <w:szCs w:val="24"/>
        </w:rPr>
      </w:pPr>
    </w:p>
    <w:p w:rsidR="00960295" w:rsidRPr="00004509" w:rsidRDefault="00960295" w:rsidP="00960295">
      <w:pPr>
        <w:tabs>
          <w:tab w:val="left" w:pos="851"/>
        </w:tabs>
        <w:ind w:left="851"/>
        <w:rPr>
          <w:sz w:val="24"/>
          <w:szCs w:val="24"/>
        </w:rPr>
      </w:pPr>
      <w:r w:rsidRPr="00004509">
        <w:rPr>
          <w:sz w:val="24"/>
          <w:szCs w:val="24"/>
        </w:rPr>
        <w:t xml:space="preserve">Der var ingen direkte embryotoksiske eller </w:t>
      </w:r>
      <w:proofErr w:type="spellStart"/>
      <w:r w:rsidRPr="00004509">
        <w:rPr>
          <w:sz w:val="24"/>
          <w:szCs w:val="24"/>
        </w:rPr>
        <w:t>teratogene</w:t>
      </w:r>
      <w:proofErr w:type="spellEnd"/>
      <w:r w:rsidRPr="00004509">
        <w:rPr>
          <w:sz w:val="24"/>
          <w:szCs w:val="24"/>
        </w:rPr>
        <w:t xml:space="preserve"> virkninger hos rotter, end ikke ved </w:t>
      </w:r>
      <w:proofErr w:type="spellStart"/>
      <w:r w:rsidRPr="00004509">
        <w:rPr>
          <w:sz w:val="24"/>
          <w:szCs w:val="24"/>
        </w:rPr>
        <w:t>maternelt</w:t>
      </w:r>
      <w:proofErr w:type="spellEnd"/>
      <w:r w:rsidRPr="00004509">
        <w:rPr>
          <w:sz w:val="24"/>
          <w:szCs w:val="24"/>
        </w:rPr>
        <w:t xml:space="preserve"> toksiske niveauer, der var 66 gange højere end den maksimalt anbefalede dosis hos mennesker mod kronisk obstipation og 25 gange højere end den maksimalt anbefalede dosis mod </w:t>
      </w:r>
      <w:proofErr w:type="spellStart"/>
      <w:r w:rsidRPr="00004509">
        <w:rPr>
          <w:sz w:val="24"/>
          <w:szCs w:val="24"/>
        </w:rPr>
        <w:t>fækalom</w:t>
      </w:r>
      <w:proofErr w:type="spellEnd"/>
      <w:r w:rsidRPr="00004509">
        <w:rPr>
          <w:sz w:val="24"/>
          <w:szCs w:val="24"/>
        </w:rPr>
        <w:t xml:space="preserve">. Der blev set indirekte </w:t>
      </w:r>
      <w:proofErr w:type="spellStart"/>
      <w:r w:rsidRPr="00004509">
        <w:rPr>
          <w:sz w:val="24"/>
          <w:szCs w:val="24"/>
        </w:rPr>
        <w:t>embryoføtale</w:t>
      </w:r>
      <w:proofErr w:type="spellEnd"/>
      <w:r w:rsidRPr="00004509">
        <w:rPr>
          <w:sz w:val="24"/>
          <w:szCs w:val="24"/>
        </w:rPr>
        <w:t xml:space="preserve"> virkninger, inklusive nedsat foster- og placentavægt, reduceret fosteroverlevelse, øget </w:t>
      </w:r>
      <w:proofErr w:type="spellStart"/>
      <w:r w:rsidRPr="00004509">
        <w:rPr>
          <w:sz w:val="24"/>
          <w:szCs w:val="24"/>
        </w:rPr>
        <w:t>hyperfleksion</w:t>
      </w:r>
      <w:proofErr w:type="spellEnd"/>
      <w:r w:rsidRPr="00004509">
        <w:rPr>
          <w:sz w:val="24"/>
          <w:szCs w:val="24"/>
        </w:rPr>
        <w:t xml:space="preserve"> af lemmer og poter og øget abortfrekvens hos kaniner ved en </w:t>
      </w:r>
      <w:proofErr w:type="spellStart"/>
      <w:r w:rsidRPr="00004509">
        <w:rPr>
          <w:sz w:val="24"/>
          <w:szCs w:val="24"/>
        </w:rPr>
        <w:t>maternelt</w:t>
      </w:r>
      <w:proofErr w:type="spellEnd"/>
      <w:r w:rsidRPr="00004509">
        <w:rPr>
          <w:sz w:val="24"/>
          <w:szCs w:val="24"/>
        </w:rPr>
        <w:t xml:space="preserve"> toksisk dosis, der var 3,3 gange højere end den maksimalt anbefalede dosis hos mennesker til behandling af kronisk obstipation og 1,3 gange højere end den maksimalt anbefalede dosis mod </w:t>
      </w:r>
      <w:proofErr w:type="spellStart"/>
      <w:r w:rsidRPr="00004509">
        <w:rPr>
          <w:sz w:val="24"/>
          <w:szCs w:val="24"/>
        </w:rPr>
        <w:t>fækalom</w:t>
      </w:r>
      <w:proofErr w:type="spellEnd"/>
      <w:r w:rsidRPr="00004509">
        <w:rPr>
          <w:sz w:val="24"/>
          <w:szCs w:val="24"/>
        </w:rPr>
        <w:t xml:space="preserve">. Kaniner er en følsom dyreart, hvad angår virkninger af stoffer med virkning på mave-tarm-kanalen, og studierne blev udført under overdimensionerede forhold med administration af høje doser, som ikke er klinisk relevante. Resultaterne kan have været en konsekvens af en indirekte virkning af </w:t>
      </w:r>
      <w:proofErr w:type="spellStart"/>
      <w:r w:rsidRPr="00004509">
        <w:rPr>
          <w:sz w:val="24"/>
          <w:szCs w:val="24"/>
        </w:rPr>
        <w:t>macrogol</w:t>
      </w:r>
      <w:proofErr w:type="spellEnd"/>
      <w:r w:rsidRPr="00004509">
        <w:rPr>
          <w:sz w:val="24"/>
          <w:szCs w:val="24"/>
        </w:rPr>
        <w:t xml:space="preserve"> 3350 relateret til ringe </w:t>
      </w:r>
      <w:proofErr w:type="spellStart"/>
      <w:r w:rsidRPr="00004509">
        <w:rPr>
          <w:sz w:val="24"/>
          <w:szCs w:val="24"/>
        </w:rPr>
        <w:t>maternel</w:t>
      </w:r>
      <w:proofErr w:type="spellEnd"/>
      <w:r w:rsidRPr="00004509">
        <w:rPr>
          <w:sz w:val="24"/>
          <w:szCs w:val="24"/>
        </w:rPr>
        <w:t xml:space="preserve"> tilstand som følge af et udtalt </w:t>
      </w:r>
      <w:proofErr w:type="spellStart"/>
      <w:r w:rsidRPr="00004509">
        <w:rPr>
          <w:sz w:val="24"/>
          <w:szCs w:val="24"/>
        </w:rPr>
        <w:t>farmakodynamisk</w:t>
      </w:r>
      <w:proofErr w:type="spellEnd"/>
      <w:r w:rsidRPr="00004509">
        <w:rPr>
          <w:sz w:val="24"/>
          <w:szCs w:val="24"/>
        </w:rPr>
        <w:t xml:space="preserve"> respons hos kaniner. Der var ingen tegn på </w:t>
      </w:r>
      <w:proofErr w:type="spellStart"/>
      <w:r w:rsidRPr="00004509">
        <w:rPr>
          <w:sz w:val="24"/>
          <w:szCs w:val="24"/>
        </w:rPr>
        <w:t>teratogene</w:t>
      </w:r>
      <w:proofErr w:type="spellEnd"/>
      <w:r w:rsidRPr="00004509">
        <w:rPr>
          <w:sz w:val="24"/>
          <w:szCs w:val="24"/>
        </w:rPr>
        <w:t xml:space="preserve"> virkninger.</w:t>
      </w:r>
    </w:p>
    <w:p w:rsidR="00960295" w:rsidRPr="00004509" w:rsidRDefault="00960295" w:rsidP="00960295">
      <w:pPr>
        <w:tabs>
          <w:tab w:val="left" w:pos="851"/>
        </w:tabs>
        <w:ind w:left="851"/>
        <w:rPr>
          <w:sz w:val="24"/>
          <w:szCs w:val="24"/>
        </w:rPr>
      </w:pPr>
    </w:p>
    <w:p w:rsidR="00960295" w:rsidRPr="00004509" w:rsidRDefault="00960295" w:rsidP="00960295">
      <w:pPr>
        <w:tabs>
          <w:tab w:val="left" w:pos="851"/>
        </w:tabs>
        <w:ind w:left="851"/>
        <w:rPr>
          <w:sz w:val="24"/>
          <w:szCs w:val="24"/>
        </w:rPr>
      </w:pPr>
      <w:r w:rsidRPr="00004509">
        <w:rPr>
          <w:sz w:val="24"/>
          <w:szCs w:val="24"/>
        </w:rPr>
        <w:t xml:space="preserve">Der er udført langvarige dyreforsøg vedrørende toksicitet og </w:t>
      </w:r>
      <w:proofErr w:type="spellStart"/>
      <w:r w:rsidRPr="00004509">
        <w:rPr>
          <w:sz w:val="24"/>
          <w:szCs w:val="24"/>
        </w:rPr>
        <w:t>karcinogenicitet</w:t>
      </w:r>
      <w:proofErr w:type="spellEnd"/>
      <w:r w:rsidRPr="00004509">
        <w:rPr>
          <w:sz w:val="24"/>
          <w:szCs w:val="24"/>
        </w:rPr>
        <w:t xml:space="preserve"> med </w:t>
      </w:r>
      <w:proofErr w:type="spellStart"/>
      <w:r w:rsidRPr="00004509">
        <w:rPr>
          <w:sz w:val="24"/>
          <w:szCs w:val="24"/>
        </w:rPr>
        <w:t>macrogol</w:t>
      </w:r>
      <w:proofErr w:type="spellEnd"/>
      <w:r w:rsidRPr="00004509">
        <w:rPr>
          <w:sz w:val="24"/>
          <w:szCs w:val="24"/>
        </w:rPr>
        <w:t xml:space="preserve"> 3350. Resultaterne fra disse studier og andre toksicitetsstudier, hvor der blev anvendt høje niveauer af oralt administrerede </w:t>
      </w:r>
      <w:proofErr w:type="spellStart"/>
      <w:r w:rsidRPr="00004509">
        <w:rPr>
          <w:sz w:val="24"/>
          <w:szCs w:val="24"/>
        </w:rPr>
        <w:t>macrogoler</w:t>
      </w:r>
      <w:proofErr w:type="spellEnd"/>
      <w:r w:rsidRPr="00004509">
        <w:rPr>
          <w:sz w:val="24"/>
          <w:szCs w:val="24"/>
        </w:rPr>
        <w:t xml:space="preserve"> med høj </w:t>
      </w:r>
      <w:proofErr w:type="spellStart"/>
      <w:r w:rsidRPr="00004509">
        <w:rPr>
          <w:sz w:val="24"/>
          <w:szCs w:val="24"/>
        </w:rPr>
        <w:t>molekylevægt</w:t>
      </w:r>
      <w:proofErr w:type="spellEnd"/>
      <w:r w:rsidRPr="00004509">
        <w:rPr>
          <w:sz w:val="24"/>
          <w:szCs w:val="24"/>
        </w:rPr>
        <w:t>, viser evidens for sikkerhed ved de anbefalede terapeutiske doser.</w:t>
      </w:r>
    </w:p>
    <w:p w:rsidR="00960295" w:rsidRDefault="00960295" w:rsidP="00960295">
      <w:pPr>
        <w:tabs>
          <w:tab w:val="left" w:pos="851"/>
        </w:tabs>
        <w:ind w:left="851"/>
        <w:rPr>
          <w:sz w:val="24"/>
          <w:szCs w:val="24"/>
        </w:rPr>
      </w:pPr>
    </w:p>
    <w:p w:rsidR="00A22F3D" w:rsidRDefault="00A22F3D" w:rsidP="00960295">
      <w:pPr>
        <w:tabs>
          <w:tab w:val="left" w:pos="851"/>
        </w:tabs>
        <w:ind w:left="851"/>
        <w:rPr>
          <w:sz w:val="24"/>
          <w:szCs w:val="24"/>
        </w:rPr>
      </w:pPr>
    </w:p>
    <w:p w:rsidR="00A22F3D" w:rsidRPr="00C84483" w:rsidRDefault="00A22F3D" w:rsidP="00960295">
      <w:pPr>
        <w:tabs>
          <w:tab w:val="left" w:pos="851"/>
        </w:tabs>
        <w:ind w:left="851"/>
        <w:rPr>
          <w:sz w:val="24"/>
          <w:szCs w:val="24"/>
        </w:rPr>
      </w:pPr>
      <w:bookmarkStart w:id="25" w:name="_GoBack"/>
      <w:bookmarkEnd w:id="25"/>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60295" w:rsidRPr="00BA09F1"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6.1</w:t>
      </w:r>
      <w:r w:rsidRPr="00C84483">
        <w:rPr>
          <w:b/>
          <w:sz w:val="24"/>
          <w:szCs w:val="24"/>
        </w:rPr>
        <w:tab/>
        <w:t>Hjælpestoffer</w:t>
      </w:r>
    </w:p>
    <w:p w:rsidR="00960295" w:rsidRPr="008D6F22" w:rsidRDefault="00960295" w:rsidP="00960295">
      <w:pPr>
        <w:tabs>
          <w:tab w:val="left" w:pos="851"/>
        </w:tabs>
        <w:ind w:left="851"/>
        <w:rPr>
          <w:sz w:val="24"/>
          <w:szCs w:val="24"/>
        </w:rPr>
      </w:pPr>
      <w:proofErr w:type="spellStart"/>
      <w:r w:rsidRPr="008D6F22">
        <w:rPr>
          <w:sz w:val="24"/>
          <w:szCs w:val="24"/>
        </w:rPr>
        <w:t>Silica</w:t>
      </w:r>
      <w:proofErr w:type="spellEnd"/>
      <w:r w:rsidRPr="008D6F22">
        <w:rPr>
          <w:sz w:val="24"/>
          <w:szCs w:val="24"/>
        </w:rPr>
        <w:t>, kolloid vandfri</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6.2</w:t>
      </w:r>
      <w:r w:rsidRPr="00C84483">
        <w:rPr>
          <w:b/>
          <w:sz w:val="24"/>
          <w:szCs w:val="24"/>
        </w:rPr>
        <w:tab/>
        <w:t>Uforligeligheder</w:t>
      </w:r>
    </w:p>
    <w:p w:rsidR="00960295" w:rsidRPr="00C84483" w:rsidRDefault="00960295" w:rsidP="00960295">
      <w:pPr>
        <w:tabs>
          <w:tab w:val="left" w:pos="851"/>
        </w:tabs>
        <w:ind w:left="851"/>
        <w:rPr>
          <w:sz w:val="24"/>
          <w:szCs w:val="24"/>
        </w:rPr>
      </w:pPr>
      <w:r>
        <w:rPr>
          <w:sz w:val="24"/>
          <w:szCs w:val="24"/>
        </w:rPr>
        <w:t>Ikke relevant.</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6.3</w:t>
      </w:r>
      <w:r w:rsidRPr="00C84483">
        <w:rPr>
          <w:b/>
          <w:sz w:val="24"/>
          <w:szCs w:val="24"/>
        </w:rPr>
        <w:tab/>
        <w:t>Opbevaringstid</w:t>
      </w:r>
    </w:p>
    <w:p w:rsidR="00A034AF" w:rsidRDefault="00A034AF" w:rsidP="00A034AF">
      <w:pPr>
        <w:tabs>
          <w:tab w:val="left" w:pos="851"/>
        </w:tabs>
        <w:ind w:left="851"/>
        <w:rPr>
          <w:sz w:val="24"/>
          <w:szCs w:val="24"/>
        </w:rPr>
      </w:pPr>
      <w:r>
        <w:rPr>
          <w:sz w:val="24"/>
          <w:szCs w:val="24"/>
        </w:rPr>
        <w:t xml:space="preserve">3 år. </w:t>
      </w:r>
    </w:p>
    <w:p w:rsidR="00A034AF" w:rsidRDefault="00A034AF" w:rsidP="00A034AF">
      <w:pPr>
        <w:tabs>
          <w:tab w:val="left" w:pos="851"/>
        </w:tabs>
        <w:ind w:left="851"/>
        <w:rPr>
          <w:sz w:val="24"/>
          <w:szCs w:val="24"/>
        </w:rPr>
      </w:pPr>
    </w:p>
    <w:p w:rsidR="00A034AF" w:rsidRDefault="00A034AF" w:rsidP="00A034AF">
      <w:pPr>
        <w:tabs>
          <w:tab w:val="left" w:pos="851"/>
        </w:tabs>
        <w:ind w:left="851"/>
        <w:rPr>
          <w:sz w:val="24"/>
          <w:szCs w:val="24"/>
        </w:rPr>
      </w:pPr>
      <w:r>
        <w:rPr>
          <w:sz w:val="24"/>
          <w:szCs w:val="24"/>
        </w:rPr>
        <w:t xml:space="preserve">Opbevaringstid efter </w:t>
      </w:r>
      <w:proofErr w:type="spellStart"/>
      <w:r>
        <w:rPr>
          <w:sz w:val="24"/>
          <w:szCs w:val="24"/>
        </w:rPr>
        <w:t>rekonstituering</w:t>
      </w:r>
      <w:proofErr w:type="spellEnd"/>
      <w:r>
        <w:rPr>
          <w:sz w:val="24"/>
          <w:szCs w:val="24"/>
        </w:rPr>
        <w:t>: 24 timer.</w:t>
      </w:r>
      <w:r>
        <w:rPr>
          <w:sz w:val="24"/>
          <w:szCs w:val="24"/>
        </w:rPr>
        <w:br/>
        <w:t xml:space="preserve">Opbevaringsbetingelser efter </w:t>
      </w:r>
      <w:proofErr w:type="spellStart"/>
      <w:r>
        <w:rPr>
          <w:sz w:val="24"/>
          <w:szCs w:val="24"/>
        </w:rPr>
        <w:t>rekonstituering</w:t>
      </w:r>
      <w:proofErr w:type="spellEnd"/>
      <w:r>
        <w:rPr>
          <w:sz w:val="24"/>
          <w:szCs w:val="24"/>
        </w:rPr>
        <w:t>: Opbevares tildækket i køleskab (2-8 ºC).</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034AF" w:rsidRDefault="00A034AF" w:rsidP="00591FBE">
      <w:pPr>
        <w:tabs>
          <w:tab w:val="left" w:pos="851"/>
        </w:tabs>
        <w:ind w:left="851" w:hanging="851"/>
        <w:rPr>
          <w:sz w:val="24"/>
          <w:szCs w:val="24"/>
        </w:rPr>
      </w:pPr>
      <w:r>
        <w:rPr>
          <w:sz w:val="24"/>
          <w:szCs w:val="24"/>
        </w:rPr>
        <w:tab/>
      </w:r>
      <w:r w:rsidR="00591FBE">
        <w:rPr>
          <w:noProof/>
          <w:sz w:val="24"/>
          <w:szCs w:val="24"/>
        </w:rPr>
        <w:t>Dette lægemiddel kræver ingen særlige forholdsregler vedrørende opbevaringen.</w:t>
      </w:r>
    </w:p>
    <w:p w:rsidR="00A034AF" w:rsidRDefault="00A034AF" w:rsidP="00A034AF">
      <w:pPr>
        <w:tabs>
          <w:tab w:val="left" w:pos="851"/>
        </w:tabs>
        <w:ind w:left="851"/>
        <w:rPr>
          <w:noProof/>
          <w:sz w:val="24"/>
          <w:szCs w:val="24"/>
        </w:rPr>
      </w:pPr>
    </w:p>
    <w:p w:rsidR="00A034AF" w:rsidRDefault="00A034AF" w:rsidP="00A034AF">
      <w:pPr>
        <w:tabs>
          <w:tab w:val="left" w:pos="851"/>
        </w:tabs>
        <w:ind w:left="851"/>
        <w:rPr>
          <w:noProof/>
          <w:sz w:val="24"/>
          <w:szCs w:val="24"/>
        </w:rPr>
      </w:pPr>
      <w:r>
        <w:rPr>
          <w:noProof/>
          <w:sz w:val="24"/>
          <w:szCs w:val="24"/>
        </w:rPr>
        <w:t>For opbevaringsbetingelser efter rekonstitution af lægemidlet, se pkt. 6.3.</w:t>
      </w:r>
    </w:p>
    <w:p w:rsidR="00A034AF" w:rsidRDefault="00A034AF" w:rsidP="00A034AF">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034AF" w:rsidRDefault="00A034AF" w:rsidP="00A034AF">
      <w:pPr>
        <w:tabs>
          <w:tab w:val="left" w:pos="851"/>
        </w:tabs>
        <w:ind w:left="851"/>
        <w:rPr>
          <w:sz w:val="24"/>
          <w:szCs w:val="24"/>
        </w:rPr>
      </w:pPr>
      <w:r>
        <w:rPr>
          <w:sz w:val="24"/>
          <w:szCs w:val="24"/>
        </w:rPr>
        <w:t xml:space="preserve">Brevet er fremstillet af papir, </w:t>
      </w:r>
      <w:proofErr w:type="spellStart"/>
      <w:r>
        <w:rPr>
          <w:sz w:val="24"/>
          <w:szCs w:val="24"/>
        </w:rPr>
        <w:t>polyethylen</w:t>
      </w:r>
      <w:proofErr w:type="spellEnd"/>
      <w:r>
        <w:rPr>
          <w:sz w:val="24"/>
          <w:szCs w:val="24"/>
        </w:rPr>
        <w:t xml:space="preserve"> og aluminium</w:t>
      </w:r>
    </w:p>
    <w:p w:rsidR="00A034AF" w:rsidRDefault="00A034AF" w:rsidP="00A034AF">
      <w:pPr>
        <w:tabs>
          <w:tab w:val="left" w:pos="851"/>
        </w:tabs>
        <w:ind w:left="851"/>
        <w:rPr>
          <w:sz w:val="24"/>
          <w:szCs w:val="24"/>
        </w:rPr>
      </w:pPr>
      <w:r>
        <w:rPr>
          <w:sz w:val="24"/>
          <w:szCs w:val="24"/>
        </w:rPr>
        <w:t>Brevene med 13,7 g pulver er pakket i æsker med 2, 6, 8, 10, 20, 30, 50, 60 (2x30) og 100 (2x50).</w:t>
      </w:r>
    </w:p>
    <w:p w:rsidR="00A034AF" w:rsidRDefault="00A034AF" w:rsidP="00A034AF">
      <w:pPr>
        <w:tabs>
          <w:tab w:val="left" w:pos="851"/>
        </w:tabs>
        <w:ind w:left="851"/>
        <w:rPr>
          <w:sz w:val="24"/>
          <w:szCs w:val="24"/>
        </w:rPr>
      </w:pPr>
    </w:p>
    <w:p w:rsidR="00A034AF" w:rsidRDefault="00A034AF" w:rsidP="00A034AF">
      <w:pPr>
        <w:tabs>
          <w:tab w:val="left" w:pos="851"/>
        </w:tabs>
        <w:ind w:left="851"/>
        <w:rPr>
          <w:sz w:val="24"/>
          <w:szCs w:val="24"/>
        </w:rPr>
      </w:pPr>
      <w:r>
        <w:rPr>
          <w:sz w:val="24"/>
          <w:szCs w:val="24"/>
        </w:rPr>
        <w:t>Ikke alle pakningsstørrelser er nødvendigvis markedsført.</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034AF" w:rsidRDefault="00A034AF" w:rsidP="00A034AF">
      <w:pPr>
        <w:pStyle w:val="Text"/>
        <w:ind w:left="851"/>
        <w:rPr>
          <w:sz w:val="24"/>
          <w:szCs w:val="24"/>
          <w:lang w:val="da-DK"/>
        </w:rPr>
      </w:pPr>
      <w:r>
        <w:rPr>
          <w:sz w:val="24"/>
          <w:szCs w:val="24"/>
          <w:lang w:val="da-DK"/>
        </w:rPr>
        <w:t>Ikke anvendt opløsning skal bortskaffes efter 24 timer.</w:t>
      </w:r>
    </w:p>
    <w:p w:rsidR="00A034AF" w:rsidRDefault="00A034AF" w:rsidP="00A034AF">
      <w:pPr>
        <w:pStyle w:val="Text"/>
        <w:ind w:left="851"/>
        <w:rPr>
          <w:sz w:val="24"/>
          <w:szCs w:val="24"/>
          <w:lang w:val="da-DK"/>
        </w:rPr>
      </w:pPr>
    </w:p>
    <w:p w:rsidR="00A034AF" w:rsidRDefault="00A034AF" w:rsidP="00A034AF">
      <w:pPr>
        <w:pStyle w:val="Text"/>
        <w:ind w:left="851"/>
        <w:rPr>
          <w:sz w:val="24"/>
          <w:szCs w:val="24"/>
          <w:lang w:val="da-DK"/>
        </w:rPr>
      </w:pPr>
      <w:r>
        <w:rPr>
          <w:sz w:val="24"/>
          <w:szCs w:val="24"/>
          <w:lang w:val="da-DK"/>
        </w:rPr>
        <w:t>Ikke anvendt lægemiddel samt affald heraf skal bortskaffes i henhold til lokale retningslinjer.</w:t>
      </w:r>
    </w:p>
    <w:p w:rsidR="00A034AF" w:rsidRDefault="00A034AF" w:rsidP="00A034AF">
      <w:pPr>
        <w:pStyle w:val="Text"/>
        <w:ind w:left="851"/>
        <w:rPr>
          <w:sz w:val="24"/>
          <w:szCs w:val="24"/>
          <w:lang w:val="da-DK"/>
        </w:rPr>
      </w:pPr>
    </w:p>
    <w:p w:rsidR="00960295" w:rsidRPr="00C84483" w:rsidRDefault="00960295" w:rsidP="0096029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0295" w:rsidRPr="00320B75" w:rsidRDefault="00960295" w:rsidP="00960295">
      <w:pPr>
        <w:tabs>
          <w:tab w:val="left" w:pos="851"/>
        </w:tabs>
        <w:ind w:left="851"/>
        <w:rPr>
          <w:sz w:val="24"/>
          <w:szCs w:val="24"/>
        </w:rPr>
      </w:pPr>
      <w:r w:rsidRPr="00320B75">
        <w:rPr>
          <w:sz w:val="24"/>
          <w:szCs w:val="24"/>
        </w:rPr>
        <w:t>Sandoz A/S</w:t>
      </w:r>
    </w:p>
    <w:p w:rsidR="00960295" w:rsidRPr="00754474" w:rsidRDefault="00960295" w:rsidP="00960295">
      <w:pPr>
        <w:tabs>
          <w:tab w:val="left" w:pos="851"/>
        </w:tabs>
        <w:ind w:left="851"/>
        <w:rPr>
          <w:sz w:val="24"/>
          <w:szCs w:val="24"/>
        </w:rPr>
      </w:pPr>
      <w:r w:rsidRPr="00754474">
        <w:rPr>
          <w:sz w:val="24"/>
          <w:szCs w:val="24"/>
        </w:rPr>
        <w:t>Edvard Thomsens Vej 14</w:t>
      </w:r>
    </w:p>
    <w:p w:rsidR="00960295" w:rsidRDefault="00960295" w:rsidP="00960295">
      <w:pPr>
        <w:tabs>
          <w:tab w:val="left" w:pos="851"/>
        </w:tabs>
        <w:ind w:left="851"/>
        <w:rPr>
          <w:sz w:val="24"/>
          <w:szCs w:val="24"/>
        </w:rPr>
      </w:pPr>
      <w:r>
        <w:rPr>
          <w:sz w:val="24"/>
          <w:szCs w:val="24"/>
        </w:rPr>
        <w:t>2300 København S</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60295" w:rsidRPr="00C84483" w:rsidRDefault="00960295" w:rsidP="00960295">
      <w:pPr>
        <w:tabs>
          <w:tab w:val="left" w:pos="851"/>
        </w:tabs>
        <w:ind w:left="851"/>
        <w:rPr>
          <w:sz w:val="24"/>
          <w:szCs w:val="24"/>
        </w:rPr>
      </w:pPr>
      <w:r>
        <w:rPr>
          <w:sz w:val="24"/>
          <w:szCs w:val="24"/>
        </w:rPr>
        <w:t>61350</w:t>
      </w:r>
    </w:p>
    <w:p w:rsidR="00960295" w:rsidRPr="00C84483" w:rsidRDefault="00960295" w:rsidP="00960295">
      <w:pPr>
        <w:tabs>
          <w:tab w:val="left" w:pos="851"/>
        </w:tabs>
        <w:ind w:left="851"/>
        <w:jc w:val="both"/>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60295" w:rsidRPr="00C84483" w:rsidRDefault="00960295" w:rsidP="00960295">
      <w:pPr>
        <w:tabs>
          <w:tab w:val="left" w:pos="851"/>
        </w:tabs>
        <w:ind w:left="851"/>
        <w:rPr>
          <w:sz w:val="24"/>
          <w:szCs w:val="24"/>
        </w:rPr>
      </w:pPr>
      <w:r>
        <w:rPr>
          <w:sz w:val="24"/>
          <w:szCs w:val="24"/>
        </w:rPr>
        <w:t>12. oktober 2010 (</w:t>
      </w:r>
      <w:proofErr w:type="spellStart"/>
      <w:r>
        <w:rPr>
          <w:sz w:val="24"/>
          <w:szCs w:val="24"/>
        </w:rPr>
        <w:t>Gangiden</w:t>
      </w:r>
      <w:proofErr w:type="spellEnd"/>
      <w:r>
        <w:rPr>
          <w:sz w:val="24"/>
          <w:szCs w:val="24"/>
        </w:rPr>
        <w:t>, pulver til oral opløsning)</w:t>
      </w:r>
    </w:p>
    <w:p w:rsidR="00960295" w:rsidRPr="00C84483" w:rsidRDefault="00960295" w:rsidP="00960295">
      <w:pPr>
        <w:tabs>
          <w:tab w:val="left" w:pos="851"/>
        </w:tabs>
        <w:ind w:left="851"/>
        <w:rPr>
          <w:sz w:val="24"/>
          <w:szCs w:val="24"/>
        </w:rPr>
      </w:pPr>
    </w:p>
    <w:p w:rsidR="00960295" w:rsidRPr="00C84483" w:rsidRDefault="00960295" w:rsidP="0096029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60295" w:rsidRPr="00884195" w:rsidRDefault="00A22F3D" w:rsidP="00A22F3D">
      <w:pPr>
        <w:ind w:firstLine="851"/>
      </w:pPr>
      <w:r w:rsidRPr="00A22F3D">
        <w:rPr>
          <w:sz w:val="24"/>
          <w:szCs w:val="24"/>
        </w:rPr>
        <w:t>14. juli 2022</w:t>
      </w:r>
    </w:p>
    <w:p w:rsidR="00960295" w:rsidRPr="00150CFF" w:rsidRDefault="00960295" w:rsidP="00960295"/>
    <w:p w:rsidR="009260DE" w:rsidRPr="00960295" w:rsidRDefault="009260DE" w:rsidP="00960295"/>
    <w:sectPr w:rsidR="009260DE" w:rsidRPr="0096029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295" w:rsidRDefault="00960295">
      <w:r>
        <w:separator/>
      </w:r>
    </w:p>
  </w:endnote>
  <w:endnote w:type="continuationSeparator" w:id="0">
    <w:p w:rsidR="00960295" w:rsidRDefault="0096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7D25">
      <w:rPr>
        <w:i/>
        <w:noProof/>
        <w:sz w:val="18"/>
        <w:szCs w:val="18"/>
      </w:rPr>
      <w:t>Gangiden Neutral, pulver til oral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295" w:rsidRDefault="00960295">
      <w:r>
        <w:separator/>
      </w:r>
    </w:p>
  </w:footnote>
  <w:footnote w:type="continuationSeparator" w:id="0">
    <w:p w:rsidR="00960295" w:rsidRDefault="0096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6F785A"/>
    <w:multiLevelType w:val="hybridMultilevel"/>
    <w:tmpl w:val="D722D17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95"/>
    <w:rsid w:val="000259B9"/>
    <w:rsid w:val="00041491"/>
    <w:rsid w:val="00046236"/>
    <w:rsid w:val="00050D16"/>
    <w:rsid w:val="00074F2A"/>
    <w:rsid w:val="000A1CA8"/>
    <w:rsid w:val="000A466B"/>
    <w:rsid w:val="000B058C"/>
    <w:rsid w:val="000E4EE6"/>
    <w:rsid w:val="001046B3"/>
    <w:rsid w:val="001454E2"/>
    <w:rsid w:val="00206CE8"/>
    <w:rsid w:val="0021526C"/>
    <w:rsid w:val="00283A2B"/>
    <w:rsid w:val="002B30AD"/>
    <w:rsid w:val="002C2C01"/>
    <w:rsid w:val="00331C9B"/>
    <w:rsid w:val="003A29AE"/>
    <w:rsid w:val="003A32D7"/>
    <w:rsid w:val="003B4074"/>
    <w:rsid w:val="003C769A"/>
    <w:rsid w:val="003F1838"/>
    <w:rsid w:val="0045746C"/>
    <w:rsid w:val="004663EB"/>
    <w:rsid w:val="0049104B"/>
    <w:rsid w:val="004E3B12"/>
    <w:rsid w:val="00532310"/>
    <w:rsid w:val="00560ECC"/>
    <w:rsid w:val="00565F0F"/>
    <w:rsid w:val="00591FBE"/>
    <w:rsid w:val="00594A86"/>
    <w:rsid w:val="00596D86"/>
    <w:rsid w:val="005C2663"/>
    <w:rsid w:val="006064B1"/>
    <w:rsid w:val="00637F5A"/>
    <w:rsid w:val="006560B1"/>
    <w:rsid w:val="006756DD"/>
    <w:rsid w:val="00737275"/>
    <w:rsid w:val="00740EEC"/>
    <w:rsid w:val="0078011A"/>
    <w:rsid w:val="00782AF4"/>
    <w:rsid w:val="00790EE7"/>
    <w:rsid w:val="007B6649"/>
    <w:rsid w:val="0081546F"/>
    <w:rsid w:val="0082576E"/>
    <w:rsid w:val="008F74AB"/>
    <w:rsid w:val="00907F75"/>
    <w:rsid w:val="009260DE"/>
    <w:rsid w:val="0093258A"/>
    <w:rsid w:val="00960295"/>
    <w:rsid w:val="009C7BA3"/>
    <w:rsid w:val="009D1F5A"/>
    <w:rsid w:val="00A034AF"/>
    <w:rsid w:val="00A22F3D"/>
    <w:rsid w:val="00B003BF"/>
    <w:rsid w:val="00B25D8D"/>
    <w:rsid w:val="00B373D7"/>
    <w:rsid w:val="00C36276"/>
    <w:rsid w:val="00C42586"/>
    <w:rsid w:val="00C60CCD"/>
    <w:rsid w:val="00C84483"/>
    <w:rsid w:val="00C87E40"/>
    <w:rsid w:val="00C95551"/>
    <w:rsid w:val="00CB20D7"/>
    <w:rsid w:val="00D020B0"/>
    <w:rsid w:val="00D11748"/>
    <w:rsid w:val="00D366CF"/>
    <w:rsid w:val="00DA16F1"/>
    <w:rsid w:val="00E108AA"/>
    <w:rsid w:val="00E1292A"/>
    <w:rsid w:val="00E31812"/>
    <w:rsid w:val="00E3749A"/>
    <w:rsid w:val="00E7437F"/>
    <w:rsid w:val="00E865B8"/>
    <w:rsid w:val="00EC0B9B"/>
    <w:rsid w:val="00ED5E9F"/>
    <w:rsid w:val="00EE7D25"/>
    <w:rsid w:val="00F66D4F"/>
    <w:rsid w:val="00FB6D01"/>
    <w:rsid w:val="00FE0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63C9D"/>
  <w15:chartTrackingRefBased/>
  <w15:docId w15:val="{E0FACE7A-6EB8-4A88-AA05-8753426D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60295"/>
    <w:pPr>
      <w:ind w:left="720"/>
      <w:contextualSpacing/>
    </w:pPr>
    <w:rPr>
      <w:sz w:val="22"/>
    </w:rPr>
  </w:style>
  <w:style w:type="paragraph" w:customStyle="1" w:styleId="Text">
    <w:name w:val="Text"/>
    <w:basedOn w:val="Normal"/>
    <w:rsid w:val="00960295"/>
    <w:pPr>
      <w:snapToGrid w:val="0"/>
      <w:spacing w:line="240" w:lineRule="atLeast"/>
    </w:pPr>
    <w:rPr>
      <w:sz w:val="22"/>
      <w:szCs w:val="22"/>
      <w:lang w:val="de-DE"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146508">
      <w:bodyDiv w:val="1"/>
      <w:marLeft w:val="0"/>
      <w:marRight w:val="0"/>
      <w:marTop w:val="0"/>
      <w:marBottom w:val="0"/>
      <w:divBdr>
        <w:top w:val="none" w:sz="0" w:space="0" w:color="auto"/>
        <w:left w:val="none" w:sz="0" w:space="0" w:color="auto"/>
        <w:bottom w:val="none" w:sz="0" w:space="0" w:color="auto"/>
        <w:right w:val="none" w:sz="0" w:space="0" w:color="auto"/>
      </w:divBdr>
    </w:div>
    <w:div w:id="769662487">
      <w:bodyDiv w:val="1"/>
      <w:marLeft w:val="0"/>
      <w:marRight w:val="0"/>
      <w:marTop w:val="0"/>
      <w:marBottom w:val="0"/>
      <w:divBdr>
        <w:top w:val="none" w:sz="0" w:space="0" w:color="auto"/>
        <w:left w:val="none" w:sz="0" w:space="0" w:color="auto"/>
        <w:bottom w:val="none" w:sz="0" w:space="0" w:color="auto"/>
        <w:right w:val="none" w:sz="0" w:space="0" w:color="auto"/>
      </w:divBdr>
    </w:div>
    <w:div w:id="848560815">
      <w:bodyDiv w:val="1"/>
      <w:marLeft w:val="0"/>
      <w:marRight w:val="0"/>
      <w:marTop w:val="0"/>
      <w:marBottom w:val="0"/>
      <w:divBdr>
        <w:top w:val="none" w:sz="0" w:space="0" w:color="auto"/>
        <w:left w:val="none" w:sz="0" w:space="0" w:color="auto"/>
        <w:bottom w:val="none" w:sz="0" w:space="0" w:color="auto"/>
        <w:right w:val="none" w:sz="0" w:space="0" w:color="auto"/>
      </w:divBdr>
    </w:div>
    <w:div w:id="903832780">
      <w:bodyDiv w:val="1"/>
      <w:marLeft w:val="0"/>
      <w:marRight w:val="0"/>
      <w:marTop w:val="0"/>
      <w:marBottom w:val="0"/>
      <w:divBdr>
        <w:top w:val="none" w:sz="0" w:space="0" w:color="auto"/>
        <w:left w:val="none" w:sz="0" w:space="0" w:color="auto"/>
        <w:bottom w:val="none" w:sz="0" w:space="0" w:color="auto"/>
        <w:right w:val="none" w:sz="0" w:space="0" w:color="auto"/>
      </w:divBdr>
    </w:div>
    <w:div w:id="909733307">
      <w:bodyDiv w:val="1"/>
      <w:marLeft w:val="0"/>
      <w:marRight w:val="0"/>
      <w:marTop w:val="0"/>
      <w:marBottom w:val="0"/>
      <w:divBdr>
        <w:top w:val="none" w:sz="0" w:space="0" w:color="auto"/>
        <w:left w:val="none" w:sz="0" w:space="0" w:color="auto"/>
        <w:bottom w:val="none" w:sz="0" w:space="0" w:color="auto"/>
        <w:right w:val="none" w:sz="0" w:space="0" w:color="auto"/>
      </w:divBdr>
    </w:div>
    <w:div w:id="1558511814">
      <w:bodyDiv w:val="1"/>
      <w:marLeft w:val="0"/>
      <w:marRight w:val="0"/>
      <w:marTop w:val="0"/>
      <w:marBottom w:val="0"/>
      <w:divBdr>
        <w:top w:val="none" w:sz="0" w:space="0" w:color="auto"/>
        <w:left w:val="none" w:sz="0" w:space="0" w:color="auto"/>
        <w:bottom w:val="none" w:sz="0" w:space="0" w:color="auto"/>
        <w:right w:val="none" w:sz="0" w:space="0" w:color="auto"/>
      </w:divBdr>
    </w:div>
    <w:div w:id="1811242533">
      <w:bodyDiv w:val="1"/>
      <w:marLeft w:val="0"/>
      <w:marRight w:val="0"/>
      <w:marTop w:val="0"/>
      <w:marBottom w:val="0"/>
      <w:divBdr>
        <w:top w:val="none" w:sz="0" w:space="0" w:color="auto"/>
        <w:left w:val="none" w:sz="0" w:space="0" w:color="auto"/>
        <w:bottom w:val="none" w:sz="0" w:space="0" w:color="auto"/>
        <w:right w:val="none" w:sz="0" w:space="0" w:color="auto"/>
      </w:divBdr>
    </w:div>
    <w:div w:id="19022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7</Pages>
  <Words>1846</Words>
  <Characters>11708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Louise Støvring Alanin</dc:creator>
  <cp:keywords/>
  <dc:description>2021113732_x000d_
SPC pkt. 4.4, 4.5</dc:description>
  <cp:lastModifiedBy>Louise Støvring Corneliussen</cp:lastModifiedBy>
  <cp:revision>3</cp:revision>
  <cp:lastPrinted>2012-08-22T08:53:00Z</cp:lastPrinted>
  <dcterms:created xsi:type="dcterms:W3CDTF">2022-07-12T06:27:00Z</dcterms:created>
  <dcterms:modified xsi:type="dcterms:W3CDTF">2022-07-12T06:30:00Z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