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F09E0" w14:textId="784F1F7C" w:rsidR="009260DE" w:rsidRPr="00392DD6" w:rsidRDefault="0021526C" w:rsidP="009260DE">
      <w:pPr>
        <w:rPr>
          <w:sz w:val="24"/>
          <w:szCs w:val="24"/>
        </w:rPr>
      </w:pPr>
      <w:r w:rsidRPr="00392DD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7676DA5D" wp14:editId="48A412B4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392DD6">
        <w:rPr>
          <w:sz w:val="24"/>
          <w:szCs w:val="24"/>
        </w:rPr>
        <w:br w:type="textWrapping" w:clear="all"/>
      </w:r>
    </w:p>
    <w:p w14:paraId="5E9BA147" w14:textId="2AA6A61C" w:rsidR="009260DE" w:rsidRPr="00D410A7" w:rsidRDefault="009260DE" w:rsidP="009260DE">
      <w:pPr>
        <w:pStyle w:val="Titel"/>
        <w:tabs>
          <w:tab w:val="right" w:pos="9356"/>
        </w:tabs>
        <w:jc w:val="left"/>
        <w:rPr>
          <w:szCs w:val="24"/>
          <w:lang w:eastAsia="en-US"/>
        </w:rPr>
      </w:pPr>
      <w:r w:rsidRPr="00392DD6">
        <w:rPr>
          <w:b w:val="0"/>
          <w:szCs w:val="24"/>
          <w:lang w:eastAsia="en-US"/>
        </w:rPr>
        <w:tab/>
      </w:r>
      <w:r w:rsidR="00D410A7" w:rsidRPr="00D410A7">
        <w:rPr>
          <w:szCs w:val="24"/>
          <w:lang w:eastAsia="en-US"/>
        </w:rPr>
        <w:t>11. november 2024</w:t>
      </w:r>
    </w:p>
    <w:p w14:paraId="1386F77D" w14:textId="77777777" w:rsidR="009260DE" w:rsidRPr="00392DD6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3BD12FF5" w14:textId="77777777" w:rsidR="009260DE" w:rsidRPr="00392DD6" w:rsidRDefault="009260DE" w:rsidP="009260DE">
      <w:pPr>
        <w:pStyle w:val="Titel"/>
        <w:jc w:val="left"/>
        <w:rPr>
          <w:b w:val="0"/>
          <w:szCs w:val="24"/>
        </w:rPr>
      </w:pPr>
    </w:p>
    <w:p w14:paraId="632990A9" w14:textId="77777777" w:rsidR="009260DE" w:rsidRPr="00392DD6" w:rsidRDefault="009260DE" w:rsidP="009260DE">
      <w:pPr>
        <w:pStyle w:val="Titel"/>
        <w:jc w:val="left"/>
        <w:rPr>
          <w:b w:val="0"/>
          <w:szCs w:val="24"/>
        </w:rPr>
      </w:pPr>
    </w:p>
    <w:p w14:paraId="4C9F883F" w14:textId="77777777" w:rsidR="009260DE" w:rsidRPr="00392DD6" w:rsidRDefault="009260DE" w:rsidP="009260DE">
      <w:pPr>
        <w:jc w:val="center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PRODUKTRESUMÉ</w:t>
      </w:r>
    </w:p>
    <w:p w14:paraId="1F3AC576" w14:textId="77777777" w:rsidR="009260DE" w:rsidRPr="00392DD6" w:rsidRDefault="009260DE" w:rsidP="009260DE">
      <w:pPr>
        <w:jc w:val="center"/>
        <w:rPr>
          <w:b/>
          <w:sz w:val="24"/>
          <w:szCs w:val="24"/>
        </w:rPr>
      </w:pPr>
    </w:p>
    <w:p w14:paraId="2CB5FAEA" w14:textId="77777777" w:rsidR="009260DE" w:rsidRPr="00392DD6" w:rsidRDefault="009260DE" w:rsidP="009260DE">
      <w:pPr>
        <w:jc w:val="center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for</w:t>
      </w:r>
    </w:p>
    <w:p w14:paraId="5C679B94" w14:textId="77777777" w:rsidR="000B058C" w:rsidRPr="00392DD6" w:rsidRDefault="000B058C" w:rsidP="009260DE">
      <w:pPr>
        <w:jc w:val="center"/>
        <w:rPr>
          <w:b/>
          <w:sz w:val="24"/>
          <w:szCs w:val="24"/>
        </w:rPr>
      </w:pPr>
    </w:p>
    <w:p w14:paraId="0DC85BEE" w14:textId="1D0736AD" w:rsidR="009260DE" w:rsidRPr="00392DD6" w:rsidRDefault="00B82925" w:rsidP="009260DE">
      <w:pPr>
        <w:jc w:val="center"/>
        <w:rPr>
          <w:b/>
          <w:sz w:val="24"/>
          <w:szCs w:val="24"/>
        </w:rPr>
      </w:pPr>
      <w:proofErr w:type="spellStart"/>
      <w:r w:rsidRPr="00392DD6">
        <w:rPr>
          <w:b/>
          <w:sz w:val="24"/>
          <w:szCs w:val="24"/>
        </w:rPr>
        <w:t>Ganirelix</w:t>
      </w:r>
      <w:proofErr w:type="spellEnd"/>
      <w:r w:rsidRPr="00392DD6">
        <w:rPr>
          <w:b/>
          <w:sz w:val="24"/>
          <w:szCs w:val="24"/>
        </w:rPr>
        <w:t xml:space="preserve"> "</w:t>
      </w:r>
      <w:proofErr w:type="spellStart"/>
      <w:r w:rsidRPr="00392DD6">
        <w:rPr>
          <w:b/>
          <w:sz w:val="24"/>
          <w:szCs w:val="24"/>
        </w:rPr>
        <w:t>Orifarm</w:t>
      </w:r>
      <w:proofErr w:type="spellEnd"/>
      <w:r w:rsidRPr="00392DD6">
        <w:rPr>
          <w:b/>
          <w:sz w:val="24"/>
          <w:szCs w:val="24"/>
        </w:rPr>
        <w:t>", injektionsvæske, opløsning i fyldt injektionssprøjte</w:t>
      </w:r>
    </w:p>
    <w:p w14:paraId="5A7B60CC" w14:textId="77777777" w:rsidR="009260DE" w:rsidRPr="00392DD6" w:rsidRDefault="009260DE" w:rsidP="009260DE">
      <w:pPr>
        <w:jc w:val="both"/>
        <w:rPr>
          <w:sz w:val="24"/>
          <w:szCs w:val="24"/>
        </w:rPr>
      </w:pPr>
    </w:p>
    <w:p w14:paraId="4A3D59CF" w14:textId="77777777" w:rsidR="009260DE" w:rsidRPr="00392DD6" w:rsidRDefault="009260DE" w:rsidP="009260DE">
      <w:pPr>
        <w:jc w:val="both"/>
        <w:rPr>
          <w:sz w:val="24"/>
          <w:szCs w:val="24"/>
        </w:rPr>
      </w:pPr>
    </w:p>
    <w:p w14:paraId="2EAB4306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0.</w:t>
      </w:r>
      <w:r w:rsidRPr="00392DD6">
        <w:rPr>
          <w:b/>
          <w:sz w:val="24"/>
          <w:szCs w:val="24"/>
        </w:rPr>
        <w:tab/>
        <w:t>D.SP.NR.</w:t>
      </w:r>
    </w:p>
    <w:p w14:paraId="7B371B70" w14:textId="3D362A34" w:rsidR="009260DE" w:rsidRPr="00392DD6" w:rsidRDefault="00B82925" w:rsidP="009260DE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>32168</w:t>
      </w:r>
    </w:p>
    <w:p w14:paraId="0C2484DD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009B86C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1.</w:t>
      </w:r>
      <w:r w:rsidRPr="00392DD6">
        <w:rPr>
          <w:b/>
          <w:sz w:val="24"/>
          <w:szCs w:val="24"/>
        </w:rPr>
        <w:tab/>
        <w:t>LÆGEMIDLETS NAVN</w:t>
      </w:r>
    </w:p>
    <w:p w14:paraId="3FF4F288" w14:textId="5376A2B0" w:rsidR="009260DE" w:rsidRPr="00392DD6" w:rsidRDefault="00B82925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92DD6">
        <w:rPr>
          <w:sz w:val="24"/>
          <w:szCs w:val="24"/>
        </w:rPr>
        <w:t>Ganirelix</w:t>
      </w:r>
      <w:proofErr w:type="spellEnd"/>
      <w:r w:rsidRPr="00392DD6">
        <w:rPr>
          <w:sz w:val="24"/>
          <w:szCs w:val="24"/>
        </w:rPr>
        <w:t xml:space="preserve"> "</w:t>
      </w:r>
      <w:proofErr w:type="spellStart"/>
      <w:r w:rsidRPr="00392DD6">
        <w:rPr>
          <w:sz w:val="24"/>
          <w:szCs w:val="24"/>
        </w:rPr>
        <w:t>Orifarm</w:t>
      </w:r>
      <w:proofErr w:type="spellEnd"/>
      <w:r w:rsidRPr="00392DD6">
        <w:rPr>
          <w:sz w:val="24"/>
          <w:szCs w:val="24"/>
        </w:rPr>
        <w:t>"</w:t>
      </w:r>
    </w:p>
    <w:p w14:paraId="33092971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87AC52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2.</w:t>
      </w:r>
      <w:r w:rsidRPr="00392DD6">
        <w:rPr>
          <w:b/>
          <w:sz w:val="24"/>
          <w:szCs w:val="24"/>
        </w:rPr>
        <w:tab/>
        <w:t>KVALITATIV OG KVANTITATIV SAMMENSÆTNING</w:t>
      </w:r>
    </w:p>
    <w:p w14:paraId="45429941" w14:textId="77777777" w:rsidR="00C866F4" w:rsidRPr="00392DD6" w:rsidRDefault="00C866F4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392DD6">
        <w:rPr>
          <w:rFonts w:eastAsia="TimesNewRoman"/>
          <w:sz w:val="24"/>
          <w:szCs w:val="24"/>
        </w:rPr>
        <w:t xml:space="preserve">Hver af de fyldte sprøjter indeholder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acetat svarende til 0,25 mg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i 0,5 ml vandig opløsning. Det aktive lægemiddelstof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(som acetat) (INN) er et syntetisk </w:t>
      </w:r>
      <w:proofErr w:type="spellStart"/>
      <w:r w:rsidRPr="00392DD6">
        <w:rPr>
          <w:rFonts w:eastAsia="TimesNewRoman"/>
          <w:sz w:val="24"/>
          <w:szCs w:val="24"/>
        </w:rPr>
        <w:t>decapeptid</w:t>
      </w:r>
      <w:proofErr w:type="spellEnd"/>
      <w:r w:rsidRPr="00392DD6">
        <w:rPr>
          <w:rFonts w:eastAsia="TimesNewRoman"/>
          <w:sz w:val="24"/>
          <w:szCs w:val="24"/>
        </w:rPr>
        <w:t xml:space="preserve">, som har høj antagonistisk aktivitet med det naturligt forekommende </w:t>
      </w:r>
      <w:proofErr w:type="spellStart"/>
      <w:r w:rsidRPr="00392DD6">
        <w:rPr>
          <w:rFonts w:eastAsia="TimesNewRoman"/>
          <w:sz w:val="24"/>
          <w:szCs w:val="24"/>
        </w:rPr>
        <w:t>gonadotropinfrigivende</w:t>
      </w:r>
      <w:proofErr w:type="spellEnd"/>
      <w:r w:rsidRPr="00392DD6">
        <w:rPr>
          <w:rFonts w:eastAsia="TimesNewRoman"/>
          <w:sz w:val="24"/>
          <w:szCs w:val="24"/>
        </w:rPr>
        <w:t xml:space="preserve"> hormon (</w:t>
      </w:r>
      <w:proofErr w:type="spellStart"/>
      <w:r w:rsidRPr="00392DD6">
        <w:rPr>
          <w:rFonts w:eastAsia="TimesNewRoman"/>
          <w:sz w:val="24"/>
          <w:szCs w:val="24"/>
        </w:rPr>
        <w:t>GnRH</w:t>
      </w:r>
      <w:proofErr w:type="spellEnd"/>
      <w:r w:rsidRPr="00392DD6">
        <w:rPr>
          <w:rFonts w:eastAsia="TimesNewRoman"/>
          <w:sz w:val="24"/>
          <w:szCs w:val="24"/>
        </w:rPr>
        <w:t xml:space="preserve">). Aminosyrerne i positionerne 1, 2, 3, 6, 8 og 10 i det naturlige </w:t>
      </w:r>
      <w:proofErr w:type="spellStart"/>
      <w:r w:rsidRPr="00392DD6">
        <w:rPr>
          <w:rFonts w:eastAsia="TimesNewRoman"/>
          <w:sz w:val="24"/>
          <w:szCs w:val="24"/>
        </w:rPr>
        <w:t>GnRH</w:t>
      </w:r>
      <w:proofErr w:type="spellEnd"/>
      <w:r w:rsidRPr="00392DD6">
        <w:rPr>
          <w:rFonts w:eastAsia="TimesNewRoman"/>
          <w:sz w:val="24"/>
          <w:szCs w:val="24"/>
        </w:rPr>
        <w:t xml:space="preserve"> </w:t>
      </w:r>
      <w:proofErr w:type="spellStart"/>
      <w:r w:rsidRPr="00392DD6">
        <w:rPr>
          <w:rFonts w:eastAsia="TimesNewRoman"/>
          <w:sz w:val="24"/>
          <w:szCs w:val="24"/>
        </w:rPr>
        <w:t>decapeptid</w:t>
      </w:r>
      <w:proofErr w:type="spellEnd"/>
      <w:r w:rsidRPr="00392DD6">
        <w:rPr>
          <w:rFonts w:eastAsia="TimesNewRoman"/>
          <w:sz w:val="24"/>
          <w:szCs w:val="24"/>
        </w:rPr>
        <w:t xml:space="preserve"> er erstattet og det endelige molekyle bliver N-Ac-D-</w:t>
      </w:r>
      <w:proofErr w:type="gramStart"/>
      <w:r w:rsidRPr="00392DD6">
        <w:rPr>
          <w:rFonts w:eastAsia="TimesNewRoman"/>
          <w:sz w:val="24"/>
          <w:szCs w:val="24"/>
        </w:rPr>
        <w:t>Nal(</w:t>
      </w:r>
      <w:proofErr w:type="gramEnd"/>
      <w:r w:rsidRPr="00392DD6">
        <w:rPr>
          <w:rFonts w:eastAsia="TimesNewRoman"/>
          <w:sz w:val="24"/>
          <w:szCs w:val="24"/>
        </w:rPr>
        <w:t>2)</w:t>
      </w:r>
      <w:r w:rsidRPr="00392DD6">
        <w:rPr>
          <w:rFonts w:eastAsia="TimesNewRoman"/>
          <w:sz w:val="24"/>
          <w:szCs w:val="24"/>
          <w:vertAlign w:val="superscript"/>
        </w:rPr>
        <w:t>1</w:t>
      </w:r>
      <w:r w:rsidRPr="00392DD6">
        <w:rPr>
          <w:rFonts w:eastAsia="TimesNewRoman"/>
          <w:sz w:val="24"/>
          <w:szCs w:val="24"/>
        </w:rPr>
        <w:t>, DpC1Phe</w:t>
      </w:r>
      <w:r w:rsidRPr="00392DD6">
        <w:rPr>
          <w:rFonts w:eastAsia="TimesNewRoman"/>
          <w:sz w:val="24"/>
          <w:szCs w:val="24"/>
          <w:vertAlign w:val="superscript"/>
        </w:rPr>
        <w:t>2</w:t>
      </w:r>
      <w:r w:rsidRPr="00392DD6">
        <w:rPr>
          <w:rFonts w:eastAsia="TimesNewRoman"/>
          <w:sz w:val="24"/>
          <w:szCs w:val="24"/>
        </w:rPr>
        <w:t>, D-Pal(3)</w:t>
      </w:r>
      <w:r w:rsidRPr="00392DD6">
        <w:rPr>
          <w:rFonts w:eastAsia="TimesNewRoman"/>
          <w:sz w:val="24"/>
          <w:szCs w:val="24"/>
          <w:vertAlign w:val="superscript"/>
        </w:rPr>
        <w:t>3</w:t>
      </w:r>
      <w:r w:rsidRPr="00392DD6">
        <w:rPr>
          <w:rFonts w:eastAsia="TimesNewRoman"/>
          <w:sz w:val="24"/>
          <w:szCs w:val="24"/>
        </w:rPr>
        <w:t>,D-hArg(Et2)</w:t>
      </w:r>
      <w:r w:rsidRPr="00392DD6">
        <w:rPr>
          <w:rFonts w:eastAsia="TimesNewRoman"/>
          <w:sz w:val="24"/>
          <w:szCs w:val="24"/>
          <w:vertAlign w:val="superscript"/>
        </w:rPr>
        <w:t>6</w:t>
      </w:r>
      <w:r w:rsidRPr="00392DD6">
        <w:rPr>
          <w:rFonts w:eastAsia="TimesNewRoman"/>
          <w:sz w:val="24"/>
          <w:szCs w:val="24"/>
        </w:rPr>
        <w:t>, L-</w:t>
      </w:r>
      <w:proofErr w:type="spellStart"/>
      <w:r w:rsidRPr="00392DD6">
        <w:rPr>
          <w:rFonts w:eastAsia="TimesNewRoman"/>
          <w:sz w:val="24"/>
          <w:szCs w:val="24"/>
        </w:rPr>
        <w:t>hArg</w:t>
      </w:r>
      <w:proofErr w:type="spellEnd"/>
      <w:r w:rsidRPr="00392DD6">
        <w:rPr>
          <w:rFonts w:eastAsia="TimesNewRoman"/>
          <w:sz w:val="24"/>
          <w:szCs w:val="24"/>
        </w:rPr>
        <w:t>(Et2)</w:t>
      </w:r>
      <w:r w:rsidRPr="00392DD6">
        <w:rPr>
          <w:rFonts w:eastAsia="TimesNewRoman"/>
          <w:sz w:val="24"/>
          <w:szCs w:val="24"/>
          <w:vertAlign w:val="superscript"/>
        </w:rPr>
        <w:t>8</w:t>
      </w:r>
      <w:r w:rsidRPr="00392DD6">
        <w:rPr>
          <w:rFonts w:eastAsia="TimesNewRoman"/>
          <w:sz w:val="24"/>
          <w:szCs w:val="24"/>
        </w:rPr>
        <w:t>, D-Ala</w:t>
      </w:r>
      <w:r w:rsidRPr="00392DD6">
        <w:rPr>
          <w:rFonts w:eastAsia="TimesNewRoman"/>
          <w:sz w:val="24"/>
          <w:szCs w:val="24"/>
          <w:vertAlign w:val="superscript"/>
        </w:rPr>
        <w:t>10</w:t>
      </w:r>
      <w:r w:rsidRPr="00392DD6">
        <w:rPr>
          <w:rFonts w:eastAsia="TimesNewRoman"/>
          <w:sz w:val="24"/>
          <w:szCs w:val="24"/>
        </w:rPr>
        <w:t>]-</w:t>
      </w:r>
      <w:proofErr w:type="spellStart"/>
      <w:r w:rsidRPr="00392DD6">
        <w:rPr>
          <w:rFonts w:eastAsia="TimesNewRoman"/>
          <w:sz w:val="24"/>
          <w:szCs w:val="24"/>
        </w:rPr>
        <w:t>GnRH</w:t>
      </w:r>
      <w:proofErr w:type="spellEnd"/>
      <w:r w:rsidRPr="00392DD6">
        <w:rPr>
          <w:rFonts w:eastAsia="TimesNewRoman"/>
          <w:sz w:val="24"/>
          <w:szCs w:val="24"/>
        </w:rPr>
        <w:t xml:space="preserve"> med en </w:t>
      </w:r>
      <w:proofErr w:type="spellStart"/>
      <w:r w:rsidRPr="00392DD6">
        <w:rPr>
          <w:rFonts w:eastAsia="TimesNewRoman"/>
          <w:sz w:val="24"/>
          <w:szCs w:val="24"/>
        </w:rPr>
        <w:t>molekylevægt</w:t>
      </w:r>
      <w:proofErr w:type="spellEnd"/>
      <w:r w:rsidRPr="00392DD6">
        <w:rPr>
          <w:rFonts w:eastAsia="TimesNewRoman"/>
          <w:sz w:val="24"/>
          <w:szCs w:val="24"/>
        </w:rPr>
        <w:t xml:space="preserve"> på 1570,3.</w:t>
      </w:r>
    </w:p>
    <w:p w14:paraId="26FE1A79" w14:textId="77777777" w:rsidR="00C866F4" w:rsidRPr="00392DD6" w:rsidRDefault="00C866F4" w:rsidP="00983BCC">
      <w:pPr>
        <w:tabs>
          <w:tab w:val="left" w:pos="851"/>
        </w:tabs>
        <w:ind w:left="851"/>
        <w:rPr>
          <w:sz w:val="24"/>
          <w:szCs w:val="24"/>
        </w:rPr>
      </w:pPr>
    </w:p>
    <w:p w14:paraId="7D4A4ED9" w14:textId="77777777" w:rsidR="00C866F4" w:rsidRPr="00392DD6" w:rsidRDefault="00C866F4" w:rsidP="00983BCC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  <w:u w:val="single"/>
        </w:rPr>
        <w:t>Hjælpestof, som behandleren skal være opmærksom på:</w:t>
      </w:r>
    </w:p>
    <w:p w14:paraId="26BFD232" w14:textId="77777777" w:rsidR="00C866F4" w:rsidRPr="00392DD6" w:rsidRDefault="00C866F4" w:rsidP="00983BCC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>Natrium.</w:t>
      </w:r>
    </w:p>
    <w:p w14:paraId="27EF8947" w14:textId="77777777" w:rsidR="00C866F4" w:rsidRPr="00392DD6" w:rsidRDefault="00C866F4" w:rsidP="00983BCC">
      <w:pPr>
        <w:tabs>
          <w:tab w:val="left" w:pos="851"/>
        </w:tabs>
        <w:ind w:left="851"/>
        <w:rPr>
          <w:rFonts w:eastAsia="TimesNewRoman"/>
          <w:sz w:val="24"/>
          <w:szCs w:val="24"/>
        </w:rPr>
      </w:pPr>
      <w:r w:rsidRPr="00392DD6">
        <w:rPr>
          <w:sz w:val="24"/>
          <w:szCs w:val="24"/>
        </w:rPr>
        <w:t>Hver af de fyldte sprøjter indeholder &lt;1 mmol natrium.</w:t>
      </w:r>
    </w:p>
    <w:p w14:paraId="2B723CB7" w14:textId="77777777" w:rsidR="00C866F4" w:rsidRPr="00392DD6" w:rsidRDefault="00C866F4" w:rsidP="00983BCC">
      <w:pPr>
        <w:tabs>
          <w:tab w:val="left" w:pos="851"/>
        </w:tabs>
        <w:ind w:left="851"/>
        <w:rPr>
          <w:sz w:val="24"/>
          <w:szCs w:val="24"/>
        </w:rPr>
      </w:pPr>
    </w:p>
    <w:p w14:paraId="588FFCBD" w14:textId="77777777" w:rsidR="00C866F4" w:rsidRPr="00392DD6" w:rsidRDefault="00C866F4" w:rsidP="00983BCC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>Alle hjælpestoffer er anført under pkt. 6.1.</w:t>
      </w:r>
    </w:p>
    <w:p w14:paraId="5A12B92F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573843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3.</w:t>
      </w:r>
      <w:r w:rsidRPr="00392DD6">
        <w:rPr>
          <w:b/>
          <w:sz w:val="24"/>
          <w:szCs w:val="24"/>
        </w:rPr>
        <w:tab/>
        <w:t>LÆGEMIDDELFORM</w:t>
      </w:r>
    </w:p>
    <w:p w14:paraId="575E57B0" w14:textId="62A84B7E" w:rsidR="00C866F4" w:rsidRPr="00392DD6" w:rsidRDefault="00C866F4" w:rsidP="00983BCC">
      <w:pPr>
        <w:ind w:left="851"/>
        <w:rPr>
          <w:sz w:val="24"/>
          <w:szCs w:val="24"/>
          <w:lang w:eastAsia="da-DK"/>
        </w:rPr>
      </w:pPr>
      <w:r w:rsidRPr="00392DD6">
        <w:rPr>
          <w:rFonts w:eastAsia="TimesNewRoman"/>
          <w:sz w:val="24"/>
          <w:szCs w:val="24"/>
        </w:rPr>
        <w:t>Injektionsvæske, opløsning i fyldt injektionssprøjte</w:t>
      </w:r>
    </w:p>
    <w:p w14:paraId="5956D2E7" w14:textId="77777777" w:rsidR="00C866F4" w:rsidRPr="00392DD6" w:rsidRDefault="00C866F4" w:rsidP="00983BCC">
      <w:pPr>
        <w:ind w:left="851"/>
        <w:rPr>
          <w:sz w:val="24"/>
          <w:szCs w:val="24"/>
        </w:rPr>
      </w:pPr>
    </w:p>
    <w:p w14:paraId="72E5CB32" w14:textId="77777777" w:rsidR="00C866F4" w:rsidRPr="00392DD6" w:rsidRDefault="00C866F4" w:rsidP="00983BCC">
      <w:pPr>
        <w:ind w:left="851"/>
        <w:rPr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Klar og farveløs vandig opløsning med en pH mellem 4,5 og 5,5. </w:t>
      </w:r>
    </w:p>
    <w:p w14:paraId="78552D51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B86F70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C981500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4.</w:t>
      </w:r>
      <w:r w:rsidRPr="00392DD6">
        <w:rPr>
          <w:b/>
          <w:sz w:val="24"/>
          <w:szCs w:val="24"/>
        </w:rPr>
        <w:tab/>
        <w:t>KLINISKE OPLYSNINGER</w:t>
      </w:r>
    </w:p>
    <w:p w14:paraId="116A577A" w14:textId="77777777" w:rsidR="009260DE" w:rsidRPr="00392DD6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37AA98D2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92DD6">
        <w:rPr>
          <w:b/>
          <w:sz w:val="24"/>
          <w:szCs w:val="24"/>
        </w:rPr>
        <w:t>4.1</w:t>
      </w:r>
      <w:r w:rsidRPr="00392DD6">
        <w:rPr>
          <w:b/>
          <w:sz w:val="24"/>
          <w:szCs w:val="24"/>
        </w:rPr>
        <w:tab/>
        <w:t>Terapeutiske indikationer</w:t>
      </w:r>
    </w:p>
    <w:p w14:paraId="65E2B302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er indiceret til forebyggelse af præmature stigninger i </w:t>
      </w:r>
      <w:proofErr w:type="spellStart"/>
      <w:r w:rsidRPr="00392DD6">
        <w:rPr>
          <w:rFonts w:eastAsia="TimesNewRoman"/>
          <w:sz w:val="24"/>
          <w:szCs w:val="24"/>
        </w:rPr>
        <w:t>luteiniserende</w:t>
      </w:r>
      <w:proofErr w:type="spellEnd"/>
      <w:r w:rsidRPr="00392DD6">
        <w:rPr>
          <w:rFonts w:eastAsia="TimesNewRoman"/>
          <w:sz w:val="24"/>
          <w:szCs w:val="24"/>
        </w:rPr>
        <w:t xml:space="preserve"> hormon (LH) hos kvinder i kontrolleret ovarieoverstimulations-behandling (COH) i forbindelse med assisteret reproduktionsteknik (ART).</w:t>
      </w:r>
    </w:p>
    <w:p w14:paraId="44FA4159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4FA9C334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lastRenderedPageBreak/>
        <w:t xml:space="preserve">I kliniske studier blev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anvendt sammen med </w:t>
      </w:r>
      <w:proofErr w:type="spellStart"/>
      <w:r w:rsidRPr="00392DD6">
        <w:rPr>
          <w:rFonts w:eastAsia="TimesNewRoman"/>
          <w:sz w:val="24"/>
          <w:szCs w:val="24"/>
        </w:rPr>
        <w:t>rekombinant</w:t>
      </w:r>
      <w:proofErr w:type="spellEnd"/>
      <w:r w:rsidRPr="00392DD6">
        <w:rPr>
          <w:rFonts w:eastAsia="TimesNewRoman"/>
          <w:sz w:val="24"/>
          <w:szCs w:val="24"/>
        </w:rPr>
        <w:t xml:space="preserve"> humant follikelstimulerende hormon (FSH) eller </w:t>
      </w:r>
      <w:proofErr w:type="spellStart"/>
      <w:r w:rsidRPr="00392DD6">
        <w:rPr>
          <w:rFonts w:eastAsia="TimesNewRoman"/>
          <w:sz w:val="24"/>
          <w:szCs w:val="24"/>
        </w:rPr>
        <w:t>corifollitropin</w:t>
      </w:r>
      <w:proofErr w:type="spellEnd"/>
      <w:r w:rsidRPr="00392DD6">
        <w:rPr>
          <w:rFonts w:eastAsia="TimesNewRoman"/>
          <w:sz w:val="24"/>
          <w:szCs w:val="24"/>
        </w:rPr>
        <w:t xml:space="preserve"> alfa, en </w:t>
      </w:r>
      <w:proofErr w:type="spellStart"/>
      <w:r w:rsidRPr="00392DD6">
        <w:rPr>
          <w:rFonts w:eastAsia="TimesNewRoman"/>
          <w:sz w:val="24"/>
          <w:szCs w:val="24"/>
        </w:rPr>
        <w:t>follikelstimulant</w:t>
      </w:r>
      <w:proofErr w:type="spellEnd"/>
      <w:r w:rsidRPr="00392DD6">
        <w:rPr>
          <w:rFonts w:eastAsia="TimesNewRoman"/>
          <w:sz w:val="24"/>
          <w:szCs w:val="24"/>
        </w:rPr>
        <w:t xml:space="preserve"> med forlænget virkning.</w:t>
      </w:r>
    </w:p>
    <w:p w14:paraId="1BBABA19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82030F" w14:textId="705E1902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4.2</w:t>
      </w:r>
      <w:r w:rsidRPr="00392DD6">
        <w:rPr>
          <w:b/>
          <w:sz w:val="24"/>
          <w:szCs w:val="24"/>
        </w:rPr>
        <w:tab/>
        <w:t xml:space="preserve">Dosering og </w:t>
      </w:r>
      <w:r w:rsidR="004C1F89">
        <w:rPr>
          <w:b/>
          <w:sz w:val="24"/>
          <w:szCs w:val="24"/>
        </w:rPr>
        <w:t>administration</w:t>
      </w:r>
    </w:p>
    <w:p w14:paraId="265B1A0A" w14:textId="6D64FBBC" w:rsidR="005360B5" w:rsidRPr="00392DD6" w:rsidRDefault="005360B5" w:rsidP="00983BCC">
      <w:pPr>
        <w:ind w:left="851"/>
        <w:rPr>
          <w:rFonts w:eastAsia="TimesNewRoman"/>
          <w:sz w:val="24"/>
          <w:szCs w:val="24"/>
          <w:lang w:eastAsia="da-DK"/>
        </w:rPr>
      </w:pP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må kun udskrives af en speciallæge med erfaring inden for </w:t>
      </w:r>
      <w:proofErr w:type="spellStart"/>
      <w:r w:rsidRPr="00392DD6">
        <w:rPr>
          <w:rFonts w:eastAsia="TimesNewRoman"/>
          <w:sz w:val="24"/>
          <w:szCs w:val="24"/>
        </w:rPr>
        <w:t>infertilitets</w:t>
      </w:r>
      <w:r w:rsidR="00F923F6">
        <w:rPr>
          <w:rFonts w:eastAsia="TimesNewRoman"/>
          <w:sz w:val="24"/>
          <w:szCs w:val="24"/>
        </w:rPr>
        <w:softHyphen/>
      </w:r>
      <w:r w:rsidRPr="00392DD6">
        <w:rPr>
          <w:rFonts w:eastAsia="TimesNewRoman"/>
          <w:sz w:val="24"/>
          <w:szCs w:val="24"/>
        </w:rPr>
        <w:t>behandling</w:t>
      </w:r>
      <w:proofErr w:type="spellEnd"/>
      <w:r w:rsidRPr="00392DD6">
        <w:rPr>
          <w:rFonts w:eastAsia="TimesNewRoman"/>
          <w:sz w:val="24"/>
          <w:szCs w:val="24"/>
        </w:rPr>
        <w:t>.</w:t>
      </w:r>
    </w:p>
    <w:p w14:paraId="1002BE70" w14:textId="77777777" w:rsidR="005360B5" w:rsidRPr="00392DD6" w:rsidRDefault="005360B5" w:rsidP="00983BCC">
      <w:pPr>
        <w:ind w:left="851"/>
        <w:rPr>
          <w:sz w:val="24"/>
          <w:szCs w:val="24"/>
        </w:rPr>
      </w:pPr>
    </w:p>
    <w:p w14:paraId="54508921" w14:textId="77777777" w:rsidR="005360B5" w:rsidRPr="00392DD6" w:rsidRDefault="005360B5" w:rsidP="00983BCC">
      <w:pPr>
        <w:ind w:left="851"/>
        <w:rPr>
          <w:sz w:val="24"/>
          <w:szCs w:val="24"/>
          <w:u w:val="single"/>
        </w:rPr>
      </w:pPr>
      <w:r w:rsidRPr="00392DD6">
        <w:rPr>
          <w:sz w:val="24"/>
          <w:szCs w:val="24"/>
          <w:u w:val="single"/>
        </w:rPr>
        <w:t>Dosering</w:t>
      </w:r>
    </w:p>
    <w:p w14:paraId="30A9AAE7" w14:textId="561A48C4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anvendes til at forebygge præmature stigninger i LH hos kvinder i COH. Kontrolleret ovarieoverstimulation med FSH eller </w:t>
      </w:r>
      <w:proofErr w:type="spellStart"/>
      <w:r w:rsidRPr="00392DD6">
        <w:rPr>
          <w:rFonts w:eastAsia="TimesNewRoman"/>
          <w:sz w:val="24"/>
          <w:szCs w:val="24"/>
        </w:rPr>
        <w:t>corifollitropin</w:t>
      </w:r>
      <w:proofErr w:type="spellEnd"/>
      <w:r w:rsidRPr="00392DD6">
        <w:rPr>
          <w:rFonts w:eastAsia="TimesNewRoman"/>
          <w:sz w:val="24"/>
          <w:szCs w:val="24"/>
        </w:rPr>
        <w:t xml:space="preserve"> alfa kan starte på menstruationens 2. eller 3. dag.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(0,25 mg) injiceres subkutant én gang dagligt. Behandlingen med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startes på den 5. eller 6. dag med FSH-stimulation eller på den 5. eller 6. dag efter administration af </w:t>
      </w:r>
      <w:proofErr w:type="spellStart"/>
      <w:r w:rsidRPr="00392DD6">
        <w:rPr>
          <w:rFonts w:eastAsia="TimesNewRoman"/>
          <w:sz w:val="24"/>
          <w:szCs w:val="24"/>
        </w:rPr>
        <w:t>corifollitropin</w:t>
      </w:r>
      <w:proofErr w:type="spellEnd"/>
      <w:r w:rsidRPr="00392DD6">
        <w:rPr>
          <w:rFonts w:eastAsia="TimesNewRoman"/>
          <w:sz w:val="24"/>
          <w:szCs w:val="24"/>
        </w:rPr>
        <w:t xml:space="preserve"> alfa. Opstartsdagen for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afhænger af ovarieresponset, det vil sige antallet og størrelse af voksende follikler og/eller niveauet af cirkulerende </w:t>
      </w:r>
      <w:proofErr w:type="spellStart"/>
      <w:r w:rsidRPr="00392DD6">
        <w:rPr>
          <w:rFonts w:eastAsia="TimesNewRoman"/>
          <w:sz w:val="24"/>
          <w:szCs w:val="24"/>
        </w:rPr>
        <w:t>østradiol</w:t>
      </w:r>
      <w:proofErr w:type="spellEnd"/>
      <w:r w:rsidRPr="00392DD6">
        <w:rPr>
          <w:rFonts w:eastAsia="TimesNewRoman"/>
          <w:sz w:val="24"/>
          <w:szCs w:val="24"/>
        </w:rPr>
        <w:t xml:space="preserve">. Ved manglende follikelvækst kan start på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udskydes, selv om klinisk erfaring er baseret på start med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på den 5. eller 6. stimulationsdag.</w:t>
      </w:r>
    </w:p>
    <w:p w14:paraId="780E39AE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54C7B947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må ikke blandes med FSH, men begge præparater bør injiceres omtrent samtidig, dog ikke samme sted.</w:t>
      </w:r>
    </w:p>
    <w:p w14:paraId="0D1BB662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7B307C0E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FSH-dosis-justeringerne bør baseres på antal og størrelse af voksende follikler frem for på mængden af cirkulerende </w:t>
      </w:r>
      <w:proofErr w:type="spellStart"/>
      <w:r w:rsidRPr="00392DD6">
        <w:rPr>
          <w:rFonts w:eastAsia="TimesNewRoman"/>
          <w:sz w:val="24"/>
          <w:szCs w:val="24"/>
        </w:rPr>
        <w:t>østradiol</w:t>
      </w:r>
      <w:proofErr w:type="spellEnd"/>
      <w:r w:rsidRPr="00392DD6">
        <w:rPr>
          <w:rFonts w:eastAsia="TimesNewRoman"/>
          <w:sz w:val="24"/>
          <w:szCs w:val="24"/>
        </w:rPr>
        <w:t xml:space="preserve"> (se pkt. 5.1).</w:t>
      </w:r>
    </w:p>
    <w:p w14:paraId="0E14169B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33B3F2FB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Den daglige behandling med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fortsætter indtil den dag, hvor der findes et tilstrækkeligt antal follikler af passende størrelse. Sidste fase af follikelmodningen kan induceres ved indgivelse af humant </w:t>
      </w:r>
      <w:proofErr w:type="spellStart"/>
      <w:r w:rsidRPr="00392DD6">
        <w:rPr>
          <w:rFonts w:eastAsia="TimesNewRoman"/>
          <w:sz w:val="24"/>
          <w:szCs w:val="24"/>
        </w:rPr>
        <w:t>chorion</w:t>
      </w:r>
      <w:proofErr w:type="spellEnd"/>
      <w:r w:rsidRPr="00392DD6">
        <w:rPr>
          <w:rFonts w:eastAsia="TimesNewRoman"/>
          <w:sz w:val="24"/>
          <w:szCs w:val="24"/>
        </w:rPr>
        <w:t xml:space="preserve"> </w:t>
      </w:r>
      <w:proofErr w:type="spellStart"/>
      <w:r w:rsidRPr="00392DD6">
        <w:rPr>
          <w:rFonts w:eastAsia="TimesNewRoman"/>
          <w:sz w:val="24"/>
          <w:szCs w:val="24"/>
        </w:rPr>
        <w:t>gonadotropin</w:t>
      </w:r>
      <w:proofErr w:type="spellEnd"/>
      <w:r w:rsidRPr="00392DD6">
        <w:rPr>
          <w:rFonts w:eastAsia="TimesNewRoman"/>
          <w:sz w:val="24"/>
          <w:szCs w:val="24"/>
        </w:rPr>
        <w:t xml:space="preserve"> (</w:t>
      </w:r>
      <w:proofErr w:type="spellStart"/>
      <w:r w:rsidRPr="00392DD6">
        <w:rPr>
          <w:rFonts w:eastAsia="TimesNewRoman"/>
          <w:sz w:val="24"/>
          <w:szCs w:val="24"/>
        </w:rPr>
        <w:t>hCG</w:t>
      </w:r>
      <w:proofErr w:type="spellEnd"/>
      <w:r w:rsidRPr="00392DD6">
        <w:rPr>
          <w:rFonts w:eastAsia="TimesNewRoman"/>
          <w:sz w:val="24"/>
          <w:szCs w:val="24"/>
        </w:rPr>
        <w:t>).</w:t>
      </w:r>
    </w:p>
    <w:p w14:paraId="197D4347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758AC831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392DD6">
        <w:rPr>
          <w:i/>
          <w:iCs/>
          <w:sz w:val="24"/>
          <w:szCs w:val="24"/>
        </w:rPr>
        <w:t>Tidspunkt for sidste injektion</w:t>
      </w:r>
    </w:p>
    <w:p w14:paraId="682EF1FD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Tidsrummet mellem to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-injektioner, og mellem den sidste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-injektion og </w:t>
      </w:r>
      <w:proofErr w:type="spellStart"/>
      <w:r w:rsidRPr="00392DD6">
        <w:rPr>
          <w:rFonts w:eastAsia="TimesNewRoman"/>
          <w:sz w:val="24"/>
          <w:szCs w:val="24"/>
        </w:rPr>
        <w:t>hCG</w:t>
      </w:r>
      <w:proofErr w:type="spellEnd"/>
      <w:r w:rsidRPr="00392DD6">
        <w:rPr>
          <w:rFonts w:eastAsia="TimesNewRoman"/>
          <w:sz w:val="24"/>
          <w:szCs w:val="24"/>
        </w:rPr>
        <w:t xml:space="preserve"> injektionen bør ikke overstige 30 timer på grund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’ halveringstid, idet der ellers kan forekomme præmature stigninger i LH. Ved indgift om morgenen bør behandling med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derfor fortsætte i hele </w:t>
      </w:r>
      <w:proofErr w:type="spellStart"/>
      <w:r w:rsidRPr="00392DD6">
        <w:rPr>
          <w:rFonts w:eastAsia="TimesNewRoman"/>
          <w:sz w:val="24"/>
          <w:szCs w:val="24"/>
        </w:rPr>
        <w:t>gonadotropin</w:t>
      </w:r>
      <w:proofErr w:type="spellEnd"/>
      <w:r w:rsidRPr="00392DD6">
        <w:rPr>
          <w:rFonts w:eastAsia="TimesNewRoman"/>
          <w:sz w:val="24"/>
          <w:szCs w:val="24"/>
        </w:rPr>
        <w:t xml:space="preserve"> behandlingsperioden, inkl. den dag ovulationen starter. Ved indgift om eftermiddagen bør den sidste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injektion gives om eftermiddagen før den dag, hvor ovulationen starter.</w:t>
      </w:r>
    </w:p>
    <w:p w14:paraId="6C067037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4E0BF11B" w14:textId="2F6D8079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har vist sig sikker og effektiv hos kvinder som gennemgår flere behandlings</w:t>
      </w:r>
      <w:r w:rsidR="00980D9E">
        <w:rPr>
          <w:rFonts w:eastAsia="TimesNewRoman"/>
          <w:sz w:val="24"/>
          <w:szCs w:val="24"/>
        </w:rPr>
        <w:softHyphen/>
      </w:r>
      <w:r w:rsidRPr="00392DD6">
        <w:rPr>
          <w:rFonts w:eastAsia="TimesNewRoman"/>
          <w:sz w:val="24"/>
          <w:szCs w:val="24"/>
        </w:rPr>
        <w:t>cyklusser.</w:t>
      </w:r>
    </w:p>
    <w:p w14:paraId="3B2D6DDA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58DC2441" w14:textId="49666F94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Behov for støtte i </w:t>
      </w:r>
      <w:proofErr w:type="spellStart"/>
      <w:r w:rsidRPr="00392DD6">
        <w:rPr>
          <w:rFonts w:eastAsia="TimesNewRoman"/>
          <w:sz w:val="24"/>
          <w:szCs w:val="24"/>
        </w:rPr>
        <w:t>lutealfasen</w:t>
      </w:r>
      <w:proofErr w:type="spellEnd"/>
      <w:r w:rsidRPr="00392DD6">
        <w:rPr>
          <w:rFonts w:eastAsia="TimesNewRoman"/>
          <w:sz w:val="24"/>
          <w:szCs w:val="24"/>
        </w:rPr>
        <w:t xml:space="preserve"> i cyklusser, hvor der anvendes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er ikke undersøgt. I kliniske studier blev støtte i </w:t>
      </w:r>
      <w:proofErr w:type="spellStart"/>
      <w:r w:rsidRPr="00392DD6">
        <w:rPr>
          <w:rFonts w:eastAsia="TimesNewRoman"/>
          <w:sz w:val="24"/>
          <w:szCs w:val="24"/>
        </w:rPr>
        <w:t>lutealfasen</w:t>
      </w:r>
      <w:proofErr w:type="spellEnd"/>
      <w:r w:rsidRPr="00392DD6">
        <w:rPr>
          <w:rFonts w:eastAsia="TimesNewRoman"/>
          <w:sz w:val="24"/>
          <w:szCs w:val="24"/>
        </w:rPr>
        <w:t xml:space="preserve"> givet i henhold til centrets praksis eller i henhold til den kliniske protokol. </w:t>
      </w:r>
    </w:p>
    <w:p w14:paraId="1067A636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73601BDD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392DD6">
        <w:rPr>
          <w:rFonts w:eastAsia="TimesNewRoman"/>
          <w:sz w:val="24"/>
          <w:szCs w:val="24"/>
          <w:u w:val="single"/>
        </w:rPr>
        <w:t>Særlige populationer</w:t>
      </w:r>
    </w:p>
    <w:p w14:paraId="4919DA9B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</w:p>
    <w:p w14:paraId="7FE446BE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i/>
          <w:iCs/>
          <w:sz w:val="24"/>
          <w:szCs w:val="24"/>
        </w:rPr>
      </w:pPr>
      <w:r w:rsidRPr="00392DD6">
        <w:rPr>
          <w:rFonts w:eastAsia="TimesNewRoman"/>
          <w:i/>
          <w:iCs/>
          <w:sz w:val="24"/>
          <w:szCs w:val="24"/>
        </w:rPr>
        <w:t>Nedsat nyrefunktion</w:t>
      </w:r>
    </w:p>
    <w:p w14:paraId="737AF070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Der er ingen erfaring med anvendelse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hos patienter med nedsat nyrefunktion, da de blev ekskluderet fra kliniske studier. Derfor er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kontraindiceret hos patienter med moderat eller svært nedsat nyrefunktion (se pkt. 4.3).</w:t>
      </w:r>
    </w:p>
    <w:p w14:paraId="4E66FDFC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602A8BC7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i/>
          <w:iCs/>
          <w:sz w:val="24"/>
          <w:szCs w:val="24"/>
        </w:rPr>
      </w:pPr>
      <w:r w:rsidRPr="00392DD6">
        <w:rPr>
          <w:rFonts w:eastAsia="TimesNewRoman"/>
          <w:i/>
          <w:iCs/>
          <w:sz w:val="24"/>
          <w:szCs w:val="24"/>
        </w:rPr>
        <w:lastRenderedPageBreak/>
        <w:t>Nedsat leverfunktion</w:t>
      </w:r>
    </w:p>
    <w:p w14:paraId="5B414C53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Der er ingen erfaring med anvendelse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hos patienter med nedsat leverfunktion, da de blev ekskluderet fra kliniske studier. Derfor er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kontraindiceret hos patienter med moderat eller svært nedsat leverfunktion (se pkt. 4.3).</w:t>
      </w:r>
    </w:p>
    <w:p w14:paraId="7319EFBB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450EC222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i/>
          <w:iCs/>
          <w:sz w:val="24"/>
          <w:szCs w:val="24"/>
        </w:rPr>
      </w:pPr>
      <w:r w:rsidRPr="00392DD6">
        <w:rPr>
          <w:rFonts w:eastAsia="TimesNewRoman"/>
          <w:i/>
          <w:iCs/>
          <w:sz w:val="24"/>
          <w:szCs w:val="24"/>
        </w:rPr>
        <w:t>Pædiatrisk population</w:t>
      </w:r>
    </w:p>
    <w:p w14:paraId="623A6D17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Det er ikke relevant at anvende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hos den pædiatriske population.</w:t>
      </w:r>
    </w:p>
    <w:p w14:paraId="7677E3EB" w14:textId="77777777" w:rsidR="005360B5" w:rsidRPr="00F923F6" w:rsidRDefault="005360B5" w:rsidP="00983BCC">
      <w:pPr>
        <w:autoSpaceDE w:val="0"/>
        <w:autoSpaceDN w:val="0"/>
        <w:adjustRightInd w:val="0"/>
        <w:ind w:left="851"/>
        <w:rPr>
          <w:rFonts w:eastAsia="TimesNewRoman"/>
          <w:bCs/>
          <w:sz w:val="24"/>
          <w:szCs w:val="24"/>
        </w:rPr>
      </w:pPr>
    </w:p>
    <w:p w14:paraId="706FA308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392DD6">
        <w:rPr>
          <w:sz w:val="24"/>
          <w:szCs w:val="24"/>
          <w:u w:val="single"/>
        </w:rPr>
        <w:t>Administration</w:t>
      </w:r>
    </w:p>
    <w:p w14:paraId="05CE6312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indgives subkutant, helst i låret. Injektionsstedet bør ændres fra gang til gang for at forhindre </w:t>
      </w:r>
      <w:proofErr w:type="spellStart"/>
      <w:r w:rsidRPr="00392DD6">
        <w:rPr>
          <w:rFonts w:eastAsia="TimesNewRoman"/>
          <w:sz w:val="24"/>
          <w:szCs w:val="24"/>
        </w:rPr>
        <w:t>lipoatrofi</w:t>
      </w:r>
      <w:proofErr w:type="spellEnd"/>
      <w:r w:rsidRPr="00392DD6">
        <w:rPr>
          <w:rFonts w:eastAsia="TimesNewRoman"/>
          <w:sz w:val="24"/>
          <w:szCs w:val="24"/>
        </w:rPr>
        <w:t xml:space="preserve">. Injektion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kan udføres af patienten selv eller dennes partner, forudsat de har fået udførlige instruktioner og har adgang til ekspert råd. </w:t>
      </w:r>
    </w:p>
    <w:p w14:paraId="59BB5213" w14:textId="7F629788" w:rsidR="005360B5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Luftbobler kan forekomme i den fyldte sprøjte. Dette er forventeligt, og det er ikke nødvendigt at fjerne luftboblerne.</w:t>
      </w:r>
    </w:p>
    <w:p w14:paraId="045C3AD0" w14:textId="61490185" w:rsidR="004C1F89" w:rsidRDefault="004C1F89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5F072FAB" w14:textId="77777777" w:rsidR="004C1F89" w:rsidRPr="00F759C5" w:rsidRDefault="004C1F89" w:rsidP="004C1F89">
      <w:pPr>
        <w:ind w:firstLine="851"/>
        <w:jc w:val="both"/>
        <w:rPr>
          <w:szCs w:val="22"/>
        </w:rPr>
      </w:pPr>
      <w:r w:rsidRPr="00251829">
        <w:rPr>
          <w:szCs w:val="22"/>
          <w:lang w:val="da"/>
        </w:rPr>
        <w:t>For instruktioner om håndtering af lægemidlet før administration, se pkt. 6.6</w:t>
      </w:r>
    </w:p>
    <w:p w14:paraId="1A786E57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2DC657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4.3</w:t>
      </w:r>
      <w:r w:rsidRPr="00392DD6">
        <w:rPr>
          <w:b/>
          <w:sz w:val="24"/>
          <w:szCs w:val="24"/>
        </w:rPr>
        <w:tab/>
        <w:t>Kontraindikationer</w:t>
      </w:r>
    </w:p>
    <w:p w14:paraId="46073D9C" w14:textId="77777777" w:rsidR="005360B5" w:rsidRPr="00392DD6" w:rsidRDefault="005360B5" w:rsidP="00983BCC">
      <w:pPr>
        <w:pStyle w:val="Listeafsnit"/>
        <w:numPr>
          <w:ilvl w:val="0"/>
          <w:numId w:val="6"/>
        </w:numPr>
        <w:autoSpaceDE w:val="0"/>
        <w:autoSpaceDN w:val="0"/>
        <w:adjustRightInd w:val="0"/>
        <w:ind w:left="1276" w:hanging="425"/>
        <w:rPr>
          <w:rFonts w:eastAsia="TimesNewRoman"/>
          <w:szCs w:val="24"/>
        </w:rPr>
      </w:pPr>
      <w:r w:rsidRPr="00392DD6">
        <w:rPr>
          <w:rFonts w:eastAsia="TimesNewRoman"/>
          <w:szCs w:val="24"/>
        </w:rPr>
        <w:t>Overfølsomhed over for det aktive stof eller over for et eller flere af hjælpestofferne anført i pkt. 6.1.</w:t>
      </w:r>
    </w:p>
    <w:p w14:paraId="1ED367DC" w14:textId="77777777" w:rsidR="005360B5" w:rsidRPr="00392DD6" w:rsidRDefault="005360B5" w:rsidP="00983BCC">
      <w:pPr>
        <w:pStyle w:val="Listeafsnit"/>
        <w:numPr>
          <w:ilvl w:val="0"/>
          <w:numId w:val="6"/>
        </w:numPr>
        <w:autoSpaceDE w:val="0"/>
        <w:autoSpaceDN w:val="0"/>
        <w:adjustRightInd w:val="0"/>
        <w:ind w:left="1276" w:hanging="425"/>
        <w:rPr>
          <w:rFonts w:eastAsia="TimesNewRoman"/>
          <w:szCs w:val="24"/>
        </w:rPr>
      </w:pPr>
      <w:r w:rsidRPr="00392DD6">
        <w:rPr>
          <w:rFonts w:eastAsia="TimesNewRoman"/>
          <w:szCs w:val="24"/>
        </w:rPr>
        <w:t xml:space="preserve">Overfølsomhed over for </w:t>
      </w:r>
      <w:proofErr w:type="spellStart"/>
      <w:r w:rsidRPr="00392DD6">
        <w:rPr>
          <w:rFonts w:eastAsia="TimesNewRoman"/>
          <w:szCs w:val="24"/>
        </w:rPr>
        <w:t>gonadotropinudskillende</w:t>
      </w:r>
      <w:proofErr w:type="spellEnd"/>
      <w:r w:rsidRPr="00392DD6">
        <w:rPr>
          <w:rFonts w:eastAsia="TimesNewRoman"/>
          <w:szCs w:val="24"/>
        </w:rPr>
        <w:t xml:space="preserve"> hormon (</w:t>
      </w:r>
      <w:proofErr w:type="spellStart"/>
      <w:r w:rsidRPr="00392DD6">
        <w:rPr>
          <w:rFonts w:eastAsia="TimesNewRoman"/>
          <w:szCs w:val="24"/>
        </w:rPr>
        <w:t>GnRH</w:t>
      </w:r>
      <w:proofErr w:type="spellEnd"/>
      <w:r w:rsidRPr="00392DD6">
        <w:rPr>
          <w:rFonts w:eastAsia="TimesNewRoman"/>
          <w:szCs w:val="24"/>
        </w:rPr>
        <w:t xml:space="preserve">) eller en </w:t>
      </w:r>
      <w:proofErr w:type="spellStart"/>
      <w:r w:rsidRPr="00392DD6">
        <w:rPr>
          <w:rFonts w:eastAsia="TimesNewRoman"/>
          <w:szCs w:val="24"/>
        </w:rPr>
        <w:t>GnRH</w:t>
      </w:r>
      <w:proofErr w:type="spellEnd"/>
      <w:r w:rsidRPr="00392DD6">
        <w:rPr>
          <w:rFonts w:eastAsia="TimesNewRoman"/>
          <w:szCs w:val="24"/>
        </w:rPr>
        <w:t>-analog.</w:t>
      </w:r>
    </w:p>
    <w:p w14:paraId="2F4422C3" w14:textId="77777777" w:rsidR="005360B5" w:rsidRPr="00392DD6" w:rsidRDefault="005360B5" w:rsidP="00983BCC">
      <w:pPr>
        <w:pStyle w:val="Listeafsnit"/>
        <w:numPr>
          <w:ilvl w:val="0"/>
          <w:numId w:val="6"/>
        </w:numPr>
        <w:autoSpaceDE w:val="0"/>
        <w:autoSpaceDN w:val="0"/>
        <w:adjustRightInd w:val="0"/>
        <w:ind w:left="1276" w:hanging="425"/>
        <w:rPr>
          <w:rFonts w:eastAsia="TimesNewRoman"/>
          <w:szCs w:val="24"/>
        </w:rPr>
      </w:pPr>
      <w:r w:rsidRPr="00392DD6">
        <w:rPr>
          <w:rFonts w:eastAsia="TimesNewRoman"/>
          <w:szCs w:val="24"/>
        </w:rPr>
        <w:t>Moderat til svært nedsat nyre- eller leverfunktion.</w:t>
      </w:r>
    </w:p>
    <w:p w14:paraId="63F66363" w14:textId="77777777" w:rsidR="005360B5" w:rsidRPr="00392DD6" w:rsidRDefault="005360B5" w:rsidP="00983BCC">
      <w:pPr>
        <w:pStyle w:val="Listeafsnit"/>
        <w:numPr>
          <w:ilvl w:val="0"/>
          <w:numId w:val="6"/>
        </w:numPr>
        <w:autoSpaceDE w:val="0"/>
        <w:autoSpaceDN w:val="0"/>
        <w:adjustRightInd w:val="0"/>
        <w:ind w:left="1276" w:hanging="425"/>
        <w:rPr>
          <w:rFonts w:eastAsia="TimesNewRoman"/>
          <w:szCs w:val="24"/>
        </w:rPr>
      </w:pPr>
      <w:r w:rsidRPr="00392DD6">
        <w:rPr>
          <w:rFonts w:eastAsia="TimesNewRoman"/>
          <w:szCs w:val="24"/>
        </w:rPr>
        <w:t>Graviditet eller amning.</w:t>
      </w:r>
    </w:p>
    <w:p w14:paraId="1247F744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E5A71E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4.4</w:t>
      </w:r>
      <w:r w:rsidRPr="00392DD6">
        <w:rPr>
          <w:b/>
          <w:sz w:val="24"/>
          <w:szCs w:val="24"/>
        </w:rPr>
        <w:tab/>
        <w:t>Særlige advarsler og forsigtighedsregler vedrørende brugen</w:t>
      </w:r>
    </w:p>
    <w:p w14:paraId="3C6D1C4D" w14:textId="77777777" w:rsidR="00F923F6" w:rsidRDefault="00F923F6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</w:p>
    <w:p w14:paraId="5DA7CDAC" w14:textId="79D35B93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  <w:lang w:eastAsia="da-DK"/>
        </w:rPr>
      </w:pPr>
      <w:r w:rsidRPr="00392DD6">
        <w:rPr>
          <w:rFonts w:eastAsia="TimesNewRoman"/>
          <w:sz w:val="24"/>
          <w:szCs w:val="24"/>
          <w:u w:val="single"/>
        </w:rPr>
        <w:t>Overfølsomhedsreaktioner</w:t>
      </w:r>
    </w:p>
    <w:p w14:paraId="098A362D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Særlig opmærksomhed bør udvises overfor kvinder med symptomer på aktive allergiske tilstande. Der er under bivirkningsovervågningen efter markedsføring rapporteret om overfølsomhedsreaktioner (både generaliserede og lokale) med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så tidligt som ved første dosis. Disse hændelser inkluderede anafylaksi (herunder </w:t>
      </w:r>
      <w:proofErr w:type="spellStart"/>
      <w:r w:rsidRPr="00392DD6">
        <w:rPr>
          <w:rFonts w:eastAsia="TimesNewRoman"/>
          <w:sz w:val="24"/>
          <w:szCs w:val="24"/>
        </w:rPr>
        <w:t>anafylaktisk</w:t>
      </w:r>
      <w:proofErr w:type="spellEnd"/>
      <w:r w:rsidRPr="00392DD6">
        <w:rPr>
          <w:rFonts w:eastAsia="TimesNewRoman"/>
          <w:sz w:val="24"/>
          <w:szCs w:val="24"/>
        </w:rPr>
        <w:t xml:space="preserve"> </w:t>
      </w:r>
      <w:proofErr w:type="spellStart"/>
      <w:r w:rsidRPr="00392DD6">
        <w:rPr>
          <w:rFonts w:eastAsia="TimesNewRoman"/>
          <w:sz w:val="24"/>
          <w:szCs w:val="24"/>
        </w:rPr>
        <w:t>shock</w:t>
      </w:r>
      <w:proofErr w:type="spellEnd"/>
      <w:r w:rsidRPr="00392DD6">
        <w:rPr>
          <w:rFonts w:eastAsia="TimesNewRoman"/>
          <w:sz w:val="24"/>
          <w:szCs w:val="24"/>
        </w:rPr>
        <w:t xml:space="preserve">), </w:t>
      </w:r>
      <w:proofErr w:type="spellStart"/>
      <w:r w:rsidRPr="00392DD6">
        <w:rPr>
          <w:rFonts w:eastAsia="TimesNewRoman"/>
          <w:sz w:val="24"/>
          <w:szCs w:val="24"/>
        </w:rPr>
        <w:t>angioødem</w:t>
      </w:r>
      <w:proofErr w:type="spellEnd"/>
      <w:r w:rsidRPr="00392DD6">
        <w:rPr>
          <w:rFonts w:eastAsia="TimesNewRoman"/>
          <w:sz w:val="24"/>
          <w:szCs w:val="24"/>
        </w:rPr>
        <w:t xml:space="preserve"> og </w:t>
      </w:r>
      <w:proofErr w:type="spellStart"/>
      <w:r w:rsidRPr="00392DD6">
        <w:rPr>
          <w:rFonts w:eastAsia="TimesNewRoman"/>
          <w:sz w:val="24"/>
          <w:szCs w:val="24"/>
        </w:rPr>
        <w:t>urticaria</w:t>
      </w:r>
      <w:proofErr w:type="spellEnd"/>
      <w:r w:rsidRPr="00392DD6">
        <w:rPr>
          <w:rFonts w:eastAsia="TimesNewRoman"/>
          <w:sz w:val="24"/>
          <w:szCs w:val="24"/>
        </w:rPr>
        <w:t xml:space="preserve"> (se pkt. 4.8). Hvis der er mistanke om en overfølsomhedsreaktion, skal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seponeres og hensigtsmæssig behandling gives. Da klinisk erfaring savnes, kan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>-behandling ikke anbefales til kvinder med alvorlige allergiske tilstande.</w:t>
      </w:r>
    </w:p>
    <w:p w14:paraId="164D0509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23C6F5F3" w14:textId="77777777" w:rsidR="005360B5" w:rsidRPr="00594411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  <w:lang w:val="sv-SE"/>
        </w:rPr>
      </w:pPr>
      <w:proofErr w:type="spellStart"/>
      <w:r w:rsidRPr="00594411">
        <w:rPr>
          <w:rFonts w:eastAsia="TimesNewRoman"/>
          <w:sz w:val="24"/>
          <w:szCs w:val="24"/>
          <w:u w:val="single"/>
          <w:lang w:val="sv-SE"/>
        </w:rPr>
        <w:t>Ovarieoverstimulations</w:t>
      </w:r>
      <w:proofErr w:type="spellEnd"/>
      <w:r w:rsidRPr="00594411">
        <w:rPr>
          <w:rFonts w:eastAsia="TimesNewRoman"/>
          <w:sz w:val="24"/>
          <w:szCs w:val="24"/>
          <w:u w:val="single"/>
          <w:lang w:val="sv-SE"/>
        </w:rPr>
        <w:t>-syndrom (OHSS)</w:t>
      </w:r>
    </w:p>
    <w:p w14:paraId="22D6304A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proofErr w:type="spellStart"/>
      <w:r w:rsidRPr="00594411">
        <w:rPr>
          <w:rFonts w:eastAsia="TimesNewRoman"/>
          <w:sz w:val="24"/>
          <w:szCs w:val="24"/>
          <w:lang w:val="sv-SE"/>
        </w:rPr>
        <w:t>Ovarieoverstimulations</w:t>
      </w:r>
      <w:proofErr w:type="spellEnd"/>
      <w:r w:rsidRPr="00594411">
        <w:rPr>
          <w:rFonts w:eastAsia="TimesNewRoman"/>
          <w:sz w:val="24"/>
          <w:szCs w:val="24"/>
          <w:lang w:val="sv-SE"/>
        </w:rPr>
        <w:t xml:space="preserve">-syndrom (OHSS) kan </w:t>
      </w:r>
      <w:proofErr w:type="spellStart"/>
      <w:r w:rsidRPr="00594411">
        <w:rPr>
          <w:rFonts w:eastAsia="TimesNewRoman"/>
          <w:sz w:val="24"/>
          <w:szCs w:val="24"/>
          <w:lang w:val="sv-SE"/>
        </w:rPr>
        <w:t>forekomme</w:t>
      </w:r>
      <w:proofErr w:type="spellEnd"/>
      <w:r w:rsidRPr="00594411">
        <w:rPr>
          <w:rFonts w:eastAsia="TimesNewRoman"/>
          <w:sz w:val="24"/>
          <w:szCs w:val="24"/>
          <w:lang w:val="sv-SE"/>
        </w:rPr>
        <w:t xml:space="preserve"> under eller efter ovariestimulation. </w:t>
      </w:r>
      <w:r w:rsidRPr="00392DD6">
        <w:rPr>
          <w:rFonts w:eastAsia="TimesNewRoman"/>
          <w:sz w:val="24"/>
          <w:szCs w:val="24"/>
        </w:rPr>
        <w:t xml:space="preserve">OHSS må betragtes som en reel risiko ved </w:t>
      </w:r>
      <w:proofErr w:type="spellStart"/>
      <w:r w:rsidRPr="00392DD6">
        <w:rPr>
          <w:rFonts w:eastAsia="TimesNewRoman"/>
          <w:sz w:val="24"/>
          <w:szCs w:val="24"/>
        </w:rPr>
        <w:t>gonadotropinstimulation</w:t>
      </w:r>
      <w:proofErr w:type="spellEnd"/>
      <w:r w:rsidRPr="00392DD6">
        <w:rPr>
          <w:rFonts w:eastAsia="TimesNewRoman"/>
          <w:sz w:val="24"/>
          <w:szCs w:val="24"/>
        </w:rPr>
        <w:t xml:space="preserve">. OHSS skal behandles symptomatisk, f.eks. med hvile, intravenøs infusion af elektrolytopløsninger eller kolloider og </w:t>
      </w:r>
      <w:proofErr w:type="spellStart"/>
      <w:r w:rsidRPr="00392DD6">
        <w:rPr>
          <w:rFonts w:eastAsia="TimesNewRoman"/>
          <w:sz w:val="24"/>
          <w:szCs w:val="24"/>
        </w:rPr>
        <w:t>heparin</w:t>
      </w:r>
      <w:proofErr w:type="spellEnd"/>
      <w:r w:rsidRPr="00392DD6">
        <w:rPr>
          <w:rFonts w:eastAsia="TimesNewRoman"/>
          <w:sz w:val="24"/>
          <w:szCs w:val="24"/>
        </w:rPr>
        <w:t>.</w:t>
      </w:r>
    </w:p>
    <w:p w14:paraId="0E074587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4802F9D3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proofErr w:type="spellStart"/>
      <w:r w:rsidRPr="00392DD6">
        <w:rPr>
          <w:rFonts w:eastAsia="TimesNewRoman"/>
          <w:sz w:val="24"/>
          <w:szCs w:val="24"/>
          <w:u w:val="single"/>
        </w:rPr>
        <w:t>Ektopisk</w:t>
      </w:r>
      <w:proofErr w:type="spellEnd"/>
      <w:r w:rsidRPr="00392DD6">
        <w:rPr>
          <w:rFonts w:eastAsia="TimesNewRoman"/>
          <w:sz w:val="24"/>
          <w:szCs w:val="24"/>
          <w:u w:val="single"/>
        </w:rPr>
        <w:t xml:space="preserve"> graviditet</w:t>
      </w:r>
    </w:p>
    <w:p w14:paraId="3536ECD1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Eftersom infertile kvinder, som er i assisteret reproduktionsbehandling og især i </w:t>
      </w:r>
      <w:r w:rsidRPr="00392DD6">
        <w:rPr>
          <w:rFonts w:eastAsia="TimesNewRoman"/>
          <w:i/>
          <w:iCs/>
          <w:sz w:val="24"/>
          <w:szCs w:val="24"/>
        </w:rPr>
        <w:t xml:space="preserve">in </w:t>
      </w:r>
      <w:proofErr w:type="spellStart"/>
      <w:r w:rsidRPr="00392DD6">
        <w:rPr>
          <w:rFonts w:eastAsia="TimesNewRoman"/>
          <w:i/>
          <w:iCs/>
          <w:sz w:val="24"/>
          <w:szCs w:val="24"/>
        </w:rPr>
        <w:t>vitro</w:t>
      </w:r>
      <w:proofErr w:type="spellEnd"/>
      <w:r w:rsidRPr="00392DD6">
        <w:rPr>
          <w:rFonts w:eastAsia="TimesNewRoman"/>
          <w:sz w:val="24"/>
          <w:szCs w:val="24"/>
        </w:rPr>
        <w:t xml:space="preserve">-fertilisering (IVF), ofte har </w:t>
      </w:r>
      <w:proofErr w:type="spellStart"/>
      <w:r w:rsidRPr="00392DD6">
        <w:rPr>
          <w:rFonts w:eastAsia="TimesNewRoman"/>
          <w:sz w:val="24"/>
          <w:szCs w:val="24"/>
        </w:rPr>
        <w:t>abnormaliteter</w:t>
      </w:r>
      <w:proofErr w:type="spellEnd"/>
      <w:r w:rsidRPr="00392DD6">
        <w:rPr>
          <w:rFonts w:eastAsia="TimesNewRoman"/>
          <w:sz w:val="24"/>
          <w:szCs w:val="24"/>
        </w:rPr>
        <w:t xml:space="preserve"> i æggelederne, kan forekomsten af </w:t>
      </w:r>
      <w:proofErr w:type="spellStart"/>
      <w:r w:rsidRPr="00392DD6">
        <w:rPr>
          <w:rFonts w:eastAsia="TimesNewRoman"/>
          <w:sz w:val="24"/>
          <w:szCs w:val="24"/>
        </w:rPr>
        <w:t>ektopiske</w:t>
      </w:r>
      <w:proofErr w:type="spellEnd"/>
      <w:r w:rsidRPr="00392DD6">
        <w:rPr>
          <w:rFonts w:eastAsia="TimesNewRoman"/>
          <w:sz w:val="24"/>
          <w:szCs w:val="24"/>
        </w:rPr>
        <w:t xml:space="preserve"> graviditeter være forøget. Det er derfor vigtigt ved hjælp af ultralyd tidligt at bestemme, at graviditeten er intrauterin.</w:t>
      </w:r>
    </w:p>
    <w:p w14:paraId="1727ED9D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71D351C9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  <w:u w:val="single"/>
        </w:rPr>
        <w:t xml:space="preserve">Medfødte </w:t>
      </w:r>
      <w:proofErr w:type="spellStart"/>
      <w:r w:rsidRPr="00392DD6">
        <w:rPr>
          <w:rFonts w:eastAsia="TimesNewRoman"/>
          <w:sz w:val="24"/>
          <w:szCs w:val="24"/>
          <w:u w:val="single"/>
        </w:rPr>
        <w:t>malformationer</w:t>
      </w:r>
      <w:proofErr w:type="spellEnd"/>
    </w:p>
    <w:p w14:paraId="52F57D3C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Forekomsten af medfødte </w:t>
      </w:r>
      <w:proofErr w:type="spellStart"/>
      <w:r w:rsidRPr="00392DD6">
        <w:rPr>
          <w:rFonts w:eastAsia="TimesNewRoman"/>
          <w:sz w:val="24"/>
          <w:szCs w:val="24"/>
        </w:rPr>
        <w:t>malformationer</w:t>
      </w:r>
      <w:proofErr w:type="spellEnd"/>
      <w:r w:rsidRPr="00392DD6">
        <w:rPr>
          <w:rFonts w:eastAsia="TimesNewRoman"/>
          <w:sz w:val="24"/>
          <w:szCs w:val="24"/>
        </w:rPr>
        <w:t xml:space="preserve"> efter assisteret reproduktionsteknologi (ART) menes at være højere end efter spontan undfangelse. Dette skyldes formentlig forskellige forhold ved forældrene (fx moderens alder, spermiedefekter) og en øget </w:t>
      </w:r>
      <w:proofErr w:type="spellStart"/>
      <w:r w:rsidRPr="00392DD6">
        <w:rPr>
          <w:rFonts w:eastAsia="TimesNewRoman"/>
          <w:sz w:val="24"/>
          <w:szCs w:val="24"/>
        </w:rPr>
        <w:t>incidens</w:t>
      </w:r>
      <w:proofErr w:type="spellEnd"/>
      <w:r w:rsidRPr="00392DD6">
        <w:rPr>
          <w:rFonts w:eastAsia="TimesNewRoman"/>
          <w:sz w:val="24"/>
          <w:szCs w:val="24"/>
        </w:rPr>
        <w:t xml:space="preserve"> af flerfoldsgraviditeter. Kliniske studier med mere end 1.000 nyfødte har vist, at </w:t>
      </w:r>
      <w:proofErr w:type="spellStart"/>
      <w:r w:rsidRPr="00392DD6">
        <w:rPr>
          <w:rFonts w:eastAsia="TimesNewRoman"/>
          <w:sz w:val="24"/>
          <w:szCs w:val="24"/>
        </w:rPr>
        <w:t>incidensen</w:t>
      </w:r>
      <w:proofErr w:type="spellEnd"/>
      <w:r w:rsidRPr="00392DD6">
        <w:rPr>
          <w:rFonts w:eastAsia="TimesNewRoman"/>
          <w:sz w:val="24"/>
          <w:szCs w:val="24"/>
        </w:rPr>
        <w:t xml:space="preserve"> af medfødte misdannelser hos børn født efter COH-behandling med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er sammenlignelig med det indrapporterede efter COH-behandling med en </w:t>
      </w:r>
      <w:proofErr w:type="spellStart"/>
      <w:r w:rsidRPr="00392DD6">
        <w:rPr>
          <w:rFonts w:eastAsia="TimesNewRoman"/>
          <w:sz w:val="24"/>
          <w:szCs w:val="24"/>
        </w:rPr>
        <w:t>GnRH</w:t>
      </w:r>
      <w:proofErr w:type="spellEnd"/>
      <w:r w:rsidRPr="00392DD6">
        <w:rPr>
          <w:rFonts w:eastAsia="TimesNewRoman"/>
          <w:sz w:val="24"/>
          <w:szCs w:val="24"/>
        </w:rPr>
        <w:t>-agonist.</w:t>
      </w:r>
    </w:p>
    <w:p w14:paraId="2ED25252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55ACE05D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392DD6">
        <w:rPr>
          <w:rFonts w:eastAsia="TimesNewRoman"/>
          <w:sz w:val="24"/>
          <w:szCs w:val="24"/>
          <w:u w:val="single"/>
        </w:rPr>
        <w:t>Kvinder med kropsvægt under 50 kg eller over 90 kg</w:t>
      </w:r>
    </w:p>
    <w:p w14:paraId="6428420D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proofErr w:type="spellStart"/>
      <w:r w:rsidRPr="00392DD6">
        <w:rPr>
          <w:rFonts w:eastAsia="TimesNewRoman"/>
          <w:sz w:val="24"/>
          <w:szCs w:val="24"/>
        </w:rPr>
        <w:t>Ganirelix’s</w:t>
      </w:r>
      <w:proofErr w:type="spellEnd"/>
      <w:r w:rsidRPr="00392DD6">
        <w:rPr>
          <w:rFonts w:eastAsia="TimesNewRoman"/>
          <w:sz w:val="24"/>
          <w:szCs w:val="24"/>
        </w:rPr>
        <w:t xml:space="preserve"> sikkerhed og virkning er ikke påvist hos kvinder med en kropsvægt på under 50 kg eller over 90 kg (se pkt. 5.1 og 5.2).</w:t>
      </w:r>
    </w:p>
    <w:p w14:paraId="777AC6A2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3C2333DB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  <w:u w:val="single"/>
        </w:rPr>
        <w:t>Natrium</w:t>
      </w:r>
    </w:p>
    <w:p w14:paraId="2D892DE7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Dette lægemiddel indeholder mindre end 1 mmol (23 mg) natrium pr. injektion, dvs. det er i det væsentlige natriumfrit.</w:t>
      </w:r>
    </w:p>
    <w:p w14:paraId="781D5666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8887CFF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4.5</w:t>
      </w:r>
      <w:r w:rsidRPr="00392DD6">
        <w:rPr>
          <w:b/>
          <w:sz w:val="24"/>
          <w:szCs w:val="24"/>
        </w:rPr>
        <w:tab/>
        <w:t>Interaktion med andre lægemidler og andre former for interaktion</w:t>
      </w:r>
    </w:p>
    <w:p w14:paraId="3204C52B" w14:textId="77777777" w:rsidR="005360B5" w:rsidRPr="00392DD6" w:rsidRDefault="005360B5" w:rsidP="00983BCC">
      <w:pPr>
        <w:ind w:left="851"/>
        <w:rPr>
          <w:sz w:val="24"/>
          <w:szCs w:val="24"/>
          <w:lang w:eastAsia="da-DK"/>
        </w:rPr>
      </w:pPr>
      <w:r w:rsidRPr="00392DD6">
        <w:rPr>
          <w:sz w:val="24"/>
          <w:szCs w:val="24"/>
        </w:rPr>
        <w:t>Der er ikke udført interaktionsstudier.</w:t>
      </w:r>
    </w:p>
    <w:p w14:paraId="7C0CC9E0" w14:textId="77777777" w:rsidR="005360B5" w:rsidRPr="00392DD6" w:rsidRDefault="005360B5" w:rsidP="00983BCC">
      <w:pPr>
        <w:ind w:left="851"/>
        <w:rPr>
          <w:sz w:val="24"/>
          <w:szCs w:val="24"/>
        </w:rPr>
      </w:pPr>
    </w:p>
    <w:p w14:paraId="11A98C9D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Muligheden for interaktioner med almindeligt anvendte lægemidler, herunder lægemidler der frigiver histamin, kan ikke udelukkes.</w:t>
      </w:r>
    </w:p>
    <w:p w14:paraId="15778E6B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9F57E5" w14:textId="3CC59CD0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4.6</w:t>
      </w:r>
      <w:r w:rsidRPr="00392DD6">
        <w:rPr>
          <w:b/>
          <w:sz w:val="24"/>
          <w:szCs w:val="24"/>
        </w:rPr>
        <w:tab/>
      </w:r>
      <w:r w:rsidR="004C1F89">
        <w:rPr>
          <w:b/>
          <w:sz w:val="24"/>
          <w:szCs w:val="24"/>
        </w:rPr>
        <w:t>Fertilitet, g</w:t>
      </w:r>
      <w:r w:rsidRPr="00392DD6">
        <w:rPr>
          <w:b/>
          <w:sz w:val="24"/>
          <w:szCs w:val="24"/>
        </w:rPr>
        <w:t>raviditet og amning</w:t>
      </w:r>
    </w:p>
    <w:p w14:paraId="4ADEFD74" w14:textId="77777777" w:rsidR="00D65D68" w:rsidRDefault="00D65D68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</w:p>
    <w:p w14:paraId="527BFB71" w14:textId="28406E94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  <w:lang w:eastAsia="da-DK"/>
        </w:rPr>
      </w:pPr>
      <w:r w:rsidRPr="00392DD6">
        <w:rPr>
          <w:rFonts w:eastAsia="TimesNewRoman"/>
          <w:sz w:val="24"/>
          <w:szCs w:val="24"/>
          <w:u w:val="single"/>
        </w:rPr>
        <w:t>Graviditet</w:t>
      </w:r>
    </w:p>
    <w:p w14:paraId="7969F770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Der foreligger ikke tilstrækkelige data om brugen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hos gravide kvinder. </w:t>
      </w:r>
    </w:p>
    <w:p w14:paraId="71467846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Hos dyr behandlet med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på tidspunktet for implantation, forårsagede dette fosterresorption (se pkt. 5.3). Relevansen af disse data hos mennesker er ukendt.</w:t>
      </w:r>
    </w:p>
    <w:p w14:paraId="3781078C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6C0B51E9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392DD6">
        <w:rPr>
          <w:rFonts w:eastAsia="TimesNewRoman"/>
          <w:sz w:val="24"/>
          <w:szCs w:val="24"/>
          <w:u w:val="single"/>
        </w:rPr>
        <w:t>Amning</w:t>
      </w:r>
    </w:p>
    <w:p w14:paraId="09523F80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Det er ukendt, om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udskilles i human mælk.</w:t>
      </w:r>
    </w:p>
    <w:p w14:paraId="335ABBB0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3ADF0C87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Anvendelse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er kontraindiceret under graviditet og amning (se pkt. 4.3).</w:t>
      </w:r>
    </w:p>
    <w:p w14:paraId="19F07CB9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39ED8B57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  <w:u w:val="single"/>
        </w:rPr>
        <w:t>Fertilitet</w:t>
      </w:r>
    </w:p>
    <w:p w14:paraId="6907630B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bruges i behandlingen af kvinder, som får kontrolleret ovarieoverstimulation i assisterede reproduktionsprogrammer.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anvendes til forebyggelse af for tidlige LH-stigninger, der ellers kunne opstå hos disse kvinder under ovariestimulationen.</w:t>
      </w:r>
    </w:p>
    <w:p w14:paraId="5B6F800D" w14:textId="77777777" w:rsidR="005360B5" w:rsidRPr="00392DD6" w:rsidRDefault="005360B5" w:rsidP="00983BCC">
      <w:pPr>
        <w:tabs>
          <w:tab w:val="left" w:pos="851"/>
        </w:tabs>
        <w:ind w:left="851"/>
        <w:rPr>
          <w:rFonts w:eastAsia="TimesNewRoman"/>
          <w:sz w:val="24"/>
          <w:szCs w:val="24"/>
        </w:rPr>
      </w:pPr>
    </w:p>
    <w:p w14:paraId="5F905181" w14:textId="77777777" w:rsidR="005360B5" w:rsidRPr="00392DD6" w:rsidRDefault="005360B5" w:rsidP="00983BCC">
      <w:pPr>
        <w:tabs>
          <w:tab w:val="left" w:pos="851"/>
        </w:tabs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For dosering og administrationsmåde, se pkt. 4.2.</w:t>
      </w:r>
    </w:p>
    <w:p w14:paraId="567985A9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098E59" w14:textId="002C15BB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4.7</w:t>
      </w:r>
      <w:r w:rsidRPr="00392DD6">
        <w:rPr>
          <w:b/>
          <w:sz w:val="24"/>
          <w:szCs w:val="24"/>
        </w:rPr>
        <w:tab/>
        <w:t xml:space="preserve">Virkning på evnen til at føre motorkøretøj </w:t>
      </w:r>
      <w:r w:rsidR="004C1F89">
        <w:rPr>
          <w:b/>
          <w:sz w:val="24"/>
          <w:szCs w:val="24"/>
        </w:rPr>
        <w:t>og</w:t>
      </w:r>
      <w:r w:rsidRPr="00392DD6">
        <w:rPr>
          <w:b/>
          <w:sz w:val="24"/>
          <w:szCs w:val="24"/>
        </w:rPr>
        <w:t xml:space="preserve"> betjene maskiner</w:t>
      </w:r>
    </w:p>
    <w:p w14:paraId="1E67A9A6" w14:textId="77777777" w:rsidR="005360B5" w:rsidRPr="00392DD6" w:rsidRDefault="005360B5" w:rsidP="00983BCC">
      <w:pPr>
        <w:ind w:left="851"/>
        <w:rPr>
          <w:sz w:val="24"/>
          <w:szCs w:val="24"/>
          <w:lang w:eastAsia="da-DK"/>
        </w:rPr>
      </w:pPr>
      <w:r w:rsidRPr="00392DD6">
        <w:rPr>
          <w:sz w:val="24"/>
          <w:szCs w:val="24"/>
        </w:rPr>
        <w:t>Ikke mærkning.</w:t>
      </w:r>
    </w:p>
    <w:p w14:paraId="09E3F9D5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Der er ikke foretaget undersøgelser af virkningen på evnen til at føre motorkøretøj og betjene maskiner.</w:t>
      </w:r>
    </w:p>
    <w:p w14:paraId="1E61E47A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C86EE5E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4.8</w:t>
      </w:r>
      <w:r w:rsidRPr="00392DD6">
        <w:rPr>
          <w:b/>
          <w:sz w:val="24"/>
          <w:szCs w:val="24"/>
        </w:rPr>
        <w:tab/>
        <w:t>Bivirkninger</w:t>
      </w:r>
    </w:p>
    <w:p w14:paraId="213D46CB" w14:textId="77777777" w:rsidR="00D65D68" w:rsidRDefault="00D65D68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</w:p>
    <w:p w14:paraId="4E38C479" w14:textId="67AE353D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  <w:lang w:eastAsia="da-DK"/>
        </w:rPr>
      </w:pPr>
      <w:r w:rsidRPr="00392DD6">
        <w:rPr>
          <w:rFonts w:eastAsia="TimesNewRoman"/>
          <w:sz w:val="24"/>
          <w:szCs w:val="24"/>
          <w:u w:val="single"/>
        </w:rPr>
        <w:t>Opsummering af sikkerhedsprofilen</w:t>
      </w:r>
    </w:p>
    <w:p w14:paraId="72D62DEC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Tabellen nedenfor viser alle bivirkninger set hos kvinder, som blev behandlet med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i kliniske studier, hvor </w:t>
      </w:r>
      <w:proofErr w:type="spellStart"/>
      <w:r w:rsidRPr="00392DD6">
        <w:rPr>
          <w:rFonts w:eastAsia="TimesNewRoman"/>
          <w:sz w:val="24"/>
          <w:szCs w:val="24"/>
        </w:rPr>
        <w:t>recFSH</w:t>
      </w:r>
      <w:proofErr w:type="spellEnd"/>
      <w:r w:rsidRPr="00392DD6">
        <w:rPr>
          <w:rFonts w:eastAsia="TimesNewRoman"/>
          <w:sz w:val="24"/>
          <w:szCs w:val="24"/>
        </w:rPr>
        <w:t xml:space="preserve"> blev anvendt til ovariestimulation. Det forventes, at de samme bivirkninger vil ses ved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behandling med anvendelse af </w:t>
      </w:r>
      <w:proofErr w:type="spellStart"/>
      <w:r w:rsidRPr="00392DD6">
        <w:rPr>
          <w:rFonts w:eastAsia="TimesNewRoman"/>
          <w:sz w:val="24"/>
          <w:szCs w:val="24"/>
        </w:rPr>
        <w:t>corifollitropin</w:t>
      </w:r>
      <w:proofErr w:type="spellEnd"/>
      <w:r w:rsidRPr="00392DD6">
        <w:rPr>
          <w:rFonts w:eastAsia="TimesNewRoman"/>
          <w:sz w:val="24"/>
          <w:szCs w:val="24"/>
        </w:rPr>
        <w:t xml:space="preserve"> alfa til ovariestimulation.</w:t>
      </w:r>
    </w:p>
    <w:p w14:paraId="1DAC9A04" w14:textId="5A96A365" w:rsidR="00F256BA" w:rsidRDefault="00F256BA">
      <w:pPr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br w:type="page"/>
      </w:r>
    </w:p>
    <w:p w14:paraId="60073B65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019D58DC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392DD6">
        <w:rPr>
          <w:rFonts w:eastAsia="TimesNewRoman"/>
          <w:sz w:val="24"/>
          <w:szCs w:val="24"/>
          <w:u w:val="single"/>
        </w:rPr>
        <w:t>Bivirkningstabel</w:t>
      </w:r>
    </w:p>
    <w:p w14:paraId="0C669564" w14:textId="77777777" w:rsidR="005360B5" w:rsidRPr="00392DD6" w:rsidRDefault="005360B5" w:rsidP="00983BCC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Bivirkningerne er klassificeret i henhold til </w:t>
      </w:r>
      <w:proofErr w:type="spellStart"/>
      <w:r w:rsidRPr="00392DD6">
        <w:rPr>
          <w:rFonts w:eastAsia="TimesNewRoman"/>
          <w:sz w:val="24"/>
          <w:szCs w:val="24"/>
        </w:rPr>
        <w:t>MedDRA</w:t>
      </w:r>
      <w:proofErr w:type="spellEnd"/>
      <w:r w:rsidRPr="00392DD6">
        <w:rPr>
          <w:rFonts w:eastAsia="TimesNewRoman"/>
          <w:sz w:val="24"/>
          <w:szCs w:val="24"/>
        </w:rPr>
        <w:t xml:space="preserve"> systemorganklasse og hyppighed; meget almindelig (≥1/10), almindelig (≥1/100 til &lt;1/10), ikke almindelig (≥1/1.000 til &lt;1/100). Hyppigheden af overfølsomhedsreaktioner (meget sjælden, &lt;1/10.000) er udledt fra post-marketingovervågning.</w:t>
      </w:r>
    </w:p>
    <w:p w14:paraId="567DC9E9" w14:textId="77777777" w:rsidR="005360B5" w:rsidRPr="00392DD6" w:rsidRDefault="005360B5" w:rsidP="005360B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tbl>
      <w:tblPr>
        <w:tblStyle w:val="Tabel-Gitter"/>
        <w:tblW w:w="8687" w:type="dxa"/>
        <w:tblInd w:w="846" w:type="dxa"/>
        <w:tblLook w:val="04A0" w:firstRow="1" w:lastRow="0" w:firstColumn="1" w:lastColumn="0" w:noHBand="0" w:noVBand="1"/>
      </w:tblPr>
      <w:tblGrid>
        <w:gridCol w:w="2283"/>
        <w:gridCol w:w="2027"/>
        <w:gridCol w:w="4377"/>
      </w:tblGrid>
      <w:tr w:rsidR="005360B5" w:rsidRPr="00392DD6" w14:paraId="4E20251C" w14:textId="77777777" w:rsidTr="00983B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B7D7E9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  <w:sz w:val="24"/>
                <w:szCs w:val="24"/>
              </w:rPr>
            </w:pPr>
            <w:r w:rsidRPr="00392DD6">
              <w:rPr>
                <w:rFonts w:eastAsia="TimesNewRoman"/>
                <w:b/>
                <w:bCs/>
                <w:sz w:val="24"/>
                <w:szCs w:val="24"/>
              </w:rPr>
              <w:t xml:space="preserve">Systemorganklasse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1E2C2C9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  <w:sz w:val="24"/>
                <w:szCs w:val="24"/>
              </w:rPr>
            </w:pPr>
            <w:r w:rsidRPr="00392DD6">
              <w:rPr>
                <w:rFonts w:eastAsia="TimesNewRoman"/>
                <w:b/>
                <w:bCs/>
                <w:sz w:val="24"/>
                <w:szCs w:val="24"/>
              </w:rPr>
              <w:t>Hyppighed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3577B41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b/>
                <w:bCs/>
                <w:sz w:val="24"/>
                <w:szCs w:val="24"/>
              </w:rPr>
            </w:pPr>
            <w:r w:rsidRPr="00392DD6">
              <w:rPr>
                <w:rFonts w:eastAsia="TimesNewRoman"/>
                <w:b/>
                <w:bCs/>
                <w:sz w:val="24"/>
                <w:szCs w:val="24"/>
              </w:rPr>
              <w:t>Bivirkning</w:t>
            </w:r>
          </w:p>
        </w:tc>
      </w:tr>
      <w:tr w:rsidR="005360B5" w:rsidRPr="00392DD6" w14:paraId="62101107" w14:textId="77777777" w:rsidTr="00983B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7B5D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i/>
                <w:iCs/>
                <w:sz w:val="24"/>
                <w:szCs w:val="24"/>
              </w:rPr>
              <w:t>Immunsystemet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709C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rFonts w:eastAsia="TimesNewRoman"/>
                <w:sz w:val="24"/>
                <w:szCs w:val="24"/>
              </w:rPr>
              <w:t>Meget sjælden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D1A2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vertAlign w:val="superscript"/>
              </w:rPr>
            </w:pPr>
            <w:r w:rsidRPr="00392DD6">
              <w:rPr>
                <w:rFonts w:eastAsia="TimesNewRoman"/>
                <w:sz w:val="24"/>
                <w:szCs w:val="24"/>
              </w:rPr>
              <w:t xml:space="preserve">Overfølsomhedsreaktioner (med udslæt, opsvulmet ansigt, dyspnø, anafylaksi (herunder </w:t>
            </w:r>
            <w:proofErr w:type="spellStart"/>
            <w:r w:rsidRPr="00392DD6">
              <w:rPr>
                <w:rFonts w:eastAsia="TimesNewRoman"/>
                <w:sz w:val="24"/>
                <w:szCs w:val="24"/>
              </w:rPr>
              <w:t>anafylaktisk</w:t>
            </w:r>
            <w:proofErr w:type="spellEnd"/>
            <w:r w:rsidRPr="00392DD6">
              <w:rPr>
                <w:rFonts w:eastAsia="TimesNewRoman"/>
                <w:sz w:val="24"/>
                <w:szCs w:val="24"/>
              </w:rPr>
              <w:t xml:space="preserve"> </w:t>
            </w:r>
            <w:proofErr w:type="spellStart"/>
            <w:r w:rsidRPr="00392DD6">
              <w:rPr>
                <w:rFonts w:eastAsia="TimesNewRoman"/>
                <w:sz w:val="24"/>
                <w:szCs w:val="24"/>
              </w:rPr>
              <w:t>shock</w:t>
            </w:r>
            <w:proofErr w:type="spellEnd"/>
            <w:r w:rsidRPr="00392DD6">
              <w:rPr>
                <w:rFonts w:eastAsia="TimesNewRoman"/>
                <w:sz w:val="24"/>
                <w:szCs w:val="24"/>
              </w:rPr>
              <w:t xml:space="preserve">), </w:t>
            </w:r>
            <w:proofErr w:type="spellStart"/>
            <w:r w:rsidRPr="00392DD6">
              <w:rPr>
                <w:rFonts w:eastAsia="TimesNewRoman"/>
                <w:sz w:val="24"/>
                <w:szCs w:val="24"/>
              </w:rPr>
              <w:t>angioødem</w:t>
            </w:r>
            <w:proofErr w:type="spellEnd"/>
            <w:r w:rsidRPr="00392DD6">
              <w:rPr>
                <w:rFonts w:eastAsia="TimesNewRoman"/>
                <w:sz w:val="24"/>
                <w:szCs w:val="24"/>
              </w:rPr>
              <w:t xml:space="preserve"> og </w:t>
            </w:r>
            <w:proofErr w:type="spellStart"/>
            <w:r w:rsidRPr="00392DD6">
              <w:rPr>
                <w:rFonts w:eastAsia="TimesNewRoman"/>
                <w:sz w:val="24"/>
                <w:szCs w:val="24"/>
              </w:rPr>
              <w:t>urticaria</w:t>
            </w:r>
            <w:proofErr w:type="spellEnd"/>
            <w:r w:rsidRPr="00392DD6">
              <w:rPr>
                <w:rFonts w:eastAsia="TimesNewRoman"/>
                <w:sz w:val="24"/>
                <w:szCs w:val="24"/>
              </w:rPr>
              <w:t>)</w:t>
            </w:r>
            <w:r w:rsidRPr="00392DD6">
              <w:rPr>
                <w:rFonts w:eastAsia="TimesNewRoman"/>
                <w:sz w:val="24"/>
                <w:szCs w:val="24"/>
                <w:vertAlign w:val="superscript"/>
              </w:rPr>
              <w:t>1</w:t>
            </w:r>
          </w:p>
          <w:p w14:paraId="47F02033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vertAlign w:val="superscript"/>
              </w:rPr>
            </w:pPr>
            <w:r w:rsidRPr="00392DD6">
              <w:rPr>
                <w:rFonts w:eastAsia="TimesNewRoman"/>
                <w:sz w:val="24"/>
                <w:szCs w:val="24"/>
              </w:rPr>
              <w:t>Forværring af allerede eksisterende eksem</w:t>
            </w:r>
            <w:r w:rsidRPr="00392DD6">
              <w:rPr>
                <w:rFonts w:eastAsia="TimesNewRoman"/>
                <w:sz w:val="24"/>
                <w:szCs w:val="24"/>
                <w:vertAlign w:val="superscript"/>
              </w:rPr>
              <w:t>2</w:t>
            </w:r>
          </w:p>
        </w:tc>
      </w:tr>
      <w:tr w:rsidR="005360B5" w:rsidRPr="00392DD6" w14:paraId="275E94C2" w14:textId="77777777" w:rsidTr="00983B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24D8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i/>
                <w:iCs/>
                <w:sz w:val="24"/>
                <w:szCs w:val="24"/>
              </w:rPr>
              <w:t>Nervesystemet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2A25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rFonts w:eastAsia="TimesNewRoman"/>
                <w:sz w:val="24"/>
                <w:szCs w:val="24"/>
              </w:rPr>
              <w:t>Ikke almindelig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7F57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rFonts w:eastAsia="TimesNewRoman"/>
                <w:sz w:val="24"/>
                <w:szCs w:val="24"/>
              </w:rPr>
              <w:t>Hovedpine</w:t>
            </w:r>
          </w:p>
          <w:p w14:paraId="5A9F2BC2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</w:p>
        </w:tc>
      </w:tr>
      <w:tr w:rsidR="005360B5" w:rsidRPr="00392DD6" w14:paraId="10DBC319" w14:textId="77777777" w:rsidTr="00983BCC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A3CD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i/>
                <w:iCs/>
                <w:sz w:val="24"/>
                <w:szCs w:val="24"/>
              </w:rPr>
              <w:t>Mave-tarm-kanalen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DAB2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rFonts w:eastAsia="TimesNewRoman"/>
                <w:sz w:val="24"/>
                <w:szCs w:val="24"/>
              </w:rPr>
              <w:t xml:space="preserve">Ikke almindelig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5CE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rFonts w:eastAsia="TimesNewRoman"/>
                <w:sz w:val="24"/>
                <w:szCs w:val="24"/>
              </w:rPr>
              <w:t>Kvalme</w:t>
            </w:r>
          </w:p>
          <w:p w14:paraId="3C5E8331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</w:p>
        </w:tc>
      </w:tr>
      <w:tr w:rsidR="005360B5" w:rsidRPr="00392DD6" w14:paraId="2D7ED749" w14:textId="77777777" w:rsidTr="00983BCC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56D2" w14:textId="77777777" w:rsidR="005360B5" w:rsidRPr="00392DD6" w:rsidRDefault="005360B5">
            <w:pPr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392DD6">
              <w:rPr>
                <w:i/>
                <w:iCs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78DBB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rFonts w:eastAsia="TimesNewRoman"/>
                <w:sz w:val="24"/>
                <w:szCs w:val="24"/>
              </w:rPr>
              <w:t>Meget almindelig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17CC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  <w:vertAlign w:val="superscript"/>
              </w:rPr>
            </w:pPr>
            <w:r w:rsidRPr="00392DD6">
              <w:rPr>
                <w:rFonts w:eastAsia="TimesNewRoman"/>
                <w:sz w:val="24"/>
                <w:szCs w:val="24"/>
              </w:rPr>
              <w:t>Lokal hudreaktion på injektionsstedet (især rødmen med eller uden hævelse)</w:t>
            </w:r>
            <w:r w:rsidRPr="00392DD6">
              <w:rPr>
                <w:rFonts w:eastAsia="TimesNewRoman"/>
                <w:sz w:val="24"/>
                <w:szCs w:val="24"/>
                <w:vertAlign w:val="superscript"/>
              </w:rPr>
              <w:t>3</w:t>
            </w:r>
          </w:p>
        </w:tc>
      </w:tr>
      <w:tr w:rsidR="005360B5" w:rsidRPr="00392DD6" w14:paraId="0F0436BB" w14:textId="77777777" w:rsidTr="00983BCC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5CDD4" w14:textId="77777777" w:rsidR="005360B5" w:rsidRPr="00392DD6" w:rsidRDefault="005360B5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34B4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rFonts w:eastAsia="TimesNewRoman"/>
                <w:sz w:val="24"/>
                <w:szCs w:val="24"/>
              </w:rPr>
              <w:t xml:space="preserve">Ikke almindelig 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AC70" w14:textId="77777777" w:rsidR="005360B5" w:rsidRPr="00392DD6" w:rsidRDefault="005360B5">
            <w:pPr>
              <w:autoSpaceDE w:val="0"/>
              <w:autoSpaceDN w:val="0"/>
              <w:adjustRightInd w:val="0"/>
              <w:rPr>
                <w:rFonts w:eastAsia="TimesNewRoman"/>
                <w:sz w:val="24"/>
                <w:szCs w:val="24"/>
              </w:rPr>
            </w:pPr>
            <w:r w:rsidRPr="00392DD6">
              <w:rPr>
                <w:rFonts w:eastAsia="TimesNewRoman"/>
                <w:sz w:val="24"/>
                <w:szCs w:val="24"/>
              </w:rPr>
              <w:t xml:space="preserve">Utilpashed </w:t>
            </w:r>
          </w:p>
        </w:tc>
      </w:tr>
    </w:tbl>
    <w:p w14:paraId="2FB468F2" w14:textId="77777777" w:rsidR="005360B5" w:rsidRPr="00392DD6" w:rsidRDefault="005360B5" w:rsidP="00983BCC">
      <w:pPr>
        <w:pStyle w:val="Listeafsnit"/>
        <w:numPr>
          <w:ilvl w:val="0"/>
          <w:numId w:val="7"/>
        </w:numPr>
        <w:autoSpaceDE w:val="0"/>
        <w:autoSpaceDN w:val="0"/>
        <w:adjustRightInd w:val="0"/>
        <w:ind w:left="1134" w:hanging="283"/>
        <w:rPr>
          <w:rFonts w:eastAsia="TimesNewRoman"/>
          <w:szCs w:val="24"/>
        </w:rPr>
      </w:pPr>
      <w:r w:rsidRPr="00392DD6">
        <w:rPr>
          <w:rFonts w:eastAsia="TimesNewRoman"/>
          <w:szCs w:val="24"/>
        </w:rPr>
        <w:t xml:space="preserve">Der er rapporteret tilfælde så tidligt som ved første dosis hos patienter, der havde fået </w:t>
      </w:r>
      <w:proofErr w:type="spellStart"/>
      <w:r w:rsidRPr="00392DD6">
        <w:rPr>
          <w:rFonts w:eastAsia="TimesNewRoman"/>
          <w:szCs w:val="24"/>
        </w:rPr>
        <w:t>ganirelix</w:t>
      </w:r>
      <w:proofErr w:type="spellEnd"/>
      <w:r w:rsidRPr="00392DD6">
        <w:rPr>
          <w:rFonts w:eastAsia="TimesNewRoman"/>
          <w:szCs w:val="24"/>
        </w:rPr>
        <w:t>.</w:t>
      </w:r>
    </w:p>
    <w:p w14:paraId="372ACA8E" w14:textId="77777777" w:rsidR="005360B5" w:rsidRPr="00392DD6" w:rsidRDefault="005360B5" w:rsidP="00983BCC">
      <w:pPr>
        <w:pStyle w:val="Listeafsnit"/>
        <w:numPr>
          <w:ilvl w:val="0"/>
          <w:numId w:val="7"/>
        </w:numPr>
        <w:autoSpaceDE w:val="0"/>
        <w:autoSpaceDN w:val="0"/>
        <w:adjustRightInd w:val="0"/>
        <w:ind w:left="1134" w:hanging="283"/>
        <w:rPr>
          <w:rFonts w:eastAsia="TimesNewRoman"/>
          <w:szCs w:val="24"/>
        </w:rPr>
      </w:pPr>
      <w:r w:rsidRPr="00392DD6">
        <w:rPr>
          <w:rFonts w:eastAsia="TimesNewRoman"/>
          <w:szCs w:val="24"/>
        </w:rPr>
        <w:t xml:space="preserve">Rapporteret hos en forsøgsperson efter første dosis </w:t>
      </w:r>
      <w:proofErr w:type="spellStart"/>
      <w:r w:rsidRPr="00392DD6">
        <w:rPr>
          <w:rFonts w:eastAsia="TimesNewRoman"/>
          <w:szCs w:val="24"/>
        </w:rPr>
        <w:t>ganirelix</w:t>
      </w:r>
      <w:proofErr w:type="spellEnd"/>
      <w:r w:rsidRPr="00392DD6">
        <w:rPr>
          <w:rFonts w:eastAsia="TimesNewRoman"/>
          <w:szCs w:val="24"/>
        </w:rPr>
        <w:t>.</w:t>
      </w:r>
    </w:p>
    <w:p w14:paraId="7FA97DBA" w14:textId="77777777" w:rsidR="005360B5" w:rsidRPr="00392DD6" w:rsidRDefault="005360B5" w:rsidP="00983BCC">
      <w:pPr>
        <w:pStyle w:val="Listeafsnit"/>
        <w:numPr>
          <w:ilvl w:val="0"/>
          <w:numId w:val="7"/>
        </w:numPr>
        <w:autoSpaceDE w:val="0"/>
        <w:autoSpaceDN w:val="0"/>
        <w:adjustRightInd w:val="0"/>
        <w:ind w:left="1134" w:hanging="283"/>
        <w:rPr>
          <w:rFonts w:eastAsia="TimesNewRoman"/>
          <w:szCs w:val="24"/>
        </w:rPr>
      </w:pPr>
      <w:r w:rsidRPr="00392DD6">
        <w:rPr>
          <w:rFonts w:eastAsia="TimesNewRoman"/>
          <w:szCs w:val="24"/>
        </w:rPr>
        <w:t xml:space="preserve">I kliniske studier, hvor reaktionerne var rapporteret af patienterne, var forekomsten af moderat til svær hudreaktion en time efter injektion mindst en gang per behandlingscyklus 12 % hos patienter behandlet med </w:t>
      </w:r>
      <w:proofErr w:type="spellStart"/>
      <w:r w:rsidRPr="00392DD6">
        <w:rPr>
          <w:rFonts w:eastAsia="TimesNewRoman"/>
          <w:szCs w:val="24"/>
        </w:rPr>
        <w:t>ganirelix</w:t>
      </w:r>
      <w:proofErr w:type="spellEnd"/>
      <w:r w:rsidRPr="00392DD6">
        <w:rPr>
          <w:rFonts w:eastAsia="TimesNewRoman"/>
          <w:szCs w:val="24"/>
        </w:rPr>
        <w:t xml:space="preserve"> og 25 % hos patienter behandlet subkutant med en </w:t>
      </w:r>
      <w:proofErr w:type="spellStart"/>
      <w:r w:rsidRPr="00392DD6">
        <w:rPr>
          <w:rFonts w:eastAsia="TimesNewRoman"/>
          <w:szCs w:val="24"/>
        </w:rPr>
        <w:t>GnRH</w:t>
      </w:r>
      <w:proofErr w:type="spellEnd"/>
      <w:r w:rsidRPr="00392DD6">
        <w:rPr>
          <w:rFonts w:eastAsia="TimesNewRoman"/>
          <w:szCs w:val="24"/>
        </w:rPr>
        <w:t>-agonist. Lokale reaktioner forsvinder normalt inden for 4 timer efter administration.</w:t>
      </w:r>
    </w:p>
    <w:p w14:paraId="2449481A" w14:textId="77777777" w:rsidR="005360B5" w:rsidRPr="00392DD6" w:rsidRDefault="005360B5" w:rsidP="005360B5">
      <w:pPr>
        <w:autoSpaceDE w:val="0"/>
        <w:autoSpaceDN w:val="0"/>
        <w:adjustRightInd w:val="0"/>
        <w:rPr>
          <w:rFonts w:eastAsia="TimesNewRoman"/>
          <w:sz w:val="24"/>
          <w:szCs w:val="24"/>
          <w:u w:val="single"/>
        </w:rPr>
      </w:pPr>
    </w:p>
    <w:p w14:paraId="2A5FC6EB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392DD6">
        <w:rPr>
          <w:rFonts w:eastAsia="TimesNewRoman"/>
          <w:sz w:val="24"/>
          <w:szCs w:val="24"/>
          <w:u w:val="single"/>
        </w:rPr>
        <w:t>Beskrivelse af udvalgte bivirkninger</w:t>
      </w:r>
    </w:p>
    <w:p w14:paraId="375EE510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Andre rapporterede bivirkninger skyldes snarere den kontrollerede ovarieoverstimulations-behandling i forbindelse med ART, særligt </w:t>
      </w:r>
      <w:proofErr w:type="spellStart"/>
      <w:r w:rsidRPr="00392DD6">
        <w:rPr>
          <w:rFonts w:eastAsia="TimesNewRoman"/>
          <w:sz w:val="24"/>
          <w:szCs w:val="24"/>
        </w:rPr>
        <w:t>abdominalsmerter</w:t>
      </w:r>
      <w:proofErr w:type="spellEnd"/>
      <w:r w:rsidRPr="00392DD6">
        <w:rPr>
          <w:rFonts w:eastAsia="TimesNewRoman"/>
          <w:sz w:val="24"/>
          <w:szCs w:val="24"/>
        </w:rPr>
        <w:t>, udspilning af abdomen, OHSS (se også pkt. 4.4), ekstrauterin graviditet og spontan abort.</w:t>
      </w:r>
    </w:p>
    <w:p w14:paraId="4E86596C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1321706F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92DD6">
        <w:rPr>
          <w:sz w:val="24"/>
          <w:szCs w:val="24"/>
          <w:u w:val="single"/>
        </w:rPr>
        <w:t>Indberetning af formodede bivirkninger</w:t>
      </w:r>
    </w:p>
    <w:p w14:paraId="04E310E5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2DD6">
        <w:rPr>
          <w:sz w:val="24"/>
          <w:szCs w:val="24"/>
        </w:rPr>
        <w:t>risk</w:t>
      </w:r>
      <w:proofErr w:type="spellEnd"/>
      <w:r w:rsidRPr="00392DD6">
        <w:rPr>
          <w:sz w:val="24"/>
          <w:szCs w:val="24"/>
        </w:rPr>
        <w:t>-forholdet for lægemidlet. Sundhedspersoner anmodes om at indberette alle formodede bivirkninger via:</w:t>
      </w:r>
    </w:p>
    <w:p w14:paraId="160BC802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</w:p>
    <w:p w14:paraId="5D04ABA6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>Lægemiddelstyrelsen</w:t>
      </w:r>
    </w:p>
    <w:p w14:paraId="1739DE9E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>Axel Heides Gade 1</w:t>
      </w:r>
    </w:p>
    <w:p w14:paraId="221E08AD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>DK-2300 København S</w:t>
      </w:r>
    </w:p>
    <w:p w14:paraId="753F8DF1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 xml:space="preserve">Websted: </w:t>
      </w:r>
      <w:hyperlink r:id="rId8" w:history="1">
        <w:r w:rsidRPr="00392DD6">
          <w:rPr>
            <w:rStyle w:val="Hyperlink"/>
            <w:sz w:val="24"/>
            <w:szCs w:val="24"/>
          </w:rPr>
          <w:t>www.meldenbivirkning.dk</w:t>
        </w:r>
      </w:hyperlink>
    </w:p>
    <w:p w14:paraId="18841370" w14:textId="77777777" w:rsidR="009260DE" w:rsidRPr="00392DD6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1DEA7D51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4.9</w:t>
      </w:r>
      <w:r w:rsidRPr="00392DD6">
        <w:rPr>
          <w:b/>
          <w:sz w:val="24"/>
          <w:szCs w:val="24"/>
        </w:rPr>
        <w:tab/>
        <w:t>Overdosering</w:t>
      </w:r>
    </w:p>
    <w:p w14:paraId="23A6FB90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392DD6">
        <w:rPr>
          <w:rFonts w:eastAsia="TimesNewRoman"/>
          <w:sz w:val="24"/>
          <w:szCs w:val="24"/>
        </w:rPr>
        <w:t xml:space="preserve">Overdosering hos mennesker kan forårsage forlængelse af virkningen. </w:t>
      </w:r>
    </w:p>
    <w:p w14:paraId="580D8A7E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1A86F30B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Der findes ingen data, der omhandler akut toksicitet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hos mennesker. Kliniske studier med subkutan indgivelse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i doser på op til 12 mg viste ikke systemiske bivirkninger. I akutte toksicitetsstudier på rotter og aber blev non-specifikke toksiske symptomer som hypotension og bradykardi kun observeret efter </w:t>
      </w:r>
      <w:proofErr w:type="spellStart"/>
      <w:r w:rsidRPr="00392DD6">
        <w:rPr>
          <w:rFonts w:eastAsia="TimesNewRoman"/>
          <w:sz w:val="24"/>
          <w:szCs w:val="24"/>
        </w:rPr>
        <w:t>i.v</w:t>
      </w:r>
      <w:proofErr w:type="spellEnd"/>
      <w:r w:rsidRPr="00392DD6">
        <w:rPr>
          <w:rFonts w:eastAsia="TimesNewRoman"/>
          <w:sz w:val="24"/>
          <w:szCs w:val="24"/>
        </w:rPr>
        <w:t xml:space="preserve">. indgift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på over henholdsvis 1 og 3 mg/kg. </w:t>
      </w:r>
    </w:p>
    <w:p w14:paraId="4626BCB8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5722C2DF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I tilfælde af overdosering skal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behandlingen (midlertidigt) stoppes.</w:t>
      </w:r>
    </w:p>
    <w:p w14:paraId="0266C6B2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E15230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4.10</w:t>
      </w:r>
      <w:r w:rsidRPr="00392DD6">
        <w:rPr>
          <w:b/>
          <w:sz w:val="24"/>
          <w:szCs w:val="24"/>
        </w:rPr>
        <w:tab/>
        <w:t>Udlevering</w:t>
      </w:r>
    </w:p>
    <w:p w14:paraId="264BE9E5" w14:textId="13C5D53A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392DD6">
        <w:rPr>
          <w:rFonts w:eastAsia="TimesNewRoman"/>
          <w:sz w:val="24"/>
          <w:szCs w:val="24"/>
        </w:rPr>
        <w:t xml:space="preserve">NBS (kun til sygehuse og </w:t>
      </w:r>
      <w:r w:rsidR="00392DD6" w:rsidRPr="00392DD6">
        <w:rPr>
          <w:rFonts w:eastAsia="TimesNewRoman"/>
          <w:sz w:val="24"/>
          <w:szCs w:val="24"/>
        </w:rPr>
        <w:t xml:space="preserve">efter ordination af </w:t>
      </w:r>
      <w:r w:rsidRPr="00392DD6">
        <w:rPr>
          <w:rFonts w:eastAsia="TimesNewRoman"/>
          <w:sz w:val="24"/>
          <w:szCs w:val="24"/>
        </w:rPr>
        <w:t xml:space="preserve">speciallæger i gynækologi/obstetrik). </w:t>
      </w:r>
    </w:p>
    <w:p w14:paraId="7421E83C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3D7458C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940087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5.</w:t>
      </w:r>
      <w:r w:rsidRPr="00392DD6">
        <w:rPr>
          <w:b/>
          <w:sz w:val="24"/>
          <w:szCs w:val="24"/>
        </w:rPr>
        <w:tab/>
        <w:t>FARMAKOLOGISKE EGENSKABER</w:t>
      </w:r>
    </w:p>
    <w:p w14:paraId="3CE4E767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A2A03B" w14:textId="364A66C6" w:rsidR="009260DE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5.1</w:t>
      </w:r>
      <w:r w:rsidRPr="00392DD6">
        <w:rPr>
          <w:b/>
          <w:sz w:val="24"/>
          <w:szCs w:val="24"/>
        </w:rPr>
        <w:tab/>
      </w:r>
      <w:proofErr w:type="spellStart"/>
      <w:r w:rsidRPr="00392DD6">
        <w:rPr>
          <w:b/>
          <w:sz w:val="24"/>
          <w:szCs w:val="24"/>
        </w:rPr>
        <w:t>Farmakodynamiske</w:t>
      </w:r>
      <w:proofErr w:type="spellEnd"/>
      <w:r w:rsidRPr="00392DD6">
        <w:rPr>
          <w:b/>
          <w:sz w:val="24"/>
          <w:szCs w:val="24"/>
        </w:rPr>
        <w:t xml:space="preserve"> egenskaber</w:t>
      </w:r>
    </w:p>
    <w:p w14:paraId="7EAB29FE" w14:textId="22B82DD0" w:rsidR="004C1F89" w:rsidRPr="00392DD6" w:rsidRDefault="004C1F89" w:rsidP="004C1F89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r w:rsidRPr="00392DD6">
        <w:rPr>
          <w:rFonts w:eastAsia="TimesNewRoman"/>
          <w:sz w:val="24"/>
          <w:szCs w:val="24"/>
        </w:rPr>
        <w:t xml:space="preserve">Hypofyse- og </w:t>
      </w:r>
      <w:proofErr w:type="spellStart"/>
      <w:r w:rsidRPr="00392DD6">
        <w:rPr>
          <w:rFonts w:eastAsia="TimesNewRoman"/>
          <w:sz w:val="24"/>
          <w:szCs w:val="24"/>
        </w:rPr>
        <w:t>hypothalamushormoner</w:t>
      </w:r>
      <w:proofErr w:type="spellEnd"/>
      <w:r w:rsidRPr="00392DD6">
        <w:rPr>
          <w:rFonts w:eastAsia="TimesNewRoman"/>
          <w:sz w:val="24"/>
          <w:szCs w:val="24"/>
        </w:rPr>
        <w:t xml:space="preserve"> og </w:t>
      </w:r>
      <w:proofErr w:type="spellStart"/>
      <w:r w:rsidRPr="00392DD6">
        <w:rPr>
          <w:rFonts w:eastAsia="TimesNewRoman"/>
          <w:sz w:val="24"/>
          <w:szCs w:val="24"/>
        </w:rPr>
        <w:t>analoger</w:t>
      </w:r>
      <w:proofErr w:type="spellEnd"/>
      <w:r w:rsidRPr="00392DD6">
        <w:rPr>
          <w:rFonts w:eastAsia="TimesNewRoman"/>
          <w:sz w:val="24"/>
          <w:szCs w:val="24"/>
        </w:rPr>
        <w:t xml:space="preserve">, </w:t>
      </w:r>
      <w:proofErr w:type="spellStart"/>
      <w:r w:rsidRPr="00392DD6">
        <w:rPr>
          <w:rFonts w:eastAsia="TimesNewRoman"/>
          <w:sz w:val="24"/>
          <w:szCs w:val="24"/>
        </w:rPr>
        <w:t>antigonadotropin</w:t>
      </w:r>
      <w:proofErr w:type="spellEnd"/>
      <w:r w:rsidRPr="00392DD6">
        <w:rPr>
          <w:rFonts w:eastAsia="TimesNewRoman"/>
          <w:sz w:val="24"/>
          <w:szCs w:val="24"/>
        </w:rPr>
        <w:t xml:space="preserve"> frigivende hormon</w:t>
      </w:r>
      <w:r>
        <w:rPr>
          <w:rFonts w:eastAsia="TimesNewRoman"/>
          <w:sz w:val="24"/>
          <w:szCs w:val="24"/>
        </w:rPr>
        <w:t xml:space="preserve">, </w:t>
      </w:r>
      <w:r w:rsidRPr="00392DD6">
        <w:rPr>
          <w:rFonts w:eastAsia="TimesNewRoman"/>
          <w:sz w:val="24"/>
          <w:szCs w:val="24"/>
        </w:rPr>
        <w:t>ATC-kode: H 01 CC 01.</w:t>
      </w:r>
    </w:p>
    <w:p w14:paraId="74090880" w14:textId="77777777" w:rsidR="00D65D68" w:rsidRDefault="00D65D68" w:rsidP="004C1F89">
      <w:pPr>
        <w:rPr>
          <w:sz w:val="24"/>
          <w:szCs w:val="24"/>
          <w:u w:val="single"/>
        </w:rPr>
      </w:pPr>
    </w:p>
    <w:p w14:paraId="39A560BF" w14:textId="46D1A739" w:rsidR="005360B5" w:rsidRPr="00392DD6" w:rsidRDefault="005360B5" w:rsidP="00392DD6">
      <w:pPr>
        <w:ind w:left="851"/>
        <w:rPr>
          <w:sz w:val="24"/>
          <w:szCs w:val="24"/>
          <w:lang w:eastAsia="da-DK"/>
        </w:rPr>
      </w:pPr>
      <w:r w:rsidRPr="00392DD6">
        <w:rPr>
          <w:sz w:val="24"/>
          <w:szCs w:val="24"/>
          <w:u w:val="single"/>
        </w:rPr>
        <w:t>Virkningsmekanisme</w:t>
      </w:r>
    </w:p>
    <w:p w14:paraId="187D4CB7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er en </w:t>
      </w:r>
      <w:proofErr w:type="spellStart"/>
      <w:r w:rsidRPr="00392DD6">
        <w:rPr>
          <w:rFonts w:eastAsia="TimesNewRoman"/>
          <w:sz w:val="24"/>
          <w:szCs w:val="24"/>
        </w:rPr>
        <w:t>GnRH</w:t>
      </w:r>
      <w:proofErr w:type="spellEnd"/>
      <w:r w:rsidRPr="00392DD6">
        <w:rPr>
          <w:rFonts w:eastAsia="TimesNewRoman"/>
          <w:sz w:val="24"/>
          <w:szCs w:val="24"/>
        </w:rPr>
        <w:t>-antagonist, som modulerer hypotalamus-hypofyse-</w:t>
      </w:r>
      <w:proofErr w:type="spellStart"/>
      <w:r w:rsidRPr="00392DD6">
        <w:rPr>
          <w:rFonts w:eastAsia="TimesNewRoman"/>
          <w:sz w:val="24"/>
          <w:szCs w:val="24"/>
        </w:rPr>
        <w:t>gonadal</w:t>
      </w:r>
      <w:proofErr w:type="spellEnd"/>
      <w:r w:rsidRPr="00392DD6">
        <w:rPr>
          <w:rFonts w:eastAsia="TimesNewRoman"/>
          <w:sz w:val="24"/>
          <w:szCs w:val="24"/>
        </w:rPr>
        <w:t xml:space="preserve"> aksen ved </w:t>
      </w:r>
      <w:proofErr w:type="spellStart"/>
      <w:r w:rsidRPr="00392DD6">
        <w:rPr>
          <w:rFonts w:eastAsia="TimesNewRoman"/>
          <w:sz w:val="24"/>
          <w:szCs w:val="24"/>
        </w:rPr>
        <w:t>kompetitiv</w:t>
      </w:r>
      <w:proofErr w:type="spellEnd"/>
      <w:r w:rsidRPr="00392DD6">
        <w:rPr>
          <w:rFonts w:eastAsia="TimesNewRoman"/>
          <w:sz w:val="24"/>
          <w:szCs w:val="24"/>
        </w:rPr>
        <w:t xml:space="preserve"> binding til </w:t>
      </w:r>
      <w:proofErr w:type="spellStart"/>
      <w:r w:rsidRPr="00392DD6">
        <w:rPr>
          <w:rFonts w:eastAsia="TimesNewRoman"/>
          <w:sz w:val="24"/>
          <w:szCs w:val="24"/>
        </w:rPr>
        <w:t>GnRH</w:t>
      </w:r>
      <w:proofErr w:type="spellEnd"/>
      <w:r w:rsidRPr="00392DD6">
        <w:rPr>
          <w:rFonts w:eastAsia="TimesNewRoman"/>
          <w:sz w:val="24"/>
          <w:szCs w:val="24"/>
        </w:rPr>
        <w:t xml:space="preserve">-receptorerne i hypofysen. Et resultat heraf er en hurtig, kraftig, reversibel undertrykkelse af endogene </w:t>
      </w:r>
      <w:proofErr w:type="spellStart"/>
      <w:r w:rsidRPr="00392DD6">
        <w:rPr>
          <w:rFonts w:eastAsia="TimesNewRoman"/>
          <w:sz w:val="24"/>
          <w:szCs w:val="24"/>
        </w:rPr>
        <w:t>gonadotropiner</w:t>
      </w:r>
      <w:proofErr w:type="spellEnd"/>
      <w:r w:rsidRPr="00392DD6">
        <w:rPr>
          <w:rFonts w:eastAsia="TimesNewRoman"/>
          <w:sz w:val="24"/>
          <w:szCs w:val="24"/>
        </w:rPr>
        <w:t xml:space="preserve"> uden initial stimulation, som det er tilfældet med </w:t>
      </w:r>
      <w:proofErr w:type="spellStart"/>
      <w:r w:rsidRPr="00392DD6">
        <w:rPr>
          <w:rFonts w:eastAsia="TimesNewRoman"/>
          <w:sz w:val="24"/>
          <w:szCs w:val="24"/>
        </w:rPr>
        <w:t>GnRH</w:t>
      </w:r>
      <w:proofErr w:type="spellEnd"/>
      <w:r w:rsidRPr="00392DD6">
        <w:rPr>
          <w:rFonts w:eastAsia="TimesNewRoman"/>
          <w:sz w:val="24"/>
          <w:szCs w:val="24"/>
        </w:rPr>
        <w:t xml:space="preserve">-agonister. Efter indgift af multiple doser 0,25 mg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hos frivillige kvinder var serum-LH-, serum-FSH- og serum-E</w:t>
      </w:r>
      <w:r w:rsidRPr="00392DD6">
        <w:rPr>
          <w:rFonts w:eastAsia="TimesNewRoman"/>
          <w:sz w:val="24"/>
          <w:szCs w:val="24"/>
          <w:vertAlign w:val="subscript"/>
        </w:rPr>
        <w:t>2</w:t>
      </w:r>
      <w:r w:rsidRPr="00392DD6">
        <w:rPr>
          <w:rFonts w:eastAsia="TimesNewRoman"/>
          <w:sz w:val="24"/>
          <w:szCs w:val="24"/>
        </w:rPr>
        <w:t>-koncentrationerne faldet 74 %, 32 % og 25 % henholdsvis 4, 16 og 16 timer efter indgift. Serum-hormonniveauerne vendte tilbage til værdierne før behandlingen inden for to dage efter sidste injektion.</w:t>
      </w:r>
    </w:p>
    <w:p w14:paraId="19F4CD58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5F7659AC" w14:textId="77777777" w:rsidR="005360B5" w:rsidRPr="00392DD6" w:rsidRDefault="005360B5" w:rsidP="00392DD6">
      <w:pPr>
        <w:ind w:left="851"/>
        <w:rPr>
          <w:sz w:val="24"/>
          <w:szCs w:val="24"/>
        </w:rPr>
      </w:pPr>
      <w:proofErr w:type="spellStart"/>
      <w:r w:rsidRPr="00392DD6">
        <w:rPr>
          <w:sz w:val="24"/>
          <w:szCs w:val="24"/>
          <w:u w:val="single"/>
        </w:rPr>
        <w:t>Farmakodynamisk</w:t>
      </w:r>
      <w:proofErr w:type="spellEnd"/>
      <w:r w:rsidRPr="00392DD6">
        <w:rPr>
          <w:sz w:val="24"/>
          <w:szCs w:val="24"/>
          <w:u w:val="single"/>
        </w:rPr>
        <w:t xml:space="preserve"> virkning</w:t>
      </w:r>
    </w:p>
    <w:p w14:paraId="5A5AF7DF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Hos patienter i kontrolleret ovariestimulationsbehandling var den gennemsnitlige varighed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behandlingen 5 dage. Under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behandlingen var den gennemsnitlige forekomst af LH-stigning (&gt;10 IE/l) med samtidig stigning i progesteron (&gt;1 mg/ml) 0,3 - 1,2 % sammenlignet med 0,8 % under behandling med </w:t>
      </w:r>
      <w:proofErr w:type="spellStart"/>
      <w:r w:rsidRPr="00392DD6">
        <w:rPr>
          <w:rFonts w:eastAsia="TimesNewRoman"/>
          <w:sz w:val="24"/>
          <w:szCs w:val="24"/>
        </w:rPr>
        <w:t>GnRH</w:t>
      </w:r>
      <w:proofErr w:type="spellEnd"/>
      <w:r w:rsidRPr="00392DD6">
        <w:rPr>
          <w:rFonts w:eastAsia="TimesNewRoman"/>
          <w:sz w:val="24"/>
          <w:szCs w:val="24"/>
        </w:rPr>
        <w:t xml:space="preserve">-agonist. Der var en tendens til forhøjet LH- og progesteronstigninger hos kvinder med en høj kropsvægt (&gt;80 kg), men der blev ikke observeret nogen indvirkning på det kliniske resultat. Imidlertid kan man ikke, ud fra det lille antal patienter, der indtil nu er behandlet, udelukke en sådan. </w:t>
      </w:r>
    </w:p>
    <w:p w14:paraId="6EE3FE6D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I tilfælde af et højt ovarierespons, enten som resultat af en høj </w:t>
      </w:r>
      <w:proofErr w:type="spellStart"/>
      <w:r w:rsidRPr="00392DD6">
        <w:rPr>
          <w:rFonts w:eastAsia="TimesNewRoman"/>
          <w:sz w:val="24"/>
          <w:szCs w:val="24"/>
        </w:rPr>
        <w:t>gonadotropineksponering</w:t>
      </w:r>
      <w:proofErr w:type="spellEnd"/>
      <w:r w:rsidRPr="00392DD6">
        <w:rPr>
          <w:rFonts w:eastAsia="TimesNewRoman"/>
          <w:sz w:val="24"/>
          <w:szCs w:val="24"/>
        </w:rPr>
        <w:t xml:space="preserve"> i den tidlige follikelfase eller som resultat af høj </w:t>
      </w:r>
      <w:proofErr w:type="spellStart"/>
      <w:r w:rsidRPr="00392DD6">
        <w:rPr>
          <w:rFonts w:eastAsia="TimesNewRoman"/>
          <w:sz w:val="24"/>
          <w:szCs w:val="24"/>
        </w:rPr>
        <w:t>ovariel</w:t>
      </w:r>
      <w:proofErr w:type="spellEnd"/>
      <w:r w:rsidRPr="00392DD6">
        <w:rPr>
          <w:rFonts w:eastAsia="TimesNewRoman"/>
          <w:sz w:val="24"/>
          <w:szCs w:val="24"/>
        </w:rPr>
        <w:t xml:space="preserve"> følsomhed, kan for tidlig LH-stigning forekomme tidligere end stimulationsdag 6. Initiering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behandling på dag 5 kan forhindre disse for tidlige LH-stigninger uden at kompromittere det kliniske slutresultat.</w:t>
      </w:r>
    </w:p>
    <w:p w14:paraId="3BA48253" w14:textId="77777777" w:rsidR="005360B5" w:rsidRPr="00392DD6" w:rsidRDefault="005360B5" w:rsidP="00392DD6">
      <w:pPr>
        <w:ind w:left="851"/>
        <w:rPr>
          <w:sz w:val="24"/>
          <w:szCs w:val="24"/>
        </w:rPr>
      </w:pPr>
    </w:p>
    <w:p w14:paraId="31288531" w14:textId="77777777" w:rsidR="005360B5" w:rsidRPr="00392DD6" w:rsidRDefault="005360B5" w:rsidP="00392DD6">
      <w:pPr>
        <w:ind w:left="851"/>
        <w:rPr>
          <w:sz w:val="24"/>
          <w:szCs w:val="24"/>
        </w:rPr>
      </w:pPr>
      <w:r w:rsidRPr="00392DD6">
        <w:rPr>
          <w:sz w:val="24"/>
          <w:szCs w:val="24"/>
          <w:u w:val="single"/>
        </w:rPr>
        <w:t>Klinisk virkning og sikkerhed</w:t>
      </w:r>
    </w:p>
    <w:p w14:paraId="7A8A76DF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I kontrollerede studier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med FSH, hvor der er anvendt en lang protokol med </w:t>
      </w:r>
      <w:proofErr w:type="spellStart"/>
      <w:r w:rsidRPr="00392DD6">
        <w:rPr>
          <w:rFonts w:eastAsia="TimesNewRoman"/>
          <w:sz w:val="24"/>
          <w:szCs w:val="24"/>
        </w:rPr>
        <w:t>GnRH</w:t>
      </w:r>
      <w:proofErr w:type="spellEnd"/>
      <w:r w:rsidRPr="00392DD6">
        <w:rPr>
          <w:rFonts w:eastAsia="TimesNewRoman"/>
          <w:sz w:val="24"/>
          <w:szCs w:val="24"/>
        </w:rPr>
        <w:t xml:space="preserve">-agonist som reference, resulterede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behandlingen i en hurtigere follikelvækst i de første dage af stimulationen, mens den sidste kohorte af voksende follikler var lidt mindre og gennemsnitligt producerede mindre </w:t>
      </w:r>
      <w:proofErr w:type="spellStart"/>
      <w:r w:rsidRPr="00392DD6">
        <w:rPr>
          <w:rFonts w:eastAsia="TimesNewRoman"/>
          <w:sz w:val="24"/>
          <w:szCs w:val="24"/>
        </w:rPr>
        <w:t>østradiol</w:t>
      </w:r>
      <w:proofErr w:type="spellEnd"/>
      <w:r w:rsidRPr="00392DD6">
        <w:rPr>
          <w:rFonts w:eastAsia="TimesNewRoman"/>
          <w:sz w:val="24"/>
          <w:szCs w:val="24"/>
        </w:rPr>
        <w:t xml:space="preserve">. Dette ændrede mønster i follikelvæksten kræver, at FSH-dosisjusteringer baseres på antal og størrelse af voksende follikler fremfor på mængden af cirkulerende </w:t>
      </w:r>
      <w:proofErr w:type="spellStart"/>
      <w:r w:rsidRPr="00392DD6">
        <w:rPr>
          <w:rFonts w:eastAsia="TimesNewRoman"/>
          <w:sz w:val="24"/>
          <w:szCs w:val="24"/>
        </w:rPr>
        <w:t>østradiol</w:t>
      </w:r>
      <w:proofErr w:type="spellEnd"/>
      <w:r w:rsidRPr="00392DD6">
        <w:rPr>
          <w:rFonts w:eastAsia="TimesNewRoman"/>
          <w:sz w:val="24"/>
          <w:szCs w:val="24"/>
        </w:rPr>
        <w:t xml:space="preserve">. Der er ikke udført tilsvarende komparative studier med </w:t>
      </w:r>
      <w:proofErr w:type="spellStart"/>
      <w:r w:rsidRPr="00392DD6">
        <w:rPr>
          <w:rFonts w:eastAsia="TimesNewRoman"/>
          <w:sz w:val="24"/>
          <w:szCs w:val="24"/>
        </w:rPr>
        <w:t>corifollitropin</w:t>
      </w:r>
      <w:proofErr w:type="spellEnd"/>
      <w:r w:rsidRPr="00392DD6">
        <w:rPr>
          <w:rFonts w:eastAsia="TimesNewRoman"/>
          <w:sz w:val="24"/>
          <w:szCs w:val="24"/>
        </w:rPr>
        <w:t xml:space="preserve"> alfa under anvendelse af enten en </w:t>
      </w:r>
      <w:proofErr w:type="spellStart"/>
      <w:r w:rsidRPr="00392DD6">
        <w:rPr>
          <w:rFonts w:eastAsia="TimesNewRoman"/>
          <w:sz w:val="24"/>
          <w:szCs w:val="24"/>
        </w:rPr>
        <w:t>GnRH</w:t>
      </w:r>
      <w:proofErr w:type="spellEnd"/>
      <w:r w:rsidRPr="00392DD6">
        <w:rPr>
          <w:rFonts w:eastAsia="TimesNewRoman"/>
          <w:sz w:val="24"/>
          <w:szCs w:val="24"/>
        </w:rPr>
        <w:t>-antagonist eller lang agonist protokol.</w:t>
      </w:r>
    </w:p>
    <w:p w14:paraId="5A60148F" w14:textId="107E8C81" w:rsidR="00F256BA" w:rsidRDefault="00F256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E0D92C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019D9F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5.2</w:t>
      </w:r>
      <w:r w:rsidRPr="00392DD6">
        <w:rPr>
          <w:b/>
          <w:sz w:val="24"/>
          <w:szCs w:val="24"/>
        </w:rPr>
        <w:tab/>
      </w:r>
      <w:proofErr w:type="spellStart"/>
      <w:r w:rsidRPr="00392DD6">
        <w:rPr>
          <w:b/>
          <w:sz w:val="24"/>
          <w:szCs w:val="24"/>
        </w:rPr>
        <w:t>Farmakokinetiske</w:t>
      </w:r>
      <w:proofErr w:type="spellEnd"/>
      <w:r w:rsidRPr="00392DD6">
        <w:rPr>
          <w:b/>
          <w:sz w:val="24"/>
          <w:szCs w:val="24"/>
        </w:rPr>
        <w:t xml:space="preserve"> egenskaber</w:t>
      </w:r>
    </w:p>
    <w:p w14:paraId="21D4BB76" w14:textId="19980BB1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392DD6">
        <w:rPr>
          <w:rFonts w:eastAsia="TimesNewRoman"/>
          <w:sz w:val="24"/>
          <w:szCs w:val="24"/>
        </w:rPr>
        <w:t xml:space="preserve">De </w:t>
      </w:r>
      <w:proofErr w:type="spellStart"/>
      <w:r w:rsidRPr="00392DD6">
        <w:rPr>
          <w:rFonts w:eastAsia="TimesNewRoman"/>
          <w:sz w:val="24"/>
          <w:szCs w:val="24"/>
        </w:rPr>
        <w:t>farmakokinetiske</w:t>
      </w:r>
      <w:proofErr w:type="spellEnd"/>
      <w:r w:rsidRPr="00392DD6">
        <w:rPr>
          <w:rFonts w:eastAsia="TimesNewRoman"/>
          <w:sz w:val="24"/>
          <w:szCs w:val="24"/>
        </w:rPr>
        <w:t xml:space="preserve"> parametre efter flere subkutane doser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(injektion en gang dagligt) var de samme som efter en enkelt subkutan dosis. Efter gentagen dosering af 0,25 mg/dag opnåedes </w:t>
      </w:r>
      <w:proofErr w:type="spellStart"/>
      <w:r w:rsidRPr="00392DD6">
        <w:rPr>
          <w:rFonts w:eastAsia="TimesNewRoman"/>
          <w:i/>
          <w:iCs/>
          <w:sz w:val="24"/>
          <w:szCs w:val="24"/>
        </w:rPr>
        <w:t>steady</w:t>
      </w:r>
      <w:proofErr w:type="spellEnd"/>
      <w:r w:rsidRPr="00392DD6">
        <w:rPr>
          <w:rFonts w:eastAsia="TimesNewRoman"/>
          <w:sz w:val="24"/>
          <w:szCs w:val="24"/>
        </w:rPr>
        <w:t xml:space="preserve"> </w:t>
      </w:r>
      <w:r w:rsidRPr="00392DD6">
        <w:rPr>
          <w:rFonts w:eastAsia="TimesNewRoman"/>
          <w:i/>
          <w:iCs/>
          <w:sz w:val="24"/>
          <w:szCs w:val="24"/>
        </w:rPr>
        <w:t>state</w:t>
      </w:r>
      <w:r w:rsidRPr="00392DD6">
        <w:rPr>
          <w:rFonts w:eastAsia="TimesNewRoman"/>
          <w:sz w:val="24"/>
          <w:szCs w:val="24"/>
        </w:rPr>
        <w:t xml:space="preserve">-niveauer på ca. 0,6 </w:t>
      </w:r>
      <w:proofErr w:type="spellStart"/>
      <w:r w:rsidRPr="00392DD6">
        <w:rPr>
          <w:rFonts w:eastAsia="TimesNewRoman"/>
          <w:sz w:val="24"/>
          <w:szCs w:val="24"/>
        </w:rPr>
        <w:t>ng</w:t>
      </w:r>
      <w:proofErr w:type="spellEnd"/>
      <w:r w:rsidRPr="00392DD6">
        <w:rPr>
          <w:rFonts w:eastAsia="TimesNewRoman"/>
          <w:sz w:val="24"/>
          <w:szCs w:val="24"/>
        </w:rPr>
        <w:t>/ml inden for 2 til 3 dage.</w:t>
      </w:r>
    </w:p>
    <w:p w14:paraId="79285589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1B666767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proofErr w:type="spellStart"/>
      <w:r w:rsidRPr="00392DD6">
        <w:rPr>
          <w:rFonts w:eastAsia="TimesNewRoman"/>
          <w:sz w:val="24"/>
          <w:szCs w:val="24"/>
        </w:rPr>
        <w:t>Farmakokinetisk</w:t>
      </w:r>
      <w:proofErr w:type="spellEnd"/>
      <w:r w:rsidRPr="00392DD6">
        <w:rPr>
          <w:rFonts w:eastAsia="TimesNewRoman"/>
          <w:sz w:val="24"/>
          <w:szCs w:val="24"/>
        </w:rPr>
        <w:t xml:space="preserve"> analyse indikerer en negativ korrelation mellem kropsvægt og serumkoncentrationer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</w:t>
      </w:r>
    </w:p>
    <w:p w14:paraId="42998CFF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</w:p>
    <w:p w14:paraId="17C2DD6B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  <w:u w:val="single"/>
        </w:rPr>
        <w:t>Absorption</w:t>
      </w:r>
    </w:p>
    <w:p w14:paraId="29B50FFD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Efter en enkelt subkutan injektion på 0,25 mg vil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serumkoncentrationerne stige hurtigt og nå maksimumkoncentration (</w:t>
      </w:r>
      <w:proofErr w:type="spellStart"/>
      <w:r w:rsidRPr="00392DD6">
        <w:rPr>
          <w:rFonts w:eastAsia="TimesNewRoman"/>
          <w:sz w:val="24"/>
          <w:szCs w:val="24"/>
        </w:rPr>
        <w:t>C</w:t>
      </w:r>
      <w:r w:rsidRPr="00392DD6">
        <w:rPr>
          <w:rFonts w:eastAsia="TimesNewRoman"/>
          <w:sz w:val="24"/>
          <w:szCs w:val="24"/>
          <w:vertAlign w:val="subscript"/>
        </w:rPr>
        <w:t>max</w:t>
      </w:r>
      <w:proofErr w:type="spellEnd"/>
      <w:r w:rsidRPr="00392DD6">
        <w:rPr>
          <w:rFonts w:eastAsia="TimesNewRoman"/>
          <w:sz w:val="24"/>
          <w:szCs w:val="24"/>
        </w:rPr>
        <w:t xml:space="preserve">) på ca. 15 </w:t>
      </w:r>
      <w:proofErr w:type="spellStart"/>
      <w:r w:rsidRPr="00392DD6">
        <w:rPr>
          <w:rFonts w:eastAsia="TimesNewRoman"/>
          <w:sz w:val="24"/>
          <w:szCs w:val="24"/>
        </w:rPr>
        <w:t>ng</w:t>
      </w:r>
      <w:proofErr w:type="spellEnd"/>
      <w:r w:rsidRPr="00392DD6">
        <w:rPr>
          <w:rFonts w:eastAsia="TimesNewRoman"/>
          <w:sz w:val="24"/>
          <w:szCs w:val="24"/>
        </w:rPr>
        <w:t>/ml inden for 1 til 2 timer (</w:t>
      </w:r>
      <w:proofErr w:type="spellStart"/>
      <w:r w:rsidRPr="00392DD6">
        <w:rPr>
          <w:rFonts w:eastAsia="TimesNewRoman"/>
          <w:sz w:val="24"/>
          <w:szCs w:val="24"/>
        </w:rPr>
        <w:t>t</w:t>
      </w:r>
      <w:r w:rsidRPr="00392DD6">
        <w:rPr>
          <w:rFonts w:eastAsia="TimesNewRoman"/>
          <w:sz w:val="24"/>
          <w:szCs w:val="24"/>
          <w:vertAlign w:val="subscript"/>
        </w:rPr>
        <w:t>max</w:t>
      </w:r>
      <w:proofErr w:type="spellEnd"/>
      <w:r w:rsidRPr="00392DD6">
        <w:rPr>
          <w:rFonts w:eastAsia="TimesNewRoman"/>
          <w:sz w:val="24"/>
          <w:szCs w:val="24"/>
        </w:rPr>
        <w:t xml:space="preserve">).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biotilgængelighed efter subkutan administration er ca. 91 %.</w:t>
      </w:r>
    </w:p>
    <w:p w14:paraId="223326A4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</w:p>
    <w:p w14:paraId="1F5E313B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92DD6">
        <w:rPr>
          <w:sz w:val="24"/>
          <w:szCs w:val="24"/>
          <w:u w:val="single"/>
        </w:rPr>
        <w:t>Biotransformation</w:t>
      </w:r>
    </w:p>
    <w:p w14:paraId="7B935B21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Den vigtigste cirkulerende bestanddel i plasma er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.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var også hovedbestanddelen målt i urin, mens afføringen kun indeholder metabolitter. Metabolitterne er små peptidfragmenter skabt ved enzymatisk hydrolyse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på bestemte steder. Metabolitprofilen af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hos mennesker er omtrent den samme som blev fundet hos dyr.</w:t>
      </w:r>
    </w:p>
    <w:p w14:paraId="5F1BF1C1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</w:p>
    <w:p w14:paraId="4E166130" w14:textId="77777777" w:rsidR="005360B5" w:rsidRPr="00392DD6" w:rsidRDefault="005360B5" w:rsidP="00392DD6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  <w:u w:val="single"/>
        </w:rPr>
        <w:t>Elimination</w:t>
      </w:r>
    </w:p>
    <w:p w14:paraId="20E869AE" w14:textId="77496C3B" w:rsidR="005360B5" w:rsidRPr="00392DD6" w:rsidRDefault="005360B5" w:rsidP="005C58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Halveringstiden (t</w:t>
      </w:r>
      <w:r w:rsidRPr="00392DD6">
        <w:rPr>
          <w:rFonts w:eastAsia="TimesNewRoman"/>
          <w:sz w:val="24"/>
          <w:szCs w:val="24"/>
          <w:vertAlign w:val="subscript"/>
        </w:rPr>
        <w:t>½</w:t>
      </w:r>
      <w:r w:rsidRPr="00392DD6">
        <w:rPr>
          <w:rFonts w:eastAsia="TimesNewRoman"/>
          <w:sz w:val="24"/>
          <w:szCs w:val="24"/>
        </w:rPr>
        <w:t xml:space="preserve">) er på ca. 13 timer og </w:t>
      </w:r>
      <w:proofErr w:type="spellStart"/>
      <w:r w:rsidRPr="00392DD6">
        <w:rPr>
          <w:rFonts w:eastAsia="TimesNewRoman"/>
          <w:sz w:val="24"/>
          <w:szCs w:val="24"/>
        </w:rPr>
        <w:t>clearance</w:t>
      </w:r>
      <w:proofErr w:type="spellEnd"/>
      <w:r w:rsidRPr="00392DD6">
        <w:rPr>
          <w:rFonts w:eastAsia="TimesNewRoman"/>
          <w:sz w:val="24"/>
          <w:szCs w:val="24"/>
        </w:rPr>
        <w:t xml:space="preserve"> på ca. 2,4 l/time. Udskillelse sker via afføringen</w:t>
      </w:r>
      <w:r w:rsidR="005C58E1">
        <w:rPr>
          <w:rFonts w:eastAsia="TimesNewRoman"/>
          <w:sz w:val="24"/>
          <w:szCs w:val="24"/>
        </w:rPr>
        <w:t xml:space="preserve"> </w:t>
      </w:r>
      <w:r w:rsidRPr="00392DD6">
        <w:rPr>
          <w:rFonts w:eastAsia="TimesNewRoman"/>
          <w:sz w:val="24"/>
          <w:szCs w:val="24"/>
        </w:rPr>
        <w:t>(ca. 75 %) og urinen (ca. 22 %).</w:t>
      </w:r>
    </w:p>
    <w:p w14:paraId="496BE274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DB56CE" w14:textId="0AF7DD28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5.3</w:t>
      </w:r>
      <w:r w:rsidRPr="00392DD6">
        <w:rPr>
          <w:b/>
          <w:sz w:val="24"/>
          <w:szCs w:val="24"/>
        </w:rPr>
        <w:tab/>
      </w:r>
      <w:r w:rsidR="004C1F89">
        <w:rPr>
          <w:b/>
          <w:sz w:val="24"/>
          <w:szCs w:val="24"/>
        </w:rPr>
        <w:t>Non-</w:t>
      </w:r>
      <w:r w:rsidRPr="00392DD6">
        <w:rPr>
          <w:b/>
          <w:sz w:val="24"/>
          <w:szCs w:val="24"/>
        </w:rPr>
        <w:t>kliniske sikkerhedsdata</w:t>
      </w:r>
    </w:p>
    <w:p w14:paraId="69396AC3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392DD6">
        <w:rPr>
          <w:rFonts w:eastAsia="TimesNewRoman"/>
          <w:sz w:val="24"/>
          <w:szCs w:val="24"/>
        </w:rPr>
        <w:t>De prækliniske data viser ingen særlig risiko for mennesker vurderet ud fra konventionelle studier af sikkerhedsfarmakologi, toksicitet efter gentagne doser og genotoksicitet.</w:t>
      </w:r>
    </w:p>
    <w:p w14:paraId="5AC19893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50072228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Reproduktionsstudier udført med </w:t>
      </w:r>
      <w:proofErr w:type="spellStart"/>
      <w:r w:rsidRPr="00392DD6">
        <w:rPr>
          <w:rFonts w:eastAsia="TimesNewRoman"/>
          <w:sz w:val="24"/>
          <w:szCs w:val="24"/>
        </w:rPr>
        <w:t>ganirelix</w:t>
      </w:r>
      <w:proofErr w:type="spellEnd"/>
      <w:r w:rsidRPr="00392DD6">
        <w:rPr>
          <w:rFonts w:eastAsia="TimesNewRoman"/>
          <w:sz w:val="24"/>
          <w:szCs w:val="24"/>
        </w:rPr>
        <w:t xml:space="preserve"> i doser på 0,1 til 10 µg/kg/dag subkutant på rotter og 0,1 til 50 µg/kg/dag subkutant på kaniner afslørede en stigning i fosterresorption i de højeste dosisgrupper. Der blev ikke observeret </w:t>
      </w:r>
      <w:proofErr w:type="spellStart"/>
      <w:r w:rsidRPr="00392DD6">
        <w:rPr>
          <w:rFonts w:eastAsia="TimesNewRoman"/>
          <w:sz w:val="24"/>
          <w:szCs w:val="24"/>
        </w:rPr>
        <w:t>teratogene</w:t>
      </w:r>
      <w:proofErr w:type="spellEnd"/>
      <w:r w:rsidRPr="00392DD6">
        <w:rPr>
          <w:rFonts w:eastAsia="TimesNewRoman"/>
          <w:sz w:val="24"/>
          <w:szCs w:val="24"/>
        </w:rPr>
        <w:t xml:space="preserve"> virkninger.</w:t>
      </w:r>
    </w:p>
    <w:p w14:paraId="54D0EABF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CA73BB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C6BEAE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6.</w:t>
      </w:r>
      <w:r w:rsidRPr="00392DD6">
        <w:rPr>
          <w:b/>
          <w:sz w:val="24"/>
          <w:szCs w:val="24"/>
        </w:rPr>
        <w:tab/>
        <w:t>FARMACEUTISKE OPLYSNINGER</w:t>
      </w:r>
    </w:p>
    <w:p w14:paraId="058DC280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6B5F33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6.1</w:t>
      </w:r>
      <w:r w:rsidRPr="00392DD6">
        <w:rPr>
          <w:b/>
          <w:sz w:val="24"/>
          <w:szCs w:val="24"/>
        </w:rPr>
        <w:tab/>
        <w:t>Hjælpestoffer</w:t>
      </w:r>
    </w:p>
    <w:p w14:paraId="5A0ECD5A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392DD6">
        <w:rPr>
          <w:rFonts w:eastAsia="TimesNewRoman"/>
          <w:sz w:val="24"/>
          <w:szCs w:val="24"/>
        </w:rPr>
        <w:t>Iseddikesyre</w:t>
      </w:r>
    </w:p>
    <w:p w14:paraId="04E8D5D5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proofErr w:type="spellStart"/>
      <w:r w:rsidRPr="00392DD6">
        <w:rPr>
          <w:rFonts w:eastAsia="TimesNewRoman"/>
          <w:sz w:val="24"/>
          <w:szCs w:val="24"/>
        </w:rPr>
        <w:t>Mannitol</w:t>
      </w:r>
      <w:proofErr w:type="spellEnd"/>
    </w:p>
    <w:p w14:paraId="73600193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Vand til injektionsvæsker</w:t>
      </w:r>
    </w:p>
    <w:p w14:paraId="45296342" w14:textId="77777777" w:rsidR="005360B5" w:rsidRPr="00392DD6" w:rsidRDefault="005360B5" w:rsidP="00392DD6">
      <w:pPr>
        <w:tabs>
          <w:tab w:val="left" w:pos="851"/>
        </w:tabs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Natriumhydroxid (pH-justerende)</w:t>
      </w:r>
    </w:p>
    <w:p w14:paraId="5FD1A262" w14:textId="77777777" w:rsidR="005360B5" w:rsidRPr="00392DD6" w:rsidRDefault="005360B5" w:rsidP="00392DD6">
      <w:pPr>
        <w:tabs>
          <w:tab w:val="left" w:pos="851"/>
        </w:tabs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Iseddikesyre (pH-justerende)</w:t>
      </w:r>
    </w:p>
    <w:p w14:paraId="6E611F75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F00D034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6.2</w:t>
      </w:r>
      <w:r w:rsidRPr="00392DD6">
        <w:rPr>
          <w:b/>
          <w:sz w:val="24"/>
          <w:szCs w:val="24"/>
        </w:rPr>
        <w:tab/>
        <w:t>Uforligeligheder</w:t>
      </w:r>
    </w:p>
    <w:p w14:paraId="2D60568B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392DD6">
        <w:rPr>
          <w:rFonts w:eastAsia="TimesNewRoman"/>
          <w:sz w:val="24"/>
          <w:szCs w:val="24"/>
        </w:rPr>
        <w:t>Da der ikke foreligger studier af eventuelle forligeligheder, må dette lægemiddel ikke blandes med andre lægemidler.</w:t>
      </w:r>
    </w:p>
    <w:p w14:paraId="2167D04D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AED458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6.3</w:t>
      </w:r>
      <w:r w:rsidRPr="00392DD6">
        <w:rPr>
          <w:b/>
          <w:sz w:val="24"/>
          <w:szCs w:val="24"/>
        </w:rPr>
        <w:tab/>
        <w:t>Opbevaringstid</w:t>
      </w:r>
    </w:p>
    <w:p w14:paraId="07212640" w14:textId="0AA2D7BE" w:rsidR="005360B5" w:rsidRPr="00392DD6" w:rsidRDefault="009260DE" w:rsidP="005360B5">
      <w:pPr>
        <w:tabs>
          <w:tab w:val="left" w:pos="851"/>
        </w:tabs>
        <w:rPr>
          <w:sz w:val="24"/>
          <w:szCs w:val="24"/>
          <w:lang w:eastAsia="da-DK"/>
        </w:rPr>
      </w:pPr>
      <w:r w:rsidRPr="00392DD6">
        <w:rPr>
          <w:sz w:val="24"/>
          <w:szCs w:val="24"/>
        </w:rPr>
        <w:tab/>
      </w:r>
      <w:r w:rsidR="005360B5" w:rsidRPr="00392DD6">
        <w:rPr>
          <w:sz w:val="24"/>
          <w:szCs w:val="24"/>
        </w:rPr>
        <w:t>4 år</w:t>
      </w:r>
      <w:r w:rsidR="004871A3">
        <w:rPr>
          <w:sz w:val="24"/>
          <w:szCs w:val="24"/>
        </w:rPr>
        <w:t>.</w:t>
      </w:r>
      <w:r w:rsidR="005360B5" w:rsidRPr="00392DD6">
        <w:rPr>
          <w:sz w:val="24"/>
          <w:szCs w:val="24"/>
        </w:rPr>
        <w:t xml:space="preserve"> </w:t>
      </w:r>
    </w:p>
    <w:p w14:paraId="6BDCD11B" w14:textId="09F8628D" w:rsidR="00F256BA" w:rsidRDefault="00F256B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8E96E7A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4EE981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6.4</w:t>
      </w:r>
      <w:r w:rsidRPr="00392DD6">
        <w:rPr>
          <w:b/>
          <w:sz w:val="24"/>
          <w:szCs w:val="24"/>
        </w:rPr>
        <w:tab/>
        <w:t>Særlige opbevaringsforhold</w:t>
      </w:r>
    </w:p>
    <w:p w14:paraId="35FAB328" w14:textId="77777777" w:rsidR="005360B5" w:rsidRPr="00392DD6" w:rsidRDefault="005360B5" w:rsidP="00392DD6">
      <w:pPr>
        <w:ind w:left="851"/>
        <w:rPr>
          <w:sz w:val="24"/>
          <w:szCs w:val="24"/>
          <w:lang w:eastAsia="da-DK"/>
        </w:rPr>
      </w:pPr>
      <w:r w:rsidRPr="00392DD6">
        <w:rPr>
          <w:sz w:val="24"/>
          <w:szCs w:val="24"/>
        </w:rPr>
        <w:t>Dette lægemiddel kræver ingen særlige forholdsregler vedrørende opbevaringen.</w:t>
      </w:r>
    </w:p>
    <w:p w14:paraId="67FAA7DC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60696B0" w14:textId="61EBF263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6.5</w:t>
      </w:r>
      <w:r w:rsidRPr="00392DD6">
        <w:rPr>
          <w:b/>
          <w:sz w:val="24"/>
          <w:szCs w:val="24"/>
        </w:rPr>
        <w:tab/>
        <w:t>Emballagetype og pakningsstørrelser</w:t>
      </w:r>
    </w:p>
    <w:p w14:paraId="68DD6D66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392DD6">
        <w:rPr>
          <w:rFonts w:eastAsia="TimesNewRoman"/>
          <w:sz w:val="24"/>
          <w:szCs w:val="24"/>
        </w:rPr>
        <w:t xml:space="preserve">Fyldte injektionssprøjter lavet af farveløs type I-glas indeholdende 0,5 ml steril vandig opløsning, klar til brug, lukket med </w:t>
      </w:r>
      <w:proofErr w:type="gramStart"/>
      <w:r w:rsidRPr="00392DD6">
        <w:rPr>
          <w:rFonts w:eastAsia="TimesNewRoman"/>
          <w:sz w:val="24"/>
          <w:szCs w:val="24"/>
        </w:rPr>
        <w:t>et elastomer stempel</w:t>
      </w:r>
      <w:proofErr w:type="gramEnd"/>
      <w:r w:rsidRPr="00392DD6">
        <w:rPr>
          <w:rFonts w:eastAsia="TimesNewRoman"/>
          <w:sz w:val="24"/>
          <w:szCs w:val="24"/>
        </w:rPr>
        <w:t xml:space="preserve"> og en stempelstang. Hver fyldt injektionssprøjte er forsynet med en kanyle (27G nål), </w:t>
      </w:r>
      <w:r w:rsidRPr="00392DD6">
        <w:rPr>
          <w:rFonts w:eastAsia="TimesNewRoman,Bold"/>
          <w:sz w:val="24"/>
          <w:szCs w:val="24"/>
        </w:rPr>
        <w:t>som er lukket med en elastomer beskyttelseshætte der kommer i</w:t>
      </w:r>
      <w:r w:rsidRPr="00392DD6">
        <w:rPr>
          <w:rFonts w:eastAsia="TimesNewRoman"/>
          <w:sz w:val="24"/>
          <w:szCs w:val="24"/>
        </w:rPr>
        <w:t xml:space="preserve"> </w:t>
      </w:r>
      <w:r w:rsidRPr="00392DD6">
        <w:rPr>
          <w:rFonts w:eastAsia="TimesNewRoman,Bold"/>
          <w:sz w:val="24"/>
          <w:szCs w:val="24"/>
        </w:rPr>
        <w:t>berøring med kanylen</w:t>
      </w:r>
      <w:r w:rsidRPr="00392DD6">
        <w:rPr>
          <w:rFonts w:eastAsia="TimesNewRoman"/>
          <w:sz w:val="24"/>
          <w:szCs w:val="24"/>
        </w:rPr>
        <w:t xml:space="preserve">. Beskyttelseshætten er beskyttet af et stift plastik nålebeskyttelsessystem eller et integreret sikkerhedssystem.  </w:t>
      </w:r>
    </w:p>
    <w:p w14:paraId="11BAC543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452E61B3" w14:textId="77777777" w:rsidR="005360B5" w:rsidRPr="00392DD6" w:rsidRDefault="005360B5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 xml:space="preserve">Findes i æsker indeholdende 1 eller 5 fyldte injektionssprøjter, som uddybet herunder: </w:t>
      </w:r>
    </w:p>
    <w:p w14:paraId="1F66D903" w14:textId="77777777" w:rsidR="005360B5" w:rsidRPr="00392DD6" w:rsidRDefault="005360B5" w:rsidP="00392DD6">
      <w:pPr>
        <w:pStyle w:val="Listeafsnit"/>
        <w:numPr>
          <w:ilvl w:val="0"/>
          <w:numId w:val="8"/>
        </w:numPr>
        <w:autoSpaceDE w:val="0"/>
        <w:autoSpaceDN w:val="0"/>
        <w:adjustRightInd w:val="0"/>
        <w:ind w:left="1134" w:hanging="283"/>
        <w:rPr>
          <w:rFonts w:eastAsia="TimesNewRoman"/>
          <w:szCs w:val="24"/>
        </w:rPr>
      </w:pPr>
      <w:r w:rsidRPr="00392DD6">
        <w:rPr>
          <w:rFonts w:eastAsia="TimesNewRoman"/>
          <w:szCs w:val="24"/>
        </w:rPr>
        <w:t>1 fyldt injektionssprøjte</w:t>
      </w:r>
    </w:p>
    <w:p w14:paraId="479FF86B" w14:textId="77777777" w:rsidR="005360B5" w:rsidRPr="00392DD6" w:rsidRDefault="005360B5" w:rsidP="00392DD6">
      <w:pPr>
        <w:pStyle w:val="Listeafsnit"/>
        <w:numPr>
          <w:ilvl w:val="0"/>
          <w:numId w:val="8"/>
        </w:numPr>
        <w:autoSpaceDE w:val="0"/>
        <w:autoSpaceDN w:val="0"/>
        <w:adjustRightInd w:val="0"/>
        <w:ind w:left="1134" w:hanging="283"/>
        <w:rPr>
          <w:rFonts w:eastAsia="TimesNewRoman"/>
          <w:szCs w:val="24"/>
        </w:rPr>
      </w:pPr>
      <w:r w:rsidRPr="00392DD6">
        <w:rPr>
          <w:rFonts w:eastAsia="TimesNewRoman"/>
          <w:szCs w:val="24"/>
        </w:rPr>
        <w:t xml:space="preserve">5 fyldte injektionssprøjter </w:t>
      </w:r>
    </w:p>
    <w:p w14:paraId="5F0A00C7" w14:textId="77777777" w:rsidR="005360B5" w:rsidRPr="00392DD6" w:rsidRDefault="005360B5" w:rsidP="005360B5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14:paraId="1DCCBF51" w14:textId="77777777" w:rsidR="005360B5" w:rsidRPr="00392DD6" w:rsidRDefault="005360B5" w:rsidP="00392DD6">
      <w:pPr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Ikke alle pakningsstørrelser er nødvendigvis markedsført.</w:t>
      </w:r>
    </w:p>
    <w:p w14:paraId="5AB09726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3A36991" w14:textId="28084A4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6.6</w:t>
      </w:r>
      <w:r w:rsidRPr="00392DD6">
        <w:rPr>
          <w:b/>
          <w:sz w:val="24"/>
          <w:szCs w:val="24"/>
        </w:rPr>
        <w:tab/>
        <w:t xml:space="preserve">Regler for </w:t>
      </w:r>
      <w:r w:rsidR="004C1F89">
        <w:rPr>
          <w:b/>
          <w:sz w:val="24"/>
          <w:szCs w:val="24"/>
        </w:rPr>
        <w:t>bortskaffelse</w:t>
      </w:r>
      <w:bookmarkStart w:id="0" w:name="_GoBack"/>
      <w:bookmarkEnd w:id="0"/>
      <w:r w:rsidRPr="00392DD6">
        <w:rPr>
          <w:b/>
          <w:sz w:val="24"/>
          <w:szCs w:val="24"/>
        </w:rPr>
        <w:t xml:space="preserve"> og anden håndtering</w:t>
      </w:r>
    </w:p>
    <w:p w14:paraId="1593F2AF" w14:textId="77777777" w:rsidR="004C1F89" w:rsidRPr="00A9140F" w:rsidRDefault="0045463D" w:rsidP="004C1F89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392DD6">
        <w:rPr>
          <w:rFonts w:eastAsia="TimesNewRoman"/>
          <w:sz w:val="24"/>
          <w:szCs w:val="24"/>
        </w:rPr>
        <w:t>Undersøg sprøjten før brug. Brug kun sprøjter med klare, partikelfrie opløsninger og fra ubeskadigede beholdere.</w:t>
      </w:r>
      <w:r w:rsidR="004C1F89">
        <w:rPr>
          <w:rFonts w:eastAsia="TimesNewRoman"/>
          <w:sz w:val="24"/>
          <w:szCs w:val="24"/>
        </w:rPr>
        <w:t xml:space="preserve"> </w:t>
      </w:r>
      <w:r w:rsidR="004C1F89" w:rsidRPr="000A0B28">
        <w:rPr>
          <w:szCs w:val="22"/>
          <w:lang w:val="da"/>
        </w:rPr>
        <w:t>Tag en sprøjte fra blisterpakningen ved at tage fat i sprøjten ved kroppen. Tag ikke sprøjten ved stempelstangen. Sprøjten skal holdes lodret, og kanylehætten skal trækkes af uden trykke</w:t>
      </w:r>
      <w:r w:rsidR="004C1F89">
        <w:rPr>
          <w:szCs w:val="22"/>
          <w:lang w:val="da"/>
        </w:rPr>
        <w:t>nde</w:t>
      </w:r>
      <w:r w:rsidR="004C1F89" w:rsidRPr="000A0B28">
        <w:rPr>
          <w:szCs w:val="22"/>
          <w:lang w:val="da"/>
        </w:rPr>
        <w:t xml:space="preserve"> eller rotere</w:t>
      </w:r>
      <w:r w:rsidR="004C1F89">
        <w:rPr>
          <w:szCs w:val="22"/>
          <w:lang w:val="da"/>
        </w:rPr>
        <w:t>nde</w:t>
      </w:r>
      <w:r w:rsidR="004C1F89" w:rsidRPr="000A0B28">
        <w:rPr>
          <w:szCs w:val="22"/>
          <w:lang w:val="da"/>
        </w:rPr>
        <w:t xml:space="preserve"> bevægelser.</w:t>
      </w:r>
    </w:p>
    <w:p w14:paraId="77A3D2DC" w14:textId="77777777" w:rsidR="0045463D" w:rsidRPr="00392DD6" w:rsidRDefault="0045463D" w:rsidP="00392DD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392DD6">
        <w:rPr>
          <w:rFonts w:eastAsia="TimesNewRoman"/>
          <w:sz w:val="24"/>
          <w:szCs w:val="24"/>
        </w:rPr>
        <w:t>Ikke anvendt lægemiddel samt affald heraf skal bortskaffes i henhold til lokale retningslinjer.</w:t>
      </w:r>
    </w:p>
    <w:p w14:paraId="2EBD1729" w14:textId="77777777" w:rsidR="009260DE" w:rsidRPr="00392DD6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272E5CBC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7.</w:t>
      </w:r>
      <w:r w:rsidRPr="00392DD6">
        <w:rPr>
          <w:b/>
          <w:sz w:val="24"/>
          <w:szCs w:val="24"/>
        </w:rPr>
        <w:tab/>
        <w:t>INDEHAVER AF MARKEDSFØRINGSTILLADELSEN</w:t>
      </w:r>
    </w:p>
    <w:p w14:paraId="22B07D1D" w14:textId="77777777" w:rsidR="0045463D" w:rsidRPr="00392DD6" w:rsidRDefault="0045463D" w:rsidP="0045463D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392DD6">
        <w:rPr>
          <w:sz w:val="24"/>
          <w:szCs w:val="24"/>
        </w:rPr>
        <w:t>Orifarm</w:t>
      </w:r>
      <w:proofErr w:type="spellEnd"/>
      <w:r w:rsidRPr="00392DD6">
        <w:rPr>
          <w:sz w:val="24"/>
          <w:szCs w:val="24"/>
        </w:rPr>
        <w:t xml:space="preserve"> </w:t>
      </w:r>
      <w:proofErr w:type="spellStart"/>
      <w:r w:rsidRPr="00392DD6">
        <w:rPr>
          <w:sz w:val="24"/>
          <w:szCs w:val="24"/>
        </w:rPr>
        <w:t>Generics</w:t>
      </w:r>
      <w:proofErr w:type="spellEnd"/>
      <w:r w:rsidRPr="00392DD6">
        <w:rPr>
          <w:sz w:val="24"/>
          <w:szCs w:val="24"/>
        </w:rPr>
        <w:t xml:space="preserve"> A/S </w:t>
      </w:r>
    </w:p>
    <w:p w14:paraId="67BC7E73" w14:textId="77777777" w:rsidR="0045463D" w:rsidRPr="00392DD6" w:rsidRDefault="0045463D" w:rsidP="0045463D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>Energivej 15</w:t>
      </w:r>
    </w:p>
    <w:p w14:paraId="454BF577" w14:textId="77777777" w:rsidR="0045463D" w:rsidRPr="00392DD6" w:rsidRDefault="0045463D" w:rsidP="0045463D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>5260 Odense S</w:t>
      </w:r>
    </w:p>
    <w:p w14:paraId="2BBD591C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A106463" w14:textId="67D1D433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8.</w:t>
      </w:r>
      <w:r w:rsidRPr="00392DD6">
        <w:rPr>
          <w:b/>
          <w:sz w:val="24"/>
          <w:szCs w:val="24"/>
        </w:rPr>
        <w:tab/>
        <w:t>MARKEDSFØRINGSTILLADELSESNUMMER (</w:t>
      </w:r>
      <w:r w:rsidR="004C1F89">
        <w:rPr>
          <w:b/>
          <w:sz w:val="24"/>
          <w:szCs w:val="24"/>
        </w:rPr>
        <w:t>-</w:t>
      </w:r>
      <w:r w:rsidRPr="00392DD6">
        <w:rPr>
          <w:b/>
          <w:sz w:val="24"/>
          <w:szCs w:val="24"/>
        </w:rPr>
        <w:t>NUMRE)</w:t>
      </w:r>
    </w:p>
    <w:p w14:paraId="01E7DBF2" w14:textId="370EFDD7" w:rsidR="009260DE" w:rsidRPr="00392DD6" w:rsidRDefault="0045463D" w:rsidP="009260DE">
      <w:pPr>
        <w:tabs>
          <w:tab w:val="left" w:pos="851"/>
        </w:tabs>
        <w:ind w:left="851"/>
        <w:rPr>
          <w:sz w:val="24"/>
          <w:szCs w:val="24"/>
        </w:rPr>
      </w:pPr>
      <w:r w:rsidRPr="00392DD6">
        <w:rPr>
          <w:sz w:val="24"/>
          <w:szCs w:val="24"/>
        </w:rPr>
        <w:t>64875</w:t>
      </w:r>
    </w:p>
    <w:p w14:paraId="36ED8C4F" w14:textId="77777777" w:rsidR="009260DE" w:rsidRPr="00392DD6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22C91C9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9.</w:t>
      </w:r>
      <w:r w:rsidRPr="00392DD6">
        <w:rPr>
          <w:b/>
          <w:sz w:val="24"/>
          <w:szCs w:val="24"/>
        </w:rPr>
        <w:tab/>
        <w:t>DATO FOR FØRSTE MARKEDSFØRINGSTILLADELSE</w:t>
      </w:r>
    </w:p>
    <w:p w14:paraId="12E1A9C2" w14:textId="6EE2B9D6" w:rsidR="009260DE" w:rsidRPr="00392DD6" w:rsidRDefault="004871A3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9. november 2021</w:t>
      </w:r>
    </w:p>
    <w:p w14:paraId="763A33DE" w14:textId="77777777" w:rsidR="009260DE" w:rsidRPr="00392DD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E4B4ED" w14:textId="77777777" w:rsidR="009260DE" w:rsidRPr="00392DD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92DD6">
        <w:rPr>
          <w:b/>
          <w:sz w:val="24"/>
          <w:szCs w:val="24"/>
        </w:rPr>
        <w:t>10.</w:t>
      </w:r>
      <w:r w:rsidRPr="00392DD6">
        <w:rPr>
          <w:b/>
          <w:sz w:val="24"/>
          <w:szCs w:val="24"/>
        </w:rPr>
        <w:tab/>
        <w:t>DATO FOR ÆNDRING AF TEKSTEN</w:t>
      </w:r>
    </w:p>
    <w:p w14:paraId="2DFDA384" w14:textId="703596D4" w:rsidR="009260DE" w:rsidRPr="00392DD6" w:rsidRDefault="00D410A7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 november 2024</w:t>
      </w:r>
    </w:p>
    <w:sectPr w:rsidR="009260DE" w:rsidRPr="00392DD6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601FB" w14:textId="77777777" w:rsidR="009B71D0" w:rsidRDefault="009B71D0">
      <w:r>
        <w:separator/>
      </w:r>
    </w:p>
  </w:endnote>
  <w:endnote w:type="continuationSeparator" w:id="0">
    <w:p w14:paraId="4F33B087" w14:textId="77777777" w:rsidR="009B71D0" w:rsidRDefault="009B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03A6" w14:textId="77777777" w:rsidR="000259B9" w:rsidRDefault="000259B9">
    <w:pPr>
      <w:pStyle w:val="Sidefod"/>
      <w:pBdr>
        <w:bottom w:val="single" w:sz="6" w:space="1" w:color="auto"/>
      </w:pBdr>
    </w:pPr>
  </w:p>
  <w:p w14:paraId="799FA635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CB83437" w14:textId="52AE7A9E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871A3">
      <w:rPr>
        <w:i/>
        <w:noProof/>
        <w:sz w:val="18"/>
        <w:szCs w:val="18"/>
      </w:rPr>
      <w:t>Ganirelix Orifarm, injektionsvæske, opløsning i fyldt injektionssprøjte 0,25 mg-0,5 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C773F" w14:textId="77777777" w:rsidR="009B71D0" w:rsidRDefault="009B71D0">
      <w:r>
        <w:separator/>
      </w:r>
    </w:p>
  </w:footnote>
  <w:footnote w:type="continuationSeparator" w:id="0">
    <w:p w14:paraId="75900212" w14:textId="77777777" w:rsidR="009B71D0" w:rsidRDefault="009B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5712"/>
    <w:multiLevelType w:val="hybridMultilevel"/>
    <w:tmpl w:val="4A58A6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C95C62"/>
    <w:multiLevelType w:val="hybridMultilevel"/>
    <w:tmpl w:val="DAB8720E"/>
    <w:lvl w:ilvl="0" w:tplc="4978F6F4">
      <w:start w:val="1"/>
      <w:numFmt w:val="decimal"/>
      <w:lvlText w:val="%1"/>
      <w:lvlJc w:val="left"/>
      <w:pPr>
        <w:ind w:left="720" w:hanging="360"/>
      </w:pPr>
      <w:rPr>
        <w:color w:val="auto"/>
        <w:sz w:val="14"/>
        <w:szCs w:val="1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71911AC7"/>
    <w:multiLevelType w:val="hybridMultilevel"/>
    <w:tmpl w:val="057A5FD4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D0"/>
    <w:rsid w:val="000259B9"/>
    <w:rsid w:val="00041491"/>
    <w:rsid w:val="00050D16"/>
    <w:rsid w:val="000730CA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92DD6"/>
    <w:rsid w:val="003A29AE"/>
    <w:rsid w:val="003A32D7"/>
    <w:rsid w:val="003B4074"/>
    <w:rsid w:val="003C769A"/>
    <w:rsid w:val="003F1838"/>
    <w:rsid w:val="0045463D"/>
    <w:rsid w:val="0045746C"/>
    <w:rsid w:val="004871A3"/>
    <w:rsid w:val="0049104B"/>
    <w:rsid w:val="004C1F89"/>
    <w:rsid w:val="004E3B12"/>
    <w:rsid w:val="00532310"/>
    <w:rsid w:val="005360B5"/>
    <w:rsid w:val="00565F0F"/>
    <w:rsid w:val="00594411"/>
    <w:rsid w:val="00594A86"/>
    <w:rsid w:val="00596D86"/>
    <w:rsid w:val="005C58E1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2576E"/>
    <w:rsid w:val="00907F75"/>
    <w:rsid w:val="009260DE"/>
    <w:rsid w:val="0093258A"/>
    <w:rsid w:val="009542A7"/>
    <w:rsid w:val="00980D9E"/>
    <w:rsid w:val="00983BCC"/>
    <w:rsid w:val="009B71D0"/>
    <w:rsid w:val="009C7BA3"/>
    <w:rsid w:val="009D1F5A"/>
    <w:rsid w:val="00A10294"/>
    <w:rsid w:val="00A57801"/>
    <w:rsid w:val="00B003BF"/>
    <w:rsid w:val="00B373D7"/>
    <w:rsid w:val="00B82925"/>
    <w:rsid w:val="00C36276"/>
    <w:rsid w:val="00C42586"/>
    <w:rsid w:val="00C60CCD"/>
    <w:rsid w:val="00C84483"/>
    <w:rsid w:val="00C866F4"/>
    <w:rsid w:val="00C95551"/>
    <w:rsid w:val="00CB20D7"/>
    <w:rsid w:val="00D020B0"/>
    <w:rsid w:val="00D11748"/>
    <w:rsid w:val="00D366CF"/>
    <w:rsid w:val="00D410A7"/>
    <w:rsid w:val="00D65D68"/>
    <w:rsid w:val="00E108AA"/>
    <w:rsid w:val="00E3749A"/>
    <w:rsid w:val="00E7437F"/>
    <w:rsid w:val="00E865B8"/>
    <w:rsid w:val="00EC0B9B"/>
    <w:rsid w:val="00ED5E9F"/>
    <w:rsid w:val="00F256BA"/>
    <w:rsid w:val="00F66D4F"/>
    <w:rsid w:val="00F923F6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CB8F6"/>
  <w15:chartTrackingRefBased/>
  <w15:docId w15:val="{0A124328-9372-4A4D-B3F8-9FC2CD14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F89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5360B5"/>
    <w:pPr>
      <w:ind w:left="720"/>
      <w:contextualSpacing/>
    </w:pPr>
    <w:rPr>
      <w:sz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5360B5"/>
    <w:rPr>
      <w:color w:val="0563C1" w:themeColor="hyperlink"/>
      <w:u w:val="single"/>
    </w:rPr>
  </w:style>
  <w:style w:type="table" w:styleId="Tabel-Gitter">
    <w:name w:val="Table Grid"/>
    <w:basedOn w:val="Tabel-Normal"/>
    <w:uiPriority w:val="59"/>
    <w:rsid w:val="005360B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6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2317</Words>
  <Characters>15261</Characters>
  <Application>Microsoft Office Word</Application>
  <DocSecurity>0</DocSecurity>
  <Lines>127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Ronnovius</dc:creator>
  <cp:keywords/>
  <dc:description>2024012514 pkt. 4.2, 6.6, QRD</dc:description>
  <cp:lastModifiedBy>Gitte Ronnovius</cp:lastModifiedBy>
  <cp:revision>3</cp:revision>
  <cp:lastPrinted>2012-08-22T08:53:00Z</cp:lastPrinted>
  <dcterms:created xsi:type="dcterms:W3CDTF">2024-11-06T10:45:00Z</dcterms:created>
  <dcterms:modified xsi:type="dcterms:W3CDTF">2024-11-06T10:51:00Z</dcterms:modified>
</cp:coreProperties>
</file>