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FC460" w14:textId="77777777" w:rsidR="009F4442" w:rsidRPr="008F49E1" w:rsidRDefault="009F4442" w:rsidP="009F4442">
      <w:pPr>
        <w:rPr>
          <w:sz w:val="24"/>
          <w:szCs w:val="24"/>
        </w:rPr>
      </w:pPr>
      <w:r w:rsidRPr="009260DE">
        <w:rPr>
          <w:noProof/>
          <w:sz w:val="24"/>
          <w:szCs w:val="24"/>
          <w:lang w:eastAsia="da-DK"/>
        </w:rPr>
        <w:drawing>
          <wp:anchor distT="0" distB="0" distL="114300" distR="114300" simplePos="0" relativeHeight="251659264" behindDoc="0" locked="0" layoutInCell="1" allowOverlap="1" wp14:anchorId="04194AEF" wp14:editId="595C60E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015D749D" w14:textId="77777777" w:rsidR="009F4442" w:rsidRPr="00C84483" w:rsidRDefault="009F4442" w:rsidP="009F4442">
      <w:pPr>
        <w:pStyle w:val="Titel"/>
        <w:tabs>
          <w:tab w:val="right" w:pos="9356"/>
        </w:tabs>
        <w:jc w:val="left"/>
        <w:rPr>
          <w:b w:val="0"/>
          <w:szCs w:val="24"/>
          <w:lang w:eastAsia="en-US"/>
        </w:rPr>
      </w:pPr>
      <w:r w:rsidRPr="00C84483">
        <w:rPr>
          <w:b w:val="0"/>
          <w:szCs w:val="24"/>
          <w:lang w:eastAsia="en-US"/>
        </w:rPr>
        <w:tab/>
      </w:r>
      <w:r w:rsidR="00A75BD5">
        <w:rPr>
          <w:szCs w:val="24"/>
        </w:rPr>
        <w:t>15</w:t>
      </w:r>
      <w:r>
        <w:rPr>
          <w:szCs w:val="24"/>
        </w:rPr>
        <w:t xml:space="preserve">. </w:t>
      </w:r>
      <w:r w:rsidR="00A75BD5">
        <w:rPr>
          <w:szCs w:val="24"/>
        </w:rPr>
        <w:t>marts</w:t>
      </w:r>
      <w:r>
        <w:rPr>
          <w:szCs w:val="24"/>
        </w:rPr>
        <w:t xml:space="preserve"> 20</w:t>
      </w:r>
      <w:r w:rsidR="00A75BD5">
        <w:rPr>
          <w:szCs w:val="24"/>
        </w:rPr>
        <w:t>23</w:t>
      </w:r>
    </w:p>
    <w:p w14:paraId="794F676D" w14:textId="77777777" w:rsidR="009F4442" w:rsidRPr="00C84483" w:rsidRDefault="009F4442" w:rsidP="009F4442">
      <w:pPr>
        <w:pStyle w:val="Titel"/>
        <w:tabs>
          <w:tab w:val="left" w:pos="8222"/>
        </w:tabs>
        <w:jc w:val="left"/>
        <w:rPr>
          <w:b w:val="0"/>
          <w:szCs w:val="24"/>
        </w:rPr>
      </w:pPr>
    </w:p>
    <w:p w14:paraId="763FA9DF" w14:textId="77777777" w:rsidR="009F4442" w:rsidRPr="00C84483" w:rsidRDefault="009F4442" w:rsidP="009F4442">
      <w:pPr>
        <w:pStyle w:val="Titel"/>
        <w:jc w:val="left"/>
        <w:rPr>
          <w:b w:val="0"/>
          <w:szCs w:val="24"/>
        </w:rPr>
      </w:pPr>
    </w:p>
    <w:p w14:paraId="0364BD56" w14:textId="77777777" w:rsidR="009F4442" w:rsidRPr="00C84483" w:rsidRDefault="009F4442" w:rsidP="009F4442">
      <w:pPr>
        <w:pStyle w:val="Titel"/>
        <w:jc w:val="left"/>
        <w:rPr>
          <w:b w:val="0"/>
          <w:szCs w:val="24"/>
        </w:rPr>
      </w:pPr>
    </w:p>
    <w:p w14:paraId="4AC04051" w14:textId="77777777" w:rsidR="009F4442" w:rsidRPr="00C84483" w:rsidRDefault="009F4442" w:rsidP="009F4442">
      <w:pPr>
        <w:jc w:val="center"/>
        <w:rPr>
          <w:b/>
          <w:sz w:val="24"/>
          <w:szCs w:val="24"/>
        </w:rPr>
      </w:pPr>
      <w:r w:rsidRPr="00C84483">
        <w:rPr>
          <w:b/>
          <w:sz w:val="24"/>
          <w:szCs w:val="24"/>
        </w:rPr>
        <w:t>PRODUKTRESUMÉ</w:t>
      </w:r>
    </w:p>
    <w:p w14:paraId="4C70467B" w14:textId="77777777" w:rsidR="009F4442" w:rsidRPr="00C84483" w:rsidRDefault="009F4442" w:rsidP="009F4442">
      <w:pPr>
        <w:jc w:val="center"/>
        <w:rPr>
          <w:b/>
          <w:sz w:val="24"/>
          <w:szCs w:val="24"/>
        </w:rPr>
      </w:pPr>
    </w:p>
    <w:p w14:paraId="0A4CBB79" w14:textId="77777777" w:rsidR="009F4442" w:rsidRDefault="009F4442" w:rsidP="009F4442">
      <w:pPr>
        <w:jc w:val="center"/>
        <w:rPr>
          <w:b/>
          <w:sz w:val="24"/>
          <w:szCs w:val="24"/>
        </w:rPr>
      </w:pPr>
      <w:r w:rsidRPr="00C84483">
        <w:rPr>
          <w:b/>
          <w:sz w:val="24"/>
          <w:szCs w:val="24"/>
        </w:rPr>
        <w:t>for</w:t>
      </w:r>
    </w:p>
    <w:p w14:paraId="3CC0BBD1" w14:textId="77777777" w:rsidR="009F4442" w:rsidRPr="00C84483" w:rsidRDefault="009F4442" w:rsidP="009F4442">
      <w:pPr>
        <w:jc w:val="center"/>
        <w:rPr>
          <w:b/>
          <w:sz w:val="24"/>
          <w:szCs w:val="24"/>
        </w:rPr>
      </w:pPr>
    </w:p>
    <w:p w14:paraId="48F216DE" w14:textId="77777777" w:rsidR="009F4442" w:rsidRPr="00C84483" w:rsidRDefault="009F4442" w:rsidP="009F4442">
      <w:pPr>
        <w:jc w:val="center"/>
        <w:rPr>
          <w:b/>
          <w:sz w:val="24"/>
          <w:szCs w:val="24"/>
        </w:rPr>
      </w:pPr>
      <w:proofErr w:type="spellStart"/>
      <w:r>
        <w:rPr>
          <w:b/>
          <w:sz w:val="24"/>
          <w:szCs w:val="24"/>
        </w:rPr>
        <w:t>Gefitinib</w:t>
      </w:r>
      <w:proofErr w:type="spellEnd"/>
      <w:r>
        <w:rPr>
          <w:b/>
          <w:sz w:val="24"/>
          <w:szCs w:val="24"/>
        </w:rPr>
        <w:t xml:space="preserve"> "</w:t>
      </w:r>
      <w:proofErr w:type="spellStart"/>
      <w:r>
        <w:rPr>
          <w:b/>
          <w:sz w:val="24"/>
          <w:szCs w:val="24"/>
        </w:rPr>
        <w:t>Stada</w:t>
      </w:r>
      <w:proofErr w:type="spellEnd"/>
      <w:r>
        <w:rPr>
          <w:b/>
          <w:sz w:val="24"/>
          <w:szCs w:val="24"/>
        </w:rPr>
        <w:t>", filmovertrukne tabletter</w:t>
      </w:r>
    </w:p>
    <w:p w14:paraId="0A64299A" w14:textId="77777777" w:rsidR="009F4442" w:rsidRPr="00C84483" w:rsidRDefault="009F4442" w:rsidP="009F4442">
      <w:pPr>
        <w:jc w:val="both"/>
        <w:rPr>
          <w:sz w:val="24"/>
          <w:szCs w:val="24"/>
        </w:rPr>
      </w:pPr>
    </w:p>
    <w:p w14:paraId="3F9CC273" w14:textId="77777777" w:rsidR="009F4442" w:rsidRPr="009A35D6" w:rsidRDefault="009F4442" w:rsidP="009F4442">
      <w:pPr>
        <w:ind w:left="851" w:hanging="851"/>
        <w:jc w:val="both"/>
        <w:rPr>
          <w:sz w:val="24"/>
          <w:szCs w:val="24"/>
        </w:rPr>
      </w:pPr>
    </w:p>
    <w:p w14:paraId="7BDC96E2" w14:textId="77777777" w:rsidR="009F4442" w:rsidRPr="009A35D6" w:rsidRDefault="009F4442" w:rsidP="009F4442">
      <w:pPr>
        <w:tabs>
          <w:tab w:val="left" w:pos="851"/>
        </w:tabs>
        <w:ind w:left="851" w:hanging="851"/>
        <w:rPr>
          <w:b/>
          <w:sz w:val="24"/>
          <w:szCs w:val="24"/>
        </w:rPr>
      </w:pPr>
      <w:r w:rsidRPr="009A35D6">
        <w:rPr>
          <w:b/>
          <w:sz w:val="24"/>
          <w:szCs w:val="24"/>
        </w:rPr>
        <w:t>0.</w:t>
      </w:r>
      <w:r w:rsidRPr="009A35D6">
        <w:rPr>
          <w:b/>
          <w:sz w:val="24"/>
          <w:szCs w:val="24"/>
        </w:rPr>
        <w:tab/>
        <w:t>D.SP.NR.</w:t>
      </w:r>
    </w:p>
    <w:p w14:paraId="58954586"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30817</w:t>
      </w:r>
    </w:p>
    <w:p w14:paraId="71991565" w14:textId="77777777" w:rsidR="009F4442" w:rsidRPr="009A35D6" w:rsidRDefault="009F4442" w:rsidP="009F4442">
      <w:pPr>
        <w:tabs>
          <w:tab w:val="left" w:pos="851"/>
        </w:tabs>
        <w:ind w:left="851" w:hanging="851"/>
        <w:rPr>
          <w:sz w:val="24"/>
          <w:szCs w:val="24"/>
        </w:rPr>
      </w:pPr>
    </w:p>
    <w:p w14:paraId="18D6BD3A" w14:textId="77777777" w:rsidR="009F4442" w:rsidRPr="009A35D6" w:rsidRDefault="009F4442" w:rsidP="009F4442">
      <w:pPr>
        <w:tabs>
          <w:tab w:val="left" w:pos="851"/>
        </w:tabs>
        <w:ind w:left="851" w:hanging="851"/>
        <w:rPr>
          <w:b/>
          <w:sz w:val="24"/>
          <w:szCs w:val="24"/>
        </w:rPr>
      </w:pPr>
      <w:r w:rsidRPr="009A35D6">
        <w:rPr>
          <w:b/>
          <w:sz w:val="24"/>
          <w:szCs w:val="24"/>
        </w:rPr>
        <w:t>1.</w:t>
      </w:r>
      <w:r w:rsidRPr="009A35D6">
        <w:rPr>
          <w:b/>
          <w:sz w:val="24"/>
          <w:szCs w:val="24"/>
        </w:rPr>
        <w:tab/>
        <w:t>LÆGEMIDLETS NAVN</w:t>
      </w:r>
    </w:p>
    <w:p w14:paraId="01262587" w14:textId="77777777" w:rsidR="009F4442" w:rsidRPr="009A35D6" w:rsidRDefault="009F4442" w:rsidP="009F4442">
      <w:pPr>
        <w:tabs>
          <w:tab w:val="left" w:pos="851"/>
        </w:tabs>
        <w:ind w:left="851" w:hanging="851"/>
        <w:rPr>
          <w:sz w:val="24"/>
          <w:szCs w:val="24"/>
        </w:rPr>
      </w:pPr>
      <w:r>
        <w:rPr>
          <w:sz w:val="24"/>
          <w:szCs w:val="24"/>
        </w:rPr>
        <w:tab/>
      </w:r>
      <w:proofErr w:type="spellStart"/>
      <w:r w:rsidRPr="009A35D6">
        <w:rPr>
          <w:sz w:val="24"/>
          <w:szCs w:val="24"/>
        </w:rPr>
        <w:t>Gefitinib</w:t>
      </w:r>
      <w:proofErr w:type="spellEnd"/>
      <w:r w:rsidRPr="009A35D6">
        <w:rPr>
          <w:sz w:val="24"/>
          <w:szCs w:val="24"/>
        </w:rPr>
        <w:t xml:space="preserve"> "</w:t>
      </w:r>
      <w:proofErr w:type="spellStart"/>
      <w:r w:rsidRPr="009A35D6">
        <w:rPr>
          <w:sz w:val="24"/>
          <w:szCs w:val="24"/>
        </w:rPr>
        <w:t>Stada</w:t>
      </w:r>
      <w:proofErr w:type="spellEnd"/>
      <w:r w:rsidRPr="009A35D6">
        <w:rPr>
          <w:sz w:val="24"/>
          <w:szCs w:val="24"/>
        </w:rPr>
        <w:t>"</w:t>
      </w:r>
    </w:p>
    <w:p w14:paraId="2F7A5C26" w14:textId="77777777" w:rsidR="009F4442" w:rsidRPr="009A35D6" w:rsidRDefault="009F4442" w:rsidP="009F4442">
      <w:pPr>
        <w:tabs>
          <w:tab w:val="left" w:pos="851"/>
        </w:tabs>
        <w:ind w:left="851" w:hanging="851"/>
        <w:rPr>
          <w:sz w:val="24"/>
          <w:szCs w:val="24"/>
        </w:rPr>
      </w:pPr>
    </w:p>
    <w:p w14:paraId="042DE8D0" w14:textId="77777777" w:rsidR="009F4442" w:rsidRPr="009A35D6" w:rsidRDefault="009F4442" w:rsidP="009F4442">
      <w:pPr>
        <w:tabs>
          <w:tab w:val="left" w:pos="851"/>
        </w:tabs>
        <w:ind w:left="851" w:hanging="851"/>
        <w:rPr>
          <w:b/>
          <w:sz w:val="24"/>
          <w:szCs w:val="24"/>
        </w:rPr>
      </w:pPr>
      <w:r w:rsidRPr="009A35D6">
        <w:rPr>
          <w:b/>
          <w:sz w:val="24"/>
          <w:szCs w:val="24"/>
        </w:rPr>
        <w:t>2.</w:t>
      </w:r>
      <w:r w:rsidRPr="009A35D6">
        <w:rPr>
          <w:b/>
          <w:sz w:val="24"/>
          <w:szCs w:val="24"/>
        </w:rPr>
        <w:tab/>
        <w:t>KVALITATIV OG KVANTITATIV SAMMENSÆTNING</w:t>
      </w:r>
    </w:p>
    <w:p w14:paraId="70492BB8"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Hver tablet indeholder 250 mg </w:t>
      </w:r>
      <w:proofErr w:type="spellStart"/>
      <w:r w:rsidRPr="009A35D6">
        <w:rPr>
          <w:sz w:val="24"/>
          <w:szCs w:val="24"/>
        </w:rPr>
        <w:t>gefitinib</w:t>
      </w:r>
      <w:proofErr w:type="spellEnd"/>
      <w:r w:rsidRPr="009A35D6">
        <w:rPr>
          <w:sz w:val="24"/>
          <w:szCs w:val="24"/>
        </w:rPr>
        <w:t>.</w:t>
      </w:r>
    </w:p>
    <w:p w14:paraId="421F2439" w14:textId="77777777" w:rsidR="009F4442" w:rsidRPr="009A35D6" w:rsidRDefault="009F4442" w:rsidP="009F4442">
      <w:pPr>
        <w:tabs>
          <w:tab w:val="left" w:pos="851"/>
        </w:tabs>
        <w:ind w:left="851" w:hanging="851"/>
        <w:rPr>
          <w:sz w:val="24"/>
          <w:szCs w:val="24"/>
        </w:rPr>
      </w:pPr>
    </w:p>
    <w:p w14:paraId="3FBD7001" w14:textId="77777777" w:rsidR="009F4442" w:rsidRPr="009A35D6" w:rsidRDefault="009F4442" w:rsidP="009F4442">
      <w:pPr>
        <w:tabs>
          <w:tab w:val="left" w:pos="851"/>
        </w:tabs>
        <w:ind w:left="851"/>
        <w:rPr>
          <w:sz w:val="24"/>
          <w:szCs w:val="24"/>
          <w:u w:val="single"/>
        </w:rPr>
      </w:pPr>
      <w:r w:rsidRPr="009A35D6">
        <w:rPr>
          <w:sz w:val="24"/>
          <w:szCs w:val="24"/>
          <w:u w:val="single"/>
        </w:rPr>
        <w:t xml:space="preserve">Hjælpestoffer som behandleren skal være opmærksom på: </w:t>
      </w:r>
    </w:p>
    <w:p w14:paraId="617EB346" w14:textId="77777777" w:rsidR="009F4442" w:rsidRPr="009A35D6" w:rsidRDefault="009F4442" w:rsidP="00A75BD5">
      <w:pPr>
        <w:tabs>
          <w:tab w:val="left" w:pos="851"/>
        </w:tabs>
        <w:ind w:left="851"/>
        <w:rPr>
          <w:sz w:val="24"/>
          <w:szCs w:val="24"/>
        </w:rPr>
      </w:pPr>
      <w:r w:rsidRPr="009A35D6">
        <w:rPr>
          <w:sz w:val="24"/>
          <w:szCs w:val="24"/>
        </w:rPr>
        <w:t xml:space="preserve">Hver tablet indeholder 163,5 mg </w:t>
      </w:r>
      <w:proofErr w:type="spellStart"/>
      <w:r w:rsidRPr="009A35D6">
        <w:rPr>
          <w:sz w:val="24"/>
          <w:szCs w:val="24"/>
        </w:rPr>
        <w:t>lactose</w:t>
      </w:r>
      <w:proofErr w:type="spellEnd"/>
      <w:r w:rsidRPr="009A35D6">
        <w:rPr>
          <w:sz w:val="24"/>
          <w:szCs w:val="24"/>
        </w:rPr>
        <w:t xml:space="preserve"> (som monohydrat)</w:t>
      </w:r>
    </w:p>
    <w:p w14:paraId="54B06742" w14:textId="77777777" w:rsidR="009F4442" w:rsidRPr="009A35D6" w:rsidRDefault="009F4442" w:rsidP="009F4442">
      <w:pPr>
        <w:tabs>
          <w:tab w:val="left" w:pos="851"/>
        </w:tabs>
        <w:ind w:left="851"/>
        <w:rPr>
          <w:sz w:val="24"/>
          <w:szCs w:val="24"/>
        </w:rPr>
      </w:pPr>
    </w:p>
    <w:p w14:paraId="0E763F39" w14:textId="77777777" w:rsidR="009F4442" w:rsidRPr="009A35D6" w:rsidRDefault="009F4442" w:rsidP="009F4442">
      <w:pPr>
        <w:tabs>
          <w:tab w:val="left" w:pos="851"/>
        </w:tabs>
        <w:ind w:left="851"/>
        <w:rPr>
          <w:sz w:val="24"/>
          <w:szCs w:val="24"/>
        </w:rPr>
      </w:pPr>
      <w:r w:rsidRPr="009A35D6">
        <w:rPr>
          <w:sz w:val="24"/>
          <w:szCs w:val="24"/>
        </w:rPr>
        <w:t>Alle hjælpestoffer er anført under pkt. 6.1.</w:t>
      </w:r>
    </w:p>
    <w:p w14:paraId="696424ED" w14:textId="77777777" w:rsidR="009F4442" w:rsidRPr="009A35D6" w:rsidRDefault="009F4442" w:rsidP="009F4442">
      <w:pPr>
        <w:tabs>
          <w:tab w:val="left" w:pos="851"/>
        </w:tabs>
        <w:ind w:left="851" w:hanging="851"/>
        <w:rPr>
          <w:sz w:val="24"/>
          <w:szCs w:val="24"/>
        </w:rPr>
      </w:pPr>
    </w:p>
    <w:p w14:paraId="41E99348" w14:textId="77777777" w:rsidR="009F4442" w:rsidRPr="009A35D6" w:rsidRDefault="009F4442" w:rsidP="009F4442">
      <w:pPr>
        <w:tabs>
          <w:tab w:val="left" w:pos="851"/>
        </w:tabs>
        <w:ind w:left="851" w:hanging="851"/>
        <w:rPr>
          <w:b/>
          <w:sz w:val="24"/>
          <w:szCs w:val="24"/>
        </w:rPr>
      </w:pPr>
      <w:r w:rsidRPr="009A35D6">
        <w:rPr>
          <w:b/>
          <w:sz w:val="24"/>
          <w:szCs w:val="24"/>
        </w:rPr>
        <w:t>3.</w:t>
      </w:r>
      <w:r w:rsidRPr="009A35D6">
        <w:rPr>
          <w:b/>
          <w:sz w:val="24"/>
          <w:szCs w:val="24"/>
        </w:rPr>
        <w:tab/>
        <w:t>LÆGEMIDDELFORM</w:t>
      </w:r>
    </w:p>
    <w:p w14:paraId="38C3FC4F" w14:textId="77777777" w:rsidR="009F4442" w:rsidRPr="009A35D6" w:rsidRDefault="009F4442" w:rsidP="009F4442">
      <w:pPr>
        <w:tabs>
          <w:tab w:val="left" w:pos="851"/>
        </w:tabs>
        <w:ind w:left="851"/>
        <w:rPr>
          <w:sz w:val="24"/>
          <w:szCs w:val="24"/>
        </w:rPr>
      </w:pPr>
      <w:r w:rsidRPr="009A35D6">
        <w:rPr>
          <w:sz w:val="24"/>
          <w:szCs w:val="24"/>
        </w:rPr>
        <w:t>Filmovertrukne tabletter</w:t>
      </w:r>
    </w:p>
    <w:p w14:paraId="51B343A8" w14:textId="77777777" w:rsidR="009F4442" w:rsidRPr="009A35D6" w:rsidRDefault="009F4442" w:rsidP="009F4442">
      <w:pPr>
        <w:tabs>
          <w:tab w:val="left" w:pos="851"/>
        </w:tabs>
        <w:ind w:left="851"/>
        <w:rPr>
          <w:sz w:val="24"/>
          <w:szCs w:val="24"/>
        </w:rPr>
      </w:pPr>
    </w:p>
    <w:p w14:paraId="65375F84" w14:textId="77777777" w:rsidR="009F4442" w:rsidRPr="009A35D6" w:rsidRDefault="009F4442" w:rsidP="009F4442">
      <w:pPr>
        <w:tabs>
          <w:tab w:val="left" w:pos="851"/>
        </w:tabs>
        <w:ind w:left="851"/>
        <w:rPr>
          <w:sz w:val="24"/>
          <w:szCs w:val="24"/>
        </w:rPr>
      </w:pPr>
      <w:r w:rsidRPr="009A35D6">
        <w:rPr>
          <w:sz w:val="24"/>
          <w:szCs w:val="24"/>
        </w:rPr>
        <w:t xml:space="preserve">Brune, runde, </w:t>
      </w:r>
      <w:proofErr w:type="spellStart"/>
      <w:r w:rsidRPr="009A35D6">
        <w:rPr>
          <w:sz w:val="24"/>
          <w:szCs w:val="24"/>
        </w:rPr>
        <w:t>bikonvekse</w:t>
      </w:r>
      <w:proofErr w:type="spellEnd"/>
      <w:r w:rsidRPr="009A35D6">
        <w:rPr>
          <w:sz w:val="24"/>
          <w:szCs w:val="24"/>
        </w:rPr>
        <w:t>, coatede tabletter (med en diameter på cirka 11 mm), mærkede med G9FB 250 på den ene side.</w:t>
      </w:r>
    </w:p>
    <w:p w14:paraId="185842D7" w14:textId="77777777" w:rsidR="009F4442" w:rsidRPr="009A35D6" w:rsidRDefault="009F4442" w:rsidP="009F4442">
      <w:pPr>
        <w:tabs>
          <w:tab w:val="left" w:pos="851"/>
        </w:tabs>
        <w:ind w:left="851" w:hanging="851"/>
        <w:rPr>
          <w:sz w:val="24"/>
          <w:szCs w:val="24"/>
        </w:rPr>
      </w:pPr>
    </w:p>
    <w:p w14:paraId="0D08FD90" w14:textId="77777777" w:rsidR="009F4442" w:rsidRPr="009A35D6" w:rsidRDefault="009F4442" w:rsidP="009F4442">
      <w:pPr>
        <w:tabs>
          <w:tab w:val="left" w:pos="851"/>
        </w:tabs>
        <w:ind w:left="851" w:hanging="851"/>
        <w:rPr>
          <w:sz w:val="24"/>
          <w:szCs w:val="24"/>
        </w:rPr>
      </w:pPr>
    </w:p>
    <w:p w14:paraId="2CF42D6B" w14:textId="77777777" w:rsidR="009F4442" w:rsidRPr="009A35D6" w:rsidRDefault="009F4442" w:rsidP="009F4442">
      <w:pPr>
        <w:tabs>
          <w:tab w:val="left" w:pos="851"/>
        </w:tabs>
        <w:ind w:left="851" w:hanging="851"/>
        <w:rPr>
          <w:b/>
          <w:sz w:val="24"/>
          <w:szCs w:val="24"/>
        </w:rPr>
      </w:pPr>
      <w:r w:rsidRPr="009A35D6">
        <w:rPr>
          <w:b/>
          <w:sz w:val="24"/>
          <w:szCs w:val="24"/>
        </w:rPr>
        <w:t>4.</w:t>
      </w:r>
      <w:r w:rsidRPr="009A35D6">
        <w:rPr>
          <w:b/>
          <w:sz w:val="24"/>
          <w:szCs w:val="24"/>
        </w:rPr>
        <w:tab/>
        <w:t>KLINISKE OPLYSNINGER</w:t>
      </w:r>
    </w:p>
    <w:p w14:paraId="2E7F2CE0" w14:textId="77777777" w:rsidR="009F4442" w:rsidRPr="009A35D6" w:rsidRDefault="009F4442" w:rsidP="009F4442">
      <w:pPr>
        <w:tabs>
          <w:tab w:val="left" w:pos="851"/>
        </w:tabs>
        <w:ind w:left="851" w:hanging="851"/>
        <w:rPr>
          <w:b/>
          <w:sz w:val="24"/>
          <w:szCs w:val="24"/>
        </w:rPr>
      </w:pPr>
    </w:p>
    <w:p w14:paraId="5FE96065" w14:textId="77777777" w:rsidR="009F4442" w:rsidRPr="009A35D6" w:rsidRDefault="009F4442" w:rsidP="009F4442">
      <w:pPr>
        <w:tabs>
          <w:tab w:val="left" w:pos="851"/>
        </w:tabs>
        <w:ind w:left="851" w:hanging="851"/>
        <w:rPr>
          <w:b/>
          <w:sz w:val="24"/>
          <w:szCs w:val="24"/>
          <w:u w:val="single"/>
        </w:rPr>
      </w:pPr>
      <w:r w:rsidRPr="009A35D6">
        <w:rPr>
          <w:b/>
          <w:sz w:val="24"/>
          <w:szCs w:val="24"/>
        </w:rPr>
        <w:t>4.1</w:t>
      </w:r>
      <w:r w:rsidRPr="009A35D6">
        <w:rPr>
          <w:b/>
          <w:sz w:val="24"/>
          <w:szCs w:val="24"/>
        </w:rPr>
        <w:tab/>
        <w:t>Terapeutiske indikationer</w:t>
      </w:r>
    </w:p>
    <w:p w14:paraId="1723E66C" w14:textId="77777777" w:rsidR="009F4442" w:rsidRPr="009A35D6" w:rsidRDefault="009F4442" w:rsidP="009F4442">
      <w:pPr>
        <w:tabs>
          <w:tab w:val="left" w:pos="851"/>
        </w:tabs>
        <w:ind w:left="851" w:hanging="851"/>
        <w:rPr>
          <w:sz w:val="24"/>
          <w:szCs w:val="24"/>
        </w:rPr>
      </w:pPr>
      <w:r>
        <w:rPr>
          <w:sz w:val="24"/>
          <w:szCs w:val="24"/>
        </w:rPr>
        <w:tab/>
      </w:r>
      <w:proofErr w:type="spellStart"/>
      <w:r>
        <w:rPr>
          <w:sz w:val="24"/>
          <w:szCs w:val="24"/>
        </w:rPr>
        <w:t>Gefitinib</w:t>
      </w:r>
      <w:proofErr w:type="spellEnd"/>
      <w:r>
        <w:rPr>
          <w:sz w:val="24"/>
          <w:szCs w:val="24"/>
        </w:rPr>
        <w:t xml:space="preserve"> "</w:t>
      </w:r>
      <w:proofErr w:type="spellStart"/>
      <w:r>
        <w:rPr>
          <w:sz w:val="24"/>
          <w:szCs w:val="24"/>
        </w:rPr>
        <w:t>Stada</w:t>
      </w:r>
      <w:proofErr w:type="spellEnd"/>
      <w:r>
        <w:rPr>
          <w:sz w:val="24"/>
          <w:szCs w:val="24"/>
        </w:rPr>
        <w:t>"</w:t>
      </w:r>
      <w:r w:rsidRPr="009A35D6">
        <w:rPr>
          <w:sz w:val="24"/>
          <w:szCs w:val="24"/>
        </w:rPr>
        <w:t xml:space="preserve"> som monoterapi er indiceret til behandling af voksne patienter med lokalt avanceret eller metastatisk ikke-småcellet lungecancer (NSCLC) med aktiverede EGFR-TK-mutationer (se pkt. 4.4).</w:t>
      </w:r>
    </w:p>
    <w:p w14:paraId="574B8E02" w14:textId="77777777" w:rsidR="009F4442" w:rsidRPr="009A35D6" w:rsidRDefault="009F4442" w:rsidP="009F4442">
      <w:pPr>
        <w:tabs>
          <w:tab w:val="left" w:pos="851"/>
        </w:tabs>
        <w:ind w:left="851" w:hanging="851"/>
        <w:rPr>
          <w:sz w:val="24"/>
          <w:szCs w:val="24"/>
        </w:rPr>
      </w:pPr>
    </w:p>
    <w:p w14:paraId="0893B53A" w14:textId="77777777" w:rsidR="009F4442" w:rsidRPr="009A35D6" w:rsidRDefault="009F4442" w:rsidP="009F4442">
      <w:pPr>
        <w:tabs>
          <w:tab w:val="left" w:pos="851"/>
        </w:tabs>
        <w:ind w:left="851" w:hanging="851"/>
        <w:rPr>
          <w:b/>
          <w:sz w:val="24"/>
          <w:szCs w:val="24"/>
        </w:rPr>
      </w:pPr>
      <w:r w:rsidRPr="009A35D6">
        <w:rPr>
          <w:b/>
          <w:sz w:val="24"/>
          <w:szCs w:val="24"/>
        </w:rPr>
        <w:t>4.2</w:t>
      </w:r>
      <w:r w:rsidRPr="009A35D6">
        <w:rPr>
          <w:b/>
          <w:sz w:val="24"/>
          <w:szCs w:val="24"/>
        </w:rPr>
        <w:tab/>
        <w:t xml:space="preserve">Dosering og </w:t>
      </w:r>
      <w:r w:rsidR="00A75BD5">
        <w:rPr>
          <w:b/>
          <w:sz w:val="24"/>
          <w:szCs w:val="24"/>
        </w:rPr>
        <w:t>administrering</w:t>
      </w:r>
    </w:p>
    <w:p w14:paraId="259C2506" w14:textId="77777777" w:rsidR="009F4442" w:rsidRPr="009A35D6" w:rsidRDefault="009F4442" w:rsidP="009F4442">
      <w:pPr>
        <w:ind w:left="851" w:right="115"/>
        <w:rPr>
          <w:sz w:val="24"/>
          <w:szCs w:val="24"/>
          <w:lang w:val="de-DE"/>
        </w:rPr>
      </w:pPr>
      <w:r w:rsidRPr="009A35D6">
        <w:rPr>
          <w:sz w:val="24"/>
          <w:szCs w:val="24"/>
        </w:rPr>
        <w:t xml:space="preserve">Behandling med </w:t>
      </w:r>
      <w:proofErr w:type="spellStart"/>
      <w:r>
        <w:rPr>
          <w:sz w:val="24"/>
          <w:szCs w:val="24"/>
        </w:rPr>
        <w:t>Gefitinib</w:t>
      </w:r>
      <w:proofErr w:type="spellEnd"/>
      <w:r>
        <w:rPr>
          <w:sz w:val="24"/>
          <w:szCs w:val="24"/>
        </w:rPr>
        <w:t xml:space="preserve"> "</w:t>
      </w:r>
      <w:proofErr w:type="spellStart"/>
      <w:r>
        <w:rPr>
          <w:sz w:val="24"/>
          <w:szCs w:val="24"/>
        </w:rPr>
        <w:t>Stada</w:t>
      </w:r>
      <w:proofErr w:type="spellEnd"/>
      <w:r>
        <w:rPr>
          <w:sz w:val="24"/>
          <w:szCs w:val="24"/>
        </w:rPr>
        <w:t>"</w:t>
      </w:r>
      <w:r w:rsidRPr="009A35D6">
        <w:rPr>
          <w:sz w:val="24"/>
          <w:szCs w:val="24"/>
        </w:rPr>
        <w:t xml:space="preserve"> skal initieres og superviseres af en læge med erfaring inden for cancerbehandling.</w:t>
      </w:r>
    </w:p>
    <w:p w14:paraId="72451E6F" w14:textId="77777777" w:rsidR="009F4442" w:rsidRDefault="009F4442" w:rsidP="009F4442">
      <w:pPr>
        <w:rPr>
          <w:sz w:val="24"/>
          <w:szCs w:val="24"/>
        </w:rPr>
      </w:pPr>
      <w:r>
        <w:rPr>
          <w:sz w:val="24"/>
          <w:szCs w:val="24"/>
        </w:rPr>
        <w:br w:type="page"/>
      </w:r>
    </w:p>
    <w:p w14:paraId="60AD7E8F" w14:textId="77777777" w:rsidR="009F4442" w:rsidRPr="009A35D6" w:rsidRDefault="009F4442" w:rsidP="009F4442">
      <w:pPr>
        <w:tabs>
          <w:tab w:val="left" w:pos="851"/>
        </w:tabs>
        <w:ind w:left="851" w:hanging="851"/>
        <w:rPr>
          <w:sz w:val="24"/>
          <w:szCs w:val="24"/>
        </w:rPr>
      </w:pPr>
    </w:p>
    <w:p w14:paraId="7ADD2610" w14:textId="77777777" w:rsidR="009F4442" w:rsidRPr="009A35D6" w:rsidRDefault="009F4442" w:rsidP="009F4442">
      <w:pPr>
        <w:tabs>
          <w:tab w:val="left" w:pos="851"/>
        </w:tabs>
        <w:ind w:left="851"/>
        <w:rPr>
          <w:sz w:val="24"/>
          <w:szCs w:val="24"/>
          <w:u w:val="single"/>
        </w:rPr>
      </w:pPr>
      <w:r w:rsidRPr="009A35D6">
        <w:rPr>
          <w:sz w:val="24"/>
          <w:szCs w:val="24"/>
          <w:u w:val="single"/>
        </w:rPr>
        <w:t xml:space="preserve">Dosering </w:t>
      </w:r>
    </w:p>
    <w:p w14:paraId="110A2628" w14:textId="77777777" w:rsidR="009F4442" w:rsidRPr="009A35D6" w:rsidRDefault="009F4442" w:rsidP="009F4442">
      <w:pPr>
        <w:tabs>
          <w:tab w:val="left" w:pos="851"/>
        </w:tabs>
        <w:ind w:left="851"/>
        <w:rPr>
          <w:sz w:val="24"/>
          <w:szCs w:val="24"/>
        </w:rPr>
      </w:pPr>
      <w:r w:rsidRPr="009A35D6">
        <w:rPr>
          <w:sz w:val="24"/>
          <w:szCs w:val="24"/>
        </w:rPr>
        <w:t xml:space="preserve">Den anbefalede dosering af </w:t>
      </w:r>
      <w:proofErr w:type="spellStart"/>
      <w:r>
        <w:rPr>
          <w:sz w:val="24"/>
          <w:szCs w:val="24"/>
        </w:rPr>
        <w:t>Gefitinib</w:t>
      </w:r>
      <w:proofErr w:type="spellEnd"/>
      <w:r>
        <w:rPr>
          <w:sz w:val="24"/>
          <w:szCs w:val="24"/>
        </w:rPr>
        <w:t xml:space="preserve"> "</w:t>
      </w:r>
      <w:proofErr w:type="spellStart"/>
      <w:r>
        <w:rPr>
          <w:sz w:val="24"/>
          <w:szCs w:val="24"/>
        </w:rPr>
        <w:t>Stada</w:t>
      </w:r>
      <w:proofErr w:type="spellEnd"/>
      <w:r>
        <w:rPr>
          <w:sz w:val="24"/>
          <w:szCs w:val="24"/>
        </w:rPr>
        <w:t>"</w:t>
      </w:r>
      <w:r w:rsidRPr="009A35D6">
        <w:rPr>
          <w:sz w:val="24"/>
          <w:szCs w:val="24"/>
        </w:rPr>
        <w:t xml:space="preserve"> er én tablet a 250 mg én gang dagligt. Hvis en dosis glemmes, skal den tages, så snart patienten husker det. Hvis der er mindre end 12 timer til den næste dosis, skal patienten ikke tage den glemte dosis. Patienterne skal ikke tage en dobbeltdosis (to doser på samme tid) som erstatning for den glemte dosis. </w:t>
      </w:r>
    </w:p>
    <w:p w14:paraId="4D668733" w14:textId="77777777" w:rsidR="009F4442" w:rsidRPr="009A35D6" w:rsidRDefault="009F4442" w:rsidP="009F4442">
      <w:pPr>
        <w:tabs>
          <w:tab w:val="left" w:pos="851"/>
        </w:tabs>
        <w:ind w:left="851"/>
        <w:rPr>
          <w:sz w:val="24"/>
          <w:szCs w:val="24"/>
        </w:rPr>
      </w:pPr>
    </w:p>
    <w:p w14:paraId="715D91FB" w14:textId="77777777" w:rsidR="009F4442" w:rsidRPr="009A35D6" w:rsidRDefault="009F4442" w:rsidP="009F4442">
      <w:pPr>
        <w:tabs>
          <w:tab w:val="left" w:pos="851"/>
        </w:tabs>
        <w:ind w:left="851"/>
        <w:rPr>
          <w:i/>
          <w:sz w:val="24"/>
          <w:szCs w:val="24"/>
        </w:rPr>
      </w:pPr>
      <w:r w:rsidRPr="009A35D6">
        <w:rPr>
          <w:i/>
          <w:sz w:val="24"/>
          <w:szCs w:val="24"/>
        </w:rPr>
        <w:t xml:space="preserve">Pædiatrisk population </w:t>
      </w:r>
    </w:p>
    <w:p w14:paraId="2DB63DF3" w14:textId="77777777" w:rsidR="009F4442" w:rsidRPr="009A35D6" w:rsidRDefault="009F4442" w:rsidP="009F4442">
      <w:pPr>
        <w:tabs>
          <w:tab w:val="left" w:pos="851"/>
        </w:tabs>
        <w:ind w:left="851"/>
        <w:rPr>
          <w:sz w:val="24"/>
          <w:szCs w:val="24"/>
        </w:rPr>
      </w:pPr>
      <w:proofErr w:type="spellStart"/>
      <w:r>
        <w:rPr>
          <w:sz w:val="24"/>
          <w:szCs w:val="24"/>
        </w:rPr>
        <w:t>Gefitinib</w:t>
      </w:r>
      <w:proofErr w:type="spellEnd"/>
      <w:r>
        <w:rPr>
          <w:sz w:val="24"/>
          <w:szCs w:val="24"/>
        </w:rPr>
        <w:t xml:space="preserve"> "</w:t>
      </w:r>
      <w:proofErr w:type="spellStart"/>
      <w:r>
        <w:rPr>
          <w:sz w:val="24"/>
          <w:szCs w:val="24"/>
        </w:rPr>
        <w:t>Stada</w:t>
      </w:r>
      <w:proofErr w:type="spellEnd"/>
      <w:r>
        <w:rPr>
          <w:sz w:val="24"/>
          <w:szCs w:val="24"/>
        </w:rPr>
        <w:t>"</w:t>
      </w:r>
      <w:r w:rsidRPr="009A35D6">
        <w:rPr>
          <w:sz w:val="24"/>
          <w:szCs w:val="24"/>
        </w:rPr>
        <w:t xml:space="preserve"> sikkerhed og virkning hos børn og unge under 18 år er ikke klarlagt. Det er ikke relevant at bruge </w:t>
      </w:r>
      <w:proofErr w:type="spellStart"/>
      <w:r w:rsidRPr="009A35D6">
        <w:rPr>
          <w:sz w:val="24"/>
          <w:szCs w:val="24"/>
        </w:rPr>
        <w:t>gefitinib</w:t>
      </w:r>
      <w:proofErr w:type="spellEnd"/>
      <w:r w:rsidRPr="009A35D6">
        <w:rPr>
          <w:sz w:val="24"/>
          <w:szCs w:val="24"/>
        </w:rPr>
        <w:t xml:space="preserve"> på indikationen NSCLC i den pædiatriske population. </w:t>
      </w:r>
    </w:p>
    <w:p w14:paraId="43735F2E" w14:textId="77777777" w:rsidR="009F4442" w:rsidRPr="009A35D6" w:rsidRDefault="009F4442" w:rsidP="009F4442">
      <w:pPr>
        <w:tabs>
          <w:tab w:val="left" w:pos="851"/>
        </w:tabs>
        <w:ind w:left="851"/>
        <w:rPr>
          <w:sz w:val="24"/>
          <w:szCs w:val="24"/>
        </w:rPr>
      </w:pPr>
    </w:p>
    <w:p w14:paraId="3C1741A0" w14:textId="77777777" w:rsidR="009F4442" w:rsidRPr="009A35D6" w:rsidRDefault="009F4442" w:rsidP="009F4442">
      <w:pPr>
        <w:tabs>
          <w:tab w:val="left" w:pos="851"/>
        </w:tabs>
        <w:ind w:left="851"/>
        <w:rPr>
          <w:i/>
          <w:sz w:val="24"/>
          <w:szCs w:val="24"/>
        </w:rPr>
      </w:pPr>
      <w:r w:rsidRPr="009A35D6">
        <w:rPr>
          <w:i/>
          <w:sz w:val="24"/>
          <w:szCs w:val="24"/>
        </w:rPr>
        <w:t xml:space="preserve">Nedsat leverfunktion </w:t>
      </w:r>
    </w:p>
    <w:p w14:paraId="633D6FC3" w14:textId="77777777" w:rsidR="009F4442" w:rsidRPr="009A35D6" w:rsidRDefault="009F4442" w:rsidP="009F4442">
      <w:pPr>
        <w:tabs>
          <w:tab w:val="left" w:pos="851"/>
        </w:tabs>
        <w:ind w:left="851"/>
        <w:rPr>
          <w:sz w:val="24"/>
          <w:szCs w:val="24"/>
        </w:rPr>
      </w:pPr>
      <w:r w:rsidRPr="009A35D6">
        <w:rPr>
          <w:sz w:val="24"/>
          <w:szCs w:val="24"/>
        </w:rPr>
        <w:t>Patienter med moderat til svær nedsat leverfunktion (Child-</w:t>
      </w:r>
      <w:proofErr w:type="spellStart"/>
      <w:r w:rsidRPr="009A35D6">
        <w:rPr>
          <w:sz w:val="24"/>
          <w:szCs w:val="24"/>
        </w:rPr>
        <w:t>Pugh</w:t>
      </w:r>
      <w:proofErr w:type="spellEnd"/>
      <w:r w:rsidRPr="009A35D6">
        <w:rPr>
          <w:sz w:val="24"/>
          <w:szCs w:val="24"/>
        </w:rPr>
        <w:t xml:space="preserve"> B eller C) som følge af cirrose har forøgede plasmakoncentrationer af </w:t>
      </w:r>
      <w:proofErr w:type="spellStart"/>
      <w:r w:rsidRPr="009A35D6">
        <w:rPr>
          <w:sz w:val="24"/>
          <w:szCs w:val="24"/>
        </w:rPr>
        <w:t>gefitinib</w:t>
      </w:r>
      <w:proofErr w:type="spellEnd"/>
      <w:r w:rsidRPr="009A35D6">
        <w:rPr>
          <w:sz w:val="24"/>
          <w:szCs w:val="24"/>
        </w:rPr>
        <w:t xml:space="preserve">. Disse patienter skal monitoreres tæt for bivirkninger. Plasmakoncentrationerne var ikke forhøjede hos patienter med forhøjet </w:t>
      </w:r>
      <w:proofErr w:type="spellStart"/>
      <w:r w:rsidRPr="009A35D6">
        <w:rPr>
          <w:sz w:val="24"/>
          <w:szCs w:val="24"/>
        </w:rPr>
        <w:t>aspartataminotransferase</w:t>
      </w:r>
      <w:proofErr w:type="spellEnd"/>
      <w:r w:rsidRPr="009A35D6">
        <w:rPr>
          <w:sz w:val="24"/>
          <w:szCs w:val="24"/>
        </w:rPr>
        <w:t xml:space="preserve"> (ASAT), basisk fosfatase eller bilirubin på grund af levermetastaser (se pkt. 5.2). </w:t>
      </w:r>
    </w:p>
    <w:p w14:paraId="46F58779" w14:textId="77777777" w:rsidR="009F4442" w:rsidRPr="009A35D6" w:rsidRDefault="009F4442" w:rsidP="009F4442">
      <w:pPr>
        <w:tabs>
          <w:tab w:val="left" w:pos="851"/>
        </w:tabs>
        <w:ind w:left="851"/>
        <w:rPr>
          <w:sz w:val="24"/>
          <w:szCs w:val="24"/>
        </w:rPr>
      </w:pPr>
    </w:p>
    <w:p w14:paraId="545AFB8E" w14:textId="77777777" w:rsidR="009F4442" w:rsidRPr="009A35D6" w:rsidRDefault="009F4442" w:rsidP="009F4442">
      <w:pPr>
        <w:tabs>
          <w:tab w:val="left" w:pos="851"/>
        </w:tabs>
        <w:ind w:left="851"/>
        <w:rPr>
          <w:i/>
          <w:sz w:val="24"/>
          <w:szCs w:val="24"/>
        </w:rPr>
      </w:pPr>
      <w:r w:rsidRPr="009A35D6">
        <w:rPr>
          <w:i/>
          <w:sz w:val="24"/>
          <w:szCs w:val="24"/>
        </w:rPr>
        <w:t xml:space="preserve">Nedsat nyrefunktion </w:t>
      </w:r>
    </w:p>
    <w:p w14:paraId="4171652E" w14:textId="77777777" w:rsidR="009F4442" w:rsidRPr="009A35D6" w:rsidRDefault="009F4442" w:rsidP="009F4442">
      <w:pPr>
        <w:tabs>
          <w:tab w:val="left" w:pos="851"/>
        </w:tabs>
        <w:ind w:left="851"/>
        <w:rPr>
          <w:sz w:val="24"/>
          <w:szCs w:val="24"/>
        </w:rPr>
      </w:pPr>
      <w:r w:rsidRPr="009A35D6">
        <w:rPr>
          <w:sz w:val="24"/>
          <w:szCs w:val="24"/>
        </w:rPr>
        <w:t>Dosisjustering er ikke nødvendig hos patienter med nedsat nyrefunktion med</w:t>
      </w:r>
      <w:r>
        <w:rPr>
          <w:sz w:val="24"/>
          <w:szCs w:val="24"/>
        </w:rPr>
        <w:t xml:space="preserve"> </w:t>
      </w:r>
      <w:proofErr w:type="spellStart"/>
      <w:r w:rsidRPr="009A35D6">
        <w:rPr>
          <w:sz w:val="24"/>
          <w:szCs w:val="24"/>
        </w:rPr>
        <w:t>kreatininclearance</w:t>
      </w:r>
      <w:proofErr w:type="spellEnd"/>
      <w:r w:rsidRPr="009A35D6">
        <w:rPr>
          <w:sz w:val="24"/>
          <w:szCs w:val="24"/>
        </w:rPr>
        <w:t xml:space="preserve"> &gt; 20 ml/min. Der findes kun begrænsede data for patienter med </w:t>
      </w:r>
      <w:proofErr w:type="spellStart"/>
      <w:r w:rsidRPr="009A35D6">
        <w:rPr>
          <w:sz w:val="24"/>
          <w:szCs w:val="24"/>
        </w:rPr>
        <w:t>kreatininclearance</w:t>
      </w:r>
      <w:proofErr w:type="spellEnd"/>
      <w:r w:rsidRPr="009A35D6">
        <w:rPr>
          <w:sz w:val="24"/>
          <w:szCs w:val="24"/>
        </w:rPr>
        <w:t xml:space="preserve"> ≤ 20 ml/min, og derfor anbefales det, at der udvises forsigtighed over for disse patienter (se pkt. 5.2).</w:t>
      </w:r>
    </w:p>
    <w:p w14:paraId="36437372" w14:textId="77777777" w:rsidR="009F4442" w:rsidRPr="009A35D6" w:rsidRDefault="009F4442" w:rsidP="009F4442">
      <w:pPr>
        <w:tabs>
          <w:tab w:val="left" w:pos="851"/>
        </w:tabs>
        <w:ind w:left="851"/>
        <w:rPr>
          <w:sz w:val="24"/>
          <w:szCs w:val="24"/>
        </w:rPr>
      </w:pPr>
    </w:p>
    <w:p w14:paraId="54B0BF2B" w14:textId="77777777" w:rsidR="009F4442" w:rsidRPr="009A35D6" w:rsidRDefault="009F4442" w:rsidP="009F4442">
      <w:pPr>
        <w:tabs>
          <w:tab w:val="left" w:pos="851"/>
        </w:tabs>
        <w:ind w:left="851"/>
        <w:rPr>
          <w:i/>
          <w:sz w:val="24"/>
          <w:szCs w:val="24"/>
        </w:rPr>
      </w:pPr>
      <w:r w:rsidRPr="009A35D6">
        <w:rPr>
          <w:i/>
          <w:sz w:val="24"/>
          <w:szCs w:val="24"/>
        </w:rPr>
        <w:t xml:space="preserve">Ældre </w:t>
      </w:r>
    </w:p>
    <w:p w14:paraId="1BA2BDE6" w14:textId="77777777" w:rsidR="009F4442" w:rsidRPr="009A35D6" w:rsidRDefault="009F4442" w:rsidP="009F4442">
      <w:pPr>
        <w:tabs>
          <w:tab w:val="left" w:pos="851"/>
        </w:tabs>
        <w:ind w:left="851"/>
        <w:rPr>
          <w:sz w:val="24"/>
          <w:szCs w:val="24"/>
        </w:rPr>
      </w:pPr>
      <w:r w:rsidRPr="009A35D6">
        <w:rPr>
          <w:sz w:val="24"/>
          <w:szCs w:val="24"/>
        </w:rPr>
        <w:t xml:space="preserve">Dosisjustering er ikke nødvendig på grund af patienternes alder (se pkt. 5.2). </w:t>
      </w:r>
    </w:p>
    <w:p w14:paraId="4D5BDBE6" w14:textId="77777777" w:rsidR="009F4442" w:rsidRPr="009A35D6" w:rsidRDefault="009F4442" w:rsidP="009F4442">
      <w:pPr>
        <w:tabs>
          <w:tab w:val="left" w:pos="851"/>
        </w:tabs>
        <w:ind w:left="851"/>
        <w:rPr>
          <w:sz w:val="24"/>
          <w:szCs w:val="24"/>
        </w:rPr>
      </w:pPr>
    </w:p>
    <w:p w14:paraId="580FDAFF" w14:textId="77777777" w:rsidR="009F4442" w:rsidRPr="009A35D6" w:rsidRDefault="009F4442" w:rsidP="009F4442">
      <w:pPr>
        <w:tabs>
          <w:tab w:val="left" w:pos="851"/>
        </w:tabs>
        <w:ind w:left="851"/>
        <w:rPr>
          <w:i/>
          <w:sz w:val="24"/>
          <w:szCs w:val="24"/>
        </w:rPr>
      </w:pPr>
      <w:r w:rsidRPr="009A35D6">
        <w:rPr>
          <w:i/>
          <w:sz w:val="24"/>
          <w:szCs w:val="24"/>
        </w:rPr>
        <w:t xml:space="preserve">Patienter med ringe CYP2D6-aktivitet </w:t>
      </w:r>
    </w:p>
    <w:p w14:paraId="73515DAC" w14:textId="77777777" w:rsidR="009F4442" w:rsidRPr="009A35D6" w:rsidRDefault="009F4442" w:rsidP="009F4442">
      <w:pPr>
        <w:tabs>
          <w:tab w:val="left" w:pos="851"/>
        </w:tabs>
        <w:ind w:left="851"/>
        <w:rPr>
          <w:sz w:val="24"/>
          <w:szCs w:val="24"/>
        </w:rPr>
      </w:pPr>
      <w:r w:rsidRPr="009A35D6">
        <w:rPr>
          <w:sz w:val="24"/>
          <w:szCs w:val="24"/>
        </w:rPr>
        <w:t>Der anbefales ingen specifik dosisjustering hos patienter med ringe CYP2D6-aktivitet (</w:t>
      </w:r>
      <w:proofErr w:type="spellStart"/>
      <w:r w:rsidRPr="009A35D6">
        <w:rPr>
          <w:sz w:val="24"/>
          <w:szCs w:val="24"/>
        </w:rPr>
        <w:t>poor</w:t>
      </w:r>
      <w:proofErr w:type="spellEnd"/>
      <w:r w:rsidRPr="009A35D6">
        <w:rPr>
          <w:sz w:val="24"/>
          <w:szCs w:val="24"/>
        </w:rPr>
        <w:t xml:space="preserve"> </w:t>
      </w:r>
      <w:proofErr w:type="spellStart"/>
      <w:r w:rsidRPr="009A35D6">
        <w:rPr>
          <w:sz w:val="24"/>
          <w:szCs w:val="24"/>
        </w:rPr>
        <w:t>metabolisers</w:t>
      </w:r>
      <w:proofErr w:type="spellEnd"/>
      <w:r w:rsidRPr="009A35D6">
        <w:rPr>
          <w:sz w:val="24"/>
          <w:szCs w:val="24"/>
        </w:rPr>
        <w:t>), men disse patienter bør monitoreres tæt for bivirkninger (se pkt. 5.2).</w:t>
      </w:r>
    </w:p>
    <w:p w14:paraId="1383850D" w14:textId="77777777" w:rsidR="009F4442" w:rsidRPr="009A35D6" w:rsidRDefault="009F4442" w:rsidP="009F4442">
      <w:pPr>
        <w:tabs>
          <w:tab w:val="left" w:pos="851"/>
        </w:tabs>
        <w:ind w:left="851"/>
        <w:rPr>
          <w:sz w:val="24"/>
          <w:szCs w:val="24"/>
        </w:rPr>
      </w:pPr>
    </w:p>
    <w:p w14:paraId="3793F70D" w14:textId="77777777" w:rsidR="009F4442" w:rsidRPr="009A35D6" w:rsidRDefault="009F4442" w:rsidP="009F4442">
      <w:pPr>
        <w:tabs>
          <w:tab w:val="left" w:pos="851"/>
        </w:tabs>
        <w:ind w:left="851"/>
        <w:rPr>
          <w:i/>
          <w:sz w:val="24"/>
          <w:szCs w:val="24"/>
        </w:rPr>
      </w:pPr>
      <w:r w:rsidRPr="009A35D6">
        <w:rPr>
          <w:i/>
          <w:sz w:val="24"/>
          <w:szCs w:val="24"/>
        </w:rPr>
        <w:t xml:space="preserve">Dosisjustering på grund af toksicitet </w:t>
      </w:r>
    </w:p>
    <w:p w14:paraId="42797175" w14:textId="77777777" w:rsidR="009F4442" w:rsidRPr="009A35D6" w:rsidRDefault="009F4442" w:rsidP="009F4442">
      <w:pPr>
        <w:tabs>
          <w:tab w:val="left" w:pos="851"/>
        </w:tabs>
        <w:ind w:left="851"/>
        <w:rPr>
          <w:sz w:val="24"/>
          <w:szCs w:val="24"/>
        </w:rPr>
      </w:pPr>
      <w:r w:rsidRPr="009A35D6">
        <w:rPr>
          <w:sz w:val="24"/>
          <w:szCs w:val="24"/>
        </w:rPr>
        <w:t xml:space="preserve">Patienter, der tåler bivirkningerne diarré eller hudreaktioner dårligt, kan håndteres ved at foretage et kort behandlingsophør (op til 14 dage), hvorefter behandling med doseringen på 250 mg genoptages (se pkt. 4.8). </w:t>
      </w:r>
      <w:proofErr w:type="spellStart"/>
      <w:r w:rsidRPr="009A35D6">
        <w:rPr>
          <w:sz w:val="24"/>
          <w:szCs w:val="24"/>
        </w:rPr>
        <w:t>Gefitinib</w:t>
      </w:r>
      <w:proofErr w:type="spellEnd"/>
      <w:r w:rsidRPr="009A35D6">
        <w:rPr>
          <w:sz w:val="24"/>
          <w:szCs w:val="24"/>
        </w:rPr>
        <w:t xml:space="preserve">-behandlingen skal ophøre, og en alternativ behandling bør overvejes til de patienter, der ikke tåler behandlingen efter det korte behandlingsophør. </w:t>
      </w:r>
    </w:p>
    <w:p w14:paraId="48027723" w14:textId="77777777" w:rsidR="009F4442" w:rsidRPr="009A35D6" w:rsidRDefault="009F4442" w:rsidP="009F4442">
      <w:pPr>
        <w:tabs>
          <w:tab w:val="left" w:pos="851"/>
        </w:tabs>
        <w:ind w:left="851"/>
        <w:rPr>
          <w:sz w:val="24"/>
          <w:szCs w:val="24"/>
        </w:rPr>
      </w:pPr>
    </w:p>
    <w:p w14:paraId="21A14731" w14:textId="77777777" w:rsidR="009F4442" w:rsidRPr="009A35D6" w:rsidRDefault="009F4442" w:rsidP="009F4442">
      <w:pPr>
        <w:tabs>
          <w:tab w:val="left" w:pos="851"/>
        </w:tabs>
        <w:ind w:left="851"/>
        <w:rPr>
          <w:sz w:val="24"/>
          <w:szCs w:val="24"/>
          <w:u w:val="single"/>
        </w:rPr>
      </w:pPr>
      <w:r w:rsidRPr="009A35D6">
        <w:rPr>
          <w:sz w:val="24"/>
          <w:szCs w:val="24"/>
          <w:u w:val="single"/>
        </w:rPr>
        <w:t xml:space="preserve">Administration </w:t>
      </w:r>
    </w:p>
    <w:p w14:paraId="4334F599" w14:textId="77777777" w:rsidR="009F4442" w:rsidRPr="009A35D6" w:rsidRDefault="009F4442" w:rsidP="009F4442">
      <w:pPr>
        <w:tabs>
          <w:tab w:val="left" w:pos="851"/>
        </w:tabs>
        <w:ind w:left="851"/>
        <w:rPr>
          <w:sz w:val="24"/>
          <w:szCs w:val="24"/>
        </w:rPr>
      </w:pPr>
    </w:p>
    <w:p w14:paraId="61BEBD68" w14:textId="77777777" w:rsidR="009F4442" w:rsidRPr="009A35D6" w:rsidRDefault="009F4442" w:rsidP="009F4442">
      <w:pPr>
        <w:tabs>
          <w:tab w:val="left" w:pos="851"/>
        </w:tabs>
        <w:ind w:left="851"/>
        <w:rPr>
          <w:sz w:val="24"/>
          <w:szCs w:val="24"/>
        </w:rPr>
      </w:pPr>
      <w:r w:rsidRPr="009A35D6">
        <w:rPr>
          <w:sz w:val="24"/>
          <w:szCs w:val="24"/>
        </w:rPr>
        <w:t xml:space="preserve">Tabletten tages oralt sammen med eller uden mad på cirka det samme tidspunkt hver dag. Tabletten kan synkes hel sammen med vand. Hvis tabletten ikke kan synkes hel, kan den gives som opslæmning i vand (uden kulsyre). Der må ikke anvendes andre væsker. Uden at knuse tabletten, puttes den i et halvt glas drikkevand. Glasset skal svinges forsigtigt rundt af og til, indtil tabletten er opslæmmet (det kan tage op til 20 minutter). Opslæmningen skal drikkes umiddelbart herefter (dvs. inden for 60 minutter). Glasset skal renses med et halvt glas vand, som også skal drikkes. Dispersionen kan også administreres gennem en </w:t>
      </w:r>
      <w:proofErr w:type="spellStart"/>
      <w:r w:rsidRPr="009A35D6">
        <w:rPr>
          <w:sz w:val="24"/>
          <w:szCs w:val="24"/>
        </w:rPr>
        <w:t>naso</w:t>
      </w:r>
      <w:proofErr w:type="spellEnd"/>
      <w:r w:rsidRPr="009A35D6">
        <w:rPr>
          <w:sz w:val="24"/>
          <w:szCs w:val="24"/>
        </w:rPr>
        <w:t xml:space="preserve">-gastrisk sonde eller </w:t>
      </w:r>
      <w:proofErr w:type="spellStart"/>
      <w:r w:rsidRPr="009A35D6">
        <w:rPr>
          <w:sz w:val="24"/>
          <w:szCs w:val="24"/>
        </w:rPr>
        <w:t>gastrostomi</w:t>
      </w:r>
      <w:proofErr w:type="spellEnd"/>
      <w:r w:rsidRPr="009A35D6">
        <w:rPr>
          <w:sz w:val="24"/>
          <w:szCs w:val="24"/>
        </w:rPr>
        <w:t>-sonde.</w:t>
      </w:r>
    </w:p>
    <w:p w14:paraId="6D751BEA" w14:textId="77777777" w:rsidR="009F4442" w:rsidRDefault="009F4442" w:rsidP="009F4442">
      <w:pPr>
        <w:rPr>
          <w:sz w:val="24"/>
          <w:szCs w:val="24"/>
        </w:rPr>
      </w:pPr>
      <w:r>
        <w:rPr>
          <w:sz w:val="24"/>
          <w:szCs w:val="24"/>
        </w:rPr>
        <w:br w:type="page"/>
      </w:r>
    </w:p>
    <w:p w14:paraId="40BCD7BE" w14:textId="77777777" w:rsidR="009F4442" w:rsidRPr="009A35D6" w:rsidRDefault="009F4442" w:rsidP="009F4442">
      <w:pPr>
        <w:tabs>
          <w:tab w:val="left" w:pos="851"/>
        </w:tabs>
        <w:ind w:left="851" w:hanging="851"/>
        <w:rPr>
          <w:sz w:val="24"/>
          <w:szCs w:val="24"/>
        </w:rPr>
      </w:pPr>
    </w:p>
    <w:p w14:paraId="27AD780E" w14:textId="77777777" w:rsidR="009F4442" w:rsidRPr="009A35D6" w:rsidRDefault="009F4442" w:rsidP="009F4442">
      <w:pPr>
        <w:tabs>
          <w:tab w:val="left" w:pos="851"/>
        </w:tabs>
        <w:ind w:left="851" w:hanging="851"/>
        <w:rPr>
          <w:b/>
          <w:sz w:val="24"/>
          <w:szCs w:val="24"/>
        </w:rPr>
      </w:pPr>
      <w:r w:rsidRPr="009A35D6">
        <w:rPr>
          <w:b/>
          <w:sz w:val="24"/>
          <w:szCs w:val="24"/>
        </w:rPr>
        <w:t>4.3</w:t>
      </w:r>
      <w:r w:rsidRPr="009A35D6">
        <w:rPr>
          <w:b/>
          <w:sz w:val="24"/>
          <w:szCs w:val="24"/>
        </w:rPr>
        <w:tab/>
        <w:t>Kontraindikationer</w:t>
      </w:r>
    </w:p>
    <w:p w14:paraId="44E3775E"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Overfølsomhed over for det aktive stof eller over for et eller flere af hjælpestofferne anført i pkt. 6.1.</w:t>
      </w:r>
    </w:p>
    <w:p w14:paraId="65673986" w14:textId="77777777" w:rsidR="009F4442" w:rsidRPr="009A35D6" w:rsidRDefault="009F4442" w:rsidP="009F4442">
      <w:pPr>
        <w:tabs>
          <w:tab w:val="left" w:pos="851"/>
        </w:tabs>
        <w:ind w:left="851" w:hanging="851"/>
        <w:rPr>
          <w:sz w:val="24"/>
          <w:szCs w:val="24"/>
        </w:rPr>
      </w:pPr>
      <w:r w:rsidRPr="009A35D6">
        <w:rPr>
          <w:sz w:val="24"/>
          <w:szCs w:val="24"/>
        </w:rPr>
        <w:tab/>
      </w:r>
    </w:p>
    <w:p w14:paraId="4416A47E"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Amning (se pkt. 4.6).</w:t>
      </w:r>
    </w:p>
    <w:p w14:paraId="33B1554F" w14:textId="77777777" w:rsidR="009F4442" w:rsidRPr="009A35D6" w:rsidRDefault="009F4442" w:rsidP="009F4442">
      <w:pPr>
        <w:tabs>
          <w:tab w:val="left" w:pos="851"/>
        </w:tabs>
        <w:ind w:left="851" w:hanging="851"/>
        <w:rPr>
          <w:sz w:val="24"/>
          <w:szCs w:val="24"/>
        </w:rPr>
      </w:pPr>
    </w:p>
    <w:p w14:paraId="352281E1" w14:textId="77777777" w:rsidR="009F4442" w:rsidRPr="009A35D6" w:rsidRDefault="009F4442" w:rsidP="009F4442">
      <w:pPr>
        <w:tabs>
          <w:tab w:val="left" w:pos="851"/>
        </w:tabs>
        <w:ind w:left="851" w:hanging="851"/>
        <w:rPr>
          <w:b/>
          <w:sz w:val="24"/>
          <w:szCs w:val="24"/>
        </w:rPr>
      </w:pPr>
      <w:r w:rsidRPr="009A35D6">
        <w:rPr>
          <w:b/>
          <w:sz w:val="24"/>
          <w:szCs w:val="24"/>
        </w:rPr>
        <w:t>4.4</w:t>
      </w:r>
      <w:r w:rsidRPr="009A35D6">
        <w:rPr>
          <w:b/>
          <w:sz w:val="24"/>
          <w:szCs w:val="24"/>
        </w:rPr>
        <w:tab/>
        <w:t>Særlige advarsler og forsigtighedsregler vedrørende brugen</w:t>
      </w:r>
    </w:p>
    <w:p w14:paraId="07DD67D6"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Når det overvejes at anvende </w:t>
      </w:r>
      <w:proofErr w:type="spellStart"/>
      <w:r>
        <w:rPr>
          <w:sz w:val="24"/>
          <w:szCs w:val="24"/>
        </w:rPr>
        <w:t>Gefitinib</w:t>
      </w:r>
      <w:proofErr w:type="spellEnd"/>
      <w:r>
        <w:rPr>
          <w:sz w:val="24"/>
          <w:szCs w:val="24"/>
        </w:rPr>
        <w:t xml:space="preserve"> "</w:t>
      </w:r>
      <w:proofErr w:type="spellStart"/>
      <w:r>
        <w:rPr>
          <w:sz w:val="24"/>
          <w:szCs w:val="24"/>
        </w:rPr>
        <w:t>Stada</w:t>
      </w:r>
      <w:proofErr w:type="spellEnd"/>
      <w:r>
        <w:rPr>
          <w:sz w:val="24"/>
          <w:szCs w:val="24"/>
        </w:rPr>
        <w:t>"</w:t>
      </w:r>
      <w:r w:rsidRPr="009A35D6">
        <w:rPr>
          <w:sz w:val="24"/>
          <w:szCs w:val="24"/>
        </w:rPr>
        <w:t xml:space="preserve"> til behandling af lokalt fremskredent eller metastatisk NSCLC, er det vigtigt, at EGFR-mutation i tumorvævet forsøges vurderet hos alle patienter. Hvis en tumorprøve ikke kan vurderes, kan der anvendes cirkulerende tumor-DNA (</w:t>
      </w:r>
      <w:proofErr w:type="spellStart"/>
      <w:r w:rsidRPr="009A35D6">
        <w:rPr>
          <w:sz w:val="24"/>
          <w:szCs w:val="24"/>
        </w:rPr>
        <w:t>ctDNA</w:t>
      </w:r>
      <w:proofErr w:type="spellEnd"/>
      <w:r w:rsidRPr="009A35D6">
        <w:rPr>
          <w:sz w:val="24"/>
          <w:szCs w:val="24"/>
        </w:rPr>
        <w:t>) fra en blodprøve (plasma).</w:t>
      </w:r>
    </w:p>
    <w:p w14:paraId="53E54113"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Kun robuste, pålidelige, sensitive test(s) med påvist anvendelighed til bestemmelse af EGFR-mutationsstatus af tumorer eller </w:t>
      </w:r>
      <w:proofErr w:type="spellStart"/>
      <w:r w:rsidRPr="009A35D6">
        <w:rPr>
          <w:sz w:val="24"/>
          <w:szCs w:val="24"/>
        </w:rPr>
        <w:t>ctDNA</w:t>
      </w:r>
      <w:proofErr w:type="spellEnd"/>
      <w:r w:rsidRPr="009A35D6">
        <w:rPr>
          <w:sz w:val="24"/>
          <w:szCs w:val="24"/>
        </w:rPr>
        <w:t xml:space="preserve"> bør anvendes for at undgå falsk negative eller falsk positive bestemmelser (se pkt. 5.1).</w:t>
      </w:r>
    </w:p>
    <w:p w14:paraId="1CFE68EB" w14:textId="77777777" w:rsidR="009F4442" w:rsidRPr="009A35D6" w:rsidRDefault="009F4442" w:rsidP="009F4442">
      <w:pPr>
        <w:tabs>
          <w:tab w:val="left" w:pos="851"/>
        </w:tabs>
        <w:ind w:left="851" w:hanging="851"/>
        <w:rPr>
          <w:sz w:val="24"/>
          <w:szCs w:val="24"/>
        </w:rPr>
      </w:pPr>
    </w:p>
    <w:p w14:paraId="670BD23D" w14:textId="77777777" w:rsidR="009F4442" w:rsidRPr="009A35D6" w:rsidRDefault="009F4442" w:rsidP="009F4442">
      <w:pPr>
        <w:tabs>
          <w:tab w:val="left" w:pos="851"/>
        </w:tabs>
        <w:ind w:left="851" w:hanging="851"/>
        <w:rPr>
          <w:i/>
          <w:sz w:val="24"/>
          <w:szCs w:val="24"/>
        </w:rPr>
      </w:pPr>
      <w:r>
        <w:rPr>
          <w:i/>
          <w:sz w:val="24"/>
          <w:szCs w:val="24"/>
        </w:rPr>
        <w:tab/>
      </w:r>
      <w:proofErr w:type="spellStart"/>
      <w:r w:rsidRPr="009A35D6">
        <w:rPr>
          <w:i/>
          <w:sz w:val="24"/>
          <w:szCs w:val="24"/>
        </w:rPr>
        <w:t>Interstitiel</w:t>
      </w:r>
      <w:proofErr w:type="spellEnd"/>
      <w:r w:rsidRPr="009A35D6">
        <w:rPr>
          <w:i/>
          <w:sz w:val="24"/>
          <w:szCs w:val="24"/>
        </w:rPr>
        <w:t xml:space="preserve"> lungesygdom (ILS)</w:t>
      </w:r>
    </w:p>
    <w:p w14:paraId="4B8D6A51"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ILS, der kan optræde akut, har været observeret hos 1,3 % af patienterne, der har fået </w:t>
      </w:r>
      <w:proofErr w:type="spellStart"/>
      <w:r w:rsidRPr="009A35D6">
        <w:rPr>
          <w:sz w:val="24"/>
          <w:szCs w:val="24"/>
        </w:rPr>
        <w:t>gefitinib</w:t>
      </w:r>
      <w:proofErr w:type="spellEnd"/>
      <w:r w:rsidRPr="009A35D6">
        <w:rPr>
          <w:sz w:val="24"/>
          <w:szCs w:val="24"/>
        </w:rPr>
        <w:t xml:space="preserve"> og har i nogle tilfælde været dødelig (se pkt. 4.8). Såfremt patienter oplever forværring af respiratoriske symptomer såsom dyspnø, hoste og feber, skal </w:t>
      </w:r>
      <w:proofErr w:type="spellStart"/>
      <w:r>
        <w:rPr>
          <w:sz w:val="24"/>
          <w:szCs w:val="24"/>
        </w:rPr>
        <w:t>Gefitinib</w:t>
      </w:r>
      <w:proofErr w:type="spellEnd"/>
      <w:r>
        <w:rPr>
          <w:sz w:val="24"/>
          <w:szCs w:val="24"/>
        </w:rPr>
        <w:t xml:space="preserve"> "</w:t>
      </w:r>
      <w:proofErr w:type="spellStart"/>
      <w:r>
        <w:rPr>
          <w:sz w:val="24"/>
          <w:szCs w:val="24"/>
        </w:rPr>
        <w:t>Stada</w:t>
      </w:r>
      <w:proofErr w:type="spellEnd"/>
      <w:r>
        <w:rPr>
          <w:sz w:val="24"/>
          <w:szCs w:val="24"/>
        </w:rPr>
        <w:t>"</w:t>
      </w:r>
      <w:r w:rsidRPr="009A35D6">
        <w:rPr>
          <w:sz w:val="24"/>
          <w:szCs w:val="24"/>
        </w:rPr>
        <w:t xml:space="preserve">-behandlingen afbrydes, og en øjeblikkelig undersøgelse initieres. Hvis </w:t>
      </w:r>
      <w:proofErr w:type="spellStart"/>
      <w:r w:rsidRPr="009A35D6">
        <w:rPr>
          <w:sz w:val="24"/>
          <w:szCs w:val="24"/>
        </w:rPr>
        <w:t>interstitiel</w:t>
      </w:r>
      <w:proofErr w:type="spellEnd"/>
      <w:r w:rsidRPr="009A35D6">
        <w:rPr>
          <w:sz w:val="24"/>
          <w:szCs w:val="24"/>
        </w:rPr>
        <w:t xml:space="preserve"> lungesygdom bekræftes, bør </w:t>
      </w:r>
      <w:proofErr w:type="spellStart"/>
      <w:r>
        <w:rPr>
          <w:sz w:val="24"/>
          <w:szCs w:val="24"/>
        </w:rPr>
        <w:t>Gefitinib</w:t>
      </w:r>
      <w:proofErr w:type="spellEnd"/>
      <w:r>
        <w:rPr>
          <w:sz w:val="24"/>
          <w:szCs w:val="24"/>
        </w:rPr>
        <w:t xml:space="preserve"> "</w:t>
      </w:r>
      <w:proofErr w:type="spellStart"/>
      <w:r>
        <w:rPr>
          <w:sz w:val="24"/>
          <w:szCs w:val="24"/>
        </w:rPr>
        <w:t>Stada</w:t>
      </w:r>
      <w:proofErr w:type="spellEnd"/>
      <w:r>
        <w:rPr>
          <w:sz w:val="24"/>
          <w:szCs w:val="24"/>
        </w:rPr>
        <w:t>"</w:t>
      </w:r>
      <w:r w:rsidRPr="009A35D6">
        <w:rPr>
          <w:sz w:val="24"/>
          <w:szCs w:val="24"/>
        </w:rPr>
        <w:t>-behandlingen stoppes, og patienten behandles på behørig vis.</w:t>
      </w:r>
    </w:p>
    <w:p w14:paraId="0B347E72" w14:textId="77777777" w:rsidR="009F4442" w:rsidRPr="009A35D6" w:rsidRDefault="009F4442" w:rsidP="009F4442">
      <w:pPr>
        <w:tabs>
          <w:tab w:val="left" w:pos="851"/>
        </w:tabs>
        <w:ind w:left="851" w:hanging="851"/>
        <w:rPr>
          <w:sz w:val="24"/>
          <w:szCs w:val="24"/>
        </w:rPr>
      </w:pPr>
    </w:p>
    <w:p w14:paraId="77E386CB"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I et japansk </w:t>
      </w:r>
      <w:proofErr w:type="spellStart"/>
      <w:r w:rsidRPr="009A35D6">
        <w:rPr>
          <w:sz w:val="24"/>
          <w:szCs w:val="24"/>
        </w:rPr>
        <w:t>farmakoepidemiologisk</w:t>
      </w:r>
      <w:proofErr w:type="spellEnd"/>
      <w:r w:rsidRPr="009A35D6">
        <w:rPr>
          <w:sz w:val="24"/>
          <w:szCs w:val="24"/>
        </w:rPr>
        <w:t xml:space="preserve"> studie hos 3.159 NSCLC-patienter, der blev fulgt i 12 uger, mens de fik </w:t>
      </w:r>
      <w:proofErr w:type="spellStart"/>
      <w:r w:rsidRPr="009A35D6">
        <w:rPr>
          <w:sz w:val="24"/>
          <w:szCs w:val="24"/>
        </w:rPr>
        <w:t>gefitinib</w:t>
      </w:r>
      <w:proofErr w:type="spellEnd"/>
      <w:r w:rsidRPr="009A35D6">
        <w:rPr>
          <w:sz w:val="24"/>
          <w:szCs w:val="24"/>
        </w:rPr>
        <w:t xml:space="preserve"> eller kemoterapi, fandt man følgende risikofaktorer for at udvikle ILS (uanset om patienterne blev behandlet med </w:t>
      </w:r>
      <w:proofErr w:type="spellStart"/>
      <w:r w:rsidRPr="009A35D6">
        <w:rPr>
          <w:sz w:val="24"/>
          <w:szCs w:val="24"/>
        </w:rPr>
        <w:t>gefitinib</w:t>
      </w:r>
      <w:proofErr w:type="spellEnd"/>
      <w:r w:rsidRPr="009A35D6">
        <w:rPr>
          <w:sz w:val="24"/>
          <w:szCs w:val="24"/>
        </w:rPr>
        <w:t xml:space="preserve"> eller kemoterapi): Rygning, dårlig performance status (PS ≥ 2), reduceret normalt lungevæv (≤ 50 %) dokumenteret ved CT-scanning, nylig diagnosticeret NSCLC (&lt; 6 måneder), tidligere ILS, ældre (≥ 55 år gammel) og samtidig hjertesygdom. Der sås en forøget relativ risiko for ILS hos patienter behandlet med </w:t>
      </w:r>
      <w:proofErr w:type="spellStart"/>
      <w:r w:rsidRPr="009A35D6">
        <w:rPr>
          <w:sz w:val="24"/>
          <w:szCs w:val="24"/>
        </w:rPr>
        <w:t>gefitinib</w:t>
      </w:r>
      <w:proofErr w:type="spellEnd"/>
      <w:r w:rsidRPr="009A35D6">
        <w:rPr>
          <w:sz w:val="24"/>
          <w:szCs w:val="24"/>
        </w:rPr>
        <w:t xml:space="preserve"> i forhold til kemoterapi i løbet af de første 4 ugers behandling (justeret OR 3,8; 95 % CI 1,9 til 7,7); derefter var den relative risiko lavere (justeret OR 2,5; 95 % CI 1,1 til 5,8). Risikoen for dødelighed blandt patienter, der udviklede ILS, efter behandling med </w:t>
      </w:r>
      <w:proofErr w:type="spellStart"/>
      <w:r w:rsidRPr="009A35D6">
        <w:rPr>
          <w:sz w:val="24"/>
          <w:szCs w:val="24"/>
        </w:rPr>
        <w:t>gefitinib</w:t>
      </w:r>
      <w:proofErr w:type="spellEnd"/>
      <w:r w:rsidRPr="009A35D6">
        <w:rPr>
          <w:sz w:val="24"/>
          <w:szCs w:val="24"/>
        </w:rPr>
        <w:t xml:space="preserve"> eller kemoterapi, var højere hos patienter med følgende 4 risikofaktorer: Rygning, reduceret normalt lungevæv (≤ 50 %) dokumenteret ved CT-scanning, tidligere ILS, ældre patienter (≥ 65 år gammel) og udtalte områder med </w:t>
      </w:r>
      <w:proofErr w:type="spellStart"/>
      <w:r w:rsidRPr="009A35D6">
        <w:rPr>
          <w:sz w:val="24"/>
          <w:szCs w:val="24"/>
        </w:rPr>
        <w:t>pleural</w:t>
      </w:r>
      <w:proofErr w:type="spellEnd"/>
      <w:r w:rsidRPr="009A35D6">
        <w:rPr>
          <w:sz w:val="24"/>
          <w:szCs w:val="24"/>
        </w:rPr>
        <w:t xml:space="preserve"> adhærence (≥ 50 %).</w:t>
      </w:r>
    </w:p>
    <w:p w14:paraId="6EB72077" w14:textId="77777777" w:rsidR="009F4442" w:rsidRPr="009A35D6" w:rsidRDefault="009F4442" w:rsidP="009F4442">
      <w:pPr>
        <w:tabs>
          <w:tab w:val="left" w:pos="851"/>
        </w:tabs>
        <w:ind w:left="851" w:hanging="851"/>
        <w:rPr>
          <w:sz w:val="24"/>
          <w:szCs w:val="24"/>
        </w:rPr>
      </w:pPr>
    </w:p>
    <w:p w14:paraId="026565DA" w14:textId="77777777" w:rsidR="009F4442" w:rsidRPr="009A35D6" w:rsidRDefault="009F4442" w:rsidP="009F4442">
      <w:pPr>
        <w:tabs>
          <w:tab w:val="left" w:pos="851"/>
        </w:tabs>
        <w:ind w:left="851" w:hanging="851"/>
        <w:rPr>
          <w:i/>
          <w:sz w:val="24"/>
          <w:szCs w:val="24"/>
        </w:rPr>
      </w:pPr>
      <w:r>
        <w:rPr>
          <w:i/>
          <w:sz w:val="24"/>
          <w:szCs w:val="24"/>
        </w:rPr>
        <w:tab/>
      </w:r>
      <w:r w:rsidRPr="009A35D6">
        <w:rPr>
          <w:i/>
          <w:sz w:val="24"/>
          <w:szCs w:val="24"/>
        </w:rPr>
        <w:t>Levertoksicitet og nedsat leverfunktion</w:t>
      </w:r>
    </w:p>
    <w:p w14:paraId="07010FF9"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Unormale værdier ved leverfunktionsundersøgelser (inklusive øget </w:t>
      </w:r>
      <w:proofErr w:type="spellStart"/>
      <w:r w:rsidRPr="009A35D6">
        <w:rPr>
          <w:sz w:val="24"/>
          <w:szCs w:val="24"/>
        </w:rPr>
        <w:t>alaninaminotransferase</w:t>
      </w:r>
      <w:proofErr w:type="spellEnd"/>
      <w:r w:rsidRPr="009A35D6">
        <w:rPr>
          <w:sz w:val="24"/>
          <w:szCs w:val="24"/>
        </w:rPr>
        <w:t xml:space="preserve">, </w:t>
      </w:r>
      <w:proofErr w:type="spellStart"/>
      <w:r w:rsidRPr="009A35D6">
        <w:rPr>
          <w:sz w:val="24"/>
          <w:szCs w:val="24"/>
        </w:rPr>
        <w:t>aspartataminotransferase</w:t>
      </w:r>
      <w:proofErr w:type="spellEnd"/>
      <w:r w:rsidRPr="009A35D6">
        <w:rPr>
          <w:sz w:val="24"/>
          <w:szCs w:val="24"/>
        </w:rPr>
        <w:t xml:space="preserve">, bilirubin) blev observeret og blev registreret som hepatitis med frekvensen "ikke almindelig" (se pkt. 4.8). Der har været isolerede rapporter af leversvigt, som i nogle tilfælde var letal. Derfor anbefales periodisk kontrol af leverfunktionen. </w:t>
      </w:r>
      <w:proofErr w:type="spellStart"/>
      <w:r w:rsidRPr="009A35D6">
        <w:rPr>
          <w:sz w:val="24"/>
          <w:szCs w:val="24"/>
        </w:rPr>
        <w:t>Gefitinib</w:t>
      </w:r>
      <w:proofErr w:type="spellEnd"/>
      <w:r w:rsidRPr="009A35D6">
        <w:rPr>
          <w:sz w:val="24"/>
          <w:szCs w:val="24"/>
        </w:rPr>
        <w:t xml:space="preserve"> bør anvendes med forsigtighed ved lette til moderate ændringer i leverfunktionen. Det bør overvejes at afbryde behandlingen, hvis ændringerne er alvorlige.</w:t>
      </w:r>
    </w:p>
    <w:p w14:paraId="4ECE8AA4" w14:textId="77777777" w:rsidR="009F4442" w:rsidRPr="009A35D6" w:rsidRDefault="009F4442" w:rsidP="009F4442">
      <w:pPr>
        <w:tabs>
          <w:tab w:val="left" w:pos="851"/>
        </w:tabs>
        <w:ind w:left="851" w:hanging="851"/>
        <w:rPr>
          <w:sz w:val="24"/>
          <w:szCs w:val="24"/>
        </w:rPr>
      </w:pPr>
    </w:p>
    <w:p w14:paraId="64A9957A"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Nedsat leverfunktion, på grund af cirrose, er vist at medføre øgede plasmakoncentrationer af </w:t>
      </w:r>
      <w:proofErr w:type="spellStart"/>
      <w:r w:rsidRPr="009A35D6">
        <w:rPr>
          <w:sz w:val="24"/>
          <w:szCs w:val="24"/>
        </w:rPr>
        <w:t>gefitinib</w:t>
      </w:r>
      <w:proofErr w:type="spellEnd"/>
      <w:r w:rsidRPr="009A35D6">
        <w:rPr>
          <w:sz w:val="24"/>
          <w:szCs w:val="24"/>
        </w:rPr>
        <w:t xml:space="preserve"> (se pkt. 5.2).</w:t>
      </w:r>
    </w:p>
    <w:p w14:paraId="58D8470E" w14:textId="77777777" w:rsidR="009F4442" w:rsidRDefault="009F4442" w:rsidP="009F4442">
      <w:pPr>
        <w:rPr>
          <w:sz w:val="24"/>
          <w:szCs w:val="24"/>
        </w:rPr>
      </w:pPr>
      <w:r>
        <w:rPr>
          <w:sz w:val="24"/>
          <w:szCs w:val="24"/>
        </w:rPr>
        <w:br w:type="page"/>
      </w:r>
    </w:p>
    <w:p w14:paraId="7C2AC6D7" w14:textId="77777777" w:rsidR="009F4442" w:rsidRPr="009A35D6" w:rsidRDefault="009F4442" w:rsidP="009F4442">
      <w:pPr>
        <w:tabs>
          <w:tab w:val="left" w:pos="851"/>
        </w:tabs>
        <w:ind w:left="851" w:hanging="851"/>
        <w:rPr>
          <w:sz w:val="24"/>
          <w:szCs w:val="24"/>
        </w:rPr>
      </w:pPr>
    </w:p>
    <w:p w14:paraId="101B0F62" w14:textId="77777777" w:rsidR="009F4442" w:rsidRPr="003604AD" w:rsidRDefault="009F4442" w:rsidP="009F4442">
      <w:pPr>
        <w:tabs>
          <w:tab w:val="left" w:pos="851"/>
        </w:tabs>
        <w:ind w:left="851" w:hanging="851"/>
        <w:rPr>
          <w:i/>
          <w:sz w:val="24"/>
          <w:szCs w:val="24"/>
        </w:rPr>
      </w:pPr>
      <w:r w:rsidRPr="003604AD">
        <w:rPr>
          <w:i/>
          <w:sz w:val="24"/>
          <w:szCs w:val="24"/>
        </w:rPr>
        <w:tab/>
        <w:t>Interaktioner med andre lægemidler</w:t>
      </w:r>
    </w:p>
    <w:p w14:paraId="7929DE04"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Substanser, der inducerer CYP3A4-aktiviteten, kan forårsage en øget </w:t>
      </w:r>
      <w:proofErr w:type="spellStart"/>
      <w:r w:rsidRPr="009A35D6">
        <w:rPr>
          <w:sz w:val="24"/>
          <w:szCs w:val="24"/>
        </w:rPr>
        <w:t>metabolisering</w:t>
      </w:r>
      <w:proofErr w:type="spellEnd"/>
      <w:r w:rsidRPr="009A35D6">
        <w:rPr>
          <w:sz w:val="24"/>
          <w:szCs w:val="24"/>
        </w:rPr>
        <w:t xml:space="preserve"> af </w:t>
      </w:r>
      <w:proofErr w:type="spellStart"/>
      <w:r w:rsidRPr="009A35D6">
        <w:rPr>
          <w:sz w:val="24"/>
          <w:szCs w:val="24"/>
        </w:rPr>
        <w:t>gefitinib</w:t>
      </w:r>
      <w:proofErr w:type="spellEnd"/>
      <w:r w:rsidRPr="009A35D6">
        <w:rPr>
          <w:sz w:val="24"/>
          <w:szCs w:val="24"/>
        </w:rPr>
        <w:t xml:space="preserve"> og dermed reducere </w:t>
      </w:r>
      <w:proofErr w:type="spellStart"/>
      <w:r w:rsidRPr="009A35D6">
        <w:rPr>
          <w:sz w:val="24"/>
          <w:szCs w:val="24"/>
        </w:rPr>
        <w:t>gefitinibs</w:t>
      </w:r>
      <w:proofErr w:type="spellEnd"/>
      <w:r w:rsidRPr="009A35D6">
        <w:rPr>
          <w:sz w:val="24"/>
          <w:szCs w:val="24"/>
        </w:rPr>
        <w:t xml:space="preserve"> plasmakoncentration. Derfor kan samtidig administration af CYP3A4- induktorer (</w:t>
      </w:r>
      <w:r>
        <w:rPr>
          <w:sz w:val="24"/>
          <w:szCs w:val="24"/>
        </w:rPr>
        <w:t>f.eks.</w:t>
      </w:r>
      <w:r w:rsidRPr="009A35D6">
        <w:rPr>
          <w:sz w:val="24"/>
          <w:szCs w:val="24"/>
        </w:rPr>
        <w:t xml:space="preserve"> </w:t>
      </w:r>
      <w:proofErr w:type="spellStart"/>
      <w:r w:rsidRPr="009A35D6">
        <w:rPr>
          <w:sz w:val="24"/>
          <w:szCs w:val="24"/>
        </w:rPr>
        <w:t>phenytoin</w:t>
      </w:r>
      <w:proofErr w:type="spellEnd"/>
      <w:r w:rsidRPr="009A35D6">
        <w:rPr>
          <w:sz w:val="24"/>
          <w:szCs w:val="24"/>
        </w:rPr>
        <w:t xml:space="preserve">, </w:t>
      </w:r>
      <w:proofErr w:type="spellStart"/>
      <w:r w:rsidRPr="009A35D6">
        <w:rPr>
          <w:sz w:val="24"/>
          <w:szCs w:val="24"/>
        </w:rPr>
        <w:t>carbamazepin</w:t>
      </w:r>
      <w:proofErr w:type="spellEnd"/>
      <w:r w:rsidRPr="009A35D6">
        <w:rPr>
          <w:sz w:val="24"/>
          <w:szCs w:val="24"/>
        </w:rPr>
        <w:t xml:space="preserve">, </w:t>
      </w:r>
      <w:proofErr w:type="spellStart"/>
      <w:r w:rsidRPr="009A35D6">
        <w:rPr>
          <w:sz w:val="24"/>
          <w:szCs w:val="24"/>
        </w:rPr>
        <w:t>rifampicin</w:t>
      </w:r>
      <w:proofErr w:type="spellEnd"/>
      <w:r w:rsidRPr="009A35D6">
        <w:rPr>
          <w:sz w:val="24"/>
          <w:szCs w:val="24"/>
        </w:rPr>
        <w:t>, barbiturater eller planteformuleringer indeholdende perikon/</w:t>
      </w:r>
      <w:proofErr w:type="spellStart"/>
      <w:r w:rsidRPr="009A35D6">
        <w:rPr>
          <w:sz w:val="24"/>
          <w:szCs w:val="24"/>
        </w:rPr>
        <w:t>hypericum</w:t>
      </w:r>
      <w:proofErr w:type="spellEnd"/>
      <w:r w:rsidRPr="009A35D6">
        <w:rPr>
          <w:sz w:val="24"/>
          <w:szCs w:val="24"/>
        </w:rPr>
        <w:t xml:space="preserve"> </w:t>
      </w:r>
      <w:proofErr w:type="spellStart"/>
      <w:r w:rsidRPr="009A35D6">
        <w:rPr>
          <w:sz w:val="24"/>
          <w:szCs w:val="24"/>
        </w:rPr>
        <w:t>perforatum</w:t>
      </w:r>
      <w:proofErr w:type="spellEnd"/>
      <w:r w:rsidRPr="009A35D6">
        <w:rPr>
          <w:sz w:val="24"/>
          <w:szCs w:val="24"/>
        </w:rPr>
        <w:t>) reducere behandlingseffekten og bør derfor undgås (se pkt. 4.5).</w:t>
      </w:r>
    </w:p>
    <w:p w14:paraId="5637413A" w14:textId="77777777" w:rsidR="009F4442" w:rsidRPr="009A35D6" w:rsidRDefault="009F4442" w:rsidP="009F4442">
      <w:pPr>
        <w:tabs>
          <w:tab w:val="left" w:pos="851"/>
        </w:tabs>
        <w:ind w:left="851" w:hanging="851"/>
        <w:rPr>
          <w:sz w:val="24"/>
          <w:szCs w:val="24"/>
        </w:rPr>
      </w:pPr>
    </w:p>
    <w:p w14:paraId="20CE3EFD"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Hos individuelle patienter med ringe metabolisme via CYP2D6 kan behandling med en potent CYP3A4-hæmmer medføre øgede plasmaniveauer af </w:t>
      </w:r>
      <w:proofErr w:type="spellStart"/>
      <w:r w:rsidRPr="009A35D6">
        <w:rPr>
          <w:sz w:val="24"/>
          <w:szCs w:val="24"/>
        </w:rPr>
        <w:t>gefitinib</w:t>
      </w:r>
      <w:proofErr w:type="spellEnd"/>
      <w:r w:rsidRPr="009A35D6">
        <w:rPr>
          <w:sz w:val="24"/>
          <w:szCs w:val="24"/>
        </w:rPr>
        <w:t xml:space="preserve">. Ved påbegyndelse af behandling med en CYP3A4-hæmmer skal patienterne monitoreres tæt for bivirkninger relateret til </w:t>
      </w:r>
      <w:proofErr w:type="spellStart"/>
      <w:r w:rsidRPr="009A35D6">
        <w:rPr>
          <w:sz w:val="24"/>
          <w:szCs w:val="24"/>
        </w:rPr>
        <w:t>gefitinib</w:t>
      </w:r>
      <w:proofErr w:type="spellEnd"/>
      <w:r w:rsidRPr="009A35D6">
        <w:rPr>
          <w:sz w:val="24"/>
          <w:szCs w:val="24"/>
        </w:rPr>
        <w:t xml:space="preserve"> (se pkt. 4.5).</w:t>
      </w:r>
    </w:p>
    <w:p w14:paraId="23533F7C" w14:textId="77777777" w:rsidR="009F4442" w:rsidRPr="009A35D6" w:rsidRDefault="009F4442" w:rsidP="009F4442">
      <w:pPr>
        <w:tabs>
          <w:tab w:val="left" w:pos="851"/>
        </w:tabs>
        <w:ind w:left="851" w:hanging="851"/>
        <w:rPr>
          <w:sz w:val="24"/>
          <w:szCs w:val="24"/>
        </w:rPr>
      </w:pPr>
    </w:p>
    <w:p w14:paraId="4BB74E24"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Hos nogle patienter, som tager </w:t>
      </w:r>
      <w:proofErr w:type="spellStart"/>
      <w:r w:rsidRPr="009A35D6">
        <w:rPr>
          <w:sz w:val="24"/>
          <w:szCs w:val="24"/>
        </w:rPr>
        <w:t>warfarin</w:t>
      </w:r>
      <w:proofErr w:type="spellEnd"/>
      <w:r w:rsidRPr="009A35D6">
        <w:rPr>
          <w:sz w:val="24"/>
          <w:szCs w:val="24"/>
        </w:rPr>
        <w:t xml:space="preserve"> sammen med </w:t>
      </w:r>
      <w:proofErr w:type="spellStart"/>
      <w:r w:rsidRPr="009A35D6">
        <w:rPr>
          <w:sz w:val="24"/>
          <w:szCs w:val="24"/>
        </w:rPr>
        <w:t>gefitinib</w:t>
      </w:r>
      <w:proofErr w:type="spellEnd"/>
      <w:r w:rsidRPr="009A35D6">
        <w:rPr>
          <w:sz w:val="24"/>
          <w:szCs w:val="24"/>
        </w:rPr>
        <w:t xml:space="preserve">, er der rapporteret forøget International Normaliseret Ratio (INR) og/eller blødningstilfælde (se pkt. 4.5). Patienter, der tager </w:t>
      </w:r>
      <w:proofErr w:type="spellStart"/>
      <w:r w:rsidRPr="009A35D6">
        <w:rPr>
          <w:sz w:val="24"/>
          <w:szCs w:val="24"/>
        </w:rPr>
        <w:t>warfarin</w:t>
      </w:r>
      <w:proofErr w:type="spellEnd"/>
      <w:r w:rsidRPr="009A35D6">
        <w:rPr>
          <w:sz w:val="24"/>
          <w:szCs w:val="24"/>
        </w:rPr>
        <w:t xml:space="preserve"> og </w:t>
      </w:r>
      <w:proofErr w:type="spellStart"/>
      <w:r w:rsidRPr="009A35D6">
        <w:rPr>
          <w:sz w:val="24"/>
          <w:szCs w:val="24"/>
        </w:rPr>
        <w:t>gefitinib</w:t>
      </w:r>
      <w:proofErr w:type="spellEnd"/>
      <w:r w:rsidRPr="009A35D6">
        <w:rPr>
          <w:sz w:val="24"/>
          <w:szCs w:val="24"/>
        </w:rPr>
        <w:t xml:space="preserve"> samtidig, bør monitoreres regelmæssigt for ændringer i </w:t>
      </w:r>
      <w:proofErr w:type="spellStart"/>
      <w:r w:rsidRPr="009A35D6">
        <w:rPr>
          <w:sz w:val="24"/>
          <w:szCs w:val="24"/>
        </w:rPr>
        <w:t>protrombintiden</w:t>
      </w:r>
      <w:proofErr w:type="spellEnd"/>
      <w:r w:rsidRPr="009A35D6">
        <w:rPr>
          <w:sz w:val="24"/>
          <w:szCs w:val="24"/>
        </w:rPr>
        <w:t xml:space="preserve"> (PT) eller INR.</w:t>
      </w:r>
    </w:p>
    <w:p w14:paraId="523D899A" w14:textId="77777777" w:rsidR="009F4442" w:rsidRPr="009A35D6" w:rsidRDefault="009F4442" w:rsidP="009F4442">
      <w:pPr>
        <w:tabs>
          <w:tab w:val="left" w:pos="851"/>
        </w:tabs>
        <w:ind w:left="851" w:hanging="851"/>
        <w:rPr>
          <w:sz w:val="24"/>
          <w:szCs w:val="24"/>
        </w:rPr>
      </w:pPr>
    </w:p>
    <w:p w14:paraId="1DD4C093"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Lægemidler, som forårsager vedvarende forhøjet gastrisk pH, såsom </w:t>
      </w:r>
      <w:proofErr w:type="spellStart"/>
      <w:r w:rsidRPr="009A35D6">
        <w:rPr>
          <w:sz w:val="24"/>
          <w:szCs w:val="24"/>
        </w:rPr>
        <w:t>protonpumpe</w:t>
      </w:r>
      <w:r>
        <w:rPr>
          <w:sz w:val="24"/>
          <w:szCs w:val="24"/>
        </w:rPr>
        <w:softHyphen/>
      </w:r>
      <w:r w:rsidRPr="009A35D6">
        <w:rPr>
          <w:sz w:val="24"/>
          <w:szCs w:val="24"/>
        </w:rPr>
        <w:t>hæmmere</w:t>
      </w:r>
      <w:proofErr w:type="spellEnd"/>
      <w:r w:rsidRPr="009A35D6">
        <w:rPr>
          <w:sz w:val="24"/>
          <w:szCs w:val="24"/>
        </w:rPr>
        <w:t xml:space="preserve"> og h</w:t>
      </w:r>
      <w:r w:rsidRPr="009A35D6">
        <w:rPr>
          <w:sz w:val="24"/>
          <w:szCs w:val="24"/>
          <w:vertAlign w:val="subscript"/>
        </w:rPr>
        <w:t>2</w:t>
      </w:r>
      <w:r w:rsidRPr="009A35D6">
        <w:rPr>
          <w:sz w:val="24"/>
          <w:szCs w:val="24"/>
        </w:rPr>
        <w:t xml:space="preserve">-antagonister kan reducere biotilgængeligheden og plasmakoncentrationen af </w:t>
      </w:r>
      <w:proofErr w:type="spellStart"/>
      <w:r w:rsidRPr="009A35D6">
        <w:rPr>
          <w:sz w:val="24"/>
          <w:szCs w:val="24"/>
        </w:rPr>
        <w:t>gefitinib</w:t>
      </w:r>
      <w:proofErr w:type="spellEnd"/>
      <w:r w:rsidRPr="009A35D6">
        <w:rPr>
          <w:sz w:val="24"/>
          <w:szCs w:val="24"/>
        </w:rPr>
        <w:t xml:space="preserve">, og kan derfor reducere effekten. </w:t>
      </w:r>
      <w:proofErr w:type="spellStart"/>
      <w:r w:rsidRPr="009A35D6">
        <w:rPr>
          <w:sz w:val="24"/>
          <w:szCs w:val="24"/>
        </w:rPr>
        <w:t>Antacida</w:t>
      </w:r>
      <w:proofErr w:type="spellEnd"/>
      <w:r w:rsidRPr="009A35D6">
        <w:rPr>
          <w:sz w:val="24"/>
          <w:szCs w:val="24"/>
        </w:rPr>
        <w:t xml:space="preserve">, som administreres tidsmæssigt tæt på </w:t>
      </w:r>
      <w:proofErr w:type="spellStart"/>
      <w:r w:rsidRPr="009A35D6">
        <w:rPr>
          <w:sz w:val="24"/>
          <w:szCs w:val="24"/>
        </w:rPr>
        <w:t>gefitinib</w:t>
      </w:r>
      <w:proofErr w:type="spellEnd"/>
      <w:r w:rsidRPr="009A35D6">
        <w:rPr>
          <w:sz w:val="24"/>
          <w:szCs w:val="24"/>
        </w:rPr>
        <w:t>, kan have samme effekt (se pkt. 4.5 og 5.2).</w:t>
      </w:r>
    </w:p>
    <w:p w14:paraId="05EC82E6" w14:textId="77777777" w:rsidR="009F4442" w:rsidRPr="009A35D6" w:rsidRDefault="009F4442" w:rsidP="009F4442">
      <w:pPr>
        <w:tabs>
          <w:tab w:val="left" w:pos="851"/>
        </w:tabs>
        <w:ind w:left="851" w:hanging="851"/>
        <w:rPr>
          <w:sz w:val="24"/>
          <w:szCs w:val="24"/>
        </w:rPr>
      </w:pPr>
    </w:p>
    <w:p w14:paraId="5D666D92"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Data fra et klinisk fase-II-forsøg, hvor </w:t>
      </w:r>
      <w:proofErr w:type="spellStart"/>
      <w:r w:rsidRPr="009A35D6">
        <w:rPr>
          <w:sz w:val="24"/>
          <w:szCs w:val="24"/>
        </w:rPr>
        <w:t>gefitinib</w:t>
      </w:r>
      <w:proofErr w:type="spellEnd"/>
      <w:r w:rsidRPr="009A35D6">
        <w:rPr>
          <w:sz w:val="24"/>
          <w:szCs w:val="24"/>
        </w:rPr>
        <w:t xml:space="preserve"> og </w:t>
      </w:r>
      <w:proofErr w:type="spellStart"/>
      <w:r w:rsidRPr="009A35D6">
        <w:rPr>
          <w:sz w:val="24"/>
          <w:szCs w:val="24"/>
        </w:rPr>
        <w:t>vinorelbin</w:t>
      </w:r>
      <w:proofErr w:type="spellEnd"/>
      <w:r w:rsidRPr="009A35D6">
        <w:rPr>
          <w:sz w:val="24"/>
          <w:szCs w:val="24"/>
        </w:rPr>
        <w:t xml:space="preserve"> blev givet samtidig, indikerer, at </w:t>
      </w:r>
      <w:proofErr w:type="spellStart"/>
      <w:r w:rsidRPr="009A35D6">
        <w:rPr>
          <w:sz w:val="24"/>
          <w:szCs w:val="24"/>
        </w:rPr>
        <w:t>gefitinib</w:t>
      </w:r>
      <w:proofErr w:type="spellEnd"/>
      <w:r w:rsidRPr="009A35D6">
        <w:rPr>
          <w:sz w:val="24"/>
          <w:szCs w:val="24"/>
        </w:rPr>
        <w:t xml:space="preserve"> kan forværre den </w:t>
      </w:r>
      <w:proofErr w:type="spellStart"/>
      <w:r w:rsidRPr="009A35D6">
        <w:rPr>
          <w:sz w:val="24"/>
          <w:szCs w:val="24"/>
        </w:rPr>
        <w:t>neutropene</w:t>
      </w:r>
      <w:proofErr w:type="spellEnd"/>
      <w:r w:rsidRPr="009A35D6">
        <w:rPr>
          <w:sz w:val="24"/>
          <w:szCs w:val="24"/>
        </w:rPr>
        <w:t xml:space="preserve"> effekt af </w:t>
      </w:r>
      <w:proofErr w:type="spellStart"/>
      <w:r w:rsidRPr="009A35D6">
        <w:rPr>
          <w:sz w:val="24"/>
          <w:szCs w:val="24"/>
        </w:rPr>
        <w:t>vinorelbin</w:t>
      </w:r>
      <w:proofErr w:type="spellEnd"/>
      <w:r w:rsidRPr="009A35D6">
        <w:rPr>
          <w:sz w:val="24"/>
          <w:szCs w:val="24"/>
        </w:rPr>
        <w:t>.</w:t>
      </w:r>
    </w:p>
    <w:p w14:paraId="3D8666D6" w14:textId="77777777" w:rsidR="009F4442" w:rsidRPr="009A35D6" w:rsidRDefault="009F4442" w:rsidP="009F4442">
      <w:pPr>
        <w:tabs>
          <w:tab w:val="left" w:pos="851"/>
        </w:tabs>
        <w:ind w:left="851" w:hanging="851"/>
        <w:rPr>
          <w:sz w:val="24"/>
          <w:szCs w:val="24"/>
        </w:rPr>
      </w:pPr>
    </w:p>
    <w:p w14:paraId="6823EFB0" w14:textId="77777777" w:rsidR="00A75BD5" w:rsidRDefault="009F4442" w:rsidP="00A75BD5">
      <w:pPr>
        <w:tabs>
          <w:tab w:val="left" w:pos="851"/>
        </w:tabs>
        <w:ind w:left="851" w:hanging="851"/>
        <w:rPr>
          <w:i/>
          <w:sz w:val="24"/>
          <w:szCs w:val="24"/>
        </w:rPr>
      </w:pPr>
      <w:r>
        <w:rPr>
          <w:i/>
          <w:sz w:val="24"/>
          <w:szCs w:val="24"/>
        </w:rPr>
        <w:tab/>
      </w:r>
      <w:proofErr w:type="spellStart"/>
      <w:r w:rsidR="00A75BD5">
        <w:rPr>
          <w:i/>
          <w:sz w:val="24"/>
          <w:szCs w:val="24"/>
        </w:rPr>
        <w:t>Lactose</w:t>
      </w:r>
      <w:proofErr w:type="spellEnd"/>
    </w:p>
    <w:p w14:paraId="45AF2BDF" w14:textId="77777777" w:rsidR="00A75BD5" w:rsidRDefault="00A75BD5" w:rsidP="00A75BD5">
      <w:pPr>
        <w:tabs>
          <w:tab w:val="left" w:pos="851"/>
        </w:tabs>
        <w:ind w:left="851" w:hanging="851"/>
        <w:rPr>
          <w:sz w:val="24"/>
          <w:szCs w:val="24"/>
        </w:rPr>
      </w:pPr>
      <w:r>
        <w:rPr>
          <w:sz w:val="24"/>
          <w:szCs w:val="24"/>
        </w:rPr>
        <w:tab/>
      </w:r>
      <w:proofErr w:type="spellStart"/>
      <w:r>
        <w:rPr>
          <w:sz w:val="24"/>
          <w:szCs w:val="24"/>
        </w:rPr>
        <w:t>Gefitinib</w:t>
      </w:r>
      <w:proofErr w:type="spellEnd"/>
      <w:r>
        <w:rPr>
          <w:sz w:val="24"/>
          <w:szCs w:val="24"/>
        </w:rPr>
        <w:t xml:space="preserve"> "</w:t>
      </w:r>
      <w:proofErr w:type="spellStart"/>
      <w:r>
        <w:rPr>
          <w:sz w:val="24"/>
          <w:szCs w:val="24"/>
        </w:rPr>
        <w:t>Stada</w:t>
      </w:r>
      <w:proofErr w:type="spellEnd"/>
      <w:r>
        <w:rPr>
          <w:sz w:val="24"/>
          <w:szCs w:val="24"/>
        </w:rPr>
        <w:t xml:space="preserve">" indeholder </w:t>
      </w:r>
      <w:proofErr w:type="spellStart"/>
      <w:r>
        <w:rPr>
          <w:sz w:val="24"/>
          <w:szCs w:val="24"/>
        </w:rPr>
        <w:t>lactose</w:t>
      </w:r>
      <w:proofErr w:type="spellEnd"/>
      <w:r>
        <w:rPr>
          <w:sz w:val="24"/>
          <w:szCs w:val="24"/>
        </w:rPr>
        <w:t xml:space="preserve">. Patienter med sjældne arvelige problemer relateret til </w:t>
      </w:r>
      <w:proofErr w:type="spellStart"/>
      <w:r>
        <w:rPr>
          <w:sz w:val="24"/>
          <w:szCs w:val="24"/>
        </w:rPr>
        <w:t>galactoseintolerans</w:t>
      </w:r>
      <w:proofErr w:type="spellEnd"/>
      <w:r>
        <w:rPr>
          <w:sz w:val="24"/>
          <w:szCs w:val="24"/>
        </w:rPr>
        <w:t xml:space="preserve">, total </w:t>
      </w:r>
      <w:proofErr w:type="spellStart"/>
      <w:r>
        <w:rPr>
          <w:sz w:val="24"/>
          <w:szCs w:val="24"/>
        </w:rPr>
        <w:t>lactase</w:t>
      </w:r>
      <w:proofErr w:type="spellEnd"/>
      <w:r>
        <w:rPr>
          <w:sz w:val="24"/>
          <w:szCs w:val="24"/>
        </w:rPr>
        <w:t xml:space="preserve"> mangel eller </w:t>
      </w:r>
      <w:proofErr w:type="spellStart"/>
      <w:r>
        <w:rPr>
          <w:sz w:val="24"/>
          <w:szCs w:val="24"/>
        </w:rPr>
        <w:t>glucose-galactose</w:t>
      </w:r>
      <w:proofErr w:type="spellEnd"/>
      <w:r>
        <w:rPr>
          <w:sz w:val="24"/>
          <w:szCs w:val="24"/>
        </w:rPr>
        <w:t xml:space="preserve"> </w:t>
      </w:r>
      <w:proofErr w:type="spellStart"/>
      <w:r>
        <w:rPr>
          <w:sz w:val="24"/>
          <w:szCs w:val="24"/>
        </w:rPr>
        <w:t>malabsorption</w:t>
      </w:r>
      <w:proofErr w:type="spellEnd"/>
      <w:r>
        <w:rPr>
          <w:sz w:val="24"/>
          <w:szCs w:val="24"/>
        </w:rPr>
        <w:t xml:space="preserve"> bør ikke tage denne medicin.</w:t>
      </w:r>
    </w:p>
    <w:p w14:paraId="6C32EA4B" w14:textId="77777777" w:rsidR="00A75BD5" w:rsidRDefault="00A75BD5" w:rsidP="00A75BD5">
      <w:pPr>
        <w:tabs>
          <w:tab w:val="left" w:pos="851"/>
        </w:tabs>
        <w:ind w:left="851" w:hanging="851"/>
        <w:rPr>
          <w:sz w:val="24"/>
          <w:szCs w:val="24"/>
        </w:rPr>
      </w:pPr>
    </w:p>
    <w:p w14:paraId="785328BE" w14:textId="77777777" w:rsidR="00A75BD5" w:rsidRDefault="00A75BD5" w:rsidP="00A75BD5">
      <w:pPr>
        <w:tabs>
          <w:tab w:val="left" w:pos="851"/>
        </w:tabs>
        <w:ind w:left="851" w:hanging="851"/>
        <w:rPr>
          <w:i/>
          <w:iCs/>
          <w:sz w:val="24"/>
          <w:szCs w:val="24"/>
        </w:rPr>
      </w:pPr>
      <w:r>
        <w:rPr>
          <w:sz w:val="24"/>
          <w:szCs w:val="24"/>
        </w:rPr>
        <w:tab/>
      </w:r>
      <w:r>
        <w:rPr>
          <w:i/>
          <w:iCs/>
          <w:sz w:val="24"/>
          <w:szCs w:val="24"/>
        </w:rPr>
        <w:t>Natrium</w:t>
      </w:r>
    </w:p>
    <w:p w14:paraId="294EF7A3" w14:textId="77777777" w:rsidR="009F4442" w:rsidRPr="009A35D6" w:rsidRDefault="00A75BD5" w:rsidP="00A75BD5">
      <w:pPr>
        <w:tabs>
          <w:tab w:val="left" w:pos="851"/>
        </w:tabs>
        <w:ind w:left="851" w:hanging="851"/>
        <w:rPr>
          <w:sz w:val="24"/>
          <w:szCs w:val="24"/>
        </w:rPr>
      </w:pPr>
      <w:r>
        <w:rPr>
          <w:sz w:val="24"/>
          <w:szCs w:val="24"/>
        </w:rPr>
        <w:tab/>
        <w:t>D</w:t>
      </w:r>
      <w:r>
        <w:t>ette lægemiddel indeholder mindre end 1 mmol (23 mg) natrium pr. filmovertrukket tablet, dvs. det er i det væsentlige natriumfrit</w:t>
      </w:r>
      <w:r w:rsidR="009F4442" w:rsidRPr="009A35D6">
        <w:rPr>
          <w:sz w:val="24"/>
          <w:szCs w:val="24"/>
        </w:rPr>
        <w:t>.</w:t>
      </w:r>
    </w:p>
    <w:p w14:paraId="557EF05F" w14:textId="77777777" w:rsidR="009F4442" w:rsidRPr="009A35D6" w:rsidRDefault="009F4442" w:rsidP="009F4442">
      <w:pPr>
        <w:tabs>
          <w:tab w:val="left" w:pos="851"/>
        </w:tabs>
        <w:ind w:left="851" w:hanging="851"/>
        <w:rPr>
          <w:sz w:val="24"/>
          <w:szCs w:val="24"/>
        </w:rPr>
      </w:pPr>
    </w:p>
    <w:p w14:paraId="01D84348" w14:textId="77777777" w:rsidR="009F4442" w:rsidRPr="009A35D6" w:rsidRDefault="009F4442" w:rsidP="009F4442">
      <w:pPr>
        <w:tabs>
          <w:tab w:val="left" w:pos="851"/>
        </w:tabs>
        <w:ind w:left="851" w:hanging="851"/>
        <w:rPr>
          <w:i/>
          <w:sz w:val="24"/>
          <w:szCs w:val="24"/>
        </w:rPr>
      </w:pPr>
      <w:r>
        <w:rPr>
          <w:i/>
          <w:sz w:val="24"/>
          <w:szCs w:val="24"/>
        </w:rPr>
        <w:tab/>
      </w:r>
      <w:r w:rsidRPr="009A35D6">
        <w:rPr>
          <w:i/>
          <w:sz w:val="24"/>
          <w:szCs w:val="24"/>
        </w:rPr>
        <w:t>Yderligere forholdsregler ved brug</w:t>
      </w:r>
    </w:p>
    <w:p w14:paraId="6099E1AB"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Patienter skal rådes til straks at søge lægehjælp, såfremt de oplever svær eller vedvarende diarré, kvalme, opkastning eller appetitløshed, da dette indirekte kan føre til dehydrering. Disse symptomer bør behandles som klinisk indiceret (se pkt. 4.8). </w:t>
      </w:r>
    </w:p>
    <w:p w14:paraId="0A734607" w14:textId="77777777" w:rsidR="009F4442" w:rsidRPr="009A35D6" w:rsidRDefault="009F4442" w:rsidP="009F4442">
      <w:pPr>
        <w:tabs>
          <w:tab w:val="left" w:pos="851"/>
        </w:tabs>
        <w:ind w:left="851" w:hanging="851"/>
        <w:rPr>
          <w:sz w:val="24"/>
          <w:szCs w:val="24"/>
        </w:rPr>
      </w:pPr>
    </w:p>
    <w:p w14:paraId="03522A0D"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Patienter med tegn og symptomer, der tyder på </w:t>
      </w:r>
      <w:proofErr w:type="spellStart"/>
      <w:r w:rsidRPr="009A35D6">
        <w:rPr>
          <w:sz w:val="24"/>
          <w:szCs w:val="24"/>
        </w:rPr>
        <w:t>keratitis</w:t>
      </w:r>
      <w:proofErr w:type="spellEnd"/>
      <w:r w:rsidRPr="009A35D6">
        <w:rPr>
          <w:sz w:val="24"/>
          <w:szCs w:val="24"/>
        </w:rPr>
        <w:t>, såsom akut eller tiltagende øjeninflammation, tåreflåd, fotosensibilitet, uskarpt syn, øjensmerter og/eller røde øjne, skal omgående henvises til en øjenspecialist.</w:t>
      </w:r>
    </w:p>
    <w:p w14:paraId="0223EE59" w14:textId="77777777" w:rsidR="009F4442" w:rsidRPr="009A35D6" w:rsidRDefault="009F4442" w:rsidP="009F4442">
      <w:pPr>
        <w:tabs>
          <w:tab w:val="left" w:pos="851"/>
        </w:tabs>
        <w:ind w:left="851" w:hanging="851"/>
        <w:rPr>
          <w:sz w:val="24"/>
          <w:szCs w:val="24"/>
        </w:rPr>
      </w:pPr>
    </w:p>
    <w:p w14:paraId="377B7399"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Ved diagnosticering af </w:t>
      </w:r>
      <w:proofErr w:type="spellStart"/>
      <w:r w:rsidRPr="009A35D6">
        <w:rPr>
          <w:sz w:val="24"/>
          <w:szCs w:val="24"/>
        </w:rPr>
        <w:t>keratitis</w:t>
      </w:r>
      <w:proofErr w:type="spellEnd"/>
      <w:r w:rsidRPr="009A35D6">
        <w:rPr>
          <w:sz w:val="24"/>
          <w:szCs w:val="24"/>
        </w:rPr>
        <w:t xml:space="preserve"> </w:t>
      </w:r>
      <w:proofErr w:type="spellStart"/>
      <w:r w:rsidRPr="009A35D6">
        <w:rPr>
          <w:sz w:val="24"/>
          <w:szCs w:val="24"/>
        </w:rPr>
        <w:t>ulcerosa</w:t>
      </w:r>
      <w:proofErr w:type="spellEnd"/>
      <w:r w:rsidRPr="009A35D6">
        <w:rPr>
          <w:sz w:val="24"/>
          <w:szCs w:val="24"/>
        </w:rPr>
        <w:t xml:space="preserve"> bør behandlingen med </w:t>
      </w:r>
      <w:proofErr w:type="spellStart"/>
      <w:r w:rsidRPr="009A35D6">
        <w:rPr>
          <w:sz w:val="24"/>
          <w:szCs w:val="24"/>
        </w:rPr>
        <w:t>gefitinib</w:t>
      </w:r>
      <w:proofErr w:type="spellEnd"/>
      <w:r w:rsidRPr="009A35D6">
        <w:rPr>
          <w:sz w:val="24"/>
          <w:szCs w:val="24"/>
        </w:rPr>
        <w:t xml:space="preserve"> afbrydes, og hvis symptomerne ikke forsvinder, eller hvis de vender tilbage ved genoptagen behandling med </w:t>
      </w:r>
      <w:proofErr w:type="spellStart"/>
      <w:r w:rsidRPr="009A35D6">
        <w:rPr>
          <w:sz w:val="24"/>
          <w:szCs w:val="24"/>
        </w:rPr>
        <w:t>gefitinib</w:t>
      </w:r>
      <w:proofErr w:type="spellEnd"/>
      <w:r w:rsidRPr="009A35D6">
        <w:rPr>
          <w:sz w:val="24"/>
          <w:szCs w:val="24"/>
        </w:rPr>
        <w:t xml:space="preserve">, bør permanent </w:t>
      </w:r>
      <w:proofErr w:type="spellStart"/>
      <w:r w:rsidRPr="009A35D6">
        <w:rPr>
          <w:sz w:val="24"/>
          <w:szCs w:val="24"/>
        </w:rPr>
        <w:t>seponering</w:t>
      </w:r>
      <w:proofErr w:type="spellEnd"/>
      <w:r w:rsidRPr="009A35D6">
        <w:rPr>
          <w:sz w:val="24"/>
          <w:szCs w:val="24"/>
        </w:rPr>
        <w:t xml:space="preserve"> overvejes.</w:t>
      </w:r>
    </w:p>
    <w:p w14:paraId="160E85F4" w14:textId="77777777" w:rsidR="009F4442" w:rsidRPr="009A35D6" w:rsidRDefault="009F4442" w:rsidP="009F4442">
      <w:pPr>
        <w:tabs>
          <w:tab w:val="left" w:pos="851"/>
        </w:tabs>
        <w:ind w:left="851" w:hanging="851"/>
        <w:rPr>
          <w:sz w:val="24"/>
          <w:szCs w:val="24"/>
        </w:rPr>
      </w:pPr>
    </w:p>
    <w:p w14:paraId="46359784"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I et fase-I/II-studie, som undersøgte brug af </w:t>
      </w:r>
      <w:proofErr w:type="spellStart"/>
      <w:r w:rsidRPr="009A35D6">
        <w:rPr>
          <w:sz w:val="24"/>
          <w:szCs w:val="24"/>
        </w:rPr>
        <w:t>gefitinib</w:t>
      </w:r>
      <w:proofErr w:type="spellEnd"/>
      <w:r w:rsidRPr="009A35D6">
        <w:rPr>
          <w:sz w:val="24"/>
          <w:szCs w:val="24"/>
        </w:rPr>
        <w:t xml:space="preserve"> og stråling hos pædiatriske patienter med nyligt diagnosticeret hjernestammegliom eller ufuldstændig frastødning af </w:t>
      </w:r>
      <w:proofErr w:type="spellStart"/>
      <w:r w:rsidRPr="009A35D6">
        <w:rPr>
          <w:sz w:val="24"/>
          <w:szCs w:val="24"/>
        </w:rPr>
        <w:t>supratentorielt</w:t>
      </w:r>
      <w:proofErr w:type="spellEnd"/>
      <w:r w:rsidRPr="009A35D6">
        <w:rPr>
          <w:sz w:val="24"/>
          <w:szCs w:val="24"/>
        </w:rPr>
        <w:t xml:space="preserve"> malignt gliom, 4 blev der rapporteret fire tilfælde (ét fatalt) af blødning i </w:t>
      </w:r>
      <w:r w:rsidRPr="009A35D6">
        <w:rPr>
          <w:sz w:val="24"/>
          <w:szCs w:val="24"/>
        </w:rPr>
        <w:lastRenderedPageBreak/>
        <w:t xml:space="preserve">centralnervesystemet (CNS) ud af 45 indrullerede patienter. Yderligere et tilfælde af blødning i centralnervesystemet er rapporteret hos et barn med et </w:t>
      </w:r>
      <w:proofErr w:type="spellStart"/>
      <w:r w:rsidRPr="009A35D6">
        <w:rPr>
          <w:sz w:val="24"/>
          <w:szCs w:val="24"/>
        </w:rPr>
        <w:t>ependymom</w:t>
      </w:r>
      <w:proofErr w:type="spellEnd"/>
      <w:r w:rsidRPr="009A35D6">
        <w:rPr>
          <w:sz w:val="24"/>
          <w:szCs w:val="24"/>
        </w:rPr>
        <w:t xml:space="preserve"> fra et forsøg med </w:t>
      </w:r>
      <w:proofErr w:type="spellStart"/>
      <w:r w:rsidRPr="009A35D6">
        <w:rPr>
          <w:sz w:val="24"/>
          <w:szCs w:val="24"/>
        </w:rPr>
        <w:t>gefitinib</w:t>
      </w:r>
      <w:proofErr w:type="spellEnd"/>
      <w:r w:rsidRPr="009A35D6">
        <w:rPr>
          <w:sz w:val="24"/>
          <w:szCs w:val="24"/>
        </w:rPr>
        <w:t xml:space="preserve"> alene. Der er ikke fastlagt nogen forøget risiko for cerebral blødning hos voksne patienter med NSCLC, som får </w:t>
      </w:r>
      <w:proofErr w:type="spellStart"/>
      <w:r w:rsidRPr="009A35D6">
        <w:rPr>
          <w:sz w:val="24"/>
          <w:szCs w:val="24"/>
        </w:rPr>
        <w:t>gefitinib</w:t>
      </w:r>
      <w:proofErr w:type="spellEnd"/>
      <w:r w:rsidRPr="009A35D6">
        <w:rPr>
          <w:sz w:val="24"/>
          <w:szCs w:val="24"/>
        </w:rPr>
        <w:t>.</w:t>
      </w:r>
    </w:p>
    <w:p w14:paraId="11026D6F" w14:textId="77777777" w:rsidR="009F4442" w:rsidRPr="009A35D6" w:rsidRDefault="009F4442" w:rsidP="009F4442">
      <w:pPr>
        <w:tabs>
          <w:tab w:val="left" w:pos="851"/>
        </w:tabs>
        <w:ind w:left="851" w:hanging="851"/>
        <w:rPr>
          <w:sz w:val="24"/>
          <w:szCs w:val="24"/>
        </w:rPr>
      </w:pPr>
    </w:p>
    <w:p w14:paraId="252D03EF" w14:textId="77777777" w:rsidR="009F4442" w:rsidRPr="009A35D6" w:rsidRDefault="009F4442" w:rsidP="009F4442">
      <w:pPr>
        <w:tabs>
          <w:tab w:val="left" w:pos="851"/>
        </w:tabs>
        <w:ind w:left="851" w:hanging="851"/>
        <w:rPr>
          <w:sz w:val="24"/>
          <w:szCs w:val="24"/>
        </w:rPr>
      </w:pPr>
      <w:r>
        <w:rPr>
          <w:sz w:val="24"/>
          <w:szCs w:val="24"/>
        </w:rPr>
        <w:tab/>
      </w:r>
      <w:proofErr w:type="spellStart"/>
      <w:r w:rsidRPr="009A35D6">
        <w:rPr>
          <w:sz w:val="24"/>
          <w:szCs w:val="24"/>
        </w:rPr>
        <w:t>Gastrointestinal</w:t>
      </w:r>
      <w:proofErr w:type="spellEnd"/>
      <w:r w:rsidRPr="009A35D6">
        <w:rPr>
          <w:sz w:val="24"/>
          <w:szCs w:val="24"/>
        </w:rPr>
        <w:t xml:space="preserve"> perforation er blevet rapporteret hos patienter, der tager </w:t>
      </w:r>
      <w:proofErr w:type="spellStart"/>
      <w:r w:rsidRPr="009A35D6">
        <w:rPr>
          <w:sz w:val="24"/>
          <w:szCs w:val="24"/>
        </w:rPr>
        <w:t>gefitinib</w:t>
      </w:r>
      <w:proofErr w:type="spellEnd"/>
      <w:r w:rsidRPr="009A35D6">
        <w:rPr>
          <w:sz w:val="24"/>
          <w:szCs w:val="24"/>
        </w:rPr>
        <w:t xml:space="preserve">. I de fleste tilfælde er det i forbindelse med andre kendte risikofaktorer, f.eks. samtidig behandling med andre medikamenter såsom steroider eller NSAID, anamnese med </w:t>
      </w:r>
      <w:proofErr w:type="spellStart"/>
      <w:r w:rsidRPr="009A35D6">
        <w:rPr>
          <w:sz w:val="24"/>
          <w:szCs w:val="24"/>
        </w:rPr>
        <w:t>gastrointestinal</w:t>
      </w:r>
      <w:proofErr w:type="spellEnd"/>
      <w:r w:rsidRPr="009A35D6">
        <w:rPr>
          <w:sz w:val="24"/>
          <w:szCs w:val="24"/>
        </w:rPr>
        <w:t xml:space="preserve"> </w:t>
      </w:r>
      <w:proofErr w:type="spellStart"/>
      <w:r w:rsidRPr="009A35D6">
        <w:rPr>
          <w:sz w:val="24"/>
          <w:szCs w:val="24"/>
        </w:rPr>
        <w:t>ulceration</w:t>
      </w:r>
      <w:proofErr w:type="spellEnd"/>
      <w:r w:rsidRPr="009A35D6">
        <w:rPr>
          <w:sz w:val="24"/>
          <w:szCs w:val="24"/>
        </w:rPr>
        <w:t>, alder, rygning, metastaser på perforationsstedet i tarmen.</w:t>
      </w:r>
    </w:p>
    <w:p w14:paraId="4AFC9BAD" w14:textId="77777777" w:rsidR="009F4442" w:rsidRPr="009A35D6" w:rsidRDefault="009F4442" w:rsidP="009F4442">
      <w:pPr>
        <w:tabs>
          <w:tab w:val="left" w:pos="851"/>
        </w:tabs>
        <w:ind w:left="851" w:hanging="851"/>
        <w:rPr>
          <w:sz w:val="24"/>
          <w:szCs w:val="24"/>
        </w:rPr>
      </w:pPr>
    </w:p>
    <w:p w14:paraId="57ED09FF" w14:textId="77777777" w:rsidR="009F4442" w:rsidRPr="009A35D6" w:rsidRDefault="009F4442" w:rsidP="009F4442">
      <w:pPr>
        <w:tabs>
          <w:tab w:val="left" w:pos="851"/>
        </w:tabs>
        <w:ind w:left="851" w:hanging="851"/>
        <w:rPr>
          <w:b/>
          <w:sz w:val="24"/>
          <w:szCs w:val="24"/>
        </w:rPr>
      </w:pPr>
      <w:r w:rsidRPr="009A35D6">
        <w:rPr>
          <w:b/>
          <w:sz w:val="24"/>
          <w:szCs w:val="24"/>
        </w:rPr>
        <w:t>4.5</w:t>
      </w:r>
      <w:r w:rsidRPr="009A35D6">
        <w:rPr>
          <w:b/>
          <w:sz w:val="24"/>
          <w:szCs w:val="24"/>
        </w:rPr>
        <w:tab/>
        <w:t>Interaktion med andre lægemidler og andre former for interaktion</w:t>
      </w:r>
    </w:p>
    <w:p w14:paraId="3BA566C9" w14:textId="77777777" w:rsidR="009F4442" w:rsidRPr="009A35D6" w:rsidRDefault="009F4442" w:rsidP="009F4442">
      <w:pPr>
        <w:tabs>
          <w:tab w:val="left" w:pos="0"/>
        </w:tabs>
        <w:ind w:left="851"/>
        <w:rPr>
          <w:sz w:val="24"/>
          <w:szCs w:val="24"/>
        </w:rPr>
      </w:pPr>
      <w:proofErr w:type="spellStart"/>
      <w:r w:rsidRPr="009A35D6">
        <w:rPr>
          <w:sz w:val="24"/>
          <w:szCs w:val="24"/>
        </w:rPr>
        <w:t>Metaboliseringen</w:t>
      </w:r>
      <w:proofErr w:type="spellEnd"/>
      <w:r w:rsidRPr="009A35D6">
        <w:rPr>
          <w:sz w:val="24"/>
          <w:szCs w:val="24"/>
        </w:rPr>
        <w:t xml:space="preserve"> af </w:t>
      </w:r>
      <w:proofErr w:type="spellStart"/>
      <w:r w:rsidRPr="009A35D6">
        <w:rPr>
          <w:sz w:val="24"/>
          <w:szCs w:val="24"/>
        </w:rPr>
        <w:t>gefitinib</w:t>
      </w:r>
      <w:proofErr w:type="spellEnd"/>
      <w:r w:rsidRPr="009A35D6">
        <w:rPr>
          <w:sz w:val="24"/>
          <w:szCs w:val="24"/>
        </w:rPr>
        <w:t xml:space="preserve"> sker via </w:t>
      </w:r>
      <w:proofErr w:type="spellStart"/>
      <w:r w:rsidRPr="009A35D6">
        <w:rPr>
          <w:sz w:val="24"/>
          <w:szCs w:val="24"/>
        </w:rPr>
        <w:t>cytokrom</w:t>
      </w:r>
      <w:proofErr w:type="spellEnd"/>
      <w:r w:rsidRPr="009A35D6">
        <w:rPr>
          <w:sz w:val="24"/>
          <w:szCs w:val="24"/>
        </w:rPr>
        <w:t xml:space="preserve"> P450-isoenzymerne CYP3A4 (overvejende) og CYP2D6. </w:t>
      </w:r>
    </w:p>
    <w:p w14:paraId="5364FD1E" w14:textId="77777777" w:rsidR="009F4442" w:rsidRPr="009A35D6" w:rsidRDefault="009F4442" w:rsidP="009F4442">
      <w:pPr>
        <w:tabs>
          <w:tab w:val="left" w:pos="851"/>
        </w:tabs>
        <w:ind w:left="851"/>
        <w:rPr>
          <w:sz w:val="24"/>
          <w:szCs w:val="24"/>
        </w:rPr>
      </w:pPr>
    </w:p>
    <w:p w14:paraId="644F4867" w14:textId="77777777" w:rsidR="009F4442" w:rsidRPr="009A35D6" w:rsidRDefault="009F4442" w:rsidP="009F4442">
      <w:pPr>
        <w:tabs>
          <w:tab w:val="left" w:pos="851"/>
        </w:tabs>
        <w:ind w:left="851"/>
        <w:rPr>
          <w:i/>
          <w:sz w:val="24"/>
          <w:szCs w:val="24"/>
        </w:rPr>
      </w:pPr>
      <w:r w:rsidRPr="009A35D6">
        <w:rPr>
          <w:i/>
          <w:sz w:val="24"/>
          <w:szCs w:val="24"/>
        </w:rPr>
        <w:t xml:space="preserve">Aktive substanser der kan øge </w:t>
      </w:r>
      <w:proofErr w:type="spellStart"/>
      <w:r w:rsidRPr="009A35D6">
        <w:rPr>
          <w:i/>
          <w:sz w:val="24"/>
          <w:szCs w:val="24"/>
        </w:rPr>
        <w:t>gefitinibs</w:t>
      </w:r>
      <w:proofErr w:type="spellEnd"/>
      <w:r w:rsidRPr="009A35D6">
        <w:rPr>
          <w:i/>
          <w:sz w:val="24"/>
          <w:szCs w:val="24"/>
        </w:rPr>
        <w:t xml:space="preserve"> plasmakoncentration</w:t>
      </w:r>
    </w:p>
    <w:p w14:paraId="509995D2" w14:textId="77777777" w:rsidR="009F4442" w:rsidRPr="009A35D6" w:rsidRDefault="009F4442" w:rsidP="009F4442">
      <w:pPr>
        <w:tabs>
          <w:tab w:val="left" w:pos="0"/>
        </w:tabs>
        <w:ind w:left="851"/>
        <w:rPr>
          <w:sz w:val="24"/>
          <w:szCs w:val="24"/>
        </w:rPr>
      </w:pPr>
      <w:r w:rsidRPr="009A35D6">
        <w:rPr>
          <w:i/>
          <w:sz w:val="24"/>
          <w:szCs w:val="24"/>
        </w:rPr>
        <w:t xml:space="preserve">In </w:t>
      </w:r>
      <w:proofErr w:type="spellStart"/>
      <w:r w:rsidRPr="009A35D6">
        <w:rPr>
          <w:i/>
          <w:sz w:val="24"/>
          <w:szCs w:val="24"/>
        </w:rPr>
        <w:t>vitro</w:t>
      </w:r>
      <w:proofErr w:type="spellEnd"/>
      <w:r w:rsidRPr="009A35D6">
        <w:rPr>
          <w:sz w:val="24"/>
          <w:szCs w:val="24"/>
        </w:rPr>
        <w:t xml:space="preserve">-studier har vist, at </w:t>
      </w:r>
      <w:proofErr w:type="spellStart"/>
      <w:r w:rsidRPr="009A35D6">
        <w:rPr>
          <w:sz w:val="24"/>
          <w:szCs w:val="24"/>
        </w:rPr>
        <w:t>gefitinib</w:t>
      </w:r>
      <w:proofErr w:type="spellEnd"/>
      <w:r w:rsidRPr="009A35D6">
        <w:rPr>
          <w:sz w:val="24"/>
          <w:szCs w:val="24"/>
        </w:rPr>
        <w:t xml:space="preserve"> er et substrat for p-</w:t>
      </w:r>
      <w:proofErr w:type="spellStart"/>
      <w:r w:rsidRPr="009A35D6">
        <w:rPr>
          <w:sz w:val="24"/>
          <w:szCs w:val="24"/>
        </w:rPr>
        <w:t>glycoprotein</w:t>
      </w:r>
      <w:proofErr w:type="spellEnd"/>
      <w:r w:rsidRPr="009A35D6">
        <w:rPr>
          <w:sz w:val="24"/>
          <w:szCs w:val="24"/>
        </w:rPr>
        <w:t xml:space="preserve"> (</w:t>
      </w:r>
      <w:proofErr w:type="spellStart"/>
      <w:r w:rsidRPr="009A35D6">
        <w:rPr>
          <w:sz w:val="24"/>
          <w:szCs w:val="24"/>
        </w:rPr>
        <w:t>Pgp</w:t>
      </w:r>
      <w:proofErr w:type="spellEnd"/>
      <w:r w:rsidRPr="009A35D6">
        <w:rPr>
          <w:sz w:val="24"/>
          <w:szCs w:val="24"/>
        </w:rPr>
        <w:t xml:space="preserve">). Ud fra tilgængelige data er der ikke tegn på, at disse </w:t>
      </w:r>
      <w:r w:rsidRPr="009A35D6">
        <w:rPr>
          <w:i/>
          <w:sz w:val="24"/>
          <w:szCs w:val="24"/>
        </w:rPr>
        <w:t xml:space="preserve">in </w:t>
      </w:r>
      <w:proofErr w:type="spellStart"/>
      <w:r w:rsidRPr="009A35D6">
        <w:rPr>
          <w:i/>
          <w:sz w:val="24"/>
          <w:szCs w:val="24"/>
        </w:rPr>
        <w:t>vitro</w:t>
      </w:r>
      <w:proofErr w:type="spellEnd"/>
      <w:r w:rsidRPr="009A35D6">
        <w:rPr>
          <w:sz w:val="24"/>
          <w:szCs w:val="24"/>
        </w:rPr>
        <w:t>-resultater har nogen kliniske konsekvenser.</w:t>
      </w:r>
    </w:p>
    <w:p w14:paraId="2F15838A" w14:textId="77777777" w:rsidR="009F4442" w:rsidRPr="009A35D6" w:rsidRDefault="009F4442" w:rsidP="009F4442">
      <w:pPr>
        <w:tabs>
          <w:tab w:val="left" w:pos="851"/>
        </w:tabs>
        <w:ind w:left="851"/>
        <w:rPr>
          <w:sz w:val="24"/>
          <w:szCs w:val="24"/>
        </w:rPr>
      </w:pPr>
    </w:p>
    <w:p w14:paraId="67640E56" w14:textId="77777777" w:rsidR="009F4442" w:rsidRPr="009A35D6" w:rsidRDefault="009F4442" w:rsidP="009F4442">
      <w:pPr>
        <w:tabs>
          <w:tab w:val="left" w:pos="0"/>
        </w:tabs>
        <w:ind w:left="851"/>
        <w:rPr>
          <w:sz w:val="24"/>
          <w:szCs w:val="24"/>
        </w:rPr>
      </w:pPr>
      <w:r w:rsidRPr="009A35D6">
        <w:rPr>
          <w:sz w:val="24"/>
          <w:szCs w:val="24"/>
        </w:rPr>
        <w:t xml:space="preserve">Substanser, der hæmmer CYP3A4, kan nedsætte </w:t>
      </w:r>
      <w:proofErr w:type="spellStart"/>
      <w:r w:rsidRPr="009A35D6">
        <w:rPr>
          <w:sz w:val="24"/>
          <w:szCs w:val="24"/>
        </w:rPr>
        <w:t>gefitinibs</w:t>
      </w:r>
      <w:proofErr w:type="spellEnd"/>
      <w:r w:rsidRPr="009A35D6">
        <w:rPr>
          <w:sz w:val="24"/>
          <w:szCs w:val="24"/>
        </w:rPr>
        <w:t xml:space="preserve"> </w:t>
      </w:r>
      <w:proofErr w:type="spellStart"/>
      <w:r w:rsidRPr="009A35D6">
        <w:rPr>
          <w:sz w:val="24"/>
          <w:szCs w:val="24"/>
        </w:rPr>
        <w:t>clearance</w:t>
      </w:r>
      <w:proofErr w:type="spellEnd"/>
      <w:r w:rsidRPr="009A35D6">
        <w:rPr>
          <w:sz w:val="24"/>
          <w:szCs w:val="24"/>
        </w:rPr>
        <w:t>. Samtidig administration af potente CYP3A4-hæmmere (</w:t>
      </w:r>
      <w:r>
        <w:rPr>
          <w:sz w:val="24"/>
          <w:szCs w:val="24"/>
        </w:rPr>
        <w:t>f.eks.</w:t>
      </w:r>
      <w:r w:rsidRPr="009A35D6">
        <w:rPr>
          <w:sz w:val="24"/>
          <w:szCs w:val="24"/>
        </w:rPr>
        <w:t xml:space="preserve"> </w:t>
      </w:r>
      <w:proofErr w:type="spellStart"/>
      <w:r w:rsidRPr="009A35D6">
        <w:rPr>
          <w:sz w:val="24"/>
          <w:szCs w:val="24"/>
        </w:rPr>
        <w:t>ketoconazol</w:t>
      </w:r>
      <w:proofErr w:type="spellEnd"/>
      <w:r w:rsidRPr="009A35D6">
        <w:rPr>
          <w:sz w:val="24"/>
          <w:szCs w:val="24"/>
        </w:rPr>
        <w:t xml:space="preserve">, </w:t>
      </w:r>
      <w:proofErr w:type="spellStart"/>
      <w:r w:rsidRPr="009A35D6">
        <w:rPr>
          <w:sz w:val="24"/>
          <w:szCs w:val="24"/>
        </w:rPr>
        <w:t>posaconazol</w:t>
      </w:r>
      <w:proofErr w:type="spellEnd"/>
      <w:r w:rsidRPr="009A35D6">
        <w:rPr>
          <w:sz w:val="24"/>
          <w:szCs w:val="24"/>
        </w:rPr>
        <w:t xml:space="preserve">, </w:t>
      </w:r>
      <w:proofErr w:type="spellStart"/>
      <w:r w:rsidRPr="009A35D6">
        <w:rPr>
          <w:sz w:val="24"/>
          <w:szCs w:val="24"/>
        </w:rPr>
        <w:t>voriconazol</w:t>
      </w:r>
      <w:proofErr w:type="spellEnd"/>
      <w:r w:rsidRPr="009A35D6">
        <w:rPr>
          <w:sz w:val="24"/>
          <w:szCs w:val="24"/>
        </w:rPr>
        <w:t xml:space="preserve">, </w:t>
      </w:r>
      <w:proofErr w:type="spellStart"/>
      <w:r w:rsidRPr="009A35D6">
        <w:rPr>
          <w:sz w:val="24"/>
          <w:szCs w:val="24"/>
        </w:rPr>
        <w:t>proteasehæmmere</w:t>
      </w:r>
      <w:proofErr w:type="spellEnd"/>
      <w:r w:rsidRPr="009A35D6">
        <w:rPr>
          <w:sz w:val="24"/>
          <w:szCs w:val="24"/>
        </w:rPr>
        <w:t xml:space="preserve">, </w:t>
      </w:r>
      <w:proofErr w:type="spellStart"/>
      <w:r w:rsidRPr="009A35D6">
        <w:rPr>
          <w:sz w:val="24"/>
          <w:szCs w:val="24"/>
        </w:rPr>
        <w:t>clarithromycin</w:t>
      </w:r>
      <w:proofErr w:type="spellEnd"/>
      <w:r w:rsidRPr="009A35D6">
        <w:rPr>
          <w:sz w:val="24"/>
          <w:szCs w:val="24"/>
        </w:rPr>
        <w:t xml:space="preserve">, </w:t>
      </w:r>
      <w:proofErr w:type="spellStart"/>
      <w:r w:rsidRPr="009A35D6">
        <w:rPr>
          <w:sz w:val="24"/>
          <w:szCs w:val="24"/>
        </w:rPr>
        <w:t>telithromycin</w:t>
      </w:r>
      <w:proofErr w:type="spellEnd"/>
      <w:r w:rsidRPr="009A35D6">
        <w:rPr>
          <w:sz w:val="24"/>
          <w:szCs w:val="24"/>
        </w:rPr>
        <w:t xml:space="preserve">) kan forøge </w:t>
      </w:r>
      <w:proofErr w:type="spellStart"/>
      <w:r w:rsidRPr="009A35D6">
        <w:rPr>
          <w:sz w:val="24"/>
          <w:szCs w:val="24"/>
        </w:rPr>
        <w:t>gefitinibs</w:t>
      </w:r>
      <w:proofErr w:type="spellEnd"/>
      <w:r w:rsidRPr="009A35D6">
        <w:rPr>
          <w:sz w:val="24"/>
          <w:szCs w:val="24"/>
        </w:rPr>
        <w:t xml:space="preserve"> plasmakoncentration. Forøgelsen kan være klinisk relevant, idet bivirkninger er relaterede til dosis og eksponering. Forøgelsen kan være højere hos individuelle patienter med ringe metabolisme via CYP2D6. Behandling med </w:t>
      </w:r>
      <w:proofErr w:type="spellStart"/>
      <w:r w:rsidRPr="009A35D6">
        <w:rPr>
          <w:sz w:val="24"/>
          <w:szCs w:val="24"/>
        </w:rPr>
        <w:t>itraconazol</w:t>
      </w:r>
      <w:proofErr w:type="spellEnd"/>
      <w:r w:rsidRPr="009A35D6">
        <w:rPr>
          <w:sz w:val="24"/>
          <w:szCs w:val="24"/>
        </w:rPr>
        <w:t xml:space="preserve"> (en potent CYP3A4-hæmmer) forud for </w:t>
      </w:r>
      <w:proofErr w:type="spellStart"/>
      <w:r w:rsidRPr="009A35D6">
        <w:rPr>
          <w:sz w:val="24"/>
          <w:szCs w:val="24"/>
        </w:rPr>
        <w:t>gefitinib</w:t>
      </w:r>
      <w:proofErr w:type="spellEnd"/>
      <w:r w:rsidRPr="009A35D6">
        <w:rPr>
          <w:sz w:val="24"/>
          <w:szCs w:val="24"/>
        </w:rPr>
        <w:t xml:space="preserve"> resulterede i en gennemsnitlig AUC-forøgelse på 80 % hos raske frivillige. I situationer med samtidig behandling med en potent CYP3A4-hæmmer skal patienten monitoreres tæt for bivirkninger forårsaget af </w:t>
      </w:r>
      <w:proofErr w:type="spellStart"/>
      <w:r w:rsidRPr="009A35D6">
        <w:rPr>
          <w:sz w:val="24"/>
          <w:szCs w:val="24"/>
        </w:rPr>
        <w:t>gefitinib</w:t>
      </w:r>
      <w:proofErr w:type="spellEnd"/>
      <w:r w:rsidRPr="009A35D6">
        <w:rPr>
          <w:sz w:val="24"/>
          <w:szCs w:val="24"/>
        </w:rPr>
        <w:t>.</w:t>
      </w:r>
    </w:p>
    <w:p w14:paraId="0486E4D8" w14:textId="77777777" w:rsidR="009F4442" w:rsidRPr="009A35D6" w:rsidRDefault="009F4442" w:rsidP="009F4442">
      <w:pPr>
        <w:tabs>
          <w:tab w:val="left" w:pos="851"/>
        </w:tabs>
        <w:ind w:left="851"/>
        <w:rPr>
          <w:sz w:val="24"/>
          <w:szCs w:val="24"/>
        </w:rPr>
      </w:pPr>
    </w:p>
    <w:p w14:paraId="4605DFA7" w14:textId="77777777" w:rsidR="009F4442" w:rsidRPr="009A35D6" w:rsidRDefault="009F4442" w:rsidP="009F4442">
      <w:pPr>
        <w:tabs>
          <w:tab w:val="left" w:pos="0"/>
        </w:tabs>
        <w:ind w:left="851"/>
        <w:rPr>
          <w:sz w:val="24"/>
          <w:szCs w:val="24"/>
        </w:rPr>
      </w:pPr>
      <w:r w:rsidRPr="009A35D6">
        <w:rPr>
          <w:sz w:val="24"/>
          <w:szCs w:val="24"/>
        </w:rPr>
        <w:t xml:space="preserve">Der findes ingen data for samtidig behandling med CYP2D6-hæmmere, men potente </w:t>
      </w:r>
      <w:proofErr w:type="spellStart"/>
      <w:r w:rsidRPr="009A35D6">
        <w:rPr>
          <w:sz w:val="24"/>
          <w:szCs w:val="24"/>
        </w:rPr>
        <w:t>hæmmere</w:t>
      </w:r>
      <w:proofErr w:type="spellEnd"/>
      <w:r w:rsidRPr="009A35D6">
        <w:rPr>
          <w:sz w:val="24"/>
          <w:szCs w:val="24"/>
        </w:rPr>
        <w:t xml:space="preserve"> af dette enzym kan forårsage en ca. dobbelt forøgelse af </w:t>
      </w:r>
      <w:proofErr w:type="spellStart"/>
      <w:r w:rsidRPr="009A35D6">
        <w:rPr>
          <w:sz w:val="24"/>
          <w:szCs w:val="24"/>
        </w:rPr>
        <w:t>gefitinibs</w:t>
      </w:r>
      <w:proofErr w:type="spellEnd"/>
      <w:r w:rsidRPr="009A35D6">
        <w:rPr>
          <w:sz w:val="24"/>
          <w:szCs w:val="24"/>
        </w:rPr>
        <w:t xml:space="preserve"> plasmakoncentration hos patienter med normal metabolisme via CYP2D6 (se pkt. 5.2). Patienterne skal monitoreres tæt for bivirkninger, hvis der påbegyndes en samtidig behandling med en potent CYP2D6-hæmmer.</w:t>
      </w:r>
    </w:p>
    <w:p w14:paraId="6A61D172" w14:textId="77777777" w:rsidR="009F4442" w:rsidRPr="009A35D6" w:rsidRDefault="009F4442" w:rsidP="009F4442">
      <w:pPr>
        <w:tabs>
          <w:tab w:val="left" w:pos="851"/>
        </w:tabs>
        <w:ind w:left="851"/>
        <w:rPr>
          <w:sz w:val="24"/>
          <w:szCs w:val="24"/>
        </w:rPr>
      </w:pPr>
    </w:p>
    <w:p w14:paraId="45AD0311" w14:textId="77777777" w:rsidR="009F4442" w:rsidRPr="009A35D6" w:rsidRDefault="009F4442" w:rsidP="009F4442">
      <w:pPr>
        <w:tabs>
          <w:tab w:val="left" w:pos="851"/>
        </w:tabs>
        <w:ind w:left="851"/>
        <w:rPr>
          <w:i/>
          <w:sz w:val="24"/>
          <w:szCs w:val="24"/>
        </w:rPr>
      </w:pPr>
      <w:r w:rsidRPr="009A35D6">
        <w:rPr>
          <w:i/>
          <w:sz w:val="24"/>
          <w:szCs w:val="24"/>
        </w:rPr>
        <w:t xml:space="preserve">Aktive substanser der kan reducere </w:t>
      </w:r>
      <w:proofErr w:type="spellStart"/>
      <w:r w:rsidRPr="009A35D6">
        <w:rPr>
          <w:i/>
          <w:sz w:val="24"/>
          <w:szCs w:val="24"/>
        </w:rPr>
        <w:t>gefitinibs</w:t>
      </w:r>
      <w:proofErr w:type="spellEnd"/>
      <w:r w:rsidRPr="009A35D6">
        <w:rPr>
          <w:i/>
          <w:sz w:val="24"/>
          <w:szCs w:val="24"/>
        </w:rPr>
        <w:t xml:space="preserve"> plasmakoncentration</w:t>
      </w:r>
    </w:p>
    <w:p w14:paraId="195B784C" w14:textId="77777777" w:rsidR="009F4442" w:rsidRPr="009A35D6" w:rsidRDefault="009F4442" w:rsidP="009F4442">
      <w:pPr>
        <w:tabs>
          <w:tab w:val="left" w:pos="0"/>
        </w:tabs>
        <w:ind w:left="851"/>
        <w:rPr>
          <w:sz w:val="24"/>
          <w:szCs w:val="24"/>
        </w:rPr>
      </w:pPr>
      <w:r w:rsidRPr="009A35D6">
        <w:rPr>
          <w:sz w:val="24"/>
          <w:szCs w:val="24"/>
        </w:rPr>
        <w:t xml:space="preserve">Substanser, der inducerer CYP3A4-aktivitet, kan forøge </w:t>
      </w:r>
      <w:proofErr w:type="spellStart"/>
      <w:r w:rsidRPr="009A35D6">
        <w:rPr>
          <w:sz w:val="24"/>
          <w:szCs w:val="24"/>
        </w:rPr>
        <w:t>metaboliseringen</w:t>
      </w:r>
      <w:proofErr w:type="spellEnd"/>
      <w:r w:rsidRPr="009A35D6">
        <w:rPr>
          <w:sz w:val="24"/>
          <w:szCs w:val="24"/>
        </w:rPr>
        <w:t xml:space="preserve"> og nedsætte </w:t>
      </w:r>
      <w:proofErr w:type="spellStart"/>
      <w:r w:rsidRPr="009A35D6">
        <w:rPr>
          <w:sz w:val="24"/>
          <w:szCs w:val="24"/>
        </w:rPr>
        <w:t>gefitinibs</w:t>
      </w:r>
      <w:proofErr w:type="spellEnd"/>
      <w:r w:rsidRPr="009A35D6">
        <w:rPr>
          <w:sz w:val="24"/>
          <w:szCs w:val="24"/>
        </w:rPr>
        <w:t xml:space="preserve"> plasmakoncentration og derved reducere </w:t>
      </w:r>
      <w:proofErr w:type="spellStart"/>
      <w:r w:rsidRPr="009A35D6">
        <w:rPr>
          <w:sz w:val="24"/>
          <w:szCs w:val="24"/>
        </w:rPr>
        <w:t>gefitinibs</w:t>
      </w:r>
      <w:proofErr w:type="spellEnd"/>
      <w:r w:rsidRPr="009A35D6">
        <w:rPr>
          <w:sz w:val="24"/>
          <w:szCs w:val="24"/>
        </w:rPr>
        <w:t xml:space="preserve"> effekt. Samtidig behandling med lægemidler, der inducerer CYP3A4 (</w:t>
      </w:r>
      <w:r>
        <w:rPr>
          <w:sz w:val="24"/>
          <w:szCs w:val="24"/>
        </w:rPr>
        <w:t>f.eks.</w:t>
      </w:r>
      <w:r w:rsidRPr="009A35D6">
        <w:rPr>
          <w:sz w:val="24"/>
          <w:szCs w:val="24"/>
        </w:rPr>
        <w:t xml:space="preserve"> </w:t>
      </w:r>
      <w:proofErr w:type="spellStart"/>
      <w:r w:rsidRPr="009A35D6">
        <w:rPr>
          <w:sz w:val="24"/>
          <w:szCs w:val="24"/>
        </w:rPr>
        <w:t>phenytoin</w:t>
      </w:r>
      <w:proofErr w:type="spellEnd"/>
      <w:r w:rsidRPr="009A35D6">
        <w:rPr>
          <w:sz w:val="24"/>
          <w:szCs w:val="24"/>
        </w:rPr>
        <w:t xml:space="preserve">, </w:t>
      </w:r>
      <w:proofErr w:type="spellStart"/>
      <w:r w:rsidRPr="009A35D6">
        <w:rPr>
          <w:sz w:val="24"/>
          <w:szCs w:val="24"/>
        </w:rPr>
        <w:t>carbamazepin</w:t>
      </w:r>
      <w:proofErr w:type="spellEnd"/>
      <w:r w:rsidRPr="009A35D6">
        <w:rPr>
          <w:sz w:val="24"/>
          <w:szCs w:val="24"/>
        </w:rPr>
        <w:t xml:space="preserve">, </w:t>
      </w:r>
      <w:proofErr w:type="spellStart"/>
      <w:r w:rsidRPr="009A35D6">
        <w:rPr>
          <w:sz w:val="24"/>
          <w:szCs w:val="24"/>
        </w:rPr>
        <w:t>rifampicin</w:t>
      </w:r>
      <w:proofErr w:type="spellEnd"/>
      <w:r w:rsidRPr="009A35D6">
        <w:rPr>
          <w:sz w:val="24"/>
          <w:szCs w:val="24"/>
        </w:rPr>
        <w:t>, barbiturater eller perikon/</w:t>
      </w:r>
      <w:proofErr w:type="spellStart"/>
      <w:r w:rsidRPr="009A35D6">
        <w:rPr>
          <w:sz w:val="24"/>
          <w:szCs w:val="24"/>
        </w:rPr>
        <w:t>hypericum</w:t>
      </w:r>
      <w:proofErr w:type="spellEnd"/>
      <w:r w:rsidRPr="009A35D6">
        <w:rPr>
          <w:sz w:val="24"/>
          <w:szCs w:val="24"/>
        </w:rPr>
        <w:t xml:space="preserve"> </w:t>
      </w:r>
      <w:proofErr w:type="spellStart"/>
      <w:r w:rsidRPr="009A35D6">
        <w:rPr>
          <w:sz w:val="24"/>
          <w:szCs w:val="24"/>
        </w:rPr>
        <w:t>perforatum</w:t>
      </w:r>
      <w:proofErr w:type="spellEnd"/>
      <w:r w:rsidRPr="009A35D6">
        <w:rPr>
          <w:sz w:val="24"/>
          <w:szCs w:val="24"/>
        </w:rPr>
        <w:t xml:space="preserve">), bør undgås. Behandling med </w:t>
      </w:r>
      <w:proofErr w:type="spellStart"/>
      <w:r w:rsidRPr="009A35D6">
        <w:rPr>
          <w:sz w:val="24"/>
          <w:szCs w:val="24"/>
        </w:rPr>
        <w:t>rifampicin</w:t>
      </w:r>
      <w:proofErr w:type="spellEnd"/>
      <w:r w:rsidRPr="009A35D6">
        <w:rPr>
          <w:sz w:val="24"/>
          <w:szCs w:val="24"/>
        </w:rPr>
        <w:t xml:space="preserve"> (en potent CYP3A4-inducer) forud for </w:t>
      </w:r>
      <w:proofErr w:type="spellStart"/>
      <w:r w:rsidRPr="009A35D6">
        <w:rPr>
          <w:sz w:val="24"/>
          <w:szCs w:val="24"/>
        </w:rPr>
        <w:t>gefitinib</w:t>
      </w:r>
      <w:proofErr w:type="spellEnd"/>
      <w:r w:rsidRPr="009A35D6">
        <w:rPr>
          <w:sz w:val="24"/>
          <w:szCs w:val="24"/>
        </w:rPr>
        <w:t xml:space="preserve"> reducerede den gennemsnitlige AUC for </w:t>
      </w:r>
      <w:proofErr w:type="spellStart"/>
      <w:r w:rsidRPr="009A35D6">
        <w:rPr>
          <w:sz w:val="24"/>
          <w:szCs w:val="24"/>
        </w:rPr>
        <w:t>gefitinib</w:t>
      </w:r>
      <w:proofErr w:type="spellEnd"/>
      <w:r w:rsidRPr="009A35D6">
        <w:rPr>
          <w:sz w:val="24"/>
          <w:szCs w:val="24"/>
        </w:rPr>
        <w:t xml:space="preserve"> med 83 % hos raske frivillige (se pkt. 4.4).</w:t>
      </w:r>
    </w:p>
    <w:p w14:paraId="6522BC45" w14:textId="77777777" w:rsidR="009F4442" w:rsidRPr="009A35D6" w:rsidRDefault="009F4442" w:rsidP="009F4442">
      <w:pPr>
        <w:tabs>
          <w:tab w:val="left" w:pos="851"/>
        </w:tabs>
        <w:ind w:left="851"/>
        <w:rPr>
          <w:sz w:val="24"/>
          <w:szCs w:val="24"/>
        </w:rPr>
      </w:pPr>
    </w:p>
    <w:p w14:paraId="009D99E8" w14:textId="77777777" w:rsidR="009F4442" w:rsidRPr="009A35D6" w:rsidRDefault="009F4442" w:rsidP="009F4442">
      <w:pPr>
        <w:tabs>
          <w:tab w:val="left" w:pos="0"/>
        </w:tabs>
        <w:ind w:left="851"/>
        <w:rPr>
          <w:sz w:val="24"/>
          <w:szCs w:val="24"/>
        </w:rPr>
      </w:pPr>
      <w:r w:rsidRPr="009A35D6">
        <w:rPr>
          <w:sz w:val="24"/>
          <w:szCs w:val="24"/>
        </w:rPr>
        <w:t xml:space="preserve">Substanser, der forårsager signifikant vedvarende forhøjet gastrisk pH kan reducere </w:t>
      </w:r>
      <w:proofErr w:type="spellStart"/>
      <w:r w:rsidRPr="009A35D6">
        <w:rPr>
          <w:sz w:val="24"/>
          <w:szCs w:val="24"/>
        </w:rPr>
        <w:t>gefitinibs</w:t>
      </w:r>
      <w:proofErr w:type="spellEnd"/>
      <w:r w:rsidRPr="009A35D6">
        <w:rPr>
          <w:sz w:val="24"/>
          <w:szCs w:val="24"/>
        </w:rPr>
        <w:t xml:space="preserve"> plasmakoncentration og derved reducere effekten af </w:t>
      </w:r>
      <w:proofErr w:type="spellStart"/>
      <w:r w:rsidRPr="009A35D6">
        <w:rPr>
          <w:sz w:val="24"/>
          <w:szCs w:val="24"/>
        </w:rPr>
        <w:t>gefitinib</w:t>
      </w:r>
      <w:proofErr w:type="spellEnd"/>
      <w:r w:rsidRPr="009A35D6">
        <w:rPr>
          <w:sz w:val="24"/>
          <w:szCs w:val="24"/>
        </w:rPr>
        <w:t xml:space="preserve">. Høje doser af korttidsvirkende </w:t>
      </w:r>
      <w:proofErr w:type="spellStart"/>
      <w:r w:rsidRPr="009A35D6">
        <w:rPr>
          <w:sz w:val="24"/>
          <w:szCs w:val="24"/>
        </w:rPr>
        <w:t>antacida</w:t>
      </w:r>
      <w:proofErr w:type="spellEnd"/>
      <w:r w:rsidRPr="009A35D6">
        <w:rPr>
          <w:sz w:val="24"/>
          <w:szCs w:val="24"/>
        </w:rPr>
        <w:t xml:space="preserve"> kan have den samme effekt, hvis de tages tidsmæssig tæt på administration af </w:t>
      </w:r>
      <w:proofErr w:type="spellStart"/>
      <w:r w:rsidRPr="009A35D6">
        <w:rPr>
          <w:sz w:val="24"/>
          <w:szCs w:val="24"/>
        </w:rPr>
        <w:t>gefitinib</w:t>
      </w:r>
      <w:proofErr w:type="spellEnd"/>
      <w:r w:rsidRPr="009A35D6">
        <w:rPr>
          <w:sz w:val="24"/>
          <w:szCs w:val="24"/>
        </w:rPr>
        <w:t xml:space="preserve">. Samtidig administration af </w:t>
      </w:r>
      <w:proofErr w:type="spellStart"/>
      <w:r w:rsidRPr="009A35D6">
        <w:rPr>
          <w:sz w:val="24"/>
          <w:szCs w:val="24"/>
        </w:rPr>
        <w:t>gefitinib</w:t>
      </w:r>
      <w:proofErr w:type="spellEnd"/>
      <w:r w:rsidRPr="009A35D6">
        <w:rPr>
          <w:sz w:val="24"/>
          <w:szCs w:val="24"/>
        </w:rPr>
        <w:t xml:space="preserve"> og </w:t>
      </w:r>
      <w:proofErr w:type="spellStart"/>
      <w:r w:rsidRPr="009A35D6">
        <w:rPr>
          <w:sz w:val="24"/>
          <w:szCs w:val="24"/>
        </w:rPr>
        <w:t>ranitidin</w:t>
      </w:r>
      <w:proofErr w:type="spellEnd"/>
      <w:r w:rsidRPr="009A35D6">
        <w:rPr>
          <w:sz w:val="24"/>
          <w:szCs w:val="24"/>
        </w:rPr>
        <w:t xml:space="preserve"> i en dosis, der forårsagede vedvarende forhøjet gastrisk pH ≥ 5, resulterede i en gennemsnitlig reducering af </w:t>
      </w:r>
      <w:proofErr w:type="spellStart"/>
      <w:r w:rsidRPr="009A35D6">
        <w:rPr>
          <w:sz w:val="24"/>
          <w:szCs w:val="24"/>
        </w:rPr>
        <w:t>gefitinibs</w:t>
      </w:r>
      <w:proofErr w:type="spellEnd"/>
      <w:r w:rsidRPr="009A35D6">
        <w:rPr>
          <w:sz w:val="24"/>
          <w:szCs w:val="24"/>
        </w:rPr>
        <w:t xml:space="preserve"> AUC på 47 % hos raske frivillige (se pkt. 4.4 og 5.2).</w:t>
      </w:r>
    </w:p>
    <w:p w14:paraId="39260FE8" w14:textId="77777777" w:rsidR="009F4442" w:rsidRDefault="009F4442" w:rsidP="009F4442">
      <w:pPr>
        <w:tabs>
          <w:tab w:val="left" w:pos="851"/>
        </w:tabs>
        <w:ind w:left="851"/>
        <w:rPr>
          <w:sz w:val="24"/>
          <w:szCs w:val="24"/>
        </w:rPr>
      </w:pPr>
    </w:p>
    <w:p w14:paraId="043CFAB9" w14:textId="77777777" w:rsidR="00A75BD5" w:rsidRPr="009A35D6" w:rsidRDefault="00A75BD5" w:rsidP="009F4442">
      <w:pPr>
        <w:tabs>
          <w:tab w:val="left" w:pos="851"/>
        </w:tabs>
        <w:ind w:left="851"/>
        <w:rPr>
          <w:sz w:val="24"/>
          <w:szCs w:val="24"/>
        </w:rPr>
      </w:pPr>
    </w:p>
    <w:p w14:paraId="326B3611" w14:textId="77777777" w:rsidR="009F4442" w:rsidRPr="009A35D6" w:rsidRDefault="009F4442" w:rsidP="009F4442">
      <w:pPr>
        <w:tabs>
          <w:tab w:val="left" w:pos="851"/>
        </w:tabs>
        <w:ind w:left="851"/>
        <w:rPr>
          <w:i/>
          <w:sz w:val="24"/>
          <w:szCs w:val="24"/>
        </w:rPr>
      </w:pPr>
      <w:r w:rsidRPr="009A35D6">
        <w:rPr>
          <w:i/>
          <w:sz w:val="24"/>
          <w:szCs w:val="24"/>
        </w:rPr>
        <w:lastRenderedPageBreak/>
        <w:t xml:space="preserve">Aktive substanser, hvis plasmakoncentration kan ændres </w:t>
      </w:r>
      <w:proofErr w:type="spellStart"/>
      <w:r w:rsidRPr="009A35D6">
        <w:rPr>
          <w:i/>
          <w:sz w:val="24"/>
          <w:szCs w:val="24"/>
        </w:rPr>
        <w:t>gefitinib</w:t>
      </w:r>
      <w:proofErr w:type="spellEnd"/>
    </w:p>
    <w:p w14:paraId="5606001E" w14:textId="77777777" w:rsidR="009F4442" w:rsidRPr="009A35D6" w:rsidRDefault="009F4442" w:rsidP="009F4442">
      <w:pPr>
        <w:tabs>
          <w:tab w:val="left" w:pos="851"/>
        </w:tabs>
        <w:ind w:left="851"/>
        <w:rPr>
          <w:sz w:val="24"/>
          <w:szCs w:val="24"/>
        </w:rPr>
      </w:pPr>
      <w:r w:rsidRPr="009A35D6">
        <w:rPr>
          <w:i/>
          <w:sz w:val="24"/>
          <w:szCs w:val="24"/>
        </w:rPr>
        <w:t xml:space="preserve">In </w:t>
      </w:r>
      <w:proofErr w:type="spellStart"/>
      <w:r w:rsidRPr="009A35D6">
        <w:rPr>
          <w:i/>
          <w:sz w:val="24"/>
          <w:szCs w:val="24"/>
        </w:rPr>
        <w:t>vitro</w:t>
      </w:r>
      <w:proofErr w:type="spellEnd"/>
      <w:r w:rsidRPr="009A35D6">
        <w:rPr>
          <w:sz w:val="24"/>
          <w:szCs w:val="24"/>
        </w:rPr>
        <w:t xml:space="preserve">-studier har vist, at </w:t>
      </w:r>
      <w:proofErr w:type="spellStart"/>
      <w:r w:rsidRPr="009A35D6">
        <w:rPr>
          <w:sz w:val="24"/>
          <w:szCs w:val="24"/>
        </w:rPr>
        <w:t>gefitinib</w:t>
      </w:r>
      <w:proofErr w:type="spellEnd"/>
      <w:r w:rsidRPr="009A35D6">
        <w:rPr>
          <w:sz w:val="24"/>
          <w:szCs w:val="24"/>
        </w:rPr>
        <w:t xml:space="preserve"> potentielt hæmmer CYP2D6 i et begrænset omfang. I et klinisk forsøg hos patienter blev </w:t>
      </w:r>
      <w:proofErr w:type="spellStart"/>
      <w:r w:rsidRPr="009A35D6">
        <w:rPr>
          <w:sz w:val="24"/>
          <w:szCs w:val="24"/>
        </w:rPr>
        <w:t>gefitinib</w:t>
      </w:r>
      <w:proofErr w:type="spellEnd"/>
      <w:r w:rsidRPr="009A35D6">
        <w:rPr>
          <w:sz w:val="24"/>
          <w:szCs w:val="24"/>
        </w:rPr>
        <w:t xml:space="preserve"> givet sammen med </w:t>
      </w:r>
      <w:proofErr w:type="spellStart"/>
      <w:r w:rsidRPr="009A35D6">
        <w:rPr>
          <w:sz w:val="24"/>
          <w:szCs w:val="24"/>
        </w:rPr>
        <w:t>metoprolol</w:t>
      </w:r>
      <w:proofErr w:type="spellEnd"/>
      <w:r w:rsidRPr="009A35D6">
        <w:rPr>
          <w:sz w:val="24"/>
          <w:szCs w:val="24"/>
        </w:rPr>
        <w:t xml:space="preserve"> (et CYP2D6-substrat). Dette resulterede i en 35 % forøget </w:t>
      </w:r>
      <w:proofErr w:type="spellStart"/>
      <w:r w:rsidRPr="009A35D6">
        <w:rPr>
          <w:sz w:val="24"/>
          <w:szCs w:val="24"/>
        </w:rPr>
        <w:t>metoprolol</w:t>
      </w:r>
      <w:proofErr w:type="spellEnd"/>
      <w:r w:rsidRPr="009A35D6">
        <w:rPr>
          <w:sz w:val="24"/>
          <w:szCs w:val="24"/>
        </w:rPr>
        <w:t xml:space="preserve">-eksponering. En sådan forøgelse kan potentielt være relevant for CYP2D6-substrater med et snævert terapeutisk vindue. Når brug af CYP2D6-substrater overvejes samtidig med </w:t>
      </w:r>
      <w:proofErr w:type="spellStart"/>
      <w:r w:rsidRPr="009A35D6">
        <w:rPr>
          <w:sz w:val="24"/>
          <w:szCs w:val="24"/>
        </w:rPr>
        <w:t>gefitinib</w:t>
      </w:r>
      <w:proofErr w:type="spellEnd"/>
      <w:r w:rsidRPr="009A35D6">
        <w:rPr>
          <w:sz w:val="24"/>
          <w:szCs w:val="24"/>
        </w:rPr>
        <w:t>, bør det overvejes at ændre dosis af CYP2D6-substratet, specielt for præparater med et snævert terapeutisk vindue.</w:t>
      </w:r>
    </w:p>
    <w:p w14:paraId="3F3F65DA" w14:textId="77777777" w:rsidR="009F4442" w:rsidRPr="009A35D6" w:rsidRDefault="009F4442" w:rsidP="009F4442">
      <w:pPr>
        <w:tabs>
          <w:tab w:val="left" w:pos="851"/>
        </w:tabs>
        <w:ind w:left="851"/>
        <w:rPr>
          <w:sz w:val="24"/>
          <w:szCs w:val="24"/>
        </w:rPr>
      </w:pPr>
    </w:p>
    <w:p w14:paraId="7E3325B2" w14:textId="77777777" w:rsidR="009F4442" w:rsidRPr="009A35D6" w:rsidRDefault="009F4442" w:rsidP="009F4442">
      <w:pPr>
        <w:tabs>
          <w:tab w:val="left" w:pos="851"/>
        </w:tabs>
        <w:ind w:left="851"/>
        <w:rPr>
          <w:sz w:val="24"/>
          <w:szCs w:val="24"/>
        </w:rPr>
      </w:pPr>
      <w:proofErr w:type="spellStart"/>
      <w:r w:rsidRPr="009A35D6">
        <w:rPr>
          <w:sz w:val="24"/>
          <w:szCs w:val="24"/>
        </w:rPr>
        <w:t>Gefitinib</w:t>
      </w:r>
      <w:proofErr w:type="spellEnd"/>
      <w:r w:rsidRPr="009A35D6">
        <w:rPr>
          <w:sz w:val="24"/>
          <w:szCs w:val="24"/>
        </w:rPr>
        <w:t xml:space="preserve"> hæmmer transportproteinet BCRP </w:t>
      </w:r>
      <w:r w:rsidRPr="009A35D6">
        <w:rPr>
          <w:i/>
          <w:sz w:val="24"/>
          <w:szCs w:val="24"/>
        </w:rPr>
        <w:t xml:space="preserve">in </w:t>
      </w:r>
      <w:proofErr w:type="spellStart"/>
      <w:r w:rsidRPr="009A35D6">
        <w:rPr>
          <w:i/>
          <w:sz w:val="24"/>
          <w:szCs w:val="24"/>
        </w:rPr>
        <w:t>vitro</w:t>
      </w:r>
      <w:proofErr w:type="spellEnd"/>
      <w:r w:rsidRPr="009A35D6">
        <w:rPr>
          <w:sz w:val="24"/>
          <w:szCs w:val="24"/>
        </w:rPr>
        <w:t xml:space="preserve">, men den kliniske relevans heraf er ukendt. </w:t>
      </w:r>
    </w:p>
    <w:p w14:paraId="0B3A2523" w14:textId="77777777" w:rsidR="009F4442" w:rsidRPr="009A35D6" w:rsidRDefault="009F4442" w:rsidP="009F4442">
      <w:pPr>
        <w:tabs>
          <w:tab w:val="left" w:pos="851"/>
        </w:tabs>
        <w:ind w:left="851"/>
        <w:rPr>
          <w:sz w:val="24"/>
          <w:szCs w:val="24"/>
        </w:rPr>
      </w:pPr>
    </w:p>
    <w:p w14:paraId="50AF72C6" w14:textId="77777777" w:rsidR="009F4442" w:rsidRPr="009A35D6" w:rsidRDefault="009F4442" w:rsidP="009F4442">
      <w:pPr>
        <w:tabs>
          <w:tab w:val="left" w:pos="851"/>
        </w:tabs>
        <w:ind w:left="851"/>
        <w:rPr>
          <w:i/>
          <w:sz w:val="24"/>
          <w:szCs w:val="24"/>
        </w:rPr>
      </w:pPr>
      <w:r w:rsidRPr="009A35D6">
        <w:rPr>
          <w:i/>
          <w:sz w:val="24"/>
          <w:szCs w:val="24"/>
        </w:rPr>
        <w:t>Andre potentielle interaktioner</w:t>
      </w:r>
    </w:p>
    <w:p w14:paraId="75D30592" w14:textId="77777777" w:rsidR="009F4442" w:rsidRPr="009A35D6" w:rsidRDefault="009F4442" w:rsidP="009F4442">
      <w:pPr>
        <w:tabs>
          <w:tab w:val="left" w:pos="851"/>
        </w:tabs>
        <w:ind w:left="851"/>
        <w:rPr>
          <w:sz w:val="24"/>
          <w:szCs w:val="24"/>
        </w:rPr>
      </w:pPr>
      <w:r w:rsidRPr="009A35D6">
        <w:rPr>
          <w:sz w:val="24"/>
          <w:szCs w:val="24"/>
        </w:rPr>
        <w:t xml:space="preserve">Der er rapporteret INR-forøgelse og/eller blødningstilfælde hos nogle patienter, som tager </w:t>
      </w:r>
      <w:proofErr w:type="spellStart"/>
      <w:r w:rsidRPr="009A35D6">
        <w:rPr>
          <w:sz w:val="24"/>
          <w:szCs w:val="24"/>
        </w:rPr>
        <w:t>warfarin</w:t>
      </w:r>
      <w:proofErr w:type="spellEnd"/>
      <w:r w:rsidRPr="009A35D6">
        <w:rPr>
          <w:sz w:val="24"/>
          <w:szCs w:val="24"/>
        </w:rPr>
        <w:t xml:space="preserve"> samtidig (se pkt. 4.4).</w:t>
      </w:r>
    </w:p>
    <w:p w14:paraId="3B89A49B" w14:textId="77777777" w:rsidR="009F4442" w:rsidRPr="009A35D6" w:rsidRDefault="009F4442" w:rsidP="009F4442">
      <w:pPr>
        <w:tabs>
          <w:tab w:val="left" w:pos="851"/>
        </w:tabs>
        <w:ind w:left="851" w:hanging="851"/>
        <w:rPr>
          <w:sz w:val="24"/>
          <w:szCs w:val="24"/>
        </w:rPr>
      </w:pPr>
    </w:p>
    <w:p w14:paraId="2A7C9DCF" w14:textId="77777777" w:rsidR="009F4442" w:rsidRPr="009A35D6" w:rsidRDefault="009F4442" w:rsidP="009F4442">
      <w:pPr>
        <w:tabs>
          <w:tab w:val="left" w:pos="851"/>
        </w:tabs>
        <w:ind w:left="851" w:hanging="851"/>
        <w:rPr>
          <w:b/>
          <w:sz w:val="24"/>
          <w:szCs w:val="24"/>
        </w:rPr>
      </w:pPr>
      <w:r w:rsidRPr="009A35D6">
        <w:rPr>
          <w:b/>
          <w:sz w:val="24"/>
          <w:szCs w:val="24"/>
        </w:rPr>
        <w:t>4.6</w:t>
      </w:r>
      <w:r w:rsidRPr="009A35D6">
        <w:rPr>
          <w:b/>
          <w:sz w:val="24"/>
          <w:szCs w:val="24"/>
        </w:rPr>
        <w:tab/>
      </w:r>
      <w:r w:rsidR="00A75BD5">
        <w:rPr>
          <w:b/>
          <w:sz w:val="24"/>
          <w:szCs w:val="24"/>
        </w:rPr>
        <w:t>Fertilitet, g</w:t>
      </w:r>
      <w:r w:rsidRPr="009A35D6">
        <w:rPr>
          <w:b/>
          <w:sz w:val="24"/>
          <w:szCs w:val="24"/>
        </w:rPr>
        <w:t>raviditet og amning</w:t>
      </w:r>
    </w:p>
    <w:p w14:paraId="09BEDD54" w14:textId="77777777" w:rsidR="009F4442" w:rsidRDefault="009F4442" w:rsidP="009F4442">
      <w:pPr>
        <w:ind w:left="851" w:hanging="851"/>
        <w:rPr>
          <w:sz w:val="24"/>
          <w:szCs w:val="24"/>
          <w:u w:val="single"/>
        </w:rPr>
      </w:pPr>
    </w:p>
    <w:p w14:paraId="7A3D8BCC" w14:textId="77777777" w:rsidR="009F4442" w:rsidRPr="009A35D6" w:rsidRDefault="009F4442" w:rsidP="009F4442">
      <w:pPr>
        <w:ind w:left="851"/>
        <w:rPr>
          <w:sz w:val="24"/>
          <w:szCs w:val="24"/>
          <w:u w:val="single"/>
        </w:rPr>
      </w:pPr>
      <w:r w:rsidRPr="009A35D6">
        <w:rPr>
          <w:sz w:val="24"/>
          <w:szCs w:val="24"/>
          <w:u w:val="single"/>
        </w:rPr>
        <w:t>Fertilitet</w:t>
      </w:r>
    </w:p>
    <w:p w14:paraId="2628F85D" w14:textId="77777777" w:rsidR="009F4442" w:rsidRPr="009A35D6" w:rsidRDefault="009F4442" w:rsidP="009F4442">
      <w:pPr>
        <w:ind w:left="851"/>
        <w:rPr>
          <w:sz w:val="24"/>
          <w:szCs w:val="24"/>
        </w:rPr>
      </w:pPr>
      <w:r w:rsidRPr="009A35D6">
        <w:rPr>
          <w:sz w:val="24"/>
          <w:szCs w:val="24"/>
        </w:rPr>
        <w:t>Kvinder i den fertile alder skal tilrådes ikke at blive gravide under behandlingen.</w:t>
      </w:r>
    </w:p>
    <w:p w14:paraId="0CCCC6F4" w14:textId="77777777" w:rsidR="009F4442" w:rsidRPr="009A35D6" w:rsidRDefault="009F4442" w:rsidP="009F4442">
      <w:pPr>
        <w:ind w:left="851"/>
        <w:rPr>
          <w:sz w:val="24"/>
          <w:szCs w:val="24"/>
        </w:rPr>
      </w:pPr>
    </w:p>
    <w:p w14:paraId="26F936D7" w14:textId="77777777" w:rsidR="009F4442" w:rsidRPr="009A35D6" w:rsidRDefault="009F4442" w:rsidP="009F4442">
      <w:pPr>
        <w:ind w:left="851"/>
        <w:rPr>
          <w:sz w:val="24"/>
          <w:szCs w:val="24"/>
          <w:u w:val="single"/>
        </w:rPr>
      </w:pPr>
      <w:r w:rsidRPr="009A35D6">
        <w:rPr>
          <w:sz w:val="24"/>
          <w:szCs w:val="24"/>
          <w:u w:val="single"/>
        </w:rPr>
        <w:t>Graviditet</w:t>
      </w:r>
    </w:p>
    <w:p w14:paraId="41B9926C" w14:textId="77777777" w:rsidR="009F4442" w:rsidRPr="009A35D6" w:rsidRDefault="009F4442" w:rsidP="009F4442">
      <w:pPr>
        <w:ind w:left="851"/>
        <w:rPr>
          <w:sz w:val="24"/>
          <w:szCs w:val="24"/>
        </w:rPr>
      </w:pPr>
      <w:r w:rsidRPr="009A35D6">
        <w:rPr>
          <w:sz w:val="24"/>
          <w:szCs w:val="24"/>
        </w:rPr>
        <w:t xml:space="preserve">Der er ingen data for anvendelse af </w:t>
      </w:r>
      <w:proofErr w:type="spellStart"/>
      <w:r w:rsidRPr="009A35D6">
        <w:rPr>
          <w:sz w:val="24"/>
          <w:szCs w:val="24"/>
        </w:rPr>
        <w:t>gefitinib</w:t>
      </w:r>
      <w:proofErr w:type="spellEnd"/>
      <w:r w:rsidRPr="009A35D6">
        <w:rPr>
          <w:sz w:val="24"/>
          <w:szCs w:val="24"/>
        </w:rPr>
        <w:t xml:space="preserve"> hos gravide kvinder. Forsøg i dyr har vist reproduktionstoksicitet (se pkt. 5.3). Den potentielle risiko hos mennesker er ikke kendt. </w:t>
      </w:r>
      <w:proofErr w:type="spellStart"/>
      <w:r>
        <w:rPr>
          <w:sz w:val="24"/>
          <w:szCs w:val="24"/>
        </w:rPr>
        <w:t>Gefitinib</w:t>
      </w:r>
      <w:proofErr w:type="spellEnd"/>
      <w:r>
        <w:rPr>
          <w:sz w:val="24"/>
          <w:szCs w:val="24"/>
        </w:rPr>
        <w:t xml:space="preserve"> "</w:t>
      </w:r>
      <w:proofErr w:type="spellStart"/>
      <w:r>
        <w:rPr>
          <w:sz w:val="24"/>
          <w:szCs w:val="24"/>
        </w:rPr>
        <w:t>Stada</w:t>
      </w:r>
      <w:proofErr w:type="spellEnd"/>
      <w:r>
        <w:rPr>
          <w:sz w:val="24"/>
          <w:szCs w:val="24"/>
        </w:rPr>
        <w:t>"</w:t>
      </w:r>
      <w:r w:rsidRPr="009A35D6">
        <w:rPr>
          <w:sz w:val="24"/>
          <w:szCs w:val="24"/>
        </w:rPr>
        <w:t xml:space="preserve"> må derfor ikke anvendes under graviditet, medmindre det er strengt nødvendigt.</w:t>
      </w:r>
    </w:p>
    <w:p w14:paraId="07331B8B" w14:textId="77777777" w:rsidR="009F4442" w:rsidRPr="009A35D6" w:rsidRDefault="009F4442" w:rsidP="009F4442">
      <w:pPr>
        <w:ind w:left="851"/>
        <w:rPr>
          <w:sz w:val="24"/>
          <w:szCs w:val="24"/>
        </w:rPr>
      </w:pPr>
    </w:p>
    <w:p w14:paraId="4EB462F6" w14:textId="77777777" w:rsidR="009F4442" w:rsidRPr="009A35D6" w:rsidRDefault="009F4442" w:rsidP="009F4442">
      <w:pPr>
        <w:ind w:left="851"/>
        <w:rPr>
          <w:sz w:val="24"/>
          <w:szCs w:val="24"/>
          <w:u w:val="single"/>
        </w:rPr>
      </w:pPr>
      <w:r w:rsidRPr="009A35D6">
        <w:rPr>
          <w:sz w:val="24"/>
          <w:szCs w:val="24"/>
          <w:u w:val="single"/>
        </w:rPr>
        <w:t>Amning</w:t>
      </w:r>
    </w:p>
    <w:p w14:paraId="79454B6F" w14:textId="77777777" w:rsidR="009F4442" w:rsidRPr="009A35D6" w:rsidRDefault="009F4442" w:rsidP="009F4442">
      <w:pPr>
        <w:ind w:left="851"/>
        <w:rPr>
          <w:sz w:val="24"/>
          <w:szCs w:val="24"/>
        </w:rPr>
      </w:pPr>
      <w:r w:rsidRPr="009A35D6">
        <w:rPr>
          <w:sz w:val="24"/>
          <w:szCs w:val="24"/>
        </w:rPr>
        <w:t xml:space="preserve">Det vides ikke, om </w:t>
      </w:r>
      <w:proofErr w:type="spellStart"/>
      <w:r w:rsidRPr="009A35D6">
        <w:rPr>
          <w:sz w:val="24"/>
          <w:szCs w:val="24"/>
        </w:rPr>
        <w:t>gefitinib</w:t>
      </w:r>
      <w:proofErr w:type="spellEnd"/>
      <w:r w:rsidRPr="009A35D6">
        <w:rPr>
          <w:sz w:val="24"/>
          <w:szCs w:val="24"/>
        </w:rPr>
        <w:t xml:space="preserve"> udskilles i modermælk. </w:t>
      </w:r>
      <w:proofErr w:type="spellStart"/>
      <w:r w:rsidRPr="009A35D6">
        <w:rPr>
          <w:sz w:val="24"/>
          <w:szCs w:val="24"/>
        </w:rPr>
        <w:t>Gefitinib</w:t>
      </w:r>
      <w:proofErr w:type="spellEnd"/>
      <w:r w:rsidRPr="009A35D6">
        <w:rPr>
          <w:sz w:val="24"/>
          <w:szCs w:val="24"/>
        </w:rPr>
        <w:t xml:space="preserve"> og metabolitter heraf akkumuleres i mælken hos diende rotter (se pkt. 5.3). </w:t>
      </w:r>
      <w:proofErr w:type="spellStart"/>
      <w:r w:rsidRPr="009A35D6">
        <w:rPr>
          <w:sz w:val="24"/>
          <w:szCs w:val="24"/>
        </w:rPr>
        <w:t>Gefitinib</w:t>
      </w:r>
      <w:proofErr w:type="spellEnd"/>
      <w:r w:rsidRPr="009A35D6">
        <w:rPr>
          <w:sz w:val="24"/>
          <w:szCs w:val="24"/>
        </w:rPr>
        <w:t xml:space="preserve"> er kontraindiceret under </w:t>
      </w:r>
      <w:proofErr w:type="spellStart"/>
      <w:r w:rsidRPr="009A35D6">
        <w:rPr>
          <w:sz w:val="24"/>
          <w:szCs w:val="24"/>
        </w:rPr>
        <w:t>ammeperioden</w:t>
      </w:r>
      <w:proofErr w:type="spellEnd"/>
      <w:r w:rsidRPr="009A35D6">
        <w:rPr>
          <w:sz w:val="24"/>
          <w:szCs w:val="24"/>
        </w:rPr>
        <w:t xml:space="preserve">, og derfor skal amning ophøre under </w:t>
      </w:r>
      <w:proofErr w:type="spellStart"/>
      <w:r w:rsidRPr="009A35D6">
        <w:rPr>
          <w:sz w:val="24"/>
          <w:szCs w:val="24"/>
        </w:rPr>
        <w:t>gefitinib</w:t>
      </w:r>
      <w:proofErr w:type="spellEnd"/>
      <w:r w:rsidRPr="009A35D6">
        <w:rPr>
          <w:sz w:val="24"/>
          <w:szCs w:val="24"/>
        </w:rPr>
        <w:t>-behandling (se pkt. 4.3).</w:t>
      </w:r>
    </w:p>
    <w:p w14:paraId="726BD9E2" w14:textId="77777777" w:rsidR="009F4442" w:rsidRPr="009A35D6" w:rsidRDefault="009F4442" w:rsidP="009F4442">
      <w:pPr>
        <w:tabs>
          <w:tab w:val="left" w:pos="851"/>
        </w:tabs>
        <w:ind w:left="851" w:hanging="851"/>
        <w:rPr>
          <w:sz w:val="24"/>
          <w:szCs w:val="24"/>
        </w:rPr>
      </w:pPr>
    </w:p>
    <w:p w14:paraId="2E9296FB" w14:textId="77777777" w:rsidR="009F4442" w:rsidRPr="009A35D6" w:rsidRDefault="009F4442" w:rsidP="009F4442">
      <w:pPr>
        <w:tabs>
          <w:tab w:val="left" w:pos="851"/>
        </w:tabs>
        <w:ind w:left="851" w:hanging="851"/>
        <w:rPr>
          <w:b/>
          <w:sz w:val="24"/>
          <w:szCs w:val="24"/>
        </w:rPr>
      </w:pPr>
      <w:r w:rsidRPr="009A35D6">
        <w:rPr>
          <w:b/>
          <w:sz w:val="24"/>
          <w:szCs w:val="24"/>
        </w:rPr>
        <w:t>4.7</w:t>
      </w:r>
      <w:r w:rsidRPr="009A35D6">
        <w:rPr>
          <w:b/>
          <w:sz w:val="24"/>
          <w:szCs w:val="24"/>
        </w:rPr>
        <w:tab/>
        <w:t xml:space="preserve">Virkning på evnen til at føre motorkøretøj </w:t>
      </w:r>
      <w:r w:rsidR="00A75BD5">
        <w:rPr>
          <w:b/>
          <w:sz w:val="24"/>
          <w:szCs w:val="24"/>
        </w:rPr>
        <w:t>og</w:t>
      </w:r>
      <w:r w:rsidRPr="009A35D6">
        <w:rPr>
          <w:b/>
          <w:sz w:val="24"/>
          <w:szCs w:val="24"/>
        </w:rPr>
        <w:t xml:space="preserve"> betjene maskiner</w:t>
      </w:r>
    </w:p>
    <w:p w14:paraId="48B6F9F8" w14:textId="77777777" w:rsidR="009F4442" w:rsidRDefault="009F4442" w:rsidP="009F4442">
      <w:pPr>
        <w:tabs>
          <w:tab w:val="left" w:pos="851"/>
        </w:tabs>
        <w:ind w:left="851" w:hanging="851"/>
        <w:rPr>
          <w:sz w:val="24"/>
          <w:szCs w:val="24"/>
        </w:rPr>
      </w:pPr>
      <w:r>
        <w:rPr>
          <w:sz w:val="24"/>
          <w:szCs w:val="24"/>
        </w:rPr>
        <w:tab/>
        <w:t>Ikke mærkning.</w:t>
      </w:r>
    </w:p>
    <w:p w14:paraId="2EA07051"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Asteni er rapporteret under behandling med </w:t>
      </w:r>
      <w:proofErr w:type="spellStart"/>
      <w:r w:rsidRPr="009A35D6">
        <w:rPr>
          <w:sz w:val="24"/>
          <w:szCs w:val="24"/>
        </w:rPr>
        <w:t>gefitinib</w:t>
      </w:r>
      <w:proofErr w:type="spellEnd"/>
      <w:r w:rsidRPr="009A35D6">
        <w:rPr>
          <w:sz w:val="24"/>
          <w:szCs w:val="24"/>
        </w:rPr>
        <w:t>. Patienter, der oplever dette symptom, bør derfor være forsigtige, når de fører motorkøretøj eller betjener maskiner.</w:t>
      </w:r>
    </w:p>
    <w:p w14:paraId="5C01A95E" w14:textId="77777777" w:rsidR="009F4442" w:rsidRPr="009A35D6" w:rsidRDefault="009F4442" w:rsidP="009F4442">
      <w:pPr>
        <w:tabs>
          <w:tab w:val="left" w:pos="851"/>
        </w:tabs>
        <w:ind w:left="851" w:hanging="851"/>
        <w:rPr>
          <w:sz w:val="24"/>
          <w:szCs w:val="24"/>
        </w:rPr>
      </w:pPr>
    </w:p>
    <w:p w14:paraId="46CB621A" w14:textId="77777777" w:rsidR="009F4442" w:rsidRPr="009A35D6" w:rsidRDefault="009F4442" w:rsidP="009F4442">
      <w:pPr>
        <w:tabs>
          <w:tab w:val="left" w:pos="851"/>
        </w:tabs>
        <w:ind w:left="851" w:hanging="851"/>
        <w:rPr>
          <w:b/>
          <w:sz w:val="24"/>
          <w:szCs w:val="24"/>
        </w:rPr>
      </w:pPr>
      <w:r w:rsidRPr="009A35D6">
        <w:rPr>
          <w:b/>
          <w:sz w:val="24"/>
          <w:szCs w:val="24"/>
        </w:rPr>
        <w:t>4.8</w:t>
      </w:r>
      <w:r w:rsidRPr="009A35D6">
        <w:rPr>
          <w:b/>
          <w:sz w:val="24"/>
          <w:szCs w:val="24"/>
        </w:rPr>
        <w:tab/>
        <w:t>Bivirkninger</w:t>
      </w:r>
    </w:p>
    <w:p w14:paraId="037F48F4" w14:textId="77777777" w:rsidR="009F4442" w:rsidRDefault="009F4442" w:rsidP="009F4442">
      <w:pPr>
        <w:ind w:left="851"/>
        <w:rPr>
          <w:sz w:val="24"/>
          <w:szCs w:val="24"/>
        </w:rPr>
      </w:pPr>
    </w:p>
    <w:p w14:paraId="451E7362" w14:textId="77777777" w:rsidR="009F4442" w:rsidRPr="003604AD" w:rsidRDefault="009F4442" w:rsidP="009F4442">
      <w:pPr>
        <w:ind w:left="851"/>
        <w:rPr>
          <w:sz w:val="24"/>
          <w:szCs w:val="24"/>
          <w:u w:val="single"/>
        </w:rPr>
      </w:pPr>
      <w:r w:rsidRPr="003604AD">
        <w:rPr>
          <w:sz w:val="24"/>
          <w:szCs w:val="24"/>
          <w:u w:val="single"/>
        </w:rPr>
        <w:t>Samlet resumé af sikkerhedsprofilen</w:t>
      </w:r>
    </w:p>
    <w:p w14:paraId="3C3D6007" w14:textId="77777777" w:rsidR="009F4442" w:rsidRPr="003604AD" w:rsidRDefault="009F4442" w:rsidP="009F4442">
      <w:pPr>
        <w:ind w:left="851"/>
        <w:rPr>
          <w:sz w:val="24"/>
          <w:szCs w:val="24"/>
        </w:rPr>
      </w:pPr>
      <w:r w:rsidRPr="003604AD">
        <w:rPr>
          <w:sz w:val="24"/>
          <w:szCs w:val="24"/>
        </w:rPr>
        <w:t xml:space="preserve">I det samlede datasæt fra de kliniske fase III-forsøg ISEL, INTEREST og IPASS (2462 </w:t>
      </w:r>
      <w:proofErr w:type="spellStart"/>
      <w:r>
        <w:rPr>
          <w:sz w:val="24"/>
          <w:szCs w:val="24"/>
        </w:rPr>
        <w:t>g</w:t>
      </w:r>
      <w:r w:rsidRPr="003604AD">
        <w:rPr>
          <w:sz w:val="24"/>
          <w:szCs w:val="24"/>
        </w:rPr>
        <w:t>efitinib</w:t>
      </w:r>
      <w:proofErr w:type="spellEnd"/>
      <w:r w:rsidRPr="003604AD">
        <w:rPr>
          <w:sz w:val="24"/>
          <w:szCs w:val="24"/>
        </w:rPr>
        <w:t xml:space="preserve">-behandlede patienter) er de hyppigst rapporterede bivirkninger, der forekommer hos mere end 20 % af patienterne, diarré og hudreaktioner (omfattende hududslæt, akne, tør hud og kløe). Bivirkningerne forekommer normalt inden for den første måned af behandlingen og er generelt reversible. Cirka 8 % af patienterne havde en alvorlig bivirkning (common </w:t>
      </w:r>
      <w:proofErr w:type="spellStart"/>
      <w:r w:rsidRPr="003604AD">
        <w:rPr>
          <w:sz w:val="24"/>
          <w:szCs w:val="24"/>
        </w:rPr>
        <w:t>toxicity</w:t>
      </w:r>
      <w:proofErr w:type="spellEnd"/>
      <w:r w:rsidRPr="003604AD">
        <w:rPr>
          <w:sz w:val="24"/>
          <w:szCs w:val="24"/>
        </w:rPr>
        <w:t xml:space="preserve"> </w:t>
      </w:r>
      <w:proofErr w:type="spellStart"/>
      <w:r w:rsidRPr="003604AD">
        <w:rPr>
          <w:sz w:val="24"/>
          <w:szCs w:val="24"/>
        </w:rPr>
        <w:t>criteria</w:t>
      </w:r>
      <w:proofErr w:type="spellEnd"/>
      <w:r w:rsidRPr="003604AD">
        <w:rPr>
          <w:sz w:val="24"/>
          <w:szCs w:val="24"/>
        </w:rPr>
        <w:t xml:space="preserve">, (CTC), grad 3 eller 4). </w:t>
      </w:r>
    </w:p>
    <w:p w14:paraId="1999B5D3" w14:textId="77777777" w:rsidR="009F4442" w:rsidRPr="003604AD" w:rsidRDefault="009F4442" w:rsidP="009F4442">
      <w:pPr>
        <w:ind w:left="851"/>
        <w:rPr>
          <w:sz w:val="24"/>
          <w:szCs w:val="24"/>
        </w:rPr>
      </w:pPr>
      <w:r w:rsidRPr="003604AD">
        <w:rPr>
          <w:sz w:val="24"/>
          <w:szCs w:val="24"/>
        </w:rPr>
        <w:t>Omkring 3 % af patienterne stoppede behandlingen på grund af en bivirkning.</w:t>
      </w:r>
    </w:p>
    <w:p w14:paraId="38E12BDB" w14:textId="77777777" w:rsidR="009F4442" w:rsidRPr="003604AD" w:rsidRDefault="009F4442" w:rsidP="009F4442">
      <w:pPr>
        <w:ind w:left="851"/>
        <w:rPr>
          <w:sz w:val="24"/>
          <w:szCs w:val="24"/>
        </w:rPr>
      </w:pPr>
    </w:p>
    <w:p w14:paraId="315C3FFC" w14:textId="77777777" w:rsidR="009F4442" w:rsidRPr="003604AD" w:rsidRDefault="009F4442" w:rsidP="009F4442">
      <w:pPr>
        <w:ind w:left="851"/>
        <w:rPr>
          <w:sz w:val="24"/>
          <w:szCs w:val="24"/>
        </w:rPr>
      </w:pPr>
      <w:proofErr w:type="spellStart"/>
      <w:r w:rsidRPr="003604AD">
        <w:rPr>
          <w:sz w:val="24"/>
          <w:szCs w:val="24"/>
        </w:rPr>
        <w:t>Interstitiel</w:t>
      </w:r>
      <w:proofErr w:type="spellEnd"/>
      <w:r w:rsidRPr="003604AD">
        <w:rPr>
          <w:sz w:val="24"/>
          <w:szCs w:val="24"/>
        </w:rPr>
        <w:t xml:space="preserve"> lungesygdom (ILS) er forekommet hos 1,3 % af patienterne, ofte i alvorlig grad (</w:t>
      </w:r>
      <w:proofErr w:type="gramStart"/>
      <w:r w:rsidRPr="003604AD">
        <w:rPr>
          <w:sz w:val="24"/>
          <w:szCs w:val="24"/>
        </w:rPr>
        <w:t>CTC grad</w:t>
      </w:r>
      <w:proofErr w:type="gramEnd"/>
      <w:r w:rsidRPr="003604AD">
        <w:rPr>
          <w:sz w:val="24"/>
          <w:szCs w:val="24"/>
        </w:rPr>
        <w:t xml:space="preserve"> 3-4). Tilfælde med fatale udfald har været rapporteret.</w:t>
      </w:r>
    </w:p>
    <w:p w14:paraId="3B0F6EB4" w14:textId="77777777" w:rsidR="009F4442" w:rsidRPr="003604AD" w:rsidRDefault="009F4442" w:rsidP="009F4442">
      <w:pPr>
        <w:ind w:left="851"/>
        <w:rPr>
          <w:sz w:val="24"/>
          <w:szCs w:val="24"/>
        </w:rPr>
      </w:pPr>
    </w:p>
    <w:p w14:paraId="5A16C628" w14:textId="77777777" w:rsidR="00A75BD5" w:rsidRDefault="00A75BD5" w:rsidP="009F4442">
      <w:pPr>
        <w:ind w:left="851"/>
        <w:rPr>
          <w:sz w:val="24"/>
          <w:szCs w:val="24"/>
          <w:u w:val="single"/>
        </w:rPr>
      </w:pPr>
    </w:p>
    <w:p w14:paraId="36BCD369" w14:textId="77777777" w:rsidR="009F4442" w:rsidRPr="004368D6" w:rsidRDefault="009F4442" w:rsidP="009F4442">
      <w:pPr>
        <w:ind w:left="851"/>
        <w:rPr>
          <w:sz w:val="24"/>
          <w:szCs w:val="24"/>
          <w:u w:val="single"/>
        </w:rPr>
      </w:pPr>
      <w:r w:rsidRPr="004368D6">
        <w:rPr>
          <w:sz w:val="24"/>
          <w:szCs w:val="24"/>
          <w:u w:val="single"/>
        </w:rPr>
        <w:t>Bivirkninger i tabelform</w:t>
      </w:r>
    </w:p>
    <w:p w14:paraId="050725AF" w14:textId="77777777" w:rsidR="009F4442" w:rsidRPr="003604AD" w:rsidRDefault="009F4442" w:rsidP="009F4442">
      <w:pPr>
        <w:ind w:left="851"/>
        <w:rPr>
          <w:sz w:val="24"/>
          <w:szCs w:val="24"/>
        </w:rPr>
      </w:pPr>
      <w:r w:rsidRPr="003604AD">
        <w:rPr>
          <w:sz w:val="24"/>
          <w:szCs w:val="24"/>
        </w:rPr>
        <w:lastRenderedPageBreak/>
        <w:t xml:space="preserve">Sikkerhedsprofilen, som fremgår af Tabel 1, er baseret på det kliniske udviklingsprogram med </w:t>
      </w:r>
      <w:proofErr w:type="spellStart"/>
      <w:r w:rsidRPr="003604AD">
        <w:rPr>
          <w:sz w:val="24"/>
          <w:szCs w:val="24"/>
        </w:rPr>
        <w:t>gefitinib</w:t>
      </w:r>
      <w:proofErr w:type="spellEnd"/>
      <w:r w:rsidRPr="003604AD">
        <w:rPr>
          <w:sz w:val="24"/>
          <w:szCs w:val="24"/>
        </w:rPr>
        <w:t xml:space="preserve"> og postmarketing-erfaringer. Bivirkningerne er opdelt efter frekvenser i Tabel 1. Hvor det er muligt, er frekvenserne baseret på forekomsten af sammenlignelige bivirkningsrapporter ud fra et samlet datasæt fra fase III-studierne ISEL, INTEREST og IPASS (2.462 </w:t>
      </w:r>
      <w:proofErr w:type="spellStart"/>
      <w:r w:rsidRPr="003604AD">
        <w:rPr>
          <w:sz w:val="24"/>
          <w:szCs w:val="24"/>
        </w:rPr>
        <w:t>gefitinib</w:t>
      </w:r>
      <w:proofErr w:type="spellEnd"/>
      <w:r w:rsidRPr="003604AD">
        <w:rPr>
          <w:sz w:val="24"/>
          <w:szCs w:val="24"/>
        </w:rPr>
        <w:t>-behandlede patienter).</w:t>
      </w:r>
    </w:p>
    <w:p w14:paraId="7E3D6970" w14:textId="77777777" w:rsidR="009F4442" w:rsidRPr="003604AD" w:rsidRDefault="009F4442" w:rsidP="009F4442">
      <w:pPr>
        <w:ind w:left="851"/>
        <w:rPr>
          <w:sz w:val="24"/>
          <w:szCs w:val="24"/>
        </w:rPr>
      </w:pPr>
    </w:p>
    <w:p w14:paraId="1502D6BD" w14:textId="77777777" w:rsidR="009F4442" w:rsidRPr="003604AD" w:rsidRDefault="009F4442" w:rsidP="009F4442">
      <w:pPr>
        <w:ind w:left="851"/>
        <w:rPr>
          <w:sz w:val="24"/>
          <w:szCs w:val="24"/>
        </w:rPr>
      </w:pPr>
      <w:r w:rsidRPr="003604AD">
        <w:rPr>
          <w:sz w:val="24"/>
          <w:szCs w:val="24"/>
        </w:rPr>
        <w:t>Frekvenser for forekomsten af bivirkninger er defineret som: Meget almindelige (≥ 1/10); almindelige (≥ 1/100 til &lt; 1/10); ikke almindelige (≥ 1/1.000 til &lt; 1/100); sjældne (≥ 1/10.000 til &lt; 1/1.000); meget sjældne (&lt; 1/10.000), ikke kendte (kan ikke estimeres ud fra forhåndenværende data).</w:t>
      </w:r>
    </w:p>
    <w:p w14:paraId="28F4DD9D" w14:textId="77777777" w:rsidR="009F4442" w:rsidRPr="003604AD" w:rsidRDefault="009F4442" w:rsidP="009F4442">
      <w:pPr>
        <w:ind w:left="851"/>
        <w:rPr>
          <w:sz w:val="24"/>
          <w:szCs w:val="24"/>
        </w:rPr>
      </w:pPr>
    </w:p>
    <w:p w14:paraId="54E6986A" w14:textId="77777777" w:rsidR="009F4442" w:rsidRPr="003604AD" w:rsidRDefault="009F4442" w:rsidP="009F4442">
      <w:pPr>
        <w:ind w:left="851"/>
        <w:rPr>
          <w:sz w:val="24"/>
          <w:szCs w:val="24"/>
        </w:rPr>
      </w:pPr>
      <w:r w:rsidRPr="003604AD">
        <w:rPr>
          <w:sz w:val="24"/>
          <w:szCs w:val="24"/>
        </w:rPr>
        <w:t>Bivirkningerne er inden for hver frekvensgruppe opstillet i rækkefølge med aftagende alvorlighed.</w:t>
      </w:r>
    </w:p>
    <w:p w14:paraId="2D72062E" w14:textId="77777777" w:rsidR="009F4442" w:rsidRPr="003604AD" w:rsidRDefault="009F4442" w:rsidP="009F4442">
      <w:pPr>
        <w:rPr>
          <w:sz w:val="24"/>
          <w:szCs w:val="24"/>
        </w:rPr>
      </w:pPr>
    </w:p>
    <w:p w14:paraId="0A63ED3A" w14:textId="77777777" w:rsidR="00A75BD5" w:rsidRDefault="00A75BD5" w:rsidP="00A75BD5">
      <w:pPr>
        <w:rPr>
          <w:b/>
          <w:sz w:val="24"/>
          <w:szCs w:val="24"/>
        </w:rPr>
      </w:pPr>
      <w:r>
        <w:rPr>
          <w:b/>
          <w:sz w:val="24"/>
          <w:szCs w:val="24"/>
        </w:rPr>
        <w:t>Tabel 1. Bivirkninger</w:t>
      </w:r>
    </w:p>
    <w:tbl>
      <w:tblPr>
        <w:tblStyle w:val="Tabel-Gitter"/>
        <w:tblW w:w="5000" w:type="pct"/>
        <w:tblInd w:w="0" w:type="dxa"/>
        <w:tblLook w:val="04A0" w:firstRow="1" w:lastRow="0" w:firstColumn="1" w:lastColumn="0" w:noHBand="0" w:noVBand="1"/>
      </w:tblPr>
      <w:tblGrid>
        <w:gridCol w:w="2689"/>
        <w:gridCol w:w="1983"/>
        <w:gridCol w:w="4956"/>
      </w:tblGrid>
      <w:tr w:rsidR="00A75BD5" w14:paraId="629A1998" w14:textId="77777777" w:rsidTr="00A75BD5">
        <w:tc>
          <w:tcPr>
            <w:tcW w:w="5000" w:type="pct"/>
            <w:gridSpan w:val="3"/>
            <w:tcBorders>
              <w:top w:val="single" w:sz="4" w:space="0" w:color="auto"/>
              <w:left w:val="single" w:sz="4" w:space="0" w:color="auto"/>
              <w:bottom w:val="single" w:sz="4" w:space="0" w:color="auto"/>
              <w:right w:val="single" w:sz="4" w:space="0" w:color="auto"/>
            </w:tcBorders>
            <w:hideMark/>
          </w:tcPr>
          <w:p w14:paraId="36908DBB" w14:textId="77777777" w:rsidR="00A75BD5" w:rsidRDefault="00A75BD5">
            <w:pPr>
              <w:rPr>
                <w:rFonts w:ascii="Times New Roman" w:hAnsi="Times New Roman" w:cs="Times New Roman"/>
                <w:b/>
                <w:sz w:val="24"/>
                <w:szCs w:val="24"/>
              </w:rPr>
            </w:pPr>
            <w:r>
              <w:rPr>
                <w:rFonts w:ascii="Times New Roman" w:hAnsi="Times New Roman" w:cs="Times New Roman"/>
                <w:b/>
                <w:sz w:val="24"/>
                <w:szCs w:val="24"/>
              </w:rPr>
              <w:t>Bivirkninger efter systemorganklasse og frekvens</w:t>
            </w:r>
          </w:p>
        </w:tc>
      </w:tr>
      <w:tr w:rsidR="00A75BD5" w14:paraId="74C37367" w14:textId="77777777" w:rsidTr="00A75BD5">
        <w:tc>
          <w:tcPr>
            <w:tcW w:w="1396" w:type="pct"/>
            <w:tcBorders>
              <w:top w:val="single" w:sz="4" w:space="0" w:color="auto"/>
              <w:left w:val="single" w:sz="4" w:space="0" w:color="auto"/>
              <w:bottom w:val="single" w:sz="4" w:space="0" w:color="auto"/>
              <w:right w:val="single" w:sz="4" w:space="0" w:color="auto"/>
            </w:tcBorders>
            <w:hideMark/>
          </w:tcPr>
          <w:p w14:paraId="4CD4D42E"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Metabolisme og ernæring</w:t>
            </w:r>
          </w:p>
        </w:tc>
        <w:tc>
          <w:tcPr>
            <w:tcW w:w="1030" w:type="pct"/>
            <w:tcBorders>
              <w:top w:val="single" w:sz="4" w:space="0" w:color="auto"/>
              <w:left w:val="single" w:sz="4" w:space="0" w:color="auto"/>
              <w:bottom w:val="single" w:sz="4" w:space="0" w:color="auto"/>
              <w:right w:val="single" w:sz="4" w:space="0" w:color="auto"/>
            </w:tcBorders>
            <w:hideMark/>
          </w:tcPr>
          <w:p w14:paraId="1BDCBB22"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Meget almindelig</w:t>
            </w:r>
          </w:p>
        </w:tc>
        <w:tc>
          <w:tcPr>
            <w:tcW w:w="2573" w:type="pct"/>
            <w:tcBorders>
              <w:top w:val="single" w:sz="4" w:space="0" w:color="auto"/>
              <w:left w:val="single" w:sz="4" w:space="0" w:color="auto"/>
              <w:bottom w:val="single" w:sz="4" w:space="0" w:color="auto"/>
              <w:right w:val="single" w:sz="4" w:space="0" w:color="auto"/>
            </w:tcBorders>
            <w:hideMark/>
          </w:tcPr>
          <w:p w14:paraId="7E03D9B2"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Anoreksi, let eller moderat (CTC-grad 1 eller 2)</w:t>
            </w:r>
          </w:p>
        </w:tc>
      </w:tr>
      <w:tr w:rsidR="00A75BD5" w14:paraId="0D8E532C" w14:textId="77777777" w:rsidTr="00A75BD5">
        <w:tc>
          <w:tcPr>
            <w:tcW w:w="1396" w:type="pct"/>
            <w:vMerge w:val="restart"/>
            <w:tcBorders>
              <w:top w:val="single" w:sz="4" w:space="0" w:color="auto"/>
              <w:left w:val="single" w:sz="4" w:space="0" w:color="auto"/>
              <w:bottom w:val="single" w:sz="4" w:space="0" w:color="auto"/>
              <w:right w:val="single" w:sz="4" w:space="0" w:color="auto"/>
            </w:tcBorders>
            <w:hideMark/>
          </w:tcPr>
          <w:p w14:paraId="092F2C6F"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Øjne</w:t>
            </w:r>
          </w:p>
        </w:tc>
        <w:tc>
          <w:tcPr>
            <w:tcW w:w="1030" w:type="pct"/>
            <w:tcBorders>
              <w:top w:val="single" w:sz="4" w:space="0" w:color="auto"/>
              <w:left w:val="single" w:sz="4" w:space="0" w:color="auto"/>
              <w:bottom w:val="single" w:sz="4" w:space="0" w:color="auto"/>
              <w:right w:val="single" w:sz="4" w:space="0" w:color="auto"/>
            </w:tcBorders>
            <w:hideMark/>
          </w:tcPr>
          <w:p w14:paraId="71C85518"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Almindelig</w:t>
            </w:r>
          </w:p>
        </w:tc>
        <w:tc>
          <w:tcPr>
            <w:tcW w:w="2573" w:type="pct"/>
            <w:tcBorders>
              <w:top w:val="single" w:sz="4" w:space="0" w:color="auto"/>
              <w:left w:val="single" w:sz="4" w:space="0" w:color="auto"/>
              <w:bottom w:val="single" w:sz="4" w:space="0" w:color="auto"/>
              <w:right w:val="single" w:sz="4" w:space="0" w:color="auto"/>
            </w:tcBorders>
            <w:hideMark/>
          </w:tcPr>
          <w:p w14:paraId="2D757175" w14:textId="77777777" w:rsidR="00A75BD5" w:rsidRDefault="00A75BD5">
            <w:pPr>
              <w:rPr>
                <w:rFonts w:ascii="Times New Roman" w:hAnsi="Times New Roman" w:cs="Times New Roman"/>
                <w:sz w:val="24"/>
                <w:szCs w:val="24"/>
              </w:rPr>
            </w:pPr>
            <w:proofErr w:type="spellStart"/>
            <w:r>
              <w:rPr>
                <w:rFonts w:ascii="Times New Roman" w:hAnsi="Times New Roman" w:cs="Times New Roman"/>
                <w:sz w:val="24"/>
                <w:szCs w:val="24"/>
              </w:rPr>
              <w:t>Konjunktivit</w:t>
            </w:r>
            <w:proofErr w:type="spellEnd"/>
            <w:r>
              <w:rPr>
                <w:rFonts w:ascii="Times New Roman" w:hAnsi="Times New Roman" w:cs="Times New Roman"/>
                <w:sz w:val="24"/>
                <w:szCs w:val="24"/>
              </w:rPr>
              <w:t>, øjenlågsbetændelse og tørre øjne*, hovedsageligt lette (CTC-grad 1).</w:t>
            </w:r>
          </w:p>
        </w:tc>
      </w:tr>
      <w:tr w:rsidR="00A75BD5" w14:paraId="1B2D4ACD"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28198545" w14:textId="77777777" w:rsidR="00A75BD5" w:rsidRDefault="00A75BD5">
            <w:pPr>
              <w:rPr>
                <w:rFonts w:ascii="Times New Roman" w:hAnsi="Times New Roman" w:cs="Times New Roman"/>
                <w:sz w:val="24"/>
                <w:szCs w:val="24"/>
              </w:rPr>
            </w:pPr>
          </w:p>
        </w:tc>
        <w:tc>
          <w:tcPr>
            <w:tcW w:w="1030" w:type="pct"/>
            <w:vMerge w:val="restart"/>
            <w:tcBorders>
              <w:top w:val="single" w:sz="4" w:space="0" w:color="auto"/>
              <w:left w:val="single" w:sz="4" w:space="0" w:color="auto"/>
              <w:bottom w:val="single" w:sz="4" w:space="0" w:color="auto"/>
              <w:right w:val="single" w:sz="4" w:space="0" w:color="auto"/>
            </w:tcBorders>
            <w:hideMark/>
          </w:tcPr>
          <w:p w14:paraId="761A6A13"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Ikke Almindelig</w:t>
            </w:r>
          </w:p>
        </w:tc>
        <w:tc>
          <w:tcPr>
            <w:tcW w:w="2573" w:type="pct"/>
            <w:tcBorders>
              <w:top w:val="single" w:sz="4" w:space="0" w:color="auto"/>
              <w:left w:val="single" w:sz="4" w:space="0" w:color="auto"/>
              <w:bottom w:val="single" w:sz="4" w:space="0" w:color="auto"/>
              <w:right w:val="single" w:sz="4" w:space="0" w:color="auto"/>
            </w:tcBorders>
            <w:hideMark/>
          </w:tcPr>
          <w:p w14:paraId="6E645C14"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Hornhindeerosion, reversibel og til tider i forbindelse med abnorm øjenvippevækst.</w:t>
            </w:r>
          </w:p>
        </w:tc>
      </w:tr>
      <w:tr w:rsidR="00A75BD5" w14:paraId="3B03D710"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339B64BA" w14:textId="77777777" w:rsidR="00A75BD5" w:rsidRDefault="00A75B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40DA2" w14:textId="77777777" w:rsidR="00A75BD5" w:rsidRDefault="00A75BD5">
            <w:pPr>
              <w:rPr>
                <w:rFonts w:ascii="Times New Roman" w:hAnsi="Times New Roman" w:cs="Times New Roman"/>
                <w:sz w:val="24"/>
                <w:szCs w:val="24"/>
              </w:rPr>
            </w:pPr>
          </w:p>
        </w:tc>
        <w:tc>
          <w:tcPr>
            <w:tcW w:w="2573" w:type="pct"/>
            <w:tcBorders>
              <w:top w:val="single" w:sz="4" w:space="0" w:color="auto"/>
              <w:left w:val="single" w:sz="4" w:space="0" w:color="auto"/>
              <w:bottom w:val="single" w:sz="4" w:space="0" w:color="auto"/>
              <w:right w:val="single" w:sz="4" w:space="0" w:color="auto"/>
            </w:tcBorders>
            <w:hideMark/>
          </w:tcPr>
          <w:p w14:paraId="5E3BE66D" w14:textId="77777777" w:rsidR="00A75BD5" w:rsidRDefault="00A75BD5">
            <w:pPr>
              <w:rPr>
                <w:rFonts w:ascii="Times New Roman" w:hAnsi="Times New Roman" w:cs="Times New Roman"/>
                <w:sz w:val="24"/>
                <w:szCs w:val="24"/>
              </w:rPr>
            </w:pPr>
            <w:proofErr w:type="spellStart"/>
            <w:r>
              <w:rPr>
                <w:rFonts w:ascii="Times New Roman" w:hAnsi="Times New Roman" w:cs="Times New Roman"/>
                <w:sz w:val="24"/>
                <w:szCs w:val="24"/>
              </w:rPr>
              <w:t>Keratitis</w:t>
            </w:r>
            <w:proofErr w:type="spellEnd"/>
            <w:r>
              <w:rPr>
                <w:rFonts w:ascii="Times New Roman" w:hAnsi="Times New Roman" w:cs="Times New Roman"/>
                <w:sz w:val="24"/>
                <w:szCs w:val="24"/>
              </w:rPr>
              <w:t xml:space="preserve"> (0,12 %)</w:t>
            </w:r>
          </w:p>
        </w:tc>
      </w:tr>
      <w:tr w:rsidR="00A75BD5" w14:paraId="1079BF56" w14:textId="77777777" w:rsidTr="00A75BD5">
        <w:tc>
          <w:tcPr>
            <w:tcW w:w="1396" w:type="pct"/>
            <w:tcBorders>
              <w:top w:val="single" w:sz="4" w:space="0" w:color="auto"/>
              <w:left w:val="single" w:sz="4" w:space="0" w:color="auto"/>
              <w:bottom w:val="single" w:sz="4" w:space="0" w:color="auto"/>
              <w:right w:val="single" w:sz="4" w:space="0" w:color="auto"/>
            </w:tcBorders>
            <w:hideMark/>
          </w:tcPr>
          <w:p w14:paraId="1D5E5722" w14:textId="77777777" w:rsidR="00A75BD5" w:rsidRDefault="00A75BD5">
            <w:pPr>
              <w:rPr>
                <w:rFonts w:ascii="Times New Roman" w:hAnsi="Times New Roman" w:cs="Times New Roman"/>
                <w:sz w:val="24"/>
                <w:szCs w:val="24"/>
              </w:rPr>
            </w:pPr>
            <w:proofErr w:type="spellStart"/>
            <w:r>
              <w:rPr>
                <w:rFonts w:ascii="Times New Roman" w:hAnsi="Times New Roman" w:cs="Times New Roman"/>
                <w:sz w:val="24"/>
                <w:szCs w:val="24"/>
              </w:rPr>
              <w:t>Vaskulære</w:t>
            </w:r>
            <w:proofErr w:type="spellEnd"/>
            <w:r>
              <w:rPr>
                <w:rFonts w:ascii="Times New Roman" w:hAnsi="Times New Roman" w:cs="Times New Roman"/>
                <w:sz w:val="24"/>
                <w:szCs w:val="24"/>
              </w:rPr>
              <w:t xml:space="preserve"> sygdomme</w:t>
            </w:r>
          </w:p>
        </w:tc>
        <w:tc>
          <w:tcPr>
            <w:tcW w:w="1030" w:type="pct"/>
            <w:tcBorders>
              <w:top w:val="single" w:sz="4" w:space="0" w:color="auto"/>
              <w:left w:val="single" w:sz="4" w:space="0" w:color="auto"/>
              <w:bottom w:val="single" w:sz="4" w:space="0" w:color="auto"/>
              <w:right w:val="single" w:sz="4" w:space="0" w:color="auto"/>
            </w:tcBorders>
            <w:hideMark/>
          </w:tcPr>
          <w:p w14:paraId="4741706B"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Almindelig</w:t>
            </w:r>
          </w:p>
        </w:tc>
        <w:tc>
          <w:tcPr>
            <w:tcW w:w="2573" w:type="pct"/>
            <w:tcBorders>
              <w:top w:val="single" w:sz="4" w:space="0" w:color="auto"/>
              <w:left w:val="single" w:sz="4" w:space="0" w:color="auto"/>
              <w:bottom w:val="single" w:sz="4" w:space="0" w:color="auto"/>
              <w:right w:val="single" w:sz="4" w:space="0" w:color="auto"/>
            </w:tcBorders>
            <w:hideMark/>
          </w:tcPr>
          <w:p w14:paraId="34829423"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 xml:space="preserve">Blødning, så som </w:t>
            </w:r>
            <w:proofErr w:type="spellStart"/>
            <w:r>
              <w:rPr>
                <w:rFonts w:ascii="Times New Roman" w:hAnsi="Times New Roman" w:cs="Times New Roman"/>
                <w:sz w:val="24"/>
                <w:szCs w:val="24"/>
              </w:rPr>
              <w:t>epistaxis</w:t>
            </w:r>
            <w:proofErr w:type="spellEnd"/>
            <w:r>
              <w:rPr>
                <w:rFonts w:ascii="Times New Roman" w:hAnsi="Times New Roman" w:cs="Times New Roman"/>
                <w:sz w:val="24"/>
                <w:szCs w:val="24"/>
              </w:rPr>
              <w:t xml:space="preserve"> og hæmaturi.</w:t>
            </w:r>
          </w:p>
        </w:tc>
      </w:tr>
      <w:tr w:rsidR="00A75BD5" w14:paraId="2B4666B9" w14:textId="77777777" w:rsidTr="00A75BD5">
        <w:tc>
          <w:tcPr>
            <w:tcW w:w="1396" w:type="pct"/>
            <w:tcBorders>
              <w:top w:val="single" w:sz="4" w:space="0" w:color="auto"/>
              <w:left w:val="single" w:sz="4" w:space="0" w:color="auto"/>
              <w:bottom w:val="single" w:sz="4" w:space="0" w:color="auto"/>
              <w:right w:val="single" w:sz="4" w:space="0" w:color="auto"/>
            </w:tcBorders>
            <w:hideMark/>
          </w:tcPr>
          <w:p w14:paraId="29ADF7B2"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 xml:space="preserve">Luftveje, thorax og </w:t>
            </w:r>
            <w:proofErr w:type="spellStart"/>
            <w:r>
              <w:rPr>
                <w:rFonts w:ascii="Times New Roman" w:hAnsi="Times New Roman" w:cs="Times New Roman"/>
                <w:sz w:val="24"/>
                <w:szCs w:val="24"/>
              </w:rPr>
              <w:t>mediastinum</w:t>
            </w:r>
            <w:proofErr w:type="spellEnd"/>
          </w:p>
        </w:tc>
        <w:tc>
          <w:tcPr>
            <w:tcW w:w="1030" w:type="pct"/>
            <w:tcBorders>
              <w:top w:val="single" w:sz="4" w:space="0" w:color="auto"/>
              <w:left w:val="single" w:sz="4" w:space="0" w:color="auto"/>
              <w:bottom w:val="single" w:sz="4" w:space="0" w:color="auto"/>
              <w:right w:val="single" w:sz="4" w:space="0" w:color="auto"/>
            </w:tcBorders>
            <w:hideMark/>
          </w:tcPr>
          <w:p w14:paraId="12043D03"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Almindelig</w:t>
            </w:r>
          </w:p>
        </w:tc>
        <w:tc>
          <w:tcPr>
            <w:tcW w:w="2573" w:type="pct"/>
            <w:tcBorders>
              <w:top w:val="single" w:sz="4" w:space="0" w:color="auto"/>
              <w:left w:val="single" w:sz="4" w:space="0" w:color="auto"/>
              <w:bottom w:val="single" w:sz="4" w:space="0" w:color="auto"/>
              <w:right w:val="single" w:sz="4" w:space="0" w:color="auto"/>
            </w:tcBorders>
            <w:hideMark/>
          </w:tcPr>
          <w:p w14:paraId="47A54B4B" w14:textId="77777777" w:rsidR="00A75BD5" w:rsidRDefault="00A75BD5">
            <w:pPr>
              <w:rPr>
                <w:rFonts w:ascii="Times New Roman" w:hAnsi="Times New Roman" w:cs="Times New Roman"/>
                <w:sz w:val="24"/>
                <w:szCs w:val="24"/>
              </w:rPr>
            </w:pPr>
            <w:proofErr w:type="spellStart"/>
            <w:r>
              <w:rPr>
                <w:rFonts w:ascii="Times New Roman" w:hAnsi="Times New Roman" w:cs="Times New Roman"/>
                <w:sz w:val="24"/>
                <w:szCs w:val="24"/>
              </w:rPr>
              <w:t>Interstitiel</w:t>
            </w:r>
            <w:proofErr w:type="spellEnd"/>
            <w:r>
              <w:rPr>
                <w:rFonts w:ascii="Times New Roman" w:hAnsi="Times New Roman" w:cs="Times New Roman"/>
                <w:sz w:val="24"/>
                <w:szCs w:val="24"/>
              </w:rPr>
              <w:t xml:space="preserve"> lungesygdom (1,3 %), ofte svær (</w:t>
            </w:r>
            <w:proofErr w:type="gramStart"/>
            <w:r>
              <w:rPr>
                <w:rFonts w:ascii="Times New Roman" w:hAnsi="Times New Roman" w:cs="Times New Roman"/>
                <w:sz w:val="24"/>
                <w:szCs w:val="24"/>
              </w:rPr>
              <w:t>CTC grad</w:t>
            </w:r>
            <w:proofErr w:type="gramEnd"/>
            <w:r>
              <w:rPr>
                <w:rFonts w:ascii="Times New Roman" w:hAnsi="Times New Roman" w:cs="Times New Roman"/>
                <w:sz w:val="24"/>
                <w:szCs w:val="24"/>
              </w:rPr>
              <w:t xml:space="preserve"> 3-4). Fatale tilfælde har været rapporteret.</w:t>
            </w:r>
          </w:p>
        </w:tc>
      </w:tr>
      <w:tr w:rsidR="00A75BD5" w14:paraId="5E9E3493" w14:textId="77777777" w:rsidTr="00A75BD5">
        <w:tc>
          <w:tcPr>
            <w:tcW w:w="1396" w:type="pct"/>
            <w:vMerge w:val="restart"/>
            <w:tcBorders>
              <w:top w:val="single" w:sz="4" w:space="0" w:color="auto"/>
              <w:left w:val="single" w:sz="4" w:space="0" w:color="auto"/>
              <w:bottom w:val="single" w:sz="4" w:space="0" w:color="auto"/>
              <w:right w:val="single" w:sz="4" w:space="0" w:color="auto"/>
            </w:tcBorders>
            <w:hideMark/>
          </w:tcPr>
          <w:p w14:paraId="46DF7EF4"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Mave-tarm-kanalen</w:t>
            </w:r>
          </w:p>
        </w:tc>
        <w:tc>
          <w:tcPr>
            <w:tcW w:w="1030" w:type="pct"/>
            <w:vMerge w:val="restart"/>
            <w:tcBorders>
              <w:top w:val="single" w:sz="4" w:space="0" w:color="auto"/>
              <w:left w:val="single" w:sz="4" w:space="0" w:color="auto"/>
              <w:bottom w:val="single" w:sz="4" w:space="0" w:color="auto"/>
              <w:right w:val="single" w:sz="4" w:space="0" w:color="auto"/>
            </w:tcBorders>
            <w:hideMark/>
          </w:tcPr>
          <w:p w14:paraId="071635E1"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Meget almindelig</w:t>
            </w:r>
          </w:p>
        </w:tc>
        <w:tc>
          <w:tcPr>
            <w:tcW w:w="2573" w:type="pct"/>
            <w:tcBorders>
              <w:top w:val="single" w:sz="4" w:space="0" w:color="auto"/>
              <w:left w:val="single" w:sz="4" w:space="0" w:color="auto"/>
              <w:bottom w:val="single" w:sz="4" w:space="0" w:color="auto"/>
              <w:right w:val="single" w:sz="4" w:space="0" w:color="auto"/>
            </w:tcBorders>
            <w:hideMark/>
          </w:tcPr>
          <w:p w14:paraId="7A1DA70A"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Diarré, hovedsageligt let eller moderat (</w:t>
            </w:r>
            <w:proofErr w:type="gramStart"/>
            <w:r>
              <w:rPr>
                <w:rFonts w:ascii="Times New Roman" w:hAnsi="Times New Roman" w:cs="Times New Roman"/>
                <w:sz w:val="24"/>
                <w:szCs w:val="24"/>
              </w:rPr>
              <w:t>CTC grad</w:t>
            </w:r>
            <w:proofErr w:type="gramEnd"/>
            <w:r>
              <w:rPr>
                <w:rFonts w:ascii="Times New Roman" w:hAnsi="Times New Roman" w:cs="Times New Roman"/>
                <w:sz w:val="24"/>
                <w:szCs w:val="24"/>
              </w:rPr>
              <w:t xml:space="preserve"> 1 eller 2).</w:t>
            </w:r>
          </w:p>
        </w:tc>
      </w:tr>
      <w:tr w:rsidR="00A75BD5" w14:paraId="5B419654"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7653D4AC" w14:textId="77777777" w:rsidR="00A75BD5" w:rsidRDefault="00A75B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12D28F" w14:textId="77777777" w:rsidR="00A75BD5" w:rsidRDefault="00A75BD5">
            <w:pPr>
              <w:rPr>
                <w:rFonts w:ascii="Times New Roman" w:hAnsi="Times New Roman" w:cs="Times New Roman"/>
                <w:sz w:val="24"/>
                <w:szCs w:val="24"/>
              </w:rPr>
            </w:pPr>
          </w:p>
        </w:tc>
        <w:tc>
          <w:tcPr>
            <w:tcW w:w="2573" w:type="pct"/>
            <w:tcBorders>
              <w:top w:val="single" w:sz="4" w:space="0" w:color="auto"/>
              <w:left w:val="single" w:sz="4" w:space="0" w:color="auto"/>
              <w:bottom w:val="single" w:sz="4" w:space="0" w:color="auto"/>
              <w:right w:val="single" w:sz="4" w:space="0" w:color="auto"/>
            </w:tcBorders>
            <w:hideMark/>
          </w:tcPr>
          <w:p w14:paraId="32246608"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Opkastning, hovedsageligt let eller moderat</w:t>
            </w:r>
          </w:p>
          <w:p w14:paraId="396B0F95"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CTC grad</w:t>
            </w:r>
            <w:proofErr w:type="gramEnd"/>
            <w:r>
              <w:rPr>
                <w:rFonts w:ascii="Times New Roman" w:hAnsi="Times New Roman" w:cs="Times New Roman"/>
                <w:sz w:val="24"/>
                <w:szCs w:val="24"/>
              </w:rPr>
              <w:t xml:space="preserve"> 1 eller 2).</w:t>
            </w:r>
          </w:p>
        </w:tc>
      </w:tr>
      <w:tr w:rsidR="00A75BD5" w14:paraId="3677EAA4"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7E30EE20" w14:textId="77777777" w:rsidR="00A75BD5" w:rsidRDefault="00A75B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2C4B1F" w14:textId="77777777" w:rsidR="00A75BD5" w:rsidRDefault="00A75BD5">
            <w:pPr>
              <w:rPr>
                <w:rFonts w:ascii="Times New Roman" w:hAnsi="Times New Roman" w:cs="Times New Roman"/>
                <w:sz w:val="24"/>
                <w:szCs w:val="24"/>
              </w:rPr>
            </w:pPr>
          </w:p>
        </w:tc>
        <w:tc>
          <w:tcPr>
            <w:tcW w:w="2573" w:type="pct"/>
            <w:tcBorders>
              <w:top w:val="single" w:sz="4" w:space="0" w:color="auto"/>
              <w:left w:val="single" w:sz="4" w:space="0" w:color="auto"/>
              <w:bottom w:val="single" w:sz="4" w:space="0" w:color="auto"/>
              <w:right w:val="single" w:sz="4" w:space="0" w:color="auto"/>
            </w:tcBorders>
            <w:hideMark/>
          </w:tcPr>
          <w:p w14:paraId="5C4AA3B9"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Kvalme, hovedsageligt let (</w:t>
            </w:r>
            <w:proofErr w:type="gramStart"/>
            <w:r>
              <w:rPr>
                <w:rFonts w:ascii="Times New Roman" w:hAnsi="Times New Roman" w:cs="Times New Roman"/>
                <w:sz w:val="24"/>
                <w:szCs w:val="24"/>
              </w:rPr>
              <w:t>CTC grad</w:t>
            </w:r>
            <w:proofErr w:type="gramEnd"/>
            <w:r>
              <w:rPr>
                <w:rFonts w:ascii="Times New Roman" w:hAnsi="Times New Roman" w:cs="Times New Roman"/>
                <w:sz w:val="24"/>
                <w:szCs w:val="24"/>
              </w:rPr>
              <w:t xml:space="preserve"> 1).</w:t>
            </w:r>
          </w:p>
        </w:tc>
      </w:tr>
      <w:tr w:rsidR="00A75BD5" w14:paraId="75390C01"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317167C7" w14:textId="77777777" w:rsidR="00A75BD5" w:rsidRDefault="00A75B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6FABB" w14:textId="77777777" w:rsidR="00A75BD5" w:rsidRDefault="00A75BD5">
            <w:pPr>
              <w:rPr>
                <w:rFonts w:ascii="Times New Roman" w:hAnsi="Times New Roman" w:cs="Times New Roman"/>
                <w:sz w:val="24"/>
                <w:szCs w:val="24"/>
              </w:rPr>
            </w:pPr>
          </w:p>
        </w:tc>
        <w:tc>
          <w:tcPr>
            <w:tcW w:w="2573" w:type="pct"/>
            <w:tcBorders>
              <w:top w:val="single" w:sz="4" w:space="0" w:color="auto"/>
              <w:left w:val="single" w:sz="4" w:space="0" w:color="auto"/>
              <w:bottom w:val="single" w:sz="4" w:space="0" w:color="auto"/>
              <w:right w:val="single" w:sz="4" w:space="0" w:color="auto"/>
            </w:tcBorders>
            <w:hideMark/>
          </w:tcPr>
          <w:p w14:paraId="2EEDD60A" w14:textId="77777777" w:rsidR="00A75BD5" w:rsidRDefault="00A75BD5">
            <w:pPr>
              <w:rPr>
                <w:rFonts w:ascii="Times New Roman" w:hAnsi="Times New Roman" w:cs="Times New Roman"/>
                <w:sz w:val="24"/>
                <w:szCs w:val="24"/>
              </w:rPr>
            </w:pPr>
            <w:proofErr w:type="spellStart"/>
            <w:r>
              <w:rPr>
                <w:rFonts w:ascii="Times New Roman" w:hAnsi="Times New Roman" w:cs="Times New Roman"/>
                <w:sz w:val="24"/>
                <w:szCs w:val="24"/>
              </w:rPr>
              <w:t>Stomatit</w:t>
            </w:r>
            <w:proofErr w:type="spellEnd"/>
            <w:r>
              <w:rPr>
                <w:rFonts w:ascii="Times New Roman" w:hAnsi="Times New Roman" w:cs="Times New Roman"/>
                <w:sz w:val="24"/>
                <w:szCs w:val="24"/>
              </w:rPr>
              <w:t>, overvejende let (</w:t>
            </w:r>
            <w:proofErr w:type="gramStart"/>
            <w:r>
              <w:rPr>
                <w:rFonts w:ascii="Times New Roman" w:hAnsi="Times New Roman" w:cs="Times New Roman"/>
                <w:sz w:val="24"/>
                <w:szCs w:val="24"/>
              </w:rPr>
              <w:t>CTC grad</w:t>
            </w:r>
            <w:proofErr w:type="gramEnd"/>
            <w:r>
              <w:rPr>
                <w:rFonts w:ascii="Times New Roman" w:hAnsi="Times New Roman" w:cs="Times New Roman"/>
                <w:sz w:val="24"/>
                <w:szCs w:val="24"/>
              </w:rPr>
              <w:t xml:space="preserve"> 1).</w:t>
            </w:r>
          </w:p>
        </w:tc>
      </w:tr>
      <w:tr w:rsidR="00A75BD5" w14:paraId="4827D9EB"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288E826B" w14:textId="77777777" w:rsidR="00A75BD5" w:rsidRDefault="00A75BD5">
            <w:pPr>
              <w:rPr>
                <w:rFonts w:ascii="Times New Roman" w:hAnsi="Times New Roman" w:cs="Times New Roman"/>
                <w:sz w:val="24"/>
                <w:szCs w:val="24"/>
              </w:rPr>
            </w:pPr>
          </w:p>
        </w:tc>
        <w:tc>
          <w:tcPr>
            <w:tcW w:w="1030" w:type="pct"/>
            <w:vMerge w:val="restart"/>
            <w:tcBorders>
              <w:top w:val="single" w:sz="4" w:space="0" w:color="auto"/>
              <w:left w:val="single" w:sz="4" w:space="0" w:color="auto"/>
              <w:bottom w:val="single" w:sz="4" w:space="0" w:color="auto"/>
              <w:right w:val="single" w:sz="4" w:space="0" w:color="auto"/>
            </w:tcBorders>
            <w:hideMark/>
          </w:tcPr>
          <w:p w14:paraId="7E2E06AD"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Almindelig</w:t>
            </w:r>
          </w:p>
        </w:tc>
        <w:tc>
          <w:tcPr>
            <w:tcW w:w="2573" w:type="pct"/>
            <w:tcBorders>
              <w:top w:val="single" w:sz="4" w:space="0" w:color="auto"/>
              <w:left w:val="single" w:sz="4" w:space="0" w:color="auto"/>
              <w:bottom w:val="single" w:sz="4" w:space="0" w:color="auto"/>
              <w:right w:val="single" w:sz="4" w:space="0" w:color="auto"/>
            </w:tcBorders>
            <w:hideMark/>
          </w:tcPr>
          <w:p w14:paraId="46C329D0"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Dehydrering, som følge af diarré, kvalme, opkastning eller anoreksi.</w:t>
            </w:r>
          </w:p>
        </w:tc>
      </w:tr>
      <w:tr w:rsidR="00A75BD5" w14:paraId="0E61089D"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3BDFDF8B" w14:textId="77777777" w:rsidR="00A75BD5" w:rsidRDefault="00A75B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FA2CD" w14:textId="77777777" w:rsidR="00A75BD5" w:rsidRDefault="00A75BD5">
            <w:pPr>
              <w:rPr>
                <w:rFonts w:ascii="Times New Roman" w:hAnsi="Times New Roman" w:cs="Times New Roman"/>
                <w:sz w:val="24"/>
                <w:szCs w:val="24"/>
              </w:rPr>
            </w:pPr>
          </w:p>
        </w:tc>
        <w:tc>
          <w:tcPr>
            <w:tcW w:w="2573" w:type="pct"/>
            <w:tcBorders>
              <w:top w:val="single" w:sz="4" w:space="0" w:color="auto"/>
              <w:left w:val="single" w:sz="4" w:space="0" w:color="auto"/>
              <w:bottom w:val="single" w:sz="4" w:space="0" w:color="auto"/>
              <w:right w:val="single" w:sz="4" w:space="0" w:color="auto"/>
            </w:tcBorders>
            <w:hideMark/>
          </w:tcPr>
          <w:p w14:paraId="1F655B01"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Tør mund*, hovedsageligt let (</w:t>
            </w:r>
            <w:proofErr w:type="gramStart"/>
            <w:r>
              <w:rPr>
                <w:rFonts w:ascii="Times New Roman" w:hAnsi="Times New Roman" w:cs="Times New Roman"/>
                <w:sz w:val="24"/>
                <w:szCs w:val="24"/>
              </w:rPr>
              <w:t>CTC grad</w:t>
            </w:r>
            <w:proofErr w:type="gramEnd"/>
            <w:r>
              <w:rPr>
                <w:rFonts w:ascii="Times New Roman" w:hAnsi="Times New Roman" w:cs="Times New Roman"/>
                <w:sz w:val="24"/>
                <w:szCs w:val="24"/>
              </w:rPr>
              <w:t xml:space="preserve"> 1).</w:t>
            </w:r>
          </w:p>
        </w:tc>
      </w:tr>
      <w:tr w:rsidR="00A75BD5" w14:paraId="03E59BAF"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3B941AF2" w14:textId="77777777" w:rsidR="00A75BD5" w:rsidRDefault="00A75BD5">
            <w:pPr>
              <w:rPr>
                <w:rFonts w:ascii="Times New Roman" w:hAnsi="Times New Roman" w:cs="Times New Roman"/>
                <w:sz w:val="24"/>
                <w:szCs w:val="24"/>
              </w:rPr>
            </w:pPr>
          </w:p>
        </w:tc>
        <w:tc>
          <w:tcPr>
            <w:tcW w:w="1030" w:type="pct"/>
            <w:vMerge w:val="restart"/>
            <w:tcBorders>
              <w:top w:val="single" w:sz="4" w:space="0" w:color="auto"/>
              <w:left w:val="single" w:sz="4" w:space="0" w:color="auto"/>
              <w:bottom w:val="single" w:sz="4" w:space="0" w:color="auto"/>
              <w:right w:val="single" w:sz="4" w:space="0" w:color="auto"/>
            </w:tcBorders>
            <w:hideMark/>
          </w:tcPr>
          <w:p w14:paraId="3BDA7A53"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Ikke almindelig</w:t>
            </w:r>
          </w:p>
        </w:tc>
        <w:tc>
          <w:tcPr>
            <w:tcW w:w="2573" w:type="pct"/>
            <w:tcBorders>
              <w:top w:val="single" w:sz="4" w:space="0" w:color="auto"/>
              <w:left w:val="single" w:sz="4" w:space="0" w:color="auto"/>
              <w:bottom w:val="single" w:sz="4" w:space="0" w:color="auto"/>
              <w:right w:val="single" w:sz="4" w:space="0" w:color="auto"/>
            </w:tcBorders>
            <w:hideMark/>
          </w:tcPr>
          <w:p w14:paraId="479395C6" w14:textId="77777777" w:rsidR="00A75BD5" w:rsidRDefault="00A75BD5">
            <w:pPr>
              <w:rPr>
                <w:rFonts w:ascii="Times New Roman" w:hAnsi="Times New Roman" w:cs="Times New Roman"/>
                <w:sz w:val="24"/>
                <w:szCs w:val="24"/>
              </w:rPr>
            </w:pPr>
            <w:proofErr w:type="spellStart"/>
            <w:r>
              <w:rPr>
                <w:rFonts w:ascii="Times New Roman" w:hAnsi="Times New Roman" w:cs="Times New Roman"/>
                <w:sz w:val="24"/>
                <w:szCs w:val="24"/>
              </w:rPr>
              <w:t>Pankreatit</w:t>
            </w:r>
            <w:proofErr w:type="spellEnd"/>
            <w:r>
              <w:rPr>
                <w:rFonts w:ascii="Times New Roman" w:hAnsi="Times New Roman" w:cs="Times New Roman"/>
                <w:sz w:val="24"/>
                <w:szCs w:val="24"/>
              </w:rPr>
              <w:t>,</w:t>
            </w:r>
          </w:p>
        </w:tc>
      </w:tr>
      <w:tr w:rsidR="00A75BD5" w14:paraId="130E35EC"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1A923862" w14:textId="77777777" w:rsidR="00A75BD5" w:rsidRDefault="00A75B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9B6BA" w14:textId="77777777" w:rsidR="00A75BD5" w:rsidRDefault="00A75BD5">
            <w:pPr>
              <w:rPr>
                <w:rFonts w:ascii="Times New Roman" w:hAnsi="Times New Roman" w:cs="Times New Roman"/>
                <w:sz w:val="24"/>
                <w:szCs w:val="24"/>
              </w:rPr>
            </w:pPr>
          </w:p>
        </w:tc>
        <w:tc>
          <w:tcPr>
            <w:tcW w:w="2573" w:type="pct"/>
            <w:tcBorders>
              <w:top w:val="single" w:sz="4" w:space="0" w:color="auto"/>
              <w:left w:val="single" w:sz="4" w:space="0" w:color="auto"/>
              <w:bottom w:val="single" w:sz="4" w:space="0" w:color="auto"/>
              <w:right w:val="single" w:sz="4" w:space="0" w:color="auto"/>
            </w:tcBorders>
            <w:hideMark/>
          </w:tcPr>
          <w:p w14:paraId="1C340771" w14:textId="77777777" w:rsidR="00A75BD5" w:rsidRDefault="00A75BD5">
            <w:pPr>
              <w:rPr>
                <w:rFonts w:ascii="Times New Roman" w:hAnsi="Times New Roman" w:cs="Times New Roman"/>
                <w:sz w:val="24"/>
                <w:szCs w:val="24"/>
              </w:rPr>
            </w:pPr>
            <w:proofErr w:type="spellStart"/>
            <w:r>
              <w:rPr>
                <w:rFonts w:ascii="Times New Roman" w:hAnsi="Times New Roman" w:cs="Times New Roman"/>
                <w:sz w:val="24"/>
                <w:szCs w:val="24"/>
              </w:rPr>
              <w:t>Gastrointestinal</w:t>
            </w:r>
            <w:proofErr w:type="spellEnd"/>
            <w:r>
              <w:rPr>
                <w:rFonts w:ascii="Times New Roman" w:hAnsi="Times New Roman" w:cs="Times New Roman"/>
                <w:sz w:val="24"/>
                <w:szCs w:val="24"/>
              </w:rPr>
              <w:t xml:space="preserve"> perforation.</w:t>
            </w:r>
          </w:p>
        </w:tc>
      </w:tr>
      <w:tr w:rsidR="00A75BD5" w14:paraId="65F7043D" w14:textId="77777777" w:rsidTr="00A75BD5">
        <w:tc>
          <w:tcPr>
            <w:tcW w:w="1396" w:type="pct"/>
            <w:vMerge w:val="restart"/>
            <w:tcBorders>
              <w:top w:val="single" w:sz="4" w:space="0" w:color="auto"/>
              <w:left w:val="single" w:sz="4" w:space="0" w:color="auto"/>
              <w:bottom w:val="single" w:sz="4" w:space="0" w:color="auto"/>
              <w:right w:val="single" w:sz="4" w:space="0" w:color="auto"/>
            </w:tcBorders>
            <w:hideMark/>
          </w:tcPr>
          <w:p w14:paraId="2337573B"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Lever og galdeveje</w:t>
            </w:r>
          </w:p>
        </w:tc>
        <w:tc>
          <w:tcPr>
            <w:tcW w:w="1030" w:type="pct"/>
            <w:tcBorders>
              <w:top w:val="single" w:sz="4" w:space="0" w:color="auto"/>
              <w:left w:val="single" w:sz="4" w:space="0" w:color="auto"/>
              <w:bottom w:val="single" w:sz="4" w:space="0" w:color="auto"/>
              <w:right w:val="single" w:sz="4" w:space="0" w:color="auto"/>
            </w:tcBorders>
            <w:hideMark/>
          </w:tcPr>
          <w:p w14:paraId="1D1A4AA0"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Meget almindelig</w:t>
            </w:r>
          </w:p>
        </w:tc>
        <w:tc>
          <w:tcPr>
            <w:tcW w:w="2573" w:type="pct"/>
            <w:tcBorders>
              <w:top w:val="single" w:sz="4" w:space="0" w:color="auto"/>
              <w:left w:val="single" w:sz="4" w:space="0" w:color="auto"/>
              <w:bottom w:val="single" w:sz="4" w:space="0" w:color="auto"/>
              <w:right w:val="single" w:sz="4" w:space="0" w:color="auto"/>
            </w:tcBorders>
            <w:hideMark/>
          </w:tcPr>
          <w:p w14:paraId="14ADADF3"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 xml:space="preserve">Forøgelse af </w:t>
            </w:r>
            <w:proofErr w:type="spellStart"/>
            <w:r>
              <w:rPr>
                <w:rFonts w:ascii="Times New Roman" w:hAnsi="Times New Roman" w:cs="Times New Roman"/>
                <w:sz w:val="24"/>
                <w:szCs w:val="24"/>
              </w:rPr>
              <w:t>alaninaminotransferase</w:t>
            </w:r>
            <w:proofErr w:type="spellEnd"/>
            <w:r>
              <w:rPr>
                <w:rFonts w:ascii="Times New Roman" w:hAnsi="Times New Roman" w:cs="Times New Roman"/>
                <w:sz w:val="24"/>
                <w:szCs w:val="24"/>
              </w:rPr>
              <w:t>, hovedsageligt let til moderat.</w:t>
            </w:r>
          </w:p>
        </w:tc>
      </w:tr>
      <w:tr w:rsidR="00A75BD5" w14:paraId="35F2D7AF"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506A8481" w14:textId="77777777" w:rsidR="00A75BD5" w:rsidRDefault="00A75BD5">
            <w:pPr>
              <w:rPr>
                <w:rFonts w:ascii="Times New Roman" w:hAnsi="Times New Roman" w:cs="Times New Roman"/>
                <w:sz w:val="24"/>
                <w:szCs w:val="24"/>
              </w:rPr>
            </w:pPr>
          </w:p>
        </w:tc>
        <w:tc>
          <w:tcPr>
            <w:tcW w:w="1030" w:type="pct"/>
            <w:vMerge w:val="restart"/>
            <w:tcBorders>
              <w:top w:val="single" w:sz="4" w:space="0" w:color="auto"/>
              <w:left w:val="single" w:sz="4" w:space="0" w:color="auto"/>
              <w:bottom w:val="single" w:sz="4" w:space="0" w:color="auto"/>
              <w:right w:val="single" w:sz="4" w:space="0" w:color="auto"/>
            </w:tcBorders>
            <w:hideMark/>
          </w:tcPr>
          <w:p w14:paraId="216A3BBB"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Almindelig</w:t>
            </w:r>
          </w:p>
        </w:tc>
        <w:tc>
          <w:tcPr>
            <w:tcW w:w="2573" w:type="pct"/>
            <w:tcBorders>
              <w:top w:val="single" w:sz="4" w:space="0" w:color="auto"/>
              <w:left w:val="single" w:sz="4" w:space="0" w:color="auto"/>
              <w:bottom w:val="single" w:sz="4" w:space="0" w:color="auto"/>
              <w:right w:val="single" w:sz="4" w:space="0" w:color="auto"/>
            </w:tcBorders>
            <w:hideMark/>
          </w:tcPr>
          <w:p w14:paraId="038239DF"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 xml:space="preserve">Forøgelse af </w:t>
            </w:r>
            <w:proofErr w:type="spellStart"/>
            <w:r>
              <w:rPr>
                <w:rFonts w:ascii="Times New Roman" w:hAnsi="Times New Roman" w:cs="Times New Roman"/>
                <w:sz w:val="24"/>
                <w:szCs w:val="24"/>
              </w:rPr>
              <w:t>aspartataminotransferase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hovedsagligt</w:t>
            </w:r>
            <w:proofErr w:type="spellEnd"/>
            <w:r>
              <w:rPr>
                <w:rFonts w:ascii="Times New Roman" w:hAnsi="Times New Roman" w:cs="Times New Roman"/>
                <w:sz w:val="24"/>
                <w:szCs w:val="24"/>
              </w:rPr>
              <w:t xml:space="preserve"> let til moderat.</w:t>
            </w:r>
          </w:p>
        </w:tc>
      </w:tr>
      <w:tr w:rsidR="00A75BD5" w14:paraId="37F95F6A"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40492CD7" w14:textId="77777777" w:rsidR="00A75BD5" w:rsidRDefault="00A75B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A0CE5" w14:textId="77777777" w:rsidR="00A75BD5" w:rsidRDefault="00A75BD5">
            <w:pPr>
              <w:rPr>
                <w:rFonts w:ascii="Times New Roman" w:hAnsi="Times New Roman" w:cs="Times New Roman"/>
                <w:sz w:val="24"/>
                <w:szCs w:val="24"/>
              </w:rPr>
            </w:pPr>
          </w:p>
        </w:tc>
        <w:tc>
          <w:tcPr>
            <w:tcW w:w="2573" w:type="pct"/>
            <w:tcBorders>
              <w:top w:val="single" w:sz="4" w:space="0" w:color="auto"/>
              <w:left w:val="single" w:sz="4" w:space="0" w:color="auto"/>
              <w:bottom w:val="single" w:sz="4" w:space="0" w:color="auto"/>
              <w:right w:val="single" w:sz="4" w:space="0" w:color="auto"/>
            </w:tcBorders>
            <w:hideMark/>
          </w:tcPr>
          <w:p w14:paraId="7DDD9065"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 xml:space="preserve">Forøgelse af total bilirubin, </w:t>
            </w:r>
            <w:proofErr w:type="spellStart"/>
            <w:r>
              <w:rPr>
                <w:rFonts w:ascii="Times New Roman" w:hAnsi="Times New Roman" w:cs="Times New Roman"/>
                <w:sz w:val="24"/>
                <w:szCs w:val="24"/>
              </w:rPr>
              <w:t>hovedsagligt</w:t>
            </w:r>
            <w:proofErr w:type="spellEnd"/>
            <w:r>
              <w:rPr>
                <w:rFonts w:ascii="Times New Roman" w:hAnsi="Times New Roman" w:cs="Times New Roman"/>
                <w:sz w:val="24"/>
                <w:szCs w:val="24"/>
              </w:rPr>
              <w:t xml:space="preserve"> let til moderat.</w:t>
            </w:r>
          </w:p>
        </w:tc>
      </w:tr>
      <w:tr w:rsidR="00A75BD5" w14:paraId="3F4C92A9"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74CE2E8F" w14:textId="77777777" w:rsidR="00A75BD5" w:rsidRDefault="00A75BD5">
            <w:pPr>
              <w:rPr>
                <w:rFonts w:ascii="Times New Roman" w:hAnsi="Times New Roman" w:cs="Times New Roman"/>
                <w:sz w:val="24"/>
                <w:szCs w:val="24"/>
              </w:rPr>
            </w:pPr>
          </w:p>
        </w:tc>
        <w:tc>
          <w:tcPr>
            <w:tcW w:w="1030" w:type="pct"/>
            <w:tcBorders>
              <w:top w:val="single" w:sz="4" w:space="0" w:color="auto"/>
              <w:left w:val="single" w:sz="4" w:space="0" w:color="auto"/>
              <w:bottom w:val="single" w:sz="4" w:space="0" w:color="auto"/>
              <w:right w:val="single" w:sz="4" w:space="0" w:color="auto"/>
            </w:tcBorders>
            <w:hideMark/>
          </w:tcPr>
          <w:p w14:paraId="24DD27FA"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Ikke almindelig</w:t>
            </w:r>
          </w:p>
        </w:tc>
        <w:tc>
          <w:tcPr>
            <w:tcW w:w="2573" w:type="pct"/>
            <w:tcBorders>
              <w:top w:val="single" w:sz="4" w:space="0" w:color="auto"/>
              <w:left w:val="single" w:sz="4" w:space="0" w:color="auto"/>
              <w:bottom w:val="single" w:sz="4" w:space="0" w:color="auto"/>
              <w:right w:val="single" w:sz="4" w:space="0" w:color="auto"/>
            </w:tcBorders>
            <w:hideMark/>
          </w:tcPr>
          <w:p w14:paraId="53535765"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Hepatitis**</w:t>
            </w:r>
          </w:p>
        </w:tc>
      </w:tr>
      <w:tr w:rsidR="00A75BD5" w14:paraId="64FD0DBE" w14:textId="77777777" w:rsidTr="00A75BD5">
        <w:tc>
          <w:tcPr>
            <w:tcW w:w="1396" w:type="pct"/>
            <w:vMerge w:val="restart"/>
            <w:tcBorders>
              <w:top w:val="single" w:sz="4" w:space="0" w:color="auto"/>
              <w:left w:val="single" w:sz="4" w:space="0" w:color="auto"/>
              <w:bottom w:val="single" w:sz="4" w:space="0" w:color="auto"/>
              <w:right w:val="single" w:sz="4" w:space="0" w:color="auto"/>
            </w:tcBorders>
            <w:hideMark/>
          </w:tcPr>
          <w:p w14:paraId="77A3367B"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Hud og subkutane væv</w:t>
            </w:r>
          </w:p>
        </w:tc>
        <w:tc>
          <w:tcPr>
            <w:tcW w:w="1030" w:type="pct"/>
            <w:tcBorders>
              <w:top w:val="single" w:sz="4" w:space="0" w:color="auto"/>
              <w:left w:val="single" w:sz="4" w:space="0" w:color="auto"/>
              <w:bottom w:val="single" w:sz="4" w:space="0" w:color="auto"/>
              <w:right w:val="single" w:sz="4" w:space="0" w:color="auto"/>
            </w:tcBorders>
            <w:hideMark/>
          </w:tcPr>
          <w:p w14:paraId="4B6E0BC3"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Meget almindelig</w:t>
            </w:r>
          </w:p>
        </w:tc>
        <w:tc>
          <w:tcPr>
            <w:tcW w:w="2573" w:type="pct"/>
            <w:tcBorders>
              <w:top w:val="single" w:sz="4" w:space="0" w:color="auto"/>
              <w:left w:val="single" w:sz="4" w:space="0" w:color="auto"/>
              <w:bottom w:val="single" w:sz="4" w:space="0" w:color="auto"/>
              <w:right w:val="single" w:sz="4" w:space="0" w:color="auto"/>
            </w:tcBorders>
            <w:hideMark/>
          </w:tcPr>
          <w:p w14:paraId="57C61413"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Hudreaktioner, hovedsageligt let eller moderat (</w:t>
            </w:r>
            <w:proofErr w:type="gramStart"/>
            <w:r>
              <w:rPr>
                <w:rFonts w:ascii="Times New Roman" w:hAnsi="Times New Roman" w:cs="Times New Roman"/>
                <w:sz w:val="24"/>
                <w:szCs w:val="24"/>
              </w:rPr>
              <w:t>CTC grad</w:t>
            </w:r>
            <w:proofErr w:type="gramEnd"/>
            <w:r>
              <w:rPr>
                <w:rFonts w:ascii="Times New Roman" w:hAnsi="Times New Roman" w:cs="Times New Roman"/>
                <w:sz w:val="24"/>
                <w:szCs w:val="24"/>
              </w:rPr>
              <w:t xml:space="preserve"> 1 eller 2) pustuløst udslæt, til tider kløende med tør hud, inklusive hudfissurer, på </w:t>
            </w:r>
            <w:proofErr w:type="spellStart"/>
            <w:r>
              <w:rPr>
                <w:rFonts w:ascii="Times New Roman" w:hAnsi="Times New Roman" w:cs="Times New Roman"/>
                <w:sz w:val="24"/>
                <w:szCs w:val="24"/>
              </w:rPr>
              <w:t>erytematøs</w:t>
            </w:r>
            <w:proofErr w:type="spellEnd"/>
            <w:r>
              <w:rPr>
                <w:rFonts w:ascii="Times New Roman" w:hAnsi="Times New Roman" w:cs="Times New Roman"/>
                <w:sz w:val="24"/>
                <w:szCs w:val="24"/>
              </w:rPr>
              <w:t xml:space="preserve"> basis.</w:t>
            </w:r>
          </w:p>
        </w:tc>
      </w:tr>
      <w:tr w:rsidR="00A75BD5" w14:paraId="53C2782C"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5B0520FE" w14:textId="77777777" w:rsidR="00A75BD5" w:rsidRDefault="00A75BD5">
            <w:pPr>
              <w:rPr>
                <w:rFonts w:ascii="Times New Roman" w:hAnsi="Times New Roman" w:cs="Times New Roman"/>
                <w:sz w:val="24"/>
                <w:szCs w:val="24"/>
              </w:rPr>
            </w:pPr>
          </w:p>
        </w:tc>
        <w:tc>
          <w:tcPr>
            <w:tcW w:w="1030" w:type="pct"/>
            <w:vMerge w:val="restart"/>
            <w:tcBorders>
              <w:top w:val="single" w:sz="4" w:space="0" w:color="auto"/>
              <w:left w:val="single" w:sz="4" w:space="0" w:color="auto"/>
              <w:bottom w:val="single" w:sz="4" w:space="0" w:color="auto"/>
              <w:right w:val="single" w:sz="4" w:space="0" w:color="auto"/>
            </w:tcBorders>
            <w:hideMark/>
          </w:tcPr>
          <w:p w14:paraId="6ECF8A7C"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Almindelig</w:t>
            </w:r>
          </w:p>
        </w:tc>
        <w:tc>
          <w:tcPr>
            <w:tcW w:w="2573" w:type="pct"/>
            <w:tcBorders>
              <w:top w:val="single" w:sz="4" w:space="0" w:color="auto"/>
              <w:left w:val="single" w:sz="4" w:space="0" w:color="auto"/>
              <w:bottom w:val="single" w:sz="4" w:space="0" w:color="auto"/>
              <w:right w:val="single" w:sz="4" w:space="0" w:color="auto"/>
            </w:tcBorders>
            <w:hideMark/>
          </w:tcPr>
          <w:p w14:paraId="2B00AB90"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Neglelidelser</w:t>
            </w:r>
          </w:p>
        </w:tc>
      </w:tr>
      <w:tr w:rsidR="00A75BD5" w14:paraId="6968AD37"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6689070D" w14:textId="77777777" w:rsidR="00A75BD5" w:rsidRDefault="00A75B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05A1C" w14:textId="77777777" w:rsidR="00A75BD5" w:rsidRDefault="00A75BD5">
            <w:pPr>
              <w:rPr>
                <w:rFonts w:ascii="Times New Roman" w:hAnsi="Times New Roman" w:cs="Times New Roman"/>
                <w:sz w:val="24"/>
                <w:szCs w:val="24"/>
              </w:rPr>
            </w:pPr>
          </w:p>
        </w:tc>
        <w:tc>
          <w:tcPr>
            <w:tcW w:w="2573" w:type="pct"/>
            <w:tcBorders>
              <w:top w:val="single" w:sz="4" w:space="0" w:color="auto"/>
              <w:left w:val="single" w:sz="4" w:space="0" w:color="auto"/>
              <w:bottom w:val="single" w:sz="4" w:space="0" w:color="auto"/>
              <w:right w:val="single" w:sz="4" w:space="0" w:color="auto"/>
            </w:tcBorders>
            <w:hideMark/>
          </w:tcPr>
          <w:p w14:paraId="06EDBC97" w14:textId="77777777" w:rsidR="00A75BD5" w:rsidRDefault="00A75BD5">
            <w:pPr>
              <w:rPr>
                <w:rFonts w:ascii="Times New Roman" w:hAnsi="Times New Roman" w:cs="Times New Roman"/>
                <w:sz w:val="24"/>
                <w:szCs w:val="24"/>
              </w:rPr>
            </w:pPr>
            <w:proofErr w:type="spellStart"/>
            <w:r>
              <w:rPr>
                <w:rFonts w:ascii="Times New Roman" w:hAnsi="Times New Roman" w:cs="Times New Roman"/>
                <w:sz w:val="24"/>
                <w:szCs w:val="24"/>
              </w:rPr>
              <w:t>Alopeci</w:t>
            </w:r>
            <w:proofErr w:type="spellEnd"/>
          </w:p>
        </w:tc>
      </w:tr>
      <w:tr w:rsidR="00A75BD5" w14:paraId="6874FA6E"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6FCA184E" w14:textId="77777777" w:rsidR="00A75BD5" w:rsidRDefault="00A75B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355CF" w14:textId="77777777" w:rsidR="00A75BD5" w:rsidRDefault="00A75BD5">
            <w:pPr>
              <w:rPr>
                <w:rFonts w:ascii="Times New Roman" w:hAnsi="Times New Roman" w:cs="Times New Roman"/>
                <w:sz w:val="24"/>
                <w:szCs w:val="24"/>
              </w:rPr>
            </w:pPr>
          </w:p>
        </w:tc>
        <w:tc>
          <w:tcPr>
            <w:tcW w:w="2573" w:type="pct"/>
            <w:tcBorders>
              <w:top w:val="single" w:sz="4" w:space="0" w:color="auto"/>
              <w:left w:val="single" w:sz="4" w:space="0" w:color="auto"/>
              <w:bottom w:val="single" w:sz="4" w:space="0" w:color="auto"/>
              <w:right w:val="single" w:sz="4" w:space="0" w:color="auto"/>
            </w:tcBorders>
            <w:hideMark/>
          </w:tcPr>
          <w:p w14:paraId="7BCFA835"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 xml:space="preserve">Allergiske reaktioner (1,1 %), inklusive </w:t>
            </w:r>
            <w:proofErr w:type="spellStart"/>
            <w:r>
              <w:rPr>
                <w:rFonts w:ascii="Times New Roman" w:hAnsi="Times New Roman" w:cs="Times New Roman"/>
                <w:sz w:val="24"/>
                <w:szCs w:val="24"/>
              </w:rPr>
              <w:t>angioødem</w:t>
            </w:r>
            <w:proofErr w:type="spellEnd"/>
            <w:r>
              <w:rPr>
                <w:rFonts w:ascii="Times New Roman" w:hAnsi="Times New Roman" w:cs="Times New Roman"/>
                <w:sz w:val="24"/>
                <w:szCs w:val="24"/>
              </w:rPr>
              <w:t xml:space="preserve"> og </w:t>
            </w:r>
            <w:proofErr w:type="spellStart"/>
            <w:r>
              <w:rPr>
                <w:rFonts w:ascii="Times New Roman" w:hAnsi="Times New Roman" w:cs="Times New Roman"/>
                <w:sz w:val="24"/>
                <w:szCs w:val="24"/>
              </w:rPr>
              <w:t>urticaria</w:t>
            </w:r>
            <w:proofErr w:type="spellEnd"/>
          </w:p>
        </w:tc>
      </w:tr>
      <w:tr w:rsidR="00A75BD5" w14:paraId="2F7CFA04"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6AB82D7E" w14:textId="77777777" w:rsidR="00A75BD5" w:rsidRDefault="00A75BD5">
            <w:pPr>
              <w:rPr>
                <w:rFonts w:ascii="Times New Roman" w:hAnsi="Times New Roman" w:cs="Times New Roman"/>
                <w:sz w:val="24"/>
                <w:szCs w:val="24"/>
              </w:rPr>
            </w:pPr>
          </w:p>
        </w:tc>
        <w:tc>
          <w:tcPr>
            <w:tcW w:w="1030" w:type="pct"/>
            <w:tcBorders>
              <w:top w:val="single" w:sz="4" w:space="0" w:color="auto"/>
              <w:left w:val="single" w:sz="4" w:space="0" w:color="auto"/>
              <w:bottom w:val="single" w:sz="4" w:space="0" w:color="auto"/>
              <w:right w:val="single" w:sz="4" w:space="0" w:color="auto"/>
            </w:tcBorders>
            <w:vAlign w:val="center"/>
            <w:hideMark/>
          </w:tcPr>
          <w:p w14:paraId="36B62B51" w14:textId="77777777" w:rsidR="00A75BD5" w:rsidRDefault="00A75BD5">
            <w:pPr>
              <w:rPr>
                <w:rFonts w:ascii="Times New Roman" w:hAnsi="Times New Roman" w:cs="Times New Roman"/>
                <w:sz w:val="24"/>
                <w:szCs w:val="24"/>
              </w:rPr>
            </w:pPr>
            <w:r>
              <w:rPr>
                <w:sz w:val="24"/>
                <w:szCs w:val="24"/>
              </w:rPr>
              <w:t>Ikke almindelig</w:t>
            </w:r>
          </w:p>
        </w:tc>
        <w:tc>
          <w:tcPr>
            <w:tcW w:w="2573" w:type="pct"/>
            <w:tcBorders>
              <w:top w:val="single" w:sz="4" w:space="0" w:color="auto"/>
              <w:left w:val="single" w:sz="4" w:space="0" w:color="auto"/>
              <w:bottom w:val="single" w:sz="4" w:space="0" w:color="auto"/>
              <w:right w:val="single" w:sz="4" w:space="0" w:color="auto"/>
            </w:tcBorders>
            <w:hideMark/>
          </w:tcPr>
          <w:p w14:paraId="05A89586" w14:textId="77777777" w:rsidR="00A75BD5" w:rsidRDefault="00A75BD5">
            <w:pPr>
              <w:rPr>
                <w:rFonts w:ascii="Times New Roman" w:hAnsi="Times New Roman" w:cs="Times New Roman"/>
                <w:sz w:val="24"/>
                <w:szCs w:val="24"/>
              </w:rPr>
            </w:pPr>
            <w:proofErr w:type="spellStart"/>
            <w:r>
              <w:rPr>
                <w:rFonts w:ascii="Times New Roman" w:eastAsia="TimesNewRoman" w:cs="Times New Roman"/>
                <w:sz w:val="24"/>
                <w:szCs w:val="24"/>
                <w:lang w:eastAsia="da-DK"/>
              </w:rPr>
              <w:t>Palmoplantar</w:t>
            </w:r>
            <w:proofErr w:type="spellEnd"/>
            <w:r>
              <w:rPr>
                <w:rFonts w:ascii="Times New Roman" w:eastAsia="TimesNewRoman" w:cs="Times New Roman"/>
                <w:sz w:val="24"/>
                <w:szCs w:val="24"/>
                <w:lang w:eastAsia="da-DK"/>
              </w:rPr>
              <w:t xml:space="preserve"> </w:t>
            </w:r>
            <w:proofErr w:type="spellStart"/>
            <w:r>
              <w:rPr>
                <w:rFonts w:ascii="Times New Roman" w:eastAsia="TimesNewRoman" w:cs="Times New Roman"/>
                <w:sz w:val="24"/>
                <w:szCs w:val="24"/>
                <w:lang w:eastAsia="da-DK"/>
              </w:rPr>
              <w:t>erytrodys</w:t>
            </w:r>
            <w:r>
              <w:rPr>
                <w:rFonts w:ascii="Times New Roman" w:eastAsia="TimesNewRoman" w:cs="Times New Roman"/>
                <w:sz w:val="24"/>
                <w:szCs w:val="24"/>
                <w:lang w:eastAsia="da-DK"/>
              </w:rPr>
              <w:t>æ</w:t>
            </w:r>
            <w:r>
              <w:rPr>
                <w:rFonts w:ascii="Times New Roman" w:eastAsia="TimesNewRoman" w:cs="Times New Roman"/>
                <w:sz w:val="24"/>
                <w:szCs w:val="24"/>
                <w:lang w:eastAsia="da-DK"/>
              </w:rPr>
              <w:t>stesi</w:t>
            </w:r>
            <w:proofErr w:type="spellEnd"/>
            <w:r>
              <w:rPr>
                <w:rFonts w:ascii="Times New Roman" w:eastAsia="TimesNewRoman" w:cs="Times New Roman"/>
                <w:sz w:val="24"/>
                <w:szCs w:val="24"/>
                <w:lang w:eastAsia="da-DK"/>
              </w:rPr>
              <w:t>-syndrom</w:t>
            </w:r>
          </w:p>
        </w:tc>
      </w:tr>
      <w:tr w:rsidR="00A75BD5" w14:paraId="737B0A73"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6890381A" w14:textId="77777777" w:rsidR="00A75BD5" w:rsidRDefault="00A75BD5">
            <w:pPr>
              <w:rPr>
                <w:rFonts w:ascii="Times New Roman" w:hAnsi="Times New Roman" w:cs="Times New Roman"/>
                <w:sz w:val="24"/>
                <w:szCs w:val="24"/>
              </w:rPr>
            </w:pPr>
          </w:p>
        </w:tc>
        <w:tc>
          <w:tcPr>
            <w:tcW w:w="1030" w:type="pct"/>
            <w:vMerge w:val="restart"/>
            <w:tcBorders>
              <w:top w:val="single" w:sz="4" w:space="0" w:color="auto"/>
              <w:left w:val="single" w:sz="4" w:space="0" w:color="auto"/>
              <w:bottom w:val="single" w:sz="4" w:space="0" w:color="auto"/>
              <w:right w:val="single" w:sz="4" w:space="0" w:color="auto"/>
            </w:tcBorders>
            <w:hideMark/>
          </w:tcPr>
          <w:p w14:paraId="7FC536AD"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Sjælden</w:t>
            </w:r>
          </w:p>
        </w:tc>
        <w:tc>
          <w:tcPr>
            <w:tcW w:w="2573" w:type="pct"/>
            <w:tcBorders>
              <w:top w:val="single" w:sz="4" w:space="0" w:color="auto"/>
              <w:left w:val="single" w:sz="4" w:space="0" w:color="auto"/>
              <w:bottom w:val="single" w:sz="4" w:space="0" w:color="auto"/>
              <w:right w:val="single" w:sz="4" w:space="0" w:color="auto"/>
            </w:tcBorders>
            <w:hideMark/>
          </w:tcPr>
          <w:p w14:paraId="4BCF8701" w14:textId="77777777" w:rsidR="00A75BD5" w:rsidRDefault="00A75BD5">
            <w:pPr>
              <w:rPr>
                <w:rFonts w:ascii="Times New Roman" w:hAnsi="Times New Roman" w:cs="Times New Roman"/>
                <w:sz w:val="24"/>
                <w:szCs w:val="24"/>
              </w:rPr>
            </w:pPr>
            <w:proofErr w:type="spellStart"/>
            <w:r>
              <w:rPr>
                <w:rFonts w:ascii="Times New Roman" w:hAnsi="Times New Roman" w:cs="Times New Roman"/>
                <w:sz w:val="24"/>
                <w:szCs w:val="24"/>
              </w:rPr>
              <w:t>Bulløse</w:t>
            </w:r>
            <w:proofErr w:type="spellEnd"/>
            <w:r>
              <w:rPr>
                <w:rFonts w:ascii="Times New Roman" w:hAnsi="Times New Roman" w:cs="Times New Roman"/>
                <w:sz w:val="24"/>
                <w:szCs w:val="24"/>
              </w:rPr>
              <w:t xml:space="preserve"> tilstande, inklusive toksisk </w:t>
            </w:r>
            <w:proofErr w:type="spellStart"/>
            <w:r>
              <w:rPr>
                <w:rFonts w:ascii="Times New Roman" w:hAnsi="Times New Roman" w:cs="Times New Roman"/>
                <w:sz w:val="24"/>
                <w:szCs w:val="24"/>
              </w:rPr>
              <w:t>epidermal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nekrolyse</w:t>
            </w:r>
            <w:proofErr w:type="spellEnd"/>
            <w:r>
              <w:rPr>
                <w:rFonts w:ascii="Times New Roman" w:hAnsi="Times New Roman" w:cs="Times New Roman"/>
                <w:sz w:val="24"/>
                <w:szCs w:val="24"/>
              </w:rPr>
              <w:t xml:space="preserve">, Stevens-Johnsons syndrom og </w:t>
            </w:r>
            <w:proofErr w:type="spellStart"/>
            <w:r>
              <w:rPr>
                <w:rFonts w:ascii="Times New Roman" w:hAnsi="Times New Roman" w:cs="Times New Roman"/>
                <w:sz w:val="24"/>
                <w:szCs w:val="24"/>
              </w:rPr>
              <w:t>erythema</w:t>
            </w:r>
            <w:proofErr w:type="spellEnd"/>
            <w:r>
              <w:rPr>
                <w:rFonts w:ascii="Times New Roman" w:hAnsi="Times New Roman" w:cs="Times New Roman"/>
                <w:sz w:val="24"/>
                <w:szCs w:val="24"/>
              </w:rPr>
              <w:t xml:space="preserve"> multiforme.</w:t>
            </w:r>
          </w:p>
        </w:tc>
      </w:tr>
      <w:tr w:rsidR="00A75BD5" w14:paraId="0781F677"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524CDCDB" w14:textId="77777777" w:rsidR="00A75BD5" w:rsidRDefault="00A75B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C199CB" w14:textId="77777777" w:rsidR="00A75BD5" w:rsidRDefault="00A75BD5">
            <w:pPr>
              <w:rPr>
                <w:rFonts w:ascii="Times New Roman" w:hAnsi="Times New Roman" w:cs="Times New Roman"/>
                <w:sz w:val="24"/>
                <w:szCs w:val="24"/>
              </w:rPr>
            </w:pPr>
          </w:p>
        </w:tc>
        <w:tc>
          <w:tcPr>
            <w:tcW w:w="2573" w:type="pct"/>
            <w:tcBorders>
              <w:top w:val="single" w:sz="4" w:space="0" w:color="auto"/>
              <w:left w:val="single" w:sz="4" w:space="0" w:color="auto"/>
              <w:bottom w:val="single" w:sz="4" w:space="0" w:color="auto"/>
              <w:right w:val="single" w:sz="4" w:space="0" w:color="auto"/>
            </w:tcBorders>
            <w:hideMark/>
          </w:tcPr>
          <w:p w14:paraId="4335F197" w14:textId="77777777" w:rsidR="00A75BD5" w:rsidRDefault="00A75BD5">
            <w:pPr>
              <w:rPr>
                <w:rFonts w:ascii="Times New Roman" w:hAnsi="Times New Roman" w:cs="Times New Roman"/>
                <w:sz w:val="24"/>
                <w:szCs w:val="24"/>
              </w:rPr>
            </w:pPr>
            <w:proofErr w:type="spellStart"/>
            <w:r>
              <w:rPr>
                <w:rFonts w:ascii="Times New Roman" w:hAnsi="Times New Roman" w:cs="Times New Roman"/>
                <w:sz w:val="24"/>
                <w:szCs w:val="24"/>
              </w:rPr>
              <w:t>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vaskulitis</w:t>
            </w:r>
            <w:proofErr w:type="spellEnd"/>
          </w:p>
        </w:tc>
      </w:tr>
      <w:tr w:rsidR="00A75BD5" w14:paraId="1D53B627" w14:textId="77777777" w:rsidTr="00A75BD5">
        <w:tc>
          <w:tcPr>
            <w:tcW w:w="1396" w:type="pct"/>
            <w:vMerge w:val="restart"/>
            <w:tcBorders>
              <w:top w:val="single" w:sz="4" w:space="0" w:color="auto"/>
              <w:left w:val="single" w:sz="4" w:space="0" w:color="auto"/>
              <w:bottom w:val="single" w:sz="4" w:space="0" w:color="auto"/>
              <w:right w:val="single" w:sz="4" w:space="0" w:color="auto"/>
            </w:tcBorders>
            <w:hideMark/>
          </w:tcPr>
          <w:p w14:paraId="1FD8E715"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Nyrer og urinveje</w:t>
            </w:r>
          </w:p>
        </w:tc>
        <w:tc>
          <w:tcPr>
            <w:tcW w:w="1030" w:type="pct"/>
            <w:vMerge w:val="restart"/>
            <w:tcBorders>
              <w:top w:val="single" w:sz="4" w:space="0" w:color="auto"/>
              <w:left w:val="single" w:sz="4" w:space="0" w:color="auto"/>
              <w:bottom w:val="single" w:sz="4" w:space="0" w:color="auto"/>
              <w:right w:val="single" w:sz="4" w:space="0" w:color="auto"/>
            </w:tcBorders>
            <w:hideMark/>
          </w:tcPr>
          <w:p w14:paraId="5F25DEC7"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Almindelig</w:t>
            </w:r>
          </w:p>
        </w:tc>
        <w:tc>
          <w:tcPr>
            <w:tcW w:w="2573" w:type="pct"/>
            <w:tcBorders>
              <w:top w:val="single" w:sz="4" w:space="0" w:color="auto"/>
              <w:left w:val="single" w:sz="4" w:space="0" w:color="auto"/>
              <w:bottom w:val="single" w:sz="4" w:space="0" w:color="auto"/>
              <w:right w:val="single" w:sz="4" w:space="0" w:color="auto"/>
            </w:tcBorders>
            <w:hideMark/>
          </w:tcPr>
          <w:p w14:paraId="4AE06371"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 xml:space="preserve">Asymptomatisk stigning i </w:t>
            </w:r>
            <w:proofErr w:type="spellStart"/>
            <w:r>
              <w:rPr>
                <w:rFonts w:ascii="Times New Roman" w:hAnsi="Times New Roman" w:cs="Times New Roman"/>
                <w:sz w:val="24"/>
                <w:szCs w:val="24"/>
              </w:rPr>
              <w:t>kreatinin</w:t>
            </w:r>
            <w:proofErr w:type="spellEnd"/>
            <w:r>
              <w:rPr>
                <w:rFonts w:ascii="Times New Roman" w:hAnsi="Times New Roman" w:cs="Times New Roman"/>
                <w:sz w:val="24"/>
                <w:szCs w:val="24"/>
              </w:rPr>
              <w:t xml:space="preserve"> i blodprøver</w:t>
            </w:r>
          </w:p>
        </w:tc>
      </w:tr>
      <w:tr w:rsidR="00A75BD5" w14:paraId="34BB55DF"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2F7FB050" w14:textId="77777777" w:rsidR="00A75BD5" w:rsidRDefault="00A75B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BC51A" w14:textId="77777777" w:rsidR="00A75BD5" w:rsidRDefault="00A75BD5">
            <w:pPr>
              <w:rPr>
                <w:rFonts w:ascii="Times New Roman" w:hAnsi="Times New Roman" w:cs="Times New Roman"/>
                <w:sz w:val="24"/>
                <w:szCs w:val="24"/>
              </w:rPr>
            </w:pPr>
          </w:p>
        </w:tc>
        <w:tc>
          <w:tcPr>
            <w:tcW w:w="2573" w:type="pct"/>
            <w:tcBorders>
              <w:top w:val="single" w:sz="4" w:space="0" w:color="auto"/>
              <w:left w:val="single" w:sz="4" w:space="0" w:color="auto"/>
              <w:bottom w:val="single" w:sz="4" w:space="0" w:color="auto"/>
              <w:right w:val="single" w:sz="4" w:space="0" w:color="auto"/>
            </w:tcBorders>
            <w:hideMark/>
          </w:tcPr>
          <w:p w14:paraId="02E560B3" w14:textId="77777777" w:rsidR="00A75BD5" w:rsidRDefault="00A75BD5">
            <w:pPr>
              <w:rPr>
                <w:rFonts w:ascii="Times New Roman" w:hAnsi="Times New Roman" w:cs="Times New Roman"/>
                <w:sz w:val="24"/>
                <w:szCs w:val="24"/>
              </w:rPr>
            </w:pPr>
            <w:proofErr w:type="spellStart"/>
            <w:r>
              <w:rPr>
                <w:rFonts w:ascii="Times New Roman" w:hAnsi="Times New Roman" w:cs="Times New Roman"/>
                <w:sz w:val="24"/>
                <w:szCs w:val="24"/>
              </w:rPr>
              <w:t>Proteinuri</w:t>
            </w:r>
            <w:proofErr w:type="spellEnd"/>
          </w:p>
        </w:tc>
      </w:tr>
      <w:tr w:rsidR="00A75BD5" w14:paraId="3B271D9B"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11DA1140" w14:textId="77777777" w:rsidR="00A75BD5" w:rsidRDefault="00A75B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4886F" w14:textId="77777777" w:rsidR="00A75BD5" w:rsidRDefault="00A75BD5">
            <w:pPr>
              <w:rPr>
                <w:rFonts w:ascii="Times New Roman" w:hAnsi="Times New Roman" w:cs="Times New Roman"/>
                <w:sz w:val="24"/>
                <w:szCs w:val="24"/>
              </w:rPr>
            </w:pPr>
          </w:p>
        </w:tc>
        <w:tc>
          <w:tcPr>
            <w:tcW w:w="2573" w:type="pct"/>
            <w:tcBorders>
              <w:top w:val="single" w:sz="4" w:space="0" w:color="auto"/>
              <w:left w:val="single" w:sz="4" w:space="0" w:color="auto"/>
              <w:bottom w:val="single" w:sz="4" w:space="0" w:color="auto"/>
              <w:right w:val="single" w:sz="4" w:space="0" w:color="auto"/>
            </w:tcBorders>
            <w:hideMark/>
          </w:tcPr>
          <w:p w14:paraId="7582EF66"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Cystitis</w:t>
            </w:r>
          </w:p>
        </w:tc>
      </w:tr>
      <w:tr w:rsidR="00A75BD5" w14:paraId="7B7C636C"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66A79F65" w14:textId="77777777" w:rsidR="00A75BD5" w:rsidRDefault="00A75BD5">
            <w:pPr>
              <w:rPr>
                <w:rFonts w:ascii="Times New Roman" w:hAnsi="Times New Roman" w:cs="Times New Roman"/>
                <w:sz w:val="24"/>
                <w:szCs w:val="24"/>
              </w:rPr>
            </w:pPr>
          </w:p>
        </w:tc>
        <w:tc>
          <w:tcPr>
            <w:tcW w:w="1030" w:type="pct"/>
            <w:tcBorders>
              <w:top w:val="single" w:sz="4" w:space="0" w:color="auto"/>
              <w:left w:val="single" w:sz="4" w:space="0" w:color="auto"/>
              <w:bottom w:val="single" w:sz="4" w:space="0" w:color="auto"/>
              <w:right w:val="single" w:sz="4" w:space="0" w:color="auto"/>
            </w:tcBorders>
            <w:hideMark/>
          </w:tcPr>
          <w:p w14:paraId="479AC899"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Sjælden</w:t>
            </w:r>
          </w:p>
        </w:tc>
        <w:tc>
          <w:tcPr>
            <w:tcW w:w="2573" w:type="pct"/>
            <w:tcBorders>
              <w:top w:val="single" w:sz="4" w:space="0" w:color="auto"/>
              <w:left w:val="single" w:sz="4" w:space="0" w:color="auto"/>
              <w:bottom w:val="single" w:sz="4" w:space="0" w:color="auto"/>
              <w:right w:val="single" w:sz="4" w:space="0" w:color="auto"/>
            </w:tcBorders>
            <w:hideMark/>
          </w:tcPr>
          <w:p w14:paraId="180E666F" w14:textId="77777777" w:rsidR="00A75BD5" w:rsidRDefault="00A75BD5">
            <w:pPr>
              <w:rPr>
                <w:rFonts w:ascii="Times New Roman" w:hAnsi="Times New Roman" w:cs="Times New Roman"/>
                <w:sz w:val="24"/>
                <w:szCs w:val="24"/>
              </w:rPr>
            </w:pPr>
            <w:proofErr w:type="spellStart"/>
            <w:r>
              <w:rPr>
                <w:rFonts w:ascii="Times New Roman" w:hAnsi="Times New Roman" w:cs="Times New Roman"/>
                <w:sz w:val="24"/>
                <w:szCs w:val="24"/>
              </w:rPr>
              <w:t>Hæmoragisk</w:t>
            </w:r>
            <w:proofErr w:type="spellEnd"/>
            <w:r>
              <w:rPr>
                <w:rFonts w:ascii="Times New Roman" w:hAnsi="Times New Roman" w:cs="Times New Roman"/>
                <w:sz w:val="24"/>
                <w:szCs w:val="24"/>
              </w:rPr>
              <w:t xml:space="preserve"> cystitis</w:t>
            </w:r>
          </w:p>
        </w:tc>
      </w:tr>
      <w:tr w:rsidR="00A75BD5" w14:paraId="624E590D" w14:textId="77777777" w:rsidTr="00A75BD5">
        <w:tc>
          <w:tcPr>
            <w:tcW w:w="1396" w:type="pct"/>
            <w:vMerge w:val="restart"/>
            <w:tcBorders>
              <w:top w:val="single" w:sz="4" w:space="0" w:color="auto"/>
              <w:left w:val="single" w:sz="4" w:space="0" w:color="auto"/>
              <w:bottom w:val="single" w:sz="4" w:space="0" w:color="auto"/>
              <w:right w:val="single" w:sz="4" w:space="0" w:color="auto"/>
            </w:tcBorders>
            <w:hideMark/>
          </w:tcPr>
          <w:p w14:paraId="6DFF21CA"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Almene symptomer og reaktioner på administrationsstedet</w:t>
            </w:r>
          </w:p>
        </w:tc>
        <w:tc>
          <w:tcPr>
            <w:tcW w:w="1030" w:type="pct"/>
            <w:tcBorders>
              <w:top w:val="single" w:sz="4" w:space="0" w:color="auto"/>
              <w:left w:val="single" w:sz="4" w:space="0" w:color="auto"/>
              <w:bottom w:val="single" w:sz="4" w:space="0" w:color="auto"/>
              <w:right w:val="single" w:sz="4" w:space="0" w:color="auto"/>
            </w:tcBorders>
            <w:hideMark/>
          </w:tcPr>
          <w:p w14:paraId="6FC03073"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Meget almindelig</w:t>
            </w:r>
          </w:p>
        </w:tc>
        <w:tc>
          <w:tcPr>
            <w:tcW w:w="2573" w:type="pct"/>
            <w:tcBorders>
              <w:top w:val="single" w:sz="4" w:space="0" w:color="auto"/>
              <w:left w:val="single" w:sz="4" w:space="0" w:color="auto"/>
              <w:bottom w:val="single" w:sz="4" w:space="0" w:color="auto"/>
              <w:right w:val="single" w:sz="4" w:space="0" w:color="auto"/>
            </w:tcBorders>
            <w:hideMark/>
          </w:tcPr>
          <w:p w14:paraId="3B0FA589"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Asteni, hovedsageligt let (</w:t>
            </w:r>
            <w:proofErr w:type="gramStart"/>
            <w:r>
              <w:rPr>
                <w:rFonts w:ascii="Times New Roman" w:hAnsi="Times New Roman" w:cs="Times New Roman"/>
                <w:sz w:val="24"/>
                <w:szCs w:val="24"/>
              </w:rPr>
              <w:t>CTC grad</w:t>
            </w:r>
            <w:proofErr w:type="gramEnd"/>
            <w:r>
              <w:rPr>
                <w:rFonts w:ascii="Times New Roman" w:hAnsi="Times New Roman" w:cs="Times New Roman"/>
                <w:sz w:val="24"/>
                <w:szCs w:val="24"/>
              </w:rPr>
              <w:t xml:space="preserve"> 1).</w:t>
            </w:r>
          </w:p>
        </w:tc>
      </w:tr>
      <w:tr w:rsidR="00A75BD5" w14:paraId="610DBDA9" w14:textId="77777777" w:rsidTr="00A75BD5">
        <w:tc>
          <w:tcPr>
            <w:tcW w:w="0" w:type="auto"/>
            <w:vMerge/>
            <w:tcBorders>
              <w:top w:val="single" w:sz="4" w:space="0" w:color="auto"/>
              <w:left w:val="single" w:sz="4" w:space="0" w:color="auto"/>
              <w:bottom w:val="single" w:sz="4" w:space="0" w:color="auto"/>
              <w:right w:val="single" w:sz="4" w:space="0" w:color="auto"/>
            </w:tcBorders>
            <w:vAlign w:val="center"/>
            <w:hideMark/>
          </w:tcPr>
          <w:p w14:paraId="72BB3138" w14:textId="77777777" w:rsidR="00A75BD5" w:rsidRDefault="00A75BD5">
            <w:pPr>
              <w:rPr>
                <w:rFonts w:ascii="Times New Roman" w:hAnsi="Times New Roman" w:cs="Times New Roman"/>
                <w:sz w:val="24"/>
                <w:szCs w:val="24"/>
              </w:rPr>
            </w:pPr>
          </w:p>
        </w:tc>
        <w:tc>
          <w:tcPr>
            <w:tcW w:w="1030" w:type="pct"/>
            <w:tcBorders>
              <w:top w:val="single" w:sz="4" w:space="0" w:color="auto"/>
              <w:left w:val="single" w:sz="4" w:space="0" w:color="auto"/>
              <w:bottom w:val="single" w:sz="4" w:space="0" w:color="auto"/>
              <w:right w:val="single" w:sz="4" w:space="0" w:color="auto"/>
            </w:tcBorders>
            <w:hideMark/>
          </w:tcPr>
          <w:p w14:paraId="125C27F5"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Almindelig</w:t>
            </w:r>
          </w:p>
        </w:tc>
        <w:tc>
          <w:tcPr>
            <w:tcW w:w="2573" w:type="pct"/>
            <w:tcBorders>
              <w:top w:val="single" w:sz="4" w:space="0" w:color="auto"/>
              <w:left w:val="single" w:sz="4" w:space="0" w:color="auto"/>
              <w:bottom w:val="single" w:sz="4" w:space="0" w:color="auto"/>
              <w:right w:val="single" w:sz="4" w:space="0" w:color="auto"/>
            </w:tcBorders>
            <w:hideMark/>
          </w:tcPr>
          <w:p w14:paraId="7475AA28" w14:textId="77777777" w:rsidR="00A75BD5" w:rsidRDefault="00A75BD5">
            <w:pPr>
              <w:rPr>
                <w:rFonts w:ascii="Times New Roman" w:hAnsi="Times New Roman" w:cs="Times New Roman"/>
                <w:sz w:val="24"/>
                <w:szCs w:val="24"/>
              </w:rPr>
            </w:pPr>
            <w:r>
              <w:rPr>
                <w:rFonts w:ascii="Times New Roman" w:hAnsi="Times New Roman" w:cs="Times New Roman"/>
                <w:sz w:val="24"/>
                <w:szCs w:val="24"/>
              </w:rPr>
              <w:t>Feber</w:t>
            </w:r>
          </w:p>
        </w:tc>
      </w:tr>
    </w:tbl>
    <w:p w14:paraId="6731E36B" w14:textId="77777777" w:rsidR="00A75BD5" w:rsidRDefault="00A75BD5" w:rsidP="00A75BD5">
      <w:pPr>
        <w:tabs>
          <w:tab w:val="left" w:pos="426"/>
        </w:tabs>
        <w:rPr>
          <w:sz w:val="20"/>
        </w:rPr>
      </w:pPr>
      <w:r>
        <w:rPr>
          <w:sz w:val="20"/>
        </w:rPr>
        <w:t>Frekvensen af bivirkninger, der er relateret til unormale laboratorieværdier, er baseret på patienter med en ændring fra baseline på to eller flere CTC-grader i de relevante laboratorieparametre.</w:t>
      </w:r>
    </w:p>
    <w:p w14:paraId="7FEE76B4" w14:textId="77777777" w:rsidR="00A75BD5" w:rsidRDefault="00A75BD5" w:rsidP="00A75BD5">
      <w:pPr>
        <w:tabs>
          <w:tab w:val="left" w:pos="426"/>
        </w:tabs>
        <w:ind w:left="426" w:hanging="426"/>
        <w:rPr>
          <w:sz w:val="20"/>
        </w:rPr>
      </w:pPr>
      <w:r>
        <w:rPr>
          <w:sz w:val="20"/>
        </w:rPr>
        <w:t xml:space="preserve">* </w:t>
      </w:r>
      <w:r>
        <w:rPr>
          <w:sz w:val="20"/>
        </w:rPr>
        <w:tab/>
        <w:t xml:space="preserve">Denne bivirkning forekommer i forbindelse med andre tørre tilstande (fortrinsvis hudreaktioner) i forbindelse med </w:t>
      </w:r>
      <w:proofErr w:type="spellStart"/>
      <w:r>
        <w:rPr>
          <w:sz w:val="20"/>
        </w:rPr>
        <w:t>gefitinib</w:t>
      </w:r>
      <w:proofErr w:type="spellEnd"/>
      <w:r>
        <w:rPr>
          <w:sz w:val="20"/>
        </w:rPr>
        <w:t>.</w:t>
      </w:r>
    </w:p>
    <w:p w14:paraId="7A4CDABD" w14:textId="77777777" w:rsidR="009F4442" w:rsidRPr="004368D6" w:rsidRDefault="00A75BD5" w:rsidP="009F4442">
      <w:pPr>
        <w:tabs>
          <w:tab w:val="left" w:pos="426"/>
        </w:tabs>
        <w:rPr>
          <w:sz w:val="20"/>
        </w:rPr>
      </w:pPr>
      <w:r>
        <w:rPr>
          <w:sz w:val="20"/>
        </w:rPr>
        <w:t xml:space="preserve">** </w:t>
      </w:r>
      <w:r>
        <w:rPr>
          <w:sz w:val="20"/>
        </w:rPr>
        <w:tab/>
        <w:t>Inkluderer isolerede rapporter om leversvigt, som i nogle tilfælde havde letalt udfald.</w:t>
      </w:r>
    </w:p>
    <w:p w14:paraId="71706E88" w14:textId="77777777" w:rsidR="009F4442" w:rsidRPr="003604AD" w:rsidRDefault="009F4442" w:rsidP="009F4442">
      <w:pPr>
        <w:ind w:left="851"/>
        <w:rPr>
          <w:sz w:val="24"/>
          <w:szCs w:val="24"/>
        </w:rPr>
      </w:pPr>
    </w:p>
    <w:p w14:paraId="014D4A93" w14:textId="77777777" w:rsidR="009F4442" w:rsidRPr="003604AD" w:rsidRDefault="009F4442" w:rsidP="009F4442">
      <w:pPr>
        <w:ind w:left="851"/>
        <w:rPr>
          <w:i/>
          <w:sz w:val="24"/>
          <w:szCs w:val="24"/>
        </w:rPr>
      </w:pPr>
      <w:proofErr w:type="spellStart"/>
      <w:r w:rsidRPr="003604AD">
        <w:rPr>
          <w:i/>
          <w:sz w:val="24"/>
          <w:szCs w:val="24"/>
        </w:rPr>
        <w:t>Interstitiel</w:t>
      </w:r>
      <w:proofErr w:type="spellEnd"/>
      <w:r w:rsidRPr="003604AD">
        <w:rPr>
          <w:i/>
          <w:sz w:val="24"/>
          <w:szCs w:val="24"/>
        </w:rPr>
        <w:t xml:space="preserve"> lungesygdom (ILS)</w:t>
      </w:r>
    </w:p>
    <w:p w14:paraId="0D32A3ED" w14:textId="77777777" w:rsidR="009F4442" w:rsidRPr="003604AD" w:rsidRDefault="009F4442" w:rsidP="009F4442">
      <w:pPr>
        <w:ind w:left="851"/>
        <w:rPr>
          <w:sz w:val="24"/>
          <w:szCs w:val="24"/>
        </w:rPr>
      </w:pPr>
      <w:r w:rsidRPr="003604AD">
        <w:rPr>
          <w:sz w:val="24"/>
          <w:szCs w:val="24"/>
        </w:rPr>
        <w:t xml:space="preserve">I INTEREST-studiet var forekomsten af ILS-bivirkninger 1,4 % (10 patienter) i </w:t>
      </w:r>
      <w:proofErr w:type="spellStart"/>
      <w:r w:rsidRPr="003604AD">
        <w:rPr>
          <w:sz w:val="24"/>
          <w:szCs w:val="24"/>
        </w:rPr>
        <w:t>gefitinib</w:t>
      </w:r>
      <w:proofErr w:type="spellEnd"/>
      <w:r w:rsidRPr="003604AD">
        <w:rPr>
          <w:sz w:val="24"/>
          <w:szCs w:val="24"/>
        </w:rPr>
        <w:t xml:space="preserve">-gruppen </w:t>
      </w:r>
      <w:r w:rsidRPr="003604AD">
        <w:rPr>
          <w:i/>
          <w:sz w:val="24"/>
          <w:szCs w:val="24"/>
        </w:rPr>
        <w:t>versus</w:t>
      </w:r>
      <w:r w:rsidRPr="003604AD">
        <w:rPr>
          <w:sz w:val="24"/>
          <w:szCs w:val="24"/>
        </w:rPr>
        <w:t xml:space="preserve"> 1,1 % (8 patienter) i </w:t>
      </w:r>
      <w:proofErr w:type="spellStart"/>
      <w:r w:rsidRPr="003604AD">
        <w:rPr>
          <w:sz w:val="24"/>
          <w:szCs w:val="24"/>
        </w:rPr>
        <w:t>docetaxel</w:t>
      </w:r>
      <w:proofErr w:type="spellEnd"/>
      <w:r w:rsidRPr="003604AD">
        <w:rPr>
          <w:sz w:val="24"/>
          <w:szCs w:val="24"/>
        </w:rPr>
        <w:t xml:space="preserve">-gruppen. Et ILS-tilfælde var fatalt, og dette forekom hos en patient, der fik </w:t>
      </w:r>
      <w:proofErr w:type="spellStart"/>
      <w:r w:rsidRPr="003604AD">
        <w:rPr>
          <w:sz w:val="24"/>
          <w:szCs w:val="24"/>
        </w:rPr>
        <w:t>gefitinib</w:t>
      </w:r>
      <w:proofErr w:type="spellEnd"/>
      <w:r w:rsidRPr="003604AD">
        <w:rPr>
          <w:sz w:val="24"/>
          <w:szCs w:val="24"/>
        </w:rPr>
        <w:t>.</w:t>
      </w:r>
    </w:p>
    <w:p w14:paraId="6AC76941" w14:textId="77777777" w:rsidR="009F4442" w:rsidRPr="003604AD" w:rsidRDefault="009F4442" w:rsidP="009F4442">
      <w:pPr>
        <w:ind w:left="851"/>
        <w:rPr>
          <w:sz w:val="24"/>
          <w:szCs w:val="24"/>
        </w:rPr>
      </w:pPr>
    </w:p>
    <w:p w14:paraId="7F1DC3C1" w14:textId="77777777" w:rsidR="009F4442" w:rsidRPr="003604AD" w:rsidRDefault="009F4442" w:rsidP="009F4442">
      <w:pPr>
        <w:ind w:left="851"/>
        <w:rPr>
          <w:sz w:val="24"/>
          <w:szCs w:val="24"/>
        </w:rPr>
      </w:pPr>
      <w:r w:rsidRPr="003604AD">
        <w:rPr>
          <w:sz w:val="24"/>
          <w:szCs w:val="24"/>
        </w:rPr>
        <w:t xml:space="preserve">I ISEL-studiet var forekomsten af bivirkninger af ILS-typen i hele populationen ca. 1 % i begge behandlingsarme. Flertallet af de rapporterede ILS-bivirkninger var fra patienter af asiatisk oprindelse. Forekomsten af ILS blandt de asiatiske patienter, der fik enten </w:t>
      </w:r>
      <w:proofErr w:type="spellStart"/>
      <w:r w:rsidRPr="003604AD">
        <w:rPr>
          <w:sz w:val="24"/>
          <w:szCs w:val="24"/>
        </w:rPr>
        <w:t>gefitinib</w:t>
      </w:r>
      <w:proofErr w:type="spellEnd"/>
      <w:r w:rsidRPr="003604AD">
        <w:rPr>
          <w:sz w:val="24"/>
          <w:szCs w:val="24"/>
        </w:rPr>
        <w:t xml:space="preserve"> eller placebo, var henholdsvis ca. 3 % og 4 %. En ILS-bivirkning var fatal, og den forekom hos en patient, der fik placebo.</w:t>
      </w:r>
    </w:p>
    <w:p w14:paraId="33EBC351" w14:textId="77777777" w:rsidR="009F4442" w:rsidRPr="003604AD" w:rsidRDefault="009F4442" w:rsidP="009F4442">
      <w:pPr>
        <w:ind w:left="851"/>
        <w:rPr>
          <w:sz w:val="24"/>
          <w:szCs w:val="24"/>
        </w:rPr>
      </w:pPr>
    </w:p>
    <w:p w14:paraId="76B0CC2B" w14:textId="77777777" w:rsidR="009F4442" w:rsidRPr="003604AD" w:rsidRDefault="009F4442" w:rsidP="009F4442">
      <w:pPr>
        <w:ind w:left="851"/>
        <w:rPr>
          <w:sz w:val="24"/>
          <w:szCs w:val="24"/>
        </w:rPr>
      </w:pPr>
      <w:r w:rsidRPr="003604AD">
        <w:rPr>
          <w:sz w:val="24"/>
          <w:szCs w:val="24"/>
        </w:rPr>
        <w:t xml:space="preserve">I et overvågningsstudie efter markedsføringen med 3.350 patienter i Japan, var den rapporterede frekvens af bivirkninger af ILS-typen hos patienter, der fik </w:t>
      </w:r>
      <w:proofErr w:type="spellStart"/>
      <w:r w:rsidRPr="003604AD">
        <w:rPr>
          <w:sz w:val="24"/>
          <w:szCs w:val="24"/>
        </w:rPr>
        <w:t>gefitinib</w:t>
      </w:r>
      <w:proofErr w:type="spellEnd"/>
      <w:r w:rsidRPr="003604AD">
        <w:rPr>
          <w:sz w:val="24"/>
          <w:szCs w:val="24"/>
        </w:rPr>
        <w:t>, 5,8 %. Andelen af ILS-bivirkninger med fatalt udfald var 38,6 %.</w:t>
      </w:r>
    </w:p>
    <w:p w14:paraId="77959457" w14:textId="77777777" w:rsidR="009F4442" w:rsidRPr="003604AD" w:rsidRDefault="009F4442" w:rsidP="009F4442">
      <w:pPr>
        <w:ind w:left="851"/>
        <w:rPr>
          <w:sz w:val="24"/>
          <w:szCs w:val="24"/>
        </w:rPr>
      </w:pPr>
    </w:p>
    <w:p w14:paraId="4068BE39" w14:textId="77777777" w:rsidR="009F4442" w:rsidRPr="003604AD" w:rsidRDefault="009F4442" w:rsidP="009F4442">
      <w:pPr>
        <w:ind w:left="851"/>
        <w:rPr>
          <w:sz w:val="24"/>
          <w:szCs w:val="24"/>
        </w:rPr>
      </w:pPr>
      <w:r w:rsidRPr="003604AD">
        <w:rPr>
          <w:sz w:val="24"/>
          <w:szCs w:val="24"/>
        </w:rPr>
        <w:t xml:space="preserve">I et åbent, klinisk fase III-forsøg (IPASS) med 1.217 patienter, blev </w:t>
      </w:r>
      <w:proofErr w:type="spellStart"/>
      <w:r>
        <w:rPr>
          <w:sz w:val="24"/>
          <w:szCs w:val="24"/>
        </w:rPr>
        <w:t>g</w:t>
      </w:r>
      <w:r w:rsidRPr="003604AD">
        <w:rPr>
          <w:sz w:val="24"/>
          <w:szCs w:val="24"/>
        </w:rPr>
        <w:t>efitinib</w:t>
      </w:r>
      <w:proofErr w:type="spellEnd"/>
      <w:r w:rsidRPr="003604AD">
        <w:rPr>
          <w:sz w:val="24"/>
          <w:szCs w:val="24"/>
        </w:rPr>
        <w:t xml:space="preserve"> sammenlignet med kemoterapi med to lægemidler, </w:t>
      </w:r>
      <w:proofErr w:type="spellStart"/>
      <w:r w:rsidRPr="003604AD">
        <w:rPr>
          <w:sz w:val="24"/>
          <w:szCs w:val="24"/>
        </w:rPr>
        <w:t>carboplatin</w:t>
      </w:r>
      <w:proofErr w:type="spellEnd"/>
      <w:r w:rsidRPr="003604AD">
        <w:rPr>
          <w:sz w:val="24"/>
          <w:szCs w:val="24"/>
        </w:rPr>
        <w:t xml:space="preserve"> og </w:t>
      </w:r>
      <w:proofErr w:type="spellStart"/>
      <w:r w:rsidRPr="003604AD">
        <w:rPr>
          <w:sz w:val="24"/>
          <w:szCs w:val="24"/>
        </w:rPr>
        <w:t>paclitaxel</w:t>
      </w:r>
      <w:proofErr w:type="spellEnd"/>
      <w:r w:rsidRPr="003604AD">
        <w:rPr>
          <w:sz w:val="24"/>
          <w:szCs w:val="24"/>
        </w:rPr>
        <w:t xml:space="preserve">, som førstelinjebehandling hos udvalgte patienter med avanceret NSCLC i Asien. </w:t>
      </w:r>
      <w:proofErr w:type="spellStart"/>
      <w:r w:rsidRPr="003604AD">
        <w:rPr>
          <w:sz w:val="24"/>
          <w:szCs w:val="24"/>
        </w:rPr>
        <w:t>Incidensen</w:t>
      </w:r>
      <w:proofErr w:type="spellEnd"/>
      <w:r w:rsidRPr="003604AD">
        <w:rPr>
          <w:sz w:val="24"/>
          <w:szCs w:val="24"/>
        </w:rPr>
        <w:t xml:space="preserve"> af ILS-bivirkninger var mere end 2,6 % i armen med patienter, der var i </w:t>
      </w:r>
      <w:proofErr w:type="spellStart"/>
      <w:r>
        <w:rPr>
          <w:sz w:val="24"/>
          <w:szCs w:val="24"/>
        </w:rPr>
        <w:t>g</w:t>
      </w:r>
      <w:r w:rsidRPr="003604AD">
        <w:rPr>
          <w:sz w:val="24"/>
          <w:szCs w:val="24"/>
        </w:rPr>
        <w:t>efitinib</w:t>
      </w:r>
      <w:proofErr w:type="spellEnd"/>
      <w:r w:rsidRPr="003604AD">
        <w:rPr>
          <w:sz w:val="24"/>
          <w:szCs w:val="24"/>
        </w:rPr>
        <w:t xml:space="preserve">-behandling versus 1,4 % i armen med patienter, der var i </w:t>
      </w:r>
      <w:proofErr w:type="spellStart"/>
      <w:r w:rsidRPr="003604AD">
        <w:rPr>
          <w:sz w:val="24"/>
          <w:szCs w:val="24"/>
        </w:rPr>
        <w:t>carboplatin</w:t>
      </w:r>
      <w:proofErr w:type="spellEnd"/>
      <w:r w:rsidRPr="003604AD">
        <w:rPr>
          <w:sz w:val="24"/>
          <w:szCs w:val="24"/>
        </w:rPr>
        <w:t>/</w:t>
      </w:r>
      <w:proofErr w:type="spellStart"/>
      <w:r w:rsidRPr="003604AD">
        <w:rPr>
          <w:sz w:val="24"/>
          <w:szCs w:val="24"/>
        </w:rPr>
        <w:t>paclitaxel</w:t>
      </w:r>
      <w:proofErr w:type="spellEnd"/>
      <w:r w:rsidRPr="003604AD">
        <w:rPr>
          <w:sz w:val="24"/>
          <w:szCs w:val="24"/>
        </w:rPr>
        <w:t>-behandling.</w:t>
      </w:r>
    </w:p>
    <w:p w14:paraId="0D566AD9" w14:textId="77777777" w:rsidR="009F4442" w:rsidRPr="003604AD" w:rsidRDefault="009F4442" w:rsidP="009F4442">
      <w:pPr>
        <w:ind w:left="851"/>
        <w:rPr>
          <w:sz w:val="24"/>
          <w:szCs w:val="24"/>
        </w:rPr>
      </w:pPr>
    </w:p>
    <w:p w14:paraId="474DCE04" w14:textId="77777777" w:rsidR="009F4442" w:rsidRDefault="009F4442" w:rsidP="009F4442">
      <w:pPr>
        <w:autoSpaceDE w:val="0"/>
        <w:autoSpaceDN w:val="0"/>
        <w:ind w:left="851"/>
        <w:rPr>
          <w:sz w:val="24"/>
          <w:szCs w:val="24"/>
          <w:u w:val="single"/>
        </w:rPr>
      </w:pPr>
      <w:r>
        <w:rPr>
          <w:sz w:val="24"/>
          <w:szCs w:val="24"/>
          <w:u w:val="single"/>
        </w:rPr>
        <w:t>Indberetning af formodede bivirkninger</w:t>
      </w:r>
    </w:p>
    <w:p w14:paraId="0EE5385D" w14:textId="77777777" w:rsidR="009F4442" w:rsidRDefault="009F4442" w:rsidP="009F4442">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w:t>
      </w:r>
      <w:r w:rsidR="00A75BD5">
        <w:rPr>
          <w:sz w:val="24"/>
          <w:szCs w:val="24"/>
        </w:rPr>
        <w:t>. Sundhedspersoner</w:t>
      </w:r>
      <w:r>
        <w:rPr>
          <w:sz w:val="24"/>
          <w:szCs w:val="24"/>
        </w:rPr>
        <w:t xml:space="preserve"> anmodes om at indberette alle formodede bivirkninger via:</w:t>
      </w:r>
    </w:p>
    <w:p w14:paraId="0AAFF126" w14:textId="77777777" w:rsidR="009F4442" w:rsidRDefault="009F4442" w:rsidP="009F4442">
      <w:pPr>
        <w:tabs>
          <w:tab w:val="left" w:pos="2440"/>
        </w:tabs>
        <w:ind w:left="851"/>
        <w:rPr>
          <w:sz w:val="24"/>
          <w:szCs w:val="24"/>
        </w:rPr>
      </w:pPr>
    </w:p>
    <w:p w14:paraId="1AC2FC79" w14:textId="77777777" w:rsidR="009F4442" w:rsidRDefault="009F4442" w:rsidP="009F4442">
      <w:pPr>
        <w:ind w:left="851"/>
        <w:rPr>
          <w:sz w:val="24"/>
          <w:szCs w:val="24"/>
        </w:rPr>
      </w:pPr>
      <w:r>
        <w:rPr>
          <w:sz w:val="24"/>
          <w:szCs w:val="24"/>
        </w:rPr>
        <w:t>Lægemiddelstyrelsen</w:t>
      </w:r>
    </w:p>
    <w:p w14:paraId="455C743D" w14:textId="77777777" w:rsidR="009F4442" w:rsidRDefault="009F4442" w:rsidP="009F4442">
      <w:pPr>
        <w:ind w:left="851"/>
        <w:rPr>
          <w:sz w:val="24"/>
          <w:szCs w:val="24"/>
        </w:rPr>
      </w:pPr>
      <w:r>
        <w:rPr>
          <w:sz w:val="24"/>
          <w:szCs w:val="24"/>
        </w:rPr>
        <w:t>Axel Heides Gade 1</w:t>
      </w:r>
    </w:p>
    <w:p w14:paraId="06E4308A" w14:textId="77777777" w:rsidR="009F4442" w:rsidRDefault="009F4442" w:rsidP="009F4442">
      <w:pPr>
        <w:ind w:left="851"/>
        <w:rPr>
          <w:sz w:val="24"/>
          <w:szCs w:val="24"/>
        </w:rPr>
      </w:pPr>
      <w:r>
        <w:rPr>
          <w:sz w:val="24"/>
          <w:szCs w:val="24"/>
        </w:rPr>
        <w:t>DK-2300 København S</w:t>
      </w:r>
    </w:p>
    <w:p w14:paraId="7B26D294" w14:textId="77777777" w:rsidR="009F4442" w:rsidRDefault="009F4442" w:rsidP="009F4442">
      <w:pPr>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sz w:val="24"/>
            <w:szCs w:val="24"/>
            <w:lang w:val="en-US"/>
          </w:rPr>
          <w:t>www.meldenbivirkning.dk</w:t>
        </w:r>
      </w:hyperlink>
    </w:p>
    <w:p w14:paraId="1B697DAA" w14:textId="77777777" w:rsidR="009F4442" w:rsidRDefault="009F4442" w:rsidP="009F4442">
      <w:pPr>
        <w:ind w:left="851"/>
        <w:rPr>
          <w:sz w:val="24"/>
          <w:szCs w:val="24"/>
          <w:lang w:val="en-US"/>
        </w:rPr>
      </w:pPr>
    </w:p>
    <w:p w14:paraId="3906AD03" w14:textId="77777777" w:rsidR="009F4442" w:rsidRPr="00885C06" w:rsidRDefault="009F4442" w:rsidP="009F4442">
      <w:pPr>
        <w:pStyle w:val="Sidehoved"/>
        <w:tabs>
          <w:tab w:val="left" w:pos="851"/>
        </w:tabs>
        <w:rPr>
          <w:szCs w:val="24"/>
          <w:lang w:val="en-US"/>
        </w:rPr>
      </w:pPr>
    </w:p>
    <w:p w14:paraId="50282627" w14:textId="77777777" w:rsidR="009F4442" w:rsidRPr="009A35D6" w:rsidRDefault="009F4442" w:rsidP="009F4442">
      <w:pPr>
        <w:tabs>
          <w:tab w:val="left" w:pos="851"/>
        </w:tabs>
        <w:ind w:left="851" w:hanging="851"/>
        <w:rPr>
          <w:b/>
          <w:sz w:val="24"/>
          <w:szCs w:val="24"/>
        </w:rPr>
      </w:pPr>
      <w:r w:rsidRPr="009A35D6">
        <w:rPr>
          <w:b/>
          <w:sz w:val="24"/>
          <w:szCs w:val="24"/>
        </w:rPr>
        <w:t>4.9</w:t>
      </w:r>
      <w:r w:rsidRPr="009A35D6">
        <w:rPr>
          <w:b/>
          <w:sz w:val="24"/>
          <w:szCs w:val="24"/>
        </w:rPr>
        <w:tab/>
        <w:t>Overdosering</w:t>
      </w:r>
    </w:p>
    <w:p w14:paraId="2F4C8CBF" w14:textId="77777777" w:rsidR="009F4442" w:rsidRPr="009A35D6" w:rsidRDefault="009F4442" w:rsidP="009F4442">
      <w:pPr>
        <w:tabs>
          <w:tab w:val="left" w:pos="851"/>
        </w:tabs>
        <w:ind w:left="851" w:hanging="851"/>
        <w:rPr>
          <w:sz w:val="24"/>
          <w:szCs w:val="24"/>
        </w:rPr>
      </w:pPr>
      <w:r>
        <w:rPr>
          <w:sz w:val="24"/>
          <w:szCs w:val="24"/>
        </w:rPr>
        <w:lastRenderedPageBreak/>
        <w:tab/>
      </w:r>
      <w:r w:rsidRPr="009A35D6">
        <w:rPr>
          <w:sz w:val="24"/>
          <w:szCs w:val="24"/>
        </w:rPr>
        <w:t xml:space="preserve">Der er ingen specifik behandling i tilfælde af overdosering af </w:t>
      </w:r>
      <w:proofErr w:type="spellStart"/>
      <w:r w:rsidRPr="009A35D6">
        <w:rPr>
          <w:sz w:val="24"/>
          <w:szCs w:val="24"/>
        </w:rPr>
        <w:t>gefitinib</w:t>
      </w:r>
      <w:proofErr w:type="spellEnd"/>
      <w:r w:rsidRPr="009A35D6">
        <w:rPr>
          <w:sz w:val="24"/>
          <w:szCs w:val="24"/>
        </w:rPr>
        <w:t>. Dog er et begrænset antal patienter i kliniske fase I-forsøg blevet behandlet med daglige doser på op til 1.000 mg. Der blev observeret en øget frekvens og sværhedsgrad af nogle af bivirkningerne, hovedsageligt diarré og hududslæt. Bivirkninger, der er associeret med overdosering, skal behandles symptomatisk; specielt svær diarré bør behandles i henhold til klinisk praksis. I et forsøg blev et begrænset antal patienter behandlet ugentligt med doser fra 1.500 mg til 3.500 mg. I det</w:t>
      </w:r>
      <w:r>
        <w:rPr>
          <w:sz w:val="24"/>
          <w:szCs w:val="24"/>
        </w:rPr>
        <w:t xml:space="preserve">te forsøg øgedes </w:t>
      </w:r>
      <w:proofErr w:type="spellStart"/>
      <w:r>
        <w:rPr>
          <w:sz w:val="24"/>
          <w:szCs w:val="24"/>
        </w:rPr>
        <w:t>g</w:t>
      </w:r>
      <w:r w:rsidRPr="009A35D6">
        <w:rPr>
          <w:sz w:val="24"/>
          <w:szCs w:val="24"/>
        </w:rPr>
        <w:t>efitinib</w:t>
      </w:r>
      <w:proofErr w:type="spellEnd"/>
      <w:r w:rsidRPr="009A35D6">
        <w:rPr>
          <w:sz w:val="24"/>
          <w:szCs w:val="24"/>
        </w:rPr>
        <w:t xml:space="preserve"> eksponeringen ikke med større doser, og bivirkningerne var for det meste lette til moderate i sværheds</w:t>
      </w:r>
      <w:r>
        <w:rPr>
          <w:sz w:val="24"/>
          <w:szCs w:val="24"/>
        </w:rPr>
        <w:t xml:space="preserve">grad og i overensstemmelse med </w:t>
      </w:r>
      <w:proofErr w:type="spellStart"/>
      <w:r>
        <w:rPr>
          <w:sz w:val="24"/>
          <w:szCs w:val="24"/>
        </w:rPr>
        <w:t>g</w:t>
      </w:r>
      <w:r w:rsidRPr="009A35D6">
        <w:rPr>
          <w:sz w:val="24"/>
          <w:szCs w:val="24"/>
        </w:rPr>
        <w:t>efitinibs</w:t>
      </w:r>
      <w:proofErr w:type="spellEnd"/>
      <w:r w:rsidRPr="009A35D6">
        <w:rPr>
          <w:sz w:val="24"/>
          <w:szCs w:val="24"/>
        </w:rPr>
        <w:t xml:space="preserve"> sikkerhedsprofil.</w:t>
      </w:r>
    </w:p>
    <w:p w14:paraId="26C0486A" w14:textId="77777777" w:rsidR="009F4442" w:rsidRPr="009A35D6" w:rsidRDefault="009F4442" w:rsidP="009F4442">
      <w:pPr>
        <w:tabs>
          <w:tab w:val="left" w:pos="851"/>
        </w:tabs>
        <w:ind w:left="851" w:hanging="851"/>
        <w:rPr>
          <w:sz w:val="24"/>
          <w:szCs w:val="24"/>
        </w:rPr>
      </w:pPr>
    </w:p>
    <w:p w14:paraId="39A6D9DC" w14:textId="77777777" w:rsidR="009F4442" w:rsidRPr="009A35D6" w:rsidRDefault="009F4442" w:rsidP="009F4442">
      <w:pPr>
        <w:tabs>
          <w:tab w:val="left" w:pos="851"/>
        </w:tabs>
        <w:ind w:left="851" w:hanging="851"/>
        <w:rPr>
          <w:b/>
          <w:sz w:val="24"/>
          <w:szCs w:val="24"/>
        </w:rPr>
      </w:pPr>
      <w:r w:rsidRPr="009A35D6">
        <w:rPr>
          <w:b/>
          <w:sz w:val="24"/>
          <w:szCs w:val="24"/>
        </w:rPr>
        <w:t>4.10</w:t>
      </w:r>
      <w:r w:rsidRPr="009A35D6">
        <w:rPr>
          <w:b/>
          <w:sz w:val="24"/>
          <w:szCs w:val="24"/>
        </w:rPr>
        <w:tab/>
        <w:t>Udlevering</w:t>
      </w:r>
    </w:p>
    <w:p w14:paraId="51008E1C" w14:textId="77777777" w:rsidR="009F4442" w:rsidRPr="009A35D6" w:rsidRDefault="009F4442" w:rsidP="009F4442">
      <w:pPr>
        <w:tabs>
          <w:tab w:val="left" w:pos="851"/>
        </w:tabs>
        <w:ind w:left="851" w:hanging="851"/>
        <w:rPr>
          <w:sz w:val="24"/>
          <w:szCs w:val="24"/>
        </w:rPr>
      </w:pPr>
      <w:r w:rsidRPr="009A35D6">
        <w:rPr>
          <w:sz w:val="24"/>
          <w:szCs w:val="24"/>
        </w:rPr>
        <w:tab/>
        <w:t>B</w:t>
      </w:r>
      <w:r>
        <w:rPr>
          <w:sz w:val="24"/>
          <w:szCs w:val="24"/>
        </w:rPr>
        <w:t>EGR - kun til sygehuse</w:t>
      </w:r>
    </w:p>
    <w:p w14:paraId="1D58A310" w14:textId="77777777" w:rsidR="009F4442" w:rsidRPr="009A35D6" w:rsidRDefault="009F4442" w:rsidP="009F4442">
      <w:pPr>
        <w:tabs>
          <w:tab w:val="left" w:pos="851"/>
        </w:tabs>
        <w:ind w:left="851" w:hanging="851"/>
        <w:rPr>
          <w:sz w:val="24"/>
          <w:szCs w:val="24"/>
        </w:rPr>
      </w:pPr>
    </w:p>
    <w:p w14:paraId="6C745CF3" w14:textId="77777777" w:rsidR="009F4442" w:rsidRPr="009A35D6" w:rsidRDefault="009F4442" w:rsidP="009F4442">
      <w:pPr>
        <w:tabs>
          <w:tab w:val="left" w:pos="851"/>
        </w:tabs>
        <w:ind w:left="851" w:hanging="851"/>
        <w:rPr>
          <w:sz w:val="24"/>
          <w:szCs w:val="24"/>
        </w:rPr>
      </w:pPr>
    </w:p>
    <w:p w14:paraId="471EC2B3" w14:textId="77777777" w:rsidR="009F4442" w:rsidRPr="009A35D6" w:rsidRDefault="009F4442" w:rsidP="009F4442">
      <w:pPr>
        <w:tabs>
          <w:tab w:val="left" w:pos="851"/>
        </w:tabs>
        <w:ind w:left="851" w:hanging="851"/>
        <w:rPr>
          <w:b/>
          <w:sz w:val="24"/>
          <w:szCs w:val="24"/>
        </w:rPr>
      </w:pPr>
      <w:r w:rsidRPr="009A35D6">
        <w:rPr>
          <w:b/>
          <w:sz w:val="24"/>
          <w:szCs w:val="24"/>
        </w:rPr>
        <w:t>5.</w:t>
      </w:r>
      <w:r w:rsidRPr="009A35D6">
        <w:rPr>
          <w:b/>
          <w:sz w:val="24"/>
          <w:szCs w:val="24"/>
        </w:rPr>
        <w:tab/>
        <w:t>FARMAKOLOGISKE EGENSKABER</w:t>
      </w:r>
    </w:p>
    <w:p w14:paraId="02202094" w14:textId="77777777" w:rsidR="009F4442" w:rsidRPr="009A35D6" w:rsidRDefault="009F4442" w:rsidP="00A75BD5">
      <w:pPr>
        <w:tabs>
          <w:tab w:val="left" w:pos="851"/>
        </w:tabs>
        <w:rPr>
          <w:sz w:val="24"/>
          <w:szCs w:val="24"/>
        </w:rPr>
      </w:pPr>
    </w:p>
    <w:p w14:paraId="258E6F30" w14:textId="77777777" w:rsidR="009F4442" w:rsidRPr="009A35D6" w:rsidRDefault="009F4442" w:rsidP="009F4442">
      <w:pPr>
        <w:tabs>
          <w:tab w:val="num" w:pos="851"/>
        </w:tabs>
        <w:ind w:left="851" w:hanging="851"/>
        <w:rPr>
          <w:b/>
          <w:sz w:val="24"/>
          <w:szCs w:val="24"/>
        </w:rPr>
      </w:pPr>
      <w:r w:rsidRPr="009A35D6">
        <w:rPr>
          <w:b/>
          <w:sz w:val="24"/>
          <w:szCs w:val="24"/>
        </w:rPr>
        <w:t>5.1</w:t>
      </w:r>
      <w:r w:rsidRPr="009A35D6">
        <w:rPr>
          <w:b/>
          <w:sz w:val="24"/>
          <w:szCs w:val="24"/>
        </w:rPr>
        <w:tab/>
      </w:r>
      <w:proofErr w:type="spellStart"/>
      <w:r w:rsidRPr="009A35D6">
        <w:rPr>
          <w:b/>
          <w:sz w:val="24"/>
          <w:szCs w:val="24"/>
        </w:rPr>
        <w:t>Farmakodynamiske</w:t>
      </w:r>
      <w:proofErr w:type="spellEnd"/>
      <w:r w:rsidRPr="009A35D6">
        <w:rPr>
          <w:b/>
          <w:sz w:val="24"/>
          <w:szCs w:val="24"/>
        </w:rPr>
        <w:t xml:space="preserve"> egenskaber</w:t>
      </w:r>
    </w:p>
    <w:p w14:paraId="644C385D" w14:textId="77777777" w:rsidR="009F4442" w:rsidRDefault="00A75BD5" w:rsidP="009F4442">
      <w:pPr>
        <w:tabs>
          <w:tab w:val="left" w:pos="851"/>
        </w:tabs>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klassifikation: </w:t>
      </w:r>
      <w:proofErr w:type="spellStart"/>
      <w:r>
        <w:rPr>
          <w:sz w:val="24"/>
          <w:szCs w:val="24"/>
        </w:rPr>
        <w:t>Antineoplastiske</w:t>
      </w:r>
      <w:proofErr w:type="spellEnd"/>
      <w:r>
        <w:rPr>
          <w:sz w:val="24"/>
          <w:szCs w:val="24"/>
        </w:rPr>
        <w:t xml:space="preserve"> stoffer, </w:t>
      </w:r>
      <w:proofErr w:type="spellStart"/>
      <w:r>
        <w:rPr>
          <w:sz w:val="24"/>
          <w:szCs w:val="24"/>
        </w:rPr>
        <w:t>proteinkinasehæmmere</w:t>
      </w:r>
      <w:proofErr w:type="spellEnd"/>
      <w:r>
        <w:rPr>
          <w:sz w:val="24"/>
          <w:szCs w:val="24"/>
        </w:rPr>
        <w:t>.</w:t>
      </w:r>
      <w:r>
        <w:rPr>
          <w:sz w:val="24"/>
          <w:szCs w:val="24"/>
          <w:lang w:eastAsia="da-DK"/>
        </w:rPr>
        <w:t xml:space="preserve"> </w:t>
      </w:r>
      <w:r>
        <w:rPr>
          <w:sz w:val="24"/>
          <w:szCs w:val="24"/>
        </w:rPr>
        <w:t>ATC-kode: L 01 EB 01.</w:t>
      </w:r>
    </w:p>
    <w:p w14:paraId="5B1B33E8" w14:textId="77777777" w:rsidR="00A75BD5" w:rsidRPr="00A75BD5" w:rsidRDefault="00A75BD5" w:rsidP="009F4442">
      <w:pPr>
        <w:tabs>
          <w:tab w:val="left" w:pos="851"/>
        </w:tabs>
        <w:ind w:left="851" w:hanging="851"/>
        <w:rPr>
          <w:sz w:val="24"/>
          <w:szCs w:val="24"/>
        </w:rPr>
      </w:pPr>
    </w:p>
    <w:p w14:paraId="3DA3293E" w14:textId="77777777" w:rsidR="009F4442" w:rsidRPr="009A35D6" w:rsidRDefault="009F4442" w:rsidP="009F4442">
      <w:pPr>
        <w:tabs>
          <w:tab w:val="left" w:pos="851"/>
        </w:tabs>
        <w:ind w:left="851"/>
        <w:rPr>
          <w:sz w:val="24"/>
          <w:szCs w:val="24"/>
          <w:u w:val="single"/>
        </w:rPr>
      </w:pPr>
      <w:r w:rsidRPr="009A35D6">
        <w:rPr>
          <w:sz w:val="24"/>
          <w:szCs w:val="24"/>
          <w:u w:val="single"/>
        </w:rPr>
        <w:t xml:space="preserve">Virkningsmekanisme og </w:t>
      </w:r>
      <w:proofErr w:type="spellStart"/>
      <w:r w:rsidRPr="009A35D6">
        <w:rPr>
          <w:sz w:val="24"/>
          <w:szCs w:val="24"/>
          <w:u w:val="single"/>
        </w:rPr>
        <w:t>farmakodynamisk</w:t>
      </w:r>
      <w:proofErr w:type="spellEnd"/>
      <w:r w:rsidRPr="009A35D6">
        <w:rPr>
          <w:sz w:val="24"/>
          <w:szCs w:val="24"/>
          <w:u w:val="single"/>
        </w:rPr>
        <w:t xml:space="preserve"> virkning</w:t>
      </w:r>
    </w:p>
    <w:p w14:paraId="377200D2" w14:textId="77777777" w:rsidR="009F4442" w:rsidRPr="009A35D6" w:rsidRDefault="009F4442" w:rsidP="009F4442">
      <w:pPr>
        <w:tabs>
          <w:tab w:val="left" w:pos="851"/>
        </w:tabs>
        <w:ind w:left="851"/>
        <w:rPr>
          <w:sz w:val="24"/>
          <w:szCs w:val="24"/>
        </w:rPr>
      </w:pPr>
      <w:r w:rsidRPr="009A35D6">
        <w:rPr>
          <w:sz w:val="24"/>
          <w:szCs w:val="24"/>
        </w:rPr>
        <w:t xml:space="preserve">Den </w:t>
      </w:r>
      <w:proofErr w:type="spellStart"/>
      <w:r w:rsidRPr="009A35D6">
        <w:rPr>
          <w:sz w:val="24"/>
          <w:szCs w:val="24"/>
        </w:rPr>
        <w:t>epidermale</w:t>
      </w:r>
      <w:proofErr w:type="spellEnd"/>
      <w:r w:rsidRPr="009A35D6">
        <w:rPr>
          <w:sz w:val="24"/>
          <w:szCs w:val="24"/>
        </w:rPr>
        <w:t xml:space="preserve"> vækstfaktor (EGF) og dens receptor (EGFR [HER1; ErbB1]) er blevet identificeret som de vigtigste faktorer under cellevækst og </w:t>
      </w:r>
      <w:proofErr w:type="spellStart"/>
      <w:r w:rsidRPr="009A35D6">
        <w:rPr>
          <w:sz w:val="24"/>
          <w:szCs w:val="24"/>
        </w:rPr>
        <w:t>proliferation</w:t>
      </w:r>
      <w:proofErr w:type="spellEnd"/>
      <w:r w:rsidRPr="009A35D6">
        <w:rPr>
          <w:sz w:val="24"/>
          <w:szCs w:val="24"/>
        </w:rPr>
        <w:t xml:space="preserve"> for normale celler og cancerceller. </w:t>
      </w:r>
      <w:proofErr w:type="spellStart"/>
      <w:r w:rsidRPr="009A35D6">
        <w:rPr>
          <w:sz w:val="24"/>
          <w:szCs w:val="24"/>
        </w:rPr>
        <w:t>GFRaktiverede</w:t>
      </w:r>
      <w:proofErr w:type="spellEnd"/>
      <w:r w:rsidRPr="009A35D6">
        <w:rPr>
          <w:sz w:val="24"/>
          <w:szCs w:val="24"/>
        </w:rPr>
        <w:t xml:space="preserve"> mutationer i cancerceller er en vigtig, understøttende faktor ved tumorcellevækst,</w:t>
      </w:r>
      <w:r>
        <w:rPr>
          <w:sz w:val="24"/>
          <w:szCs w:val="24"/>
        </w:rPr>
        <w:t xml:space="preserve"> </w:t>
      </w:r>
      <w:r w:rsidRPr="009A35D6">
        <w:rPr>
          <w:sz w:val="24"/>
          <w:szCs w:val="24"/>
        </w:rPr>
        <w:t xml:space="preserve">blokering af </w:t>
      </w:r>
      <w:proofErr w:type="spellStart"/>
      <w:r w:rsidRPr="009A35D6">
        <w:rPr>
          <w:sz w:val="24"/>
          <w:szCs w:val="24"/>
        </w:rPr>
        <w:t>apoptose</w:t>
      </w:r>
      <w:proofErr w:type="spellEnd"/>
      <w:r w:rsidRPr="009A35D6">
        <w:rPr>
          <w:sz w:val="24"/>
          <w:szCs w:val="24"/>
        </w:rPr>
        <w:t xml:space="preserve">, forøgelse af produktionen af </w:t>
      </w:r>
      <w:proofErr w:type="spellStart"/>
      <w:r w:rsidRPr="009A35D6">
        <w:rPr>
          <w:sz w:val="24"/>
          <w:szCs w:val="24"/>
        </w:rPr>
        <w:t>angiogene</w:t>
      </w:r>
      <w:proofErr w:type="spellEnd"/>
      <w:r w:rsidRPr="009A35D6">
        <w:rPr>
          <w:sz w:val="24"/>
          <w:szCs w:val="24"/>
        </w:rPr>
        <w:t xml:space="preserve"> faktorer og </w:t>
      </w:r>
      <w:proofErr w:type="spellStart"/>
      <w:r w:rsidRPr="009A35D6">
        <w:rPr>
          <w:sz w:val="24"/>
          <w:szCs w:val="24"/>
        </w:rPr>
        <w:t>facilitering</w:t>
      </w:r>
      <w:proofErr w:type="spellEnd"/>
      <w:r w:rsidRPr="009A35D6">
        <w:rPr>
          <w:sz w:val="24"/>
          <w:szCs w:val="24"/>
        </w:rPr>
        <w:t xml:space="preserve"> af metastaseprocesser.</w:t>
      </w:r>
    </w:p>
    <w:p w14:paraId="2B965534" w14:textId="77777777" w:rsidR="009F4442" w:rsidRPr="009A35D6" w:rsidRDefault="009F4442" w:rsidP="009F4442">
      <w:pPr>
        <w:tabs>
          <w:tab w:val="left" w:pos="851"/>
        </w:tabs>
        <w:ind w:left="851"/>
        <w:rPr>
          <w:sz w:val="24"/>
          <w:szCs w:val="24"/>
        </w:rPr>
      </w:pPr>
    </w:p>
    <w:p w14:paraId="414F685C" w14:textId="77777777" w:rsidR="009F4442" w:rsidRPr="009A35D6" w:rsidRDefault="009F4442" w:rsidP="009F4442">
      <w:pPr>
        <w:tabs>
          <w:tab w:val="left" w:pos="851"/>
        </w:tabs>
        <w:ind w:left="851"/>
        <w:rPr>
          <w:sz w:val="24"/>
          <w:szCs w:val="24"/>
        </w:rPr>
      </w:pPr>
      <w:proofErr w:type="spellStart"/>
      <w:r w:rsidRPr="009A35D6">
        <w:rPr>
          <w:sz w:val="24"/>
          <w:szCs w:val="24"/>
        </w:rPr>
        <w:t>Gefitinib</w:t>
      </w:r>
      <w:proofErr w:type="spellEnd"/>
      <w:r w:rsidRPr="009A35D6">
        <w:rPr>
          <w:sz w:val="24"/>
          <w:szCs w:val="24"/>
        </w:rPr>
        <w:t xml:space="preserve"> er en selektiv lav-</w:t>
      </w:r>
      <w:proofErr w:type="gramStart"/>
      <w:r w:rsidRPr="009A35D6">
        <w:rPr>
          <w:sz w:val="24"/>
          <w:szCs w:val="24"/>
        </w:rPr>
        <w:t>molekylær</w:t>
      </w:r>
      <w:proofErr w:type="gramEnd"/>
      <w:r w:rsidRPr="009A35D6">
        <w:rPr>
          <w:sz w:val="24"/>
          <w:szCs w:val="24"/>
        </w:rPr>
        <w:t xml:space="preserve"> hæmmer af EGFR-</w:t>
      </w:r>
      <w:proofErr w:type="spellStart"/>
      <w:r w:rsidRPr="009A35D6">
        <w:rPr>
          <w:sz w:val="24"/>
          <w:szCs w:val="24"/>
        </w:rPr>
        <w:t>tyrosinkinasen</w:t>
      </w:r>
      <w:proofErr w:type="spellEnd"/>
      <w:r w:rsidRPr="009A35D6">
        <w:rPr>
          <w:sz w:val="24"/>
          <w:szCs w:val="24"/>
        </w:rPr>
        <w:t xml:space="preserve"> og er en effektiv behandling af patienter med tumorer med aktiverede mutationer af </w:t>
      </w:r>
      <w:proofErr w:type="spellStart"/>
      <w:r w:rsidRPr="009A35D6">
        <w:rPr>
          <w:sz w:val="24"/>
          <w:szCs w:val="24"/>
        </w:rPr>
        <w:t>EGFR-tyrosinkinase</w:t>
      </w:r>
      <w:r>
        <w:rPr>
          <w:sz w:val="24"/>
          <w:szCs w:val="24"/>
        </w:rPr>
        <w:softHyphen/>
      </w:r>
      <w:r w:rsidRPr="009A35D6">
        <w:rPr>
          <w:sz w:val="24"/>
          <w:szCs w:val="24"/>
        </w:rPr>
        <w:t>domæner</w:t>
      </w:r>
      <w:proofErr w:type="spellEnd"/>
      <w:r w:rsidRPr="009A35D6">
        <w:rPr>
          <w:sz w:val="24"/>
          <w:szCs w:val="24"/>
        </w:rPr>
        <w:t xml:space="preserve"> uanset behandlingslinje. Der er ikke påvist nogen relevant klinisk aktivitet hos patienter med kendt </w:t>
      </w:r>
      <w:proofErr w:type="spellStart"/>
      <w:r w:rsidRPr="009A35D6">
        <w:rPr>
          <w:sz w:val="24"/>
          <w:szCs w:val="24"/>
        </w:rPr>
        <w:t>EGFRmutationsnegative</w:t>
      </w:r>
      <w:proofErr w:type="spellEnd"/>
      <w:r w:rsidRPr="009A35D6">
        <w:rPr>
          <w:sz w:val="24"/>
          <w:szCs w:val="24"/>
        </w:rPr>
        <w:t xml:space="preserve"> tumorer.</w:t>
      </w:r>
    </w:p>
    <w:p w14:paraId="1E635B4E" w14:textId="77777777" w:rsidR="009F4442" w:rsidRPr="009A35D6" w:rsidRDefault="009F4442" w:rsidP="009F4442">
      <w:pPr>
        <w:tabs>
          <w:tab w:val="left" w:pos="851"/>
        </w:tabs>
        <w:ind w:left="851"/>
        <w:rPr>
          <w:sz w:val="24"/>
          <w:szCs w:val="24"/>
        </w:rPr>
      </w:pPr>
    </w:p>
    <w:p w14:paraId="64B2768E" w14:textId="77777777" w:rsidR="009F4442" w:rsidRPr="009A35D6" w:rsidRDefault="009F4442" w:rsidP="009F4442">
      <w:pPr>
        <w:tabs>
          <w:tab w:val="left" w:pos="851"/>
        </w:tabs>
        <w:ind w:left="851"/>
        <w:rPr>
          <w:sz w:val="24"/>
          <w:szCs w:val="24"/>
        </w:rPr>
      </w:pPr>
      <w:r w:rsidRPr="009A35D6">
        <w:rPr>
          <w:sz w:val="24"/>
          <w:szCs w:val="24"/>
        </w:rPr>
        <w:t xml:space="preserve">De almindelige EGFR-aktiverende mutationer (Exon-19-deletioner; L858R) har robuste </w:t>
      </w:r>
      <w:r>
        <w:rPr>
          <w:sz w:val="24"/>
          <w:szCs w:val="24"/>
        </w:rPr>
        <w:t>r</w:t>
      </w:r>
      <w:r w:rsidRPr="009A35D6">
        <w:rPr>
          <w:sz w:val="24"/>
          <w:szCs w:val="24"/>
        </w:rPr>
        <w:t xml:space="preserve">esponsdata, der understøtter sensitiviteten for </w:t>
      </w:r>
      <w:proofErr w:type="spellStart"/>
      <w:r w:rsidRPr="009A35D6">
        <w:rPr>
          <w:sz w:val="24"/>
          <w:szCs w:val="24"/>
        </w:rPr>
        <w:t>gefitinib</w:t>
      </w:r>
      <w:proofErr w:type="spellEnd"/>
      <w:r w:rsidRPr="009A35D6">
        <w:rPr>
          <w:sz w:val="24"/>
          <w:szCs w:val="24"/>
        </w:rPr>
        <w:t xml:space="preserve">; for eksempel en HR (95 % CI) for progressionsfri overlevelse på 0,489 (0,336-0,710) for </w:t>
      </w:r>
      <w:proofErr w:type="spellStart"/>
      <w:r w:rsidRPr="009A35D6">
        <w:rPr>
          <w:sz w:val="24"/>
          <w:szCs w:val="24"/>
        </w:rPr>
        <w:t>gefitinib</w:t>
      </w:r>
      <w:proofErr w:type="spellEnd"/>
      <w:r w:rsidRPr="009A35D6">
        <w:rPr>
          <w:sz w:val="24"/>
          <w:szCs w:val="24"/>
        </w:rPr>
        <w:t xml:space="preserve"> versus dublet-kemoterapi [WJTOG3405]. </w:t>
      </w:r>
      <w:proofErr w:type="spellStart"/>
      <w:r w:rsidRPr="009A35D6">
        <w:rPr>
          <w:sz w:val="24"/>
          <w:szCs w:val="24"/>
        </w:rPr>
        <w:t>Gefitinib</w:t>
      </w:r>
      <w:proofErr w:type="spellEnd"/>
      <w:r w:rsidRPr="009A35D6">
        <w:rPr>
          <w:sz w:val="24"/>
          <w:szCs w:val="24"/>
        </w:rPr>
        <w:t xml:space="preserve">-responsdata er mere sparsomme hos patienter, hvis tumorer indeholder mindre almindelige mutationer; de tilgængelige data tyder på, at G719X, L861Q og S7681 er sensibiliserende mutationer; og T790M alene eller </w:t>
      </w:r>
      <w:proofErr w:type="spellStart"/>
      <w:r w:rsidRPr="009A35D6">
        <w:rPr>
          <w:sz w:val="24"/>
          <w:szCs w:val="24"/>
        </w:rPr>
        <w:t>exon</w:t>
      </w:r>
      <w:proofErr w:type="spellEnd"/>
      <w:r w:rsidRPr="009A35D6">
        <w:rPr>
          <w:sz w:val="24"/>
          <w:szCs w:val="24"/>
        </w:rPr>
        <w:t xml:space="preserve"> 20-insertioner alene er resistensmekanismer.</w:t>
      </w:r>
    </w:p>
    <w:p w14:paraId="2D7B20C5" w14:textId="77777777" w:rsidR="009F4442" w:rsidRPr="009A35D6" w:rsidRDefault="009F4442" w:rsidP="009F4442">
      <w:pPr>
        <w:tabs>
          <w:tab w:val="left" w:pos="851"/>
        </w:tabs>
        <w:ind w:left="851"/>
        <w:rPr>
          <w:sz w:val="24"/>
          <w:szCs w:val="24"/>
        </w:rPr>
      </w:pPr>
    </w:p>
    <w:p w14:paraId="67A4F0B8" w14:textId="77777777" w:rsidR="009F4442" w:rsidRPr="009A35D6" w:rsidRDefault="009F4442" w:rsidP="009F4442">
      <w:pPr>
        <w:tabs>
          <w:tab w:val="left" w:pos="851"/>
        </w:tabs>
        <w:ind w:left="851"/>
        <w:rPr>
          <w:i/>
          <w:sz w:val="24"/>
          <w:szCs w:val="24"/>
        </w:rPr>
      </w:pPr>
      <w:r w:rsidRPr="009A35D6">
        <w:rPr>
          <w:i/>
          <w:sz w:val="24"/>
          <w:szCs w:val="24"/>
        </w:rPr>
        <w:t>Resistens</w:t>
      </w:r>
    </w:p>
    <w:p w14:paraId="3DB3A3CD" w14:textId="77777777" w:rsidR="009F4442" w:rsidRPr="009A35D6" w:rsidRDefault="009F4442" w:rsidP="009F4442">
      <w:pPr>
        <w:tabs>
          <w:tab w:val="left" w:pos="851"/>
        </w:tabs>
        <w:ind w:left="851"/>
        <w:rPr>
          <w:sz w:val="24"/>
          <w:szCs w:val="24"/>
        </w:rPr>
      </w:pPr>
      <w:r w:rsidRPr="009A35D6">
        <w:rPr>
          <w:sz w:val="24"/>
          <w:szCs w:val="24"/>
        </w:rPr>
        <w:t>De fleste NSCLC-tumorer med sensibiliserende EGFR-</w:t>
      </w:r>
      <w:proofErr w:type="spellStart"/>
      <w:r w:rsidRPr="009A35D6">
        <w:rPr>
          <w:sz w:val="24"/>
          <w:szCs w:val="24"/>
        </w:rPr>
        <w:t>kinasemutationer</w:t>
      </w:r>
      <w:proofErr w:type="spellEnd"/>
      <w:r w:rsidRPr="009A35D6">
        <w:rPr>
          <w:sz w:val="24"/>
          <w:szCs w:val="24"/>
        </w:rPr>
        <w:t xml:space="preserve"> kan med tiden udvikle resistens over for </w:t>
      </w:r>
      <w:proofErr w:type="spellStart"/>
      <w:r>
        <w:rPr>
          <w:sz w:val="24"/>
          <w:szCs w:val="24"/>
        </w:rPr>
        <w:t>g</w:t>
      </w:r>
      <w:r w:rsidRPr="009A35D6">
        <w:rPr>
          <w:sz w:val="24"/>
          <w:szCs w:val="24"/>
        </w:rPr>
        <w:t>efitinib</w:t>
      </w:r>
      <w:proofErr w:type="spellEnd"/>
      <w:r w:rsidRPr="009A35D6">
        <w:rPr>
          <w:sz w:val="24"/>
          <w:szCs w:val="24"/>
        </w:rPr>
        <w:t xml:space="preserve">-behandling mediantiden til sygdomsprogression er 1 år. I ca. 60 % af tilfældene er resistens associeret med en sekundær T790M-mutation, for hvilke T790M-målrettede EGFR </w:t>
      </w:r>
      <w:proofErr w:type="spellStart"/>
      <w:r w:rsidRPr="009A35D6">
        <w:rPr>
          <w:sz w:val="24"/>
          <w:szCs w:val="24"/>
        </w:rPr>
        <w:t>TKI'er</w:t>
      </w:r>
      <w:proofErr w:type="spellEnd"/>
      <w:r w:rsidRPr="009A35D6">
        <w:rPr>
          <w:sz w:val="24"/>
          <w:szCs w:val="24"/>
        </w:rPr>
        <w:t xml:space="preserve"> kan overvejes som næste behandlingsmulighed. Andre potentielle resistensmekanismer, som er rapporteret efter behandling med EGFR-signalblokerende midler, omfatter: bypass-signalering såsom </w:t>
      </w:r>
      <w:proofErr w:type="spellStart"/>
      <w:r w:rsidRPr="009A35D6">
        <w:rPr>
          <w:sz w:val="24"/>
          <w:szCs w:val="24"/>
        </w:rPr>
        <w:t>amplifikation</w:t>
      </w:r>
      <w:proofErr w:type="spellEnd"/>
      <w:r w:rsidRPr="009A35D6">
        <w:rPr>
          <w:sz w:val="24"/>
          <w:szCs w:val="24"/>
        </w:rPr>
        <w:t xml:space="preserve"> af HER2- og MET-genet samt PIK3CA-mutationer. </w:t>
      </w:r>
      <w:proofErr w:type="spellStart"/>
      <w:r w:rsidRPr="009A35D6">
        <w:rPr>
          <w:sz w:val="24"/>
          <w:szCs w:val="24"/>
        </w:rPr>
        <w:t>Fænotypisk</w:t>
      </w:r>
      <w:proofErr w:type="spellEnd"/>
      <w:r w:rsidRPr="009A35D6">
        <w:rPr>
          <w:sz w:val="24"/>
          <w:szCs w:val="24"/>
        </w:rPr>
        <w:t xml:space="preserve"> skift til småcellet lungecancer er rapporteret i 5-10 % af tilfældene.</w:t>
      </w:r>
    </w:p>
    <w:p w14:paraId="2F9FCAF6" w14:textId="77777777" w:rsidR="009F4442" w:rsidRPr="009A35D6" w:rsidRDefault="009F4442" w:rsidP="009F4442">
      <w:pPr>
        <w:tabs>
          <w:tab w:val="left" w:pos="851"/>
        </w:tabs>
        <w:ind w:left="851"/>
        <w:rPr>
          <w:sz w:val="24"/>
          <w:szCs w:val="24"/>
        </w:rPr>
      </w:pPr>
    </w:p>
    <w:p w14:paraId="203A10E4" w14:textId="77777777" w:rsidR="009F4442" w:rsidRPr="009A35D6" w:rsidRDefault="009F4442" w:rsidP="009F4442">
      <w:pPr>
        <w:tabs>
          <w:tab w:val="left" w:pos="851"/>
        </w:tabs>
        <w:ind w:left="851"/>
        <w:rPr>
          <w:i/>
          <w:sz w:val="24"/>
          <w:szCs w:val="24"/>
        </w:rPr>
      </w:pPr>
      <w:r w:rsidRPr="009A35D6">
        <w:rPr>
          <w:i/>
          <w:sz w:val="24"/>
          <w:szCs w:val="24"/>
        </w:rPr>
        <w:lastRenderedPageBreak/>
        <w:t>Cirkulerende tumor-DNA (</w:t>
      </w:r>
      <w:proofErr w:type="spellStart"/>
      <w:r w:rsidRPr="009A35D6">
        <w:rPr>
          <w:i/>
          <w:sz w:val="24"/>
          <w:szCs w:val="24"/>
        </w:rPr>
        <w:t>ctDNA</w:t>
      </w:r>
      <w:proofErr w:type="spellEnd"/>
      <w:r w:rsidRPr="009A35D6">
        <w:rPr>
          <w:i/>
          <w:sz w:val="24"/>
          <w:szCs w:val="24"/>
        </w:rPr>
        <w:t>)</w:t>
      </w:r>
    </w:p>
    <w:p w14:paraId="6EA6C647" w14:textId="77777777" w:rsidR="009F4442" w:rsidRPr="009A35D6" w:rsidRDefault="009F4442" w:rsidP="009F4442">
      <w:pPr>
        <w:tabs>
          <w:tab w:val="left" w:pos="851"/>
        </w:tabs>
        <w:ind w:left="851"/>
        <w:rPr>
          <w:sz w:val="24"/>
          <w:szCs w:val="24"/>
        </w:rPr>
      </w:pPr>
      <w:r w:rsidRPr="009A35D6">
        <w:rPr>
          <w:sz w:val="24"/>
          <w:szCs w:val="24"/>
        </w:rPr>
        <w:t xml:space="preserve">I IFUM-studiet blev mutationsstatus vurderet i tumor- og </w:t>
      </w:r>
      <w:proofErr w:type="spellStart"/>
      <w:r w:rsidRPr="009A35D6">
        <w:rPr>
          <w:sz w:val="24"/>
          <w:szCs w:val="24"/>
        </w:rPr>
        <w:t>ctDNA</w:t>
      </w:r>
      <w:proofErr w:type="spellEnd"/>
      <w:r w:rsidRPr="009A35D6">
        <w:rPr>
          <w:sz w:val="24"/>
          <w:szCs w:val="24"/>
        </w:rPr>
        <w:t xml:space="preserve">-prøver indsamlet fra plasma under anvendelse af </w:t>
      </w:r>
      <w:proofErr w:type="spellStart"/>
      <w:r w:rsidRPr="009A35D6">
        <w:rPr>
          <w:sz w:val="24"/>
          <w:szCs w:val="24"/>
        </w:rPr>
        <w:t>Therascreen</w:t>
      </w:r>
      <w:proofErr w:type="spellEnd"/>
      <w:r w:rsidRPr="009A35D6">
        <w:rPr>
          <w:sz w:val="24"/>
          <w:szCs w:val="24"/>
        </w:rPr>
        <w:t xml:space="preserve"> EGFR-RGQ-PCR-sættet (</w:t>
      </w:r>
      <w:proofErr w:type="spellStart"/>
      <w:r w:rsidRPr="009A35D6">
        <w:rPr>
          <w:sz w:val="24"/>
          <w:szCs w:val="24"/>
        </w:rPr>
        <w:t>Qiagen</w:t>
      </w:r>
      <w:proofErr w:type="spellEnd"/>
      <w:r w:rsidRPr="009A35D6">
        <w:rPr>
          <w:sz w:val="24"/>
          <w:szCs w:val="24"/>
        </w:rPr>
        <w:t xml:space="preserve">). Hos 652 ud af 1.060 screenede patienter var både </w:t>
      </w:r>
      <w:proofErr w:type="spellStart"/>
      <w:r w:rsidRPr="009A35D6">
        <w:rPr>
          <w:sz w:val="24"/>
          <w:szCs w:val="24"/>
        </w:rPr>
        <w:t>ctDNA</w:t>
      </w:r>
      <w:proofErr w:type="spellEnd"/>
      <w:r w:rsidRPr="009A35D6">
        <w:rPr>
          <w:sz w:val="24"/>
          <w:szCs w:val="24"/>
        </w:rPr>
        <w:t xml:space="preserve">- og tumorprøverne </w:t>
      </w:r>
      <w:proofErr w:type="spellStart"/>
      <w:r w:rsidRPr="009A35D6">
        <w:rPr>
          <w:sz w:val="24"/>
          <w:szCs w:val="24"/>
        </w:rPr>
        <w:t>vurderbare</w:t>
      </w:r>
      <w:proofErr w:type="spellEnd"/>
      <w:r w:rsidRPr="009A35D6">
        <w:rPr>
          <w:sz w:val="24"/>
          <w:szCs w:val="24"/>
        </w:rPr>
        <w:t xml:space="preserve">. Den objektive responsrate (ORR) hos de patienter, som var tumor- og </w:t>
      </w:r>
      <w:proofErr w:type="spellStart"/>
      <w:r w:rsidRPr="009A35D6">
        <w:rPr>
          <w:sz w:val="24"/>
          <w:szCs w:val="24"/>
        </w:rPr>
        <w:t>ctDNA</w:t>
      </w:r>
      <w:proofErr w:type="spellEnd"/>
      <w:r w:rsidRPr="009A35D6">
        <w:rPr>
          <w:sz w:val="24"/>
          <w:szCs w:val="24"/>
        </w:rPr>
        <w:t>-mutationspositive, var 77 % (95 % CI: 66 % til 86 %) og 60 % (95 % CI: 44 % til 74 %) hos dem, som kun var tumormutationspositive.</w:t>
      </w:r>
    </w:p>
    <w:p w14:paraId="0F118EA0" w14:textId="77777777" w:rsidR="009F4442" w:rsidRPr="009A35D6" w:rsidRDefault="009F4442" w:rsidP="009F4442">
      <w:pPr>
        <w:tabs>
          <w:tab w:val="left" w:pos="851"/>
        </w:tabs>
        <w:ind w:left="851" w:hanging="851"/>
        <w:rPr>
          <w:sz w:val="24"/>
          <w:szCs w:val="24"/>
        </w:rPr>
      </w:pPr>
    </w:p>
    <w:p w14:paraId="2F995B48" w14:textId="77777777" w:rsidR="009F4442" w:rsidRPr="00262191" w:rsidRDefault="009F4442" w:rsidP="009F4442">
      <w:pPr>
        <w:rPr>
          <w:b/>
          <w:sz w:val="24"/>
          <w:szCs w:val="24"/>
        </w:rPr>
      </w:pPr>
      <w:r w:rsidRPr="009A35D6">
        <w:rPr>
          <w:b/>
          <w:sz w:val="24"/>
          <w:szCs w:val="24"/>
        </w:rPr>
        <w:t>Tabel 2</w:t>
      </w:r>
      <w:r>
        <w:rPr>
          <w:b/>
          <w:sz w:val="24"/>
          <w:szCs w:val="24"/>
        </w:rPr>
        <w:t xml:space="preserve">. </w:t>
      </w:r>
      <w:r w:rsidRPr="009A35D6">
        <w:rPr>
          <w:b/>
          <w:sz w:val="24"/>
          <w:szCs w:val="24"/>
        </w:rPr>
        <w:t xml:space="preserve">Sammenfatning af baseline-mutationsstatus for tumor- og </w:t>
      </w:r>
      <w:proofErr w:type="spellStart"/>
      <w:r w:rsidRPr="009A35D6">
        <w:rPr>
          <w:b/>
          <w:sz w:val="24"/>
          <w:szCs w:val="24"/>
        </w:rPr>
        <w:t>ctDNA</w:t>
      </w:r>
      <w:proofErr w:type="spellEnd"/>
      <w:r w:rsidRPr="009A35D6">
        <w:rPr>
          <w:b/>
          <w:sz w:val="24"/>
          <w:szCs w:val="24"/>
        </w:rPr>
        <w:t>-prøver for alle</w:t>
      </w:r>
      <w:r>
        <w:rPr>
          <w:b/>
          <w:sz w:val="24"/>
          <w:szCs w:val="24"/>
        </w:rPr>
        <w:t xml:space="preserve"> </w:t>
      </w:r>
      <w:r w:rsidRPr="009A35D6">
        <w:rPr>
          <w:b/>
          <w:sz w:val="24"/>
          <w:szCs w:val="24"/>
        </w:rPr>
        <w:t xml:space="preserve">screenede patienter, hvor begge prøver var </w:t>
      </w:r>
      <w:proofErr w:type="spellStart"/>
      <w:r w:rsidRPr="009A35D6">
        <w:rPr>
          <w:b/>
          <w:sz w:val="24"/>
          <w:szCs w:val="24"/>
        </w:rPr>
        <w:t>evaluerbare</w:t>
      </w:r>
      <w:proofErr w:type="spellEnd"/>
    </w:p>
    <w:tbl>
      <w:tblPr>
        <w:tblStyle w:val="Tabel-Gitter"/>
        <w:tblW w:w="0" w:type="auto"/>
        <w:tblInd w:w="0" w:type="dxa"/>
        <w:tblLook w:val="04A0" w:firstRow="1" w:lastRow="0" w:firstColumn="1" w:lastColumn="0" w:noHBand="0" w:noVBand="1"/>
      </w:tblPr>
      <w:tblGrid>
        <w:gridCol w:w="2122"/>
        <w:gridCol w:w="3118"/>
        <w:gridCol w:w="2977"/>
        <w:gridCol w:w="1411"/>
      </w:tblGrid>
      <w:tr w:rsidR="009F4442" w:rsidRPr="00262191" w14:paraId="2F2ACF07" w14:textId="77777777" w:rsidTr="00A75BD5">
        <w:tc>
          <w:tcPr>
            <w:tcW w:w="2122" w:type="dxa"/>
            <w:tcBorders>
              <w:top w:val="single" w:sz="4" w:space="0" w:color="auto"/>
              <w:left w:val="single" w:sz="4" w:space="0" w:color="auto"/>
              <w:bottom w:val="single" w:sz="4" w:space="0" w:color="auto"/>
              <w:right w:val="single" w:sz="4" w:space="0" w:color="auto"/>
            </w:tcBorders>
            <w:hideMark/>
          </w:tcPr>
          <w:p w14:paraId="294F93C0" w14:textId="77777777" w:rsidR="009F4442" w:rsidRPr="00262191" w:rsidRDefault="009F4442" w:rsidP="00A75BD5">
            <w:pPr>
              <w:rPr>
                <w:rFonts w:ascii="Times New Roman" w:hAnsi="Times New Roman" w:cs="Times New Roman"/>
                <w:sz w:val="24"/>
                <w:szCs w:val="24"/>
              </w:rPr>
            </w:pPr>
            <w:r w:rsidRPr="00262191">
              <w:rPr>
                <w:rFonts w:ascii="Times New Roman" w:hAnsi="Times New Roman" w:cs="Times New Roman"/>
                <w:sz w:val="24"/>
                <w:szCs w:val="24"/>
              </w:rPr>
              <w:t>Mål</w:t>
            </w:r>
          </w:p>
        </w:tc>
        <w:tc>
          <w:tcPr>
            <w:tcW w:w="3118" w:type="dxa"/>
            <w:tcBorders>
              <w:top w:val="single" w:sz="4" w:space="0" w:color="auto"/>
              <w:left w:val="single" w:sz="4" w:space="0" w:color="auto"/>
              <w:bottom w:val="single" w:sz="4" w:space="0" w:color="auto"/>
              <w:right w:val="single" w:sz="4" w:space="0" w:color="auto"/>
            </w:tcBorders>
            <w:hideMark/>
          </w:tcPr>
          <w:p w14:paraId="6CE4083C" w14:textId="77777777" w:rsidR="009F4442" w:rsidRPr="00262191" w:rsidRDefault="009F4442" w:rsidP="00A75BD5">
            <w:pPr>
              <w:rPr>
                <w:rFonts w:ascii="Times New Roman" w:hAnsi="Times New Roman" w:cs="Times New Roman"/>
                <w:sz w:val="24"/>
                <w:szCs w:val="24"/>
              </w:rPr>
            </w:pPr>
            <w:r w:rsidRPr="00262191">
              <w:rPr>
                <w:rFonts w:ascii="Times New Roman" w:hAnsi="Times New Roman" w:cs="Times New Roman"/>
                <w:sz w:val="24"/>
                <w:szCs w:val="24"/>
              </w:rPr>
              <w:t>Definition</w:t>
            </w:r>
          </w:p>
        </w:tc>
        <w:tc>
          <w:tcPr>
            <w:tcW w:w="2977" w:type="dxa"/>
            <w:tcBorders>
              <w:top w:val="single" w:sz="4" w:space="0" w:color="auto"/>
              <w:left w:val="single" w:sz="4" w:space="0" w:color="auto"/>
              <w:bottom w:val="single" w:sz="4" w:space="0" w:color="auto"/>
              <w:right w:val="single" w:sz="4" w:space="0" w:color="auto"/>
            </w:tcBorders>
            <w:hideMark/>
          </w:tcPr>
          <w:p w14:paraId="031CDDB0" w14:textId="77777777" w:rsidR="009F4442" w:rsidRPr="00262191" w:rsidRDefault="009F4442" w:rsidP="00A75BD5">
            <w:pPr>
              <w:jc w:val="center"/>
              <w:rPr>
                <w:rFonts w:ascii="Times New Roman" w:hAnsi="Times New Roman" w:cs="Times New Roman"/>
                <w:sz w:val="24"/>
                <w:szCs w:val="24"/>
              </w:rPr>
            </w:pPr>
            <w:r w:rsidRPr="00262191">
              <w:rPr>
                <w:rFonts w:ascii="Times New Roman" w:hAnsi="Times New Roman" w:cs="Times New Roman"/>
                <w:sz w:val="24"/>
                <w:szCs w:val="24"/>
              </w:rPr>
              <w:t>IFUM-rate</w:t>
            </w:r>
          </w:p>
          <w:p w14:paraId="05714E08" w14:textId="77777777" w:rsidR="009F4442" w:rsidRPr="00262191" w:rsidRDefault="009F4442" w:rsidP="00A75BD5">
            <w:pPr>
              <w:jc w:val="center"/>
              <w:rPr>
                <w:rFonts w:ascii="Times New Roman" w:hAnsi="Times New Roman" w:cs="Times New Roman"/>
                <w:sz w:val="24"/>
                <w:szCs w:val="24"/>
              </w:rPr>
            </w:pPr>
            <w:r w:rsidRPr="00262191">
              <w:rPr>
                <w:rFonts w:ascii="Times New Roman" w:hAnsi="Times New Roman" w:cs="Times New Roman"/>
                <w:sz w:val="24"/>
                <w:szCs w:val="24"/>
              </w:rPr>
              <w:t>% (CI)</w:t>
            </w:r>
          </w:p>
        </w:tc>
        <w:tc>
          <w:tcPr>
            <w:tcW w:w="1411" w:type="dxa"/>
            <w:tcBorders>
              <w:top w:val="single" w:sz="4" w:space="0" w:color="auto"/>
              <w:left w:val="single" w:sz="4" w:space="0" w:color="auto"/>
              <w:bottom w:val="single" w:sz="4" w:space="0" w:color="auto"/>
              <w:right w:val="single" w:sz="4" w:space="0" w:color="auto"/>
            </w:tcBorders>
            <w:hideMark/>
          </w:tcPr>
          <w:p w14:paraId="66CB3903" w14:textId="77777777" w:rsidR="009F4442" w:rsidRPr="00262191" w:rsidRDefault="009F4442" w:rsidP="00A75BD5">
            <w:pPr>
              <w:jc w:val="center"/>
              <w:rPr>
                <w:rFonts w:ascii="Times New Roman" w:hAnsi="Times New Roman" w:cs="Times New Roman"/>
                <w:sz w:val="24"/>
                <w:szCs w:val="24"/>
              </w:rPr>
            </w:pPr>
            <w:r w:rsidRPr="00262191">
              <w:rPr>
                <w:rFonts w:ascii="Times New Roman" w:hAnsi="Times New Roman" w:cs="Times New Roman"/>
                <w:sz w:val="24"/>
                <w:szCs w:val="24"/>
              </w:rPr>
              <w:t>IFUM</w:t>
            </w:r>
          </w:p>
          <w:p w14:paraId="1D570A17" w14:textId="77777777" w:rsidR="009F4442" w:rsidRPr="00262191" w:rsidRDefault="009F4442" w:rsidP="00A75BD5">
            <w:pPr>
              <w:jc w:val="center"/>
              <w:rPr>
                <w:rFonts w:ascii="Times New Roman" w:hAnsi="Times New Roman" w:cs="Times New Roman"/>
                <w:sz w:val="24"/>
                <w:szCs w:val="24"/>
              </w:rPr>
            </w:pPr>
            <w:r w:rsidRPr="00262191">
              <w:rPr>
                <w:rFonts w:ascii="Times New Roman" w:hAnsi="Times New Roman" w:cs="Times New Roman"/>
                <w:sz w:val="24"/>
                <w:szCs w:val="24"/>
              </w:rPr>
              <w:t>N</w:t>
            </w:r>
          </w:p>
        </w:tc>
      </w:tr>
      <w:tr w:rsidR="009F4442" w:rsidRPr="00262191" w14:paraId="00D67838" w14:textId="77777777" w:rsidTr="00A75BD5">
        <w:tc>
          <w:tcPr>
            <w:tcW w:w="2122" w:type="dxa"/>
            <w:tcBorders>
              <w:top w:val="single" w:sz="4" w:space="0" w:color="auto"/>
              <w:left w:val="single" w:sz="4" w:space="0" w:color="auto"/>
              <w:bottom w:val="single" w:sz="4" w:space="0" w:color="auto"/>
              <w:right w:val="single" w:sz="4" w:space="0" w:color="auto"/>
            </w:tcBorders>
            <w:hideMark/>
          </w:tcPr>
          <w:p w14:paraId="1854FBA3" w14:textId="77777777" w:rsidR="009F4442" w:rsidRPr="00262191" w:rsidRDefault="009F4442" w:rsidP="00A75BD5">
            <w:pPr>
              <w:rPr>
                <w:rFonts w:ascii="Times New Roman" w:hAnsi="Times New Roman" w:cs="Times New Roman"/>
                <w:sz w:val="24"/>
                <w:szCs w:val="24"/>
              </w:rPr>
            </w:pPr>
            <w:r w:rsidRPr="00262191">
              <w:rPr>
                <w:rFonts w:ascii="Times New Roman" w:hAnsi="Times New Roman" w:cs="Times New Roman"/>
                <w:sz w:val="24"/>
                <w:szCs w:val="24"/>
              </w:rPr>
              <w:t>Sensitivitet</w:t>
            </w:r>
          </w:p>
        </w:tc>
        <w:tc>
          <w:tcPr>
            <w:tcW w:w="3118" w:type="dxa"/>
            <w:tcBorders>
              <w:top w:val="single" w:sz="4" w:space="0" w:color="auto"/>
              <w:left w:val="single" w:sz="4" w:space="0" w:color="auto"/>
              <w:bottom w:val="single" w:sz="4" w:space="0" w:color="auto"/>
              <w:right w:val="single" w:sz="4" w:space="0" w:color="auto"/>
            </w:tcBorders>
            <w:hideMark/>
          </w:tcPr>
          <w:p w14:paraId="0F46699E" w14:textId="77777777" w:rsidR="009F4442" w:rsidRPr="00262191" w:rsidRDefault="009F4442" w:rsidP="00A75BD5">
            <w:pPr>
              <w:rPr>
                <w:rFonts w:ascii="Times New Roman" w:hAnsi="Times New Roman" w:cs="Times New Roman"/>
                <w:sz w:val="24"/>
                <w:szCs w:val="24"/>
              </w:rPr>
            </w:pPr>
            <w:r w:rsidRPr="00262191">
              <w:rPr>
                <w:rFonts w:ascii="Times New Roman" w:hAnsi="Times New Roman" w:cs="Times New Roman"/>
                <w:sz w:val="24"/>
                <w:szCs w:val="24"/>
              </w:rPr>
              <w:t xml:space="preserve">Andel af tumor M+, der er M+ i </w:t>
            </w:r>
            <w:proofErr w:type="spellStart"/>
            <w:r w:rsidRPr="00262191">
              <w:rPr>
                <w:rFonts w:ascii="Times New Roman" w:hAnsi="Times New Roman" w:cs="Times New Roman"/>
                <w:sz w:val="24"/>
                <w:szCs w:val="24"/>
              </w:rPr>
              <w:t>ctDNA</w:t>
            </w:r>
            <w:proofErr w:type="spellEnd"/>
          </w:p>
        </w:tc>
        <w:tc>
          <w:tcPr>
            <w:tcW w:w="2977" w:type="dxa"/>
            <w:tcBorders>
              <w:top w:val="single" w:sz="4" w:space="0" w:color="auto"/>
              <w:left w:val="single" w:sz="4" w:space="0" w:color="auto"/>
              <w:bottom w:val="single" w:sz="4" w:space="0" w:color="auto"/>
              <w:right w:val="single" w:sz="4" w:space="0" w:color="auto"/>
            </w:tcBorders>
            <w:hideMark/>
          </w:tcPr>
          <w:p w14:paraId="1B4E9E3A" w14:textId="77777777" w:rsidR="009F4442" w:rsidRPr="00262191" w:rsidRDefault="009F4442" w:rsidP="00A75BD5">
            <w:pPr>
              <w:jc w:val="center"/>
              <w:rPr>
                <w:rFonts w:ascii="Times New Roman" w:hAnsi="Times New Roman" w:cs="Times New Roman"/>
                <w:sz w:val="24"/>
                <w:szCs w:val="24"/>
              </w:rPr>
            </w:pPr>
            <w:r w:rsidRPr="00262191">
              <w:rPr>
                <w:rFonts w:ascii="Times New Roman" w:hAnsi="Times New Roman" w:cs="Times New Roman"/>
                <w:sz w:val="24"/>
                <w:szCs w:val="24"/>
              </w:rPr>
              <w:t>65,7 (55,8, 74,7)</w:t>
            </w:r>
          </w:p>
        </w:tc>
        <w:tc>
          <w:tcPr>
            <w:tcW w:w="1411" w:type="dxa"/>
            <w:tcBorders>
              <w:top w:val="single" w:sz="4" w:space="0" w:color="auto"/>
              <w:left w:val="single" w:sz="4" w:space="0" w:color="auto"/>
              <w:bottom w:val="single" w:sz="4" w:space="0" w:color="auto"/>
              <w:right w:val="single" w:sz="4" w:space="0" w:color="auto"/>
            </w:tcBorders>
            <w:hideMark/>
          </w:tcPr>
          <w:p w14:paraId="3218EA04" w14:textId="77777777" w:rsidR="009F4442" w:rsidRPr="00262191" w:rsidRDefault="009F4442" w:rsidP="00A75BD5">
            <w:pPr>
              <w:jc w:val="center"/>
              <w:rPr>
                <w:rFonts w:ascii="Times New Roman" w:hAnsi="Times New Roman" w:cs="Times New Roman"/>
                <w:sz w:val="24"/>
                <w:szCs w:val="24"/>
              </w:rPr>
            </w:pPr>
            <w:r w:rsidRPr="00262191">
              <w:rPr>
                <w:rFonts w:ascii="Times New Roman" w:hAnsi="Times New Roman" w:cs="Times New Roman"/>
                <w:sz w:val="24"/>
                <w:szCs w:val="24"/>
              </w:rPr>
              <w:t>105</w:t>
            </w:r>
          </w:p>
        </w:tc>
      </w:tr>
      <w:tr w:rsidR="009F4442" w:rsidRPr="00262191" w14:paraId="55AD1A0F" w14:textId="77777777" w:rsidTr="00A75BD5">
        <w:tc>
          <w:tcPr>
            <w:tcW w:w="2122" w:type="dxa"/>
            <w:tcBorders>
              <w:top w:val="single" w:sz="4" w:space="0" w:color="auto"/>
              <w:left w:val="single" w:sz="4" w:space="0" w:color="auto"/>
              <w:bottom w:val="single" w:sz="4" w:space="0" w:color="auto"/>
              <w:right w:val="single" w:sz="4" w:space="0" w:color="auto"/>
            </w:tcBorders>
            <w:hideMark/>
          </w:tcPr>
          <w:p w14:paraId="3ECEAAE0" w14:textId="77777777" w:rsidR="009F4442" w:rsidRPr="00262191" w:rsidRDefault="009F4442" w:rsidP="00A75BD5">
            <w:pPr>
              <w:rPr>
                <w:rFonts w:ascii="Times New Roman" w:hAnsi="Times New Roman" w:cs="Times New Roman"/>
                <w:sz w:val="24"/>
                <w:szCs w:val="24"/>
              </w:rPr>
            </w:pPr>
            <w:r w:rsidRPr="00262191">
              <w:rPr>
                <w:rFonts w:ascii="Times New Roman" w:hAnsi="Times New Roman" w:cs="Times New Roman"/>
                <w:sz w:val="24"/>
                <w:szCs w:val="24"/>
              </w:rPr>
              <w:t>Specificitet</w:t>
            </w:r>
          </w:p>
        </w:tc>
        <w:tc>
          <w:tcPr>
            <w:tcW w:w="3118" w:type="dxa"/>
            <w:tcBorders>
              <w:top w:val="single" w:sz="4" w:space="0" w:color="auto"/>
              <w:left w:val="single" w:sz="4" w:space="0" w:color="auto"/>
              <w:bottom w:val="single" w:sz="4" w:space="0" w:color="auto"/>
              <w:right w:val="single" w:sz="4" w:space="0" w:color="auto"/>
            </w:tcBorders>
            <w:hideMark/>
          </w:tcPr>
          <w:p w14:paraId="197E2580" w14:textId="77777777" w:rsidR="009F4442" w:rsidRPr="00262191" w:rsidRDefault="009F4442" w:rsidP="00A75BD5">
            <w:pPr>
              <w:rPr>
                <w:rFonts w:ascii="Times New Roman" w:hAnsi="Times New Roman" w:cs="Times New Roman"/>
                <w:sz w:val="24"/>
                <w:szCs w:val="24"/>
              </w:rPr>
            </w:pPr>
            <w:r w:rsidRPr="00262191">
              <w:rPr>
                <w:rFonts w:ascii="Times New Roman" w:hAnsi="Times New Roman" w:cs="Times New Roman"/>
                <w:sz w:val="24"/>
                <w:szCs w:val="24"/>
              </w:rPr>
              <w:t xml:space="preserve">Andel af tumor M-, der er M- i </w:t>
            </w:r>
            <w:proofErr w:type="spellStart"/>
            <w:r w:rsidRPr="00262191">
              <w:rPr>
                <w:rFonts w:ascii="Times New Roman" w:hAnsi="Times New Roman" w:cs="Times New Roman"/>
                <w:sz w:val="24"/>
                <w:szCs w:val="24"/>
              </w:rPr>
              <w:t>ctDNA</w:t>
            </w:r>
            <w:proofErr w:type="spellEnd"/>
            <w:r w:rsidRPr="00262191">
              <w:rPr>
                <w:rFonts w:ascii="Times New Roman" w:hAnsi="Times New Roman" w:cs="Times New Roman"/>
                <w:sz w:val="24"/>
                <w:szCs w:val="24"/>
              </w:rPr>
              <w:t>)</w:t>
            </w:r>
          </w:p>
        </w:tc>
        <w:tc>
          <w:tcPr>
            <w:tcW w:w="2977" w:type="dxa"/>
            <w:tcBorders>
              <w:top w:val="single" w:sz="4" w:space="0" w:color="auto"/>
              <w:left w:val="single" w:sz="4" w:space="0" w:color="auto"/>
              <w:bottom w:val="single" w:sz="4" w:space="0" w:color="auto"/>
              <w:right w:val="single" w:sz="4" w:space="0" w:color="auto"/>
            </w:tcBorders>
            <w:hideMark/>
          </w:tcPr>
          <w:p w14:paraId="17716171" w14:textId="77777777" w:rsidR="009F4442" w:rsidRPr="00262191" w:rsidRDefault="009F4442" w:rsidP="00A75BD5">
            <w:pPr>
              <w:jc w:val="center"/>
              <w:rPr>
                <w:rFonts w:ascii="Times New Roman" w:hAnsi="Times New Roman" w:cs="Times New Roman"/>
                <w:sz w:val="24"/>
                <w:szCs w:val="24"/>
              </w:rPr>
            </w:pPr>
            <w:r w:rsidRPr="00262191">
              <w:rPr>
                <w:rFonts w:ascii="Times New Roman" w:hAnsi="Times New Roman" w:cs="Times New Roman"/>
                <w:sz w:val="24"/>
                <w:szCs w:val="24"/>
              </w:rPr>
              <w:t>99,8 (99,0, 100,0)</w:t>
            </w:r>
          </w:p>
        </w:tc>
        <w:tc>
          <w:tcPr>
            <w:tcW w:w="1411" w:type="dxa"/>
            <w:tcBorders>
              <w:top w:val="single" w:sz="4" w:space="0" w:color="auto"/>
              <w:left w:val="single" w:sz="4" w:space="0" w:color="auto"/>
              <w:bottom w:val="single" w:sz="4" w:space="0" w:color="auto"/>
              <w:right w:val="single" w:sz="4" w:space="0" w:color="auto"/>
            </w:tcBorders>
            <w:hideMark/>
          </w:tcPr>
          <w:p w14:paraId="73B3D988" w14:textId="77777777" w:rsidR="009F4442" w:rsidRPr="00262191" w:rsidRDefault="009F4442" w:rsidP="00A75BD5">
            <w:pPr>
              <w:jc w:val="center"/>
              <w:rPr>
                <w:rFonts w:ascii="Times New Roman" w:hAnsi="Times New Roman" w:cs="Times New Roman"/>
                <w:sz w:val="24"/>
                <w:szCs w:val="24"/>
              </w:rPr>
            </w:pPr>
            <w:r w:rsidRPr="00262191">
              <w:rPr>
                <w:rFonts w:ascii="Times New Roman" w:hAnsi="Times New Roman" w:cs="Times New Roman"/>
                <w:sz w:val="24"/>
                <w:szCs w:val="24"/>
              </w:rPr>
              <w:t>547</w:t>
            </w:r>
          </w:p>
        </w:tc>
      </w:tr>
    </w:tbl>
    <w:p w14:paraId="6CCDA1C4" w14:textId="77777777" w:rsidR="009F4442" w:rsidRPr="009A35D6" w:rsidRDefault="009F4442" w:rsidP="009F4442">
      <w:pPr>
        <w:tabs>
          <w:tab w:val="left" w:pos="851"/>
        </w:tabs>
        <w:ind w:left="851" w:hanging="851"/>
        <w:rPr>
          <w:sz w:val="24"/>
          <w:szCs w:val="24"/>
        </w:rPr>
      </w:pPr>
    </w:p>
    <w:p w14:paraId="27C3C0C2" w14:textId="77777777" w:rsidR="009F4442" w:rsidRPr="009A35D6" w:rsidRDefault="009F4442" w:rsidP="009F4442">
      <w:pPr>
        <w:tabs>
          <w:tab w:val="left" w:pos="851"/>
        </w:tabs>
        <w:ind w:left="851"/>
        <w:rPr>
          <w:sz w:val="24"/>
          <w:szCs w:val="24"/>
        </w:rPr>
      </w:pPr>
      <w:r w:rsidRPr="009A35D6">
        <w:rPr>
          <w:sz w:val="24"/>
          <w:szCs w:val="24"/>
        </w:rPr>
        <w:t xml:space="preserve">Disse data er i overensstemmelse med den planlagte </w:t>
      </w:r>
      <w:proofErr w:type="spellStart"/>
      <w:r w:rsidRPr="009A35D6">
        <w:rPr>
          <w:sz w:val="24"/>
          <w:szCs w:val="24"/>
        </w:rPr>
        <w:t>eksploratoriske</w:t>
      </w:r>
      <w:proofErr w:type="spellEnd"/>
      <w:r w:rsidRPr="009A35D6">
        <w:rPr>
          <w:sz w:val="24"/>
          <w:szCs w:val="24"/>
        </w:rPr>
        <w:t xml:space="preserve"> japanske subgruppeanalyse i IPASS (</w:t>
      </w:r>
      <w:proofErr w:type="spellStart"/>
      <w:r w:rsidRPr="009A35D6">
        <w:rPr>
          <w:sz w:val="24"/>
          <w:szCs w:val="24"/>
        </w:rPr>
        <w:t>Goto</w:t>
      </w:r>
      <w:proofErr w:type="spellEnd"/>
      <w:r w:rsidRPr="009A35D6">
        <w:rPr>
          <w:sz w:val="24"/>
          <w:szCs w:val="24"/>
        </w:rPr>
        <w:t xml:space="preserve"> 2012). I dette studie blev der anvendt </w:t>
      </w:r>
      <w:proofErr w:type="spellStart"/>
      <w:r w:rsidRPr="009A35D6">
        <w:rPr>
          <w:sz w:val="24"/>
          <w:szCs w:val="24"/>
        </w:rPr>
        <w:t>ctDNA</w:t>
      </w:r>
      <w:proofErr w:type="spellEnd"/>
      <w:r w:rsidRPr="009A35D6">
        <w:rPr>
          <w:sz w:val="24"/>
          <w:szCs w:val="24"/>
        </w:rPr>
        <w:t xml:space="preserve"> fra serum, ikke plasma, til EGFR-mutationsanalyse under anvendelse af EGFR-mutationstestsættet (</w:t>
      </w:r>
      <w:proofErr w:type="spellStart"/>
      <w:r w:rsidRPr="009A35D6">
        <w:rPr>
          <w:sz w:val="24"/>
          <w:szCs w:val="24"/>
        </w:rPr>
        <w:t>DxS</w:t>
      </w:r>
      <w:proofErr w:type="spellEnd"/>
      <w:r w:rsidRPr="009A35D6">
        <w:rPr>
          <w:sz w:val="24"/>
          <w:szCs w:val="24"/>
        </w:rPr>
        <w:t>) (N= 86). I dette studie var sensibiliteten 43,1 % og specificiteten 100 %.</w:t>
      </w:r>
    </w:p>
    <w:p w14:paraId="1BC6A354" w14:textId="77777777" w:rsidR="009F4442" w:rsidRPr="009A35D6" w:rsidRDefault="009F4442" w:rsidP="009F4442">
      <w:pPr>
        <w:tabs>
          <w:tab w:val="left" w:pos="851"/>
        </w:tabs>
        <w:ind w:left="851"/>
        <w:rPr>
          <w:sz w:val="24"/>
          <w:szCs w:val="24"/>
        </w:rPr>
      </w:pPr>
    </w:p>
    <w:p w14:paraId="2E74809E" w14:textId="77777777" w:rsidR="009F4442" w:rsidRPr="009A35D6" w:rsidRDefault="009F4442" w:rsidP="009F4442">
      <w:pPr>
        <w:tabs>
          <w:tab w:val="left" w:pos="851"/>
        </w:tabs>
        <w:ind w:left="851"/>
        <w:rPr>
          <w:sz w:val="24"/>
          <w:szCs w:val="24"/>
          <w:u w:val="single"/>
        </w:rPr>
      </w:pPr>
      <w:r w:rsidRPr="009A35D6">
        <w:rPr>
          <w:sz w:val="24"/>
          <w:szCs w:val="24"/>
          <w:u w:val="single"/>
        </w:rPr>
        <w:t>Klinisk virkning og sikkerhed</w:t>
      </w:r>
    </w:p>
    <w:p w14:paraId="46770298" w14:textId="77777777" w:rsidR="009F4442" w:rsidRPr="009A35D6" w:rsidRDefault="009F4442" w:rsidP="009F4442">
      <w:pPr>
        <w:tabs>
          <w:tab w:val="left" w:pos="851"/>
        </w:tabs>
        <w:ind w:left="851"/>
        <w:rPr>
          <w:i/>
          <w:sz w:val="24"/>
          <w:szCs w:val="24"/>
        </w:rPr>
      </w:pPr>
      <w:r w:rsidRPr="009A35D6">
        <w:rPr>
          <w:i/>
          <w:sz w:val="24"/>
          <w:szCs w:val="24"/>
        </w:rPr>
        <w:t>Førstelinjebehandling</w:t>
      </w:r>
    </w:p>
    <w:p w14:paraId="5EAB48D9" w14:textId="77777777" w:rsidR="009F4442" w:rsidRPr="009A35D6" w:rsidRDefault="009F4442" w:rsidP="009F4442">
      <w:pPr>
        <w:tabs>
          <w:tab w:val="left" w:pos="851"/>
        </w:tabs>
        <w:ind w:left="851"/>
        <w:rPr>
          <w:sz w:val="24"/>
          <w:szCs w:val="24"/>
        </w:rPr>
      </w:pPr>
      <w:r w:rsidRPr="009A35D6">
        <w:rPr>
          <w:sz w:val="24"/>
          <w:szCs w:val="24"/>
        </w:rPr>
        <w:t>Det randomiserede fase III-førstelinjeforsøg IPASS blev gennemført med patienter fra Asien</w:t>
      </w:r>
      <w:r w:rsidRPr="009A35D6">
        <w:rPr>
          <w:sz w:val="24"/>
          <w:szCs w:val="24"/>
          <w:vertAlign w:val="superscript"/>
        </w:rPr>
        <w:t>1</w:t>
      </w:r>
      <w:r w:rsidRPr="009A35D6">
        <w:rPr>
          <w:sz w:val="24"/>
          <w:szCs w:val="24"/>
        </w:rPr>
        <w:t xml:space="preserve">, som havde avanceret NSCLC (i stadie IIIB eller IV) med </w:t>
      </w:r>
      <w:proofErr w:type="spellStart"/>
      <w:r w:rsidRPr="009A35D6">
        <w:rPr>
          <w:sz w:val="24"/>
          <w:szCs w:val="24"/>
        </w:rPr>
        <w:t>adenocarcinom</w:t>
      </w:r>
      <w:proofErr w:type="spellEnd"/>
      <w:r w:rsidRPr="009A35D6">
        <w:rPr>
          <w:sz w:val="24"/>
          <w:szCs w:val="24"/>
        </w:rPr>
        <w:t xml:space="preserve">-histologi og var tidligere lette rygere (rygeophør &gt; 15 år siden og cigaretforbrug &lt; 10 </w:t>
      </w:r>
      <w:proofErr w:type="spellStart"/>
      <w:r w:rsidRPr="009A35D6">
        <w:rPr>
          <w:sz w:val="24"/>
          <w:szCs w:val="24"/>
        </w:rPr>
        <w:t>pakkeår</w:t>
      </w:r>
      <w:proofErr w:type="spellEnd"/>
      <w:r w:rsidRPr="009A35D6">
        <w:rPr>
          <w:sz w:val="24"/>
          <w:szCs w:val="24"/>
        </w:rPr>
        <w:t>), eller som aldrig havde røget (se tabel 3).</w:t>
      </w:r>
    </w:p>
    <w:p w14:paraId="6C169F8B" w14:textId="77777777" w:rsidR="009F4442" w:rsidRPr="009A35D6" w:rsidRDefault="009F4442" w:rsidP="009F4442">
      <w:pPr>
        <w:tabs>
          <w:tab w:val="left" w:pos="851"/>
        </w:tabs>
        <w:ind w:left="851" w:hanging="851"/>
        <w:rPr>
          <w:sz w:val="24"/>
          <w:szCs w:val="24"/>
        </w:rPr>
      </w:pPr>
    </w:p>
    <w:p w14:paraId="3AF39B38" w14:textId="77777777" w:rsidR="009F4442" w:rsidRPr="009A35D6" w:rsidRDefault="009F4442" w:rsidP="009F4442">
      <w:pPr>
        <w:tabs>
          <w:tab w:val="left" w:pos="851"/>
        </w:tabs>
        <w:ind w:left="851" w:hanging="851"/>
        <w:rPr>
          <w:sz w:val="24"/>
          <w:szCs w:val="24"/>
          <w:lang w:val="en-US"/>
        </w:rPr>
      </w:pPr>
      <w:r w:rsidRPr="00402247">
        <w:rPr>
          <w:sz w:val="24"/>
          <w:szCs w:val="24"/>
          <w:vertAlign w:val="superscript"/>
        </w:rPr>
        <w:tab/>
      </w:r>
      <w:r w:rsidRPr="009A35D6">
        <w:rPr>
          <w:sz w:val="24"/>
          <w:szCs w:val="24"/>
          <w:vertAlign w:val="superscript"/>
          <w:lang w:val="en-US"/>
        </w:rPr>
        <w:t>1</w:t>
      </w:r>
      <w:r w:rsidRPr="009A35D6">
        <w:rPr>
          <w:sz w:val="24"/>
          <w:szCs w:val="24"/>
          <w:lang w:val="en-US"/>
        </w:rPr>
        <w:t xml:space="preserve">Kina, Hong Kong, </w:t>
      </w:r>
      <w:proofErr w:type="spellStart"/>
      <w:r w:rsidRPr="009A35D6">
        <w:rPr>
          <w:sz w:val="24"/>
          <w:szCs w:val="24"/>
          <w:lang w:val="en-US"/>
        </w:rPr>
        <w:t>Indonesien</w:t>
      </w:r>
      <w:proofErr w:type="spellEnd"/>
      <w:r w:rsidRPr="009A35D6">
        <w:rPr>
          <w:sz w:val="24"/>
          <w:szCs w:val="24"/>
          <w:lang w:val="en-US"/>
        </w:rPr>
        <w:t xml:space="preserve">, Japan, Malaysia, </w:t>
      </w:r>
      <w:proofErr w:type="spellStart"/>
      <w:r w:rsidRPr="009A35D6">
        <w:rPr>
          <w:sz w:val="24"/>
          <w:szCs w:val="24"/>
          <w:lang w:val="en-US"/>
        </w:rPr>
        <w:t>Filippinerne</w:t>
      </w:r>
      <w:proofErr w:type="spellEnd"/>
      <w:r w:rsidRPr="009A35D6">
        <w:rPr>
          <w:sz w:val="24"/>
          <w:szCs w:val="24"/>
          <w:lang w:val="en-US"/>
        </w:rPr>
        <w:t xml:space="preserve">, Singapore, Taiwan </w:t>
      </w:r>
      <w:proofErr w:type="spellStart"/>
      <w:r w:rsidRPr="009A35D6">
        <w:rPr>
          <w:sz w:val="24"/>
          <w:szCs w:val="24"/>
          <w:lang w:val="en-US"/>
        </w:rPr>
        <w:t>og</w:t>
      </w:r>
      <w:proofErr w:type="spellEnd"/>
      <w:r w:rsidRPr="009A35D6">
        <w:rPr>
          <w:sz w:val="24"/>
          <w:szCs w:val="24"/>
          <w:lang w:val="en-US"/>
        </w:rPr>
        <w:t xml:space="preserve"> Thailand</w:t>
      </w:r>
    </w:p>
    <w:p w14:paraId="2E9699C6" w14:textId="77777777" w:rsidR="009F4442" w:rsidRPr="009A35D6" w:rsidRDefault="009F4442" w:rsidP="009F4442">
      <w:pPr>
        <w:tabs>
          <w:tab w:val="left" w:pos="851"/>
        </w:tabs>
        <w:ind w:left="851" w:hanging="851"/>
        <w:rPr>
          <w:sz w:val="24"/>
          <w:szCs w:val="24"/>
          <w:lang w:val="en-US"/>
        </w:rPr>
      </w:pPr>
    </w:p>
    <w:p w14:paraId="62960004" w14:textId="77777777" w:rsidR="009F4442" w:rsidRPr="009A35D6" w:rsidRDefault="009F4442" w:rsidP="009F4442">
      <w:pPr>
        <w:rPr>
          <w:b/>
          <w:sz w:val="24"/>
          <w:szCs w:val="24"/>
        </w:rPr>
      </w:pPr>
      <w:r>
        <w:rPr>
          <w:b/>
          <w:sz w:val="24"/>
          <w:szCs w:val="24"/>
        </w:rPr>
        <w:t xml:space="preserve">Tabel 3. </w:t>
      </w:r>
      <w:r w:rsidRPr="009A35D6">
        <w:rPr>
          <w:b/>
          <w:sz w:val="24"/>
          <w:szCs w:val="24"/>
        </w:rPr>
        <w:t xml:space="preserve">Virkningen af </w:t>
      </w:r>
      <w:proofErr w:type="spellStart"/>
      <w:r w:rsidRPr="009A35D6">
        <w:rPr>
          <w:b/>
          <w:sz w:val="24"/>
          <w:szCs w:val="24"/>
        </w:rPr>
        <w:t>gefitinib</w:t>
      </w:r>
      <w:proofErr w:type="spellEnd"/>
      <w:r w:rsidRPr="009A35D6">
        <w:rPr>
          <w:b/>
          <w:sz w:val="24"/>
          <w:szCs w:val="24"/>
        </w:rPr>
        <w:t xml:space="preserve"> versus </w:t>
      </w:r>
      <w:proofErr w:type="spellStart"/>
      <w:r w:rsidRPr="009A35D6">
        <w:rPr>
          <w:b/>
          <w:sz w:val="24"/>
          <w:szCs w:val="24"/>
        </w:rPr>
        <w:t>carboplatin</w:t>
      </w:r>
      <w:proofErr w:type="spellEnd"/>
      <w:r w:rsidRPr="009A35D6">
        <w:rPr>
          <w:b/>
          <w:sz w:val="24"/>
          <w:szCs w:val="24"/>
        </w:rPr>
        <w:t>/</w:t>
      </w:r>
      <w:proofErr w:type="spellStart"/>
      <w:r w:rsidRPr="009A35D6">
        <w:rPr>
          <w:b/>
          <w:sz w:val="24"/>
          <w:szCs w:val="24"/>
        </w:rPr>
        <w:t>paclitaxel</w:t>
      </w:r>
      <w:proofErr w:type="spellEnd"/>
      <w:r w:rsidRPr="009A35D6">
        <w:rPr>
          <w:b/>
          <w:sz w:val="24"/>
          <w:szCs w:val="24"/>
        </w:rPr>
        <w:t xml:space="preserve"> fra IPASS-studiet</w:t>
      </w:r>
    </w:p>
    <w:tbl>
      <w:tblPr>
        <w:tblStyle w:val="Tabel-Gitter"/>
        <w:tblW w:w="5000" w:type="pct"/>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928"/>
        <w:gridCol w:w="906"/>
        <w:gridCol w:w="2413"/>
        <w:gridCol w:w="2128"/>
        <w:gridCol w:w="2263"/>
      </w:tblGrid>
      <w:tr w:rsidR="009F4442" w:rsidRPr="00D273D4" w14:paraId="0529E4E5" w14:textId="77777777" w:rsidTr="00A75BD5">
        <w:tc>
          <w:tcPr>
            <w:tcW w:w="1000" w:type="pct"/>
            <w:tcBorders>
              <w:top w:val="single" w:sz="4" w:space="0" w:color="auto"/>
              <w:left w:val="nil"/>
              <w:bottom w:val="single" w:sz="4" w:space="0" w:color="auto"/>
              <w:right w:val="nil"/>
            </w:tcBorders>
            <w:hideMark/>
          </w:tcPr>
          <w:p w14:paraId="2F8B9769" w14:textId="77777777" w:rsidR="009F4442" w:rsidRPr="00D273D4" w:rsidRDefault="009F4442" w:rsidP="00A75BD5">
            <w:pPr>
              <w:jc w:val="center"/>
              <w:rPr>
                <w:rFonts w:ascii="Times New Roman" w:hAnsi="Times New Roman" w:cs="Times New Roman"/>
                <w:b/>
                <w:sz w:val="24"/>
                <w:szCs w:val="24"/>
              </w:rPr>
            </w:pPr>
            <w:r w:rsidRPr="00D273D4">
              <w:rPr>
                <w:rFonts w:ascii="Times New Roman" w:hAnsi="Times New Roman" w:cs="Times New Roman"/>
                <w:b/>
                <w:sz w:val="24"/>
                <w:szCs w:val="24"/>
              </w:rPr>
              <w:t>Population</w:t>
            </w:r>
          </w:p>
        </w:tc>
        <w:tc>
          <w:tcPr>
            <w:tcW w:w="470" w:type="pct"/>
            <w:tcBorders>
              <w:top w:val="single" w:sz="4" w:space="0" w:color="auto"/>
              <w:left w:val="nil"/>
              <w:bottom w:val="single" w:sz="4" w:space="0" w:color="auto"/>
              <w:right w:val="nil"/>
            </w:tcBorders>
            <w:hideMark/>
          </w:tcPr>
          <w:p w14:paraId="193C5796" w14:textId="77777777" w:rsidR="009F4442" w:rsidRPr="00D273D4" w:rsidRDefault="009F4442" w:rsidP="00A75BD5">
            <w:pPr>
              <w:jc w:val="center"/>
              <w:rPr>
                <w:rFonts w:ascii="Times New Roman" w:hAnsi="Times New Roman" w:cs="Times New Roman"/>
                <w:b/>
                <w:sz w:val="24"/>
                <w:szCs w:val="24"/>
              </w:rPr>
            </w:pPr>
            <w:r w:rsidRPr="00D273D4">
              <w:rPr>
                <w:rFonts w:ascii="Times New Roman" w:hAnsi="Times New Roman" w:cs="Times New Roman"/>
                <w:b/>
                <w:sz w:val="24"/>
                <w:szCs w:val="24"/>
              </w:rPr>
              <w:t>N</w:t>
            </w:r>
          </w:p>
        </w:tc>
        <w:tc>
          <w:tcPr>
            <w:tcW w:w="1252" w:type="pct"/>
            <w:tcBorders>
              <w:top w:val="single" w:sz="4" w:space="0" w:color="auto"/>
              <w:left w:val="nil"/>
              <w:bottom w:val="single" w:sz="4" w:space="0" w:color="auto"/>
              <w:right w:val="nil"/>
            </w:tcBorders>
          </w:tcPr>
          <w:p w14:paraId="3AF8D110" w14:textId="77777777" w:rsidR="009F4442" w:rsidRPr="00D273D4" w:rsidRDefault="009F4442" w:rsidP="00A75BD5">
            <w:pPr>
              <w:jc w:val="center"/>
              <w:rPr>
                <w:rFonts w:ascii="Times New Roman" w:hAnsi="Times New Roman" w:cs="Times New Roman"/>
                <w:b/>
                <w:sz w:val="24"/>
                <w:szCs w:val="24"/>
              </w:rPr>
            </w:pPr>
            <w:r w:rsidRPr="00D273D4">
              <w:rPr>
                <w:rFonts w:ascii="Times New Roman" w:hAnsi="Times New Roman" w:cs="Times New Roman"/>
                <w:b/>
                <w:sz w:val="24"/>
                <w:szCs w:val="24"/>
              </w:rPr>
              <w:t xml:space="preserve">Objektive responsrater og 95 % CI for forskel mellem </w:t>
            </w:r>
            <w:proofErr w:type="spellStart"/>
            <w:r w:rsidRPr="00D273D4">
              <w:rPr>
                <w:rFonts w:ascii="Times New Roman" w:hAnsi="Times New Roman" w:cs="Times New Roman"/>
                <w:b/>
                <w:sz w:val="24"/>
                <w:szCs w:val="24"/>
              </w:rPr>
              <w:t>behandlingerne</w:t>
            </w:r>
            <w:r w:rsidRPr="00D273D4">
              <w:rPr>
                <w:rFonts w:ascii="Times New Roman" w:hAnsi="Times New Roman" w:cs="Times New Roman"/>
                <w:b/>
                <w:sz w:val="24"/>
                <w:szCs w:val="24"/>
                <w:vertAlign w:val="superscript"/>
              </w:rPr>
              <w:t>a</w:t>
            </w:r>
            <w:proofErr w:type="spellEnd"/>
          </w:p>
          <w:p w14:paraId="767915CC" w14:textId="77777777" w:rsidR="009F4442" w:rsidRPr="00D273D4" w:rsidRDefault="009F4442" w:rsidP="00A75BD5">
            <w:pPr>
              <w:jc w:val="center"/>
              <w:rPr>
                <w:rFonts w:ascii="Times New Roman" w:hAnsi="Times New Roman" w:cs="Times New Roman"/>
                <w:b/>
                <w:sz w:val="24"/>
                <w:szCs w:val="24"/>
              </w:rPr>
            </w:pPr>
          </w:p>
        </w:tc>
        <w:tc>
          <w:tcPr>
            <w:tcW w:w="1104" w:type="pct"/>
            <w:tcBorders>
              <w:top w:val="single" w:sz="4" w:space="0" w:color="auto"/>
              <w:left w:val="nil"/>
              <w:bottom w:val="single" w:sz="4" w:space="0" w:color="auto"/>
              <w:right w:val="nil"/>
            </w:tcBorders>
            <w:hideMark/>
          </w:tcPr>
          <w:p w14:paraId="1E461BC9" w14:textId="77777777" w:rsidR="009F4442" w:rsidRPr="00D273D4" w:rsidRDefault="009F4442" w:rsidP="00A75BD5">
            <w:pPr>
              <w:jc w:val="center"/>
              <w:rPr>
                <w:rFonts w:ascii="Times New Roman" w:hAnsi="Times New Roman" w:cs="Times New Roman"/>
                <w:b/>
                <w:sz w:val="24"/>
                <w:szCs w:val="24"/>
              </w:rPr>
            </w:pPr>
            <w:r w:rsidRPr="00D273D4">
              <w:rPr>
                <w:rFonts w:ascii="Times New Roman" w:hAnsi="Times New Roman" w:cs="Times New Roman"/>
                <w:b/>
                <w:sz w:val="24"/>
                <w:szCs w:val="24"/>
              </w:rPr>
              <w:t xml:space="preserve">Primært endepunkt Progressionsfri </w:t>
            </w:r>
            <w:proofErr w:type="spellStart"/>
            <w:r w:rsidRPr="00D273D4">
              <w:rPr>
                <w:rFonts w:ascii="Times New Roman" w:hAnsi="Times New Roman" w:cs="Times New Roman"/>
                <w:b/>
                <w:sz w:val="24"/>
                <w:szCs w:val="24"/>
              </w:rPr>
              <w:t>overlevelse</w:t>
            </w:r>
            <w:r w:rsidRPr="00D273D4">
              <w:rPr>
                <w:rFonts w:ascii="Times New Roman" w:hAnsi="Times New Roman" w:cs="Times New Roman"/>
                <w:b/>
                <w:sz w:val="24"/>
                <w:szCs w:val="24"/>
                <w:vertAlign w:val="superscript"/>
              </w:rPr>
              <w:t>ab</w:t>
            </w:r>
            <w:proofErr w:type="spellEnd"/>
          </w:p>
        </w:tc>
        <w:tc>
          <w:tcPr>
            <w:tcW w:w="1175" w:type="pct"/>
            <w:tcBorders>
              <w:top w:val="single" w:sz="4" w:space="0" w:color="auto"/>
              <w:left w:val="nil"/>
              <w:bottom w:val="single" w:sz="4" w:space="0" w:color="auto"/>
              <w:right w:val="nil"/>
            </w:tcBorders>
            <w:hideMark/>
          </w:tcPr>
          <w:p w14:paraId="02A4BE6C" w14:textId="77777777" w:rsidR="009F4442" w:rsidRPr="00D273D4" w:rsidRDefault="009F4442" w:rsidP="00A75BD5">
            <w:pPr>
              <w:jc w:val="center"/>
              <w:rPr>
                <w:rFonts w:ascii="Times New Roman" w:hAnsi="Times New Roman" w:cs="Times New Roman"/>
                <w:b/>
                <w:sz w:val="24"/>
                <w:szCs w:val="24"/>
                <w:vertAlign w:val="superscript"/>
              </w:rPr>
            </w:pPr>
            <w:r w:rsidRPr="00D273D4">
              <w:rPr>
                <w:rFonts w:ascii="Times New Roman" w:hAnsi="Times New Roman" w:cs="Times New Roman"/>
                <w:b/>
                <w:sz w:val="24"/>
                <w:szCs w:val="24"/>
              </w:rPr>
              <w:t xml:space="preserve">Total </w:t>
            </w:r>
            <w:proofErr w:type="spellStart"/>
            <w:r w:rsidRPr="00D273D4">
              <w:rPr>
                <w:rFonts w:ascii="Times New Roman" w:hAnsi="Times New Roman" w:cs="Times New Roman"/>
                <w:b/>
                <w:sz w:val="24"/>
                <w:szCs w:val="24"/>
              </w:rPr>
              <w:t>overlevelse</w:t>
            </w:r>
            <w:r w:rsidRPr="00D273D4">
              <w:rPr>
                <w:rFonts w:ascii="Times New Roman" w:hAnsi="Times New Roman" w:cs="Times New Roman"/>
                <w:b/>
                <w:sz w:val="24"/>
                <w:szCs w:val="24"/>
                <w:vertAlign w:val="superscript"/>
              </w:rPr>
              <w:t>ab</w:t>
            </w:r>
            <w:proofErr w:type="spellEnd"/>
          </w:p>
        </w:tc>
      </w:tr>
      <w:tr w:rsidR="009F4442" w:rsidRPr="0010587E" w14:paraId="05519EFB" w14:textId="77777777" w:rsidTr="00A75BD5">
        <w:tc>
          <w:tcPr>
            <w:tcW w:w="1000" w:type="pct"/>
            <w:tcBorders>
              <w:top w:val="single" w:sz="4" w:space="0" w:color="auto"/>
              <w:left w:val="nil"/>
              <w:bottom w:val="single" w:sz="4" w:space="0" w:color="auto"/>
              <w:right w:val="nil"/>
            </w:tcBorders>
            <w:hideMark/>
          </w:tcPr>
          <w:p w14:paraId="333EC663"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Total</w:t>
            </w:r>
          </w:p>
        </w:tc>
        <w:tc>
          <w:tcPr>
            <w:tcW w:w="470" w:type="pct"/>
            <w:tcBorders>
              <w:top w:val="single" w:sz="4" w:space="0" w:color="auto"/>
              <w:left w:val="nil"/>
              <w:bottom w:val="single" w:sz="4" w:space="0" w:color="auto"/>
              <w:right w:val="nil"/>
            </w:tcBorders>
            <w:hideMark/>
          </w:tcPr>
          <w:p w14:paraId="0A4DA058"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1217</w:t>
            </w:r>
          </w:p>
        </w:tc>
        <w:tc>
          <w:tcPr>
            <w:tcW w:w="1252" w:type="pct"/>
            <w:tcBorders>
              <w:top w:val="single" w:sz="4" w:space="0" w:color="auto"/>
              <w:left w:val="nil"/>
              <w:bottom w:val="single" w:sz="4" w:space="0" w:color="auto"/>
              <w:right w:val="nil"/>
            </w:tcBorders>
            <w:hideMark/>
          </w:tcPr>
          <w:p w14:paraId="5F0D1922"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43,0 % vs. 32,2 %</w:t>
            </w:r>
            <w:r w:rsidR="00B96128">
              <w:rPr>
                <w:rFonts w:ascii="Times New Roman" w:hAnsi="Times New Roman" w:cs="Times New Roman"/>
                <w:sz w:val="24"/>
                <w:szCs w:val="24"/>
              </w:rPr>
              <w:br/>
            </w:r>
            <w:r w:rsidRPr="0010587E">
              <w:rPr>
                <w:rFonts w:ascii="Times New Roman" w:hAnsi="Times New Roman" w:cs="Times New Roman"/>
                <w:sz w:val="24"/>
                <w:szCs w:val="24"/>
              </w:rPr>
              <w:t>[5,3 %; 16,1 %]</w:t>
            </w:r>
          </w:p>
        </w:tc>
        <w:tc>
          <w:tcPr>
            <w:tcW w:w="1104" w:type="pct"/>
            <w:tcBorders>
              <w:top w:val="single" w:sz="4" w:space="0" w:color="auto"/>
              <w:left w:val="nil"/>
              <w:bottom w:val="single" w:sz="4" w:space="0" w:color="auto"/>
              <w:right w:val="nil"/>
            </w:tcBorders>
          </w:tcPr>
          <w:p w14:paraId="148A28A6"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0,74</w:t>
            </w:r>
          </w:p>
          <w:p w14:paraId="13462AB2"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[0,65; 0,85]</w:t>
            </w:r>
          </w:p>
          <w:p w14:paraId="05E09F99"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 xml:space="preserve">5,7 m </w:t>
            </w:r>
            <w:r w:rsidRPr="0010587E">
              <w:rPr>
                <w:rFonts w:ascii="Times New Roman" w:hAnsi="Times New Roman" w:cs="Times New Roman"/>
                <w:i/>
                <w:sz w:val="24"/>
                <w:szCs w:val="24"/>
              </w:rPr>
              <w:t>vs.</w:t>
            </w:r>
            <w:r w:rsidRPr="0010587E">
              <w:rPr>
                <w:rFonts w:ascii="Times New Roman" w:hAnsi="Times New Roman" w:cs="Times New Roman"/>
                <w:sz w:val="24"/>
                <w:szCs w:val="24"/>
              </w:rPr>
              <w:t xml:space="preserve"> 5,8 m</w:t>
            </w:r>
          </w:p>
          <w:p w14:paraId="15575526"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&lt; 0,0001</w:t>
            </w:r>
          </w:p>
          <w:p w14:paraId="526A5EDB" w14:textId="77777777" w:rsidR="009F4442" w:rsidRPr="0010587E" w:rsidRDefault="009F4442" w:rsidP="00A75BD5">
            <w:pPr>
              <w:jc w:val="center"/>
              <w:rPr>
                <w:rFonts w:ascii="Times New Roman" w:hAnsi="Times New Roman" w:cs="Times New Roman"/>
                <w:sz w:val="24"/>
                <w:szCs w:val="24"/>
              </w:rPr>
            </w:pPr>
          </w:p>
        </w:tc>
        <w:tc>
          <w:tcPr>
            <w:tcW w:w="1175" w:type="pct"/>
            <w:tcBorders>
              <w:top w:val="single" w:sz="4" w:space="0" w:color="auto"/>
              <w:left w:val="nil"/>
              <w:bottom w:val="single" w:sz="4" w:space="0" w:color="auto"/>
              <w:right w:val="nil"/>
            </w:tcBorders>
            <w:hideMark/>
          </w:tcPr>
          <w:p w14:paraId="55C5DF68"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0,90</w:t>
            </w:r>
          </w:p>
          <w:p w14:paraId="23188F8B"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[0,79; 1,02]</w:t>
            </w:r>
          </w:p>
          <w:p w14:paraId="00479D85"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 xml:space="preserve">18,8 m </w:t>
            </w:r>
            <w:r w:rsidRPr="0010587E">
              <w:rPr>
                <w:rFonts w:ascii="Times New Roman" w:hAnsi="Times New Roman" w:cs="Times New Roman"/>
                <w:i/>
                <w:sz w:val="24"/>
                <w:szCs w:val="24"/>
              </w:rPr>
              <w:t>vs.</w:t>
            </w:r>
            <w:r w:rsidRPr="0010587E">
              <w:rPr>
                <w:rFonts w:ascii="Times New Roman" w:hAnsi="Times New Roman" w:cs="Times New Roman"/>
                <w:sz w:val="24"/>
                <w:szCs w:val="24"/>
              </w:rPr>
              <w:t xml:space="preserve"> 17,4 m</w:t>
            </w:r>
          </w:p>
          <w:p w14:paraId="56729882"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 0,1087</w:t>
            </w:r>
          </w:p>
        </w:tc>
      </w:tr>
      <w:tr w:rsidR="009F4442" w:rsidRPr="0010587E" w14:paraId="104F5723" w14:textId="77777777" w:rsidTr="00A75BD5">
        <w:tc>
          <w:tcPr>
            <w:tcW w:w="1000" w:type="pct"/>
            <w:tcBorders>
              <w:top w:val="single" w:sz="4" w:space="0" w:color="auto"/>
              <w:left w:val="nil"/>
              <w:bottom w:val="single" w:sz="4" w:space="0" w:color="auto"/>
              <w:right w:val="nil"/>
            </w:tcBorders>
            <w:hideMark/>
          </w:tcPr>
          <w:p w14:paraId="274CA654"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EGFR-mutation</w:t>
            </w:r>
          </w:p>
          <w:p w14:paraId="42959F42"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Positiv</w:t>
            </w:r>
          </w:p>
        </w:tc>
        <w:tc>
          <w:tcPr>
            <w:tcW w:w="470" w:type="pct"/>
            <w:tcBorders>
              <w:top w:val="single" w:sz="4" w:space="0" w:color="auto"/>
              <w:left w:val="nil"/>
              <w:bottom w:val="single" w:sz="4" w:space="0" w:color="auto"/>
              <w:right w:val="nil"/>
            </w:tcBorders>
            <w:hideMark/>
          </w:tcPr>
          <w:p w14:paraId="010B9068"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261</w:t>
            </w:r>
          </w:p>
        </w:tc>
        <w:tc>
          <w:tcPr>
            <w:tcW w:w="1252" w:type="pct"/>
            <w:tcBorders>
              <w:top w:val="single" w:sz="4" w:space="0" w:color="auto"/>
              <w:left w:val="nil"/>
              <w:bottom w:val="single" w:sz="4" w:space="0" w:color="auto"/>
              <w:right w:val="nil"/>
            </w:tcBorders>
            <w:hideMark/>
          </w:tcPr>
          <w:p w14:paraId="33AF88B3"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71,2 % vs. 47,3 %</w:t>
            </w:r>
          </w:p>
          <w:p w14:paraId="701C073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[12,0 % vs. 34,9 %]</w:t>
            </w:r>
          </w:p>
        </w:tc>
        <w:tc>
          <w:tcPr>
            <w:tcW w:w="1104" w:type="pct"/>
            <w:tcBorders>
              <w:top w:val="single" w:sz="4" w:space="0" w:color="auto"/>
              <w:left w:val="nil"/>
              <w:bottom w:val="single" w:sz="4" w:space="0" w:color="auto"/>
              <w:right w:val="nil"/>
            </w:tcBorders>
          </w:tcPr>
          <w:p w14:paraId="7E4E3D5B"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0,48</w:t>
            </w:r>
          </w:p>
          <w:p w14:paraId="1A94C944"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[0,36; 0,64]</w:t>
            </w:r>
          </w:p>
          <w:p w14:paraId="58F9FD42"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 xml:space="preserve">9,5 m </w:t>
            </w:r>
            <w:r w:rsidRPr="0010587E">
              <w:rPr>
                <w:rFonts w:ascii="Times New Roman" w:hAnsi="Times New Roman" w:cs="Times New Roman"/>
                <w:i/>
                <w:sz w:val="24"/>
                <w:szCs w:val="24"/>
              </w:rPr>
              <w:t>vs.</w:t>
            </w:r>
            <w:r w:rsidRPr="0010587E">
              <w:rPr>
                <w:rFonts w:ascii="Times New Roman" w:hAnsi="Times New Roman" w:cs="Times New Roman"/>
                <w:sz w:val="24"/>
                <w:szCs w:val="24"/>
              </w:rPr>
              <w:t xml:space="preserve"> 6,3 m</w:t>
            </w:r>
          </w:p>
          <w:p w14:paraId="0975B8B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&lt; 0,0001</w:t>
            </w:r>
          </w:p>
          <w:p w14:paraId="043C72B1" w14:textId="77777777" w:rsidR="009F4442" w:rsidRPr="0010587E" w:rsidRDefault="009F4442" w:rsidP="00A75BD5">
            <w:pPr>
              <w:jc w:val="center"/>
              <w:rPr>
                <w:rFonts w:ascii="Times New Roman" w:hAnsi="Times New Roman" w:cs="Times New Roman"/>
                <w:sz w:val="24"/>
                <w:szCs w:val="24"/>
              </w:rPr>
            </w:pPr>
          </w:p>
        </w:tc>
        <w:tc>
          <w:tcPr>
            <w:tcW w:w="1175" w:type="pct"/>
            <w:tcBorders>
              <w:top w:val="single" w:sz="4" w:space="0" w:color="auto"/>
              <w:left w:val="nil"/>
              <w:bottom w:val="single" w:sz="4" w:space="0" w:color="auto"/>
              <w:right w:val="nil"/>
            </w:tcBorders>
            <w:hideMark/>
          </w:tcPr>
          <w:p w14:paraId="1E08AFD8"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1,00</w:t>
            </w:r>
          </w:p>
          <w:p w14:paraId="4E4EA625"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[0,76; 1,33]</w:t>
            </w:r>
          </w:p>
          <w:p w14:paraId="3A48A784"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 xml:space="preserve">21,6 m </w:t>
            </w:r>
            <w:r w:rsidRPr="0010587E">
              <w:rPr>
                <w:rFonts w:ascii="Times New Roman" w:hAnsi="Times New Roman" w:cs="Times New Roman"/>
                <w:i/>
                <w:sz w:val="24"/>
                <w:szCs w:val="24"/>
              </w:rPr>
              <w:t>vs.</w:t>
            </w:r>
            <w:r w:rsidRPr="0010587E">
              <w:rPr>
                <w:rFonts w:ascii="Times New Roman" w:hAnsi="Times New Roman" w:cs="Times New Roman"/>
                <w:sz w:val="24"/>
                <w:szCs w:val="24"/>
              </w:rPr>
              <w:t xml:space="preserve"> 21,9 m</w:t>
            </w:r>
          </w:p>
        </w:tc>
      </w:tr>
      <w:tr w:rsidR="009F4442" w:rsidRPr="0010587E" w14:paraId="04F37B1D" w14:textId="77777777" w:rsidTr="00A75BD5">
        <w:tc>
          <w:tcPr>
            <w:tcW w:w="1000" w:type="pct"/>
            <w:tcBorders>
              <w:top w:val="single" w:sz="4" w:space="0" w:color="auto"/>
              <w:left w:val="nil"/>
              <w:bottom w:val="single" w:sz="4" w:space="0" w:color="auto"/>
              <w:right w:val="nil"/>
            </w:tcBorders>
            <w:hideMark/>
          </w:tcPr>
          <w:p w14:paraId="4ECE8792"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EGFR-mutation</w:t>
            </w:r>
          </w:p>
          <w:p w14:paraId="6433CC2C"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Negativ</w:t>
            </w:r>
          </w:p>
        </w:tc>
        <w:tc>
          <w:tcPr>
            <w:tcW w:w="470" w:type="pct"/>
            <w:tcBorders>
              <w:top w:val="single" w:sz="4" w:space="0" w:color="auto"/>
              <w:left w:val="nil"/>
              <w:bottom w:val="single" w:sz="4" w:space="0" w:color="auto"/>
              <w:right w:val="nil"/>
            </w:tcBorders>
            <w:hideMark/>
          </w:tcPr>
          <w:p w14:paraId="322C8F8C"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176</w:t>
            </w:r>
          </w:p>
        </w:tc>
        <w:tc>
          <w:tcPr>
            <w:tcW w:w="1252" w:type="pct"/>
            <w:tcBorders>
              <w:top w:val="single" w:sz="4" w:space="0" w:color="auto"/>
              <w:left w:val="nil"/>
              <w:bottom w:val="single" w:sz="4" w:space="0" w:color="auto"/>
              <w:right w:val="nil"/>
            </w:tcBorders>
            <w:hideMark/>
          </w:tcPr>
          <w:p w14:paraId="728BC659"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1,1 % vs. 23,5 %</w:t>
            </w:r>
          </w:p>
          <w:p w14:paraId="77453206"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[-32,5 %; -13,3 %]</w:t>
            </w:r>
          </w:p>
        </w:tc>
        <w:tc>
          <w:tcPr>
            <w:tcW w:w="1104" w:type="pct"/>
            <w:tcBorders>
              <w:top w:val="single" w:sz="4" w:space="0" w:color="auto"/>
              <w:left w:val="nil"/>
              <w:bottom w:val="single" w:sz="4" w:space="0" w:color="auto"/>
              <w:right w:val="nil"/>
            </w:tcBorders>
            <w:hideMark/>
          </w:tcPr>
          <w:p w14:paraId="349D0D63"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2,85</w:t>
            </w:r>
          </w:p>
          <w:p w14:paraId="08175686"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[2,05; 3,98]</w:t>
            </w:r>
          </w:p>
          <w:p w14:paraId="025F1811"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lastRenderedPageBreak/>
              <w:t xml:space="preserve">1,5 m </w:t>
            </w:r>
            <w:r w:rsidRPr="0010587E">
              <w:rPr>
                <w:rFonts w:ascii="Times New Roman" w:hAnsi="Times New Roman" w:cs="Times New Roman"/>
                <w:i/>
                <w:sz w:val="24"/>
                <w:szCs w:val="24"/>
              </w:rPr>
              <w:t>vs.</w:t>
            </w:r>
            <w:r w:rsidRPr="0010587E">
              <w:rPr>
                <w:rFonts w:ascii="Times New Roman" w:hAnsi="Times New Roman" w:cs="Times New Roman"/>
                <w:sz w:val="24"/>
                <w:szCs w:val="24"/>
              </w:rPr>
              <w:t xml:space="preserve"> 5,5 m</w:t>
            </w:r>
          </w:p>
          <w:p w14:paraId="152AFF4C"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&lt; 0,0001</w:t>
            </w:r>
          </w:p>
        </w:tc>
        <w:tc>
          <w:tcPr>
            <w:tcW w:w="1175" w:type="pct"/>
            <w:tcBorders>
              <w:top w:val="single" w:sz="4" w:space="0" w:color="auto"/>
              <w:left w:val="nil"/>
              <w:bottom w:val="single" w:sz="4" w:space="0" w:color="auto"/>
              <w:right w:val="nil"/>
            </w:tcBorders>
            <w:hideMark/>
          </w:tcPr>
          <w:p w14:paraId="2D90C627"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lastRenderedPageBreak/>
              <w:t>HR 1,18</w:t>
            </w:r>
          </w:p>
          <w:p w14:paraId="260E91D9"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[0,86; 1,63]</w:t>
            </w:r>
          </w:p>
          <w:p w14:paraId="17FDF6D8"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lastRenderedPageBreak/>
              <w:t xml:space="preserve">11,2 m </w:t>
            </w:r>
            <w:r w:rsidRPr="0010587E">
              <w:rPr>
                <w:rFonts w:ascii="Times New Roman" w:hAnsi="Times New Roman" w:cs="Times New Roman"/>
                <w:i/>
                <w:sz w:val="24"/>
                <w:szCs w:val="24"/>
              </w:rPr>
              <w:t>vs.</w:t>
            </w:r>
            <w:r w:rsidRPr="0010587E">
              <w:rPr>
                <w:rFonts w:ascii="Times New Roman" w:hAnsi="Times New Roman" w:cs="Times New Roman"/>
                <w:sz w:val="24"/>
                <w:szCs w:val="24"/>
              </w:rPr>
              <w:t xml:space="preserve"> 12,7 m</w:t>
            </w:r>
          </w:p>
        </w:tc>
      </w:tr>
      <w:tr w:rsidR="009F4442" w:rsidRPr="0010587E" w14:paraId="1DCD0353" w14:textId="77777777" w:rsidTr="00A75BD5">
        <w:tc>
          <w:tcPr>
            <w:tcW w:w="1000" w:type="pct"/>
            <w:tcBorders>
              <w:top w:val="single" w:sz="4" w:space="0" w:color="auto"/>
              <w:left w:val="nil"/>
              <w:bottom w:val="single" w:sz="4" w:space="0" w:color="auto"/>
              <w:right w:val="nil"/>
            </w:tcBorders>
            <w:hideMark/>
          </w:tcPr>
          <w:p w14:paraId="0BC6B552"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lastRenderedPageBreak/>
              <w:t>EGFR-mutation</w:t>
            </w:r>
          </w:p>
          <w:p w14:paraId="6126BD97"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Ukendt</w:t>
            </w:r>
          </w:p>
        </w:tc>
        <w:tc>
          <w:tcPr>
            <w:tcW w:w="470" w:type="pct"/>
            <w:tcBorders>
              <w:top w:val="single" w:sz="4" w:space="0" w:color="auto"/>
              <w:left w:val="nil"/>
              <w:bottom w:val="single" w:sz="4" w:space="0" w:color="auto"/>
              <w:right w:val="nil"/>
            </w:tcBorders>
            <w:hideMark/>
          </w:tcPr>
          <w:p w14:paraId="2644298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780</w:t>
            </w:r>
          </w:p>
        </w:tc>
        <w:tc>
          <w:tcPr>
            <w:tcW w:w="1252" w:type="pct"/>
            <w:tcBorders>
              <w:top w:val="single" w:sz="4" w:space="0" w:color="auto"/>
              <w:left w:val="nil"/>
              <w:bottom w:val="single" w:sz="4" w:space="0" w:color="auto"/>
              <w:right w:val="nil"/>
            </w:tcBorders>
            <w:hideMark/>
          </w:tcPr>
          <w:p w14:paraId="1FFA6B40"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43,3 % vs. 29,2 %</w:t>
            </w:r>
          </w:p>
          <w:p w14:paraId="64F1411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[7,3 %; 20,6 %]</w:t>
            </w:r>
          </w:p>
        </w:tc>
        <w:tc>
          <w:tcPr>
            <w:tcW w:w="1104" w:type="pct"/>
            <w:tcBorders>
              <w:top w:val="single" w:sz="4" w:space="0" w:color="auto"/>
              <w:left w:val="nil"/>
              <w:bottom w:val="single" w:sz="4" w:space="0" w:color="auto"/>
              <w:right w:val="nil"/>
            </w:tcBorders>
            <w:hideMark/>
          </w:tcPr>
          <w:p w14:paraId="165B6DE5"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0,68</w:t>
            </w:r>
          </w:p>
          <w:p w14:paraId="4C93AFCD"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[0,58 til 0,81]</w:t>
            </w:r>
          </w:p>
          <w:p w14:paraId="58CC1B7F"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 xml:space="preserve">6,6 m </w:t>
            </w:r>
            <w:r w:rsidRPr="0010587E">
              <w:rPr>
                <w:rFonts w:ascii="Times New Roman" w:hAnsi="Times New Roman" w:cs="Times New Roman"/>
                <w:i/>
                <w:sz w:val="24"/>
                <w:szCs w:val="24"/>
              </w:rPr>
              <w:t>vs.</w:t>
            </w:r>
            <w:r w:rsidRPr="0010587E">
              <w:rPr>
                <w:rFonts w:ascii="Times New Roman" w:hAnsi="Times New Roman" w:cs="Times New Roman"/>
                <w:sz w:val="24"/>
                <w:szCs w:val="24"/>
              </w:rPr>
              <w:t xml:space="preserve"> 5,8 m</w:t>
            </w:r>
          </w:p>
          <w:p w14:paraId="2947B0AE"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&lt; 0,0001</w:t>
            </w:r>
          </w:p>
        </w:tc>
        <w:tc>
          <w:tcPr>
            <w:tcW w:w="1175" w:type="pct"/>
            <w:tcBorders>
              <w:top w:val="single" w:sz="4" w:space="0" w:color="auto"/>
              <w:left w:val="nil"/>
              <w:bottom w:val="single" w:sz="4" w:space="0" w:color="auto"/>
              <w:right w:val="nil"/>
            </w:tcBorders>
            <w:hideMark/>
          </w:tcPr>
          <w:p w14:paraId="3E51B903"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0,82</w:t>
            </w:r>
          </w:p>
          <w:p w14:paraId="60336B99"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[0,70 til 0,96]</w:t>
            </w:r>
          </w:p>
          <w:p w14:paraId="2FB3BFAC"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 xml:space="preserve">18,9 m </w:t>
            </w:r>
            <w:r w:rsidRPr="0010587E">
              <w:rPr>
                <w:rFonts w:ascii="Times New Roman" w:hAnsi="Times New Roman" w:cs="Times New Roman"/>
                <w:i/>
                <w:sz w:val="24"/>
                <w:szCs w:val="24"/>
              </w:rPr>
              <w:t>vs</w:t>
            </w:r>
            <w:r w:rsidRPr="0010587E">
              <w:rPr>
                <w:rFonts w:ascii="Times New Roman" w:hAnsi="Times New Roman" w:cs="Times New Roman"/>
                <w:sz w:val="24"/>
                <w:szCs w:val="24"/>
              </w:rPr>
              <w:t>. 17,2 m</w:t>
            </w:r>
          </w:p>
        </w:tc>
      </w:tr>
    </w:tbl>
    <w:p w14:paraId="5D0558D3" w14:textId="77777777" w:rsidR="009F4442" w:rsidRPr="00D273D4" w:rsidRDefault="009F4442" w:rsidP="009F4442">
      <w:pPr>
        <w:tabs>
          <w:tab w:val="left" w:pos="567"/>
        </w:tabs>
        <w:rPr>
          <w:sz w:val="20"/>
          <w:lang w:val="en-US"/>
        </w:rPr>
      </w:pPr>
      <w:r w:rsidRPr="00D273D4">
        <w:rPr>
          <w:sz w:val="20"/>
          <w:lang w:val="en-US"/>
        </w:rPr>
        <w:t xml:space="preserve">a </w:t>
      </w:r>
      <w:r w:rsidRPr="00D273D4">
        <w:rPr>
          <w:sz w:val="20"/>
          <w:lang w:val="en-US"/>
        </w:rPr>
        <w:tab/>
      </w:r>
      <w:proofErr w:type="spellStart"/>
      <w:r w:rsidRPr="00D273D4">
        <w:rPr>
          <w:sz w:val="20"/>
          <w:lang w:val="en-US"/>
        </w:rPr>
        <w:t>Værdier</w:t>
      </w:r>
      <w:proofErr w:type="spellEnd"/>
      <w:r w:rsidRPr="00D273D4">
        <w:rPr>
          <w:sz w:val="20"/>
          <w:lang w:val="en-US"/>
        </w:rPr>
        <w:t xml:space="preserve"> for gefitinib versus carboplatin/paclitaxel.</w:t>
      </w:r>
    </w:p>
    <w:p w14:paraId="312D700B" w14:textId="77777777" w:rsidR="009F4442" w:rsidRPr="00D273D4" w:rsidRDefault="009F4442" w:rsidP="009F4442">
      <w:pPr>
        <w:tabs>
          <w:tab w:val="left" w:pos="567"/>
        </w:tabs>
        <w:rPr>
          <w:sz w:val="20"/>
        </w:rPr>
      </w:pPr>
      <w:r w:rsidRPr="00D273D4">
        <w:rPr>
          <w:sz w:val="20"/>
        </w:rPr>
        <w:t xml:space="preserve">b </w:t>
      </w:r>
      <w:r w:rsidRPr="00D273D4">
        <w:rPr>
          <w:sz w:val="20"/>
        </w:rPr>
        <w:tab/>
      </w:r>
      <w:r>
        <w:rPr>
          <w:sz w:val="20"/>
        </w:rPr>
        <w:t>"m"</w:t>
      </w:r>
      <w:r w:rsidRPr="00D273D4">
        <w:rPr>
          <w:sz w:val="20"/>
        </w:rPr>
        <w:t xml:space="preserve"> er medianer angivet i måneder. Tal i kvadratiske parenteser er 95 % konfidensinterval (CI) for HR.</w:t>
      </w:r>
    </w:p>
    <w:p w14:paraId="37302439" w14:textId="77777777" w:rsidR="009F4442" w:rsidRPr="00D273D4" w:rsidRDefault="009F4442" w:rsidP="009F4442">
      <w:pPr>
        <w:tabs>
          <w:tab w:val="left" w:pos="567"/>
        </w:tabs>
        <w:rPr>
          <w:sz w:val="20"/>
        </w:rPr>
      </w:pPr>
      <w:r w:rsidRPr="00D273D4">
        <w:rPr>
          <w:sz w:val="20"/>
        </w:rPr>
        <w:t xml:space="preserve">N </w:t>
      </w:r>
      <w:r w:rsidRPr="00D273D4">
        <w:rPr>
          <w:sz w:val="20"/>
        </w:rPr>
        <w:tab/>
        <w:t>Antal randomiserede patienter.</w:t>
      </w:r>
    </w:p>
    <w:p w14:paraId="4CEA6A76" w14:textId="77777777" w:rsidR="009F4442" w:rsidRPr="00402247" w:rsidRDefault="009F4442" w:rsidP="009F4442">
      <w:pPr>
        <w:tabs>
          <w:tab w:val="left" w:pos="567"/>
        </w:tabs>
        <w:rPr>
          <w:sz w:val="20"/>
        </w:rPr>
      </w:pPr>
      <w:r w:rsidRPr="00402247">
        <w:rPr>
          <w:sz w:val="20"/>
        </w:rPr>
        <w:t xml:space="preserve">HR </w:t>
      </w:r>
      <w:r w:rsidRPr="00402247">
        <w:rPr>
          <w:sz w:val="20"/>
        </w:rPr>
        <w:tab/>
      </w:r>
      <w:proofErr w:type="spellStart"/>
      <w:r w:rsidRPr="00402247">
        <w:rPr>
          <w:sz w:val="20"/>
        </w:rPr>
        <w:t>Hazard</w:t>
      </w:r>
      <w:proofErr w:type="spellEnd"/>
      <w:r w:rsidRPr="00402247">
        <w:rPr>
          <w:sz w:val="20"/>
        </w:rPr>
        <w:t xml:space="preserve"> ratio (</w:t>
      </w:r>
      <w:proofErr w:type="spellStart"/>
      <w:r w:rsidRPr="00402247">
        <w:rPr>
          <w:sz w:val="20"/>
        </w:rPr>
        <w:t>hazard</w:t>
      </w:r>
      <w:proofErr w:type="spellEnd"/>
      <w:r w:rsidRPr="00402247">
        <w:rPr>
          <w:sz w:val="20"/>
        </w:rPr>
        <w:t xml:space="preserve"> ratio &lt;1 favoriserer </w:t>
      </w:r>
      <w:proofErr w:type="spellStart"/>
      <w:r w:rsidRPr="00402247">
        <w:rPr>
          <w:sz w:val="20"/>
        </w:rPr>
        <w:t>gefitinib</w:t>
      </w:r>
      <w:proofErr w:type="spellEnd"/>
      <w:r w:rsidRPr="00402247">
        <w:rPr>
          <w:sz w:val="20"/>
        </w:rPr>
        <w:t>)</w:t>
      </w:r>
    </w:p>
    <w:p w14:paraId="5802FCD8" w14:textId="77777777" w:rsidR="009F4442" w:rsidRPr="00402247" w:rsidRDefault="009F4442" w:rsidP="009F4442">
      <w:pPr>
        <w:tabs>
          <w:tab w:val="left" w:pos="851"/>
        </w:tabs>
        <w:ind w:left="851" w:hanging="851"/>
        <w:rPr>
          <w:sz w:val="24"/>
          <w:szCs w:val="24"/>
        </w:rPr>
      </w:pPr>
    </w:p>
    <w:p w14:paraId="05AACB5B" w14:textId="77777777" w:rsidR="009F4442" w:rsidRPr="009A35D6" w:rsidRDefault="009F4442" w:rsidP="009F4442">
      <w:pPr>
        <w:tabs>
          <w:tab w:val="left" w:pos="851"/>
        </w:tabs>
        <w:ind w:left="851" w:hanging="851"/>
        <w:rPr>
          <w:sz w:val="24"/>
          <w:szCs w:val="24"/>
        </w:rPr>
      </w:pPr>
      <w:r w:rsidRPr="00402247">
        <w:rPr>
          <w:sz w:val="24"/>
          <w:szCs w:val="24"/>
        </w:rPr>
        <w:tab/>
      </w:r>
      <w:r w:rsidRPr="009A35D6">
        <w:rPr>
          <w:sz w:val="24"/>
          <w:szCs w:val="24"/>
        </w:rPr>
        <w:t xml:space="preserve">Resultater vedrørende livskvalitet varierede afhængig af status for EGFR-mutationen. Hos patienter med positivt testresultat for EGFR-mutation var der signifikant flere </w:t>
      </w:r>
      <w:proofErr w:type="spellStart"/>
      <w:r w:rsidRPr="009A35D6">
        <w:rPr>
          <w:sz w:val="24"/>
          <w:szCs w:val="24"/>
        </w:rPr>
        <w:t>gefitinib</w:t>
      </w:r>
      <w:proofErr w:type="spellEnd"/>
      <w:r w:rsidRPr="009A35D6">
        <w:rPr>
          <w:sz w:val="24"/>
          <w:szCs w:val="24"/>
        </w:rPr>
        <w:t xml:space="preserve">-behandlede patienter, som oplevede en forbedring i livskvalitet og symptomer på lungecancer i forhold til dem, der blev behandlet med </w:t>
      </w:r>
      <w:proofErr w:type="spellStart"/>
      <w:r w:rsidRPr="009A35D6">
        <w:rPr>
          <w:sz w:val="24"/>
          <w:szCs w:val="24"/>
        </w:rPr>
        <w:t>carboplatin</w:t>
      </w:r>
      <w:proofErr w:type="spellEnd"/>
      <w:r w:rsidRPr="009A35D6">
        <w:rPr>
          <w:sz w:val="24"/>
          <w:szCs w:val="24"/>
        </w:rPr>
        <w:t>/</w:t>
      </w:r>
      <w:proofErr w:type="spellStart"/>
      <w:r w:rsidRPr="009A35D6">
        <w:rPr>
          <w:sz w:val="24"/>
          <w:szCs w:val="24"/>
        </w:rPr>
        <w:t>paclitaxel</w:t>
      </w:r>
      <w:proofErr w:type="spellEnd"/>
      <w:r w:rsidRPr="009A35D6">
        <w:rPr>
          <w:sz w:val="24"/>
          <w:szCs w:val="24"/>
        </w:rPr>
        <w:t xml:space="preserve"> (se tabel 4).</w:t>
      </w:r>
    </w:p>
    <w:p w14:paraId="04481038" w14:textId="77777777" w:rsidR="009F4442" w:rsidRPr="009A35D6" w:rsidRDefault="009F4442" w:rsidP="009F4442">
      <w:pPr>
        <w:tabs>
          <w:tab w:val="left" w:pos="851"/>
        </w:tabs>
        <w:ind w:left="851" w:hanging="851"/>
        <w:rPr>
          <w:sz w:val="24"/>
          <w:szCs w:val="24"/>
        </w:rPr>
      </w:pPr>
    </w:p>
    <w:p w14:paraId="5BA2E39F" w14:textId="77777777" w:rsidR="00B96128" w:rsidRDefault="00B96128" w:rsidP="00B96128">
      <w:pPr>
        <w:rPr>
          <w:b/>
          <w:sz w:val="24"/>
          <w:szCs w:val="24"/>
        </w:rPr>
      </w:pPr>
      <w:r>
        <w:rPr>
          <w:b/>
          <w:sz w:val="24"/>
          <w:szCs w:val="24"/>
        </w:rPr>
        <w:t xml:space="preserve">Tabel 4. Resultatet for livskvalitet for </w:t>
      </w:r>
      <w:proofErr w:type="spellStart"/>
      <w:r>
        <w:rPr>
          <w:b/>
          <w:sz w:val="24"/>
          <w:szCs w:val="24"/>
        </w:rPr>
        <w:t>gefitinib</w:t>
      </w:r>
      <w:proofErr w:type="spellEnd"/>
      <w:r>
        <w:rPr>
          <w:b/>
          <w:sz w:val="24"/>
          <w:szCs w:val="24"/>
        </w:rPr>
        <w:t xml:space="preserve"> versus </w:t>
      </w:r>
      <w:proofErr w:type="spellStart"/>
      <w:r>
        <w:rPr>
          <w:b/>
          <w:sz w:val="24"/>
          <w:szCs w:val="24"/>
        </w:rPr>
        <w:t>carboplatin</w:t>
      </w:r>
      <w:proofErr w:type="spellEnd"/>
      <w:r>
        <w:rPr>
          <w:b/>
          <w:sz w:val="24"/>
          <w:szCs w:val="24"/>
        </w:rPr>
        <w:t>/</w:t>
      </w:r>
      <w:proofErr w:type="spellStart"/>
      <w:r>
        <w:rPr>
          <w:b/>
          <w:sz w:val="24"/>
          <w:szCs w:val="24"/>
        </w:rPr>
        <w:t>paclitaxel</w:t>
      </w:r>
      <w:proofErr w:type="spellEnd"/>
      <w:r>
        <w:rPr>
          <w:b/>
          <w:sz w:val="24"/>
          <w:szCs w:val="24"/>
        </w:rPr>
        <w:t xml:space="preserve"> fra </w:t>
      </w:r>
      <w:proofErr w:type="spellStart"/>
      <w:r>
        <w:rPr>
          <w:b/>
          <w:sz w:val="24"/>
          <w:szCs w:val="24"/>
        </w:rPr>
        <w:t>IPASSstudiet</w:t>
      </w:r>
      <w:proofErr w:type="spellEnd"/>
    </w:p>
    <w:tbl>
      <w:tblPr>
        <w:tblStyle w:val="Tabel-Gitter"/>
        <w:tblW w:w="5000" w:type="pct"/>
        <w:tblInd w:w="0" w:type="dxa"/>
        <w:tblBorders>
          <w:top w:val="single" w:sz="12" w:space="0" w:color="auto"/>
          <w:left w:val="none" w:sz="0" w:space="0" w:color="auto"/>
          <w:right w:val="none" w:sz="0" w:space="0" w:color="auto"/>
          <w:insideV w:val="none" w:sz="0" w:space="0" w:color="auto"/>
        </w:tblBorders>
        <w:tblLook w:val="04A0" w:firstRow="1" w:lastRow="0" w:firstColumn="1" w:lastColumn="0" w:noHBand="0" w:noVBand="1"/>
      </w:tblPr>
      <w:tblGrid>
        <w:gridCol w:w="1981"/>
        <w:gridCol w:w="1756"/>
        <w:gridCol w:w="3044"/>
        <w:gridCol w:w="2857"/>
      </w:tblGrid>
      <w:tr w:rsidR="00B96128" w14:paraId="43692BF0" w14:textId="77777777" w:rsidTr="00B96128">
        <w:tc>
          <w:tcPr>
            <w:tcW w:w="1028" w:type="pct"/>
            <w:tcBorders>
              <w:top w:val="single" w:sz="12" w:space="0" w:color="auto"/>
              <w:left w:val="nil"/>
              <w:bottom w:val="single" w:sz="12" w:space="0" w:color="auto"/>
              <w:right w:val="nil"/>
            </w:tcBorders>
            <w:hideMark/>
          </w:tcPr>
          <w:p w14:paraId="13033C35" w14:textId="77777777" w:rsidR="00B96128" w:rsidRDefault="00B96128">
            <w:pPr>
              <w:jc w:val="center"/>
              <w:rPr>
                <w:rFonts w:ascii="Times New Roman" w:hAnsi="Times New Roman" w:cs="Times New Roman"/>
                <w:b/>
                <w:sz w:val="24"/>
                <w:szCs w:val="24"/>
              </w:rPr>
            </w:pPr>
            <w:r>
              <w:rPr>
                <w:rFonts w:ascii="Times New Roman" w:hAnsi="Times New Roman" w:cs="Times New Roman"/>
                <w:b/>
                <w:sz w:val="24"/>
                <w:szCs w:val="24"/>
              </w:rPr>
              <w:t>Population</w:t>
            </w:r>
          </w:p>
        </w:tc>
        <w:tc>
          <w:tcPr>
            <w:tcW w:w="911" w:type="pct"/>
            <w:tcBorders>
              <w:top w:val="single" w:sz="12" w:space="0" w:color="auto"/>
              <w:left w:val="nil"/>
              <w:bottom w:val="single" w:sz="12" w:space="0" w:color="auto"/>
              <w:right w:val="nil"/>
            </w:tcBorders>
            <w:hideMark/>
          </w:tcPr>
          <w:p w14:paraId="7E2970E0" w14:textId="77777777" w:rsidR="00B96128" w:rsidRDefault="00B96128">
            <w:pPr>
              <w:jc w:val="center"/>
              <w:rPr>
                <w:rFonts w:ascii="Times New Roman" w:hAnsi="Times New Roman" w:cs="Times New Roman"/>
                <w:b/>
                <w:sz w:val="24"/>
                <w:szCs w:val="24"/>
              </w:rPr>
            </w:pPr>
            <w:r>
              <w:rPr>
                <w:rFonts w:ascii="Times New Roman" w:hAnsi="Times New Roman" w:cs="Times New Roman"/>
                <w:b/>
                <w:sz w:val="24"/>
                <w:szCs w:val="24"/>
              </w:rPr>
              <w:t>N</w:t>
            </w:r>
          </w:p>
        </w:tc>
        <w:tc>
          <w:tcPr>
            <w:tcW w:w="1579" w:type="pct"/>
            <w:tcBorders>
              <w:top w:val="single" w:sz="12" w:space="0" w:color="auto"/>
              <w:left w:val="nil"/>
              <w:bottom w:val="single" w:sz="12" w:space="0" w:color="auto"/>
              <w:right w:val="nil"/>
            </w:tcBorders>
            <w:hideMark/>
          </w:tcPr>
          <w:p w14:paraId="16DC475A" w14:textId="77777777" w:rsidR="00B96128" w:rsidRDefault="00B96128">
            <w:pPr>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FACT-L </w:t>
            </w:r>
            <w:proofErr w:type="spellStart"/>
            <w:r>
              <w:rPr>
                <w:rFonts w:ascii="Times New Roman" w:hAnsi="Times New Roman" w:cs="Times New Roman"/>
                <w:b/>
                <w:sz w:val="24"/>
                <w:szCs w:val="24"/>
              </w:rPr>
              <w:t>QoL-forbedringshyppighed</w:t>
            </w:r>
            <w:r>
              <w:rPr>
                <w:rFonts w:ascii="Times New Roman" w:hAnsi="Times New Roman" w:cs="Times New Roman"/>
                <w:b/>
                <w:sz w:val="24"/>
                <w:szCs w:val="24"/>
                <w:vertAlign w:val="superscript"/>
              </w:rPr>
              <w:t>a</w:t>
            </w:r>
            <w:proofErr w:type="spellEnd"/>
          </w:p>
          <w:p w14:paraId="1BA9F27B" w14:textId="77777777" w:rsidR="00B96128" w:rsidRDefault="00B96128">
            <w:pPr>
              <w:jc w:val="center"/>
              <w:rPr>
                <w:rFonts w:ascii="Times New Roman" w:hAnsi="Times New Roman" w:cs="Times New Roman"/>
                <w:b/>
                <w:sz w:val="24"/>
                <w:szCs w:val="24"/>
              </w:rPr>
            </w:pPr>
            <w:r>
              <w:rPr>
                <w:rFonts w:ascii="Times New Roman" w:hAnsi="Times New Roman" w:cs="Times New Roman"/>
                <w:b/>
                <w:sz w:val="24"/>
                <w:szCs w:val="24"/>
              </w:rPr>
              <w:t>%</w:t>
            </w:r>
          </w:p>
        </w:tc>
        <w:tc>
          <w:tcPr>
            <w:tcW w:w="1482" w:type="pct"/>
            <w:tcBorders>
              <w:top w:val="single" w:sz="12" w:space="0" w:color="auto"/>
              <w:left w:val="nil"/>
              <w:bottom w:val="single" w:sz="12" w:space="0" w:color="auto"/>
              <w:right w:val="nil"/>
            </w:tcBorders>
            <w:hideMark/>
          </w:tcPr>
          <w:p w14:paraId="61C827A8" w14:textId="77777777" w:rsidR="00B96128" w:rsidRDefault="00B96128">
            <w:pPr>
              <w:jc w:val="center"/>
              <w:rPr>
                <w:rFonts w:ascii="Times New Roman" w:hAnsi="Times New Roman" w:cs="Times New Roman"/>
                <w:b/>
                <w:sz w:val="24"/>
                <w:szCs w:val="24"/>
                <w:vertAlign w:val="superscript"/>
              </w:rPr>
            </w:pPr>
            <w:proofErr w:type="gramStart"/>
            <w:r>
              <w:rPr>
                <w:rFonts w:ascii="Times New Roman" w:hAnsi="Times New Roman" w:cs="Times New Roman"/>
                <w:b/>
                <w:sz w:val="24"/>
                <w:szCs w:val="24"/>
              </w:rPr>
              <w:t>LCS symptom</w:t>
            </w:r>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forbedringsrate</w:t>
            </w:r>
            <w:r>
              <w:rPr>
                <w:rFonts w:ascii="Times New Roman" w:hAnsi="Times New Roman" w:cs="Times New Roman"/>
                <w:b/>
                <w:sz w:val="24"/>
                <w:szCs w:val="24"/>
                <w:vertAlign w:val="superscript"/>
              </w:rPr>
              <w:t>a</w:t>
            </w:r>
            <w:proofErr w:type="spellEnd"/>
          </w:p>
          <w:p w14:paraId="56A6431A" w14:textId="77777777" w:rsidR="00B96128" w:rsidRDefault="00B96128">
            <w:pPr>
              <w:jc w:val="center"/>
              <w:rPr>
                <w:rFonts w:ascii="Times New Roman" w:hAnsi="Times New Roman" w:cs="Times New Roman"/>
                <w:b/>
                <w:sz w:val="24"/>
                <w:szCs w:val="24"/>
              </w:rPr>
            </w:pPr>
            <w:r>
              <w:rPr>
                <w:rFonts w:ascii="Times New Roman" w:hAnsi="Times New Roman" w:cs="Times New Roman"/>
                <w:b/>
                <w:sz w:val="24"/>
                <w:szCs w:val="24"/>
              </w:rPr>
              <w:t>%</w:t>
            </w:r>
          </w:p>
        </w:tc>
      </w:tr>
      <w:tr w:rsidR="00B96128" w14:paraId="61A1BF2B" w14:textId="77777777" w:rsidTr="00B96128">
        <w:tc>
          <w:tcPr>
            <w:tcW w:w="1028" w:type="pct"/>
            <w:tcBorders>
              <w:top w:val="single" w:sz="12" w:space="0" w:color="auto"/>
              <w:left w:val="nil"/>
              <w:bottom w:val="single" w:sz="4" w:space="0" w:color="auto"/>
              <w:right w:val="nil"/>
            </w:tcBorders>
            <w:hideMark/>
          </w:tcPr>
          <w:p w14:paraId="34C77AD1"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Total</w:t>
            </w:r>
          </w:p>
        </w:tc>
        <w:tc>
          <w:tcPr>
            <w:tcW w:w="911" w:type="pct"/>
            <w:tcBorders>
              <w:top w:val="single" w:sz="12" w:space="0" w:color="auto"/>
              <w:left w:val="nil"/>
              <w:bottom w:val="single" w:sz="4" w:space="0" w:color="auto"/>
              <w:right w:val="nil"/>
            </w:tcBorders>
            <w:hideMark/>
          </w:tcPr>
          <w:p w14:paraId="63BF7B97"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1151</w:t>
            </w:r>
          </w:p>
        </w:tc>
        <w:tc>
          <w:tcPr>
            <w:tcW w:w="1579" w:type="pct"/>
            <w:tcBorders>
              <w:top w:val="single" w:sz="12" w:space="0" w:color="auto"/>
              <w:left w:val="nil"/>
              <w:bottom w:val="single" w:sz="4" w:space="0" w:color="auto"/>
              <w:right w:val="nil"/>
            </w:tcBorders>
            <w:hideMark/>
          </w:tcPr>
          <w:p w14:paraId="43F53DA0"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(48,0 % vs. 40,8 %)</w:t>
            </w:r>
          </w:p>
          <w:p w14:paraId="324A00F0"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0,0148</w:t>
            </w:r>
          </w:p>
        </w:tc>
        <w:tc>
          <w:tcPr>
            <w:tcW w:w="1482" w:type="pct"/>
            <w:tcBorders>
              <w:top w:val="single" w:sz="12" w:space="0" w:color="auto"/>
              <w:left w:val="nil"/>
              <w:bottom w:val="single" w:sz="4" w:space="0" w:color="auto"/>
              <w:right w:val="nil"/>
            </w:tcBorders>
            <w:hideMark/>
          </w:tcPr>
          <w:p w14:paraId="5C12BA8C"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(51,5 % vs. 48,5 %)</w:t>
            </w:r>
          </w:p>
          <w:p w14:paraId="558B7203"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0,3037</w:t>
            </w:r>
          </w:p>
        </w:tc>
      </w:tr>
      <w:tr w:rsidR="00B96128" w14:paraId="07AA585D" w14:textId="77777777" w:rsidTr="00B96128">
        <w:tc>
          <w:tcPr>
            <w:tcW w:w="1028" w:type="pct"/>
            <w:tcBorders>
              <w:top w:val="single" w:sz="4" w:space="0" w:color="auto"/>
              <w:left w:val="nil"/>
              <w:bottom w:val="single" w:sz="4" w:space="0" w:color="auto"/>
              <w:right w:val="nil"/>
            </w:tcBorders>
            <w:hideMark/>
          </w:tcPr>
          <w:p w14:paraId="152FCBE9" w14:textId="77777777" w:rsidR="00B96128" w:rsidRDefault="00B96128">
            <w:pPr>
              <w:jc w:val="center"/>
              <w:rPr>
                <w:rFonts w:ascii="Times New Roman" w:hAnsi="Times New Roman" w:cs="Times New Roman"/>
                <w:sz w:val="24"/>
                <w:szCs w:val="24"/>
              </w:rPr>
            </w:pPr>
            <w:proofErr w:type="gramStart"/>
            <w:r>
              <w:rPr>
                <w:rFonts w:ascii="Times New Roman" w:hAnsi="Times New Roman" w:cs="Times New Roman"/>
                <w:sz w:val="24"/>
                <w:szCs w:val="24"/>
              </w:rPr>
              <w:t>EGFR mutation</w:t>
            </w:r>
            <w:proofErr w:type="gramEnd"/>
            <w:r>
              <w:rPr>
                <w:rFonts w:ascii="Times New Roman" w:hAnsi="Times New Roman" w:cs="Times New Roman"/>
                <w:sz w:val="24"/>
                <w:szCs w:val="24"/>
              </w:rPr>
              <w:t xml:space="preserve"> positive</w:t>
            </w:r>
          </w:p>
        </w:tc>
        <w:tc>
          <w:tcPr>
            <w:tcW w:w="911" w:type="pct"/>
            <w:tcBorders>
              <w:top w:val="single" w:sz="4" w:space="0" w:color="auto"/>
              <w:left w:val="nil"/>
              <w:bottom w:val="single" w:sz="4" w:space="0" w:color="auto"/>
              <w:right w:val="nil"/>
            </w:tcBorders>
            <w:hideMark/>
          </w:tcPr>
          <w:p w14:paraId="65AE63B6"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259</w:t>
            </w:r>
          </w:p>
        </w:tc>
        <w:tc>
          <w:tcPr>
            <w:tcW w:w="1579" w:type="pct"/>
            <w:tcBorders>
              <w:top w:val="single" w:sz="4" w:space="0" w:color="auto"/>
              <w:left w:val="nil"/>
              <w:bottom w:val="single" w:sz="4" w:space="0" w:color="auto"/>
              <w:right w:val="nil"/>
            </w:tcBorders>
            <w:hideMark/>
          </w:tcPr>
          <w:p w14:paraId="6E34348D"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(70,2 % vs. 44,5 %)</w:t>
            </w:r>
          </w:p>
          <w:p w14:paraId="63D0F397"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&lt; 0,0001</w:t>
            </w:r>
          </w:p>
        </w:tc>
        <w:tc>
          <w:tcPr>
            <w:tcW w:w="1482" w:type="pct"/>
            <w:tcBorders>
              <w:top w:val="single" w:sz="4" w:space="0" w:color="auto"/>
              <w:left w:val="nil"/>
              <w:bottom w:val="single" w:sz="4" w:space="0" w:color="auto"/>
              <w:right w:val="nil"/>
            </w:tcBorders>
            <w:hideMark/>
          </w:tcPr>
          <w:p w14:paraId="621DD71F"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(75,6 % vs. 53,9 %)</w:t>
            </w:r>
          </w:p>
          <w:p w14:paraId="2DD2B65A"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0,0003</w:t>
            </w:r>
          </w:p>
        </w:tc>
      </w:tr>
      <w:tr w:rsidR="00B96128" w14:paraId="0B5C0890" w14:textId="77777777" w:rsidTr="00B96128">
        <w:tc>
          <w:tcPr>
            <w:tcW w:w="1028" w:type="pct"/>
            <w:tcBorders>
              <w:top w:val="single" w:sz="4" w:space="0" w:color="auto"/>
              <w:left w:val="nil"/>
              <w:bottom w:val="single" w:sz="4" w:space="0" w:color="auto"/>
              <w:right w:val="nil"/>
            </w:tcBorders>
            <w:hideMark/>
          </w:tcPr>
          <w:p w14:paraId="2D0CAE12" w14:textId="77777777" w:rsidR="00B96128" w:rsidRDefault="00B96128">
            <w:pPr>
              <w:jc w:val="center"/>
              <w:rPr>
                <w:rFonts w:ascii="Times New Roman" w:hAnsi="Times New Roman" w:cs="Times New Roman"/>
                <w:sz w:val="24"/>
                <w:szCs w:val="24"/>
              </w:rPr>
            </w:pPr>
            <w:proofErr w:type="gramStart"/>
            <w:r>
              <w:rPr>
                <w:rFonts w:ascii="Times New Roman" w:hAnsi="Times New Roman" w:cs="Times New Roman"/>
                <w:sz w:val="24"/>
                <w:szCs w:val="24"/>
              </w:rPr>
              <w:t>EGFR mutation</w:t>
            </w:r>
            <w:proofErr w:type="gramEnd"/>
            <w:r>
              <w:rPr>
                <w:rFonts w:ascii="Times New Roman" w:hAnsi="Times New Roman" w:cs="Times New Roman"/>
                <w:sz w:val="24"/>
                <w:szCs w:val="24"/>
              </w:rPr>
              <w:t xml:space="preserve"> negative</w:t>
            </w:r>
          </w:p>
        </w:tc>
        <w:tc>
          <w:tcPr>
            <w:tcW w:w="911" w:type="pct"/>
            <w:tcBorders>
              <w:top w:val="single" w:sz="4" w:space="0" w:color="auto"/>
              <w:left w:val="nil"/>
              <w:bottom w:val="single" w:sz="4" w:space="0" w:color="auto"/>
              <w:right w:val="nil"/>
            </w:tcBorders>
            <w:hideMark/>
          </w:tcPr>
          <w:p w14:paraId="5A7EAA8D"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169</w:t>
            </w:r>
          </w:p>
        </w:tc>
        <w:tc>
          <w:tcPr>
            <w:tcW w:w="1579" w:type="pct"/>
            <w:tcBorders>
              <w:top w:val="single" w:sz="4" w:space="0" w:color="auto"/>
              <w:left w:val="nil"/>
              <w:bottom w:val="single" w:sz="4" w:space="0" w:color="auto"/>
              <w:right w:val="nil"/>
            </w:tcBorders>
            <w:hideMark/>
          </w:tcPr>
          <w:p w14:paraId="4861BE09"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(14,6 % vs. 36,3 %)</w:t>
            </w:r>
          </w:p>
          <w:p w14:paraId="68C43ECD"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0,0021</w:t>
            </w:r>
          </w:p>
        </w:tc>
        <w:tc>
          <w:tcPr>
            <w:tcW w:w="1482" w:type="pct"/>
            <w:tcBorders>
              <w:top w:val="single" w:sz="4" w:space="0" w:color="auto"/>
              <w:left w:val="nil"/>
              <w:bottom w:val="single" w:sz="4" w:space="0" w:color="auto"/>
              <w:right w:val="nil"/>
            </w:tcBorders>
            <w:hideMark/>
          </w:tcPr>
          <w:p w14:paraId="4BAA2F04"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(20,2 % vs. 47,5 %)</w:t>
            </w:r>
          </w:p>
          <w:p w14:paraId="5ADA7F8C"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0,0002</w:t>
            </w:r>
          </w:p>
        </w:tc>
      </w:tr>
    </w:tbl>
    <w:p w14:paraId="64C12299" w14:textId="77777777" w:rsidR="009F4442" w:rsidRPr="00D2157D" w:rsidRDefault="009F4442" w:rsidP="009F4442">
      <w:pPr>
        <w:tabs>
          <w:tab w:val="left" w:pos="851"/>
        </w:tabs>
        <w:rPr>
          <w:sz w:val="20"/>
        </w:rPr>
      </w:pPr>
      <w:r w:rsidRPr="00D2157D">
        <w:rPr>
          <w:sz w:val="20"/>
        </w:rPr>
        <w:t xml:space="preserve">Trial </w:t>
      </w:r>
      <w:proofErr w:type="spellStart"/>
      <w:r w:rsidRPr="00D2157D">
        <w:rPr>
          <w:sz w:val="20"/>
        </w:rPr>
        <w:t>outcome</w:t>
      </w:r>
      <w:proofErr w:type="spellEnd"/>
      <w:r w:rsidRPr="00D2157D">
        <w:rPr>
          <w:sz w:val="20"/>
        </w:rPr>
        <w:t xml:space="preserve"> index-resultater understøttede FACT-L- og LCS-resultaterne.</w:t>
      </w:r>
    </w:p>
    <w:p w14:paraId="605940D0" w14:textId="77777777" w:rsidR="009F4442" w:rsidRPr="00D2157D" w:rsidRDefault="009F4442" w:rsidP="009F4442">
      <w:pPr>
        <w:tabs>
          <w:tab w:val="left" w:pos="851"/>
        </w:tabs>
        <w:rPr>
          <w:sz w:val="20"/>
          <w:lang w:val="en-US"/>
        </w:rPr>
      </w:pPr>
      <w:r w:rsidRPr="00D2157D">
        <w:rPr>
          <w:sz w:val="20"/>
          <w:lang w:val="en-US"/>
        </w:rPr>
        <w:t xml:space="preserve">a </w:t>
      </w:r>
      <w:r w:rsidRPr="00D2157D">
        <w:rPr>
          <w:sz w:val="20"/>
          <w:lang w:val="en-US"/>
        </w:rPr>
        <w:tab/>
      </w:r>
      <w:proofErr w:type="spellStart"/>
      <w:r w:rsidRPr="00D2157D">
        <w:rPr>
          <w:sz w:val="20"/>
          <w:lang w:val="en-US"/>
        </w:rPr>
        <w:t>Værdier</w:t>
      </w:r>
      <w:proofErr w:type="spellEnd"/>
      <w:r w:rsidRPr="00D2157D">
        <w:rPr>
          <w:sz w:val="20"/>
          <w:lang w:val="en-US"/>
        </w:rPr>
        <w:t xml:space="preserve"> for gefitinib versus carboplatin/paclitaxel.</w:t>
      </w:r>
    </w:p>
    <w:p w14:paraId="5B1867B8" w14:textId="77777777" w:rsidR="009F4442" w:rsidRPr="00D2157D" w:rsidRDefault="009F4442" w:rsidP="009F4442">
      <w:pPr>
        <w:tabs>
          <w:tab w:val="left" w:pos="851"/>
        </w:tabs>
        <w:rPr>
          <w:sz w:val="20"/>
        </w:rPr>
      </w:pPr>
      <w:r w:rsidRPr="00D2157D">
        <w:rPr>
          <w:sz w:val="20"/>
        </w:rPr>
        <w:t xml:space="preserve">N </w:t>
      </w:r>
      <w:r w:rsidRPr="00D2157D">
        <w:rPr>
          <w:sz w:val="20"/>
        </w:rPr>
        <w:tab/>
        <w:t>Antal patienter, der kan evalueres ved livskvalitetsanalyser.</w:t>
      </w:r>
    </w:p>
    <w:p w14:paraId="524FD6DC" w14:textId="77777777" w:rsidR="009F4442" w:rsidRPr="00D2157D" w:rsidRDefault="009F4442" w:rsidP="009F4442">
      <w:pPr>
        <w:tabs>
          <w:tab w:val="left" w:pos="851"/>
        </w:tabs>
        <w:rPr>
          <w:sz w:val="20"/>
          <w:lang w:val="en-US"/>
        </w:rPr>
      </w:pPr>
      <w:r w:rsidRPr="00D2157D">
        <w:rPr>
          <w:sz w:val="20"/>
          <w:lang w:val="en-US"/>
        </w:rPr>
        <w:t xml:space="preserve">QoL </w:t>
      </w:r>
      <w:r w:rsidRPr="00D2157D">
        <w:rPr>
          <w:sz w:val="20"/>
          <w:lang w:val="en-US"/>
        </w:rPr>
        <w:tab/>
      </w:r>
      <w:proofErr w:type="spellStart"/>
      <w:r w:rsidRPr="00D2157D">
        <w:rPr>
          <w:sz w:val="20"/>
          <w:lang w:val="en-US"/>
        </w:rPr>
        <w:t>Livskvalitet</w:t>
      </w:r>
      <w:proofErr w:type="spellEnd"/>
      <w:r w:rsidRPr="00D2157D">
        <w:rPr>
          <w:sz w:val="20"/>
          <w:lang w:val="en-US"/>
        </w:rPr>
        <w:t xml:space="preserve"> (Quality of life)</w:t>
      </w:r>
    </w:p>
    <w:p w14:paraId="5BF287AB" w14:textId="77777777" w:rsidR="009F4442" w:rsidRPr="00D2157D" w:rsidRDefault="009F4442" w:rsidP="009F4442">
      <w:pPr>
        <w:tabs>
          <w:tab w:val="left" w:pos="851"/>
        </w:tabs>
        <w:rPr>
          <w:sz w:val="20"/>
          <w:lang w:val="en-US"/>
        </w:rPr>
      </w:pPr>
      <w:r w:rsidRPr="00D2157D">
        <w:rPr>
          <w:sz w:val="20"/>
          <w:lang w:val="en-US"/>
        </w:rPr>
        <w:t xml:space="preserve">FACT-L </w:t>
      </w:r>
      <w:r w:rsidRPr="00D2157D">
        <w:rPr>
          <w:sz w:val="20"/>
          <w:lang w:val="en-US"/>
        </w:rPr>
        <w:tab/>
        <w:t>Functional assessment of cancer therapy-lung</w:t>
      </w:r>
    </w:p>
    <w:p w14:paraId="024B8B7C" w14:textId="77777777" w:rsidR="009F4442" w:rsidRPr="00D2157D" w:rsidRDefault="009F4442" w:rsidP="009F4442">
      <w:pPr>
        <w:tabs>
          <w:tab w:val="left" w:pos="851"/>
        </w:tabs>
        <w:rPr>
          <w:sz w:val="20"/>
        </w:rPr>
      </w:pPr>
      <w:r w:rsidRPr="00D2157D">
        <w:rPr>
          <w:sz w:val="20"/>
        </w:rPr>
        <w:t xml:space="preserve">LCS </w:t>
      </w:r>
      <w:r w:rsidRPr="00D2157D">
        <w:rPr>
          <w:sz w:val="20"/>
        </w:rPr>
        <w:tab/>
        <w:t>Lungecancer subskala</w:t>
      </w:r>
    </w:p>
    <w:p w14:paraId="2732B7CA" w14:textId="77777777" w:rsidR="009F4442" w:rsidRPr="009A35D6" w:rsidRDefault="009F4442" w:rsidP="009F4442">
      <w:pPr>
        <w:tabs>
          <w:tab w:val="left" w:pos="851"/>
        </w:tabs>
        <w:ind w:left="851" w:hanging="851"/>
        <w:rPr>
          <w:sz w:val="24"/>
          <w:szCs w:val="24"/>
        </w:rPr>
      </w:pPr>
    </w:p>
    <w:p w14:paraId="5FC18C83"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IPASS-forsøget viste, at </w:t>
      </w:r>
      <w:proofErr w:type="spellStart"/>
      <w:r w:rsidRPr="009A35D6">
        <w:rPr>
          <w:sz w:val="24"/>
          <w:szCs w:val="24"/>
        </w:rPr>
        <w:t>gefitinib</w:t>
      </w:r>
      <w:proofErr w:type="spellEnd"/>
      <w:r w:rsidRPr="009A35D6">
        <w:rPr>
          <w:sz w:val="24"/>
          <w:szCs w:val="24"/>
        </w:rPr>
        <w:t xml:space="preserve"> var </w:t>
      </w:r>
      <w:proofErr w:type="spellStart"/>
      <w:r w:rsidRPr="009A35D6">
        <w:rPr>
          <w:sz w:val="24"/>
          <w:szCs w:val="24"/>
        </w:rPr>
        <w:t>carboplatin</w:t>
      </w:r>
      <w:proofErr w:type="spellEnd"/>
      <w:r w:rsidRPr="009A35D6">
        <w:rPr>
          <w:sz w:val="24"/>
          <w:szCs w:val="24"/>
        </w:rPr>
        <w:t>/</w:t>
      </w:r>
      <w:proofErr w:type="spellStart"/>
      <w:r w:rsidRPr="009A35D6">
        <w:rPr>
          <w:sz w:val="24"/>
          <w:szCs w:val="24"/>
        </w:rPr>
        <w:t>paclitaxel</w:t>
      </w:r>
      <w:proofErr w:type="spellEnd"/>
      <w:r w:rsidRPr="009A35D6">
        <w:rPr>
          <w:sz w:val="24"/>
          <w:szCs w:val="24"/>
        </w:rPr>
        <w:t xml:space="preserve"> overlegen i forhold til PFS, ORR, </w:t>
      </w:r>
      <w:proofErr w:type="spellStart"/>
      <w:r w:rsidRPr="009A35D6">
        <w:rPr>
          <w:sz w:val="24"/>
          <w:szCs w:val="24"/>
        </w:rPr>
        <w:t>QoL</w:t>
      </w:r>
      <w:proofErr w:type="spellEnd"/>
      <w:r w:rsidRPr="009A35D6">
        <w:rPr>
          <w:sz w:val="24"/>
          <w:szCs w:val="24"/>
        </w:rPr>
        <w:t xml:space="preserve"> og mht. symptomlindring, uden at der var nogen signifikant forskel på den samlede overlevelse hos behandlingsnaive patienter med lokalt fremskredent eller metastatisk NSCLC, hvis tumorer indeholdt aktiverende mutationer af EGFR-</w:t>
      </w:r>
      <w:proofErr w:type="spellStart"/>
      <w:r w:rsidRPr="009A35D6">
        <w:rPr>
          <w:sz w:val="24"/>
          <w:szCs w:val="24"/>
        </w:rPr>
        <w:t>tyrosinkinase</w:t>
      </w:r>
      <w:proofErr w:type="spellEnd"/>
      <w:r w:rsidRPr="009A35D6">
        <w:rPr>
          <w:sz w:val="24"/>
          <w:szCs w:val="24"/>
        </w:rPr>
        <w:t>.</w:t>
      </w:r>
    </w:p>
    <w:p w14:paraId="1F385D0D" w14:textId="77777777" w:rsidR="009F4442" w:rsidRPr="009A35D6" w:rsidRDefault="009F4442" w:rsidP="009F4442">
      <w:pPr>
        <w:tabs>
          <w:tab w:val="left" w:pos="851"/>
        </w:tabs>
        <w:ind w:left="851" w:hanging="851"/>
        <w:rPr>
          <w:sz w:val="24"/>
          <w:szCs w:val="24"/>
        </w:rPr>
      </w:pPr>
    </w:p>
    <w:p w14:paraId="50567EEF" w14:textId="77777777" w:rsidR="009F4442" w:rsidRPr="009A35D6" w:rsidRDefault="009F4442" w:rsidP="009F4442">
      <w:pPr>
        <w:tabs>
          <w:tab w:val="left" w:pos="851"/>
        </w:tabs>
        <w:ind w:left="851" w:hanging="851"/>
        <w:rPr>
          <w:i/>
          <w:sz w:val="24"/>
          <w:szCs w:val="24"/>
        </w:rPr>
      </w:pPr>
      <w:r>
        <w:rPr>
          <w:i/>
          <w:sz w:val="24"/>
          <w:szCs w:val="24"/>
        </w:rPr>
        <w:tab/>
      </w:r>
      <w:r w:rsidRPr="009A35D6">
        <w:rPr>
          <w:i/>
          <w:sz w:val="24"/>
          <w:szCs w:val="24"/>
        </w:rPr>
        <w:t>Tidligere behandlede patienter</w:t>
      </w:r>
    </w:p>
    <w:p w14:paraId="21506E0B"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Det randomiserede fase III-forsøg INTEREST blev gennemført hos patienter med lokal-avanceret</w:t>
      </w:r>
      <w:r>
        <w:rPr>
          <w:sz w:val="24"/>
          <w:szCs w:val="24"/>
        </w:rPr>
        <w:t xml:space="preserve"> </w:t>
      </w:r>
      <w:r w:rsidRPr="009A35D6">
        <w:rPr>
          <w:sz w:val="24"/>
          <w:szCs w:val="24"/>
        </w:rPr>
        <w:t>eller metastatisk NSCLC, der tidligere har fået platinbaseret kemoterapi. Hos den totale population</w:t>
      </w:r>
      <w:r>
        <w:rPr>
          <w:sz w:val="24"/>
          <w:szCs w:val="24"/>
        </w:rPr>
        <w:t xml:space="preserve"> </w:t>
      </w:r>
      <w:r w:rsidRPr="009A35D6">
        <w:rPr>
          <w:sz w:val="24"/>
          <w:szCs w:val="24"/>
        </w:rPr>
        <w:t xml:space="preserve">blev der ikke observeret nogen statistisk signifikant forskel mellem </w:t>
      </w:r>
      <w:proofErr w:type="spellStart"/>
      <w:r w:rsidRPr="009A35D6">
        <w:rPr>
          <w:sz w:val="24"/>
          <w:szCs w:val="24"/>
        </w:rPr>
        <w:t>gefitinib</w:t>
      </w:r>
      <w:proofErr w:type="spellEnd"/>
      <w:r w:rsidRPr="009A35D6">
        <w:rPr>
          <w:sz w:val="24"/>
          <w:szCs w:val="24"/>
        </w:rPr>
        <w:t xml:space="preserve"> og </w:t>
      </w:r>
      <w:proofErr w:type="spellStart"/>
      <w:r w:rsidRPr="009A35D6">
        <w:rPr>
          <w:sz w:val="24"/>
          <w:szCs w:val="24"/>
        </w:rPr>
        <w:t>docetaxel</w:t>
      </w:r>
      <w:proofErr w:type="spellEnd"/>
      <w:r w:rsidRPr="009A35D6">
        <w:rPr>
          <w:sz w:val="24"/>
          <w:szCs w:val="24"/>
        </w:rPr>
        <w:t xml:space="preserve"> (75 mg/m</w:t>
      </w:r>
      <w:r w:rsidRPr="00D2157D">
        <w:rPr>
          <w:sz w:val="24"/>
          <w:szCs w:val="24"/>
          <w:vertAlign w:val="superscript"/>
        </w:rPr>
        <w:t>2</w:t>
      </w:r>
      <w:r w:rsidRPr="009A35D6">
        <w:rPr>
          <w:sz w:val="24"/>
          <w:szCs w:val="24"/>
        </w:rPr>
        <w:t>), målt som total overlevelse, progressionsfri overlevelse eller objektiv responsrate (se tabel 5).</w:t>
      </w:r>
    </w:p>
    <w:p w14:paraId="259A5FF5" w14:textId="77777777" w:rsidR="00B96128" w:rsidRDefault="00B96128" w:rsidP="00B96128">
      <w:pPr>
        <w:tabs>
          <w:tab w:val="left" w:pos="851"/>
        </w:tabs>
        <w:ind w:left="851" w:hanging="851"/>
        <w:rPr>
          <w:sz w:val="24"/>
          <w:szCs w:val="24"/>
        </w:rPr>
      </w:pPr>
    </w:p>
    <w:p w14:paraId="2E600A2E" w14:textId="77777777" w:rsidR="00B96128" w:rsidRDefault="00B96128" w:rsidP="00B96128">
      <w:pPr>
        <w:rPr>
          <w:b/>
          <w:sz w:val="24"/>
          <w:szCs w:val="24"/>
        </w:rPr>
      </w:pPr>
      <w:r>
        <w:rPr>
          <w:b/>
          <w:sz w:val="24"/>
          <w:szCs w:val="24"/>
        </w:rPr>
        <w:t xml:space="preserve">Tabel 5. Data for virkning af </w:t>
      </w:r>
      <w:proofErr w:type="spellStart"/>
      <w:r>
        <w:rPr>
          <w:b/>
          <w:sz w:val="24"/>
          <w:szCs w:val="24"/>
        </w:rPr>
        <w:t>gefitinib</w:t>
      </w:r>
      <w:proofErr w:type="spellEnd"/>
      <w:r>
        <w:rPr>
          <w:b/>
          <w:sz w:val="24"/>
          <w:szCs w:val="24"/>
        </w:rPr>
        <w:t xml:space="preserve"> versus </w:t>
      </w:r>
      <w:proofErr w:type="spellStart"/>
      <w:r>
        <w:rPr>
          <w:b/>
          <w:sz w:val="24"/>
          <w:szCs w:val="24"/>
        </w:rPr>
        <w:t>docetaxel</w:t>
      </w:r>
      <w:proofErr w:type="spellEnd"/>
      <w:r>
        <w:rPr>
          <w:b/>
          <w:sz w:val="24"/>
          <w:szCs w:val="24"/>
        </w:rPr>
        <w:t xml:space="preserve"> fra INTEREST-studiet</w:t>
      </w:r>
    </w:p>
    <w:tbl>
      <w:tblPr>
        <w:tblStyle w:val="Tabel-Gitter"/>
        <w:tblW w:w="5000" w:type="pct"/>
        <w:tblInd w:w="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28"/>
        <w:gridCol w:w="1191"/>
        <w:gridCol w:w="2126"/>
        <w:gridCol w:w="2126"/>
        <w:gridCol w:w="2267"/>
      </w:tblGrid>
      <w:tr w:rsidR="00B96128" w14:paraId="24A28C19" w14:textId="77777777" w:rsidTr="00B96128">
        <w:tc>
          <w:tcPr>
            <w:tcW w:w="1000" w:type="pct"/>
            <w:tcBorders>
              <w:top w:val="single" w:sz="12" w:space="0" w:color="auto"/>
              <w:left w:val="nil"/>
              <w:bottom w:val="single" w:sz="4" w:space="0" w:color="auto"/>
              <w:right w:val="nil"/>
            </w:tcBorders>
            <w:hideMark/>
          </w:tcPr>
          <w:p w14:paraId="357347D3" w14:textId="77777777" w:rsidR="00B96128" w:rsidRDefault="00B96128">
            <w:pPr>
              <w:jc w:val="center"/>
              <w:rPr>
                <w:rFonts w:ascii="Times New Roman" w:hAnsi="Times New Roman" w:cs="Times New Roman"/>
                <w:b/>
                <w:sz w:val="24"/>
                <w:szCs w:val="24"/>
              </w:rPr>
            </w:pPr>
            <w:r>
              <w:rPr>
                <w:rFonts w:ascii="Times New Roman" w:hAnsi="Times New Roman" w:cs="Times New Roman"/>
                <w:b/>
                <w:sz w:val="24"/>
                <w:szCs w:val="24"/>
              </w:rPr>
              <w:t>Population</w:t>
            </w:r>
          </w:p>
        </w:tc>
        <w:tc>
          <w:tcPr>
            <w:tcW w:w="618" w:type="pct"/>
            <w:tcBorders>
              <w:top w:val="single" w:sz="12" w:space="0" w:color="auto"/>
              <w:left w:val="nil"/>
              <w:bottom w:val="single" w:sz="4" w:space="0" w:color="auto"/>
              <w:right w:val="nil"/>
            </w:tcBorders>
            <w:hideMark/>
          </w:tcPr>
          <w:p w14:paraId="22973D93" w14:textId="77777777" w:rsidR="00B96128" w:rsidRDefault="00B96128">
            <w:pPr>
              <w:jc w:val="center"/>
              <w:rPr>
                <w:rFonts w:ascii="Times New Roman" w:hAnsi="Times New Roman" w:cs="Times New Roman"/>
                <w:b/>
                <w:sz w:val="24"/>
                <w:szCs w:val="24"/>
              </w:rPr>
            </w:pPr>
            <w:r>
              <w:rPr>
                <w:rFonts w:ascii="Times New Roman" w:hAnsi="Times New Roman" w:cs="Times New Roman"/>
                <w:b/>
                <w:sz w:val="24"/>
                <w:szCs w:val="24"/>
              </w:rPr>
              <w:t>N</w:t>
            </w:r>
          </w:p>
        </w:tc>
        <w:tc>
          <w:tcPr>
            <w:tcW w:w="1103" w:type="pct"/>
            <w:tcBorders>
              <w:top w:val="single" w:sz="12" w:space="0" w:color="auto"/>
              <w:left w:val="nil"/>
              <w:bottom w:val="single" w:sz="4" w:space="0" w:color="auto"/>
              <w:right w:val="nil"/>
            </w:tcBorders>
          </w:tcPr>
          <w:p w14:paraId="1F21F4AA" w14:textId="77777777" w:rsidR="00B96128" w:rsidRDefault="00B96128">
            <w:pPr>
              <w:jc w:val="center"/>
              <w:rPr>
                <w:rFonts w:ascii="Times New Roman" w:hAnsi="Times New Roman" w:cs="Times New Roman"/>
                <w:b/>
                <w:sz w:val="24"/>
                <w:szCs w:val="24"/>
              </w:rPr>
            </w:pPr>
            <w:r>
              <w:rPr>
                <w:rFonts w:ascii="Times New Roman" w:hAnsi="Times New Roman" w:cs="Times New Roman"/>
                <w:b/>
                <w:sz w:val="24"/>
                <w:szCs w:val="24"/>
              </w:rPr>
              <w:t>Objektive respons rater og 95 % CI for forskel mellem</w:t>
            </w:r>
          </w:p>
          <w:p w14:paraId="74B3E370" w14:textId="77777777" w:rsidR="00B96128" w:rsidRDefault="00B96128">
            <w:pPr>
              <w:jc w:val="center"/>
              <w:rPr>
                <w:rFonts w:ascii="Times New Roman" w:hAnsi="Times New Roman" w:cs="Times New Roman"/>
                <w:b/>
                <w:sz w:val="24"/>
                <w:szCs w:val="24"/>
              </w:rPr>
            </w:pPr>
            <w:proofErr w:type="spellStart"/>
            <w:r>
              <w:rPr>
                <w:rFonts w:ascii="Times New Roman" w:hAnsi="Times New Roman" w:cs="Times New Roman"/>
                <w:b/>
                <w:sz w:val="24"/>
                <w:szCs w:val="24"/>
              </w:rPr>
              <w:t>behandlingerne</w:t>
            </w:r>
            <w:r>
              <w:rPr>
                <w:rFonts w:ascii="Times New Roman" w:hAnsi="Times New Roman" w:cs="Times New Roman"/>
                <w:b/>
                <w:sz w:val="24"/>
                <w:szCs w:val="24"/>
                <w:vertAlign w:val="superscript"/>
              </w:rPr>
              <w:t>a</w:t>
            </w:r>
            <w:proofErr w:type="spellEnd"/>
          </w:p>
          <w:p w14:paraId="34293D0B" w14:textId="77777777" w:rsidR="00B96128" w:rsidRDefault="00B96128">
            <w:pPr>
              <w:jc w:val="center"/>
              <w:rPr>
                <w:rFonts w:ascii="Times New Roman" w:hAnsi="Times New Roman" w:cs="Times New Roman"/>
                <w:b/>
                <w:sz w:val="24"/>
                <w:szCs w:val="24"/>
              </w:rPr>
            </w:pPr>
          </w:p>
        </w:tc>
        <w:tc>
          <w:tcPr>
            <w:tcW w:w="1103" w:type="pct"/>
            <w:tcBorders>
              <w:top w:val="single" w:sz="12" w:space="0" w:color="auto"/>
              <w:left w:val="nil"/>
              <w:bottom w:val="single" w:sz="4" w:space="0" w:color="auto"/>
              <w:right w:val="nil"/>
            </w:tcBorders>
            <w:hideMark/>
          </w:tcPr>
          <w:p w14:paraId="2D17A47E" w14:textId="77777777" w:rsidR="00B96128" w:rsidRDefault="00B96128">
            <w:pPr>
              <w:jc w:val="center"/>
              <w:rPr>
                <w:rFonts w:ascii="Times New Roman" w:hAnsi="Times New Roman" w:cs="Times New Roman"/>
                <w:b/>
                <w:sz w:val="24"/>
                <w:szCs w:val="24"/>
              </w:rPr>
            </w:pPr>
            <w:r>
              <w:rPr>
                <w:rFonts w:ascii="Times New Roman" w:hAnsi="Times New Roman" w:cs="Times New Roman"/>
                <w:b/>
                <w:sz w:val="24"/>
                <w:szCs w:val="24"/>
              </w:rPr>
              <w:t xml:space="preserve">Progressionsfri </w:t>
            </w:r>
            <w:proofErr w:type="spellStart"/>
            <w:r>
              <w:rPr>
                <w:rFonts w:ascii="Times New Roman" w:hAnsi="Times New Roman" w:cs="Times New Roman"/>
                <w:b/>
                <w:sz w:val="24"/>
                <w:szCs w:val="24"/>
              </w:rPr>
              <w:t>overlevelse</w:t>
            </w:r>
            <w:r>
              <w:rPr>
                <w:rFonts w:ascii="Times New Roman" w:hAnsi="Times New Roman" w:cs="Times New Roman"/>
                <w:b/>
                <w:sz w:val="24"/>
                <w:szCs w:val="24"/>
                <w:vertAlign w:val="superscript"/>
              </w:rPr>
              <w:t>ab</w:t>
            </w:r>
            <w:proofErr w:type="spellEnd"/>
          </w:p>
        </w:tc>
        <w:tc>
          <w:tcPr>
            <w:tcW w:w="1176" w:type="pct"/>
            <w:tcBorders>
              <w:top w:val="single" w:sz="12" w:space="0" w:color="auto"/>
              <w:left w:val="nil"/>
              <w:bottom w:val="single" w:sz="4" w:space="0" w:color="auto"/>
              <w:right w:val="nil"/>
            </w:tcBorders>
            <w:hideMark/>
          </w:tcPr>
          <w:p w14:paraId="7F0E32E9" w14:textId="77777777" w:rsidR="00B96128" w:rsidRDefault="00B96128">
            <w:pPr>
              <w:jc w:val="center"/>
              <w:rPr>
                <w:rFonts w:ascii="Times New Roman" w:hAnsi="Times New Roman" w:cs="Times New Roman"/>
                <w:b/>
                <w:sz w:val="24"/>
                <w:szCs w:val="24"/>
              </w:rPr>
            </w:pPr>
            <w:r>
              <w:rPr>
                <w:rFonts w:ascii="Times New Roman" w:hAnsi="Times New Roman" w:cs="Times New Roman"/>
                <w:b/>
                <w:sz w:val="24"/>
                <w:szCs w:val="24"/>
              </w:rPr>
              <w:t xml:space="preserve">Primært endepunkt </w:t>
            </w:r>
          </w:p>
          <w:p w14:paraId="5EC41D3D" w14:textId="77777777" w:rsidR="00B96128" w:rsidRDefault="00B96128">
            <w:pPr>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total </w:t>
            </w:r>
            <w:proofErr w:type="spellStart"/>
            <w:r>
              <w:rPr>
                <w:rFonts w:ascii="Times New Roman" w:hAnsi="Times New Roman" w:cs="Times New Roman"/>
                <w:b/>
                <w:sz w:val="24"/>
                <w:szCs w:val="24"/>
              </w:rPr>
              <w:t>overlevelse</w:t>
            </w:r>
            <w:r>
              <w:rPr>
                <w:rFonts w:ascii="Times New Roman" w:hAnsi="Times New Roman" w:cs="Times New Roman"/>
                <w:b/>
                <w:sz w:val="24"/>
                <w:szCs w:val="24"/>
                <w:vertAlign w:val="superscript"/>
              </w:rPr>
              <w:t>ab</w:t>
            </w:r>
            <w:proofErr w:type="spellEnd"/>
          </w:p>
        </w:tc>
      </w:tr>
      <w:tr w:rsidR="00B96128" w14:paraId="011446B8" w14:textId="77777777" w:rsidTr="00B96128">
        <w:tc>
          <w:tcPr>
            <w:tcW w:w="1000" w:type="pct"/>
            <w:tcBorders>
              <w:top w:val="single" w:sz="4" w:space="0" w:color="auto"/>
              <w:left w:val="nil"/>
              <w:bottom w:val="single" w:sz="4" w:space="0" w:color="auto"/>
              <w:right w:val="nil"/>
            </w:tcBorders>
            <w:hideMark/>
          </w:tcPr>
          <w:p w14:paraId="0AE553E2"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Total</w:t>
            </w:r>
          </w:p>
        </w:tc>
        <w:tc>
          <w:tcPr>
            <w:tcW w:w="618" w:type="pct"/>
            <w:tcBorders>
              <w:top w:val="single" w:sz="4" w:space="0" w:color="auto"/>
              <w:left w:val="nil"/>
              <w:bottom w:val="single" w:sz="4" w:space="0" w:color="auto"/>
              <w:right w:val="nil"/>
            </w:tcBorders>
            <w:hideMark/>
          </w:tcPr>
          <w:p w14:paraId="1ACFAC71"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1466</w:t>
            </w:r>
          </w:p>
        </w:tc>
        <w:tc>
          <w:tcPr>
            <w:tcW w:w="1103" w:type="pct"/>
            <w:tcBorders>
              <w:top w:val="single" w:sz="4" w:space="0" w:color="auto"/>
              <w:left w:val="nil"/>
              <w:bottom w:val="single" w:sz="4" w:space="0" w:color="auto"/>
              <w:right w:val="nil"/>
            </w:tcBorders>
            <w:hideMark/>
          </w:tcPr>
          <w:p w14:paraId="2C172C64"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9,1 % vs. 7,6 %</w:t>
            </w:r>
          </w:p>
          <w:p w14:paraId="100EBACB"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[-1,5 %, 4,5 %]</w:t>
            </w:r>
          </w:p>
        </w:tc>
        <w:tc>
          <w:tcPr>
            <w:tcW w:w="1103" w:type="pct"/>
            <w:tcBorders>
              <w:top w:val="single" w:sz="4" w:space="0" w:color="auto"/>
              <w:left w:val="nil"/>
              <w:bottom w:val="single" w:sz="4" w:space="0" w:color="auto"/>
              <w:right w:val="nil"/>
            </w:tcBorders>
          </w:tcPr>
          <w:p w14:paraId="2020B5A5"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HR 1,04</w:t>
            </w:r>
          </w:p>
          <w:p w14:paraId="21E541C0"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[0,93, 1,18]</w:t>
            </w:r>
          </w:p>
          <w:p w14:paraId="73182F2D"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2,2 m vs. 2,7 m</w:t>
            </w:r>
          </w:p>
          <w:p w14:paraId="01D6B5AE"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0,4658</w:t>
            </w:r>
          </w:p>
          <w:p w14:paraId="25049015" w14:textId="77777777" w:rsidR="00B96128" w:rsidRDefault="00B96128">
            <w:pPr>
              <w:jc w:val="center"/>
              <w:rPr>
                <w:rFonts w:ascii="Times New Roman" w:hAnsi="Times New Roman" w:cs="Times New Roman"/>
                <w:sz w:val="24"/>
                <w:szCs w:val="24"/>
              </w:rPr>
            </w:pPr>
          </w:p>
        </w:tc>
        <w:tc>
          <w:tcPr>
            <w:tcW w:w="1176" w:type="pct"/>
            <w:tcBorders>
              <w:top w:val="single" w:sz="4" w:space="0" w:color="auto"/>
              <w:left w:val="nil"/>
              <w:bottom w:val="single" w:sz="4" w:space="0" w:color="auto"/>
              <w:right w:val="nil"/>
            </w:tcBorders>
            <w:hideMark/>
          </w:tcPr>
          <w:p w14:paraId="3B182E21"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HR 1,020</w:t>
            </w:r>
          </w:p>
          <w:p w14:paraId="29AE70D2" w14:textId="77777777" w:rsidR="00B96128" w:rsidRDefault="00B96128">
            <w:pPr>
              <w:jc w:val="center"/>
              <w:rPr>
                <w:rFonts w:ascii="Times New Roman" w:hAnsi="Times New Roman" w:cs="Times New Roman"/>
                <w:sz w:val="24"/>
                <w:szCs w:val="24"/>
                <w:vertAlign w:val="superscript"/>
              </w:rPr>
            </w:pPr>
            <w:r>
              <w:rPr>
                <w:rFonts w:ascii="Times New Roman" w:hAnsi="Times New Roman" w:cs="Times New Roman"/>
                <w:sz w:val="24"/>
                <w:szCs w:val="24"/>
              </w:rPr>
              <w:t>[0,905, 1,150]</w:t>
            </w:r>
            <w:r>
              <w:rPr>
                <w:rFonts w:ascii="Times New Roman" w:hAnsi="Times New Roman" w:cs="Times New Roman"/>
                <w:sz w:val="24"/>
                <w:szCs w:val="24"/>
                <w:vertAlign w:val="superscript"/>
              </w:rPr>
              <w:t>c</w:t>
            </w:r>
          </w:p>
          <w:p w14:paraId="242AF10C"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7,6 m vs. 8,0 m</w:t>
            </w:r>
          </w:p>
          <w:p w14:paraId="1E6E1B26"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0,7332</w:t>
            </w:r>
          </w:p>
        </w:tc>
      </w:tr>
      <w:tr w:rsidR="00B96128" w14:paraId="24535D69" w14:textId="77777777" w:rsidTr="00B96128">
        <w:tc>
          <w:tcPr>
            <w:tcW w:w="1000" w:type="pct"/>
            <w:tcBorders>
              <w:top w:val="single" w:sz="4" w:space="0" w:color="auto"/>
              <w:left w:val="nil"/>
              <w:bottom w:val="single" w:sz="4" w:space="0" w:color="auto"/>
              <w:right w:val="nil"/>
            </w:tcBorders>
            <w:hideMark/>
          </w:tcPr>
          <w:p w14:paraId="01E9A005"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EGFR-mutation</w:t>
            </w:r>
          </w:p>
          <w:p w14:paraId="7AAC8282"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Positiv</w:t>
            </w:r>
          </w:p>
        </w:tc>
        <w:tc>
          <w:tcPr>
            <w:tcW w:w="618" w:type="pct"/>
            <w:tcBorders>
              <w:top w:val="single" w:sz="4" w:space="0" w:color="auto"/>
              <w:left w:val="nil"/>
              <w:bottom w:val="single" w:sz="4" w:space="0" w:color="auto"/>
              <w:right w:val="nil"/>
            </w:tcBorders>
            <w:hideMark/>
          </w:tcPr>
          <w:p w14:paraId="47179E63"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44</w:t>
            </w:r>
          </w:p>
        </w:tc>
        <w:tc>
          <w:tcPr>
            <w:tcW w:w="1103" w:type="pct"/>
            <w:tcBorders>
              <w:top w:val="single" w:sz="4" w:space="0" w:color="auto"/>
              <w:left w:val="nil"/>
              <w:bottom w:val="single" w:sz="4" w:space="0" w:color="auto"/>
              <w:right w:val="nil"/>
            </w:tcBorders>
            <w:hideMark/>
          </w:tcPr>
          <w:p w14:paraId="70240F82"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42,1 % vs. 21,1 %</w:t>
            </w:r>
          </w:p>
          <w:p w14:paraId="3273DC5F"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[-8,2 %, 46,0 %]</w:t>
            </w:r>
          </w:p>
        </w:tc>
        <w:tc>
          <w:tcPr>
            <w:tcW w:w="1103" w:type="pct"/>
            <w:tcBorders>
              <w:top w:val="single" w:sz="4" w:space="0" w:color="auto"/>
              <w:left w:val="nil"/>
              <w:bottom w:val="single" w:sz="4" w:space="0" w:color="auto"/>
              <w:right w:val="nil"/>
            </w:tcBorders>
            <w:hideMark/>
          </w:tcPr>
          <w:p w14:paraId="21DA02F4"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HR 0,16</w:t>
            </w:r>
          </w:p>
          <w:p w14:paraId="43B00755"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[0,05, 0,49]</w:t>
            </w:r>
          </w:p>
          <w:p w14:paraId="531626AA"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7,0 m vs. 4,1 m</w:t>
            </w:r>
          </w:p>
          <w:p w14:paraId="13D618FC"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0,0012</w:t>
            </w:r>
          </w:p>
        </w:tc>
        <w:tc>
          <w:tcPr>
            <w:tcW w:w="1176" w:type="pct"/>
            <w:tcBorders>
              <w:top w:val="single" w:sz="4" w:space="0" w:color="auto"/>
              <w:left w:val="nil"/>
              <w:bottom w:val="single" w:sz="4" w:space="0" w:color="auto"/>
              <w:right w:val="nil"/>
            </w:tcBorders>
            <w:hideMark/>
          </w:tcPr>
          <w:p w14:paraId="17892B21"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HR 0,83</w:t>
            </w:r>
          </w:p>
          <w:p w14:paraId="04485195"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[0,41, 1,67]</w:t>
            </w:r>
          </w:p>
          <w:p w14:paraId="656E6445"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14,2 m vs. 16,6 m</w:t>
            </w:r>
          </w:p>
          <w:p w14:paraId="57098C2C"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0,6043</w:t>
            </w:r>
          </w:p>
        </w:tc>
      </w:tr>
      <w:tr w:rsidR="00B96128" w14:paraId="63181FDB" w14:textId="77777777" w:rsidTr="00B96128">
        <w:tc>
          <w:tcPr>
            <w:tcW w:w="1000" w:type="pct"/>
            <w:tcBorders>
              <w:top w:val="single" w:sz="4" w:space="0" w:color="auto"/>
              <w:left w:val="nil"/>
              <w:bottom w:val="single" w:sz="4" w:space="0" w:color="auto"/>
              <w:right w:val="nil"/>
            </w:tcBorders>
            <w:hideMark/>
          </w:tcPr>
          <w:p w14:paraId="2D334E6D"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EGFR-mutationsnegativ</w:t>
            </w:r>
          </w:p>
        </w:tc>
        <w:tc>
          <w:tcPr>
            <w:tcW w:w="618" w:type="pct"/>
            <w:tcBorders>
              <w:top w:val="single" w:sz="4" w:space="0" w:color="auto"/>
              <w:left w:val="nil"/>
              <w:bottom w:val="single" w:sz="4" w:space="0" w:color="auto"/>
              <w:right w:val="nil"/>
            </w:tcBorders>
            <w:hideMark/>
          </w:tcPr>
          <w:p w14:paraId="245477CD"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253</w:t>
            </w:r>
          </w:p>
        </w:tc>
        <w:tc>
          <w:tcPr>
            <w:tcW w:w="1103" w:type="pct"/>
            <w:tcBorders>
              <w:top w:val="single" w:sz="4" w:space="0" w:color="auto"/>
              <w:left w:val="nil"/>
              <w:bottom w:val="single" w:sz="4" w:space="0" w:color="auto"/>
              <w:right w:val="nil"/>
            </w:tcBorders>
            <w:hideMark/>
          </w:tcPr>
          <w:p w14:paraId="5784C2E5"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6,6 % vs. 9,8 %</w:t>
            </w:r>
          </w:p>
          <w:p w14:paraId="1B35B9B7"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[-10,5 %, 4,4 %]</w:t>
            </w:r>
          </w:p>
        </w:tc>
        <w:tc>
          <w:tcPr>
            <w:tcW w:w="1103" w:type="pct"/>
            <w:tcBorders>
              <w:top w:val="single" w:sz="4" w:space="0" w:color="auto"/>
              <w:left w:val="nil"/>
              <w:bottom w:val="single" w:sz="4" w:space="0" w:color="auto"/>
              <w:right w:val="nil"/>
            </w:tcBorders>
            <w:hideMark/>
          </w:tcPr>
          <w:p w14:paraId="772251E2"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HR 1,24</w:t>
            </w:r>
          </w:p>
          <w:p w14:paraId="7AAC31FA"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[0,94, 1,64]</w:t>
            </w:r>
          </w:p>
          <w:p w14:paraId="3B062CCC"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1,7 m vs. 2,6 m</w:t>
            </w:r>
          </w:p>
          <w:p w14:paraId="76F15404"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0,1353</w:t>
            </w:r>
          </w:p>
        </w:tc>
        <w:tc>
          <w:tcPr>
            <w:tcW w:w="1176" w:type="pct"/>
            <w:tcBorders>
              <w:top w:val="single" w:sz="4" w:space="0" w:color="auto"/>
              <w:left w:val="nil"/>
              <w:bottom w:val="single" w:sz="4" w:space="0" w:color="auto"/>
              <w:right w:val="nil"/>
            </w:tcBorders>
            <w:hideMark/>
          </w:tcPr>
          <w:p w14:paraId="2331095A"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HR 1,02</w:t>
            </w:r>
          </w:p>
          <w:p w14:paraId="2B408AC1"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[0,78, 1,33]</w:t>
            </w:r>
          </w:p>
          <w:p w14:paraId="6617C569"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6,4 m vs. 6,0 m</w:t>
            </w:r>
          </w:p>
          <w:p w14:paraId="38FD28EF"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0,9131</w:t>
            </w:r>
          </w:p>
        </w:tc>
      </w:tr>
      <w:tr w:rsidR="00B96128" w14:paraId="39A8E614" w14:textId="77777777" w:rsidTr="00B96128">
        <w:tc>
          <w:tcPr>
            <w:tcW w:w="1000" w:type="pct"/>
            <w:tcBorders>
              <w:top w:val="single" w:sz="4" w:space="0" w:color="auto"/>
              <w:left w:val="nil"/>
              <w:bottom w:val="single" w:sz="4" w:space="0" w:color="auto"/>
              <w:right w:val="nil"/>
            </w:tcBorders>
            <w:hideMark/>
          </w:tcPr>
          <w:p w14:paraId="2F8AF5E4" w14:textId="77777777" w:rsidR="00B96128" w:rsidRDefault="00B96128">
            <w:pPr>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Asiatere</w:t>
            </w:r>
            <w:r>
              <w:rPr>
                <w:rFonts w:ascii="Times New Roman" w:hAnsi="Times New Roman" w:cs="Times New Roman"/>
                <w:sz w:val="24"/>
                <w:szCs w:val="24"/>
                <w:vertAlign w:val="superscript"/>
              </w:rPr>
              <w:t>c</w:t>
            </w:r>
            <w:proofErr w:type="spellEnd"/>
          </w:p>
        </w:tc>
        <w:tc>
          <w:tcPr>
            <w:tcW w:w="618" w:type="pct"/>
            <w:tcBorders>
              <w:top w:val="single" w:sz="4" w:space="0" w:color="auto"/>
              <w:left w:val="nil"/>
              <w:bottom w:val="single" w:sz="4" w:space="0" w:color="auto"/>
              <w:right w:val="nil"/>
            </w:tcBorders>
            <w:hideMark/>
          </w:tcPr>
          <w:p w14:paraId="010803CC"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323</w:t>
            </w:r>
          </w:p>
        </w:tc>
        <w:tc>
          <w:tcPr>
            <w:tcW w:w="1103" w:type="pct"/>
            <w:tcBorders>
              <w:top w:val="single" w:sz="4" w:space="0" w:color="auto"/>
              <w:left w:val="nil"/>
              <w:bottom w:val="single" w:sz="4" w:space="0" w:color="auto"/>
              <w:right w:val="nil"/>
            </w:tcBorders>
            <w:hideMark/>
          </w:tcPr>
          <w:p w14:paraId="2B866607"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19,7 % vs. 8,7 %</w:t>
            </w:r>
          </w:p>
          <w:p w14:paraId="5E04E7DE"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[3,1 %, 19,2 %]</w:t>
            </w:r>
          </w:p>
        </w:tc>
        <w:tc>
          <w:tcPr>
            <w:tcW w:w="1103" w:type="pct"/>
            <w:tcBorders>
              <w:top w:val="single" w:sz="4" w:space="0" w:color="auto"/>
              <w:left w:val="nil"/>
              <w:bottom w:val="single" w:sz="4" w:space="0" w:color="auto"/>
              <w:right w:val="nil"/>
            </w:tcBorders>
            <w:hideMark/>
          </w:tcPr>
          <w:p w14:paraId="7D40265E"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HR 0,83</w:t>
            </w:r>
          </w:p>
          <w:p w14:paraId="210CF044"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[0,64, 1,08]</w:t>
            </w:r>
          </w:p>
          <w:p w14:paraId="086A2DF5"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2,9 m vs. 2,8 m</w:t>
            </w:r>
          </w:p>
          <w:p w14:paraId="6C71CDE4"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0,1746</w:t>
            </w:r>
          </w:p>
        </w:tc>
        <w:tc>
          <w:tcPr>
            <w:tcW w:w="1176" w:type="pct"/>
            <w:tcBorders>
              <w:top w:val="single" w:sz="4" w:space="0" w:color="auto"/>
              <w:left w:val="nil"/>
              <w:bottom w:val="single" w:sz="4" w:space="0" w:color="auto"/>
              <w:right w:val="nil"/>
            </w:tcBorders>
            <w:hideMark/>
          </w:tcPr>
          <w:p w14:paraId="64F4A561"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HR 1,04</w:t>
            </w:r>
          </w:p>
          <w:p w14:paraId="18795654"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[0,80, 1,35]</w:t>
            </w:r>
          </w:p>
          <w:p w14:paraId="01F19110"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10,4 m vs. 12,2 m</w:t>
            </w:r>
          </w:p>
          <w:p w14:paraId="2B56BD4C"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0,7711</w:t>
            </w:r>
          </w:p>
        </w:tc>
      </w:tr>
      <w:tr w:rsidR="00B96128" w14:paraId="67BA096D" w14:textId="77777777" w:rsidTr="00B96128">
        <w:tc>
          <w:tcPr>
            <w:tcW w:w="1000" w:type="pct"/>
            <w:tcBorders>
              <w:top w:val="single" w:sz="4" w:space="0" w:color="auto"/>
              <w:left w:val="nil"/>
              <w:bottom w:val="single" w:sz="6" w:space="0" w:color="auto"/>
              <w:right w:val="nil"/>
            </w:tcBorders>
            <w:hideMark/>
          </w:tcPr>
          <w:p w14:paraId="1F8F531A"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Ikke-asiatere</w:t>
            </w:r>
          </w:p>
        </w:tc>
        <w:tc>
          <w:tcPr>
            <w:tcW w:w="618" w:type="pct"/>
            <w:tcBorders>
              <w:top w:val="single" w:sz="4" w:space="0" w:color="auto"/>
              <w:left w:val="nil"/>
              <w:bottom w:val="single" w:sz="6" w:space="0" w:color="auto"/>
              <w:right w:val="nil"/>
            </w:tcBorders>
            <w:hideMark/>
          </w:tcPr>
          <w:p w14:paraId="5873CB02"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1143</w:t>
            </w:r>
          </w:p>
        </w:tc>
        <w:tc>
          <w:tcPr>
            <w:tcW w:w="1103" w:type="pct"/>
            <w:tcBorders>
              <w:top w:val="single" w:sz="4" w:space="0" w:color="auto"/>
              <w:left w:val="nil"/>
              <w:bottom w:val="single" w:sz="6" w:space="0" w:color="auto"/>
              <w:right w:val="nil"/>
            </w:tcBorders>
            <w:hideMark/>
          </w:tcPr>
          <w:p w14:paraId="6D3FFF43"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6,2 % vs. 7,3 %</w:t>
            </w:r>
          </w:p>
          <w:p w14:paraId="4B30B0FD"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[-4,3 %, 2,0 %]</w:t>
            </w:r>
          </w:p>
        </w:tc>
        <w:tc>
          <w:tcPr>
            <w:tcW w:w="1103" w:type="pct"/>
            <w:tcBorders>
              <w:top w:val="single" w:sz="4" w:space="0" w:color="auto"/>
              <w:left w:val="nil"/>
              <w:bottom w:val="single" w:sz="6" w:space="0" w:color="auto"/>
              <w:right w:val="nil"/>
            </w:tcBorders>
            <w:hideMark/>
          </w:tcPr>
          <w:p w14:paraId="2602B94C"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HR 1,12</w:t>
            </w:r>
          </w:p>
          <w:p w14:paraId="518B54DA"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[0,98, 1,28]</w:t>
            </w:r>
          </w:p>
          <w:p w14:paraId="69430A88"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2,0 m vs. 2,7 m</w:t>
            </w:r>
          </w:p>
          <w:p w14:paraId="4BF7ED5B"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0,1041</w:t>
            </w:r>
          </w:p>
        </w:tc>
        <w:tc>
          <w:tcPr>
            <w:tcW w:w="1176" w:type="pct"/>
            <w:tcBorders>
              <w:top w:val="single" w:sz="4" w:space="0" w:color="auto"/>
              <w:left w:val="nil"/>
              <w:bottom w:val="single" w:sz="6" w:space="0" w:color="auto"/>
              <w:right w:val="nil"/>
            </w:tcBorders>
            <w:hideMark/>
          </w:tcPr>
          <w:p w14:paraId="01598FC2"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HR 1,01</w:t>
            </w:r>
          </w:p>
          <w:p w14:paraId="63ECB4D4"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[0,89, 1,14]</w:t>
            </w:r>
          </w:p>
          <w:p w14:paraId="0AE2216E"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6,9 m vs. 6,9 m</w:t>
            </w:r>
          </w:p>
          <w:p w14:paraId="202933EF"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p = 0,9259</w:t>
            </w:r>
          </w:p>
        </w:tc>
      </w:tr>
    </w:tbl>
    <w:p w14:paraId="67087DE0" w14:textId="77777777" w:rsidR="009F4442" w:rsidRPr="00EA1697" w:rsidRDefault="009F4442" w:rsidP="009F4442">
      <w:pPr>
        <w:tabs>
          <w:tab w:val="left" w:pos="0"/>
          <w:tab w:val="left" w:pos="426"/>
        </w:tabs>
        <w:rPr>
          <w:sz w:val="20"/>
        </w:rPr>
      </w:pPr>
      <w:r w:rsidRPr="00EA1697">
        <w:rPr>
          <w:sz w:val="20"/>
        </w:rPr>
        <w:t xml:space="preserve">a </w:t>
      </w:r>
      <w:r w:rsidRPr="00EA1697">
        <w:rPr>
          <w:sz w:val="20"/>
        </w:rPr>
        <w:tab/>
        <w:t xml:space="preserve">Værdierne er for </w:t>
      </w:r>
      <w:proofErr w:type="spellStart"/>
      <w:r w:rsidRPr="00EA1697">
        <w:rPr>
          <w:sz w:val="20"/>
        </w:rPr>
        <w:t>gefitinib</w:t>
      </w:r>
      <w:proofErr w:type="spellEnd"/>
      <w:r w:rsidRPr="00EA1697">
        <w:rPr>
          <w:sz w:val="20"/>
        </w:rPr>
        <w:t xml:space="preserve"> versus </w:t>
      </w:r>
      <w:proofErr w:type="spellStart"/>
      <w:r w:rsidRPr="00EA1697">
        <w:rPr>
          <w:sz w:val="20"/>
        </w:rPr>
        <w:t>carboplatin</w:t>
      </w:r>
      <w:proofErr w:type="spellEnd"/>
      <w:r w:rsidRPr="00EA1697">
        <w:rPr>
          <w:sz w:val="20"/>
        </w:rPr>
        <w:t>/</w:t>
      </w:r>
      <w:proofErr w:type="spellStart"/>
      <w:r w:rsidRPr="00EA1697">
        <w:rPr>
          <w:sz w:val="20"/>
        </w:rPr>
        <w:t>paclitaxel</w:t>
      </w:r>
      <w:proofErr w:type="spellEnd"/>
      <w:r w:rsidRPr="00EA1697">
        <w:rPr>
          <w:sz w:val="20"/>
        </w:rPr>
        <w:t>.</w:t>
      </w:r>
    </w:p>
    <w:p w14:paraId="4BD1EE10" w14:textId="77777777" w:rsidR="009F4442" w:rsidRPr="00EA1697" w:rsidRDefault="009F4442" w:rsidP="009F4442">
      <w:pPr>
        <w:tabs>
          <w:tab w:val="left" w:pos="0"/>
          <w:tab w:val="left" w:pos="426"/>
        </w:tabs>
        <w:rPr>
          <w:sz w:val="20"/>
        </w:rPr>
      </w:pPr>
      <w:r w:rsidRPr="00EA1697">
        <w:rPr>
          <w:sz w:val="20"/>
        </w:rPr>
        <w:t xml:space="preserve">b </w:t>
      </w:r>
      <w:r w:rsidRPr="00EA1697">
        <w:rPr>
          <w:sz w:val="20"/>
        </w:rPr>
        <w:tab/>
      </w:r>
      <w:r>
        <w:rPr>
          <w:sz w:val="20"/>
        </w:rPr>
        <w:t>"m"</w:t>
      </w:r>
      <w:r w:rsidRPr="00EA1697">
        <w:rPr>
          <w:sz w:val="20"/>
        </w:rPr>
        <w:t xml:space="preserve"> er medianer i måneder. Tal i de kvadratiske parenteser er 96 % konfidensinterval (CI) for total</w:t>
      </w:r>
      <w:r w:rsidRPr="00EA1697">
        <w:rPr>
          <w:sz w:val="20"/>
        </w:rPr>
        <w:tab/>
        <w:t>overlevelses-HR i den totale population, ellers 95 % konfidensinterval for HR.</w:t>
      </w:r>
    </w:p>
    <w:p w14:paraId="4FA6C709" w14:textId="77777777" w:rsidR="009F4442" w:rsidRPr="00EA1697" w:rsidRDefault="009F4442" w:rsidP="009F4442">
      <w:pPr>
        <w:tabs>
          <w:tab w:val="left" w:pos="0"/>
          <w:tab w:val="left" w:pos="426"/>
        </w:tabs>
        <w:rPr>
          <w:sz w:val="20"/>
        </w:rPr>
      </w:pPr>
      <w:r w:rsidRPr="00EA1697">
        <w:rPr>
          <w:sz w:val="20"/>
        </w:rPr>
        <w:t xml:space="preserve">c </w:t>
      </w:r>
      <w:r w:rsidRPr="00EA1697">
        <w:rPr>
          <w:sz w:val="20"/>
        </w:rPr>
        <w:tab/>
        <w:t>Konfidensinterval udelukkende under non-inferioritet-margen på 1,154.</w:t>
      </w:r>
    </w:p>
    <w:p w14:paraId="4C2E7B56" w14:textId="77777777" w:rsidR="009F4442" w:rsidRPr="00EA1697" w:rsidRDefault="009F4442" w:rsidP="009F4442">
      <w:pPr>
        <w:tabs>
          <w:tab w:val="left" w:pos="0"/>
          <w:tab w:val="left" w:pos="426"/>
        </w:tabs>
        <w:rPr>
          <w:sz w:val="20"/>
        </w:rPr>
      </w:pPr>
      <w:r w:rsidRPr="00EA1697">
        <w:rPr>
          <w:sz w:val="20"/>
        </w:rPr>
        <w:t xml:space="preserve">N </w:t>
      </w:r>
      <w:r w:rsidRPr="00EA1697">
        <w:rPr>
          <w:sz w:val="20"/>
        </w:rPr>
        <w:tab/>
        <w:t>Antal randomiserede patienter.</w:t>
      </w:r>
    </w:p>
    <w:p w14:paraId="2E3E6EA1" w14:textId="77777777" w:rsidR="009F4442" w:rsidRPr="00EA1697" w:rsidRDefault="009F4442" w:rsidP="009F4442">
      <w:pPr>
        <w:tabs>
          <w:tab w:val="left" w:pos="0"/>
          <w:tab w:val="left" w:pos="426"/>
        </w:tabs>
        <w:rPr>
          <w:sz w:val="20"/>
        </w:rPr>
      </w:pPr>
      <w:r w:rsidRPr="00EA1697">
        <w:rPr>
          <w:sz w:val="20"/>
        </w:rPr>
        <w:t xml:space="preserve">HR </w:t>
      </w:r>
      <w:r w:rsidRPr="00EA1697">
        <w:rPr>
          <w:sz w:val="20"/>
        </w:rPr>
        <w:tab/>
      </w:r>
      <w:proofErr w:type="spellStart"/>
      <w:r w:rsidRPr="00EA1697">
        <w:rPr>
          <w:sz w:val="20"/>
        </w:rPr>
        <w:t>Hazard</w:t>
      </w:r>
      <w:proofErr w:type="spellEnd"/>
      <w:r w:rsidRPr="00EA1697">
        <w:rPr>
          <w:sz w:val="20"/>
        </w:rPr>
        <w:t xml:space="preserve"> ratio (</w:t>
      </w:r>
      <w:proofErr w:type="spellStart"/>
      <w:r w:rsidRPr="00EA1697">
        <w:rPr>
          <w:sz w:val="20"/>
        </w:rPr>
        <w:t>hazard</w:t>
      </w:r>
      <w:proofErr w:type="spellEnd"/>
      <w:r w:rsidRPr="00EA1697">
        <w:rPr>
          <w:sz w:val="20"/>
        </w:rPr>
        <w:t xml:space="preserve"> ratio &lt;1 favoriserer </w:t>
      </w:r>
      <w:proofErr w:type="spellStart"/>
      <w:r w:rsidRPr="00EA1697">
        <w:rPr>
          <w:sz w:val="20"/>
        </w:rPr>
        <w:t>gefitinib</w:t>
      </w:r>
      <w:proofErr w:type="spellEnd"/>
      <w:r w:rsidRPr="00EA1697">
        <w:rPr>
          <w:sz w:val="20"/>
        </w:rPr>
        <w:t>)</w:t>
      </w:r>
    </w:p>
    <w:p w14:paraId="2C26EEE8" w14:textId="77777777" w:rsidR="009F4442" w:rsidRPr="009A35D6" w:rsidRDefault="009F4442" w:rsidP="009F4442">
      <w:pPr>
        <w:tabs>
          <w:tab w:val="left" w:pos="851"/>
        </w:tabs>
        <w:ind w:left="851" w:hanging="851"/>
        <w:rPr>
          <w:sz w:val="24"/>
          <w:szCs w:val="24"/>
        </w:rPr>
      </w:pPr>
    </w:p>
    <w:p w14:paraId="6CA7FAA4" w14:textId="77777777" w:rsidR="009F4442" w:rsidRPr="009A35D6" w:rsidRDefault="009F4442" w:rsidP="009F4442">
      <w:pPr>
        <w:tabs>
          <w:tab w:val="left" w:pos="851"/>
        </w:tabs>
        <w:ind w:left="851" w:hanging="851"/>
        <w:rPr>
          <w:b/>
          <w:sz w:val="24"/>
          <w:szCs w:val="24"/>
        </w:rPr>
      </w:pPr>
      <w:r w:rsidRPr="009A35D6">
        <w:rPr>
          <w:b/>
          <w:sz w:val="24"/>
          <w:szCs w:val="24"/>
        </w:rPr>
        <w:t>Figur 1 og 2 Data for virkning i undergrupper af ikke-asiatiske patienter i INTEREST-studiet</w:t>
      </w:r>
    </w:p>
    <w:p w14:paraId="034766E9" w14:textId="77777777" w:rsidR="009F4442" w:rsidRPr="009A35D6" w:rsidRDefault="009F4442" w:rsidP="009F4442">
      <w:pPr>
        <w:tabs>
          <w:tab w:val="left" w:pos="851"/>
        </w:tabs>
        <w:ind w:left="851" w:hanging="851"/>
        <w:rPr>
          <w:b/>
          <w:sz w:val="24"/>
          <w:szCs w:val="24"/>
        </w:rPr>
      </w:pPr>
      <w:r w:rsidRPr="009A35D6">
        <w:rPr>
          <w:b/>
          <w:sz w:val="24"/>
          <w:szCs w:val="24"/>
        </w:rPr>
        <w:t>(N patienter = antal randomiserede patienter)</w:t>
      </w:r>
    </w:p>
    <w:p w14:paraId="65439989" w14:textId="77777777" w:rsidR="009F4442" w:rsidRPr="009A35D6" w:rsidRDefault="009F4442" w:rsidP="009F4442">
      <w:pPr>
        <w:tabs>
          <w:tab w:val="left" w:pos="851"/>
        </w:tabs>
        <w:ind w:left="851" w:hanging="851"/>
        <w:jc w:val="center"/>
        <w:rPr>
          <w:sz w:val="24"/>
          <w:szCs w:val="24"/>
        </w:rPr>
      </w:pPr>
      <w:r w:rsidRPr="009A35D6">
        <w:rPr>
          <w:noProof/>
          <w:sz w:val="24"/>
          <w:szCs w:val="24"/>
          <w:lang w:eastAsia="da-DK"/>
        </w:rPr>
        <w:lastRenderedPageBreak/>
        <w:drawing>
          <wp:inline distT="0" distB="0" distL="0" distR="0" wp14:anchorId="47FE72F5" wp14:editId="078CF035">
            <wp:extent cx="5570220" cy="35433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0220" cy="3543300"/>
                    </a:xfrm>
                    <a:prstGeom prst="rect">
                      <a:avLst/>
                    </a:prstGeom>
                    <a:noFill/>
                    <a:ln>
                      <a:noFill/>
                    </a:ln>
                  </pic:spPr>
                </pic:pic>
              </a:graphicData>
            </a:graphic>
          </wp:inline>
        </w:drawing>
      </w:r>
    </w:p>
    <w:p w14:paraId="6D661302" w14:textId="77777777" w:rsidR="009F4442" w:rsidRPr="009A35D6" w:rsidRDefault="009F4442" w:rsidP="009F4442">
      <w:pPr>
        <w:spacing w:after="160" w:line="256" w:lineRule="auto"/>
        <w:ind w:left="851" w:hanging="851"/>
        <w:rPr>
          <w:sz w:val="24"/>
          <w:szCs w:val="24"/>
        </w:rPr>
      </w:pPr>
      <w:r w:rsidRPr="009A35D6">
        <w:rPr>
          <w:sz w:val="24"/>
          <w:szCs w:val="24"/>
        </w:rPr>
        <w:br w:type="page"/>
      </w:r>
    </w:p>
    <w:p w14:paraId="7FF41654" w14:textId="77777777" w:rsidR="009F4442" w:rsidRPr="009A35D6" w:rsidRDefault="009F4442" w:rsidP="009F4442">
      <w:pPr>
        <w:tabs>
          <w:tab w:val="left" w:pos="851"/>
        </w:tabs>
        <w:ind w:left="851" w:hanging="851"/>
        <w:rPr>
          <w:sz w:val="24"/>
          <w:szCs w:val="24"/>
        </w:rPr>
      </w:pPr>
    </w:p>
    <w:p w14:paraId="52099637" w14:textId="77777777" w:rsidR="009F4442" w:rsidRPr="009A35D6" w:rsidRDefault="009F4442" w:rsidP="009F4442">
      <w:pPr>
        <w:tabs>
          <w:tab w:val="left" w:pos="851"/>
        </w:tabs>
        <w:ind w:left="851" w:hanging="851"/>
        <w:jc w:val="center"/>
        <w:rPr>
          <w:sz w:val="24"/>
          <w:szCs w:val="24"/>
        </w:rPr>
      </w:pPr>
      <w:r w:rsidRPr="009A35D6">
        <w:rPr>
          <w:noProof/>
          <w:sz w:val="24"/>
          <w:szCs w:val="24"/>
          <w:lang w:eastAsia="da-DK"/>
        </w:rPr>
        <w:drawing>
          <wp:inline distT="0" distB="0" distL="0" distR="0" wp14:anchorId="44E7D481" wp14:editId="0CD03BFF">
            <wp:extent cx="5699760" cy="36576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9760" cy="3657600"/>
                    </a:xfrm>
                    <a:prstGeom prst="rect">
                      <a:avLst/>
                    </a:prstGeom>
                    <a:noFill/>
                    <a:ln>
                      <a:noFill/>
                    </a:ln>
                  </pic:spPr>
                </pic:pic>
              </a:graphicData>
            </a:graphic>
          </wp:inline>
        </w:drawing>
      </w:r>
    </w:p>
    <w:p w14:paraId="54D4A601" w14:textId="77777777" w:rsidR="009F4442" w:rsidRPr="009A35D6" w:rsidRDefault="009F4442" w:rsidP="009F4442">
      <w:pPr>
        <w:tabs>
          <w:tab w:val="left" w:pos="851"/>
        </w:tabs>
        <w:ind w:left="851" w:hanging="851"/>
        <w:rPr>
          <w:sz w:val="24"/>
          <w:szCs w:val="24"/>
        </w:rPr>
      </w:pPr>
      <w:r w:rsidRPr="009A35D6">
        <w:rPr>
          <w:sz w:val="24"/>
          <w:szCs w:val="24"/>
        </w:rPr>
        <w:tab/>
      </w:r>
    </w:p>
    <w:p w14:paraId="7CF14F06" w14:textId="77777777" w:rsidR="009F4442" w:rsidRPr="009A35D6" w:rsidRDefault="009F4442" w:rsidP="009F4442">
      <w:pPr>
        <w:tabs>
          <w:tab w:val="left" w:pos="0"/>
        </w:tabs>
        <w:ind w:left="851" w:hanging="851"/>
        <w:rPr>
          <w:sz w:val="24"/>
          <w:szCs w:val="24"/>
        </w:rPr>
      </w:pPr>
      <w:r>
        <w:rPr>
          <w:sz w:val="24"/>
          <w:szCs w:val="24"/>
        </w:rPr>
        <w:tab/>
      </w:r>
      <w:r w:rsidRPr="009A35D6">
        <w:rPr>
          <w:sz w:val="24"/>
          <w:szCs w:val="24"/>
        </w:rPr>
        <w:t xml:space="preserve">Det randomiserede fase III-forsøg ISEL blev gennemført med patienter med avanceret NSCLC, som tidligere havde modtaget 1 eller 2 gange kemoterapiregimer, og som var refraktære eller intolerante over for det sidste modtagne regime. </w:t>
      </w:r>
      <w:proofErr w:type="spellStart"/>
      <w:r w:rsidRPr="009A35D6">
        <w:rPr>
          <w:sz w:val="24"/>
          <w:szCs w:val="24"/>
        </w:rPr>
        <w:t>Gefitinib</w:t>
      </w:r>
      <w:proofErr w:type="spellEnd"/>
      <w:r w:rsidRPr="009A35D6">
        <w:rPr>
          <w:sz w:val="24"/>
          <w:szCs w:val="24"/>
        </w:rPr>
        <w:t xml:space="preserve"> plus den bedste understøttende behandling blev sammenlignet med placebo plus den bedste understøttende behandling. </w:t>
      </w:r>
      <w:proofErr w:type="spellStart"/>
      <w:r w:rsidRPr="009A35D6">
        <w:rPr>
          <w:sz w:val="24"/>
          <w:szCs w:val="24"/>
        </w:rPr>
        <w:t>Gefitinib</w:t>
      </w:r>
      <w:proofErr w:type="spellEnd"/>
      <w:r w:rsidRPr="009A35D6">
        <w:rPr>
          <w:sz w:val="24"/>
          <w:szCs w:val="24"/>
        </w:rPr>
        <w:t xml:space="preserve"> forlængede ikke overlevelsen hos den totale population. Resultaterne for overlevelse varierede efter rygningsprofil og etnisk oprindelse (se tabel 6).</w:t>
      </w:r>
    </w:p>
    <w:p w14:paraId="50719124" w14:textId="77777777" w:rsidR="009F4442" w:rsidRPr="009A35D6" w:rsidRDefault="009F4442" w:rsidP="009F4442">
      <w:pPr>
        <w:tabs>
          <w:tab w:val="left" w:pos="851"/>
        </w:tabs>
        <w:ind w:left="851" w:hanging="851"/>
        <w:rPr>
          <w:sz w:val="24"/>
          <w:szCs w:val="24"/>
        </w:rPr>
      </w:pPr>
    </w:p>
    <w:p w14:paraId="2FD9E493" w14:textId="77777777" w:rsidR="009F4442" w:rsidRPr="009A35D6" w:rsidRDefault="009F4442" w:rsidP="009F4442">
      <w:pPr>
        <w:rPr>
          <w:b/>
          <w:sz w:val="24"/>
          <w:szCs w:val="24"/>
        </w:rPr>
      </w:pPr>
      <w:r w:rsidRPr="009A35D6">
        <w:rPr>
          <w:b/>
          <w:sz w:val="24"/>
          <w:szCs w:val="24"/>
        </w:rPr>
        <w:t>Tabel 6</w:t>
      </w:r>
      <w:r>
        <w:rPr>
          <w:b/>
          <w:sz w:val="24"/>
          <w:szCs w:val="24"/>
        </w:rPr>
        <w:t xml:space="preserve">. </w:t>
      </w:r>
      <w:r w:rsidRPr="009A35D6">
        <w:rPr>
          <w:b/>
          <w:sz w:val="24"/>
          <w:szCs w:val="24"/>
        </w:rPr>
        <w:t xml:space="preserve">Data for virkning af </w:t>
      </w:r>
      <w:proofErr w:type="spellStart"/>
      <w:r w:rsidRPr="009A35D6">
        <w:rPr>
          <w:b/>
          <w:sz w:val="24"/>
          <w:szCs w:val="24"/>
        </w:rPr>
        <w:t>gefitinib</w:t>
      </w:r>
      <w:proofErr w:type="spellEnd"/>
      <w:r w:rsidRPr="009A35D6">
        <w:rPr>
          <w:b/>
          <w:sz w:val="24"/>
          <w:szCs w:val="24"/>
        </w:rPr>
        <w:t xml:space="preserve"> versus placebo fra ISEL-studiet</w:t>
      </w:r>
    </w:p>
    <w:tbl>
      <w:tblPr>
        <w:tblStyle w:val="Tabel-Gitter"/>
        <w:tblW w:w="5000" w:type="pct"/>
        <w:tblInd w:w="0" w:type="dxa"/>
        <w:tblLook w:val="04A0" w:firstRow="1" w:lastRow="0" w:firstColumn="1" w:lastColumn="0" w:noHBand="0" w:noVBand="1"/>
      </w:tblPr>
      <w:tblGrid>
        <w:gridCol w:w="1797"/>
        <w:gridCol w:w="1235"/>
        <w:gridCol w:w="2061"/>
        <w:gridCol w:w="2760"/>
        <w:gridCol w:w="1775"/>
      </w:tblGrid>
      <w:tr w:rsidR="009F4442" w:rsidRPr="00EA1697" w14:paraId="0B497E89" w14:textId="77777777" w:rsidTr="00A75BD5">
        <w:tc>
          <w:tcPr>
            <w:tcW w:w="955" w:type="pct"/>
            <w:tcBorders>
              <w:top w:val="single" w:sz="4" w:space="0" w:color="auto"/>
              <w:left w:val="single" w:sz="4" w:space="0" w:color="auto"/>
              <w:bottom w:val="single" w:sz="4" w:space="0" w:color="auto"/>
              <w:right w:val="single" w:sz="4" w:space="0" w:color="auto"/>
            </w:tcBorders>
            <w:hideMark/>
          </w:tcPr>
          <w:p w14:paraId="5522B4B7" w14:textId="77777777" w:rsidR="009F4442" w:rsidRPr="00EA1697" w:rsidRDefault="009F4442" w:rsidP="00A75BD5">
            <w:pPr>
              <w:jc w:val="center"/>
              <w:rPr>
                <w:rFonts w:ascii="Times New Roman" w:hAnsi="Times New Roman" w:cs="Times New Roman"/>
                <w:b/>
                <w:sz w:val="24"/>
                <w:szCs w:val="24"/>
              </w:rPr>
            </w:pPr>
            <w:r w:rsidRPr="00EA1697">
              <w:rPr>
                <w:rFonts w:ascii="Times New Roman" w:hAnsi="Times New Roman" w:cs="Times New Roman"/>
                <w:b/>
                <w:sz w:val="24"/>
                <w:szCs w:val="24"/>
              </w:rPr>
              <w:t>Population</w:t>
            </w:r>
          </w:p>
        </w:tc>
        <w:tc>
          <w:tcPr>
            <w:tcW w:w="663" w:type="pct"/>
            <w:tcBorders>
              <w:top w:val="single" w:sz="4" w:space="0" w:color="auto"/>
              <w:left w:val="single" w:sz="4" w:space="0" w:color="auto"/>
              <w:bottom w:val="single" w:sz="4" w:space="0" w:color="auto"/>
              <w:right w:val="single" w:sz="4" w:space="0" w:color="auto"/>
            </w:tcBorders>
            <w:hideMark/>
          </w:tcPr>
          <w:p w14:paraId="2F7BBE1A" w14:textId="77777777" w:rsidR="009F4442" w:rsidRPr="00EA1697" w:rsidRDefault="009F4442" w:rsidP="00A75BD5">
            <w:pPr>
              <w:jc w:val="center"/>
              <w:rPr>
                <w:rFonts w:ascii="Times New Roman" w:hAnsi="Times New Roman" w:cs="Times New Roman"/>
                <w:b/>
                <w:sz w:val="24"/>
                <w:szCs w:val="24"/>
              </w:rPr>
            </w:pPr>
            <w:r w:rsidRPr="00EA1697">
              <w:rPr>
                <w:rFonts w:ascii="Times New Roman" w:hAnsi="Times New Roman" w:cs="Times New Roman"/>
                <w:b/>
                <w:sz w:val="24"/>
                <w:szCs w:val="24"/>
              </w:rPr>
              <w:t>N</w:t>
            </w:r>
          </w:p>
        </w:tc>
        <w:tc>
          <w:tcPr>
            <w:tcW w:w="1092" w:type="pct"/>
            <w:tcBorders>
              <w:top w:val="single" w:sz="4" w:space="0" w:color="auto"/>
              <w:left w:val="single" w:sz="4" w:space="0" w:color="auto"/>
              <w:bottom w:val="single" w:sz="4" w:space="0" w:color="auto"/>
              <w:right w:val="single" w:sz="4" w:space="0" w:color="auto"/>
            </w:tcBorders>
          </w:tcPr>
          <w:p w14:paraId="3938BB52" w14:textId="77777777" w:rsidR="009F4442" w:rsidRPr="00EA1697" w:rsidRDefault="009F4442" w:rsidP="00A75BD5">
            <w:pPr>
              <w:jc w:val="center"/>
              <w:rPr>
                <w:rFonts w:ascii="Times New Roman" w:hAnsi="Times New Roman" w:cs="Times New Roman"/>
                <w:b/>
                <w:sz w:val="24"/>
                <w:szCs w:val="24"/>
              </w:rPr>
            </w:pPr>
            <w:r w:rsidRPr="00EA1697">
              <w:rPr>
                <w:rFonts w:ascii="Times New Roman" w:hAnsi="Times New Roman" w:cs="Times New Roman"/>
                <w:b/>
                <w:sz w:val="24"/>
                <w:szCs w:val="24"/>
              </w:rPr>
              <w:t>Objektive respons</w:t>
            </w:r>
            <w:r>
              <w:rPr>
                <w:rFonts w:ascii="Times New Roman" w:hAnsi="Times New Roman" w:cs="Times New Roman"/>
                <w:b/>
                <w:sz w:val="24"/>
                <w:szCs w:val="24"/>
              </w:rPr>
              <w:t xml:space="preserve"> </w:t>
            </w:r>
            <w:r w:rsidRPr="00EA1697">
              <w:rPr>
                <w:rFonts w:ascii="Times New Roman" w:hAnsi="Times New Roman" w:cs="Times New Roman"/>
                <w:b/>
                <w:sz w:val="24"/>
                <w:szCs w:val="24"/>
              </w:rPr>
              <w:t>rater og 95 % CI for forskel mellem</w:t>
            </w:r>
            <w:r>
              <w:rPr>
                <w:rFonts w:ascii="Times New Roman" w:hAnsi="Times New Roman" w:cs="Times New Roman"/>
                <w:b/>
                <w:sz w:val="24"/>
                <w:szCs w:val="24"/>
              </w:rPr>
              <w:t xml:space="preserve"> </w:t>
            </w:r>
            <w:proofErr w:type="spellStart"/>
            <w:r w:rsidRPr="00EA1697">
              <w:rPr>
                <w:rFonts w:ascii="Times New Roman" w:hAnsi="Times New Roman" w:cs="Times New Roman"/>
                <w:b/>
                <w:sz w:val="24"/>
                <w:szCs w:val="24"/>
              </w:rPr>
              <w:t>behandlingerne</w:t>
            </w:r>
            <w:r w:rsidRPr="00EA1697">
              <w:rPr>
                <w:rFonts w:ascii="Times New Roman" w:hAnsi="Times New Roman" w:cs="Times New Roman"/>
                <w:b/>
                <w:sz w:val="24"/>
                <w:szCs w:val="24"/>
                <w:vertAlign w:val="superscript"/>
              </w:rPr>
              <w:t>a</w:t>
            </w:r>
            <w:proofErr w:type="spellEnd"/>
          </w:p>
        </w:tc>
        <w:tc>
          <w:tcPr>
            <w:tcW w:w="1347" w:type="pct"/>
            <w:tcBorders>
              <w:top w:val="single" w:sz="4" w:space="0" w:color="auto"/>
              <w:left w:val="single" w:sz="4" w:space="0" w:color="auto"/>
              <w:bottom w:val="single" w:sz="4" w:space="0" w:color="auto"/>
              <w:right w:val="single" w:sz="4" w:space="0" w:color="auto"/>
            </w:tcBorders>
            <w:hideMark/>
          </w:tcPr>
          <w:p w14:paraId="50770464" w14:textId="77777777" w:rsidR="009F4442" w:rsidRPr="00EA1697" w:rsidRDefault="009F4442" w:rsidP="00A75BD5">
            <w:pPr>
              <w:jc w:val="center"/>
              <w:rPr>
                <w:rFonts w:ascii="Times New Roman" w:hAnsi="Times New Roman" w:cs="Times New Roman"/>
                <w:b/>
                <w:sz w:val="24"/>
                <w:szCs w:val="24"/>
              </w:rPr>
            </w:pPr>
            <w:r w:rsidRPr="00EA1697">
              <w:rPr>
                <w:rFonts w:ascii="Times New Roman" w:hAnsi="Times New Roman" w:cs="Times New Roman"/>
                <w:b/>
                <w:sz w:val="24"/>
                <w:szCs w:val="24"/>
              </w:rPr>
              <w:t>Tid til</w:t>
            </w:r>
          </w:p>
          <w:p w14:paraId="00F054BC" w14:textId="77777777" w:rsidR="009F4442" w:rsidRPr="00EA1697" w:rsidRDefault="009F4442" w:rsidP="00A75BD5">
            <w:pPr>
              <w:jc w:val="center"/>
              <w:rPr>
                <w:rFonts w:ascii="Times New Roman" w:hAnsi="Times New Roman" w:cs="Times New Roman"/>
                <w:b/>
                <w:sz w:val="24"/>
                <w:szCs w:val="24"/>
                <w:vertAlign w:val="superscript"/>
              </w:rPr>
            </w:pPr>
            <w:proofErr w:type="spellStart"/>
            <w:r w:rsidRPr="00EA1697">
              <w:rPr>
                <w:rFonts w:ascii="Times New Roman" w:hAnsi="Times New Roman" w:cs="Times New Roman"/>
                <w:b/>
                <w:sz w:val="24"/>
                <w:szCs w:val="24"/>
              </w:rPr>
              <w:t>Behandlingsstandsning</w:t>
            </w:r>
            <w:r w:rsidRPr="00EA1697">
              <w:rPr>
                <w:rFonts w:ascii="Times New Roman" w:hAnsi="Times New Roman" w:cs="Times New Roman"/>
                <w:b/>
                <w:sz w:val="24"/>
                <w:szCs w:val="24"/>
                <w:vertAlign w:val="superscript"/>
              </w:rPr>
              <w:t>ab</w:t>
            </w:r>
            <w:proofErr w:type="spellEnd"/>
          </w:p>
        </w:tc>
        <w:tc>
          <w:tcPr>
            <w:tcW w:w="944" w:type="pct"/>
            <w:tcBorders>
              <w:top w:val="single" w:sz="4" w:space="0" w:color="auto"/>
              <w:left w:val="single" w:sz="4" w:space="0" w:color="auto"/>
              <w:bottom w:val="single" w:sz="4" w:space="0" w:color="auto"/>
              <w:right w:val="single" w:sz="4" w:space="0" w:color="auto"/>
            </w:tcBorders>
            <w:hideMark/>
          </w:tcPr>
          <w:p w14:paraId="1EEF730F" w14:textId="77777777" w:rsidR="009F4442" w:rsidRPr="00EA1697" w:rsidRDefault="009F4442" w:rsidP="00A75BD5">
            <w:pPr>
              <w:jc w:val="center"/>
              <w:rPr>
                <w:rFonts w:ascii="Times New Roman" w:hAnsi="Times New Roman" w:cs="Times New Roman"/>
                <w:b/>
                <w:sz w:val="24"/>
                <w:szCs w:val="24"/>
              </w:rPr>
            </w:pPr>
            <w:r w:rsidRPr="00EA1697">
              <w:rPr>
                <w:rFonts w:ascii="Times New Roman" w:hAnsi="Times New Roman" w:cs="Times New Roman"/>
                <w:b/>
                <w:sz w:val="24"/>
                <w:szCs w:val="24"/>
              </w:rPr>
              <w:t>Primært endepunkt</w:t>
            </w:r>
          </w:p>
          <w:p w14:paraId="631DDA38" w14:textId="77777777" w:rsidR="009F4442" w:rsidRPr="00EA1697" w:rsidRDefault="009F4442" w:rsidP="00A75BD5">
            <w:pPr>
              <w:jc w:val="center"/>
              <w:rPr>
                <w:rFonts w:ascii="Times New Roman" w:hAnsi="Times New Roman" w:cs="Times New Roman"/>
                <w:b/>
                <w:sz w:val="24"/>
                <w:szCs w:val="24"/>
                <w:vertAlign w:val="superscript"/>
              </w:rPr>
            </w:pPr>
            <w:r w:rsidRPr="00EA1697">
              <w:rPr>
                <w:rFonts w:ascii="Times New Roman" w:hAnsi="Times New Roman" w:cs="Times New Roman"/>
                <w:b/>
                <w:sz w:val="24"/>
                <w:szCs w:val="24"/>
              </w:rPr>
              <w:t xml:space="preserve">total </w:t>
            </w:r>
            <w:proofErr w:type="spellStart"/>
            <w:r w:rsidRPr="00EA1697">
              <w:rPr>
                <w:rFonts w:ascii="Times New Roman" w:hAnsi="Times New Roman" w:cs="Times New Roman"/>
                <w:b/>
                <w:sz w:val="24"/>
                <w:szCs w:val="24"/>
              </w:rPr>
              <w:t>overlevelse</w:t>
            </w:r>
            <w:r w:rsidRPr="00EA1697">
              <w:rPr>
                <w:rFonts w:ascii="Times New Roman" w:hAnsi="Times New Roman" w:cs="Times New Roman"/>
                <w:b/>
                <w:sz w:val="24"/>
                <w:szCs w:val="24"/>
                <w:vertAlign w:val="superscript"/>
              </w:rPr>
              <w:t>abc</w:t>
            </w:r>
            <w:proofErr w:type="spellEnd"/>
          </w:p>
        </w:tc>
      </w:tr>
      <w:tr w:rsidR="009F4442" w:rsidRPr="0010587E" w14:paraId="1185B8AF" w14:textId="77777777" w:rsidTr="00A75BD5">
        <w:tc>
          <w:tcPr>
            <w:tcW w:w="955" w:type="pct"/>
            <w:tcBorders>
              <w:top w:val="single" w:sz="4" w:space="0" w:color="auto"/>
              <w:left w:val="single" w:sz="4" w:space="0" w:color="auto"/>
              <w:bottom w:val="single" w:sz="4" w:space="0" w:color="auto"/>
              <w:right w:val="single" w:sz="4" w:space="0" w:color="auto"/>
            </w:tcBorders>
            <w:hideMark/>
          </w:tcPr>
          <w:p w14:paraId="1D880405"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Total</w:t>
            </w:r>
          </w:p>
        </w:tc>
        <w:tc>
          <w:tcPr>
            <w:tcW w:w="663" w:type="pct"/>
            <w:tcBorders>
              <w:top w:val="single" w:sz="4" w:space="0" w:color="auto"/>
              <w:left w:val="single" w:sz="4" w:space="0" w:color="auto"/>
              <w:bottom w:val="single" w:sz="4" w:space="0" w:color="auto"/>
              <w:right w:val="single" w:sz="4" w:space="0" w:color="auto"/>
            </w:tcBorders>
            <w:hideMark/>
          </w:tcPr>
          <w:p w14:paraId="060EFAC7"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1692</w:t>
            </w:r>
          </w:p>
        </w:tc>
        <w:tc>
          <w:tcPr>
            <w:tcW w:w="1092" w:type="pct"/>
            <w:tcBorders>
              <w:top w:val="single" w:sz="4" w:space="0" w:color="auto"/>
              <w:left w:val="single" w:sz="4" w:space="0" w:color="auto"/>
              <w:bottom w:val="single" w:sz="4" w:space="0" w:color="auto"/>
              <w:right w:val="single" w:sz="4" w:space="0" w:color="auto"/>
            </w:tcBorders>
            <w:hideMark/>
          </w:tcPr>
          <w:p w14:paraId="07B7584C"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8,0 % vs. 1,3 %</w:t>
            </w:r>
          </w:p>
          <w:p w14:paraId="1FC31156"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[4,7 %, 8,8 %]</w:t>
            </w:r>
          </w:p>
        </w:tc>
        <w:tc>
          <w:tcPr>
            <w:tcW w:w="1347" w:type="pct"/>
            <w:tcBorders>
              <w:top w:val="single" w:sz="4" w:space="0" w:color="auto"/>
              <w:left w:val="single" w:sz="4" w:space="0" w:color="auto"/>
              <w:bottom w:val="single" w:sz="4" w:space="0" w:color="auto"/>
              <w:right w:val="single" w:sz="4" w:space="0" w:color="auto"/>
            </w:tcBorders>
            <w:hideMark/>
          </w:tcPr>
          <w:p w14:paraId="197CCCC9"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0,82</w:t>
            </w:r>
          </w:p>
          <w:p w14:paraId="63C90BDE"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[0,73, 0,92]</w:t>
            </w:r>
          </w:p>
          <w:p w14:paraId="32D91D1D"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3,0 m vs. 2,6 m</w:t>
            </w:r>
          </w:p>
          <w:p w14:paraId="4E3EB6B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 0,0006</w:t>
            </w:r>
          </w:p>
        </w:tc>
        <w:tc>
          <w:tcPr>
            <w:tcW w:w="944" w:type="pct"/>
            <w:tcBorders>
              <w:top w:val="single" w:sz="4" w:space="0" w:color="auto"/>
              <w:left w:val="single" w:sz="4" w:space="0" w:color="auto"/>
              <w:bottom w:val="single" w:sz="4" w:space="0" w:color="auto"/>
              <w:right w:val="single" w:sz="4" w:space="0" w:color="auto"/>
            </w:tcBorders>
            <w:hideMark/>
          </w:tcPr>
          <w:p w14:paraId="56F4EB90"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0,89</w:t>
            </w:r>
          </w:p>
          <w:p w14:paraId="0CFDE608"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[0,77, 1,02]</w:t>
            </w:r>
          </w:p>
          <w:p w14:paraId="036E77E8"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5,6 m vs. 5,1 m</w:t>
            </w:r>
          </w:p>
          <w:p w14:paraId="3FFABF32"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 0,0871</w:t>
            </w:r>
          </w:p>
        </w:tc>
      </w:tr>
      <w:tr w:rsidR="009F4442" w:rsidRPr="0010587E" w14:paraId="6EC254D1" w14:textId="77777777" w:rsidTr="00A75BD5">
        <w:tc>
          <w:tcPr>
            <w:tcW w:w="955" w:type="pct"/>
            <w:tcBorders>
              <w:top w:val="single" w:sz="4" w:space="0" w:color="auto"/>
              <w:left w:val="single" w:sz="4" w:space="0" w:color="auto"/>
              <w:bottom w:val="single" w:sz="4" w:space="0" w:color="auto"/>
              <w:right w:val="single" w:sz="4" w:space="0" w:color="auto"/>
            </w:tcBorders>
            <w:hideMark/>
          </w:tcPr>
          <w:p w14:paraId="520ACB0B"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EGFR-mutation positiv</w:t>
            </w:r>
          </w:p>
        </w:tc>
        <w:tc>
          <w:tcPr>
            <w:tcW w:w="663" w:type="pct"/>
            <w:tcBorders>
              <w:top w:val="single" w:sz="4" w:space="0" w:color="auto"/>
              <w:left w:val="single" w:sz="4" w:space="0" w:color="auto"/>
              <w:bottom w:val="single" w:sz="4" w:space="0" w:color="auto"/>
              <w:right w:val="single" w:sz="4" w:space="0" w:color="auto"/>
            </w:tcBorders>
            <w:hideMark/>
          </w:tcPr>
          <w:p w14:paraId="031C4B0D"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26</w:t>
            </w:r>
          </w:p>
        </w:tc>
        <w:tc>
          <w:tcPr>
            <w:tcW w:w="1092" w:type="pct"/>
            <w:tcBorders>
              <w:top w:val="single" w:sz="4" w:space="0" w:color="auto"/>
              <w:left w:val="single" w:sz="4" w:space="0" w:color="auto"/>
              <w:bottom w:val="single" w:sz="4" w:space="0" w:color="auto"/>
              <w:right w:val="single" w:sz="4" w:space="0" w:color="auto"/>
            </w:tcBorders>
            <w:hideMark/>
          </w:tcPr>
          <w:p w14:paraId="6F77F455"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37,5 % vs. 0 %</w:t>
            </w:r>
          </w:p>
          <w:p w14:paraId="67E54D13"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[-15,1 %, 61,4 %]</w:t>
            </w:r>
          </w:p>
        </w:tc>
        <w:tc>
          <w:tcPr>
            <w:tcW w:w="1347" w:type="pct"/>
            <w:tcBorders>
              <w:top w:val="single" w:sz="4" w:space="0" w:color="auto"/>
              <w:left w:val="single" w:sz="4" w:space="0" w:color="auto"/>
              <w:bottom w:val="single" w:sz="4" w:space="0" w:color="auto"/>
              <w:right w:val="single" w:sz="4" w:space="0" w:color="auto"/>
            </w:tcBorders>
            <w:hideMark/>
          </w:tcPr>
          <w:p w14:paraId="62CACDE8"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0,79</w:t>
            </w:r>
          </w:p>
          <w:p w14:paraId="194A2EB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[0,20, 3,12]</w:t>
            </w:r>
          </w:p>
          <w:p w14:paraId="4DEF4932"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10,8 m vs. 3,8 m</w:t>
            </w:r>
          </w:p>
          <w:p w14:paraId="6FD7E2C5"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 0,7382</w:t>
            </w:r>
          </w:p>
        </w:tc>
        <w:tc>
          <w:tcPr>
            <w:tcW w:w="944" w:type="pct"/>
            <w:tcBorders>
              <w:top w:val="single" w:sz="4" w:space="0" w:color="auto"/>
              <w:left w:val="single" w:sz="4" w:space="0" w:color="auto"/>
              <w:bottom w:val="single" w:sz="4" w:space="0" w:color="auto"/>
              <w:right w:val="single" w:sz="4" w:space="0" w:color="auto"/>
            </w:tcBorders>
          </w:tcPr>
          <w:p w14:paraId="48239714"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NC</w:t>
            </w:r>
          </w:p>
          <w:p w14:paraId="1867A951" w14:textId="77777777" w:rsidR="009F4442" w:rsidRPr="0010587E" w:rsidRDefault="009F4442" w:rsidP="00A75BD5">
            <w:pPr>
              <w:jc w:val="center"/>
              <w:rPr>
                <w:rFonts w:ascii="Times New Roman" w:hAnsi="Times New Roman" w:cs="Times New Roman"/>
                <w:sz w:val="24"/>
                <w:szCs w:val="24"/>
              </w:rPr>
            </w:pPr>
          </w:p>
          <w:p w14:paraId="5BD7541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NR vs. 4,3 m</w:t>
            </w:r>
          </w:p>
        </w:tc>
      </w:tr>
      <w:tr w:rsidR="009F4442" w:rsidRPr="0010587E" w14:paraId="22101AC4" w14:textId="77777777" w:rsidTr="00A75BD5">
        <w:tc>
          <w:tcPr>
            <w:tcW w:w="955" w:type="pct"/>
            <w:tcBorders>
              <w:top w:val="single" w:sz="4" w:space="0" w:color="auto"/>
              <w:left w:val="single" w:sz="4" w:space="0" w:color="auto"/>
              <w:bottom w:val="single" w:sz="4" w:space="0" w:color="auto"/>
              <w:right w:val="single" w:sz="4" w:space="0" w:color="auto"/>
            </w:tcBorders>
            <w:hideMark/>
          </w:tcPr>
          <w:p w14:paraId="303CBAEE"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EGFR-mutation negativ</w:t>
            </w:r>
          </w:p>
        </w:tc>
        <w:tc>
          <w:tcPr>
            <w:tcW w:w="663" w:type="pct"/>
            <w:tcBorders>
              <w:top w:val="single" w:sz="4" w:space="0" w:color="auto"/>
              <w:left w:val="single" w:sz="4" w:space="0" w:color="auto"/>
              <w:bottom w:val="single" w:sz="4" w:space="0" w:color="auto"/>
              <w:right w:val="single" w:sz="4" w:space="0" w:color="auto"/>
            </w:tcBorders>
            <w:hideMark/>
          </w:tcPr>
          <w:p w14:paraId="24DC109B"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189</w:t>
            </w:r>
          </w:p>
        </w:tc>
        <w:tc>
          <w:tcPr>
            <w:tcW w:w="1092" w:type="pct"/>
            <w:tcBorders>
              <w:top w:val="single" w:sz="4" w:space="0" w:color="auto"/>
              <w:left w:val="single" w:sz="4" w:space="0" w:color="auto"/>
              <w:bottom w:val="single" w:sz="4" w:space="0" w:color="auto"/>
              <w:right w:val="single" w:sz="4" w:space="0" w:color="auto"/>
            </w:tcBorders>
            <w:hideMark/>
          </w:tcPr>
          <w:p w14:paraId="2975E37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2,6 % vs. 0 %</w:t>
            </w:r>
          </w:p>
          <w:p w14:paraId="2AA478A4"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[-5,6 %, 7,3 %]</w:t>
            </w:r>
          </w:p>
        </w:tc>
        <w:tc>
          <w:tcPr>
            <w:tcW w:w="1347" w:type="pct"/>
            <w:tcBorders>
              <w:top w:val="single" w:sz="4" w:space="0" w:color="auto"/>
              <w:left w:val="single" w:sz="4" w:space="0" w:color="auto"/>
              <w:bottom w:val="single" w:sz="4" w:space="0" w:color="auto"/>
              <w:right w:val="single" w:sz="4" w:space="0" w:color="auto"/>
            </w:tcBorders>
            <w:hideMark/>
          </w:tcPr>
          <w:p w14:paraId="02B503B3"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1.10</w:t>
            </w:r>
          </w:p>
          <w:p w14:paraId="755B8E84"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[0,78, 1,56]</w:t>
            </w:r>
          </w:p>
          <w:p w14:paraId="54774967"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2,0 m vs. 2,6 m</w:t>
            </w:r>
          </w:p>
          <w:p w14:paraId="7F47D11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 0,5771</w:t>
            </w:r>
          </w:p>
        </w:tc>
        <w:tc>
          <w:tcPr>
            <w:tcW w:w="944" w:type="pct"/>
            <w:tcBorders>
              <w:top w:val="single" w:sz="4" w:space="0" w:color="auto"/>
              <w:left w:val="single" w:sz="4" w:space="0" w:color="auto"/>
              <w:bottom w:val="single" w:sz="4" w:space="0" w:color="auto"/>
              <w:right w:val="single" w:sz="4" w:space="0" w:color="auto"/>
            </w:tcBorders>
            <w:hideMark/>
          </w:tcPr>
          <w:p w14:paraId="012DC6BD"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1,16</w:t>
            </w:r>
          </w:p>
          <w:p w14:paraId="542DF08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[0,79, 1,72]</w:t>
            </w:r>
          </w:p>
          <w:p w14:paraId="0171BA9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3,7 m vs. 5,9 m</w:t>
            </w:r>
          </w:p>
          <w:p w14:paraId="03104412"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 0,4449</w:t>
            </w:r>
          </w:p>
        </w:tc>
      </w:tr>
      <w:tr w:rsidR="009F4442" w:rsidRPr="0010587E" w14:paraId="48C23F9B" w14:textId="77777777" w:rsidTr="00A75BD5">
        <w:tc>
          <w:tcPr>
            <w:tcW w:w="955" w:type="pct"/>
            <w:tcBorders>
              <w:top w:val="single" w:sz="4" w:space="0" w:color="auto"/>
              <w:left w:val="single" w:sz="4" w:space="0" w:color="auto"/>
              <w:bottom w:val="single" w:sz="4" w:space="0" w:color="auto"/>
              <w:right w:val="single" w:sz="4" w:space="0" w:color="auto"/>
            </w:tcBorders>
            <w:hideMark/>
          </w:tcPr>
          <w:p w14:paraId="5EDFA754"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Personer som</w:t>
            </w:r>
            <w:r>
              <w:rPr>
                <w:rFonts w:ascii="Times New Roman" w:hAnsi="Times New Roman" w:cs="Times New Roman"/>
                <w:sz w:val="24"/>
                <w:szCs w:val="24"/>
              </w:rPr>
              <w:t xml:space="preserve"> </w:t>
            </w:r>
            <w:r w:rsidRPr="0010587E">
              <w:rPr>
                <w:rFonts w:ascii="Times New Roman" w:hAnsi="Times New Roman" w:cs="Times New Roman"/>
                <w:sz w:val="24"/>
                <w:szCs w:val="24"/>
              </w:rPr>
              <w:t>aldrig har røget</w:t>
            </w:r>
          </w:p>
        </w:tc>
        <w:tc>
          <w:tcPr>
            <w:tcW w:w="663" w:type="pct"/>
            <w:tcBorders>
              <w:top w:val="single" w:sz="4" w:space="0" w:color="auto"/>
              <w:left w:val="single" w:sz="4" w:space="0" w:color="auto"/>
              <w:bottom w:val="single" w:sz="4" w:space="0" w:color="auto"/>
              <w:right w:val="single" w:sz="4" w:space="0" w:color="auto"/>
            </w:tcBorders>
            <w:hideMark/>
          </w:tcPr>
          <w:p w14:paraId="45233611"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375</w:t>
            </w:r>
          </w:p>
        </w:tc>
        <w:tc>
          <w:tcPr>
            <w:tcW w:w="1092" w:type="pct"/>
            <w:tcBorders>
              <w:top w:val="single" w:sz="4" w:space="0" w:color="auto"/>
              <w:left w:val="single" w:sz="4" w:space="0" w:color="auto"/>
              <w:bottom w:val="single" w:sz="4" w:space="0" w:color="auto"/>
              <w:right w:val="single" w:sz="4" w:space="0" w:color="auto"/>
            </w:tcBorders>
            <w:hideMark/>
          </w:tcPr>
          <w:p w14:paraId="72DE0596"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18,1 % vs. 0 %</w:t>
            </w:r>
          </w:p>
          <w:p w14:paraId="4A893C69"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[12,3 %, 24,0 %]</w:t>
            </w:r>
          </w:p>
        </w:tc>
        <w:tc>
          <w:tcPr>
            <w:tcW w:w="1347" w:type="pct"/>
            <w:tcBorders>
              <w:top w:val="single" w:sz="4" w:space="0" w:color="auto"/>
              <w:left w:val="single" w:sz="4" w:space="0" w:color="auto"/>
              <w:bottom w:val="single" w:sz="4" w:space="0" w:color="auto"/>
              <w:right w:val="single" w:sz="4" w:space="0" w:color="auto"/>
            </w:tcBorders>
            <w:hideMark/>
          </w:tcPr>
          <w:p w14:paraId="0DDF57CC"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0,55</w:t>
            </w:r>
          </w:p>
          <w:p w14:paraId="4C37E3CE"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[0,42, 0,72]</w:t>
            </w:r>
          </w:p>
          <w:p w14:paraId="172B469B"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5,6 m vs. 2,6 m</w:t>
            </w:r>
          </w:p>
          <w:p w14:paraId="724069F1"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lastRenderedPageBreak/>
              <w:t>p &lt; 0,0001</w:t>
            </w:r>
          </w:p>
        </w:tc>
        <w:tc>
          <w:tcPr>
            <w:tcW w:w="944" w:type="pct"/>
            <w:tcBorders>
              <w:top w:val="single" w:sz="4" w:space="0" w:color="auto"/>
              <w:left w:val="single" w:sz="4" w:space="0" w:color="auto"/>
              <w:bottom w:val="single" w:sz="4" w:space="0" w:color="auto"/>
              <w:right w:val="single" w:sz="4" w:space="0" w:color="auto"/>
            </w:tcBorders>
            <w:hideMark/>
          </w:tcPr>
          <w:p w14:paraId="2C2D4740"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lastRenderedPageBreak/>
              <w:t>HR 0,67</w:t>
            </w:r>
          </w:p>
          <w:p w14:paraId="60133019"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[0,49, 0,92]</w:t>
            </w:r>
          </w:p>
          <w:p w14:paraId="5B2924B8"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8,9 m vs. 6,1 m</w:t>
            </w:r>
          </w:p>
          <w:p w14:paraId="5472876D"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lastRenderedPageBreak/>
              <w:t>p = 0,0124</w:t>
            </w:r>
          </w:p>
        </w:tc>
      </w:tr>
      <w:tr w:rsidR="009F4442" w:rsidRPr="0010587E" w14:paraId="6C9801B2" w14:textId="77777777" w:rsidTr="00A75BD5">
        <w:tc>
          <w:tcPr>
            <w:tcW w:w="955" w:type="pct"/>
            <w:tcBorders>
              <w:top w:val="single" w:sz="4" w:space="0" w:color="auto"/>
              <w:left w:val="single" w:sz="4" w:space="0" w:color="auto"/>
              <w:bottom w:val="single" w:sz="4" w:space="0" w:color="auto"/>
              <w:right w:val="single" w:sz="4" w:space="0" w:color="auto"/>
            </w:tcBorders>
            <w:hideMark/>
          </w:tcPr>
          <w:p w14:paraId="5F0F036F"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lastRenderedPageBreak/>
              <w:t>Personer som har</w:t>
            </w:r>
            <w:r>
              <w:rPr>
                <w:rFonts w:ascii="Times New Roman" w:hAnsi="Times New Roman" w:cs="Times New Roman"/>
                <w:sz w:val="24"/>
                <w:szCs w:val="24"/>
              </w:rPr>
              <w:t xml:space="preserve"> </w:t>
            </w:r>
            <w:r w:rsidRPr="0010587E">
              <w:rPr>
                <w:rFonts w:ascii="Times New Roman" w:hAnsi="Times New Roman" w:cs="Times New Roman"/>
                <w:sz w:val="24"/>
                <w:szCs w:val="24"/>
              </w:rPr>
              <w:t>røget på et eller</w:t>
            </w:r>
            <w:r>
              <w:rPr>
                <w:rFonts w:ascii="Times New Roman" w:hAnsi="Times New Roman" w:cs="Times New Roman"/>
                <w:sz w:val="24"/>
                <w:szCs w:val="24"/>
              </w:rPr>
              <w:t xml:space="preserve"> </w:t>
            </w:r>
            <w:r w:rsidRPr="0010587E">
              <w:rPr>
                <w:rFonts w:ascii="Times New Roman" w:hAnsi="Times New Roman" w:cs="Times New Roman"/>
                <w:sz w:val="24"/>
                <w:szCs w:val="24"/>
              </w:rPr>
              <w:t>andet tidspunkt</w:t>
            </w:r>
          </w:p>
        </w:tc>
        <w:tc>
          <w:tcPr>
            <w:tcW w:w="663" w:type="pct"/>
            <w:tcBorders>
              <w:top w:val="single" w:sz="4" w:space="0" w:color="auto"/>
              <w:left w:val="single" w:sz="4" w:space="0" w:color="auto"/>
              <w:bottom w:val="single" w:sz="4" w:space="0" w:color="auto"/>
              <w:right w:val="single" w:sz="4" w:space="0" w:color="auto"/>
            </w:tcBorders>
            <w:hideMark/>
          </w:tcPr>
          <w:p w14:paraId="5E03A944"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1317</w:t>
            </w:r>
          </w:p>
        </w:tc>
        <w:tc>
          <w:tcPr>
            <w:tcW w:w="1092" w:type="pct"/>
            <w:tcBorders>
              <w:top w:val="single" w:sz="4" w:space="0" w:color="auto"/>
              <w:left w:val="single" w:sz="4" w:space="0" w:color="auto"/>
              <w:bottom w:val="single" w:sz="4" w:space="0" w:color="auto"/>
              <w:right w:val="single" w:sz="4" w:space="0" w:color="auto"/>
            </w:tcBorders>
            <w:hideMark/>
          </w:tcPr>
          <w:p w14:paraId="4D817DC7"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5,3 % vs. 1,6 %</w:t>
            </w:r>
          </w:p>
          <w:p w14:paraId="7BC32098"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[1,4 %, 5,7 %]</w:t>
            </w:r>
          </w:p>
        </w:tc>
        <w:tc>
          <w:tcPr>
            <w:tcW w:w="1347" w:type="pct"/>
            <w:tcBorders>
              <w:top w:val="single" w:sz="4" w:space="0" w:color="auto"/>
              <w:left w:val="single" w:sz="4" w:space="0" w:color="auto"/>
              <w:bottom w:val="single" w:sz="4" w:space="0" w:color="auto"/>
              <w:right w:val="single" w:sz="4" w:space="0" w:color="auto"/>
            </w:tcBorders>
            <w:hideMark/>
          </w:tcPr>
          <w:p w14:paraId="07C6573E"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0,89</w:t>
            </w:r>
          </w:p>
          <w:p w14:paraId="5F0D87E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[0,78, 1,01]</w:t>
            </w:r>
          </w:p>
          <w:p w14:paraId="25240429"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2,7 m vs. 2,6 m</w:t>
            </w:r>
          </w:p>
          <w:p w14:paraId="71C05ECD"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 0.0707</w:t>
            </w:r>
          </w:p>
        </w:tc>
        <w:tc>
          <w:tcPr>
            <w:tcW w:w="944" w:type="pct"/>
            <w:tcBorders>
              <w:top w:val="single" w:sz="4" w:space="0" w:color="auto"/>
              <w:left w:val="single" w:sz="4" w:space="0" w:color="auto"/>
              <w:bottom w:val="single" w:sz="4" w:space="0" w:color="auto"/>
              <w:right w:val="single" w:sz="4" w:space="0" w:color="auto"/>
            </w:tcBorders>
            <w:hideMark/>
          </w:tcPr>
          <w:p w14:paraId="7C01CA5E"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0,92</w:t>
            </w:r>
          </w:p>
          <w:p w14:paraId="6BBD6791"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[0,79, 1,06]</w:t>
            </w:r>
          </w:p>
          <w:p w14:paraId="5C3B0369"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5,0 m vs. 4,9 m</w:t>
            </w:r>
          </w:p>
          <w:p w14:paraId="5EFEB5F9"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 0,2420</w:t>
            </w:r>
          </w:p>
        </w:tc>
      </w:tr>
      <w:tr w:rsidR="009F4442" w:rsidRPr="0010587E" w14:paraId="23429F96" w14:textId="77777777" w:rsidTr="00A75BD5">
        <w:tc>
          <w:tcPr>
            <w:tcW w:w="955" w:type="pct"/>
            <w:tcBorders>
              <w:top w:val="single" w:sz="4" w:space="0" w:color="auto"/>
              <w:left w:val="single" w:sz="4" w:space="0" w:color="auto"/>
              <w:bottom w:val="single" w:sz="4" w:space="0" w:color="auto"/>
              <w:right w:val="single" w:sz="4" w:space="0" w:color="auto"/>
            </w:tcBorders>
            <w:hideMark/>
          </w:tcPr>
          <w:p w14:paraId="1E860D9D" w14:textId="77777777" w:rsidR="009F4442" w:rsidRPr="0010587E" w:rsidRDefault="009F4442" w:rsidP="00A75BD5">
            <w:pPr>
              <w:jc w:val="center"/>
              <w:rPr>
                <w:rFonts w:ascii="Times New Roman" w:hAnsi="Times New Roman" w:cs="Times New Roman"/>
                <w:sz w:val="24"/>
                <w:szCs w:val="24"/>
                <w:vertAlign w:val="superscript"/>
              </w:rPr>
            </w:pPr>
            <w:proofErr w:type="spellStart"/>
            <w:r w:rsidRPr="0010587E">
              <w:rPr>
                <w:rFonts w:ascii="Times New Roman" w:hAnsi="Times New Roman" w:cs="Times New Roman"/>
                <w:sz w:val="24"/>
                <w:szCs w:val="24"/>
              </w:rPr>
              <w:t>Asiatere</w:t>
            </w:r>
            <w:r w:rsidRPr="0010587E">
              <w:rPr>
                <w:rFonts w:ascii="Times New Roman" w:hAnsi="Times New Roman" w:cs="Times New Roman"/>
                <w:sz w:val="24"/>
                <w:szCs w:val="24"/>
                <w:vertAlign w:val="superscript"/>
              </w:rPr>
              <w:t>d</w:t>
            </w:r>
            <w:proofErr w:type="spellEnd"/>
          </w:p>
        </w:tc>
        <w:tc>
          <w:tcPr>
            <w:tcW w:w="663" w:type="pct"/>
            <w:tcBorders>
              <w:top w:val="single" w:sz="4" w:space="0" w:color="auto"/>
              <w:left w:val="single" w:sz="4" w:space="0" w:color="auto"/>
              <w:bottom w:val="single" w:sz="4" w:space="0" w:color="auto"/>
              <w:right w:val="single" w:sz="4" w:space="0" w:color="auto"/>
            </w:tcBorders>
            <w:hideMark/>
          </w:tcPr>
          <w:p w14:paraId="17C514EF"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342</w:t>
            </w:r>
          </w:p>
        </w:tc>
        <w:tc>
          <w:tcPr>
            <w:tcW w:w="1092" w:type="pct"/>
            <w:tcBorders>
              <w:top w:val="single" w:sz="4" w:space="0" w:color="auto"/>
              <w:left w:val="single" w:sz="4" w:space="0" w:color="auto"/>
              <w:bottom w:val="single" w:sz="4" w:space="0" w:color="auto"/>
              <w:right w:val="single" w:sz="4" w:space="0" w:color="auto"/>
            </w:tcBorders>
            <w:hideMark/>
          </w:tcPr>
          <w:p w14:paraId="7EC0C094"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12,4 % vs. 2,1 %</w:t>
            </w:r>
          </w:p>
          <w:p w14:paraId="43A8F0F7"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[4,0 %, 15,8 %]</w:t>
            </w:r>
          </w:p>
        </w:tc>
        <w:tc>
          <w:tcPr>
            <w:tcW w:w="1347" w:type="pct"/>
            <w:tcBorders>
              <w:top w:val="single" w:sz="4" w:space="0" w:color="auto"/>
              <w:left w:val="single" w:sz="4" w:space="0" w:color="auto"/>
              <w:bottom w:val="single" w:sz="4" w:space="0" w:color="auto"/>
              <w:right w:val="single" w:sz="4" w:space="0" w:color="auto"/>
            </w:tcBorders>
            <w:hideMark/>
          </w:tcPr>
          <w:p w14:paraId="43310FAB"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0,69</w:t>
            </w:r>
          </w:p>
          <w:p w14:paraId="4C32E817"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[0,52, 0,91]</w:t>
            </w:r>
          </w:p>
          <w:p w14:paraId="57FE9372"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4,4 m vs. 2,2 m</w:t>
            </w:r>
          </w:p>
          <w:p w14:paraId="5C6B5521"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 0,0084</w:t>
            </w:r>
          </w:p>
        </w:tc>
        <w:tc>
          <w:tcPr>
            <w:tcW w:w="944" w:type="pct"/>
            <w:tcBorders>
              <w:top w:val="single" w:sz="4" w:space="0" w:color="auto"/>
              <w:left w:val="single" w:sz="4" w:space="0" w:color="auto"/>
              <w:bottom w:val="single" w:sz="4" w:space="0" w:color="auto"/>
              <w:right w:val="single" w:sz="4" w:space="0" w:color="auto"/>
            </w:tcBorders>
            <w:hideMark/>
          </w:tcPr>
          <w:p w14:paraId="1CADAF3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0,66</w:t>
            </w:r>
          </w:p>
          <w:p w14:paraId="4E280E8C"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[0,48, 0,91]</w:t>
            </w:r>
          </w:p>
          <w:p w14:paraId="71C2FFD3"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9,5 m vs. 5,5 m</w:t>
            </w:r>
          </w:p>
          <w:p w14:paraId="60DD423A"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 0,0100</w:t>
            </w:r>
          </w:p>
        </w:tc>
      </w:tr>
      <w:tr w:rsidR="009F4442" w:rsidRPr="0010587E" w14:paraId="23C2AFC3" w14:textId="77777777" w:rsidTr="00A75BD5">
        <w:tc>
          <w:tcPr>
            <w:tcW w:w="955" w:type="pct"/>
            <w:tcBorders>
              <w:top w:val="single" w:sz="4" w:space="0" w:color="auto"/>
              <w:left w:val="single" w:sz="4" w:space="0" w:color="auto"/>
              <w:bottom w:val="single" w:sz="4" w:space="0" w:color="auto"/>
              <w:right w:val="single" w:sz="4" w:space="0" w:color="auto"/>
            </w:tcBorders>
            <w:hideMark/>
          </w:tcPr>
          <w:p w14:paraId="4DF10247"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Ikke-asiatere</w:t>
            </w:r>
          </w:p>
        </w:tc>
        <w:tc>
          <w:tcPr>
            <w:tcW w:w="663" w:type="pct"/>
            <w:tcBorders>
              <w:top w:val="single" w:sz="4" w:space="0" w:color="auto"/>
              <w:left w:val="single" w:sz="4" w:space="0" w:color="auto"/>
              <w:bottom w:val="single" w:sz="4" w:space="0" w:color="auto"/>
              <w:right w:val="single" w:sz="4" w:space="0" w:color="auto"/>
            </w:tcBorders>
            <w:hideMark/>
          </w:tcPr>
          <w:p w14:paraId="31F12DE4"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1350</w:t>
            </w:r>
          </w:p>
        </w:tc>
        <w:tc>
          <w:tcPr>
            <w:tcW w:w="1092" w:type="pct"/>
            <w:tcBorders>
              <w:top w:val="single" w:sz="4" w:space="0" w:color="auto"/>
              <w:left w:val="single" w:sz="4" w:space="0" w:color="auto"/>
              <w:bottom w:val="single" w:sz="4" w:space="0" w:color="auto"/>
              <w:right w:val="single" w:sz="4" w:space="0" w:color="auto"/>
            </w:tcBorders>
            <w:hideMark/>
          </w:tcPr>
          <w:p w14:paraId="0C7A6457"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6,8 % vs. 1,0 %</w:t>
            </w:r>
          </w:p>
          <w:p w14:paraId="4E680F48"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[3,5 %, 7,9 %]</w:t>
            </w:r>
          </w:p>
        </w:tc>
        <w:tc>
          <w:tcPr>
            <w:tcW w:w="1347" w:type="pct"/>
            <w:tcBorders>
              <w:top w:val="single" w:sz="4" w:space="0" w:color="auto"/>
              <w:left w:val="single" w:sz="4" w:space="0" w:color="auto"/>
              <w:bottom w:val="single" w:sz="4" w:space="0" w:color="auto"/>
              <w:right w:val="single" w:sz="4" w:space="0" w:color="auto"/>
            </w:tcBorders>
            <w:hideMark/>
          </w:tcPr>
          <w:p w14:paraId="091F2769"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0,86</w:t>
            </w:r>
          </w:p>
          <w:p w14:paraId="0B3789FD"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[0,76, 0,98]</w:t>
            </w:r>
          </w:p>
          <w:p w14:paraId="6CB57424"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2,9 m vs. 2,7 m</w:t>
            </w:r>
          </w:p>
          <w:p w14:paraId="083582FD"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 0,0197</w:t>
            </w:r>
          </w:p>
        </w:tc>
        <w:tc>
          <w:tcPr>
            <w:tcW w:w="944" w:type="pct"/>
            <w:tcBorders>
              <w:top w:val="single" w:sz="4" w:space="0" w:color="auto"/>
              <w:left w:val="single" w:sz="4" w:space="0" w:color="auto"/>
              <w:bottom w:val="single" w:sz="4" w:space="0" w:color="auto"/>
              <w:right w:val="single" w:sz="4" w:space="0" w:color="auto"/>
            </w:tcBorders>
            <w:hideMark/>
          </w:tcPr>
          <w:p w14:paraId="07EEEBC5"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HR 0,92</w:t>
            </w:r>
          </w:p>
          <w:p w14:paraId="73D79F75"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[0,80, 1,07]</w:t>
            </w:r>
          </w:p>
          <w:p w14:paraId="320D42DE"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5,2 m vs. 5,1 m</w:t>
            </w:r>
          </w:p>
          <w:p w14:paraId="41CAFFC3" w14:textId="77777777" w:rsidR="009F4442" w:rsidRPr="0010587E" w:rsidRDefault="009F4442" w:rsidP="00A75BD5">
            <w:pPr>
              <w:jc w:val="center"/>
              <w:rPr>
                <w:rFonts w:ascii="Times New Roman" w:hAnsi="Times New Roman" w:cs="Times New Roman"/>
                <w:sz w:val="24"/>
                <w:szCs w:val="24"/>
              </w:rPr>
            </w:pPr>
            <w:r w:rsidRPr="0010587E">
              <w:rPr>
                <w:rFonts w:ascii="Times New Roman" w:hAnsi="Times New Roman" w:cs="Times New Roman"/>
                <w:sz w:val="24"/>
                <w:szCs w:val="24"/>
              </w:rPr>
              <w:t>p = 0,2942</w:t>
            </w:r>
          </w:p>
        </w:tc>
      </w:tr>
    </w:tbl>
    <w:p w14:paraId="7EDD9019" w14:textId="77777777" w:rsidR="009F4442" w:rsidRPr="00EE03AB" w:rsidRDefault="009F4442" w:rsidP="009F4442">
      <w:pPr>
        <w:tabs>
          <w:tab w:val="left" w:pos="0"/>
          <w:tab w:val="left" w:pos="426"/>
        </w:tabs>
        <w:rPr>
          <w:sz w:val="20"/>
        </w:rPr>
      </w:pPr>
      <w:r w:rsidRPr="00EE03AB">
        <w:rPr>
          <w:sz w:val="20"/>
        </w:rPr>
        <w:t xml:space="preserve">a </w:t>
      </w:r>
      <w:r w:rsidRPr="00EE03AB">
        <w:rPr>
          <w:sz w:val="20"/>
        </w:rPr>
        <w:tab/>
        <w:t xml:space="preserve">Værdier for </w:t>
      </w:r>
      <w:proofErr w:type="spellStart"/>
      <w:r w:rsidRPr="00EE03AB">
        <w:rPr>
          <w:sz w:val="20"/>
        </w:rPr>
        <w:t>gefitinib</w:t>
      </w:r>
      <w:proofErr w:type="spellEnd"/>
      <w:r w:rsidRPr="00EE03AB">
        <w:rPr>
          <w:sz w:val="20"/>
        </w:rPr>
        <w:t xml:space="preserve"> versus placebo.</w:t>
      </w:r>
    </w:p>
    <w:p w14:paraId="14EDFB22" w14:textId="77777777" w:rsidR="009F4442" w:rsidRPr="00EE03AB" w:rsidRDefault="009F4442" w:rsidP="009F4442">
      <w:pPr>
        <w:tabs>
          <w:tab w:val="left" w:pos="0"/>
          <w:tab w:val="left" w:pos="426"/>
        </w:tabs>
        <w:rPr>
          <w:sz w:val="20"/>
        </w:rPr>
      </w:pPr>
      <w:r w:rsidRPr="00EE03AB">
        <w:rPr>
          <w:sz w:val="20"/>
        </w:rPr>
        <w:t xml:space="preserve">b </w:t>
      </w:r>
      <w:r w:rsidRPr="00EE03AB">
        <w:rPr>
          <w:sz w:val="20"/>
        </w:rPr>
        <w:tab/>
      </w:r>
      <w:r>
        <w:rPr>
          <w:sz w:val="20"/>
        </w:rPr>
        <w:t>"m"</w:t>
      </w:r>
      <w:r w:rsidRPr="00EE03AB">
        <w:rPr>
          <w:sz w:val="20"/>
        </w:rPr>
        <w:t xml:space="preserve"> er medianer i måneder. Tal i de kvadratiske parenteser er 95 % konfidensinterval (CI) for HR.</w:t>
      </w:r>
    </w:p>
    <w:p w14:paraId="08C7F822" w14:textId="77777777" w:rsidR="009F4442" w:rsidRPr="00EE03AB" w:rsidRDefault="009F4442" w:rsidP="009F4442">
      <w:pPr>
        <w:tabs>
          <w:tab w:val="left" w:pos="0"/>
          <w:tab w:val="left" w:pos="426"/>
        </w:tabs>
        <w:rPr>
          <w:sz w:val="20"/>
        </w:rPr>
      </w:pPr>
      <w:r w:rsidRPr="00EE03AB">
        <w:rPr>
          <w:sz w:val="20"/>
        </w:rPr>
        <w:t xml:space="preserve">c </w:t>
      </w:r>
      <w:r w:rsidRPr="00EE03AB">
        <w:rPr>
          <w:sz w:val="20"/>
        </w:rPr>
        <w:tab/>
        <w:t xml:space="preserve">Stratificeret log-rank test for samlede resultater ellers er Cox Proportional </w:t>
      </w:r>
      <w:proofErr w:type="spellStart"/>
      <w:r w:rsidRPr="00EE03AB">
        <w:rPr>
          <w:sz w:val="20"/>
        </w:rPr>
        <w:t>Hazard</w:t>
      </w:r>
      <w:proofErr w:type="spellEnd"/>
      <w:r w:rsidRPr="00EE03AB">
        <w:rPr>
          <w:sz w:val="20"/>
        </w:rPr>
        <w:t xml:space="preserve"> Model anvendt.</w:t>
      </w:r>
    </w:p>
    <w:p w14:paraId="7A86ED57" w14:textId="77777777" w:rsidR="009F4442" w:rsidRPr="00EE03AB" w:rsidRDefault="009F4442" w:rsidP="009F4442">
      <w:pPr>
        <w:tabs>
          <w:tab w:val="left" w:pos="0"/>
          <w:tab w:val="left" w:pos="426"/>
        </w:tabs>
        <w:ind w:left="426" w:hanging="426"/>
        <w:rPr>
          <w:sz w:val="20"/>
        </w:rPr>
      </w:pPr>
      <w:r w:rsidRPr="00EE03AB">
        <w:rPr>
          <w:sz w:val="20"/>
        </w:rPr>
        <w:t xml:space="preserve">d </w:t>
      </w:r>
      <w:r w:rsidRPr="00EE03AB">
        <w:rPr>
          <w:sz w:val="20"/>
        </w:rPr>
        <w:tab/>
        <w:t>Asiatisk etnisk oprindelse ekskluderer patienter af indisk herkomst og refererer til racen af patientgruppen</w:t>
      </w:r>
      <w:r>
        <w:rPr>
          <w:sz w:val="20"/>
        </w:rPr>
        <w:t xml:space="preserve"> </w:t>
      </w:r>
      <w:r w:rsidRPr="00EE03AB">
        <w:rPr>
          <w:sz w:val="20"/>
        </w:rPr>
        <w:t>og ikke nødvendigvis deres fødested.</w:t>
      </w:r>
    </w:p>
    <w:p w14:paraId="254C1D44" w14:textId="77777777" w:rsidR="009F4442" w:rsidRPr="00EE03AB" w:rsidRDefault="009F4442" w:rsidP="009F4442">
      <w:pPr>
        <w:tabs>
          <w:tab w:val="left" w:pos="0"/>
          <w:tab w:val="left" w:pos="426"/>
        </w:tabs>
        <w:rPr>
          <w:sz w:val="20"/>
        </w:rPr>
      </w:pPr>
      <w:r w:rsidRPr="00EE03AB">
        <w:rPr>
          <w:sz w:val="20"/>
        </w:rPr>
        <w:t xml:space="preserve">N </w:t>
      </w:r>
      <w:r w:rsidRPr="00EE03AB">
        <w:rPr>
          <w:sz w:val="20"/>
        </w:rPr>
        <w:tab/>
        <w:t>Antal randomiserede patienter.</w:t>
      </w:r>
    </w:p>
    <w:p w14:paraId="740B7A83" w14:textId="77777777" w:rsidR="009F4442" w:rsidRPr="00EE03AB" w:rsidRDefault="009F4442" w:rsidP="009F4442">
      <w:pPr>
        <w:tabs>
          <w:tab w:val="left" w:pos="0"/>
          <w:tab w:val="left" w:pos="426"/>
        </w:tabs>
        <w:rPr>
          <w:sz w:val="20"/>
        </w:rPr>
      </w:pPr>
      <w:r w:rsidRPr="00EE03AB">
        <w:rPr>
          <w:sz w:val="20"/>
        </w:rPr>
        <w:t xml:space="preserve">NC </w:t>
      </w:r>
      <w:r w:rsidRPr="00EE03AB">
        <w:rPr>
          <w:sz w:val="20"/>
        </w:rPr>
        <w:tab/>
        <w:t xml:space="preserve">Ikke udregnet (not </w:t>
      </w:r>
      <w:proofErr w:type="spellStart"/>
      <w:r w:rsidRPr="00EE03AB">
        <w:rPr>
          <w:sz w:val="20"/>
        </w:rPr>
        <w:t>calculated</w:t>
      </w:r>
      <w:proofErr w:type="spellEnd"/>
      <w:r w:rsidRPr="00EE03AB">
        <w:rPr>
          <w:sz w:val="20"/>
        </w:rPr>
        <w:t>) for HR ved total overlevelse, fordi antal tilfælde er for lavt.</w:t>
      </w:r>
    </w:p>
    <w:p w14:paraId="7767F85C" w14:textId="77777777" w:rsidR="009F4442" w:rsidRPr="00EE03AB" w:rsidRDefault="009F4442" w:rsidP="009F4442">
      <w:pPr>
        <w:tabs>
          <w:tab w:val="left" w:pos="0"/>
          <w:tab w:val="left" w:pos="426"/>
        </w:tabs>
        <w:rPr>
          <w:sz w:val="20"/>
          <w:lang w:val="en-US"/>
        </w:rPr>
      </w:pPr>
      <w:r w:rsidRPr="00EE03AB">
        <w:rPr>
          <w:sz w:val="20"/>
          <w:lang w:val="en-US"/>
        </w:rPr>
        <w:t xml:space="preserve">NR </w:t>
      </w:r>
      <w:r w:rsidRPr="00EE03AB">
        <w:rPr>
          <w:sz w:val="20"/>
          <w:lang w:val="en-US"/>
        </w:rPr>
        <w:tab/>
      </w:r>
      <w:proofErr w:type="spellStart"/>
      <w:r w:rsidRPr="00EE03AB">
        <w:rPr>
          <w:sz w:val="20"/>
          <w:lang w:val="en-US"/>
        </w:rPr>
        <w:t>Ikke</w:t>
      </w:r>
      <w:proofErr w:type="spellEnd"/>
      <w:r w:rsidRPr="00EE03AB">
        <w:rPr>
          <w:sz w:val="20"/>
          <w:lang w:val="en-US"/>
        </w:rPr>
        <w:t xml:space="preserve"> </w:t>
      </w:r>
      <w:proofErr w:type="spellStart"/>
      <w:r w:rsidRPr="00EE03AB">
        <w:rPr>
          <w:sz w:val="20"/>
          <w:lang w:val="en-US"/>
        </w:rPr>
        <w:t>opnået</w:t>
      </w:r>
      <w:proofErr w:type="spellEnd"/>
      <w:r w:rsidRPr="00EE03AB">
        <w:rPr>
          <w:sz w:val="20"/>
          <w:lang w:val="en-US"/>
        </w:rPr>
        <w:t xml:space="preserve"> (not reached).</w:t>
      </w:r>
    </w:p>
    <w:p w14:paraId="6AAFDC87" w14:textId="77777777" w:rsidR="009F4442" w:rsidRPr="00EE03AB" w:rsidRDefault="009F4442" w:rsidP="009F4442">
      <w:pPr>
        <w:tabs>
          <w:tab w:val="left" w:pos="0"/>
          <w:tab w:val="left" w:pos="426"/>
        </w:tabs>
        <w:rPr>
          <w:sz w:val="20"/>
          <w:lang w:val="en-US"/>
        </w:rPr>
      </w:pPr>
      <w:r w:rsidRPr="00EE03AB">
        <w:rPr>
          <w:sz w:val="20"/>
          <w:lang w:val="en-US"/>
        </w:rPr>
        <w:t xml:space="preserve">HR </w:t>
      </w:r>
      <w:r w:rsidRPr="00EE03AB">
        <w:rPr>
          <w:sz w:val="20"/>
          <w:lang w:val="en-US"/>
        </w:rPr>
        <w:tab/>
        <w:t>Hazard ratio (hazard ratio &lt;</w:t>
      </w:r>
      <w:r w:rsidR="00B96128">
        <w:rPr>
          <w:sz w:val="20"/>
          <w:lang w:val="en-US"/>
        </w:rPr>
        <w:t xml:space="preserve"> </w:t>
      </w:r>
      <w:r w:rsidRPr="00EE03AB">
        <w:rPr>
          <w:sz w:val="20"/>
          <w:lang w:val="en-US"/>
        </w:rPr>
        <w:t xml:space="preserve">1 </w:t>
      </w:r>
      <w:proofErr w:type="spellStart"/>
      <w:r w:rsidRPr="00EE03AB">
        <w:rPr>
          <w:sz w:val="20"/>
          <w:lang w:val="en-US"/>
        </w:rPr>
        <w:t>favoriserer</w:t>
      </w:r>
      <w:proofErr w:type="spellEnd"/>
      <w:r w:rsidRPr="00EE03AB">
        <w:rPr>
          <w:sz w:val="20"/>
          <w:lang w:val="en-US"/>
        </w:rPr>
        <w:t xml:space="preserve"> gefitinib)</w:t>
      </w:r>
    </w:p>
    <w:p w14:paraId="77AC11AA" w14:textId="77777777" w:rsidR="009F4442" w:rsidRPr="009A35D6" w:rsidRDefault="009F4442" w:rsidP="009F4442">
      <w:pPr>
        <w:tabs>
          <w:tab w:val="left" w:pos="851"/>
        </w:tabs>
        <w:ind w:left="851" w:hanging="851"/>
        <w:rPr>
          <w:sz w:val="24"/>
          <w:szCs w:val="24"/>
          <w:lang w:val="en-US"/>
        </w:rPr>
      </w:pPr>
    </w:p>
    <w:p w14:paraId="1F2E92CF" w14:textId="77777777" w:rsidR="009F4442" w:rsidRPr="009A35D6" w:rsidRDefault="009F4442" w:rsidP="009F4442">
      <w:pPr>
        <w:tabs>
          <w:tab w:val="left" w:pos="0"/>
        </w:tabs>
        <w:ind w:left="851"/>
        <w:rPr>
          <w:sz w:val="24"/>
          <w:szCs w:val="24"/>
        </w:rPr>
      </w:pPr>
      <w:r w:rsidRPr="009A35D6">
        <w:rPr>
          <w:sz w:val="24"/>
          <w:szCs w:val="24"/>
        </w:rPr>
        <w:t xml:space="preserve">IFUM-studiet var et </w:t>
      </w:r>
      <w:proofErr w:type="spellStart"/>
      <w:r w:rsidRPr="009A35D6">
        <w:rPr>
          <w:sz w:val="24"/>
          <w:szCs w:val="24"/>
        </w:rPr>
        <w:t>enkeltarmet</w:t>
      </w:r>
      <w:proofErr w:type="spellEnd"/>
      <w:r w:rsidRPr="009A35D6">
        <w:rPr>
          <w:sz w:val="24"/>
          <w:szCs w:val="24"/>
        </w:rPr>
        <w:t xml:space="preserve"> multicenter-studie, der blev gennemført med kaukasiske patienter (n=106) med følsom NSCLC med aktiverede EGFR-mutationer for at bekræfte, at aktiviteten af </w:t>
      </w:r>
      <w:proofErr w:type="spellStart"/>
      <w:r w:rsidRPr="009A35D6">
        <w:rPr>
          <w:sz w:val="24"/>
          <w:szCs w:val="24"/>
        </w:rPr>
        <w:t>gefitinib</w:t>
      </w:r>
      <w:proofErr w:type="spellEnd"/>
      <w:r w:rsidRPr="009A35D6">
        <w:rPr>
          <w:sz w:val="24"/>
          <w:szCs w:val="24"/>
        </w:rPr>
        <w:t xml:space="preserve"> er ens i kaukasiske og asiatiske populationer. ORR var i henhold til </w:t>
      </w:r>
      <w:proofErr w:type="spellStart"/>
      <w:r w:rsidRPr="009A35D6">
        <w:rPr>
          <w:sz w:val="24"/>
          <w:szCs w:val="24"/>
        </w:rPr>
        <w:t>investigators</w:t>
      </w:r>
      <w:proofErr w:type="spellEnd"/>
      <w:r w:rsidRPr="009A35D6">
        <w:rPr>
          <w:sz w:val="24"/>
          <w:szCs w:val="24"/>
        </w:rPr>
        <w:t xml:space="preserve"> gennemgang 70 % og median-PFS var 9,7 måneder. Disse data svarer til dem, der blev rapporteret i IPASS-studiet.</w:t>
      </w:r>
    </w:p>
    <w:p w14:paraId="58C2BFFA" w14:textId="77777777" w:rsidR="009F4442" w:rsidRPr="009A35D6" w:rsidRDefault="009F4442" w:rsidP="009F4442">
      <w:pPr>
        <w:tabs>
          <w:tab w:val="left" w:pos="851"/>
        </w:tabs>
        <w:ind w:left="851"/>
        <w:rPr>
          <w:sz w:val="24"/>
          <w:szCs w:val="24"/>
        </w:rPr>
      </w:pPr>
    </w:p>
    <w:p w14:paraId="424BBD2D" w14:textId="77777777" w:rsidR="009F4442" w:rsidRPr="009A35D6" w:rsidRDefault="009F4442" w:rsidP="009F4442">
      <w:pPr>
        <w:tabs>
          <w:tab w:val="left" w:pos="851"/>
        </w:tabs>
        <w:ind w:left="851"/>
        <w:rPr>
          <w:i/>
          <w:sz w:val="24"/>
          <w:szCs w:val="24"/>
        </w:rPr>
      </w:pPr>
      <w:r w:rsidRPr="009A35D6">
        <w:rPr>
          <w:i/>
          <w:sz w:val="24"/>
          <w:szCs w:val="24"/>
        </w:rPr>
        <w:t>Status for EGFR-mutation og kliniske karakteristika</w:t>
      </w:r>
    </w:p>
    <w:p w14:paraId="6EA53BA4" w14:textId="77777777" w:rsidR="009F4442" w:rsidRPr="009A35D6" w:rsidRDefault="009F4442" w:rsidP="009F4442">
      <w:pPr>
        <w:tabs>
          <w:tab w:val="left" w:pos="0"/>
        </w:tabs>
        <w:ind w:left="851"/>
        <w:rPr>
          <w:sz w:val="24"/>
          <w:szCs w:val="24"/>
        </w:rPr>
      </w:pPr>
      <w:r w:rsidRPr="009A35D6">
        <w:rPr>
          <w:sz w:val="24"/>
          <w:szCs w:val="24"/>
        </w:rPr>
        <w:t xml:space="preserve">I en </w:t>
      </w:r>
      <w:proofErr w:type="spellStart"/>
      <w:r w:rsidRPr="009A35D6">
        <w:rPr>
          <w:sz w:val="24"/>
          <w:szCs w:val="24"/>
        </w:rPr>
        <w:t>multivariat</w:t>
      </w:r>
      <w:proofErr w:type="spellEnd"/>
      <w:r w:rsidRPr="009A35D6">
        <w:rPr>
          <w:sz w:val="24"/>
          <w:szCs w:val="24"/>
        </w:rPr>
        <w:t xml:space="preserve"> analyse med 786 kaukasiske patienter fra </w:t>
      </w:r>
      <w:proofErr w:type="spellStart"/>
      <w:r w:rsidRPr="009A35D6">
        <w:rPr>
          <w:sz w:val="24"/>
          <w:szCs w:val="24"/>
        </w:rPr>
        <w:t>gefitinib</w:t>
      </w:r>
      <w:proofErr w:type="spellEnd"/>
      <w:r w:rsidRPr="009A35D6">
        <w:rPr>
          <w:sz w:val="24"/>
          <w:szCs w:val="24"/>
        </w:rPr>
        <w:t xml:space="preserve">-studierne* (se tabel 7) har kliniske karakteristika i form af aldrig at have røget, at have en </w:t>
      </w:r>
      <w:proofErr w:type="spellStart"/>
      <w:r w:rsidRPr="009A35D6">
        <w:rPr>
          <w:sz w:val="24"/>
          <w:szCs w:val="24"/>
        </w:rPr>
        <w:t>adenocarcinom</w:t>
      </w:r>
      <w:proofErr w:type="spellEnd"/>
      <w:r w:rsidRPr="009A35D6">
        <w:rPr>
          <w:sz w:val="24"/>
          <w:szCs w:val="24"/>
        </w:rPr>
        <w:t xml:space="preserve"> histologitype og at være kvinde vist sig at være uafhængige indikatorer for positiv </w:t>
      </w:r>
      <w:proofErr w:type="gramStart"/>
      <w:r w:rsidRPr="009A35D6">
        <w:rPr>
          <w:sz w:val="24"/>
          <w:szCs w:val="24"/>
        </w:rPr>
        <w:t>EGFR mutation</w:t>
      </w:r>
      <w:proofErr w:type="gramEnd"/>
      <w:r w:rsidRPr="009A35D6">
        <w:rPr>
          <w:sz w:val="24"/>
          <w:szCs w:val="24"/>
        </w:rPr>
        <w:t xml:space="preserve">. Asiatiske patienter har en højere </w:t>
      </w:r>
      <w:proofErr w:type="spellStart"/>
      <w:r w:rsidRPr="009A35D6">
        <w:rPr>
          <w:sz w:val="24"/>
          <w:szCs w:val="24"/>
        </w:rPr>
        <w:t>incidens</w:t>
      </w:r>
      <w:proofErr w:type="spellEnd"/>
      <w:r w:rsidRPr="009A35D6">
        <w:rPr>
          <w:sz w:val="24"/>
          <w:szCs w:val="24"/>
        </w:rPr>
        <w:t xml:space="preserve"> af tumorer med positiv </w:t>
      </w:r>
      <w:proofErr w:type="gramStart"/>
      <w:r w:rsidRPr="009A35D6">
        <w:rPr>
          <w:sz w:val="24"/>
          <w:szCs w:val="24"/>
        </w:rPr>
        <w:t>EGFR mutation</w:t>
      </w:r>
      <w:proofErr w:type="gramEnd"/>
      <w:r w:rsidRPr="009A35D6">
        <w:rPr>
          <w:sz w:val="24"/>
          <w:szCs w:val="24"/>
        </w:rPr>
        <w:t>.</w:t>
      </w:r>
    </w:p>
    <w:p w14:paraId="53EDE9AE" w14:textId="77777777" w:rsidR="009F4442" w:rsidRPr="009A35D6" w:rsidRDefault="009F4442" w:rsidP="009F4442">
      <w:pPr>
        <w:tabs>
          <w:tab w:val="left" w:pos="851"/>
        </w:tabs>
        <w:ind w:left="851" w:hanging="851"/>
        <w:rPr>
          <w:sz w:val="24"/>
          <w:szCs w:val="24"/>
        </w:rPr>
      </w:pPr>
    </w:p>
    <w:p w14:paraId="692A8FA6" w14:textId="77777777" w:rsidR="00B96128" w:rsidRDefault="00B96128" w:rsidP="00B96128">
      <w:pPr>
        <w:rPr>
          <w:b/>
          <w:sz w:val="24"/>
          <w:szCs w:val="24"/>
        </w:rPr>
      </w:pPr>
      <w:r>
        <w:rPr>
          <w:b/>
          <w:sz w:val="24"/>
          <w:szCs w:val="24"/>
        </w:rPr>
        <w:t xml:space="preserve">Tabel 7. Opsummering af </w:t>
      </w:r>
      <w:proofErr w:type="spellStart"/>
      <w:r>
        <w:rPr>
          <w:b/>
          <w:sz w:val="24"/>
          <w:szCs w:val="24"/>
        </w:rPr>
        <w:t>multivariat</w:t>
      </w:r>
      <w:proofErr w:type="spellEnd"/>
      <w:r>
        <w:rPr>
          <w:b/>
          <w:sz w:val="24"/>
          <w:szCs w:val="24"/>
        </w:rPr>
        <w:t xml:space="preserve"> logistisk regressionsanalyse for at identificere faktorer, som uafhængigt forudsiger tilstedeværelsen af EGFR-mutationer hos 786 kaukasiske patienter*</w:t>
      </w:r>
    </w:p>
    <w:tbl>
      <w:tblPr>
        <w:tblStyle w:val="Tabel-Gitter"/>
        <w:tblW w:w="5000" w:type="pct"/>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1160"/>
        <w:gridCol w:w="2550"/>
        <w:gridCol w:w="4110"/>
      </w:tblGrid>
      <w:tr w:rsidR="00B96128" w14:paraId="61CED692" w14:textId="77777777" w:rsidTr="00B96128">
        <w:tc>
          <w:tcPr>
            <w:tcW w:w="943" w:type="pct"/>
            <w:tcBorders>
              <w:top w:val="single" w:sz="4" w:space="0" w:color="auto"/>
              <w:left w:val="nil"/>
              <w:bottom w:val="single" w:sz="4" w:space="0" w:color="auto"/>
              <w:right w:val="nil"/>
            </w:tcBorders>
            <w:hideMark/>
          </w:tcPr>
          <w:p w14:paraId="20D5D289" w14:textId="77777777" w:rsidR="00B96128" w:rsidRDefault="00B96128">
            <w:pPr>
              <w:jc w:val="center"/>
              <w:rPr>
                <w:rFonts w:ascii="Times New Roman" w:hAnsi="Times New Roman" w:cs="Times New Roman"/>
                <w:b/>
                <w:sz w:val="24"/>
                <w:szCs w:val="24"/>
              </w:rPr>
            </w:pPr>
            <w:r>
              <w:rPr>
                <w:rFonts w:ascii="Times New Roman" w:hAnsi="Times New Roman" w:cs="Times New Roman"/>
                <w:b/>
                <w:sz w:val="24"/>
                <w:szCs w:val="24"/>
              </w:rPr>
              <w:t xml:space="preserve">Faktorer som forudsiger tilstedeværelse af </w:t>
            </w:r>
            <w:proofErr w:type="spellStart"/>
            <w:r>
              <w:rPr>
                <w:rFonts w:ascii="Times New Roman" w:hAnsi="Times New Roman" w:cs="Times New Roman"/>
                <w:b/>
                <w:sz w:val="24"/>
                <w:szCs w:val="24"/>
              </w:rPr>
              <w:t>EGFRmutation</w:t>
            </w:r>
            <w:proofErr w:type="spellEnd"/>
          </w:p>
        </w:tc>
        <w:tc>
          <w:tcPr>
            <w:tcW w:w="602" w:type="pct"/>
            <w:tcBorders>
              <w:top w:val="single" w:sz="4" w:space="0" w:color="auto"/>
              <w:left w:val="nil"/>
              <w:bottom w:val="single" w:sz="4" w:space="0" w:color="auto"/>
              <w:right w:val="nil"/>
            </w:tcBorders>
            <w:hideMark/>
          </w:tcPr>
          <w:p w14:paraId="45FA9594" w14:textId="77777777" w:rsidR="00B96128" w:rsidRDefault="00B96128">
            <w:pPr>
              <w:jc w:val="center"/>
              <w:rPr>
                <w:rFonts w:ascii="Times New Roman" w:hAnsi="Times New Roman" w:cs="Times New Roman"/>
                <w:b/>
                <w:sz w:val="24"/>
                <w:szCs w:val="24"/>
              </w:rPr>
            </w:pPr>
            <w:proofErr w:type="spellStart"/>
            <w:r>
              <w:rPr>
                <w:rFonts w:ascii="Times New Roman" w:hAnsi="Times New Roman" w:cs="Times New Roman"/>
                <w:b/>
                <w:sz w:val="24"/>
                <w:szCs w:val="24"/>
              </w:rPr>
              <w:t>p-værdi</w:t>
            </w:r>
            <w:proofErr w:type="spellEnd"/>
          </w:p>
        </w:tc>
        <w:tc>
          <w:tcPr>
            <w:tcW w:w="1323" w:type="pct"/>
            <w:tcBorders>
              <w:top w:val="single" w:sz="4" w:space="0" w:color="auto"/>
              <w:left w:val="nil"/>
              <w:bottom w:val="single" w:sz="4" w:space="0" w:color="auto"/>
              <w:right w:val="nil"/>
            </w:tcBorders>
            <w:hideMark/>
          </w:tcPr>
          <w:p w14:paraId="3949375E" w14:textId="77777777" w:rsidR="00B96128" w:rsidRDefault="00B96128">
            <w:pPr>
              <w:jc w:val="center"/>
              <w:rPr>
                <w:rFonts w:ascii="Times New Roman" w:hAnsi="Times New Roman" w:cs="Times New Roman"/>
                <w:b/>
                <w:sz w:val="24"/>
                <w:szCs w:val="24"/>
              </w:rPr>
            </w:pPr>
            <w:r>
              <w:rPr>
                <w:rFonts w:ascii="Times New Roman" w:hAnsi="Times New Roman" w:cs="Times New Roman"/>
                <w:b/>
                <w:sz w:val="24"/>
                <w:szCs w:val="24"/>
              </w:rPr>
              <w:t>Sandsynlighed for</w:t>
            </w:r>
          </w:p>
          <w:p w14:paraId="48DDDA81" w14:textId="77777777" w:rsidR="00B96128" w:rsidRDefault="00B96128">
            <w:pPr>
              <w:jc w:val="center"/>
              <w:rPr>
                <w:rFonts w:ascii="Times New Roman" w:hAnsi="Times New Roman" w:cs="Times New Roman"/>
                <w:b/>
                <w:sz w:val="24"/>
                <w:szCs w:val="24"/>
              </w:rPr>
            </w:pPr>
            <w:r>
              <w:rPr>
                <w:rFonts w:ascii="Times New Roman" w:hAnsi="Times New Roman" w:cs="Times New Roman"/>
                <w:b/>
                <w:sz w:val="24"/>
                <w:szCs w:val="24"/>
              </w:rPr>
              <w:t>EGFR-mutation</w:t>
            </w:r>
          </w:p>
        </w:tc>
        <w:tc>
          <w:tcPr>
            <w:tcW w:w="2132" w:type="pct"/>
            <w:tcBorders>
              <w:top w:val="single" w:sz="4" w:space="0" w:color="auto"/>
              <w:left w:val="nil"/>
              <w:bottom w:val="single" w:sz="4" w:space="0" w:color="auto"/>
              <w:right w:val="nil"/>
            </w:tcBorders>
            <w:hideMark/>
          </w:tcPr>
          <w:p w14:paraId="02145A0A" w14:textId="77777777" w:rsidR="00B96128" w:rsidRDefault="00B96128">
            <w:pPr>
              <w:jc w:val="center"/>
              <w:rPr>
                <w:rFonts w:ascii="Times New Roman" w:hAnsi="Times New Roman" w:cs="Times New Roman"/>
                <w:b/>
                <w:sz w:val="24"/>
                <w:szCs w:val="24"/>
              </w:rPr>
            </w:pPr>
            <w:r>
              <w:rPr>
                <w:rFonts w:ascii="Times New Roman" w:hAnsi="Times New Roman" w:cs="Times New Roman"/>
                <w:b/>
                <w:sz w:val="24"/>
                <w:szCs w:val="24"/>
              </w:rPr>
              <w:t>Positiv indikator (9,5 % af den totale population har positiv EGFR-mutation (M+))</w:t>
            </w:r>
          </w:p>
        </w:tc>
      </w:tr>
      <w:tr w:rsidR="00B96128" w14:paraId="30B0C5AD" w14:textId="77777777" w:rsidTr="00B96128">
        <w:tc>
          <w:tcPr>
            <w:tcW w:w="943" w:type="pct"/>
            <w:tcBorders>
              <w:top w:val="single" w:sz="4" w:space="0" w:color="auto"/>
              <w:left w:val="nil"/>
              <w:bottom w:val="nil"/>
              <w:right w:val="nil"/>
            </w:tcBorders>
            <w:hideMark/>
          </w:tcPr>
          <w:p w14:paraId="570A8DEF"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Rygestatus</w:t>
            </w:r>
          </w:p>
        </w:tc>
        <w:tc>
          <w:tcPr>
            <w:tcW w:w="602" w:type="pct"/>
            <w:tcBorders>
              <w:top w:val="single" w:sz="4" w:space="0" w:color="auto"/>
              <w:left w:val="nil"/>
              <w:bottom w:val="nil"/>
              <w:right w:val="nil"/>
            </w:tcBorders>
            <w:hideMark/>
          </w:tcPr>
          <w:p w14:paraId="4AF3F412"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&lt; 0,0001</w:t>
            </w:r>
          </w:p>
        </w:tc>
        <w:tc>
          <w:tcPr>
            <w:tcW w:w="1323" w:type="pct"/>
            <w:tcBorders>
              <w:top w:val="single" w:sz="4" w:space="0" w:color="auto"/>
              <w:left w:val="nil"/>
              <w:bottom w:val="nil"/>
              <w:right w:val="nil"/>
            </w:tcBorders>
          </w:tcPr>
          <w:p w14:paraId="0BE7461C"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6,5 gange højere hos dem, der aldrig har røget end hos dem, der har røget på et tidspunkt</w:t>
            </w:r>
          </w:p>
          <w:p w14:paraId="42796568" w14:textId="77777777" w:rsidR="00B96128" w:rsidRDefault="00B96128">
            <w:pPr>
              <w:jc w:val="center"/>
              <w:rPr>
                <w:rFonts w:ascii="Times New Roman" w:hAnsi="Times New Roman" w:cs="Times New Roman"/>
                <w:sz w:val="24"/>
                <w:szCs w:val="24"/>
              </w:rPr>
            </w:pPr>
          </w:p>
        </w:tc>
        <w:tc>
          <w:tcPr>
            <w:tcW w:w="2132" w:type="pct"/>
            <w:tcBorders>
              <w:top w:val="single" w:sz="4" w:space="0" w:color="auto"/>
              <w:left w:val="nil"/>
              <w:bottom w:val="nil"/>
              <w:right w:val="nil"/>
            </w:tcBorders>
            <w:hideMark/>
          </w:tcPr>
          <w:p w14:paraId="46341A54"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28/70 (40 %) af de der aldrig har røget er M+</w:t>
            </w:r>
          </w:p>
          <w:p w14:paraId="57E2D04C"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47/716 (7 %) af de der har røget på et</w:t>
            </w:r>
          </w:p>
          <w:p w14:paraId="335DCDE6"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tidspunkt M+</w:t>
            </w:r>
          </w:p>
        </w:tc>
      </w:tr>
      <w:tr w:rsidR="00B96128" w14:paraId="50D6B4BD" w14:textId="77777777" w:rsidTr="00B96128">
        <w:tc>
          <w:tcPr>
            <w:tcW w:w="943" w:type="pct"/>
            <w:tcBorders>
              <w:top w:val="nil"/>
              <w:left w:val="nil"/>
              <w:bottom w:val="nil"/>
              <w:right w:val="nil"/>
            </w:tcBorders>
            <w:hideMark/>
          </w:tcPr>
          <w:p w14:paraId="089C3E84"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Histologi</w:t>
            </w:r>
          </w:p>
        </w:tc>
        <w:tc>
          <w:tcPr>
            <w:tcW w:w="602" w:type="pct"/>
            <w:tcBorders>
              <w:top w:val="nil"/>
              <w:left w:val="nil"/>
              <w:bottom w:val="nil"/>
              <w:right w:val="nil"/>
            </w:tcBorders>
            <w:hideMark/>
          </w:tcPr>
          <w:p w14:paraId="6D16F80F"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&lt;0,0001</w:t>
            </w:r>
          </w:p>
        </w:tc>
        <w:tc>
          <w:tcPr>
            <w:tcW w:w="1323" w:type="pct"/>
            <w:tcBorders>
              <w:top w:val="nil"/>
              <w:left w:val="nil"/>
              <w:bottom w:val="nil"/>
              <w:right w:val="nil"/>
            </w:tcBorders>
          </w:tcPr>
          <w:p w14:paraId="25375ACD"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 xml:space="preserve">4,4 gange højere hos dem med </w:t>
            </w:r>
            <w:proofErr w:type="spellStart"/>
            <w:r>
              <w:rPr>
                <w:rFonts w:ascii="Times New Roman" w:hAnsi="Times New Roman" w:cs="Times New Roman"/>
                <w:sz w:val="24"/>
                <w:szCs w:val="24"/>
              </w:rPr>
              <w:t>adenokarcinom</w:t>
            </w:r>
            <w:proofErr w:type="spellEnd"/>
            <w:r>
              <w:rPr>
                <w:rFonts w:ascii="Times New Roman" w:hAnsi="Times New Roman" w:cs="Times New Roman"/>
                <w:sz w:val="24"/>
                <w:szCs w:val="24"/>
              </w:rPr>
              <w:t xml:space="preserve"> end hos dem, der ikke har </w:t>
            </w:r>
            <w:proofErr w:type="spellStart"/>
            <w:r>
              <w:rPr>
                <w:rFonts w:ascii="Times New Roman" w:hAnsi="Times New Roman" w:cs="Times New Roman"/>
                <w:sz w:val="24"/>
                <w:szCs w:val="24"/>
              </w:rPr>
              <w:t>adenokarcinom</w:t>
            </w:r>
            <w:proofErr w:type="spellEnd"/>
          </w:p>
          <w:p w14:paraId="57A32DFB" w14:textId="77777777" w:rsidR="00B96128" w:rsidRDefault="00B96128">
            <w:pPr>
              <w:jc w:val="center"/>
              <w:rPr>
                <w:rFonts w:ascii="Times New Roman" w:hAnsi="Times New Roman" w:cs="Times New Roman"/>
                <w:sz w:val="24"/>
                <w:szCs w:val="24"/>
              </w:rPr>
            </w:pPr>
          </w:p>
        </w:tc>
        <w:tc>
          <w:tcPr>
            <w:tcW w:w="2132" w:type="pct"/>
            <w:tcBorders>
              <w:top w:val="nil"/>
              <w:left w:val="nil"/>
              <w:bottom w:val="nil"/>
              <w:right w:val="nil"/>
            </w:tcBorders>
            <w:hideMark/>
          </w:tcPr>
          <w:p w14:paraId="2A27E946"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 xml:space="preserve">63/396 (16 %) af patienterne med </w:t>
            </w:r>
            <w:proofErr w:type="spellStart"/>
            <w:r>
              <w:rPr>
                <w:rFonts w:ascii="Times New Roman" w:hAnsi="Times New Roman" w:cs="Times New Roman"/>
                <w:sz w:val="24"/>
                <w:szCs w:val="24"/>
              </w:rPr>
              <w:t>adenokarcinom</w:t>
            </w:r>
            <w:proofErr w:type="spellEnd"/>
            <w:r>
              <w:rPr>
                <w:rFonts w:ascii="Times New Roman" w:hAnsi="Times New Roman" w:cs="Times New Roman"/>
                <w:sz w:val="24"/>
                <w:szCs w:val="24"/>
              </w:rPr>
              <w:t xml:space="preserve"> histologitype er M+</w:t>
            </w:r>
          </w:p>
          <w:p w14:paraId="582CFC44"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 xml:space="preserve">12/390 (3 %) af patienterne der ikke har </w:t>
            </w:r>
            <w:proofErr w:type="spellStart"/>
            <w:r>
              <w:rPr>
                <w:rFonts w:ascii="Times New Roman" w:hAnsi="Times New Roman" w:cs="Times New Roman"/>
                <w:sz w:val="24"/>
                <w:szCs w:val="24"/>
              </w:rPr>
              <w:t>adenokarcinom</w:t>
            </w:r>
            <w:proofErr w:type="spellEnd"/>
            <w:r>
              <w:rPr>
                <w:rFonts w:ascii="Times New Roman" w:hAnsi="Times New Roman" w:cs="Times New Roman"/>
                <w:sz w:val="24"/>
                <w:szCs w:val="24"/>
              </w:rPr>
              <w:t xml:space="preserve"> histologitype er M+</w:t>
            </w:r>
          </w:p>
        </w:tc>
      </w:tr>
      <w:tr w:rsidR="00B96128" w14:paraId="26FA2A11" w14:textId="77777777" w:rsidTr="00B96128">
        <w:tc>
          <w:tcPr>
            <w:tcW w:w="943" w:type="pct"/>
            <w:tcBorders>
              <w:top w:val="nil"/>
              <w:left w:val="nil"/>
              <w:bottom w:val="single" w:sz="4" w:space="0" w:color="auto"/>
              <w:right w:val="nil"/>
            </w:tcBorders>
            <w:hideMark/>
          </w:tcPr>
          <w:p w14:paraId="57E0900C"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Køn</w:t>
            </w:r>
          </w:p>
        </w:tc>
        <w:tc>
          <w:tcPr>
            <w:tcW w:w="602" w:type="pct"/>
            <w:tcBorders>
              <w:top w:val="nil"/>
              <w:left w:val="nil"/>
              <w:bottom w:val="single" w:sz="4" w:space="0" w:color="auto"/>
              <w:right w:val="nil"/>
            </w:tcBorders>
            <w:hideMark/>
          </w:tcPr>
          <w:p w14:paraId="5D0310F2"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0,0397</w:t>
            </w:r>
          </w:p>
        </w:tc>
        <w:tc>
          <w:tcPr>
            <w:tcW w:w="1323" w:type="pct"/>
            <w:tcBorders>
              <w:top w:val="nil"/>
              <w:left w:val="nil"/>
              <w:bottom w:val="single" w:sz="4" w:space="0" w:color="auto"/>
              <w:right w:val="nil"/>
            </w:tcBorders>
            <w:hideMark/>
          </w:tcPr>
          <w:p w14:paraId="59AE0607"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1,7 gange højere hos kvinder end hos mænd</w:t>
            </w:r>
          </w:p>
        </w:tc>
        <w:tc>
          <w:tcPr>
            <w:tcW w:w="2132" w:type="pct"/>
            <w:tcBorders>
              <w:top w:val="nil"/>
              <w:left w:val="nil"/>
              <w:bottom w:val="single" w:sz="4" w:space="0" w:color="auto"/>
              <w:right w:val="nil"/>
            </w:tcBorders>
            <w:hideMark/>
          </w:tcPr>
          <w:p w14:paraId="042A2CE3"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40/235 (17 %) af kvinderne er M+</w:t>
            </w:r>
          </w:p>
          <w:p w14:paraId="6108BAFB" w14:textId="77777777" w:rsidR="00B96128" w:rsidRDefault="00B96128">
            <w:pPr>
              <w:jc w:val="center"/>
              <w:rPr>
                <w:rFonts w:ascii="Times New Roman" w:hAnsi="Times New Roman" w:cs="Times New Roman"/>
                <w:sz w:val="24"/>
                <w:szCs w:val="24"/>
              </w:rPr>
            </w:pPr>
            <w:r>
              <w:rPr>
                <w:rFonts w:ascii="Times New Roman" w:hAnsi="Times New Roman" w:cs="Times New Roman"/>
                <w:sz w:val="24"/>
                <w:szCs w:val="24"/>
              </w:rPr>
              <w:t>35/551 (6 %) af mændene er M+</w:t>
            </w:r>
          </w:p>
        </w:tc>
      </w:tr>
    </w:tbl>
    <w:p w14:paraId="662CA3D1" w14:textId="77777777" w:rsidR="00B96128" w:rsidRDefault="00B96128" w:rsidP="00B96128">
      <w:pPr>
        <w:tabs>
          <w:tab w:val="left" w:pos="567"/>
        </w:tabs>
        <w:ind w:left="851" w:hanging="851"/>
        <w:rPr>
          <w:sz w:val="24"/>
          <w:szCs w:val="24"/>
        </w:rPr>
      </w:pPr>
      <w:r>
        <w:rPr>
          <w:sz w:val="24"/>
          <w:szCs w:val="24"/>
        </w:rPr>
        <w:t>* fra følgende studier: INTEREST, ISEL, INTACT 1&amp;2, IDEAL 1&amp;2, INVITE</w:t>
      </w:r>
    </w:p>
    <w:p w14:paraId="59957A5E" w14:textId="77777777" w:rsidR="009F4442" w:rsidRPr="009A35D6" w:rsidRDefault="009F4442" w:rsidP="009F4442">
      <w:pPr>
        <w:tabs>
          <w:tab w:val="left" w:pos="851"/>
        </w:tabs>
        <w:ind w:left="851" w:hanging="851"/>
        <w:rPr>
          <w:sz w:val="24"/>
          <w:szCs w:val="24"/>
        </w:rPr>
      </w:pPr>
    </w:p>
    <w:p w14:paraId="56844223" w14:textId="77777777" w:rsidR="009F4442" w:rsidRPr="009A35D6" w:rsidRDefault="009F4442" w:rsidP="009F4442">
      <w:pPr>
        <w:tabs>
          <w:tab w:val="left" w:pos="851"/>
        </w:tabs>
        <w:ind w:left="851" w:hanging="851"/>
        <w:rPr>
          <w:b/>
          <w:sz w:val="24"/>
          <w:szCs w:val="24"/>
        </w:rPr>
      </w:pPr>
      <w:r w:rsidRPr="009A35D6">
        <w:rPr>
          <w:b/>
          <w:sz w:val="24"/>
          <w:szCs w:val="24"/>
        </w:rPr>
        <w:t>5.2</w:t>
      </w:r>
      <w:r w:rsidRPr="009A35D6">
        <w:rPr>
          <w:b/>
          <w:sz w:val="24"/>
          <w:szCs w:val="24"/>
        </w:rPr>
        <w:tab/>
      </w:r>
      <w:proofErr w:type="spellStart"/>
      <w:r w:rsidRPr="009A35D6">
        <w:rPr>
          <w:b/>
          <w:sz w:val="24"/>
          <w:szCs w:val="24"/>
        </w:rPr>
        <w:t>Farmakokinetiske</w:t>
      </w:r>
      <w:proofErr w:type="spellEnd"/>
      <w:r w:rsidRPr="009A35D6">
        <w:rPr>
          <w:b/>
          <w:sz w:val="24"/>
          <w:szCs w:val="24"/>
        </w:rPr>
        <w:t xml:space="preserve"> egenskaber</w:t>
      </w:r>
    </w:p>
    <w:p w14:paraId="2AEA1853" w14:textId="77777777" w:rsidR="009F4442" w:rsidRDefault="009F4442" w:rsidP="009F4442">
      <w:pPr>
        <w:tabs>
          <w:tab w:val="left" w:pos="851"/>
        </w:tabs>
        <w:ind w:left="851" w:hanging="851"/>
        <w:rPr>
          <w:sz w:val="24"/>
          <w:szCs w:val="24"/>
          <w:u w:val="single"/>
        </w:rPr>
      </w:pPr>
    </w:p>
    <w:p w14:paraId="71B3F94C" w14:textId="77777777" w:rsidR="009F4442" w:rsidRPr="009A35D6" w:rsidRDefault="009F4442" w:rsidP="009F4442">
      <w:pPr>
        <w:tabs>
          <w:tab w:val="left" w:pos="851"/>
        </w:tabs>
        <w:ind w:left="851"/>
        <w:rPr>
          <w:sz w:val="24"/>
          <w:szCs w:val="24"/>
          <w:u w:val="single"/>
        </w:rPr>
      </w:pPr>
      <w:r w:rsidRPr="009A35D6">
        <w:rPr>
          <w:sz w:val="24"/>
          <w:szCs w:val="24"/>
          <w:u w:val="single"/>
        </w:rPr>
        <w:t>Absorption</w:t>
      </w:r>
    </w:p>
    <w:p w14:paraId="206FCDF3" w14:textId="77777777" w:rsidR="009F4442" w:rsidRPr="009A35D6" w:rsidRDefault="009F4442" w:rsidP="009F4442">
      <w:pPr>
        <w:tabs>
          <w:tab w:val="left" w:pos="851"/>
        </w:tabs>
        <w:ind w:left="851"/>
        <w:rPr>
          <w:sz w:val="24"/>
          <w:szCs w:val="24"/>
        </w:rPr>
      </w:pPr>
      <w:r w:rsidRPr="009A35D6">
        <w:rPr>
          <w:sz w:val="24"/>
          <w:szCs w:val="24"/>
        </w:rPr>
        <w:t xml:space="preserve">Efter oral administration af </w:t>
      </w:r>
      <w:proofErr w:type="spellStart"/>
      <w:r w:rsidRPr="009A35D6">
        <w:rPr>
          <w:sz w:val="24"/>
          <w:szCs w:val="24"/>
        </w:rPr>
        <w:t>gefitinib</w:t>
      </w:r>
      <w:proofErr w:type="spellEnd"/>
      <w:r w:rsidRPr="009A35D6">
        <w:rPr>
          <w:sz w:val="24"/>
          <w:szCs w:val="24"/>
        </w:rPr>
        <w:t xml:space="preserve"> er absorptionen moderat langsom og den maksimale plasmakoncentration opnås typisk 3 til 7 timer efter administration. Den gennemsnitlige absolutte biotilgængelighed hos cancerpatienter er 59 %. Indtagelse af mad ændrer ikke eksponeringen for </w:t>
      </w:r>
      <w:proofErr w:type="spellStart"/>
      <w:r w:rsidRPr="009A35D6">
        <w:rPr>
          <w:sz w:val="24"/>
          <w:szCs w:val="24"/>
        </w:rPr>
        <w:t>gefitinib</w:t>
      </w:r>
      <w:proofErr w:type="spellEnd"/>
      <w:r w:rsidRPr="009A35D6">
        <w:rPr>
          <w:sz w:val="24"/>
          <w:szCs w:val="24"/>
        </w:rPr>
        <w:t xml:space="preserve"> signifikant. </w:t>
      </w:r>
      <w:proofErr w:type="spellStart"/>
      <w:r w:rsidRPr="009A35D6">
        <w:rPr>
          <w:sz w:val="24"/>
          <w:szCs w:val="24"/>
        </w:rPr>
        <w:t>Gefitinibs</w:t>
      </w:r>
      <w:proofErr w:type="spellEnd"/>
      <w:r w:rsidRPr="009A35D6">
        <w:rPr>
          <w:sz w:val="24"/>
          <w:szCs w:val="24"/>
        </w:rPr>
        <w:t xml:space="preserve"> eksponering reduceredes med 47 % i et studie med raske frivillige forsøgspersoner, hvor gastrisk pH var fastholdt over 5. Årsagen er sandsynligvis dårlig opløselighed af </w:t>
      </w:r>
      <w:proofErr w:type="spellStart"/>
      <w:r w:rsidRPr="009A35D6">
        <w:rPr>
          <w:sz w:val="24"/>
          <w:szCs w:val="24"/>
        </w:rPr>
        <w:t>gefitinib</w:t>
      </w:r>
      <w:proofErr w:type="spellEnd"/>
      <w:r w:rsidRPr="009A35D6">
        <w:rPr>
          <w:sz w:val="24"/>
          <w:szCs w:val="24"/>
        </w:rPr>
        <w:t xml:space="preserve"> i maven (se pkt. 4.4 og 4.5).</w:t>
      </w:r>
    </w:p>
    <w:p w14:paraId="7C3CA822" w14:textId="77777777" w:rsidR="009F4442" w:rsidRPr="009A35D6" w:rsidRDefault="009F4442" w:rsidP="009F4442">
      <w:pPr>
        <w:tabs>
          <w:tab w:val="left" w:pos="851"/>
        </w:tabs>
        <w:ind w:left="851"/>
        <w:rPr>
          <w:sz w:val="24"/>
          <w:szCs w:val="24"/>
        </w:rPr>
      </w:pPr>
    </w:p>
    <w:p w14:paraId="3E0B1DC8" w14:textId="77777777" w:rsidR="009F4442" w:rsidRPr="009A35D6" w:rsidRDefault="009F4442" w:rsidP="009F4442">
      <w:pPr>
        <w:tabs>
          <w:tab w:val="left" w:pos="851"/>
        </w:tabs>
        <w:ind w:left="851"/>
        <w:rPr>
          <w:sz w:val="24"/>
          <w:szCs w:val="24"/>
          <w:u w:val="single"/>
        </w:rPr>
      </w:pPr>
      <w:r w:rsidRPr="009A35D6">
        <w:rPr>
          <w:sz w:val="24"/>
          <w:szCs w:val="24"/>
          <w:u w:val="single"/>
        </w:rPr>
        <w:t>Fordeling</w:t>
      </w:r>
    </w:p>
    <w:p w14:paraId="4B825E31" w14:textId="77777777" w:rsidR="009F4442" w:rsidRPr="009A35D6" w:rsidRDefault="009F4442" w:rsidP="009F4442">
      <w:pPr>
        <w:tabs>
          <w:tab w:val="left" w:pos="851"/>
        </w:tabs>
        <w:ind w:left="851"/>
        <w:rPr>
          <w:sz w:val="24"/>
          <w:szCs w:val="24"/>
        </w:rPr>
      </w:pPr>
      <w:proofErr w:type="spellStart"/>
      <w:r w:rsidRPr="009A35D6">
        <w:rPr>
          <w:sz w:val="24"/>
          <w:szCs w:val="24"/>
        </w:rPr>
        <w:t>Gefitinib</w:t>
      </w:r>
      <w:proofErr w:type="spellEnd"/>
      <w:r w:rsidRPr="009A35D6">
        <w:rPr>
          <w:sz w:val="24"/>
          <w:szCs w:val="24"/>
        </w:rPr>
        <w:t xml:space="preserve"> har et gennemsnitligt </w:t>
      </w:r>
      <w:proofErr w:type="spellStart"/>
      <w:r w:rsidRPr="009A35D6">
        <w:rPr>
          <w:sz w:val="24"/>
          <w:szCs w:val="24"/>
        </w:rPr>
        <w:t>steady</w:t>
      </w:r>
      <w:proofErr w:type="spellEnd"/>
      <w:r w:rsidRPr="009A35D6">
        <w:rPr>
          <w:sz w:val="24"/>
          <w:szCs w:val="24"/>
        </w:rPr>
        <w:t xml:space="preserve">-state-volumen på 1400 l, hvilket tyder på, at der sker en omfattende distribution til væv. Plasma-proteinbindingen er ca. 90 %. </w:t>
      </w:r>
      <w:proofErr w:type="spellStart"/>
      <w:r w:rsidRPr="009A35D6">
        <w:rPr>
          <w:sz w:val="24"/>
          <w:szCs w:val="24"/>
        </w:rPr>
        <w:t>Gefitinib</w:t>
      </w:r>
      <w:proofErr w:type="spellEnd"/>
      <w:r w:rsidRPr="009A35D6">
        <w:rPr>
          <w:sz w:val="24"/>
          <w:szCs w:val="24"/>
        </w:rPr>
        <w:t xml:space="preserve"> bindes til serumalbumin og surt α-1- -</w:t>
      </w:r>
      <w:proofErr w:type="spellStart"/>
      <w:r w:rsidRPr="009A35D6">
        <w:rPr>
          <w:sz w:val="24"/>
          <w:szCs w:val="24"/>
        </w:rPr>
        <w:t>glykoprotein</w:t>
      </w:r>
      <w:proofErr w:type="spellEnd"/>
      <w:r w:rsidRPr="009A35D6">
        <w:rPr>
          <w:sz w:val="24"/>
          <w:szCs w:val="24"/>
        </w:rPr>
        <w:t xml:space="preserve">. </w:t>
      </w:r>
    </w:p>
    <w:p w14:paraId="63646427" w14:textId="77777777" w:rsidR="009F4442" w:rsidRPr="009A35D6" w:rsidRDefault="009F4442" w:rsidP="009F4442">
      <w:pPr>
        <w:tabs>
          <w:tab w:val="left" w:pos="851"/>
        </w:tabs>
        <w:ind w:left="851"/>
        <w:rPr>
          <w:sz w:val="24"/>
          <w:szCs w:val="24"/>
        </w:rPr>
      </w:pPr>
    </w:p>
    <w:p w14:paraId="1D630AA8" w14:textId="77777777" w:rsidR="009F4442" w:rsidRPr="009A35D6" w:rsidRDefault="009F4442" w:rsidP="009F4442">
      <w:pPr>
        <w:tabs>
          <w:tab w:val="left" w:pos="851"/>
        </w:tabs>
        <w:ind w:left="851"/>
        <w:rPr>
          <w:sz w:val="24"/>
          <w:szCs w:val="24"/>
        </w:rPr>
      </w:pPr>
      <w:r w:rsidRPr="009A35D6">
        <w:rPr>
          <w:i/>
          <w:sz w:val="24"/>
          <w:szCs w:val="24"/>
        </w:rPr>
        <w:t xml:space="preserve">In </w:t>
      </w:r>
      <w:proofErr w:type="spellStart"/>
      <w:r w:rsidRPr="009A35D6">
        <w:rPr>
          <w:i/>
          <w:sz w:val="24"/>
          <w:szCs w:val="24"/>
        </w:rPr>
        <w:t>vitro</w:t>
      </w:r>
      <w:proofErr w:type="spellEnd"/>
      <w:r w:rsidRPr="009A35D6">
        <w:rPr>
          <w:sz w:val="24"/>
          <w:szCs w:val="24"/>
        </w:rPr>
        <w:t xml:space="preserve">-data indikerer, at </w:t>
      </w:r>
      <w:proofErr w:type="spellStart"/>
      <w:r w:rsidRPr="009A35D6">
        <w:rPr>
          <w:sz w:val="24"/>
          <w:szCs w:val="24"/>
        </w:rPr>
        <w:t>gefitinib</w:t>
      </w:r>
      <w:proofErr w:type="spellEnd"/>
      <w:r w:rsidRPr="009A35D6">
        <w:rPr>
          <w:sz w:val="24"/>
          <w:szCs w:val="24"/>
        </w:rPr>
        <w:t xml:space="preserve"> er et substrat for membrantransportproteinet </w:t>
      </w:r>
      <w:proofErr w:type="spellStart"/>
      <w:r w:rsidRPr="009A35D6">
        <w:rPr>
          <w:sz w:val="24"/>
          <w:szCs w:val="24"/>
        </w:rPr>
        <w:t>Pg</w:t>
      </w:r>
      <w:proofErr w:type="spellEnd"/>
      <w:r w:rsidRPr="009A35D6">
        <w:rPr>
          <w:sz w:val="24"/>
          <w:szCs w:val="24"/>
        </w:rPr>
        <w:t>-p.</w:t>
      </w:r>
    </w:p>
    <w:p w14:paraId="7B9C8460" w14:textId="77777777" w:rsidR="009F4442" w:rsidRPr="009A35D6" w:rsidRDefault="009F4442" w:rsidP="009F4442">
      <w:pPr>
        <w:tabs>
          <w:tab w:val="left" w:pos="851"/>
        </w:tabs>
        <w:ind w:left="851"/>
        <w:rPr>
          <w:sz w:val="24"/>
          <w:szCs w:val="24"/>
        </w:rPr>
      </w:pPr>
    </w:p>
    <w:p w14:paraId="3E8F63AA" w14:textId="77777777" w:rsidR="009F4442" w:rsidRPr="009A35D6" w:rsidRDefault="009F4442" w:rsidP="009F4442">
      <w:pPr>
        <w:tabs>
          <w:tab w:val="left" w:pos="851"/>
        </w:tabs>
        <w:ind w:left="851"/>
        <w:rPr>
          <w:sz w:val="24"/>
          <w:szCs w:val="24"/>
          <w:u w:val="single"/>
        </w:rPr>
      </w:pPr>
      <w:r w:rsidRPr="009A35D6">
        <w:rPr>
          <w:sz w:val="24"/>
          <w:szCs w:val="24"/>
          <w:u w:val="single"/>
        </w:rPr>
        <w:t>Biotransformation</w:t>
      </w:r>
    </w:p>
    <w:p w14:paraId="1DEF564A" w14:textId="77777777" w:rsidR="009F4442" w:rsidRPr="009A35D6" w:rsidRDefault="009F4442" w:rsidP="009F4442">
      <w:pPr>
        <w:tabs>
          <w:tab w:val="left" w:pos="851"/>
        </w:tabs>
        <w:ind w:left="851"/>
        <w:rPr>
          <w:sz w:val="24"/>
          <w:szCs w:val="24"/>
        </w:rPr>
      </w:pPr>
      <w:r w:rsidRPr="009A35D6">
        <w:rPr>
          <w:i/>
          <w:sz w:val="24"/>
          <w:szCs w:val="24"/>
        </w:rPr>
        <w:t xml:space="preserve">In </w:t>
      </w:r>
      <w:proofErr w:type="spellStart"/>
      <w:r w:rsidRPr="009A35D6">
        <w:rPr>
          <w:i/>
          <w:sz w:val="24"/>
          <w:szCs w:val="24"/>
        </w:rPr>
        <w:t>vitro</w:t>
      </w:r>
      <w:proofErr w:type="spellEnd"/>
      <w:r w:rsidRPr="009A35D6">
        <w:rPr>
          <w:sz w:val="24"/>
          <w:szCs w:val="24"/>
        </w:rPr>
        <w:t xml:space="preserve">-data indikerer, at CYP34A og CYP2D6 er de P450-isozymer, der overvejende er involveret i den </w:t>
      </w:r>
      <w:proofErr w:type="spellStart"/>
      <w:r w:rsidRPr="009A35D6">
        <w:rPr>
          <w:sz w:val="24"/>
          <w:szCs w:val="24"/>
        </w:rPr>
        <w:t>oxidative</w:t>
      </w:r>
      <w:proofErr w:type="spellEnd"/>
      <w:r w:rsidRPr="009A35D6">
        <w:rPr>
          <w:sz w:val="24"/>
          <w:szCs w:val="24"/>
        </w:rPr>
        <w:t xml:space="preserve"> </w:t>
      </w:r>
      <w:proofErr w:type="spellStart"/>
      <w:r w:rsidRPr="009A35D6">
        <w:rPr>
          <w:sz w:val="24"/>
          <w:szCs w:val="24"/>
        </w:rPr>
        <w:t>metabolisering</w:t>
      </w:r>
      <w:proofErr w:type="spellEnd"/>
      <w:r w:rsidRPr="009A35D6">
        <w:rPr>
          <w:sz w:val="24"/>
          <w:szCs w:val="24"/>
        </w:rPr>
        <w:t xml:space="preserve"> af </w:t>
      </w:r>
      <w:proofErr w:type="spellStart"/>
      <w:r w:rsidRPr="009A35D6">
        <w:rPr>
          <w:sz w:val="24"/>
          <w:szCs w:val="24"/>
        </w:rPr>
        <w:t>gefitinib</w:t>
      </w:r>
      <w:proofErr w:type="spellEnd"/>
      <w:r w:rsidRPr="009A35D6">
        <w:rPr>
          <w:sz w:val="24"/>
          <w:szCs w:val="24"/>
        </w:rPr>
        <w:t>.</w:t>
      </w:r>
    </w:p>
    <w:p w14:paraId="01CE0D15" w14:textId="77777777" w:rsidR="009F4442" w:rsidRPr="009A35D6" w:rsidRDefault="009F4442" w:rsidP="009F4442">
      <w:pPr>
        <w:tabs>
          <w:tab w:val="left" w:pos="851"/>
        </w:tabs>
        <w:ind w:left="851"/>
        <w:rPr>
          <w:i/>
          <w:sz w:val="24"/>
          <w:szCs w:val="24"/>
        </w:rPr>
      </w:pPr>
    </w:p>
    <w:p w14:paraId="58D89AF2" w14:textId="77777777" w:rsidR="009F4442" w:rsidRPr="009A35D6" w:rsidRDefault="009F4442" w:rsidP="009F4442">
      <w:pPr>
        <w:tabs>
          <w:tab w:val="left" w:pos="851"/>
        </w:tabs>
        <w:ind w:left="851"/>
        <w:rPr>
          <w:sz w:val="24"/>
          <w:szCs w:val="24"/>
        </w:rPr>
      </w:pPr>
      <w:r w:rsidRPr="009A35D6">
        <w:rPr>
          <w:i/>
          <w:sz w:val="24"/>
          <w:szCs w:val="24"/>
        </w:rPr>
        <w:t xml:space="preserve">In </w:t>
      </w:r>
      <w:proofErr w:type="spellStart"/>
      <w:r w:rsidRPr="009A35D6">
        <w:rPr>
          <w:i/>
          <w:sz w:val="24"/>
          <w:szCs w:val="24"/>
        </w:rPr>
        <w:t>vitro</w:t>
      </w:r>
      <w:proofErr w:type="spellEnd"/>
      <w:r w:rsidRPr="009A35D6">
        <w:rPr>
          <w:sz w:val="24"/>
          <w:szCs w:val="24"/>
        </w:rPr>
        <w:t xml:space="preserve">-studier har vist, at </w:t>
      </w:r>
      <w:proofErr w:type="spellStart"/>
      <w:r w:rsidRPr="009A35D6">
        <w:rPr>
          <w:sz w:val="24"/>
          <w:szCs w:val="24"/>
        </w:rPr>
        <w:t>gefitinib</w:t>
      </w:r>
      <w:proofErr w:type="spellEnd"/>
      <w:r w:rsidRPr="009A35D6">
        <w:rPr>
          <w:sz w:val="24"/>
          <w:szCs w:val="24"/>
        </w:rPr>
        <w:t xml:space="preserve"> har begrænset potentiale for at hæmme CYP2D6. </w:t>
      </w:r>
      <w:proofErr w:type="spellStart"/>
      <w:r w:rsidRPr="009A35D6">
        <w:rPr>
          <w:sz w:val="24"/>
          <w:szCs w:val="24"/>
        </w:rPr>
        <w:t>Gefitinib</w:t>
      </w:r>
      <w:proofErr w:type="spellEnd"/>
      <w:r w:rsidRPr="009A35D6">
        <w:rPr>
          <w:sz w:val="24"/>
          <w:szCs w:val="24"/>
        </w:rPr>
        <w:t xml:space="preserve"> udviser ingen enzym-induktionseffekter i dyreforsøg og ingen signifikant hæmning (</w:t>
      </w:r>
      <w:r w:rsidRPr="009A35D6">
        <w:rPr>
          <w:i/>
          <w:sz w:val="24"/>
          <w:szCs w:val="24"/>
        </w:rPr>
        <w:t xml:space="preserve">in </w:t>
      </w:r>
      <w:proofErr w:type="spellStart"/>
      <w:r w:rsidRPr="009A35D6">
        <w:rPr>
          <w:i/>
          <w:sz w:val="24"/>
          <w:szCs w:val="24"/>
        </w:rPr>
        <w:t>vitro</w:t>
      </w:r>
      <w:proofErr w:type="spellEnd"/>
      <w:r w:rsidRPr="009A35D6">
        <w:rPr>
          <w:sz w:val="24"/>
          <w:szCs w:val="24"/>
        </w:rPr>
        <w:t>) af nogen andre P450-enzymer.</w:t>
      </w:r>
    </w:p>
    <w:p w14:paraId="08BD183A" w14:textId="77777777" w:rsidR="009F4442" w:rsidRPr="009A35D6" w:rsidRDefault="009F4442" w:rsidP="009F4442">
      <w:pPr>
        <w:tabs>
          <w:tab w:val="left" w:pos="851"/>
        </w:tabs>
        <w:ind w:left="851"/>
        <w:rPr>
          <w:sz w:val="24"/>
          <w:szCs w:val="24"/>
        </w:rPr>
      </w:pPr>
    </w:p>
    <w:p w14:paraId="5957192C" w14:textId="77777777" w:rsidR="009F4442" w:rsidRPr="009A35D6" w:rsidRDefault="009F4442" w:rsidP="009F4442">
      <w:pPr>
        <w:tabs>
          <w:tab w:val="left" w:pos="851"/>
        </w:tabs>
        <w:ind w:left="851"/>
        <w:rPr>
          <w:sz w:val="24"/>
          <w:szCs w:val="24"/>
        </w:rPr>
      </w:pPr>
      <w:proofErr w:type="spellStart"/>
      <w:r w:rsidRPr="009A35D6">
        <w:rPr>
          <w:sz w:val="24"/>
          <w:szCs w:val="24"/>
        </w:rPr>
        <w:t>Gefitinib</w:t>
      </w:r>
      <w:proofErr w:type="spellEnd"/>
      <w:r w:rsidRPr="009A35D6">
        <w:rPr>
          <w:sz w:val="24"/>
          <w:szCs w:val="24"/>
        </w:rPr>
        <w:t xml:space="preserve"> </w:t>
      </w:r>
      <w:proofErr w:type="spellStart"/>
      <w:r w:rsidRPr="009A35D6">
        <w:rPr>
          <w:sz w:val="24"/>
          <w:szCs w:val="24"/>
        </w:rPr>
        <w:t>metaboliseres</w:t>
      </w:r>
      <w:proofErr w:type="spellEnd"/>
      <w:r w:rsidRPr="009A35D6">
        <w:rPr>
          <w:sz w:val="24"/>
          <w:szCs w:val="24"/>
        </w:rPr>
        <w:t xml:space="preserve"> i stort omfang hos mennesker. Der er identificeret 5 metabolitter i </w:t>
      </w:r>
      <w:proofErr w:type="spellStart"/>
      <w:r w:rsidRPr="009A35D6">
        <w:rPr>
          <w:sz w:val="24"/>
          <w:szCs w:val="24"/>
        </w:rPr>
        <w:t>ekskret</w:t>
      </w:r>
      <w:proofErr w:type="spellEnd"/>
      <w:r w:rsidRPr="009A35D6">
        <w:rPr>
          <w:sz w:val="24"/>
          <w:szCs w:val="24"/>
        </w:rPr>
        <w:t xml:space="preserve"> og 8 metabolitter i plasma. O-</w:t>
      </w:r>
      <w:proofErr w:type="spellStart"/>
      <w:r w:rsidRPr="009A35D6">
        <w:rPr>
          <w:sz w:val="24"/>
          <w:szCs w:val="24"/>
        </w:rPr>
        <w:t>desmethyl</w:t>
      </w:r>
      <w:proofErr w:type="spellEnd"/>
      <w:r w:rsidRPr="009A35D6">
        <w:rPr>
          <w:sz w:val="24"/>
          <w:szCs w:val="24"/>
        </w:rPr>
        <w:t>-</w:t>
      </w:r>
      <w:proofErr w:type="spellStart"/>
      <w:r w:rsidRPr="009A35D6">
        <w:rPr>
          <w:sz w:val="24"/>
          <w:szCs w:val="24"/>
        </w:rPr>
        <w:t>gefitinib</w:t>
      </w:r>
      <w:proofErr w:type="spellEnd"/>
      <w:r w:rsidRPr="009A35D6">
        <w:rPr>
          <w:sz w:val="24"/>
          <w:szCs w:val="24"/>
        </w:rPr>
        <w:t xml:space="preserve"> er identificeret som hovedmetabolitten. Den er 14 gange mindre potent end </w:t>
      </w:r>
      <w:proofErr w:type="spellStart"/>
      <w:r w:rsidRPr="009A35D6">
        <w:rPr>
          <w:sz w:val="24"/>
          <w:szCs w:val="24"/>
        </w:rPr>
        <w:t>gefitinib</w:t>
      </w:r>
      <w:proofErr w:type="spellEnd"/>
      <w:r w:rsidRPr="009A35D6">
        <w:rPr>
          <w:sz w:val="24"/>
          <w:szCs w:val="24"/>
        </w:rPr>
        <w:t xml:space="preserve"> til at hæmme EGFR-stimuleret cellevækst, og har ingen hæmmende effekt på tumorcellevækst i mus. Derfor betragtes det som usandsynligt, at den bidrager til </w:t>
      </w:r>
      <w:proofErr w:type="spellStart"/>
      <w:r w:rsidRPr="009A35D6">
        <w:rPr>
          <w:sz w:val="24"/>
          <w:szCs w:val="24"/>
        </w:rPr>
        <w:t>gefitinibs</w:t>
      </w:r>
      <w:proofErr w:type="spellEnd"/>
      <w:r w:rsidRPr="009A35D6">
        <w:rPr>
          <w:sz w:val="24"/>
          <w:szCs w:val="24"/>
        </w:rPr>
        <w:t xml:space="preserve"> kliniske effekt.</w:t>
      </w:r>
    </w:p>
    <w:p w14:paraId="7D6D9E59" w14:textId="77777777" w:rsidR="009F4442" w:rsidRPr="009A35D6" w:rsidRDefault="009F4442" w:rsidP="009F4442">
      <w:pPr>
        <w:tabs>
          <w:tab w:val="left" w:pos="851"/>
        </w:tabs>
        <w:ind w:left="851"/>
        <w:rPr>
          <w:sz w:val="24"/>
          <w:szCs w:val="24"/>
        </w:rPr>
      </w:pPr>
    </w:p>
    <w:p w14:paraId="7160B5B7" w14:textId="77777777" w:rsidR="009F4442" w:rsidRPr="009A35D6" w:rsidRDefault="009F4442" w:rsidP="009F4442">
      <w:pPr>
        <w:tabs>
          <w:tab w:val="left" w:pos="851"/>
        </w:tabs>
        <w:ind w:left="851"/>
        <w:rPr>
          <w:sz w:val="24"/>
          <w:szCs w:val="24"/>
        </w:rPr>
      </w:pPr>
      <w:r w:rsidRPr="009A35D6">
        <w:rPr>
          <w:i/>
          <w:sz w:val="24"/>
          <w:szCs w:val="24"/>
        </w:rPr>
        <w:t xml:space="preserve">In </w:t>
      </w:r>
      <w:proofErr w:type="spellStart"/>
      <w:r w:rsidRPr="009A35D6">
        <w:rPr>
          <w:i/>
          <w:sz w:val="24"/>
          <w:szCs w:val="24"/>
        </w:rPr>
        <w:t>vitro</w:t>
      </w:r>
      <w:proofErr w:type="spellEnd"/>
      <w:r w:rsidRPr="009A35D6">
        <w:rPr>
          <w:sz w:val="24"/>
          <w:szCs w:val="24"/>
        </w:rPr>
        <w:t xml:space="preserve"> har det vist sig, at dannelsen af O-</w:t>
      </w:r>
      <w:proofErr w:type="spellStart"/>
      <w:r w:rsidRPr="009A35D6">
        <w:rPr>
          <w:sz w:val="24"/>
          <w:szCs w:val="24"/>
        </w:rPr>
        <w:t>desmethyl</w:t>
      </w:r>
      <w:proofErr w:type="spellEnd"/>
      <w:r w:rsidRPr="009A35D6">
        <w:rPr>
          <w:sz w:val="24"/>
          <w:szCs w:val="24"/>
        </w:rPr>
        <w:t>-</w:t>
      </w:r>
      <w:proofErr w:type="spellStart"/>
      <w:r w:rsidRPr="009A35D6">
        <w:rPr>
          <w:sz w:val="24"/>
          <w:szCs w:val="24"/>
        </w:rPr>
        <w:t>gefitinib</w:t>
      </w:r>
      <w:proofErr w:type="spellEnd"/>
      <w:r w:rsidRPr="009A35D6">
        <w:rPr>
          <w:sz w:val="24"/>
          <w:szCs w:val="24"/>
        </w:rPr>
        <w:t xml:space="preserve"> sker via CYP2D6. CYP2D6’s rolle i den metaboliske </w:t>
      </w:r>
      <w:proofErr w:type="spellStart"/>
      <w:r w:rsidRPr="009A35D6">
        <w:rPr>
          <w:sz w:val="24"/>
          <w:szCs w:val="24"/>
        </w:rPr>
        <w:t>clearance</w:t>
      </w:r>
      <w:proofErr w:type="spellEnd"/>
      <w:r w:rsidRPr="009A35D6">
        <w:rPr>
          <w:sz w:val="24"/>
          <w:szCs w:val="24"/>
        </w:rPr>
        <w:t xml:space="preserve"> af </w:t>
      </w:r>
      <w:proofErr w:type="spellStart"/>
      <w:r w:rsidRPr="009A35D6">
        <w:rPr>
          <w:sz w:val="24"/>
          <w:szCs w:val="24"/>
        </w:rPr>
        <w:t>gefitinib</w:t>
      </w:r>
      <w:proofErr w:type="spellEnd"/>
      <w:r w:rsidRPr="009A35D6">
        <w:rPr>
          <w:sz w:val="24"/>
          <w:szCs w:val="24"/>
        </w:rPr>
        <w:t xml:space="preserve"> er blevet evalueret i et klinisk forsøg med raske frivillige, der var genotypebestemt for CYP2D6. Hos personer med nedsat metabolisme blev der ikke dannet målbare mængder af O-</w:t>
      </w:r>
      <w:proofErr w:type="spellStart"/>
      <w:r w:rsidRPr="009A35D6">
        <w:rPr>
          <w:sz w:val="24"/>
          <w:szCs w:val="24"/>
        </w:rPr>
        <w:t>desmethyl</w:t>
      </w:r>
      <w:proofErr w:type="spellEnd"/>
      <w:r w:rsidRPr="009A35D6">
        <w:rPr>
          <w:sz w:val="24"/>
          <w:szCs w:val="24"/>
        </w:rPr>
        <w:t>-</w:t>
      </w:r>
      <w:proofErr w:type="spellStart"/>
      <w:r w:rsidRPr="009A35D6">
        <w:rPr>
          <w:sz w:val="24"/>
          <w:szCs w:val="24"/>
        </w:rPr>
        <w:t>gefitinib</w:t>
      </w:r>
      <w:proofErr w:type="spellEnd"/>
      <w:r w:rsidRPr="009A35D6">
        <w:rPr>
          <w:sz w:val="24"/>
          <w:szCs w:val="24"/>
        </w:rPr>
        <w:t xml:space="preserve">. Eksponeringsgraden af </w:t>
      </w:r>
      <w:proofErr w:type="spellStart"/>
      <w:r w:rsidRPr="009A35D6">
        <w:rPr>
          <w:sz w:val="24"/>
          <w:szCs w:val="24"/>
        </w:rPr>
        <w:t>gefitinib</w:t>
      </w:r>
      <w:proofErr w:type="spellEnd"/>
      <w:r w:rsidRPr="009A35D6">
        <w:rPr>
          <w:sz w:val="24"/>
          <w:szCs w:val="24"/>
        </w:rPr>
        <w:t xml:space="preserve"> var bred, og overlappede hos både dem, der havde en normal metabolisme og dem, der havde nedsat metabolisme, men den gennemsnitlige eksponering af </w:t>
      </w:r>
      <w:proofErr w:type="spellStart"/>
      <w:r w:rsidRPr="009A35D6">
        <w:rPr>
          <w:sz w:val="24"/>
          <w:szCs w:val="24"/>
        </w:rPr>
        <w:t>gefitinib</w:t>
      </w:r>
      <w:proofErr w:type="spellEnd"/>
      <w:r w:rsidRPr="009A35D6">
        <w:rPr>
          <w:sz w:val="24"/>
          <w:szCs w:val="24"/>
        </w:rPr>
        <w:t xml:space="preserve"> var 2 gange højere hos gruppen af personer med dårlig metabolisme. Den højere gennemsnitlige eksponering, som kan opnås hos personer uden CYP2D6-aktivitet, kan være klinisk relevant, idet bivirkninger er relateret til dosis og eksponering.</w:t>
      </w:r>
    </w:p>
    <w:p w14:paraId="26281136" w14:textId="77777777" w:rsidR="009F4442" w:rsidRDefault="009F4442" w:rsidP="009F4442">
      <w:pPr>
        <w:rPr>
          <w:sz w:val="24"/>
          <w:szCs w:val="24"/>
        </w:rPr>
      </w:pPr>
      <w:r>
        <w:rPr>
          <w:sz w:val="24"/>
          <w:szCs w:val="24"/>
        </w:rPr>
        <w:br w:type="page"/>
      </w:r>
    </w:p>
    <w:p w14:paraId="6A291576" w14:textId="77777777" w:rsidR="009F4442" w:rsidRPr="009A35D6" w:rsidRDefault="009F4442" w:rsidP="009F4442">
      <w:pPr>
        <w:tabs>
          <w:tab w:val="left" w:pos="851"/>
        </w:tabs>
        <w:ind w:left="851"/>
        <w:rPr>
          <w:sz w:val="24"/>
          <w:szCs w:val="24"/>
        </w:rPr>
      </w:pPr>
    </w:p>
    <w:p w14:paraId="45294FB2" w14:textId="77777777" w:rsidR="009F4442" w:rsidRPr="009A35D6" w:rsidRDefault="009F4442" w:rsidP="009F4442">
      <w:pPr>
        <w:tabs>
          <w:tab w:val="left" w:pos="851"/>
        </w:tabs>
        <w:ind w:left="851"/>
        <w:rPr>
          <w:sz w:val="24"/>
          <w:szCs w:val="24"/>
          <w:u w:val="single"/>
        </w:rPr>
      </w:pPr>
      <w:r w:rsidRPr="009A35D6">
        <w:rPr>
          <w:sz w:val="24"/>
          <w:szCs w:val="24"/>
          <w:u w:val="single"/>
        </w:rPr>
        <w:t>Elimination</w:t>
      </w:r>
    </w:p>
    <w:p w14:paraId="5CE334DB" w14:textId="77777777" w:rsidR="009F4442" w:rsidRPr="009A35D6" w:rsidRDefault="009F4442" w:rsidP="009F4442">
      <w:pPr>
        <w:tabs>
          <w:tab w:val="left" w:pos="851"/>
        </w:tabs>
        <w:ind w:left="851"/>
        <w:rPr>
          <w:sz w:val="24"/>
          <w:szCs w:val="24"/>
        </w:rPr>
      </w:pPr>
      <w:proofErr w:type="spellStart"/>
      <w:r w:rsidRPr="009A35D6">
        <w:rPr>
          <w:sz w:val="24"/>
          <w:szCs w:val="24"/>
        </w:rPr>
        <w:t>Gefitinib</w:t>
      </w:r>
      <w:proofErr w:type="spellEnd"/>
      <w:r w:rsidRPr="009A35D6">
        <w:rPr>
          <w:sz w:val="24"/>
          <w:szCs w:val="24"/>
        </w:rPr>
        <w:t xml:space="preserve"> udskilles primært som metabolitter via fæces, ved </w:t>
      </w:r>
      <w:proofErr w:type="spellStart"/>
      <w:r w:rsidRPr="009A35D6">
        <w:rPr>
          <w:sz w:val="24"/>
          <w:szCs w:val="24"/>
        </w:rPr>
        <w:t>renal</w:t>
      </w:r>
      <w:proofErr w:type="spellEnd"/>
      <w:r w:rsidRPr="009A35D6">
        <w:rPr>
          <w:sz w:val="24"/>
          <w:szCs w:val="24"/>
        </w:rPr>
        <w:t xml:space="preserve"> eliminering af </w:t>
      </w:r>
      <w:proofErr w:type="spellStart"/>
      <w:r w:rsidRPr="009A35D6">
        <w:rPr>
          <w:sz w:val="24"/>
          <w:szCs w:val="24"/>
        </w:rPr>
        <w:t>gefitinib</w:t>
      </w:r>
      <w:proofErr w:type="spellEnd"/>
      <w:r w:rsidRPr="009A35D6">
        <w:rPr>
          <w:sz w:val="24"/>
          <w:szCs w:val="24"/>
        </w:rPr>
        <w:t xml:space="preserve"> og metabolitter, som udgør mindre end 4 % af den administrerede dosis. </w:t>
      </w:r>
    </w:p>
    <w:p w14:paraId="136FA38E" w14:textId="77777777" w:rsidR="009F4442" w:rsidRPr="009A35D6" w:rsidRDefault="009F4442" w:rsidP="009F4442">
      <w:pPr>
        <w:tabs>
          <w:tab w:val="left" w:pos="851"/>
        </w:tabs>
        <w:ind w:left="851"/>
        <w:rPr>
          <w:sz w:val="24"/>
          <w:szCs w:val="24"/>
        </w:rPr>
      </w:pPr>
    </w:p>
    <w:p w14:paraId="3CE24AF0" w14:textId="77777777" w:rsidR="009F4442" w:rsidRPr="009A35D6" w:rsidRDefault="009F4442" w:rsidP="009F4442">
      <w:pPr>
        <w:tabs>
          <w:tab w:val="left" w:pos="851"/>
        </w:tabs>
        <w:ind w:left="851"/>
        <w:rPr>
          <w:sz w:val="24"/>
          <w:szCs w:val="24"/>
        </w:rPr>
      </w:pPr>
      <w:proofErr w:type="spellStart"/>
      <w:r w:rsidRPr="009A35D6">
        <w:rPr>
          <w:sz w:val="24"/>
          <w:szCs w:val="24"/>
        </w:rPr>
        <w:t>Gefitinibs</w:t>
      </w:r>
      <w:proofErr w:type="spellEnd"/>
      <w:r w:rsidRPr="009A35D6">
        <w:rPr>
          <w:sz w:val="24"/>
          <w:szCs w:val="24"/>
        </w:rPr>
        <w:t xml:space="preserve"> totale </w:t>
      </w:r>
      <w:proofErr w:type="spellStart"/>
      <w:r w:rsidRPr="009A35D6">
        <w:rPr>
          <w:sz w:val="24"/>
          <w:szCs w:val="24"/>
        </w:rPr>
        <w:t>plasmaclearance</w:t>
      </w:r>
      <w:proofErr w:type="spellEnd"/>
      <w:r w:rsidRPr="009A35D6">
        <w:rPr>
          <w:sz w:val="24"/>
          <w:szCs w:val="24"/>
        </w:rPr>
        <w:t xml:space="preserve"> er omkring 500 ml/min og den gennemsnitlige terminale halveringstid er 41 timer hos cancerpatienter. Administration af </w:t>
      </w:r>
      <w:proofErr w:type="spellStart"/>
      <w:r w:rsidRPr="009A35D6">
        <w:rPr>
          <w:sz w:val="24"/>
          <w:szCs w:val="24"/>
        </w:rPr>
        <w:t>gefitinib</w:t>
      </w:r>
      <w:proofErr w:type="spellEnd"/>
      <w:r w:rsidRPr="009A35D6">
        <w:rPr>
          <w:sz w:val="24"/>
          <w:szCs w:val="24"/>
        </w:rPr>
        <w:t xml:space="preserve"> en gang dagligt resulterer i en 2 til 8 gange akkumulering, og </w:t>
      </w:r>
      <w:proofErr w:type="spellStart"/>
      <w:r w:rsidRPr="009A35D6">
        <w:rPr>
          <w:sz w:val="24"/>
          <w:szCs w:val="24"/>
        </w:rPr>
        <w:t>steady</w:t>
      </w:r>
      <w:proofErr w:type="spellEnd"/>
      <w:r w:rsidRPr="009A35D6">
        <w:rPr>
          <w:sz w:val="24"/>
          <w:szCs w:val="24"/>
        </w:rPr>
        <w:t xml:space="preserve">-state-eksponering opnås efter 7 til 10 doser. Ved </w:t>
      </w:r>
      <w:proofErr w:type="spellStart"/>
      <w:r w:rsidRPr="009A35D6">
        <w:rPr>
          <w:sz w:val="24"/>
          <w:szCs w:val="24"/>
        </w:rPr>
        <w:t>steady-state</w:t>
      </w:r>
      <w:proofErr w:type="spellEnd"/>
      <w:r w:rsidRPr="009A35D6">
        <w:rPr>
          <w:sz w:val="24"/>
          <w:szCs w:val="24"/>
        </w:rPr>
        <w:t xml:space="preserve"> er den cirkulerende plasmakoncentration fastholdt, så </w:t>
      </w:r>
      <w:proofErr w:type="spellStart"/>
      <w:r w:rsidRPr="009A35D6">
        <w:rPr>
          <w:sz w:val="24"/>
          <w:szCs w:val="24"/>
        </w:rPr>
        <w:t>C</w:t>
      </w:r>
      <w:r w:rsidRPr="001A2005">
        <w:rPr>
          <w:sz w:val="24"/>
          <w:szCs w:val="24"/>
          <w:vertAlign w:val="subscript"/>
        </w:rPr>
        <w:t>max</w:t>
      </w:r>
      <w:proofErr w:type="spellEnd"/>
      <w:r w:rsidRPr="009A35D6">
        <w:rPr>
          <w:sz w:val="24"/>
          <w:szCs w:val="24"/>
        </w:rPr>
        <w:t xml:space="preserve"> typisk er 2-3 gange højere end </w:t>
      </w:r>
      <w:proofErr w:type="spellStart"/>
      <w:r w:rsidRPr="009A35D6">
        <w:rPr>
          <w:sz w:val="24"/>
          <w:szCs w:val="24"/>
        </w:rPr>
        <w:t>C</w:t>
      </w:r>
      <w:r w:rsidRPr="009A35D6">
        <w:rPr>
          <w:sz w:val="24"/>
          <w:szCs w:val="24"/>
          <w:vertAlign w:val="subscript"/>
        </w:rPr>
        <w:t>min</w:t>
      </w:r>
      <w:proofErr w:type="spellEnd"/>
      <w:r w:rsidRPr="009A35D6">
        <w:rPr>
          <w:sz w:val="24"/>
          <w:szCs w:val="24"/>
        </w:rPr>
        <w:t xml:space="preserve"> inden for doseringsintervallet på 24 timer. </w:t>
      </w:r>
    </w:p>
    <w:p w14:paraId="5061B68C" w14:textId="77777777" w:rsidR="009F4442" w:rsidRPr="009A35D6" w:rsidRDefault="009F4442" w:rsidP="009F4442">
      <w:pPr>
        <w:tabs>
          <w:tab w:val="left" w:pos="851"/>
        </w:tabs>
        <w:ind w:left="851"/>
        <w:rPr>
          <w:sz w:val="24"/>
          <w:szCs w:val="24"/>
        </w:rPr>
      </w:pPr>
    </w:p>
    <w:p w14:paraId="4FA4FF23" w14:textId="77777777" w:rsidR="009F4442" w:rsidRPr="009A35D6" w:rsidRDefault="009F4442" w:rsidP="009F4442">
      <w:pPr>
        <w:tabs>
          <w:tab w:val="left" w:pos="851"/>
        </w:tabs>
        <w:ind w:left="851"/>
        <w:rPr>
          <w:i/>
          <w:sz w:val="24"/>
          <w:szCs w:val="24"/>
        </w:rPr>
      </w:pPr>
      <w:r w:rsidRPr="009A35D6">
        <w:rPr>
          <w:i/>
          <w:sz w:val="24"/>
          <w:szCs w:val="24"/>
        </w:rPr>
        <w:t>Specielle populationer</w:t>
      </w:r>
    </w:p>
    <w:p w14:paraId="07DCB93C" w14:textId="77777777" w:rsidR="009F4442" w:rsidRPr="009A35D6" w:rsidRDefault="009F4442" w:rsidP="009F4442">
      <w:pPr>
        <w:tabs>
          <w:tab w:val="left" w:pos="851"/>
        </w:tabs>
        <w:ind w:left="851"/>
        <w:rPr>
          <w:sz w:val="24"/>
          <w:szCs w:val="24"/>
        </w:rPr>
      </w:pPr>
      <w:r w:rsidRPr="009A35D6">
        <w:rPr>
          <w:sz w:val="24"/>
          <w:szCs w:val="24"/>
        </w:rPr>
        <w:t xml:space="preserve">Analyser, der er baseret på </w:t>
      </w:r>
      <w:proofErr w:type="spellStart"/>
      <w:r w:rsidRPr="009A35D6">
        <w:rPr>
          <w:sz w:val="24"/>
          <w:szCs w:val="24"/>
        </w:rPr>
        <w:t>farmakokinetiske</w:t>
      </w:r>
      <w:proofErr w:type="spellEnd"/>
      <w:r w:rsidRPr="009A35D6">
        <w:rPr>
          <w:sz w:val="24"/>
          <w:szCs w:val="24"/>
        </w:rPr>
        <w:t xml:space="preserve"> populationsdata fra cancerpatienter, viste ingen sammenhæng mellem den forudsete </w:t>
      </w:r>
      <w:proofErr w:type="spellStart"/>
      <w:r w:rsidRPr="009A35D6">
        <w:rPr>
          <w:sz w:val="24"/>
          <w:szCs w:val="24"/>
        </w:rPr>
        <w:t>steady</w:t>
      </w:r>
      <w:proofErr w:type="spellEnd"/>
      <w:r w:rsidRPr="009A35D6">
        <w:rPr>
          <w:sz w:val="24"/>
          <w:szCs w:val="24"/>
        </w:rPr>
        <w:t xml:space="preserve">-state-koncentration og patientens alder, vægt, køn, etnisk oprindelse eller </w:t>
      </w:r>
      <w:proofErr w:type="spellStart"/>
      <w:r w:rsidRPr="009A35D6">
        <w:rPr>
          <w:sz w:val="24"/>
          <w:szCs w:val="24"/>
        </w:rPr>
        <w:t>kreatininclearance</w:t>
      </w:r>
      <w:proofErr w:type="spellEnd"/>
      <w:r w:rsidRPr="009A35D6">
        <w:rPr>
          <w:sz w:val="24"/>
          <w:szCs w:val="24"/>
        </w:rPr>
        <w:t xml:space="preserve"> (over 20 ml/min).</w:t>
      </w:r>
    </w:p>
    <w:p w14:paraId="39BAEC45" w14:textId="77777777" w:rsidR="009F4442" w:rsidRPr="009A35D6" w:rsidRDefault="009F4442" w:rsidP="009F4442">
      <w:pPr>
        <w:tabs>
          <w:tab w:val="left" w:pos="851"/>
        </w:tabs>
        <w:ind w:left="851"/>
        <w:rPr>
          <w:sz w:val="24"/>
          <w:szCs w:val="24"/>
        </w:rPr>
      </w:pPr>
    </w:p>
    <w:p w14:paraId="5306D2C1" w14:textId="77777777" w:rsidR="009F4442" w:rsidRPr="009A35D6" w:rsidRDefault="009F4442" w:rsidP="009F4442">
      <w:pPr>
        <w:tabs>
          <w:tab w:val="left" w:pos="851"/>
        </w:tabs>
        <w:ind w:left="851"/>
        <w:rPr>
          <w:i/>
          <w:sz w:val="24"/>
          <w:szCs w:val="24"/>
        </w:rPr>
      </w:pPr>
      <w:proofErr w:type="spellStart"/>
      <w:r w:rsidRPr="009A35D6">
        <w:rPr>
          <w:i/>
          <w:sz w:val="24"/>
          <w:szCs w:val="24"/>
        </w:rPr>
        <w:t>Hepatisk</w:t>
      </w:r>
      <w:proofErr w:type="spellEnd"/>
      <w:r w:rsidRPr="009A35D6">
        <w:rPr>
          <w:i/>
          <w:sz w:val="24"/>
          <w:szCs w:val="24"/>
        </w:rPr>
        <w:t xml:space="preserve"> insufficiens</w:t>
      </w:r>
    </w:p>
    <w:p w14:paraId="47D01F16" w14:textId="77777777" w:rsidR="009F4442" w:rsidRPr="009A35D6" w:rsidRDefault="009F4442" w:rsidP="009F4442">
      <w:pPr>
        <w:tabs>
          <w:tab w:val="left" w:pos="851"/>
        </w:tabs>
        <w:ind w:left="851"/>
        <w:rPr>
          <w:sz w:val="24"/>
          <w:szCs w:val="24"/>
        </w:rPr>
      </w:pPr>
      <w:r w:rsidRPr="009A35D6">
        <w:rPr>
          <w:sz w:val="24"/>
          <w:szCs w:val="24"/>
        </w:rPr>
        <w:t xml:space="preserve">I et åbent fase I-forsøg med en enkeltdosis 250 mg </w:t>
      </w:r>
      <w:proofErr w:type="spellStart"/>
      <w:r w:rsidRPr="009A35D6">
        <w:rPr>
          <w:sz w:val="24"/>
          <w:szCs w:val="24"/>
        </w:rPr>
        <w:t>gefitinib</w:t>
      </w:r>
      <w:proofErr w:type="spellEnd"/>
      <w:r w:rsidRPr="009A35D6">
        <w:rPr>
          <w:sz w:val="24"/>
          <w:szCs w:val="24"/>
        </w:rPr>
        <w:t xml:space="preserve"> til patienter med let, moderat eller svær </w:t>
      </w:r>
      <w:proofErr w:type="spellStart"/>
      <w:r w:rsidRPr="009A35D6">
        <w:rPr>
          <w:sz w:val="24"/>
          <w:szCs w:val="24"/>
        </w:rPr>
        <w:t>hepatisk</w:t>
      </w:r>
      <w:proofErr w:type="spellEnd"/>
      <w:r w:rsidRPr="009A35D6">
        <w:rPr>
          <w:sz w:val="24"/>
          <w:szCs w:val="24"/>
        </w:rPr>
        <w:t xml:space="preserve"> insufficiens på grund af cirrose (ifølge Child-</w:t>
      </w:r>
      <w:proofErr w:type="spellStart"/>
      <w:r w:rsidRPr="009A35D6">
        <w:rPr>
          <w:sz w:val="24"/>
          <w:szCs w:val="24"/>
        </w:rPr>
        <w:t>Pugh</w:t>
      </w:r>
      <w:proofErr w:type="spellEnd"/>
      <w:r w:rsidRPr="009A35D6">
        <w:rPr>
          <w:sz w:val="24"/>
          <w:szCs w:val="24"/>
        </w:rPr>
        <w:t xml:space="preserve"> klassifikationen) var der en forøget eksponering hos alle patientgrupper sammenlignet med den raske kontrolgruppe. Der blev observeret en gennemsnitlig 3,1-gange forøget eksponering af </w:t>
      </w:r>
      <w:proofErr w:type="spellStart"/>
      <w:r w:rsidRPr="009A35D6">
        <w:rPr>
          <w:sz w:val="24"/>
          <w:szCs w:val="24"/>
        </w:rPr>
        <w:t>gefitinib</w:t>
      </w:r>
      <w:proofErr w:type="spellEnd"/>
      <w:r w:rsidRPr="009A35D6">
        <w:rPr>
          <w:sz w:val="24"/>
          <w:szCs w:val="24"/>
        </w:rPr>
        <w:t xml:space="preserve"> hos patienter med moderat og svær </w:t>
      </w:r>
      <w:proofErr w:type="spellStart"/>
      <w:r w:rsidRPr="009A35D6">
        <w:rPr>
          <w:sz w:val="24"/>
          <w:szCs w:val="24"/>
        </w:rPr>
        <w:t>hepatisk</w:t>
      </w:r>
      <w:proofErr w:type="spellEnd"/>
      <w:r w:rsidRPr="009A35D6">
        <w:rPr>
          <w:sz w:val="24"/>
          <w:szCs w:val="24"/>
        </w:rPr>
        <w:t xml:space="preserve"> insufficiens. Ingen af patienterne led af cancer, alle led af cirrose, og nogle havde hepatitis. Eksponeringsforøgelsen kan være klinisk relevant, da uønskede hændelser er relaterede til dosis og eksponering af </w:t>
      </w:r>
      <w:proofErr w:type="spellStart"/>
      <w:r w:rsidRPr="009A35D6">
        <w:rPr>
          <w:sz w:val="24"/>
          <w:szCs w:val="24"/>
        </w:rPr>
        <w:t>gefitinib</w:t>
      </w:r>
      <w:proofErr w:type="spellEnd"/>
      <w:r w:rsidRPr="009A35D6">
        <w:rPr>
          <w:sz w:val="24"/>
          <w:szCs w:val="24"/>
        </w:rPr>
        <w:t>.</w:t>
      </w:r>
    </w:p>
    <w:p w14:paraId="16457B31" w14:textId="77777777" w:rsidR="009F4442" w:rsidRPr="009A35D6" w:rsidRDefault="009F4442" w:rsidP="009F4442">
      <w:pPr>
        <w:tabs>
          <w:tab w:val="left" w:pos="851"/>
        </w:tabs>
        <w:ind w:left="851"/>
        <w:rPr>
          <w:sz w:val="24"/>
          <w:szCs w:val="24"/>
        </w:rPr>
      </w:pPr>
    </w:p>
    <w:p w14:paraId="0293C55F" w14:textId="77777777" w:rsidR="009F4442" w:rsidRPr="009A35D6" w:rsidRDefault="009F4442" w:rsidP="009F4442">
      <w:pPr>
        <w:tabs>
          <w:tab w:val="left" w:pos="851"/>
        </w:tabs>
        <w:ind w:left="851"/>
        <w:rPr>
          <w:sz w:val="24"/>
          <w:szCs w:val="24"/>
        </w:rPr>
      </w:pPr>
      <w:proofErr w:type="spellStart"/>
      <w:r w:rsidRPr="009A35D6">
        <w:rPr>
          <w:sz w:val="24"/>
          <w:szCs w:val="24"/>
        </w:rPr>
        <w:t>Gefitinib</w:t>
      </w:r>
      <w:proofErr w:type="spellEnd"/>
      <w:r w:rsidRPr="009A35D6">
        <w:rPr>
          <w:sz w:val="24"/>
          <w:szCs w:val="24"/>
        </w:rPr>
        <w:t xml:space="preserve"> er undersøgt i et klinisk forsøg, der blev udført på 41 patienter med solide tumorer og normal leverfunktion eller moderat eller svær nedsat leverfunktion (klassificeret i henhold til grader af baseline Common </w:t>
      </w:r>
      <w:proofErr w:type="spellStart"/>
      <w:r w:rsidRPr="009A35D6">
        <w:rPr>
          <w:sz w:val="24"/>
          <w:szCs w:val="24"/>
        </w:rPr>
        <w:t>Toxicity</w:t>
      </w:r>
      <w:proofErr w:type="spellEnd"/>
      <w:r w:rsidRPr="009A35D6">
        <w:rPr>
          <w:sz w:val="24"/>
          <w:szCs w:val="24"/>
        </w:rPr>
        <w:t xml:space="preserve"> </w:t>
      </w:r>
      <w:proofErr w:type="spellStart"/>
      <w:r w:rsidRPr="009A35D6">
        <w:rPr>
          <w:sz w:val="24"/>
          <w:szCs w:val="24"/>
        </w:rPr>
        <w:t>Criteria</w:t>
      </w:r>
      <w:proofErr w:type="spellEnd"/>
      <w:r w:rsidRPr="009A35D6">
        <w:rPr>
          <w:sz w:val="24"/>
          <w:szCs w:val="24"/>
        </w:rPr>
        <w:t xml:space="preserve"> for AST, basisk </w:t>
      </w:r>
      <w:proofErr w:type="spellStart"/>
      <w:r w:rsidRPr="009A35D6">
        <w:rPr>
          <w:sz w:val="24"/>
          <w:szCs w:val="24"/>
        </w:rPr>
        <w:t>phosphatase</w:t>
      </w:r>
      <w:proofErr w:type="spellEnd"/>
      <w:r w:rsidRPr="009A35D6">
        <w:rPr>
          <w:sz w:val="24"/>
          <w:szCs w:val="24"/>
        </w:rPr>
        <w:t xml:space="preserve"> og bilirubin) på grund af levermetastaser. Ved daglig administration af 250 mg </w:t>
      </w:r>
      <w:proofErr w:type="spellStart"/>
      <w:r w:rsidRPr="009A35D6">
        <w:rPr>
          <w:sz w:val="24"/>
          <w:szCs w:val="24"/>
        </w:rPr>
        <w:t>gefitinib</w:t>
      </w:r>
      <w:proofErr w:type="spellEnd"/>
      <w:r w:rsidRPr="009A35D6">
        <w:rPr>
          <w:sz w:val="24"/>
          <w:szCs w:val="24"/>
        </w:rPr>
        <w:t xml:space="preserve">, blev det vist, at tiden til </w:t>
      </w:r>
      <w:proofErr w:type="spellStart"/>
      <w:r w:rsidRPr="009A35D6">
        <w:rPr>
          <w:sz w:val="24"/>
          <w:szCs w:val="24"/>
        </w:rPr>
        <w:t>steady-state</w:t>
      </w:r>
      <w:proofErr w:type="spellEnd"/>
      <w:r w:rsidRPr="009A35D6">
        <w:rPr>
          <w:sz w:val="24"/>
          <w:szCs w:val="24"/>
        </w:rPr>
        <w:t xml:space="preserve">, total </w:t>
      </w:r>
      <w:proofErr w:type="spellStart"/>
      <w:r w:rsidRPr="009A35D6">
        <w:rPr>
          <w:sz w:val="24"/>
          <w:szCs w:val="24"/>
        </w:rPr>
        <w:t>plasmaclearance</w:t>
      </w:r>
      <w:proofErr w:type="spellEnd"/>
      <w:r w:rsidRPr="009A35D6">
        <w:rPr>
          <w:sz w:val="24"/>
          <w:szCs w:val="24"/>
        </w:rPr>
        <w:t xml:space="preserve"> (</w:t>
      </w:r>
      <w:proofErr w:type="spellStart"/>
      <w:r w:rsidRPr="009A35D6">
        <w:rPr>
          <w:sz w:val="24"/>
          <w:szCs w:val="24"/>
        </w:rPr>
        <w:t>C</w:t>
      </w:r>
      <w:r w:rsidRPr="009A35D6">
        <w:rPr>
          <w:sz w:val="24"/>
          <w:szCs w:val="24"/>
          <w:vertAlign w:val="subscript"/>
        </w:rPr>
        <w:t>maxSS</w:t>
      </w:r>
      <w:proofErr w:type="spellEnd"/>
      <w:r w:rsidRPr="009A35D6">
        <w:rPr>
          <w:sz w:val="24"/>
          <w:szCs w:val="24"/>
        </w:rPr>
        <w:t xml:space="preserve">) og </w:t>
      </w:r>
      <w:proofErr w:type="spellStart"/>
      <w:r w:rsidRPr="009A35D6">
        <w:rPr>
          <w:sz w:val="24"/>
          <w:szCs w:val="24"/>
        </w:rPr>
        <w:t>steady</w:t>
      </w:r>
      <w:proofErr w:type="spellEnd"/>
      <w:r w:rsidRPr="009A35D6">
        <w:rPr>
          <w:sz w:val="24"/>
          <w:szCs w:val="24"/>
        </w:rPr>
        <w:t>-state-eksponering (AUC</w:t>
      </w:r>
      <w:r w:rsidRPr="009A35D6">
        <w:rPr>
          <w:sz w:val="24"/>
          <w:szCs w:val="24"/>
          <w:vertAlign w:val="subscript"/>
        </w:rPr>
        <w:t>24SS</w:t>
      </w:r>
      <w:r w:rsidRPr="009A35D6">
        <w:rPr>
          <w:sz w:val="24"/>
          <w:szCs w:val="24"/>
        </w:rPr>
        <w:t xml:space="preserve">) var sammenlignelig for grupperne med normal og moderat nedsat leverfunktion. Data fra 4 patienter med svært nedsat leverfunktion på grund af levermetastaser, tyder på, at </w:t>
      </w:r>
      <w:proofErr w:type="spellStart"/>
      <w:r w:rsidRPr="009A35D6">
        <w:rPr>
          <w:sz w:val="24"/>
          <w:szCs w:val="24"/>
        </w:rPr>
        <w:t>steady</w:t>
      </w:r>
      <w:proofErr w:type="spellEnd"/>
      <w:r w:rsidRPr="009A35D6">
        <w:rPr>
          <w:sz w:val="24"/>
          <w:szCs w:val="24"/>
        </w:rPr>
        <w:t xml:space="preserve">-state-eksponeringen hos disse patienter også er sammenlignelig med eksponeringen hos patienter med normal </w:t>
      </w:r>
      <w:proofErr w:type="spellStart"/>
      <w:r w:rsidRPr="009A35D6">
        <w:rPr>
          <w:sz w:val="24"/>
          <w:szCs w:val="24"/>
        </w:rPr>
        <w:t>hepatisk</w:t>
      </w:r>
      <w:proofErr w:type="spellEnd"/>
      <w:r w:rsidRPr="009A35D6">
        <w:rPr>
          <w:sz w:val="24"/>
          <w:szCs w:val="24"/>
        </w:rPr>
        <w:t xml:space="preserve"> funktion.</w:t>
      </w:r>
    </w:p>
    <w:p w14:paraId="7A077452" w14:textId="77777777" w:rsidR="009F4442" w:rsidRPr="009A35D6" w:rsidRDefault="009F4442" w:rsidP="009F4442">
      <w:pPr>
        <w:tabs>
          <w:tab w:val="left" w:pos="851"/>
        </w:tabs>
        <w:ind w:left="851" w:hanging="851"/>
        <w:rPr>
          <w:sz w:val="24"/>
          <w:szCs w:val="24"/>
        </w:rPr>
      </w:pPr>
    </w:p>
    <w:p w14:paraId="0B067172" w14:textId="77777777" w:rsidR="009F4442" w:rsidRPr="009A35D6" w:rsidRDefault="009F4442" w:rsidP="009F4442">
      <w:pPr>
        <w:tabs>
          <w:tab w:val="left" w:pos="851"/>
        </w:tabs>
        <w:ind w:left="851" w:hanging="851"/>
        <w:rPr>
          <w:b/>
          <w:sz w:val="24"/>
          <w:szCs w:val="24"/>
        </w:rPr>
      </w:pPr>
      <w:r w:rsidRPr="009A35D6">
        <w:rPr>
          <w:b/>
          <w:sz w:val="24"/>
          <w:szCs w:val="24"/>
        </w:rPr>
        <w:t>5.3</w:t>
      </w:r>
      <w:r w:rsidRPr="009A35D6">
        <w:rPr>
          <w:b/>
          <w:sz w:val="24"/>
          <w:szCs w:val="24"/>
        </w:rPr>
        <w:tab/>
      </w:r>
      <w:r w:rsidR="00B96128">
        <w:rPr>
          <w:b/>
          <w:sz w:val="24"/>
          <w:szCs w:val="24"/>
        </w:rPr>
        <w:t>Non-</w:t>
      </w:r>
      <w:r w:rsidRPr="009A35D6">
        <w:rPr>
          <w:b/>
          <w:sz w:val="24"/>
          <w:szCs w:val="24"/>
        </w:rPr>
        <w:t>kliniske sikkerhedsdata</w:t>
      </w:r>
    </w:p>
    <w:p w14:paraId="113ACC01"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Bivirkninger, der ikke er observeret i kliniske forsøg, men i dyr, når de eksponeres for niveauer magen til de kliniske eksponeringsniveauer og med mulig relevans for klinisk brug, var som følger:</w:t>
      </w:r>
    </w:p>
    <w:p w14:paraId="17B0EE93" w14:textId="77777777" w:rsidR="009F4442" w:rsidRPr="009A35D6" w:rsidRDefault="009F4442" w:rsidP="009F4442">
      <w:pPr>
        <w:tabs>
          <w:tab w:val="left" w:pos="851"/>
        </w:tabs>
        <w:ind w:left="851" w:hanging="851"/>
        <w:rPr>
          <w:sz w:val="24"/>
          <w:szCs w:val="24"/>
        </w:rPr>
      </w:pPr>
    </w:p>
    <w:p w14:paraId="79BD3752" w14:textId="77777777" w:rsidR="009F4442" w:rsidRPr="00C27D0E" w:rsidRDefault="009F4442" w:rsidP="009F4442">
      <w:pPr>
        <w:pStyle w:val="Listeafsnit"/>
        <w:numPr>
          <w:ilvl w:val="0"/>
          <w:numId w:val="11"/>
        </w:numPr>
        <w:ind w:left="1276" w:hanging="425"/>
        <w:rPr>
          <w:sz w:val="24"/>
          <w:szCs w:val="24"/>
        </w:rPr>
      </w:pPr>
      <w:proofErr w:type="spellStart"/>
      <w:r w:rsidRPr="00C27D0E">
        <w:rPr>
          <w:sz w:val="24"/>
          <w:szCs w:val="24"/>
        </w:rPr>
        <w:t>corneaepitel</w:t>
      </w:r>
      <w:proofErr w:type="spellEnd"/>
      <w:r w:rsidRPr="00C27D0E">
        <w:rPr>
          <w:sz w:val="24"/>
          <w:szCs w:val="24"/>
        </w:rPr>
        <w:t xml:space="preserve"> atrofi og </w:t>
      </w:r>
      <w:proofErr w:type="spellStart"/>
      <w:r w:rsidRPr="00C27D0E">
        <w:rPr>
          <w:sz w:val="24"/>
          <w:szCs w:val="24"/>
        </w:rPr>
        <w:t>translucens</w:t>
      </w:r>
      <w:proofErr w:type="spellEnd"/>
      <w:r w:rsidRPr="00C27D0E">
        <w:rPr>
          <w:sz w:val="24"/>
          <w:szCs w:val="24"/>
        </w:rPr>
        <w:t xml:space="preserve"> af </w:t>
      </w:r>
      <w:proofErr w:type="spellStart"/>
      <w:r w:rsidRPr="00C27D0E">
        <w:rPr>
          <w:sz w:val="24"/>
          <w:szCs w:val="24"/>
        </w:rPr>
        <w:t>cornea</w:t>
      </w:r>
      <w:proofErr w:type="spellEnd"/>
    </w:p>
    <w:p w14:paraId="6B002E49" w14:textId="77777777" w:rsidR="009F4442" w:rsidRPr="00C27D0E" w:rsidRDefault="009F4442" w:rsidP="009F4442">
      <w:pPr>
        <w:pStyle w:val="Listeafsnit"/>
        <w:numPr>
          <w:ilvl w:val="0"/>
          <w:numId w:val="11"/>
        </w:numPr>
        <w:ind w:left="1276" w:hanging="425"/>
        <w:rPr>
          <w:sz w:val="24"/>
          <w:szCs w:val="24"/>
        </w:rPr>
      </w:pPr>
      <w:r w:rsidRPr="00C27D0E">
        <w:rPr>
          <w:sz w:val="24"/>
          <w:szCs w:val="24"/>
        </w:rPr>
        <w:t>nyrepapilnekrose</w:t>
      </w:r>
    </w:p>
    <w:p w14:paraId="00FC9D23" w14:textId="77777777" w:rsidR="009F4442" w:rsidRPr="00C27D0E" w:rsidRDefault="009F4442" w:rsidP="009F4442">
      <w:pPr>
        <w:pStyle w:val="Listeafsnit"/>
        <w:numPr>
          <w:ilvl w:val="0"/>
          <w:numId w:val="11"/>
        </w:numPr>
        <w:ind w:left="1276" w:hanging="425"/>
        <w:rPr>
          <w:sz w:val="24"/>
          <w:szCs w:val="24"/>
        </w:rPr>
      </w:pPr>
      <w:proofErr w:type="spellStart"/>
      <w:r w:rsidRPr="00C27D0E">
        <w:rPr>
          <w:sz w:val="24"/>
          <w:szCs w:val="24"/>
        </w:rPr>
        <w:t>hepatocellulær</w:t>
      </w:r>
      <w:proofErr w:type="spellEnd"/>
      <w:r w:rsidRPr="00C27D0E">
        <w:rPr>
          <w:sz w:val="24"/>
          <w:szCs w:val="24"/>
        </w:rPr>
        <w:t xml:space="preserve"> nekrose og </w:t>
      </w:r>
      <w:proofErr w:type="spellStart"/>
      <w:r w:rsidRPr="00C27D0E">
        <w:rPr>
          <w:sz w:val="24"/>
          <w:szCs w:val="24"/>
        </w:rPr>
        <w:t>eosinofil</w:t>
      </w:r>
      <w:proofErr w:type="spellEnd"/>
      <w:r w:rsidRPr="00C27D0E">
        <w:rPr>
          <w:sz w:val="24"/>
          <w:szCs w:val="24"/>
        </w:rPr>
        <w:t xml:space="preserve"> </w:t>
      </w:r>
      <w:proofErr w:type="spellStart"/>
      <w:r w:rsidRPr="00C27D0E">
        <w:rPr>
          <w:sz w:val="24"/>
          <w:szCs w:val="24"/>
        </w:rPr>
        <w:t>sinusoidal</w:t>
      </w:r>
      <w:proofErr w:type="spellEnd"/>
      <w:r w:rsidRPr="00C27D0E">
        <w:rPr>
          <w:sz w:val="24"/>
          <w:szCs w:val="24"/>
        </w:rPr>
        <w:t xml:space="preserve"> makrofag infiltration</w:t>
      </w:r>
    </w:p>
    <w:p w14:paraId="7624E981" w14:textId="77777777" w:rsidR="009F4442" w:rsidRPr="009A35D6" w:rsidRDefault="009F4442" w:rsidP="009F4442">
      <w:pPr>
        <w:tabs>
          <w:tab w:val="left" w:pos="567"/>
        </w:tabs>
        <w:ind w:left="851" w:hanging="851"/>
        <w:rPr>
          <w:sz w:val="24"/>
          <w:szCs w:val="24"/>
        </w:rPr>
      </w:pPr>
    </w:p>
    <w:p w14:paraId="011EF700" w14:textId="77777777" w:rsidR="009F4442" w:rsidRPr="009A35D6" w:rsidRDefault="00B96128" w:rsidP="00B96128">
      <w:pPr>
        <w:ind w:left="851"/>
        <w:rPr>
          <w:sz w:val="24"/>
          <w:szCs w:val="24"/>
          <w:lang w:eastAsia="da-DK"/>
        </w:rPr>
      </w:pPr>
      <w:r>
        <w:rPr>
          <w:sz w:val="24"/>
          <w:szCs w:val="24"/>
          <w:lang w:val="nb-NO"/>
        </w:rPr>
        <w:t>Data fra prækliniske (</w:t>
      </w:r>
      <w:r>
        <w:rPr>
          <w:i/>
          <w:iCs/>
          <w:sz w:val="24"/>
          <w:szCs w:val="24"/>
          <w:lang w:val="nb-NO"/>
        </w:rPr>
        <w:t>in vitro</w:t>
      </w:r>
      <w:r>
        <w:rPr>
          <w:sz w:val="24"/>
          <w:szCs w:val="24"/>
          <w:lang w:val="nb-NO"/>
        </w:rPr>
        <w:t xml:space="preserve">) forsøg </w:t>
      </w:r>
      <w:r w:rsidR="009F4442" w:rsidRPr="009A35D6">
        <w:rPr>
          <w:sz w:val="24"/>
          <w:szCs w:val="24"/>
        </w:rPr>
        <w:t xml:space="preserve">indikerer, at </w:t>
      </w:r>
      <w:proofErr w:type="spellStart"/>
      <w:r w:rsidR="009F4442" w:rsidRPr="009A35D6">
        <w:rPr>
          <w:sz w:val="24"/>
          <w:szCs w:val="24"/>
        </w:rPr>
        <w:t>gefitinib</w:t>
      </w:r>
      <w:proofErr w:type="spellEnd"/>
      <w:r w:rsidR="009F4442" w:rsidRPr="009A35D6">
        <w:rPr>
          <w:sz w:val="24"/>
          <w:szCs w:val="24"/>
        </w:rPr>
        <w:t xml:space="preserve"> potentielt kan hæmme den </w:t>
      </w:r>
      <w:proofErr w:type="spellStart"/>
      <w:r w:rsidR="009F4442" w:rsidRPr="009A35D6">
        <w:rPr>
          <w:sz w:val="24"/>
          <w:szCs w:val="24"/>
        </w:rPr>
        <w:t>kardielle</w:t>
      </w:r>
      <w:proofErr w:type="spellEnd"/>
      <w:r w:rsidR="009F4442" w:rsidRPr="009A35D6">
        <w:rPr>
          <w:sz w:val="24"/>
          <w:szCs w:val="24"/>
        </w:rPr>
        <w:t xml:space="preserve"> aktionspotentiale-</w:t>
      </w:r>
      <w:proofErr w:type="spellStart"/>
      <w:r w:rsidR="009F4442" w:rsidRPr="009A35D6">
        <w:rPr>
          <w:sz w:val="24"/>
          <w:szCs w:val="24"/>
        </w:rPr>
        <w:t>repolariseringsproces</w:t>
      </w:r>
      <w:proofErr w:type="spellEnd"/>
      <w:r w:rsidR="009F4442" w:rsidRPr="009A35D6">
        <w:rPr>
          <w:sz w:val="24"/>
          <w:szCs w:val="24"/>
        </w:rPr>
        <w:t xml:space="preserve"> (</w:t>
      </w:r>
      <w:r w:rsidR="009F4442">
        <w:rPr>
          <w:sz w:val="24"/>
          <w:szCs w:val="24"/>
        </w:rPr>
        <w:t>f.eks.</w:t>
      </w:r>
      <w:r w:rsidR="009F4442" w:rsidRPr="009A35D6">
        <w:rPr>
          <w:sz w:val="24"/>
          <w:szCs w:val="24"/>
        </w:rPr>
        <w:t xml:space="preserve"> QT-interval). Den kliniske erfaring har ikke vist en kausal sammenhæng mellem QT-forlængelse og </w:t>
      </w:r>
      <w:proofErr w:type="spellStart"/>
      <w:r w:rsidR="009F4442" w:rsidRPr="009A35D6">
        <w:rPr>
          <w:sz w:val="24"/>
          <w:szCs w:val="24"/>
        </w:rPr>
        <w:t>gefitinib</w:t>
      </w:r>
      <w:proofErr w:type="spellEnd"/>
      <w:r w:rsidR="009F4442" w:rsidRPr="009A35D6">
        <w:rPr>
          <w:sz w:val="24"/>
          <w:szCs w:val="24"/>
        </w:rPr>
        <w:t>.</w:t>
      </w:r>
    </w:p>
    <w:p w14:paraId="1BF660B1" w14:textId="77777777" w:rsidR="009F4442" w:rsidRPr="009A35D6" w:rsidRDefault="009F4442" w:rsidP="009F4442">
      <w:pPr>
        <w:tabs>
          <w:tab w:val="left" w:pos="851"/>
        </w:tabs>
        <w:ind w:left="851" w:hanging="851"/>
        <w:rPr>
          <w:sz w:val="24"/>
          <w:szCs w:val="24"/>
        </w:rPr>
      </w:pPr>
    </w:p>
    <w:p w14:paraId="55E827CA"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Der blev observeret en reduktion i fertiliteten i hunrotter ved en dosis på 20 mg/kg/dag.</w:t>
      </w:r>
    </w:p>
    <w:p w14:paraId="464B4C48" w14:textId="77777777" w:rsidR="009F4442" w:rsidRPr="009A35D6" w:rsidRDefault="009F4442" w:rsidP="009F4442">
      <w:pPr>
        <w:tabs>
          <w:tab w:val="left" w:pos="851"/>
        </w:tabs>
        <w:ind w:left="851" w:hanging="851"/>
        <w:rPr>
          <w:sz w:val="24"/>
          <w:szCs w:val="24"/>
        </w:rPr>
      </w:pPr>
    </w:p>
    <w:p w14:paraId="51BA4ADC" w14:textId="77777777" w:rsidR="009F4442" w:rsidRPr="009A35D6" w:rsidRDefault="009F4442" w:rsidP="009F4442">
      <w:pPr>
        <w:tabs>
          <w:tab w:val="left" w:pos="851"/>
        </w:tabs>
        <w:ind w:left="851" w:hanging="851"/>
        <w:rPr>
          <w:sz w:val="24"/>
          <w:szCs w:val="24"/>
        </w:rPr>
      </w:pPr>
      <w:r>
        <w:rPr>
          <w:sz w:val="24"/>
          <w:szCs w:val="24"/>
        </w:rPr>
        <w:lastRenderedPageBreak/>
        <w:tab/>
      </w:r>
      <w:r w:rsidRPr="009A35D6">
        <w:rPr>
          <w:sz w:val="24"/>
          <w:szCs w:val="24"/>
        </w:rPr>
        <w:t xml:space="preserve">Publicerede studier har vist, at genmodificerede mus, der mangler ekspression af EGFR, udviser udviklingsfejl relateret til umodent epitel i forskellige organer inklusive hud, den </w:t>
      </w:r>
      <w:proofErr w:type="spellStart"/>
      <w:r w:rsidRPr="009A35D6">
        <w:rPr>
          <w:sz w:val="24"/>
          <w:szCs w:val="24"/>
        </w:rPr>
        <w:t>gastrointestinale</w:t>
      </w:r>
      <w:proofErr w:type="spellEnd"/>
      <w:r w:rsidRPr="009A35D6">
        <w:rPr>
          <w:sz w:val="24"/>
          <w:szCs w:val="24"/>
        </w:rPr>
        <w:t xml:space="preserve"> kanal samt lunger. Da </w:t>
      </w:r>
      <w:proofErr w:type="spellStart"/>
      <w:r w:rsidRPr="009A35D6">
        <w:rPr>
          <w:sz w:val="24"/>
          <w:szCs w:val="24"/>
        </w:rPr>
        <w:t>gefitinib</w:t>
      </w:r>
      <w:proofErr w:type="spellEnd"/>
      <w:r w:rsidRPr="009A35D6">
        <w:rPr>
          <w:sz w:val="24"/>
          <w:szCs w:val="24"/>
        </w:rPr>
        <w:t xml:space="preserve"> blev administreret til rotter under </w:t>
      </w:r>
      <w:proofErr w:type="spellStart"/>
      <w:r w:rsidRPr="009A35D6">
        <w:rPr>
          <w:sz w:val="24"/>
          <w:szCs w:val="24"/>
        </w:rPr>
        <w:t>organogenese</w:t>
      </w:r>
      <w:proofErr w:type="spellEnd"/>
      <w:r w:rsidRPr="009A35D6">
        <w:rPr>
          <w:sz w:val="24"/>
          <w:szCs w:val="24"/>
        </w:rPr>
        <w:t>, sås der ingen effekt på fosterudviklingen ved den højeste dosis (30 mg/kg/dag). Dog sås der en reduceret fostervægt hos kaniner ved dosering af 20 mg/kg/dag og derover. Der sås ingen lægemiddelinducerede misdannelser hos nogen af dyrearterne. Der sås en reduktion i overlevelsen hos unger af drægtige og fødende rotter ved administration af en dosis på 20 mg/kg/dag.</w:t>
      </w:r>
    </w:p>
    <w:p w14:paraId="72D6B88E" w14:textId="77777777" w:rsidR="009F4442" w:rsidRPr="009A35D6" w:rsidRDefault="009F4442" w:rsidP="009F4442">
      <w:pPr>
        <w:tabs>
          <w:tab w:val="left" w:pos="851"/>
        </w:tabs>
        <w:ind w:left="851" w:hanging="851"/>
        <w:rPr>
          <w:sz w:val="24"/>
          <w:szCs w:val="24"/>
        </w:rPr>
      </w:pPr>
    </w:p>
    <w:p w14:paraId="3273093C"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Efter oral administration af C-14-mærket </w:t>
      </w:r>
      <w:proofErr w:type="spellStart"/>
      <w:r w:rsidRPr="009A35D6">
        <w:rPr>
          <w:sz w:val="24"/>
          <w:szCs w:val="24"/>
        </w:rPr>
        <w:t>gefitinib</w:t>
      </w:r>
      <w:proofErr w:type="spellEnd"/>
      <w:r w:rsidRPr="009A35D6">
        <w:rPr>
          <w:sz w:val="24"/>
          <w:szCs w:val="24"/>
        </w:rPr>
        <w:t xml:space="preserve"> til diende rotter 14 dage </w:t>
      </w:r>
      <w:r w:rsidRPr="009A35D6">
        <w:rPr>
          <w:i/>
          <w:sz w:val="24"/>
          <w:szCs w:val="24"/>
        </w:rPr>
        <w:t xml:space="preserve">post </w:t>
      </w:r>
      <w:proofErr w:type="spellStart"/>
      <w:r w:rsidRPr="009A35D6">
        <w:rPr>
          <w:i/>
          <w:sz w:val="24"/>
          <w:szCs w:val="24"/>
        </w:rPr>
        <w:t>partum</w:t>
      </w:r>
      <w:proofErr w:type="spellEnd"/>
      <w:r w:rsidRPr="009A35D6">
        <w:rPr>
          <w:sz w:val="24"/>
          <w:szCs w:val="24"/>
        </w:rPr>
        <w:t xml:space="preserve"> var koncentrationen af radioaktivitet i mælken 11 til 19 gange højere end i blodet.</w:t>
      </w:r>
    </w:p>
    <w:p w14:paraId="02362123" w14:textId="77777777" w:rsidR="009F4442" w:rsidRPr="009A35D6" w:rsidRDefault="009F4442" w:rsidP="009F4442">
      <w:pPr>
        <w:tabs>
          <w:tab w:val="left" w:pos="851"/>
        </w:tabs>
        <w:ind w:left="851" w:hanging="851"/>
        <w:rPr>
          <w:sz w:val="24"/>
          <w:szCs w:val="24"/>
        </w:rPr>
      </w:pPr>
    </w:p>
    <w:p w14:paraId="71A1E320" w14:textId="77777777" w:rsidR="009F4442" w:rsidRPr="009A35D6" w:rsidRDefault="009F4442" w:rsidP="009F4442">
      <w:pPr>
        <w:tabs>
          <w:tab w:val="left" w:pos="851"/>
        </w:tabs>
        <w:ind w:left="851" w:hanging="851"/>
        <w:rPr>
          <w:sz w:val="24"/>
          <w:szCs w:val="24"/>
        </w:rPr>
      </w:pPr>
      <w:r>
        <w:rPr>
          <w:sz w:val="24"/>
          <w:szCs w:val="24"/>
        </w:rPr>
        <w:tab/>
      </w:r>
      <w:proofErr w:type="spellStart"/>
      <w:r w:rsidRPr="009A35D6">
        <w:rPr>
          <w:sz w:val="24"/>
          <w:szCs w:val="24"/>
        </w:rPr>
        <w:t>Gefitinib</w:t>
      </w:r>
      <w:proofErr w:type="spellEnd"/>
      <w:r w:rsidRPr="009A35D6">
        <w:rPr>
          <w:sz w:val="24"/>
          <w:szCs w:val="24"/>
        </w:rPr>
        <w:t xml:space="preserve"> udviste ikke genotoksisk potentiale.</w:t>
      </w:r>
    </w:p>
    <w:p w14:paraId="6A93314B" w14:textId="77777777" w:rsidR="009F4442" w:rsidRPr="009A35D6" w:rsidRDefault="009F4442" w:rsidP="009F4442">
      <w:pPr>
        <w:tabs>
          <w:tab w:val="left" w:pos="851"/>
        </w:tabs>
        <w:ind w:left="851" w:hanging="851"/>
        <w:rPr>
          <w:sz w:val="24"/>
          <w:szCs w:val="24"/>
        </w:rPr>
      </w:pPr>
    </w:p>
    <w:p w14:paraId="2BD705F4"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Et 2-årigt </w:t>
      </w:r>
      <w:proofErr w:type="spellStart"/>
      <w:r w:rsidRPr="009A35D6">
        <w:rPr>
          <w:sz w:val="24"/>
          <w:szCs w:val="24"/>
        </w:rPr>
        <w:t>carcinogenicitetsstudie</w:t>
      </w:r>
      <w:proofErr w:type="spellEnd"/>
      <w:r w:rsidRPr="009A35D6">
        <w:rPr>
          <w:sz w:val="24"/>
          <w:szCs w:val="24"/>
        </w:rPr>
        <w:t xml:space="preserve"> i rotter resulterede i en lille, men signifikant øget forekomst af </w:t>
      </w:r>
      <w:proofErr w:type="spellStart"/>
      <w:r w:rsidRPr="009A35D6">
        <w:rPr>
          <w:sz w:val="24"/>
          <w:szCs w:val="24"/>
        </w:rPr>
        <w:t>hepatocellulære</w:t>
      </w:r>
      <w:proofErr w:type="spellEnd"/>
      <w:r w:rsidRPr="009A35D6">
        <w:rPr>
          <w:sz w:val="24"/>
          <w:szCs w:val="24"/>
        </w:rPr>
        <w:t xml:space="preserve"> </w:t>
      </w:r>
      <w:proofErr w:type="spellStart"/>
      <w:r w:rsidRPr="009A35D6">
        <w:rPr>
          <w:sz w:val="24"/>
          <w:szCs w:val="24"/>
        </w:rPr>
        <w:t>adenomer</w:t>
      </w:r>
      <w:proofErr w:type="spellEnd"/>
      <w:r w:rsidRPr="009A35D6">
        <w:rPr>
          <w:sz w:val="24"/>
          <w:szCs w:val="24"/>
        </w:rPr>
        <w:t xml:space="preserve"> i både han- og hunrotter. I hunrotter sås mesenterisk </w:t>
      </w:r>
      <w:proofErr w:type="spellStart"/>
      <w:r w:rsidRPr="009A35D6">
        <w:rPr>
          <w:sz w:val="24"/>
          <w:szCs w:val="24"/>
        </w:rPr>
        <w:t>lymfeknudehæmangiosarkom</w:t>
      </w:r>
      <w:proofErr w:type="spellEnd"/>
      <w:r w:rsidRPr="009A35D6">
        <w:rPr>
          <w:sz w:val="24"/>
          <w:szCs w:val="24"/>
        </w:rPr>
        <w:t xml:space="preserve"> </w:t>
      </w:r>
      <w:r>
        <w:rPr>
          <w:sz w:val="24"/>
          <w:szCs w:val="24"/>
        </w:rPr>
        <w:t xml:space="preserve">kun </w:t>
      </w:r>
      <w:r w:rsidRPr="009A35D6">
        <w:rPr>
          <w:sz w:val="24"/>
          <w:szCs w:val="24"/>
        </w:rPr>
        <w:t xml:space="preserve">ved den højeste dosis (10 mg/kg/dag). </w:t>
      </w:r>
      <w:proofErr w:type="spellStart"/>
      <w:r w:rsidRPr="009A35D6">
        <w:rPr>
          <w:sz w:val="24"/>
          <w:szCs w:val="24"/>
        </w:rPr>
        <w:t>Hepatocellulære</w:t>
      </w:r>
      <w:proofErr w:type="spellEnd"/>
      <w:r w:rsidRPr="009A35D6">
        <w:rPr>
          <w:sz w:val="24"/>
          <w:szCs w:val="24"/>
        </w:rPr>
        <w:t xml:space="preserve"> </w:t>
      </w:r>
      <w:proofErr w:type="spellStart"/>
      <w:r w:rsidRPr="009A35D6">
        <w:rPr>
          <w:sz w:val="24"/>
          <w:szCs w:val="24"/>
        </w:rPr>
        <w:t>adenomer</w:t>
      </w:r>
      <w:proofErr w:type="spellEnd"/>
      <w:r w:rsidRPr="009A35D6">
        <w:rPr>
          <w:sz w:val="24"/>
          <w:szCs w:val="24"/>
        </w:rPr>
        <w:t xml:space="preserve"> sås også i et 2-årigt </w:t>
      </w:r>
      <w:proofErr w:type="spellStart"/>
      <w:r w:rsidRPr="009A35D6">
        <w:rPr>
          <w:sz w:val="24"/>
          <w:szCs w:val="24"/>
        </w:rPr>
        <w:t>carcinogenicitetsstudie</w:t>
      </w:r>
      <w:proofErr w:type="spellEnd"/>
      <w:r w:rsidRPr="009A35D6">
        <w:rPr>
          <w:sz w:val="24"/>
          <w:szCs w:val="24"/>
        </w:rPr>
        <w:t xml:space="preserve"> med mus, som viste en let forøget forekomst i </w:t>
      </w:r>
      <w:proofErr w:type="spellStart"/>
      <w:r w:rsidRPr="009A35D6">
        <w:rPr>
          <w:sz w:val="24"/>
          <w:szCs w:val="24"/>
        </w:rPr>
        <w:t>hanmus</w:t>
      </w:r>
      <w:proofErr w:type="spellEnd"/>
      <w:r w:rsidRPr="009A35D6">
        <w:rPr>
          <w:sz w:val="24"/>
          <w:szCs w:val="24"/>
        </w:rPr>
        <w:t xml:space="preserve"> ved middel dosis og i både han- og </w:t>
      </w:r>
      <w:proofErr w:type="spellStart"/>
      <w:r w:rsidRPr="009A35D6">
        <w:rPr>
          <w:sz w:val="24"/>
          <w:szCs w:val="24"/>
        </w:rPr>
        <w:t>hunmus</w:t>
      </w:r>
      <w:proofErr w:type="spellEnd"/>
      <w:r w:rsidRPr="009A35D6">
        <w:rPr>
          <w:sz w:val="24"/>
          <w:szCs w:val="24"/>
        </w:rPr>
        <w:t xml:space="preserve"> ved den høje dosis. Effekten opnåede statistisk signifikans for </w:t>
      </w:r>
      <w:proofErr w:type="spellStart"/>
      <w:r w:rsidRPr="009A35D6">
        <w:rPr>
          <w:sz w:val="24"/>
          <w:szCs w:val="24"/>
        </w:rPr>
        <w:t>hunmus</w:t>
      </w:r>
      <w:proofErr w:type="spellEnd"/>
      <w:r w:rsidRPr="009A35D6">
        <w:rPr>
          <w:sz w:val="24"/>
          <w:szCs w:val="24"/>
        </w:rPr>
        <w:t xml:space="preserve">, men ikke for </w:t>
      </w:r>
      <w:proofErr w:type="spellStart"/>
      <w:r w:rsidRPr="009A35D6">
        <w:rPr>
          <w:sz w:val="24"/>
          <w:szCs w:val="24"/>
        </w:rPr>
        <w:t>hanmus</w:t>
      </w:r>
      <w:proofErr w:type="spellEnd"/>
      <w:r w:rsidRPr="009A35D6">
        <w:rPr>
          <w:sz w:val="24"/>
          <w:szCs w:val="24"/>
        </w:rPr>
        <w:t>. De fundne nul-effekt-niveauer i både mus og rotter var ikke højere end dem, der ses ved klinisk eksponering. Den kliniske relevans af disse fund er ukendt.</w:t>
      </w:r>
    </w:p>
    <w:p w14:paraId="730C3735" w14:textId="77777777" w:rsidR="009F4442" w:rsidRPr="009A35D6" w:rsidRDefault="009F4442" w:rsidP="009F4442">
      <w:pPr>
        <w:tabs>
          <w:tab w:val="left" w:pos="851"/>
        </w:tabs>
        <w:ind w:left="851" w:hanging="851"/>
        <w:rPr>
          <w:sz w:val="24"/>
          <w:szCs w:val="24"/>
        </w:rPr>
      </w:pPr>
    </w:p>
    <w:p w14:paraId="36AED6BA"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 xml:space="preserve">Resultaterne af et </w:t>
      </w:r>
      <w:r w:rsidRPr="009A35D6">
        <w:rPr>
          <w:i/>
          <w:sz w:val="24"/>
          <w:szCs w:val="24"/>
        </w:rPr>
        <w:t xml:space="preserve">in </w:t>
      </w:r>
      <w:proofErr w:type="spellStart"/>
      <w:r w:rsidRPr="009A35D6">
        <w:rPr>
          <w:i/>
          <w:sz w:val="24"/>
          <w:szCs w:val="24"/>
        </w:rPr>
        <w:t>vitro</w:t>
      </w:r>
      <w:proofErr w:type="spellEnd"/>
      <w:r w:rsidRPr="009A35D6">
        <w:rPr>
          <w:sz w:val="24"/>
          <w:szCs w:val="24"/>
        </w:rPr>
        <w:t xml:space="preserve">-fototoksicitetsforsøg viste, at </w:t>
      </w:r>
      <w:proofErr w:type="spellStart"/>
      <w:r w:rsidRPr="009A35D6">
        <w:rPr>
          <w:sz w:val="24"/>
          <w:szCs w:val="24"/>
        </w:rPr>
        <w:t>gefitinib</w:t>
      </w:r>
      <w:proofErr w:type="spellEnd"/>
      <w:r w:rsidRPr="009A35D6">
        <w:rPr>
          <w:sz w:val="24"/>
          <w:szCs w:val="24"/>
        </w:rPr>
        <w:t xml:space="preserve"> kan have fototoksisk potentiale.</w:t>
      </w:r>
    </w:p>
    <w:p w14:paraId="6C707BC1" w14:textId="77777777" w:rsidR="009F4442" w:rsidRPr="009A35D6" w:rsidRDefault="009F4442" w:rsidP="009F4442">
      <w:pPr>
        <w:tabs>
          <w:tab w:val="left" w:pos="851"/>
        </w:tabs>
        <w:ind w:left="851" w:hanging="851"/>
        <w:rPr>
          <w:sz w:val="24"/>
          <w:szCs w:val="24"/>
        </w:rPr>
      </w:pPr>
    </w:p>
    <w:p w14:paraId="32488151" w14:textId="77777777" w:rsidR="009F4442" w:rsidRPr="009A35D6" w:rsidRDefault="009F4442" w:rsidP="009F4442">
      <w:pPr>
        <w:tabs>
          <w:tab w:val="left" w:pos="851"/>
        </w:tabs>
        <w:ind w:left="851" w:hanging="851"/>
        <w:rPr>
          <w:sz w:val="24"/>
          <w:szCs w:val="24"/>
        </w:rPr>
      </w:pPr>
    </w:p>
    <w:p w14:paraId="2295D0FA" w14:textId="77777777" w:rsidR="009F4442" w:rsidRPr="009A35D6" w:rsidRDefault="009F4442" w:rsidP="009F4442">
      <w:pPr>
        <w:tabs>
          <w:tab w:val="left" w:pos="851"/>
        </w:tabs>
        <w:ind w:left="851" w:hanging="851"/>
        <w:rPr>
          <w:b/>
          <w:sz w:val="24"/>
          <w:szCs w:val="24"/>
        </w:rPr>
      </w:pPr>
      <w:r w:rsidRPr="009A35D6">
        <w:rPr>
          <w:b/>
          <w:sz w:val="24"/>
          <w:szCs w:val="24"/>
        </w:rPr>
        <w:t>6.</w:t>
      </w:r>
      <w:r w:rsidRPr="009A35D6">
        <w:rPr>
          <w:b/>
          <w:sz w:val="24"/>
          <w:szCs w:val="24"/>
        </w:rPr>
        <w:tab/>
        <w:t>FARMACEUTISKE OPLYSNINGER</w:t>
      </w:r>
    </w:p>
    <w:p w14:paraId="687EC469" w14:textId="77777777" w:rsidR="009F4442" w:rsidRPr="009A35D6" w:rsidRDefault="009F4442" w:rsidP="009F4442">
      <w:pPr>
        <w:tabs>
          <w:tab w:val="left" w:pos="851"/>
        </w:tabs>
        <w:ind w:left="851" w:hanging="851"/>
        <w:rPr>
          <w:sz w:val="24"/>
          <w:szCs w:val="24"/>
        </w:rPr>
      </w:pPr>
    </w:p>
    <w:p w14:paraId="6241D5D2" w14:textId="77777777" w:rsidR="009F4442" w:rsidRPr="009A35D6" w:rsidRDefault="009F4442" w:rsidP="009F4442">
      <w:pPr>
        <w:tabs>
          <w:tab w:val="left" w:pos="851"/>
        </w:tabs>
        <w:ind w:left="851" w:hanging="851"/>
        <w:rPr>
          <w:b/>
          <w:sz w:val="24"/>
          <w:szCs w:val="24"/>
        </w:rPr>
      </w:pPr>
      <w:r w:rsidRPr="009A35D6">
        <w:rPr>
          <w:b/>
          <w:sz w:val="24"/>
          <w:szCs w:val="24"/>
        </w:rPr>
        <w:t>6.1</w:t>
      </w:r>
      <w:r w:rsidRPr="009A35D6">
        <w:rPr>
          <w:b/>
          <w:sz w:val="24"/>
          <w:szCs w:val="24"/>
        </w:rPr>
        <w:tab/>
        <w:t>Hjælpestoffer</w:t>
      </w:r>
    </w:p>
    <w:p w14:paraId="12B4C5CA" w14:textId="77777777" w:rsidR="009F4442" w:rsidRDefault="009F4442" w:rsidP="009F4442">
      <w:pPr>
        <w:ind w:left="851" w:hanging="851"/>
        <w:rPr>
          <w:sz w:val="24"/>
          <w:szCs w:val="24"/>
          <w:u w:val="single"/>
        </w:rPr>
      </w:pPr>
    </w:p>
    <w:p w14:paraId="3C148A75" w14:textId="77777777" w:rsidR="009F4442" w:rsidRPr="009A35D6" w:rsidRDefault="009F4442" w:rsidP="009F4442">
      <w:pPr>
        <w:ind w:left="851"/>
        <w:rPr>
          <w:sz w:val="24"/>
          <w:szCs w:val="24"/>
          <w:u w:val="single"/>
        </w:rPr>
      </w:pPr>
      <w:r w:rsidRPr="009A35D6">
        <w:rPr>
          <w:sz w:val="24"/>
          <w:szCs w:val="24"/>
          <w:u w:val="single"/>
        </w:rPr>
        <w:t>Tabletkerne</w:t>
      </w:r>
    </w:p>
    <w:p w14:paraId="7B108D8E" w14:textId="77777777" w:rsidR="009F4442" w:rsidRPr="009A35D6" w:rsidRDefault="009F4442" w:rsidP="009F4442">
      <w:pPr>
        <w:ind w:left="851"/>
        <w:rPr>
          <w:sz w:val="24"/>
          <w:szCs w:val="24"/>
        </w:rPr>
      </w:pPr>
      <w:proofErr w:type="spellStart"/>
      <w:r w:rsidRPr="009A35D6">
        <w:rPr>
          <w:sz w:val="24"/>
          <w:szCs w:val="24"/>
        </w:rPr>
        <w:t>Natriumlaurilsulfat</w:t>
      </w:r>
      <w:proofErr w:type="spellEnd"/>
    </w:p>
    <w:p w14:paraId="451385BC" w14:textId="77777777" w:rsidR="009F4442" w:rsidRPr="009A35D6" w:rsidRDefault="009F4442" w:rsidP="009F4442">
      <w:pPr>
        <w:ind w:left="851"/>
        <w:rPr>
          <w:sz w:val="24"/>
          <w:szCs w:val="24"/>
        </w:rPr>
      </w:pPr>
      <w:proofErr w:type="spellStart"/>
      <w:r w:rsidRPr="009A35D6">
        <w:rPr>
          <w:sz w:val="24"/>
          <w:szCs w:val="24"/>
        </w:rPr>
        <w:t>Lactosemonohydrat</w:t>
      </w:r>
      <w:proofErr w:type="spellEnd"/>
    </w:p>
    <w:p w14:paraId="18FE4E99" w14:textId="77777777" w:rsidR="009F4442" w:rsidRPr="009A35D6" w:rsidRDefault="009F4442" w:rsidP="009F4442">
      <w:pPr>
        <w:ind w:left="851"/>
        <w:rPr>
          <w:sz w:val="24"/>
          <w:szCs w:val="24"/>
          <w:lang w:val="en-US"/>
        </w:rPr>
      </w:pPr>
      <w:r w:rsidRPr="009A35D6">
        <w:rPr>
          <w:sz w:val="24"/>
          <w:szCs w:val="24"/>
          <w:lang w:val="en-US"/>
        </w:rPr>
        <w:t xml:space="preserve">Cellulose, </w:t>
      </w:r>
      <w:proofErr w:type="spellStart"/>
      <w:r w:rsidRPr="009A35D6">
        <w:rPr>
          <w:sz w:val="24"/>
          <w:szCs w:val="24"/>
          <w:lang w:val="en-US"/>
        </w:rPr>
        <w:t>mikrokrystallinsk</w:t>
      </w:r>
      <w:proofErr w:type="spellEnd"/>
    </w:p>
    <w:p w14:paraId="6F19FA21" w14:textId="77777777" w:rsidR="009F4442" w:rsidRPr="009A35D6" w:rsidRDefault="009F4442" w:rsidP="009F4442">
      <w:pPr>
        <w:ind w:left="851"/>
        <w:rPr>
          <w:sz w:val="24"/>
          <w:szCs w:val="24"/>
          <w:lang w:val="en-US"/>
        </w:rPr>
      </w:pPr>
      <w:proofErr w:type="spellStart"/>
      <w:r w:rsidRPr="009A35D6">
        <w:rPr>
          <w:sz w:val="24"/>
          <w:szCs w:val="24"/>
          <w:lang w:val="en-US"/>
        </w:rPr>
        <w:t>Povidon</w:t>
      </w:r>
      <w:proofErr w:type="spellEnd"/>
    </w:p>
    <w:p w14:paraId="529DA6D1" w14:textId="77777777" w:rsidR="009F4442" w:rsidRPr="009A35D6" w:rsidRDefault="009F4442" w:rsidP="009F4442">
      <w:pPr>
        <w:ind w:left="851"/>
        <w:rPr>
          <w:sz w:val="24"/>
          <w:szCs w:val="24"/>
          <w:lang w:val="en-US"/>
        </w:rPr>
      </w:pPr>
      <w:proofErr w:type="spellStart"/>
      <w:r w:rsidRPr="009A35D6">
        <w:rPr>
          <w:sz w:val="24"/>
          <w:szCs w:val="24"/>
          <w:lang w:val="en-US"/>
        </w:rPr>
        <w:t>Croscarmellosenatrium</w:t>
      </w:r>
      <w:proofErr w:type="spellEnd"/>
    </w:p>
    <w:p w14:paraId="0515903F" w14:textId="77777777" w:rsidR="009F4442" w:rsidRPr="009A35D6" w:rsidRDefault="009F4442" w:rsidP="009F4442">
      <w:pPr>
        <w:ind w:left="851"/>
        <w:rPr>
          <w:sz w:val="24"/>
          <w:szCs w:val="24"/>
          <w:lang w:val="en-US"/>
        </w:rPr>
      </w:pPr>
      <w:proofErr w:type="spellStart"/>
      <w:r w:rsidRPr="009A35D6">
        <w:rPr>
          <w:sz w:val="24"/>
          <w:szCs w:val="24"/>
          <w:lang w:val="en-US"/>
        </w:rPr>
        <w:t>Magnesiumstearat</w:t>
      </w:r>
      <w:proofErr w:type="spellEnd"/>
    </w:p>
    <w:p w14:paraId="274B7F14" w14:textId="77777777" w:rsidR="009F4442" w:rsidRPr="009A35D6" w:rsidRDefault="009F4442" w:rsidP="009F4442">
      <w:pPr>
        <w:ind w:left="851"/>
        <w:rPr>
          <w:sz w:val="24"/>
          <w:szCs w:val="24"/>
          <w:lang w:val="en-US"/>
        </w:rPr>
      </w:pPr>
    </w:p>
    <w:p w14:paraId="1656F2F7" w14:textId="77777777" w:rsidR="009F4442" w:rsidRPr="009A35D6" w:rsidRDefault="009F4442" w:rsidP="009F4442">
      <w:pPr>
        <w:ind w:left="851"/>
        <w:rPr>
          <w:sz w:val="24"/>
          <w:szCs w:val="24"/>
          <w:u w:val="single"/>
          <w:lang w:val="en-US"/>
        </w:rPr>
      </w:pPr>
      <w:proofErr w:type="spellStart"/>
      <w:r>
        <w:rPr>
          <w:sz w:val="24"/>
          <w:szCs w:val="24"/>
          <w:u w:val="single"/>
          <w:lang w:val="en-US"/>
        </w:rPr>
        <w:t>F</w:t>
      </w:r>
      <w:r w:rsidRPr="009A35D6">
        <w:rPr>
          <w:sz w:val="24"/>
          <w:szCs w:val="24"/>
          <w:u w:val="single"/>
          <w:lang w:val="en-US"/>
        </w:rPr>
        <w:t>ilmovertræk</w:t>
      </w:r>
      <w:proofErr w:type="spellEnd"/>
    </w:p>
    <w:p w14:paraId="20B3B943" w14:textId="77777777" w:rsidR="009F4442" w:rsidRPr="009A35D6" w:rsidRDefault="009F4442" w:rsidP="009F4442">
      <w:pPr>
        <w:ind w:left="851"/>
        <w:rPr>
          <w:sz w:val="24"/>
          <w:szCs w:val="24"/>
        </w:rPr>
      </w:pPr>
      <w:r w:rsidRPr="009A35D6">
        <w:rPr>
          <w:sz w:val="24"/>
          <w:szCs w:val="24"/>
        </w:rPr>
        <w:t>Polyvinylalkohol</w:t>
      </w:r>
    </w:p>
    <w:p w14:paraId="29D6F66A" w14:textId="77777777" w:rsidR="009F4442" w:rsidRPr="009A35D6" w:rsidRDefault="009F4442" w:rsidP="009F4442">
      <w:pPr>
        <w:ind w:left="851"/>
        <w:rPr>
          <w:sz w:val="24"/>
          <w:szCs w:val="24"/>
        </w:rPr>
      </w:pPr>
      <w:proofErr w:type="spellStart"/>
      <w:r w:rsidRPr="009A35D6">
        <w:rPr>
          <w:sz w:val="24"/>
          <w:szCs w:val="24"/>
        </w:rPr>
        <w:t>Macrogol</w:t>
      </w:r>
      <w:proofErr w:type="spellEnd"/>
      <w:r w:rsidRPr="009A35D6">
        <w:rPr>
          <w:sz w:val="24"/>
          <w:szCs w:val="24"/>
        </w:rPr>
        <w:t xml:space="preserve"> 300</w:t>
      </w:r>
    </w:p>
    <w:p w14:paraId="36B80764" w14:textId="77777777" w:rsidR="009F4442" w:rsidRPr="009A35D6" w:rsidRDefault="009F4442" w:rsidP="009F4442">
      <w:pPr>
        <w:ind w:left="851"/>
        <w:rPr>
          <w:sz w:val="24"/>
          <w:szCs w:val="24"/>
        </w:rPr>
      </w:pPr>
      <w:proofErr w:type="spellStart"/>
      <w:r w:rsidRPr="009A35D6">
        <w:rPr>
          <w:sz w:val="24"/>
          <w:szCs w:val="24"/>
        </w:rPr>
        <w:t>Tal</w:t>
      </w:r>
      <w:r>
        <w:rPr>
          <w:sz w:val="24"/>
          <w:szCs w:val="24"/>
        </w:rPr>
        <w:t>c</w:t>
      </w:r>
      <w:r w:rsidRPr="009A35D6">
        <w:rPr>
          <w:sz w:val="24"/>
          <w:szCs w:val="24"/>
        </w:rPr>
        <w:t>um</w:t>
      </w:r>
      <w:proofErr w:type="spellEnd"/>
    </w:p>
    <w:p w14:paraId="4D005AB9" w14:textId="77777777" w:rsidR="009F4442" w:rsidRPr="009A35D6" w:rsidRDefault="009F4442" w:rsidP="009F4442">
      <w:pPr>
        <w:ind w:left="851"/>
        <w:rPr>
          <w:sz w:val="24"/>
          <w:szCs w:val="24"/>
        </w:rPr>
      </w:pPr>
      <w:r w:rsidRPr="009A35D6">
        <w:rPr>
          <w:sz w:val="24"/>
          <w:szCs w:val="24"/>
        </w:rPr>
        <w:t>Jernoxid, rød (E172)</w:t>
      </w:r>
    </w:p>
    <w:p w14:paraId="21A54B6B" w14:textId="77777777" w:rsidR="009F4442" w:rsidRPr="009A35D6" w:rsidRDefault="009F4442" w:rsidP="009F4442">
      <w:pPr>
        <w:ind w:left="851"/>
        <w:rPr>
          <w:sz w:val="24"/>
          <w:szCs w:val="24"/>
        </w:rPr>
      </w:pPr>
      <w:r w:rsidRPr="009A35D6">
        <w:rPr>
          <w:sz w:val="24"/>
          <w:szCs w:val="24"/>
        </w:rPr>
        <w:t>Jernoxid, gul (E172)</w:t>
      </w:r>
    </w:p>
    <w:p w14:paraId="5D4B0409" w14:textId="77777777" w:rsidR="009F4442" w:rsidRPr="009A35D6" w:rsidRDefault="009F4442" w:rsidP="009F4442">
      <w:pPr>
        <w:ind w:left="851"/>
        <w:rPr>
          <w:sz w:val="24"/>
          <w:szCs w:val="24"/>
        </w:rPr>
      </w:pPr>
      <w:r w:rsidRPr="009A35D6">
        <w:rPr>
          <w:sz w:val="24"/>
          <w:szCs w:val="24"/>
        </w:rPr>
        <w:t>Jernoxid, sort (E172)</w:t>
      </w:r>
    </w:p>
    <w:p w14:paraId="21E6C801" w14:textId="77777777" w:rsidR="009F4442" w:rsidRPr="009A35D6" w:rsidRDefault="009F4442" w:rsidP="009F4442">
      <w:pPr>
        <w:tabs>
          <w:tab w:val="left" w:pos="851"/>
        </w:tabs>
        <w:ind w:left="851" w:hanging="851"/>
        <w:rPr>
          <w:sz w:val="24"/>
          <w:szCs w:val="24"/>
        </w:rPr>
      </w:pPr>
    </w:p>
    <w:p w14:paraId="2D939612" w14:textId="77777777" w:rsidR="009F4442" w:rsidRPr="009A35D6" w:rsidRDefault="009F4442" w:rsidP="009F4442">
      <w:pPr>
        <w:tabs>
          <w:tab w:val="left" w:pos="851"/>
        </w:tabs>
        <w:ind w:left="851" w:hanging="851"/>
        <w:rPr>
          <w:b/>
          <w:sz w:val="24"/>
          <w:szCs w:val="24"/>
        </w:rPr>
      </w:pPr>
      <w:r w:rsidRPr="009A35D6">
        <w:rPr>
          <w:b/>
          <w:sz w:val="24"/>
          <w:szCs w:val="24"/>
        </w:rPr>
        <w:t>6.2</w:t>
      </w:r>
      <w:r w:rsidRPr="009A35D6">
        <w:rPr>
          <w:b/>
          <w:sz w:val="24"/>
          <w:szCs w:val="24"/>
        </w:rPr>
        <w:tab/>
        <w:t>Uforligeligheder</w:t>
      </w:r>
    </w:p>
    <w:p w14:paraId="11F103DD"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Ikke relevant.</w:t>
      </w:r>
    </w:p>
    <w:p w14:paraId="662DE829" w14:textId="77777777" w:rsidR="009F4442" w:rsidRDefault="009F4442" w:rsidP="009F4442">
      <w:pPr>
        <w:rPr>
          <w:sz w:val="24"/>
          <w:szCs w:val="24"/>
        </w:rPr>
      </w:pPr>
      <w:r>
        <w:rPr>
          <w:sz w:val="24"/>
          <w:szCs w:val="24"/>
        </w:rPr>
        <w:br w:type="page"/>
      </w:r>
    </w:p>
    <w:p w14:paraId="0A30538D" w14:textId="77777777" w:rsidR="009F4442" w:rsidRPr="009A35D6" w:rsidRDefault="009F4442" w:rsidP="009F4442">
      <w:pPr>
        <w:tabs>
          <w:tab w:val="left" w:pos="851"/>
        </w:tabs>
        <w:ind w:left="851" w:hanging="851"/>
        <w:rPr>
          <w:sz w:val="24"/>
          <w:szCs w:val="24"/>
        </w:rPr>
      </w:pPr>
    </w:p>
    <w:p w14:paraId="7B01F5DA" w14:textId="77777777" w:rsidR="009F4442" w:rsidRPr="009A35D6" w:rsidRDefault="009F4442" w:rsidP="009F4442">
      <w:pPr>
        <w:tabs>
          <w:tab w:val="left" w:pos="851"/>
        </w:tabs>
        <w:ind w:left="851" w:hanging="851"/>
        <w:rPr>
          <w:b/>
          <w:sz w:val="24"/>
          <w:szCs w:val="24"/>
        </w:rPr>
      </w:pPr>
      <w:r w:rsidRPr="009A35D6">
        <w:rPr>
          <w:b/>
          <w:sz w:val="24"/>
          <w:szCs w:val="24"/>
        </w:rPr>
        <w:t>6.3</w:t>
      </w:r>
      <w:r w:rsidRPr="009A35D6">
        <w:rPr>
          <w:b/>
          <w:sz w:val="24"/>
          <w:szCs w:val="24"/>
        </w:rPr>
        <w:tab/>
        <w:t>Opbevaringstid</w:t>
      </w:r>
    </w:p>
    <w:p w14:paraId="15419DCA" w14:textId="77777777" w:rsidR="009F4442" w:rsidRPr="009A35D6" w:rsidRDefault="009F4442" w:rsidP="009F4442">
      <w:pPr>
        <w:tabs>
          <w:tab w:val="left" w:pos="851"/>
        </w:tabs>
        <w:ind w:left="851" w:hanging="851"/>
        <w:rPr>
          <w:sz w:val="24"/>
          <w:szCs w:val="24"/>
        </w:rPr>
      </w:pPr>
      <w:r w:rsidRPr="009A35D6">
        <w:rPr>
          <w:sz w:val="24"/>
          <w:szCs w:val="24"/>
        </w:rPr>
        <w:tab/>
        <w:t>3 år</w:t>
      </w:r>
      <w:r>
        <w:rPr>
          <w:sz w:val="24"/>
          <w:szCs w:val="24"/>
        </w:rPr>
        <w:t>.</w:t>
      </w:r>
    </w:p>
    <w:p w14:paraId="114F0FF3" w14:textId="77777777" w:rsidR="009F4442" w:rsidRPr="009A35D6" w:rsidRDefault="009F4442" w:rsidP="009F4442">
      <w:pPr>
        <w:tabs>
          <w:tab w:val="left" w:pos="851"/>
        </w:tabs>
        <w:ind w:left="851" w:hanging="851"/>
        <w:rPr>
          <w:sz w:val="24"/>
          <w:szCs w:val="24"/>
        </w:rPr>
      </w:pPr>
    </w:p>
    <w:p w14:paraId="21238E48" w14:textId="77777777" w:rsidR="009F4442" w:rsidRPr="009A35D6" w:rsidRDefault="009F4442" w:rsidP="009F4442">
      <w:pPr>
        <w:tabs>
          <w:tab w:val="left" w:pos="851"/>
        </w:tabs>
        <w:ind w:left="851" w:hanging="851"/>
        <w:rPr>
          <w:b/>
          <w:sz w:val="24"/>
          <w:szCs w:val="24"/>
        </w:rPr>
      </w:pPr>
      <w:r w:rsidRPr="009A35D6">
        <w:rPr>
          <w:b/>
          <w:sz w:val="24"/>
          <w:szCs w:val="24"/>
        </w:rPr>
        <w:t>6.4</w:t>
      </w:r>
      <w:r w:rsidRPr="009A35D6">
        <w:rPr>
          <w:b/>
          <w:sz w:val="24"/>
          <w:szCs w:val="24"/>
        </w:rPr>
        <w:tab/>
        <w:t>Særlige opbevaringsforhold</w:t>
      </w:r>
    </w:p>
    <w:p w14:paraId="6C16320D"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Dette lægemiddel kræver ingen særlige forholdsregler vedrørende opbevaring</w:t>
      </w:r>
      <w:r>
        <w:rPr>
          <w:sz w:val="24"/>
          <w:szCs w:val="24"/>
        </w:rPr>
        <w:t>en</w:t>
      </w:r>
      <w:r w:rsidRPr="009A35D6">
        <w:rPr>
          <w:sz w:val="24"/>
          <w:szCs w:val="24"/>
        </w:rPr>
        <w:t>.</w:t>
      </w:r>
    </w:p>
    <w:p w14:paraId="2A8B0B05" w14:textId="77777777" w:rsidR="009F4442" w:rsidRPr="009A35D6" w:rsidRDefault="009F4442" w:rsidP="009F4442">
      <w:pPr>
        <w:tabs>
          <w:tab w:val="left" w:pos="851"/>
        </w:tabs>
        <w:ind w:left="851" w:hanging="851"/>
        <w:rPr>
          <w:sz w:val="24"/>
          <w:szCs w:val="24"/>
        </w:rPr>
      </w:pPr>
    </w:p>
    <w:p w14:paraId="333280AE" w14:textId="77777777" w:rsidR="009F4442" w:rsidRPr="009A35D6" w:rsidRDefault="009F4442" w:rsidP="009F4442">
      <w:pPr>
        <w:tabs>
          <w:tab w:val="left" w:pos="851"/>
        </w:tabs>
        <w:ind w:left="851" w:hanging="851"/>
        <w:rPr>
          <w:b/>
          <w:sz w:val="24"/>
          <w:szCs w:val="24"/>
        </w:rPr>
      </w:pPr>
      <w:r w:rsidRPr="009A35D6">
        <w:rPr>
          <w:b/>
          <w:sz w:val="24"/>
          <w:szCs w:val="24"/>
        </w:rPr>
        <w:t>6.5</w:t>
      </w:r>
      <w:r w:rsidRPr="009A35D6">
        <w:rPr>
          <w:b/>
          <w:sz w:val="24"/>
          <w:szCs w:val="24"/>
        </w:rPr>
        <w:tab/>
        <w:t>Emballagetype og pakningsstørrelser</w:t>
      </w:r>
    </w:p>
    <w:p w14:paraId="337F6017" w14:textId="77777777" w:rsidR="009F4442" w:rsidRPr="009A35D6" w:rsidRDefault="009F4442" w:rsidP="009F4442">
      <w:pPr>
        <w:suppressAutoHyphens/>
        <w:ind w:left="851"/>
        <w:rPr>
          <w:sz w:val="24"/>
          <w:szCs w:val="24"/>
        </w:rPr>
      </w:pPr>
      <w:proofErr w:type="spellStart"/>
      <w:r w:rsidRPr="009A35D6">
        <w:rPr>
          <w:sz w:val="24"/>
          <w:szCs w:val="24"/>
        </w:rPr>
        <w:t>oPA</w:t>
      </w:r>
      <w:proofErr w:type="spellEnd"/>
      <w:r w:rsidRPr="009A35D6">
        <w:rPr>
          <w:sz w:val="24"/>
          <w:szCs w:val="24"/>
        </w:rPr>
        <w:t xml:space="preserve">/AI/PVC-Al perforeret eller </w:t>
      </w:r>
      <w:proofErr w:type="spellStart"/>
      <w:r w:rsidRPr="009A35D6">
        <w:rPr>
          <w:sz w:val="24"/>
          <w:szCs w:val="24"/>
        </w:rPr>
        <w:t>uperforeret</w:t>
      </w:r>
      <w:proofErr w:type="spellEnd"/>
      <w:r w:rsidRPr="009A35D6">
        <w:rPr>
          <w:sz w:val="24"/>
          <w:szCs w:val="24"/>
        </w:rPr>
        <w:t xml:space="preserve"> blisterpakning.</w:t>
      </w:r>
    </w:p>
    <w:p w14:paraId="389613C5" w14:textId="77777777" w:rsidR="009F4442" w:rsidRPr="009A35D6" w:rsidRDefault="009F4442" w:rsidP="009F4442">
      <w:pPr>
        <w:suppressAutoHyphens/>
        <w:ind w:left="851" w:hanging="851"/>
        <w:rPr>
          <w:sz w:val="24"/>
          <w:szCs w:val="24"/>
        </w:rPr>
      </w:pPr>
    </w:p>
    <w:p w14:paraId="708135FE" w14:textId="77777777" w:rsidR="009F4442" w:rsidRDefault="009F4442" w:rsidP="009F4442">
      <w:pPr>
        <w:ind w:left="851"/>
        <w:rPr>
          <w:sz w:val="24"/>
          <w:szCs w:val="24"/>
        </w:rPr>
      </w:pPr>
      <w:r>
        <w:rPr>
          <w:sz w:val="24"/>
          <w:szCs w:val="24"/>
        </w:rPr>
        <w:t>Pakningsstørrelser:</w:t>
      </w:r>
      <w:r w:rsidRPr="009A35D6">
        <w:rPr>
          <w:sz w:val="24"/>
          <w:szCs w:val="24"/>
        </w:rPr>
        <w:t xml:space="preserve"> 30 tabletter eller 30 </w:t>
      </w:r>
      <w:r>
        <w:rPr>
          <w:sz w:val="24"/>
          <w:szCs w:val="24"/>
        </w:rPr>
        <w:t>×</w:t>
      </w:r>
      <w:r w:rsidRPr="009A35D6">
        <w:rPr>
          <w:sz w:val="24"/>
          <w:szCs w:val="24"/>
        </w:rPr>
        <w:t xml:space="preserve"> 1 tablet. </w:t>
      </w:r>
    </w:p>
    <w:p w14:paraId="280151C7" w14:textId="77777777" w:rsidR="009F4442" w:rsidRPr="009A35D6" w:rsidRDefault="009F4442" w:rsidP="009F4442">
      <w:pPr>
        <w:ind w:left="851"/>
        <w:rPr>
          <w:sz w:val="24"/>
          <w:szCs w:val="24"/>
        </w:rPr>
      </w:pPr>
      <w:r w:rsidRPr="009A35D6">
        <w:rPr>
          <w:sz w:val="24"/>
          <w:szCs w:val="24"/>
        </w:rPr>
        <w:t>Ikke alle pakningsstørrelser er nødvendigvis markedsført.</w:t>
      </w:r>
    </w:p>
    <w:p w14:paraId="55AB068C" w14:textId="77777777" w:rsidR="009F4442" w:rsidRPr="009A35D6" w:rsidRDefault="009F4442" w:rsidP="009F4442">
      <w:pPr>
        <w:tabs>
          <w:tab w:val="left" w:pos="851"/>
        </w:tabs>
        <w:ind w:left="851" w:hanging="851"/>
        <w:rPr>
          <w:sz w:val="24"/>
          <w:szCs w:val="24"/>
        </w:rPr>
      </w:pPr>
    </w:p>
    <w:p w14:paraId="1D271F19" w14:textId="77777777" w:rsidR="009F4442" w:rsidRPr="009A35D6" w:rsidRDefault="009F4442" w:rsidP="009F4442">
      <w:pPr>
        <w:tabs>
          <w:tab w:val="left" w:pos="851"/>
        </w:tabs>
        <w:ind w:left="851" w:hanging="851"/>
        <w:rPr>
          <w:b/>
          <w:sz w:val="24"/>
          <w:szCs w:val="24"/>
        </w:rPr>
      </w:pPr>
      <w:r w:rsidRPr="009A35D6">
        <w:rPr>
          <w:b/>
          <w:sz w:val="24"/>
          <w:szCs w:val="24"/>
        </w:rPr>
        <w:t>6.6</w:t>
      </w:r>
      <w:r w:rsidRPr="009A35D6">
        <w:rPr>
          <w:b/>
          <w:sz w:val="24"/>
          <w:szCs w:val="24"/>
        </w:rPr>
        <w:tab/>
        <w:t xml:space="preserve">Regler for </w:t>
      </w:r>
      <w:r w:rsidR="00B96128">
        <w:rPr>
          <w:b/>
          <w:sz w:val="24"/>
          <w:szCs w:val="24"/>
        </w:rPr>
        <w:t>bortskaffelse</w:t>
      </w:r>
      <w:r w:rsidRPr="009A35D6">
        <w:rPr>
          <w:b/>
          <w:sz w:val="24"/>
          <w:szCs w:val="24"/>
        </w:rPr>
        <w:t xml:space="preserve"> og anden håndtering</w:t>
      </w:r>
    </w:p>
    <w:p w14:paraId="00E0CDB0" w14:textId="77777777" w:rsidR="009F4442" w:rsidRPr="009A35D6" w:rsidRDefault="009F4442" w:rsidP="009F4442">
      <w:pPr>
        <w:tabs>
          <w:tab w:val="left" w:pos="851"/>
        </w:tabs>
        <w:ind w:left="851" w:hanging="851"/>
        <w:jc w:val="both"/>
        <w:rPr>
          <w:sz w:val="24"/>
          <w:szCs w:val="24"/>
        </w:rPr>
      </w:pPr>
      <w:r>
        <w:rPr>
          <w:sz w:val="24"/>
          <w:szCs w:val="24"/>
        </w:rPr>
        <w:tab/>
      </w:r>
      <w:r w:rsidRPr="009A35D6">
        <w:rPr>
          <w:sz w:val="24"/>
          <w:szCs w:val="24"/>
        </w:rPr>
        <w:t>Ikke anvendt lægemiddel samt affald heraf skal bortskaffes i henhold til lokale retningslinjer.</w:t>
      </w:r>
    </w:p>
    <w:p w14:paraId="4B3F96FA" w14:textId="77777777" w:rsidR="009F4442" w:rsidRPr="009A35D6" w:rsidRDefault="009F4442" w:rsidP="009F4442">
      <w:pPr>
        <w:tabs>
          <w:tab w:val="left" w:pos="851"/>
        </w:tabs>
        <w:ind w:left="851" w:hanging="851"/>
        <w:jc w:val="both"/>
        <w:rPr>
          <w:sz w:val="24"/>
          <w:szCs w:val="24"/>
        </w:rPr>
      </w:pPr>
    </w:p>
    <w:p w14:paraId="618FDDF2" w14:textId="77777777" w:rsidR="009F4442" w:rsidRPr="009A35D6" w:rsidRDefault="009F4442" w:rsidP="009F4442">
      <w:pPr>
        <w:tabs>
          <w:tab w:val="left" w:pos="851"/>
        </w:tabs>
        <w:ind w:left="851" w:hanging="851"/>
        <w:rPr>
          <w:b/>
          <w:sz w:val="24"/>
          <w:szCs w:val="24"/>
        </w:rPr>
      </w:pPr>
      <w:r w:rsidRPr="009A35D6">
        <w:rPr>
          <w:b/>
          <w:sz w:val="24"/>
          <w:szCs w:val="24"/>
        </w:rPr>
        <w:t>7.</w:t>
      </w:r>
      <w:r w:rsidRPr="009A35D6">
        <w:rPr>
          <w:b/>
          <w:sz w:val="24"/>
          <w:szCs w:val="24"/>
        </w:rPr>
        <w:tab/>
        <w:t>INDEHAVER AF MARKEDSFØRINGSTILLADELSEN</w:t>
      </w:r>
    </w:p>
    <w:p w14:paraId="67426C25" w14:textId="77777777" w:rsidR="009F4442" w:rsidRPr="009A35D6" w:rsidRDefault="009F4442" w:rsidP="009F4442">
      <w:pPr>
        <w:suppressAutoHyphens/>
        <w:ind w:left="851"/>
        <w:rPr>
          <w:sz w:val="24"/>
          <w:szCs w:val="24"/>
        </w:rPr>
      </w:pPr>
      <w:r w:rsidRPr="009A35D6">
        <w:rPr>
          <w:sz w:val="24"/>
          <w:szCs w:val="24"/>
        </w:rPr>
        <w:t xml:space="preserve">STADA </w:t>
      </w:r>
      <w:proofErr w:type="spellStart"/>
      <w:r w:rsidRPr="009A35D6">
        <w:rPr>
          <w:sz w:val="24"/>
          <w:szCs w:val="24"/>
        </w:rPr>
        <w:t>Arzeimittel</w:t>
      </w:r>
      <w:proofErr w:type="spellEnd"/>
      <w:r w:rsidRPr="009A35D6">
        <w:rPr>
          <w:sz w:val="24"/>
          <w:szCs w:val="24"/>
        </w:rPr>
        <w:t xml:space="preserve"> AG</w:t>
      </w:r>
    </w:p>
    <w:p w14:paraId="7A3BC278" w14:textId="77777777" w:rsidR="009F4442" w:rsidRPr="009A35D6" w:rsidRDefault="009F4442" w:rsidP="009F4442">
      <w:pPr>
        <w:suppressAutoHyphens/>
        <w:ind w:left="851"/>
        <w:rPr>
          <w:sz w:val="24"/>
          <w:szCs w:val="24"/>
        </w:rPr>
      </w:pPr>
      <w:proofErr w:type="spellStart"/>
      <w:r w:rsidRPr="009A35D6">
        <w:rPr>
          <w:sz w:val="24"/>
          <w:szCs w:val="24"/>
        </w:rPr>
        <w:t>Stadastrasse</w:t>
      </w:r>
      <w:proofErr w:type="spellEnd"/>
      <w:r w:rsidRPr="009A35D6">
        <w:rPr>
          <w:sz w:val="24"/>
          <w:szCs w:val="24"/>
        </w:rPr>
        <w:t xml:space="preserve"> 2-18</w:t>
      </w:r>
    </w:p>
    <w:p w14:paraId="61A07F89" w14:textId="77777777" w:rsidR="009F4442" w:rsidRPr="009A35D6" w:rsidRDefault="009F4442" w:rsidP="009F4442">
      <w:pPr>
        <w:suppressAutoHyphens/>
        <w:ind w:left="851"/>
        <w:rPr>
          <w:sz w:val="24"/>
          <w:szCs w:val="24"/>
        </w:rPr>
      </w:pPr>
      <w:r w:rsidRPr="009A35D6">
        <w:rPr>
          <w:sz w:val="24"/>
          <w:szCs w:val="24"/>
        </w:rPr>
        <w:t xml:space="preserve">61118 Bad </w:t>
      </w:r>
      <w:proofErr w:type="spellStart"/>
      <w:r w:rsidRPr="009A35D6">
        <w:rPr>
          <w:sz w:val="24"/>
          <w:szCs w:val="24"/>
        </w:rPr>
        <w:t>Vilbel</w:t>
      </w:r>
      <w:proofErr w:type="spellEnd"/>
    </w:p>
    <w:p w14:paraId="6549940B" w14:textId="77777777" w:rsidR="009F4442" w:rsidRPr="009A35D6" w:rsidRDefault="009F4442" w:rsidP="009F4442">
      <w:pPr>
        <w:suppressAutoHyphens/>
        <w:ind w:left="851"/>
        <w:rPr>
          <w:sz w:val="24"/>
          <w:szCs w:val="24"/>
        </w:rPr>
      </w:pPr>
      <w:r w:rsidRPr="009A35D6">
        <w:rPr>
          <w:sz w:val="24"/>
          <w:szCs w:val="24"/>
        </w:rPr>
        <w:t>Tyskland</w:t>
      </w:r>
    </w:p>
    <w:p w14:paraId="52C14BB4" w14:textId="77777777" w:rsidR="009F4442" w:rsidRPr="009A35D6" w:rsidRDefault="009F4442" w:rsidP="009F4442">
      <w:pPr>
        <w:suppressAutoHyphens/>
        <w:ind w:left="851"/>
        <w:rPr>
          <w:sz w:val="24"/>
          <w:szCs w:val="24"/>
        </w:rPr>
      </w:pPr>
    </w:p>
    <w:p w14:paraId="5C820CD5" w14:textId="77777777" w:rsidR="009F4442" w:rsidRPr="00C27D0E" w:rsidRDefault="009F4442" w:rsidP="009F4442">
      <w:pPr>
        <w:suppressAutoHyphens/>
        <w:ind w:left="851"/>
        <w:rPr>
          <w:b/>
          <w:sz w:val="24"/>
          <w:szCs w:val="24"/>
        </w:rPr>
      </w:pPr>
      <w:r w:rsidRPr="00C27D0E">
        <w:rPr>
          <w:b/>
          <w:sz w:val="24"/>
          <w:szCs w:val="24"/>
        </w:rPr>
        <w:t>Repræsentant</w:t>
      </w:r>
    </w:p>
    <w:p w14:paraId="04333C6C" w14:textId="77777777" w:rsidR="009F4442" w:rsidRPr="00B96128" w:rsidRDefault="009F4442" w:rsidP="009F4442">
      <w:pPr>
        <w:suppressAutoHyphens/>
        <w:ind w:left="851"/>
        <w:rPr>
          <w:sz w:val="24"/>
          <w:szCs w:val="24"/>
          <w:lang w:val="en-US"/>
        </w:rPr>
      </w:pPr>
      <w:r w:rsidRPr="00B96128">
        <w:rPr>
          <w:sz w:val="24"/>
          <w:szCs w:val="24"/>
          <w:lang w:val="en-US"/>
        </w:rPr>
        <w:t>STADA Nordic</w:t>
      </w:r>
      <w:r w:rsidR="00B96128" w:rsidRPr="00B96128">
        <w:rPr>
          <w:sz w:val="24"/>
          <w:szCs w:val="24"/>
          <w:lang w:val="en-US"/>
        </w:rPr>
        <w:t xml:space="preserve"> </w:t>
      </w:r>
      <w:proofErr w:type="spellStart"/>
      <w:r w:rsidR="00B96128" w:rsidRPr="00B96128">
        <w:rPr>
          <w:sz w:val="24"/>
          <w:szCs w:val="24"/>
          <w:lang w:val="en-US"/>
        </w:rPr>
        <w:t>A</w:t>
      </w:r>
      <w:r w:rsidR="00B96128">
        <w:rPr>
          <w:sz w:val="24"/>
          <w:szCs w:val="24"/>
          <w:lang w:val="en-US"/>
        </w:rPr>
        <w:t>pS</w:t>
      </w:r>
      <w:proofErr w:type="spellEnd"/>
    </w:p>
    <w:p w14:paraId="3CA1A412" w14:textId="77777777" w:rsidR="009F4442" w:rsidRPr="00B96128" w:rsidRDefault="009F4442" w:rsidP="009F4442">
      <w:pPr>
        <w:suppressAutoHyphens/>
        <w:ind w:left="851"/>
        <w:rPr>
          <w:sz w:val="24"/>
          <w:szCs w:val="24"/>
          <w:lang w:val="en-US"/>
        </w:rPr>
      </w:pPr>
      <w:proofErr w:type="spellStart"/>
      <w:r w:rsidRPr="00B96128">
        <w:rPr>
          <w:sz w:val="24"/>
          <w:szCs w:val="24"/>
          <w:lang w:val="en-US"/>
        </w:rPr>
        <w:t>Marielundvej</w:t>
      </w:r>
      <w:proofErr w:type="spellEnd"/>
      <w:r w:rsidRPr="00B96128">
        <w:rPr>
          <w:sz w:val="24"/>
          <w:szCs w:val="24"/>
          <w:lang w:val="en-US"/>
        </w:rPr>
        <w:t xml:space="preserve"> 46A</w:t>
      </w:r>
    </w:p>
    <w:p w14:paraId="20202028" w14:textId="77777777" w:rsidR="009F4442" w:rsidRPr="009A35D6" w:rsidRDefault="009F4442" w:rsidP="009F4442">
      <w:pPr>
        <w:suppressAutoHyphens/>
        <w:ind w:left="851"/>
        <w:rPr>
          <w:sz w:val="24"/>
          <w:szCs w:val="24"/>
        </w:rPr>
      </w:pPr>
      <w:r w:rsidRPr="009A35D6">
        <w:rPr>
          <w:sz w:val="24"/>
          <w:szCs w:val="24"/>
        </w:rPr>
        <w:t>2730 Herlev</w:t>
      </w:r>
    </w:p>
    <w:p w14:paraId="0B7E5B4D" w14:textId="77777777" w:rsidR="009F4442" w:rsidRPr="009A35D6" w:rsidRDefault="009F4442" w:rsidP="009F4442">
      <w:pPr>
        <w:tabs>
          <w:tab w:val="left" w:pos="851"/>
        </w:tabs>
        <w:ind w:left="851" w:hanging="851"/>
        <w:rPr>
          <w:sz w:val="24"/>
          <w:szCs w:val="24"/>
        </w:rPr>
      </w:pPr>
    </w:p>
    <w:p w14:paraId="0981585E" w14:textId="77777777" w:rsidR="009F4442" w:rsidRPr="009A35D6" w:rsidRDefault="009F4442" w:rsidP="009F4442">
      <w:pPr>
        <w:tabs>
          <w:tab w:val="left" w:pos="851"/>
        </w:tabs>
        <w:ind w:left="851" w:hanging="851"/>
        <w:rPr>
          <w:b/>
          <w:sz w:val="24"/>
          <w:szCs w:val="24"/>
        </w:rPr>
      </w:pPr>
      <w:r w:rsidRPr="009A35D6">
        <w:rPr>
          <w:b/>
          <w:sz w:val="24"/>
          <w:szCs w:val="24"/>
        </w:rPr>
        <w:t>8.</w:t>
      </w:r>
      <w:r w:rsidRPr="009A35D6">
        <w:rPr>
          <w:b/>
          <w:sz w:val="24"/>
          <w:szCs w:val="24"/>
        </w:rPr>
        <w:tab/>
        <w:t>MARKEDSFØRINGSTILLADELSESNUMMER (</w:t>
      </w:r>
      <w:r w:rsidR="00B96128">
        <w:rPr>
          <w:b/>
          <w:sz w:val="24"/>
          <w:szCs w:val="24"/>
        </w:rPr>
        <w:t>-</w:t>
      </w:r>
      <w:bookmarkStart w:id="0" w:name="_GoBack"/>
      <w:bookmarkEnd w:id="0"/>
      <w:r w:rsidRPr="009A35D6">
        <w:rPr>
          <w:b/>
          <w:sz w:val="24"/>
          <w:szCs w:val="24"/>
        </w:rPr>
        <w:t>NUMRE)</w:t>
      </w:r>
    </w:p>
    <w:p w14:paraId="4227B4E3" w14:textId="77777777" w:rsidR="009F4442" w:rsidRPr="009A35D6" w:rsidRDefault="009F4442" w:rsidP="009F4442">
      <w:pPr>
        <w:tabs>
          <w:tab w:val="left" w:pos="851"/>
        </w:tabs>
        <w:ind w:left="851" w:hanging="851"/>
        <w:rPr>
          <w:sz w:val="24"/>
          <w:szCs w:val="24"/>
        </w:rPr>
      </w:pPr>
      <w:r>
        <w:rPr>
          <w:sz w:val="24"/>
          <w:szCs w:val="24"/>
        </w:rPr>
        <w:tab/>
      </w:r>
      <w:r w:rsidRPr="009A35D6">
        <w:rPr>
          <w:sz w:val="24"/>
          <w:szCs w:val="24"/>
        </w:rPr>
        <w:t>59751</w:t>
      </w:r>
    </w:p>
    <w:p w14:paraId="08533EC9" w14:textId="77777777" w:rsidR="009F4442" w:rsidRPr="009A35D6" w:rsidRDefault="009F4442" w:rsidP="009F4442">
      <w:pPr>
        <w:tabs>
          <w:tab w:val="left" w:pos="851"/>
        </w:tabs>
        <w:ind w:left="851" w:hanging="851"/>
        <w:jc w:val="both"/>
        <w:rPr>
          <w:sz w:val="24"/>
          <w:szCs w:val="24"/>
        </w:rPr>
      </w:pPr>
    </w:p>
    <w:p w14:paraId="7C9C6215" w14:textId="77777777" w:rsidR="009F4442" w:rsidRPr="009A35D6" w:rsidRDefault="009F4442" w:rsidP="009F4442">
      <w:pPr>
        <w:tabs>
          <w:tab w:val="left" w:pos="851"/>
        </w:tabs>
        <w:ind w:left="851" w:hanging="851"/>
        <w:rPr>
          <w:b/>
          <w:sz w:val="24"/>
          <w:szCs w:val="24"/>
        </w:rPr>
      </w:pPr>
      <w:r w:rsidRPr="009A35D6">
        <w:rPr>
          <w:b/>
          <w:sz w:val="24"/>
          <w:szCs w:val="24"/>
        </w:rPr>
        <w:t>9.</w:t>
      </w:r>
      <w:r w:rsidRPr="009A35D6">
        <w:rPr>
          <w:b/>
          <w:sz w:val="24"/>
          <w:szCs w:val="24"/>
        </w:rPr>
        <w:tab/>
        <w:t>DATO FOR FØRSTE MARKEDSFØRINGSTILLADELSE</w:t>
      </w:r>
    </w:p>
    <w:p w14:paraId="166BC142" w14:textId="77777777" w:rsidR="009F4442" w:rsidRPr="009A35D6" w:rsidRDefault="009F4442" w:rsidP="009F4442">
      <w:pPr>
        <w:tabs>
          <w:tab w:val="left" w:pos="851"/>
        </w:tabs>
        <w:ind w:left="851" w:hanging="851"/>
        <w:rPr>
          <w:sz w:val="24"/>
          <w:szCs w:val="24"/>
        </w:rPr>
      </w:pPr>
      <w:r>
        <w:rPr>
          <w:sz w:val="24"/>
          <w:szCs w:val="24"/>
        </w:rPr>
        <w:tab/>
        <w:t>31. august 2018</w:t>
      </w:r>
    </w:p>
    <w:p w14:paraId="3EE1BDBE" w14:textId="77777777" w:rsidR="009F4442" w:rsidRPr="009A35D6" w:rsidRDefault="009F4442" w:rsidP="009F4442">
      <w:pPr>
        <w:tabs>
          <w:tab w:val="left" w:pos="851"/>
        </w:tabs>
        <w:ind w:left="851" w:hanging="851"/>
        <w:rPr>
          <w:sz w:val="24"/>
          <w:szCs w:val="24"/>
        </w:rPr>
      </w:pPr>
    </w:p>
    <w:p w14:paraId="753907C6" w14:textId="77777777" w:rsidR="009F4442" w:rsidRPr="009A35D6" w:rsidRDefault="009F4442" w:rsidP="009F4442">
      <w:pPr>
        <w:tabs>
          <w:tab w:val="left" w:pos="851"/>
        </w:tabs>
        <w:ind w:left="851" w:hanging="851"/>
        <w:rPr>
          <w:b/>
          <w:sz w:val="24"/>
          <w:szCs w:val="24"/>
        </w:rPr>
      </w:pPr>
      <w:r w:rsidRPr="009A35D6">
        <w:rPr>
          <w:b/>
          <w:sz w:val="24"/>
          <w:szCs w:val="24"/>
        </w:rPr>
        <w:t>10.</w:t>
      </w:r>
      <w:r w:rsidRPr="009A35D6">
        <w:rPr>
          <w:b/>
          <w:sz w:val="24"/>
          <w:szCs w:val="24"/>
        </w:rPr>
        <w:tab/>
        <w:t>DATO FOR ÆNDRING AF TEKSTEN</w:t>
      </w:r>
    </w:p>
    <w:p w14:paraId="27EC2A65" w14:textId="77777777" w:rsidR="009F4442" w:rsidRPr="009A35D6" w:rsidRDefault="009F4442" w:rsidP="009F4442">
      <w:pPr>
        <w:tabs>
          <w:tab w:val="left" w:pos="851"/>
        </w:tabs>
        <w:ind w:left="851" w:hanging="851"/>
        <w:rPr>
          <w:sz w:val="24"/>
          <w:szCs w:val="24"/>
        </w:rPr>
      </w:pPr>
      <w:r>
        <w:rPr>
          <w:sz w:val="24"/>
          <w:szCs w:val="24"/>
        </w:rPr>
        <w:tab/>
      </w:r>
      <w:r w:rsidR="00A75BD5">
        <w:rPr>
          <w:sz w:val="24"/>
          <w:szCs w:val="24"/>
        </w:rPr>
        <w:t>15. marts 2023</w:t>
      </w:r>
    </w:p>
    <w:p w14:paraId="2A233B16" w14:textId="77777777" w:rsidR="009F4442" w:rsidRPr="004D5D26" w:rsidRDefault="009F4442" w:rsidP="009F4442"/>
    <w:p w14:paraId="249E7F07" w14:textId="77777777" w:rsidR="009F4442" w:rsidRPr="00F128D8" w:rsidRDefault="009F4442" w:rsidP="009F4442"/>
    <w:p w14:paraId="6F7C06AF" w14:textId="77777777" w:rsidR="009260DE" w:rsidRPr="009F4442" w:rsidRDefault="009260DE" w:rsidP="009F4442"/>
    <w:sectPr w:rsidR="009260DE" w:rsidRPr="009F4442"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E8A0D" w14:textId="77777777" w:rsidR="00A75BD5" w:rsidRDefault="00A75BD5">
      <w:r>
        <w:separator/>
      </w:r>
    </w:p>
  </w:endnote>
  <w:endnote w:type="continuationSeparator" w:id="0">
    <w:p w14:paraId="739AAA35" w14:textId="77777777" w:rsidR="00A75BD5" w:rsidRDefault="00A7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EE2F" w14:textId="77777777" w:rsidR="00A75BD5" w:rsidRDefault="00A75BD5">
    <w:pPr>
      <w:pStyle w:val="Sidefod"/>
      <w:pBdr>
        <w:bottom w:val="single" w:sz="6" w:space="1" w:color="auto"/>
      </w:pBdr>
    </w:pPr>
  </w:p>
  <w:p w14:paraId="202B578B" w14:textId="77777777" w:rsidR="00A75BD5" w:rsidRDefault="00A75BD5" w:rsidP="00C42586">
    <w:pPr>
      <w:pStyle w:val="Sidefod"/>
      <w:tabs>
        <w:tab w:val="clear" w:pos="4819"/>
        <w:tab w:val="left" w:pos="8505"/>
      </w:tabs>
      <w:rPr>
        <w:i/>
        <w:sz w:val="18"/>
        <w:szCs w:val="18"/>
      </w:rPr>
    </w:pPr>
  </w:p>
  <w:p w14:paraId="39CA3A80" w14:textId="77777777" w:rsidR="00A75BD5" w:rsidRPr="00B373D7" w:rsidRDefault="00A75BD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Gefitinib Stada, filmovertrukne tabletter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0D29F" w14:textId="77777777" w:rsidR="00A75BD5" w:rsidRDefault="00A75BD5">
      <w:r>
        <w:separator/>
      </w:r>
    </w:p>
  </w:footnote>
  <w:footnote w:type="continuationSeparator" w:id="0">
    <w:p w14:paraId="4FA0040D" w14:textId="77777777" w:rsidR="00A75BD5" w:rsidRDefault="00A75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D72"/>
    <w:multiLevelType w:val="hybridMultilevel"/>
    <w:tmpl w:val="922C2EE6"/>
    <w:lvl w:ilvl="0" w:tplc="026E865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C45147C"/>
    <w:multiLevelType w:val="hybridMultilevel"/>
    <w:tmpl w:val="0EF40046"/>
    <w:lvl w:ilvl="0" w:tplc="06C06FE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DE76587"/>
    <w:multiLevelType w:val="hybridMultilevel"/>
    <w:tmpl w:val="03A64B26"/>
    <w:lvl w:ilvl="0" w:tplc="06C06FEA">
      <w:numFmt w:val="bullet"/>
      <w:lvlText w:val="-"/>
      <w:lvlJc w:val="left"/>
      <w:pPr>
        <w:ind w:left="924" w:hanging="564"/>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42"/>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67D30"/>
    <w:rsid w:val="0078011A"/>
    <w:rsid w:val="00782AF4"/>
    <w:rsid w:val="00790EE7"/>
    <w:rsid w:val="007B6649"/>
    <w:rsid w:val="0081546F"/>
    <w:rsid w:val="0082576E"/>
    <w:rsid w:val="0090691D"/>
    <w:rsid w:val="00907F75"/>
    <w:rsid w:val="009260DE"/>
    <w:rsid w:val="0093258A"/>
    <w:rsid w:val="009C7BA3"/>
    <w:rsid w:val="009D1F5A"/>
    <w:rsid w:val="009F4442"/>
    <w:rsid w:val="00A75BD5"/>
    <w:rsid w:val="00B003BF"/>
    <w:rsid w:val="00B373D7"/>
    <w:rsid w:val="00B96128"/>
    <w:rsid w:val="00C36276"/>
    <w:rsid w:val="00C42586"/>
    <w:rsid w:val="00C60CCD"/>
    <w:rsid w:val="00C84483"/>
    <w:rsid w:val="00C95551"/>
    <w:rsid w:val="00CB20D7"/>
    <w:rsid w:val="00D020B0"/>
    <w:rsid w:val="00D033E4"/>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5FC5A"/>
  <w15:chartTrackingRefBased/>
  <w15:docId w15:val="{D8243CDF-EF81-40C2-9610-422E38D1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F4442"/>
    <w:rPr>
      <w:color w:val="808080"/>
    </w:rPr>
  </w:style>
  <w:style w:type="character" w:styleId="Hyperlink">
    <w:name w:val="Hyperlink"/>
    <w:basedOn w:val="Standardskrifttypeiafsnit"/>
    <w:uiPriority w:val="99"/>
    <w:semiHidden/>
    <w:unhideWhenUsed/>
    <w:rsid w:val="009F4442"/>
    <w:rPr>
      <w:color w:val="0563C1" w:themeColor="hyperlink"/>
      <w:u w:val="single"/>
    </w:rPr>
  </w:style>
  <w:style w:type="table" w:styleId="Tabel-Gitter">
    <w:name w:val="Table Grid"/>
    <w:basedOn w:val="Tabel-Normal"/>
    <w:uiPriority w:val="39"/>
    <w:rsid w:val="009F444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9F4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79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78429980">
      <w:bodyDiv w:val="1"/>
      <w:marLeft w:val="0"/>
      <w:marRight w:val="0"/>
      <w:marTop w:val="0"/>
      <w:marBottom w:val="0"/>
      <w:divBdr>
        <w:top w:val="none" w:sz="0" w:space="0" w:color="auto"/>
        <w:left w:val="none" w:sz="0" w:space="0" w:color="auto"/>
        <w:bottom w:val="none" w:sz="0" w:space="0" w:color="auto"/>
        <w:right w:val="none" w:sz="0" w:space="0" w:color="auto"/>
      </w:divBdr>
    </w:div>
    <w:div w:id="1114978588">
      <w:bodyDiv w:val="1"/>
      <w:marLeft w:val="0"/>
      <w:marRight w:val="0"/>
      <w:marTop w:val="0"/>
      <w:marBottom w:val="0"/>
      <w:divBdr>
        <w:top w:val="none" w:sz="0" w:space="0" w:color="auto"/>
        <w:left w:val="none" w:sz="0" w:space="0" w:color="auto"/>
        <w:bottom w:val="none" w:sz="0" w:space="0" w:color="auto"/>
        <w:right w:val="none" w:sz="0" w:space="0" w:color="auto"/>
      </w:divBdr>
    </w:div>
    <w:div w:id="1676224874">
      <w:bodyDiv w:val="1"/>
      <w:marLeft w:val="0"/>
      <w:marRight w:val="0"/>
      <w:marTop w:val="0"/>
      <w:marBottom w:val="0"/>
      <w:divBdr>
        <w:top w:val="none" w:sz="0" w:space="0" w:color="auto"/>
        <w:left w:val="none" w:sz="0" w:space="0" w:color="auto"/>
        <w:bottom w:val="none" w:sz="0" w:space="0" w:color="auto"/>
        <w:right w:val="none" w:sz="0" w:space="0" w:color="auto"/>
      </w:divBdr>
    </w:div>
    <w:div w:id="1848905366">
      <w:bodyDiv w:val="1"/>
      <w:marLeft w:val="0"/>
      <w:marRight w:val="0"/>
      <w:marTop w:val="0"/>
      <w:marBottom w:val="0"/>
      <w:divBdr>
        <w:top w:val="none" w:sz="0" w:space="0" w:color="auto"/>
        <w:left w:val="none" w:sz="0" w:space="0" w:color="auto"/>
        <w:bottom w:val="none" w:sz="0" w:space="0" w:color="auto"/>
        <w:right w:val="none" w:sz="0" w:space="0" w:color="auto"/>
      </w:divBdr>
    </w:div>
    <w:div w:id="1867477400">
      <w:bodyDiv w:val="1"/>
      <w:marLeft w:val="0"/>
      <w:marRight w:val="0"/>
      <w:marTop w:val="0"/>
      <w:marBottom w:val="0"/>
      <w:divBdr>
        <w:top w:val="none" w:sz="0" w:space="0" w:color="auto"/>
        <w:left w:val="none" w:sz="0" w:space="0" w:color="auto"/>
        <w:bottom w:val="none" w:sz="0" w:space="0" w:color="auto"/>
        <w:right w:val="none" w:sz="0" w:space="0" w:color="auto"/>
      </w:divBdr>
    </w:div>
    <w:div w:id="19617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12</TotalTime>
  <Pages>18</Pages>
  <Words>5895</Words>
  <Characters>35993</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Caroline Andersen</dc:creator>
  <cp:keywords/>
  <dc:description>2023013959 + 2021114350_x000d_
Pkt: 2, 4.4, 4.8, 5.1, 5.3, 7 (indsat ApS) + nye overskrifter</dc:description>
  <cp:lastModifiedBy>Caroline Juul Andersen</cp:lastModifiedBy>
  <cp:revision>4</cp:revision>
  <cp:lastPrinted>2012-08-22T08:53:00Z</cp:lastPrinted>
  <dcterms:created xsi:type="dcterms:W3CDTF">2023-03-13T15:40:00Z</dcterms:created>
  <dcterms:modified xsi:type="dcterms:W3CDTF">2023-03-13T15:51:00Z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