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F91" w:rsidRPr="00A569A9" w:rsidRDefault="00336F91" w:rsidP="00336F91">
      <w:pPr>
        <w:rPr>
          <w:sz w:val="24"/>
          <w:szCs w:val="24"/>
        </w:rPr>
      </w:pPr>
      <w:r w:rsidRPr="00A569A9">
        <w:rPr>
          <w:noProof/>
          <w:sz w:val="24"/>
          <w:szCs w:val="24"/>
          <w:lang w:eastAsia="da-DK"/>
        </w:rPr>
        <w:drawing>
          <wp:anchor distT="0" distB="0" distL="114300" distR="114300" simplePos="0" relativeHeight="251659264" behindDoc="0" locked="0" layoutInCell="1" allowOverlap="1" wp14:anchorId="42E6BD50" wp14:editId="28F970D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A569A9">
        <w:rPr>
          <w:sz w:val="24"/>
          <w:szCs w:val="24"/>
        </w:rPr>
        <w:br w:type="textWrapping" w:clear="all"/>
      </w:r>
    </w:p>
    <w:p w:rsidR="00336F91" w:rsidRPr="00A569A9" w:rsidRDefault="00336F91" w:rsidP="00336F91">
      <w:pPr>
        <w:pStyle w:val="Titel"/>
        <w:tabs>
          <w:tab w:val="right" w:pos="9356"/>
        </w:tabs>
        <w:jc w:val="left"/>
        <w:rPr>
          <w:b w:val="0"/>
          <w:szCs w:val="24"/>
          <w:lang w:eastAsia="en-US"/>
        </w:rPr>
      </w:pPr>
    </w:p>
    <w:p w:rsidR="00336F91" w:rsidRPr="00A569A9" w:rsidRDefault="00336F91" w:rsidP="00336F91">
      <w:pPr>
        <w:pStyle w:val="Titel"/>
        <w:tabs>
          <w:tab w:val="right" w:pos="9356"/>
        </w:tabs>
        <w:jc w:val="left"/>
        <w:rPr>
          <w:b w:val="0"/>
          <w:szCs w:val="24"/>
          <w:lang w:eastAsia="en-US"/>
        </w:rPr>
      </w:pPr>
      <w:r w:rsidRPr="00A569A9">
        <w:rPr>
          <w:b w:val="0"/>
          <w:szCs w:val="24"/>
          <w:lang w:eastAsia="en-US"/>
        </w:rPr>
        <w:tab/>
      </w:r>
      <w:r w:rsidR="007A6E31">
        <w:rPr>
          <w:szCs w:val="24"/>
        </w:rPr>
        <w:t>17. juni 2022</w:t>
      </w:r>
    </w:p>
    <w:p w:rsidR="00336F91" w:rsidRPr="00A569A9" w:rsidRDefault="00336F91" w:rsidP="00336F91">
      <w:pPr>
        <w:pStyle w:val="Titel"/>
        <w:tabs>
          <w:tab w:val="left" w:pos="8222"/>
        </w:tabs>
        <w:jc w:val="left"/>
        <w:rPr>
          <w:b w:val="0"/>
          <w:szCs w:val="24"/>
        </w:rPr>
      </w:pPr>
    </w:p>
    <w:p w:rsidR="00336F91" w:rsidRPr="00A569A9" w:rsidRDefault="00336F91" w:rsidP="00336F91">
      <w:pPr>
        <w:pStyle w:val="Titel"/>
        <w:jc w:val="left"/>
        <w:rPr>
          <w:b w:val="0"/>
          <w:szCs w:val="24"/>
        </w:rPr>
      </w:pPr>
    </w:p>
    <w:p w:rsidR="00336F91" w:rsidRPr="00A569A9" w:rsidRDefault="00336F91" w:rsidP="00336F91">
      <w:pPr>
        <w:pStyle w:val="Titel"/>
        <w:jc w:val="left"/>
        <w:rPr>
          <w:b w:val="0"/>
          <w:szCs w:val="24"/>
        </w:rPr>
      </w:pPr>
    </w:p>
    <w:p w:rsidR="00336F91" w:rsidRPr="00A569A9" w:rsidRDefault="00336F91" w:rsidP="00336F91">
      <w:pPr>
        <w:jc w:val="center"/>
        <w:rPr>
          <w:b/>
          <w:sz w:val="24"/>
          <w:szCs w:val="24"/>
        </w:rPr>
      </w:pPr>
      <w:r w:rsidRPr="00A569A9">
        <w:rPr>
          <w:b/>
          <w:sz w:val="24"/>
          <w:szCs w:val="24"/>
        </w:rPr>
        <w:t>PRODUKTRESUMÉ</w:t>
      </w:r>
    </w:p>
    <w:p w:rsidR="00336F91" w:rsidRPr="00A569A9" w:rsidRDefault="00336F91" w:rsidP="00336F91">
      <w:pPr>
        <w:jc w:val="center"/>
        <w:rPr>
          <w:b/>
          <w:sz w:val="24"/>
          <w:szCs w:val="24"/>
        </w:rPr>
      </w:pPr>
    </w:p>
    <w:p w:rsidR="00336F91" w:rsidRPr="00A569A9" w:rsidRDefault="00336F91" w:rsidP="00336F91">
      <w:pPr>
        <w:jc w:val="center"/>
        <w:rPr>
          <w:b/>
          <w:sz w:val="24"/>
          <w:szCs w:val="24"/>
        </w:rPr>
      </w:pPr>
      <w:r w:rsidRPr="00A569A9">
        <w:rPr>
          <w:b/>
          <w:sz w:val="24"/>
          <w:szCs w:val="24"/>
        </w:rPr>
        <w:t>for</w:t>
      </w:r>
    </w:p>
    <w:p w:rsidR="00336F91" w:rsidRPr="00A569A9" w:rsidRDefault="00336F91" w:rsidP="00336F91">
      <w:pPr>
        <w:jc w:val="center"/>
        <w:rPr>
          <w:b/>
          <w:sz w:val="24"/>
          <w:szCs w:val="24"/>
        </w:rPr>
      </w:pPr>
    </w:p>
    <w:p w:rsidR="00336F91" w:rsidRPr="00A569A9" w:rsidRDefault="00336F91" w:rsidP="00336F91">
      <w:pPr>
        <w:jc w:val="center"/>
        <w:rPr>
          <w:b/>
          <w:sz w:val="24"/>
          <w:szCs w:val="24"/>
        </w:rPr>
      </w:pPr>
      <w:r w:rsidRPr="00A569A9">
        <w:rPr>
          <w:b/>
          <w:sz w:val="24"/>
          <w:szCs w:val="24"/>
        </w:rPr>
        <w:t>Gelisse, vaginalgel</w:t>
      </w:r>
    </w:p>
    <w:p w:rsidR="00336F91" w:rsidRPr="00A569A9" w:rsidRDefault="00336F91" w:rsidP="00336F91">
      <w:pPr>
        <w:jc w:val="both"/>
        <w:rPr>
          <w:sz w:val="24"/>
          <w:szCs w:val="24"/>
        </w:rPr>
      </w:pPr>
    </w:p>
    <w:p w:rsidR="00336F91" w:rsidRPr="00A569A9" w:rsidRDefault="00336F91" w:rsidP="00336F91">
      <w:pPr>
        <w:jc w:val="both"/>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0.</w:t>
      </w:r>
      <w:r w:rsidRPr="00A569A9">
        <w:rPr>
          <w:b/>
          <w:sz w:val="24"/>
          <w:szCs w:val="24"/>
        </w:rPr>
        <w:tab/>
        <w:t>D.SP.NR.</w:t>
      </w:r>
    </w:p>
    <w:p w:rsidR="00336F91" w:rsidRPr="00A569A9" w:rsidRDefault="00336F91" w:rsidP="00336F91">
      <w:pPr>
        <w:tabs>
          <w:tab w:val="left" w:pos="851"/>
        </w:tabs>
        <w:ind w:left="851"/>
        <w:rPr>
          <w:sz w:val="24"/>
          <w:szCs w:val="24"/>
        </w:rPr>
      </w:pPr>
      <w:r w:rsidRPr="00A569A9">
        <w:rPr>
          <w:sz w:val="24"/>
          <w:szCs w:val="24"/>
        </w:rPr>
        <w:t>30228</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1.</w:t>
      </w:r>
      <w:r w:rsidRPr="00A569A9">
        <w:rPr>
          <w:b/>
          <w:sz w:val="24"/>
          <w:szCs w:val="24"/>
        </w:rPr>
        <w:tab/>
        <w:t>LÆGEMIDLETS NAVN</w:t>
      </w:r>
    </w:p>
    <w:p w:rsidR="007A6E31" w:rsidRPr="000E65AA" w:rsidRDefault="007A6E31" w:rsidP="007A6E31">
      <w:pPr>
        <w:tabs>
          <w:tab w:val="left" w:pos="851"/>
        </w:tabs>
        <w:ind w:left="851"/>
        <w:rPr>
          <w:sz w:val="24"/>
          <w:szCs w:val="24"/>
        </w:rPr>
      </w:pPr>
      <w:r w:rsidRPr="000E65AA">
        <w:rPr>
          <w:sz w:val="24"/>
          <w:szCs w:val="24"/>
        </w:rPr>
        <w:t xml:space="preserve">Gelisse </w:t>
      </w:r>
      <w:r w:rsidRPr="000E65AA">
        <w:rPr>
          <w:color w:val="000000"/>
          <w:sz w:val="24"/>
          <w:szCs w:val="24"/>
        </w:rPr>
        <w:t>50 mikrokram/g vaginalgel</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2.</w:t>
      </w:r>
      <w:r w:rsidRPr="00A569A9">
        <w:rPr>
          <w:b/>
          <w:sz w:val="24"/>
          <w:szCs w:val="24"/>
        </w:rPr>
        <w:tab/>
        <w:t>KVALITATIV OG KVANTITATIV SAMMENSÆTNING</w:t>
      </w:r>
    </w:p>
    <w:p w:rsidR="00336F91" w:rsidRPr="00A569A9" w:rsidRDefault="00336F91" w:rsidP="00336F91">
      <w:pPr>
        <w:tabs>
          <w:tab w:val="left" w:pos="851"/>
        </w:tabs>
        <w:ind w:left="851"/>
        <w:rPr>
          <w:sz w:val="24"/>
          <w:szCs w:val="24"/>
        </w:rPr>
      </w:pPr>
      <w:r w:rsidRPr="00A569A9">
        <w:rPr>
          <w:sz w:val="24"/>
          <w:szCs w:val="24"/>
        </w:rPr>
        <w:t xml:space="preserve">1 g vaginalgel indeholder 50 mikrogram </w:t>
      </w:r>
      <w:proofErr w:type="spellStart"/>
      <w:r w:rsidRPr="00A569A9">
        <w:rPr>
          <w:sz w:val="24"/>
          <w:szCs w:val="24"/>
        </w:rPr>
        <w:t>estriol</w:t>
      </w:r>
      <w:proofErr w:type="spellEnd"/>
      <w:r w:rsidRPr="00A569A9">
        <w:rPr>
          <w:sz w:val="24"/>
          <w:szCs w:val="24"/>
        </w:rPr>
        <w:t xml:space="preserve">. </w:t>
      </w:r>
    </w:p>
    <w:p w:rsidR="00336F91" w:rsidRPr="00A569A9" w:rsidRDefault="00336F91" w:rsidP="00336F91">
      <w:pPr>
        <w:tabs>
          <w:tab w:val="left" w:pos="851"/>
        </w:tabs>
        <w:ind w:left="851"/>
        <w:rPr>
          <w:sz w:val="24"/>
          <w:szCs w:val="24"/>
          <w:u w:val="single"/>
        </w:rPr>
      </w:pPr>
    </w:p>
    <w:p w:rsidR="00336F91" w:rsidRPr="00A569A9" w:rsidRDefault="00336F91" w:rsidP="00336F91">
      <w:pPr>
        <w:tabs>
          <w:tab w:val="left" w:pos="851"/>
        </w:tabs>
        <w:ind w:left="851"/>
        <w:rPr>
          <w:sz w:val="24"/>
          <w:szCs w:val="24"/>
          <w:u w:val="single"/>
        </w:rPr>
      </w:pPr>
      <w:r w:rsidRPr="00A569A9">
        <w:rPr>
          <w:sz w:val="24"/>
          <w:szCs w:val="24"/>
          <w:u w:val="single"/>
        </w:rPr>
        <w:t>Hjælpestoffer, som behandleren skal være opmærksom på</w:t>
      </w:r>
    </w:p>
    <w:p w:rsidR="00336F91" w:rsidRPr="00A569A9" w:rsidRDefault="00336F91" w:rsidP="00336F91">
      <w:pPr>
        <w:tabs>
          <w:tab w:val="left" w:pos="851"/>
        </w:tabs>
        <w:ind w:left="851"/>
        <w:rPr>
          <w:sz w:val="24"/>
          <w:szCs w:val="24"/>
        </w:rPr>
      </w:pPr>
      <w:r w:rsidRPr="00A569A9">
        <w:rPr>
          <w:sz w:val="24"/>
          <w:szCs w:val="24"/>
        </w:rPr>
        <w:t xml:space="preserve">1 g vaginalgel indeholder 1,60 mg </w:t>
      </w:r>
      <w:proofErr w:type="spellStart"/>
      <w:r w:rsidRPr="00A569A9">
        <w:rPr>
          <w:sz w:val="24"/>
          <w:szCs w:val="24"/>
        </w:rPr>
        <w:t>natriummethylparahydroxybenzoat</w:t>
      </w:r>
      <w:proofErr w:type="spellEnd"/>
      <w:r w:rsidRPr="00A569A9">
        <w:rPr>
          <w:sz w:val="24"/>
          <w:szCs w:val="24"/>
        </w:rPr>
        <w:t xml:space="preserve"> og 0,20 mg </w:t>
      </w:r>
      <w:proofErr w:type="spellStart"/>
      <w:r w:rsidRPr="00A569A9">
        <w:rPr>
          <w:sz w:val="24"/>
          <w:szCs w:val="24"/>
        </w:rPr>
        <w:t>natriumpropylparahydroxybenzoat</w:t>
      </w:r>
      <w:proofErr w:type="spellEnd"/>
      <w:r w:rsidRPr="00A569A9">
        <w:rPr>
          <w:sz w:val="24"/>
          <w:szCs w:val="24"/>
        </w:rPr>
        <w:t xml:space="preserve">. </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rPr>
          <w:sz w:val="24"/>
          <w:szCs w:val="24"/>
        </w:rPr>
      </w:pPr>
      <w:r w:rsidRPr="00A569A9">
        <w:rPr>
          <w:sz w:val="24"/>
          <w:szCs w:val="24"/>
        </w:rPr>
        <w:t xml:space="preserve">Alle hjælpestoffer er anført under pkt. 6.1. </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3.</w:t>
      </w:r>
      <w:r w:rsidRPr="00A569A9">
        <w:rPr>
          <w:b/>
          <w:sz w:val="24"/>
          <w:szCs w:val="24"/>
        </w:rPr>
        <w:tab/>
        <w:t>LÆGEMIDDELFORM</w:t>
      </w:r>
    </w:p>
    <w:p w:rsidR="00336F91" w:rsidRPr="00A569A9" w:rsidRDefault="00336F91" w:rsidP="00336F91">
      <w:pPr>
        <w:tabs>
          <w:tab w:val="left" w:pos="851"/>
        </w:tabs>
        <w:ind w:left="851"/>
        <w:rPr>
          <w:sz w:val="24"/>
          <w:szCs w:val="24"/>
        </w:rPr>
      </w:pPr>
      <w:r w:rsidRPr="00A569A9">
        <w:rPr>
          <w:sz w:val="24"/>
          <w:szCs w:val="24"/>
        </w:rPr>
        <w:t>Vaginalgel</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rPr>
          <w:sz w:val="24"/>
          <w:szCs w:val="24"/>
        </w:rPr>
      </w:pPr>
      <w:r w:rsidRPr="00A569A9">
        <w:rPr>
          <w:sz w:val="24"/>
          <w:szCs w:val="24"/>
        </w:rPr>
        <w:t>Homogen gel, farveløs, klar til let gennemsigtig.</w:t>
      </w:r>
    </w:p>
    <w:p w:rsidR="00336F91" w:rsidRPr="00A569A9" w:rsidRDefault="00336F91" w:rsidP="00D649C1">
      <w:pPr>
        <w:tabs>
          <w:tab w:val="left" w:pos="851"/>
        </w:tabs>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4.</w:t>
      </w:r>
      <w:r w:rsidRPr="00A569A9">
        <w:rPr>
          <w:b/>
          <w:sz w:val="24"/>
          <w:szCs w:val="24"/>
        </w:rPr>
        <w:tab/>
        <w:t>KLINISKE OPLYSNINGER</w:t>
      </w:r>
    </w:p>
    <w:p w:rsidR="00336F91" w:rsidRPr="00A569A9" w:rsidRDefault="00336F91" w:rsidP="00336F91">
      <w:pPr>
        <w:tabs>
          <w:tab w:val="left" w:pos="851"/>
        </w:tabs>
        <w:ind w:left="851"/>
        <w:rPr>
          <w:b/>
          <w:sz w:val="24"/>
          <w:szCs w:val="24"/>
        </w:rPr>
      </w:pPr>
    </w:p>
    <w:p w:rsidR="00336F91" w:rsidRPr="00A569A9" w:rsidRDefault="00336F91" w:rsidP="00336F91">
      <w:pPr>
        <w:tabs>
          <w:tab w:val="left" w:pos="851"/>
        </w:tabs>
        <w:ind w:left="851" w:hanging="851"/>
        <w:rPr>
          <w:b/>
          <w:sz w:val="24"/>
          <w:szCs w:val="24"/>
          <w:u w:val="single"/>
        </w:rPr>
      </w:pPr>
      <w:r w:rsidRPr="00A569A9">
        <w:rPr>
          <w:b/>
          <w:sz w:val="24"/>
          <w:szCs w:val="24"/>
        </w:rPr>
        <w:t>4.1</w:t>
      </w:r>
      <w:r w:rsidRPr="00A569A9">
        <w:rPr>
          <w:b/>
          <w:sz w:val="24"/>
          <w:szCs w:val="24"/>
        </w:rPr>
        <w:tab/>
        <w:t>Terapeutiske indikationer</w:t>
      </w:r>
    </w:p>
    <w:p w:rsidR="00336F91" w:rsidRPr="00A569A9" w:rsidRDefault="007A6E31" w:rsidP="007A6E31">
      <w:pPr>
        <w:tabs>
          <w:tab w:val="left" w:pos="851"/>
        </w:tabs>
        <w:ind w:left="851"/>
        <w:rPr>
          <w:sz w:val="24"/>
          <w:szCs w:val="24"/>
        </w:rPr>
      </w:pPr>
      <w:r w:rsidRPr="000E65AA">
        <w:rPr>
          <w:sz w:val="24"/>
          <w:szCs w:val="24"/>
        </w:rPr>
        <w:t xml:space="preserve">Behandling af symptomer på vaginal atrofi, der skyldes østrogenmangel hos </w:t>
      </w:r>
      <w:proofErr w:type="spellStart"/>
      <w:r w:rsidRPr="000E65AA">
        <w:rPr>
          <w:sz w:val="24"/>
          <w:szCs w:val="24"/>
        </w:rPr>
        <w:t>postmenopausale</w:t>
      </w:r>
      <w:proofErr w:type="spellEnd"/>
      <w:r w:rsidRPr="000E65AA">
        <w:rPr>
          <w:sz w:val="24"/>
          <w:szCs w:val="24"/>
        </w:rPr>
        <w:t xml:space="preserve"> kvinder.</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4.2</w:t>
      </w:r>
      <w:r w:rsidRPr="00A569A9">
        <w:rPr>
          <w:b/>
          <w:sz w:val="24"/>
          <w:szCs w:val="24"/>
        </w:rPr>
        <w:tab/>
        <w:t>Dosering og indgivelsesmåde</w:t>
      </w:r>
    </w:p>
    <w:p w:rsidR="007A6E31" w:rsidRPr="000E65AA" w:rsidRDefault="007A6E31" w:rsidP="007A6E31">
      <w:pPr>
        <w:tabs>
          <w:tab w:val="left" w:pos="851"/>
        </w:tabs>
        <w:ind w:left="851"/>
        <w:rPr>
          <w:sz w:val="24"/>
          <w:szCs w:val="24"/>
        </w:rPr>
      </w:pPr>
      <w:r w:rsidRPr="000E65AA">
        <w:rPr>
          <w:sz w:val="24"/>
          <w:szCs w:val="24"/>
        </w:rPr>
        <w:t xml:space="preserve">Gelisse </w:t>
      </w:r>
      <w:r w:rsidRPr="000E65AA">
        <w:rPr>
          <w:color w:val="000000"/>
          <w:sz w:val="24"/>
          <w:szCs w:val="24"/>
        </w:rPr>
        <w:t>50 mikrokram/g vaginalgel</w:t>
      </w:r>
      <w:r w:rsidRPr="000E65AA">
        <w:rPr>
          <w:sz w:val="24"/>
          <w:szCs w:val="24"/>
        </w:rPr>
        <w:t xml:space="preserve"> er et præparat til vaginal brug, som udelukkende indeholder østrogen.</w:t>
      </w:r>
    </w:p>
    <w:p w:rsidR="007A6E31" w:rsidRPr="000E65AA" w:rsidRDefault="007A6E31" w:rsidP="007A6E31">
      <w:pPr>
        <w:tabs>
          <w:tab w:val="left" w:pos="851"/>
        </w:tabs>
        <w:ind w:left="851"/>
        <w:rPr>
          <w:sz w:val="24"/>
          <w:szCs w:val="24"/>
          <w:u w:val="single"/>
        </w:rPr>
      </w:pPr>
      <w:r>
        <w:rPr>
          <w:b/>
          <w:sz w:val="24"/>
          <w:szCs w:val="24"/>
        </w:rPr>
        <w:br/>
      </w:r>
      <w:r w:rsidRPr="000E65AA">
        <w:rPr>
          <w:sz w:val="24"/>
          <w:szCs w:val="24"/>
          <w:u w:val="single"/>
        </w:rPr>
        <w:t>Vejledning til påbegyndelse og vedligeholdelse af behandling</w:t>
      </w:r>
    </w:p>
    <w:p w:rsidR="007A6E31" w:rsidRPr="000E65AA" w:rsidRDefault="007A6E31" w:rsidP="007A6E31">
      <w:pPr>
        <w:tabs>
          <w:tab w:val="left" w:pos="851"/>
        </w:tabs>
        <w:ind w:left="851"/>
        <w:rPr>
          <w:sz w:val="24"/>
          <w:szCs w:val="24"/>
        </w:rPr>
      </w:pPr>
      <w:r w:rsidRPr="000E65AA">
        <w:rPr>
          <w:sz w:val="24"/>
          <w:szCs w:val="24"/>
        </w:rPr>
        <w:t xml:space="preserve">Gelisse kan påbegyndes på ethvert tidspunkt efter manifestation af atrofisk </w:t>
      </w:r>
      <w:proofErr w:type="spellStart"/>
      <w:r w:rsidRPr="000E65AA">
        <w:rPr>
          <w:sz w:val="24"/>
          <w:szCs w:val="24"/>
        </w:rPr>
        <w:t>vaginitis</w:t>
      </w:r>
      <w:proofErr w:type="spellEnd"/>
      <w:r w:rsidRPr="000E65AA">
        <w:rPr>
          <w:sz w:val="24"/>
          <w:szCs w:val="24"/>
        </w:rPr>
        <w:t>.</w:t>
      </w:r>
    </w:p>
    <w:p w:rsidR="007A6E31" w:rsidRPr="000E65AA" w:rsidRDefault="007A6E31" w:rsidP="007A6E31">
      <w:pPr>
        <w:tabs>
          <w:tab w:val="left" w:pos="851"/>
        </w:tabs>
        <w:ind w:left="851"/>
        <w:rPr>
          <w:sz w:val="24"/>
          <w:szCs w:val="24"/>
          <w:u w:val="single"/>
        </w:rPr>
      </w:pPr>
    </w:p>
    <w:p w:rsidR="007A6E31" w:rsidRPr="000E65AA" w:rsidRDefault="007A6E31" w:rsidP="007A6E31">
      <w:pPr>
        <w:tabs>
          <w:tab w:val="left" w:pos="851"/>
        </w:tabs>
        <w:ind w:left="851"/>
        <w:rPr>
          <w:sz w:val="24"/>
          <w:szCs w:val="24"/>
        </w:rPr>
      </w:pPr>
      <w:r w:rsidRPr="000E65AA">
        <w:rPr>
          <w:sz w:val="24"/>
          <w:szCs w:val="24"/>
        </w:rPr>
        <w:lastRenderedPageBreak/>
        <w:t xml:space="preserve">Indledende behandling: Én dosis vaginalgel fra applikatoren om dagen i 3 uger (helst før sengetid). </w:t>
      </w:r>
    </w:p>
    <w:p w:rsidR="007A6E31" w:rsidRPr="000E65AA" w:rsidRDefault="007A6E31" w:rsidP="007A6E31">
      <w:pPr>
        <w:tabs>
          <w:tab w:val="left" w:pos="851"/>
        </w:tabs>
        <w:ind w:left="851"/>
        <w:rPr>
          <w:sz w:val="24"/>
          <w:szCs w:val="24"/>
        </w:rPr>
      </w:pPr>
      <w:r w:rsidRPr="000E65AA">
        <w:rPr>
          <w:sz w:val="24"/>
          <w:szCs w:val="24"/>
        </w:rPr>
        <w:t xml:space="preserve">Som vedligeholdelsesbehandling anbefales én dosis vaginalgel fra applikatoren to gange om ugen (helst før sengetid). Lægen bør evaluere, om behandlingen skal fortsættes ud over 12 uger. </w:t>
      </w:r>
    </w:p>
    <w:p w:rsidR="007A6E31" w:rsidRPr="000E65AA" w:rsidRDefault="007A6E31" w:rsidP="007A6E31">
      <w:pPr>
        <w:tabs>
          <w:tab w:val="left" w:pos="851"/>
        </w:tabs>
        <w:ind w:left="851"/>
        <w:rPr>
          <w:sz w:val="24"/>
          <w:szCs w:val="24"/>
          <w:u w:val="single"/>
        </w:rPr>
      </w:pPr>
    </w:p>
    <w:p w:rsidR="007A6E31" w:rsidRPr="000E65AA" w:rsidRDefault="007A6E31" w:rsidP="007A6E31">
      <w:pPr>
        <w:tabs>
          <w:tab w:val="left" w:pos="851"/>
        </w:tabs>
        <w:ind w:left="851"/>
        <w:rPr>
          <w:sz w:val="24"/>
          <w:szCs w:val="24"/>
        </w:rPr>
      </w:pPr>
      <w:r w:rsidRPr="000E65AA">
        <w:rPr>
          <w:sz w:val="24"/>
          <w:szCs w:val="24"/>
        </w:rPr>
        <w:t xml:space="preserve">Til påbegyndelse og vedligeholdelse af behandling af </w:t>
      </w:r>
      <w:proofErr w:type="spellStart"/>
      <w:r w:rsidRPr="000E65AA">
        <w:rPr>
          <w:sz w:val="24"/>
          <w:szCs w:val="24"/>
        </w:rPr>
        <w:t>postmenopausale</w:t>
      </w:r>
      <w:proofErr w:type="spellEnd"/>
      <w:r w:rsidRPr="000E65AA">
        <w:rPr>
          <w:sz w:val="24"/>
          <w:szCs w:val="24"/>
        </w:rPr>
        <w:t xml:space="preserve"> symptomer skal den laveste effektive dosis anvendes i kortest mulig tid (se også pkt. 4.4).</w:t>
      </w:r>
    </w:p>
    <w:p w:rsidR="007A6E31" w:rsidRPr="000E65AA" w:rsidRDefault="007A6E31" w:rsidP="007A6E31">
      <w:pPr>
        <w:tabs>
          <w:tab w:val="left" w:pos="851"/>
        </w:tabs>
        <w:ind w:left="851"/>
        <w:rPr>
          <w:sz w:val="24"/>
          <w:szCs w:val="24"/>
        </w:rPr>
      </w:pPr>
    </w:p>
    <w:p w:rsidR="007A6E31" w:rsidRPr="000E65AA" w:rsidRDefault="007A6E31" w:rsidP="007A6E31">
      <w:pPr>
        <w:tabs>
          <w:tab w:val="left" w:pos="851"/>
        </w:tabs>
        <w:ind w:left="851"/>
        <w:rPr>
          <w:sz w:val="24"/>
          <w:szCs w:val="24"/>
        </w:rPr>
      </w:pPr>
      <w:r w:rsidRPr="000E65AA">
        <w:rPr>
          <w:sz w:val="24"/>
          <w:szCs w:val="24"/>
        </w:rPr>
        <w:t xml:space="preserve">For østrogen-præparater til vaginal brug, hvor den systemiske eksponering over for østrogenet forbliver inden for det normale </w:t>
      </w:r>
      <w:proofErr w:type="spellStart"/>
      <w:r w:rsidRPr="000E65AA">
        <w:rPr>
          <w:sz w:val="24"/>
          <w:szCs w:val="24"/>
        </w:rPr>
        <w:t>postmenopausale</w:t>
      </w:r>
      <w:proofErr w:type="spellEnd"/>
      <w:r w:rsidRPr="000E65AA">
        <w:rPr>
          <w:sz w:val="24"/>
          <w:szCs w:val="24"/>
        </w:rPr>
        <w:t xml:space="preserve"> interval, frarådes det at tilføje et progestagen (men se pkt. 4.4).</w:t>
      </w:r>
    </w:p>
    <w:p w:rsidR="007A6E31" w:rsidRPr="000E65AA" w:rsidRDefault="007A6E31" w:rsidP="007A6E31">
      <w:pPr>
        <w:tabs>
          <w:tab w:val="left" w:pos="851"/>
        </w:tabs>
        <w:ind w:left="851"/>
        <w:rPr>
          <w:sz w:val="24"/>
          <w:szCs w:val="24"/>
        </w:rPr>
      </w:pPr>
    </w:p>
    <w:p w:rsidR="007A6E31" w:rsidRPr="000E65AA" w:rsidRDefault="007A6E31" w:rsidP="007A6E31">
      <w:pPr>
        <w:tabs>
          <w:tab w:val="left" w:pos="851"/>
        </w:tabs>
        <w:ind w:left="851"/>
        <w:rPr>
          <w:sz w:val="24"/>
          <w:szCs w:val="24"/>
        </w:rPr>
      </w:pPr>
      <w:r w:rsidRPr="000E65AA">
        <w:rPr>
          <w:sz w:val="24"/>
          <w:szCs w:val="24"/>
        </w:rPr>
        <w:t xml:space="preserve">Hvis patienten glemmer at tage en dosis, skal den administreres så hurtigt som muligt, medmindre dette først opdages 12 timer efter, den burde være administreret. I sidstnævnte tilfælde skal den glemte dosis springes over, og den næste dosis skal administreres på det sædvanlige tidspunkt. </w:t>
      </w:r>
    </w:p>
    <w:p w:rsidR="00336F91" w:rsidRDefault="00336F91" w:rsidP="00336F91">
      <w:pPr>
        <w:tabs>
          <w:tab w:val="left" w:pos="851"/>
        </w:tabs>
        <w:ind w:left="851"/>
        <w:rPr>
          <w:sz w:val="24"/>
          <w:szCs w:val="24"/>
        </w:rPr>
      </w:pPr>
      <w:r>
        <w:rPr>
          <w:sz w:val="24"/>
          <w:szCs w:val="24"/>
          <w:u w:val="single"/>
        </w:rPr>
        <w:t xml:space="preserve"> </w:t>
      </w:r>
    </w:p>
    <w:p w:rsidR="00336F91" w:rsidRDefault="00336F91" w:rsidP="00336F91">
      <w:pPr>
        <w:tabs>
          <w:tab w:val="left" w:pos="851"/>
        </w:tabs>
        <w:ind w:left="851"/>
        <w:rPr>
          <w:sz w:val="24"/>
          <w:szCs w:val="24"/>
          <w:u w:val="single"/>
        </w:rPr>
      </w:pPr>
      <w:r>
        <w:rPr>
          <w:sz w:val="24"/>
          <w:szCs w:val="24"/>
          <w:u w:val="single"/>
        </w:rPr>
        <w:t>Administration</w:t>
      </w:r>
    </w:p>
    <w:p w:rsidR="007A6E31" w:rsidRPr="000E65AA" w:rsidRDefault="007A6E31" w:rsidP="007A6E31">
      <w:pPr>
        <w:tabs>
          <w:tab w:val="left" w:pos="851"/>
        </w:tabs>
        <w:ind w:left="851"/>
        <w:rPr>
          <w:sz w:val="24"/>
          <w:szCs w:val="24"/>
        </w:rPr>
      </w:pPr>
      <w:r w:rsidRPr="000E65AA">
        <w:rPr>
          <w:sz w:val="24"/>
          <w:szCs w:val="24"/>
        </w:rPr>
        <w:t>Gelisse skal indføres i vagina ved hjælp af en applikator med dosismærkning efter nøje overholdelse af "vejledningen" i indlægssedlen og oplysningerne nedenfor.</w:t>
      </w:r>
    </w:p>
    <w:p w:rsidR="007A6E31" w:rsidRPr="000E65AA" w:rsidRDefault="007A6E31" w:rsidP="007A6E31">
      <w:pPr>
        <w:tabs>
          <w:tab w:val="left" w:pos="851"/>
        </w:tabs>
        <w:ind w:left="851"/>
        <w:rPr>
          <w:sz w:val="24"/>
          <w:szCs w:val="24"/>
        </w:rPr>
      </w:pPr>
    </w:p>
    <w:p w:rsidR="007A6E31" w:rsidRPr="000E65AA" w:rsidRDefault="007A6E31" w:rsidP="007A6E31">
      <w:pPr>
        <w:tabs>
          <w:tab w:val="left" w:pos="851"/>
        </w:tabs>
        <w:ind w:left="851"/>
        <w:rPr>
          <w:sz w:val="24"/>
          <w:szCs w:val="24"/>
        </w:rPr>
      </w:pPr>
      <w:r w:rsidRPr="000E65AA">
        <w:rPr>
          <w:sz w:val="24"/>
          <w:szCs w:val="24"/>
        </w:rPr>
        <w:t xml:space="preserve">Én dosis fra applikatoren (applikatoren er fyldt til mærket) indeholder en dosis på 1 g vaginalgel indeholdende 50 mikrogram </w:t>
      </w:r>
      <w:proofErr w:type="spellStart"/>
      <w:r w:rsidRPr="000E65AA">
        <w:rPr>
          <w:sz w:val="24"/>
          <w:szCs w:val="24"/>
        </w:rPr>
        <w:t>estriol</w:t>
      </w:r>
      <w:proofErr w:type="spellEnd"/>
      <w:r w:rsidRPr="000E65AA">
        <w:rPr>
          <w:sz w:val="24"/>
          <w:szCs w:val="24"/>
        </w:rPr>
        <w:t>. Den fyldte applikator skal indføres i vagina og tømmes. Det anbefales at gøre det om aftenen.</w:t>
      </w:r>
    </w:p>
    <w:p w:rsidR="007A6E31" w:rsidRPr="000E65AA" w:rsidRDefault="007A6E31" w:rsidP="007A6E31">
      <w:pPr>
        <w:tabs>
          <w:tab w:val="left" w:pos="851"/>
        </w:tabs>
        <w:ind w:left="851"/>
        <w:rPr>
          <w:sz w:val="24"/>
          <w:szCs w:val="24"/>
        </w:rPr>
      </w:pPr>
    </w:p>
    <w:p w:rsidR="007A6E31" w:rsidRPr="000E65AA" w:rsidRDefault="007A6E31" w:rsidP="007A6E31">
      <w:pPr>
        <w:tabs>
          <w:tab w:val="left" w:pos="851"/>
        </w:tabs>
        <w:ind w:left="851"/>
        <w:rPr>
          <w:sz w:val="24"/>
          <w:szCs w:val="24"/>
        </w:rPr>
      </w:pPr>
      <w:r w:rsidRPr="000E65AA">
        <w:rPr>
          <w:sz w:val="24"/>
          <w:szCs w:val="24"/>
        </w:rPr>
        <w:t>Når gelen skal indføres, er det bedst at ligge ned med bøjede knæ, der er spredt. Den åbne ende af applikatoren indføres forsigtigt dybt i vagina, og stemplet trykkes langsomt helt i bund, for at tømme applikatoren helt.</w:t>
      </w:r>
    </w:p>
    <w:p w:rsidR="007A6E31" w:rsidRPr="000E65AA" w:rsidRDefault="007A6E31" w:rsidP="007A6E31">
      <w:pPr>
        <w:tabs>
          <w:tab w:val="left" w:pos="851"/>
        </w:tabs>
        <w:ind w:left="851"/>
        <w:rPr>
          <w:sz w:val="24"/>
          <w:szCs w:val="24"/>
        </w:rPr>
      </w:pPr>
    </w:p>
    <w:p w:rsidR="007A6E31" w:rsidRPr="000E65AA" w:rsidRDefault="007A6E31" w:rsidP="007A6E31">
      <w:pPr>
        <w:tabs>
          <w:tab w:val="left" w:pos="851"/>
        </w:tabs>
        <w:ind w:left="851"/>
        <w:rPr>
          <w:sz w:val="24"/>
          <w:szCs w:val="24"/>
        </w:rPr>
      </w:pPr>
      <w:r w:rsidRPr="000E65AA">
        <w:rPr>
          <w:sz w:val="24"/>
          <w:szCs w:val="24"/>
        </w:rPr>
        <w:t>Efter brug trækkes stemplet ud af sprøjten, hvorefter sprøjten rengøres eller bortskaffes, afhængigt af om den er til engangs- eller flergangsbrug, som anvist i vejledningen i indlægssedlen.</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4.3</w:t>
      </w:r>
      <w:r w:rsidRPr="00A569A9">
        <w:rPr>
          <w:b/>
          <w:sz w:val="24"/>
          <w:szCs w:val="24"/>
        </w:rPr>
        <w:tab/>
        <w:t>Kontraindikationer</w:t>
      </w:r>
    </w:p>
    <w:p w:rsidR="007A6E31" w:rsidRPr="000E65AA" w:rsidRDefault="007A6E31" w:rsidP="007A6E31">
      <w:pPr>
        <w:pStyle w:val="Listeafsnit"/>
        <w:numPr>
          <w:ilvl w:val="1"/>
          <w:numId w:val="8"/>
        </w:numPr>
        <w:ind w:hanging="589"/>
        <w:rPr>
          <w:sz w:val="24"/>
          <w:szCs w:val="24"/>
        </w:rPr>
      </w:pPr>
      <w:r w:rsidRPr="000E65AA">
        <w:rPr>
          <w:sz w:val="24"/>
          <w:szCs w:val="24"/>
        </w:rPr>
        <w:t xml:space="preserve">Diagnosticeret, tidligere eller formodet brystcancer </w:t>
      </w:r>
    </w:p>
    <w:p w:rsidR="007A6E31" w:rsidRPr="000E65AA" w:rsidRDefault="007A6E31" w:rsidP="007A6E31">
      <w:pPr>
        <w:pStyle w:val="Listeafsnit"/>
        <w:numPr>
          <w:ilvl w:val="1"/>
          <w:numId w:val="8"/>
        </w:numPr>
        <w:ind w:hanging="589"/>
        <w:rPr>
          <w:sz w:val="24"/>
          <w:szCs w:val="24"/>
        </w:rPr>
      </w:pPr>
      <w:r w:rsidRPr="000E65AA">
        <w:rPr>
          <w:sz w:val="24"/>
          <w:szCs w:val="24"/>
        </w:rPr>
        <w:t xml:space="preserve">Diagnosticeret eller formodet østrogenafhængig malign tumor (fx </w:t>
      </w:r>
      <w:proofErr w:type="spellStart"/>
      <w:r w:rsidRPr="000E65AA">
        <w:rPr>
          <w:sz w:val="24"/>
          <w:szCs w:val="24"/>
        </w:rPr>
        <w:t>endometriecancer</w:t>
      </w:r>
      <w:proofErr w:type="spellEnd"/>
      <w:r w:rsidRPr="000E65AA">
        <w:rPr>
          <w:sz w:val="24"/>
          <w:szCs w:val="24"/>
        </w:rPr>
        <w:t xml:space="preserve">) </w:t>
      </w:r>
    </w:p>
    <w:p w:rsidR="007A6E31" w:rsidRPr="000E65AA" w:rsidRDefault="007A6E31" w:rsidP="007A6E31">
      <w:pPr>
        <w:pStyle w:val="Listeafsnit"/>
        <w:numPr>
          <w:ilvl w:val="1"/>
          <w:numId w:val="8"/>
        </w:numPr>
        <w:ind w:hanging="589"/>
        <w:rPr>
          <w:sz w:val="24"/>
          <w:szCs w:val="24"/>
        </w:rPr>
      </w:pPr>
      <w:proofErr w:type="spellStart"/>
      <w:r w:rsidRPr="000E65AA">
        <w:rPr>
          <w:sz w:val="24"/>
          <w:szCs w:val="24"/>
        </w:rPr>
        <w:t>Udiagnosticeret</w:t>
      </w:r>
      <w:proofErr w:type="spellEnd"/>
      <w:r w:rsidRPr="000E65AA">
        <w:rPr>
          <w:sz w:val="24"/>
          <w:szCs w:val="24"/>
        </w:rPr>
        <w:t xml:space="preserve"> genital blødning </w:t>
      </w:r>
    </w:p>
    <w:p w:rsidR="007A6E31" w:rsidRPr="000E65AA" w:rsidRDefault="007A6E31" w:rsidP="007A6E31">
      <w:pPr>
        <w:pStyle w:val="Listeafsnit"/>
        <w:numPr>
          <w:ilvl w:val="1"/>
          <w:numId w:val="8"/>
        </w:numPr>
        <w:ind w:hanging="589"/>
        <w:rPr>
          <w:sz w:val="24"/>
          <w:szCs w:val="24"/>
        </w:rPr>
      </w:pPr>
      <w:r w:rsidRPr="000E65AA">
        <w:rPr>
          <w:sz w:val="24"/>
          <w:szCs w:val="24"/>
        </w:rPr>
        <w:t xml:space="preserve">Ubehandlet </w:t>
      </w:r>
      <w:proofErr w:type="spellStart"/>
      <w:r w:rsidRPr="000E65AA">
        <w:rPr>
          <w:sz w:val="24"/>
          <w:szCs w:val="24"/>
        </w:rPr>
        <w:t>endometriehyperplasi</w:t>
      </w:r>
      <w:proofErr w:type="spellEnd"/>
      <w:r w:rsidRPr="000E65AA">
        <w:rPr>
          <w:sz w:val="24"/>
          <w:szCs w:val="24"/>
        </w:rPr>
        <w:t xml:space="preserve"> </w:t>
      </w:r>
    </w:p>
    <w:p w:rsidR="007A6E31" w:rsidRPr="000E65AA" w:rsidRDefault="007A6E31" w:rsidP="007A6E31">
      <w:pPr>
        <w:pStyle w:val="Listeafsnit"/>
        <w:numPr>
          <w:ilvl w:val="1"/>
          <w:numId w:val="8"/>
        </w:numPr>
        <w:ind w:hanging="589"/>
        <w:rPr>
          <w:sz w:val="24"/>
          <w:szCs w:val="24"/>
        </w:rPr>
      </w:pPr>
      <w:r w:rsidRPr="000E65AA">
        <w:rPr>
          <w:sz w:val="24"/>
          <w:szCs w:val="24"/>
        </w:rPr>
        <w:t xml:space="preserve">Tidligere idiopatisk eller aktiv </w:t>
      </w:r>
      <w:proofErr w:type="spellStart"/>
      <w:r w:rsidRPr="000E65AA">
        <w:rPr>
          <w:sz w:val="24"/>
          <w:szCs w:val="24"/>
        </w:rPr>
        <w:t>tromboemboli</w:t>
      </w:r>
      <w:proofErr w:type="spellEnd"/>
      <w:r w:rsidRPr="000E65AA">
        <w:rPr>
          <w:sz w:val="24"/>
          <w:szCs w:val="24"/>
        </w:rPr>
        <w:t xml:space="preserve"> (dyb venetrombose, </w:t>
      </w:r>
      <w:proofErr w:type="spellStart"/>
      <w:r w:rsidRPr="000E65AA">
        <w:rPr>
          <w:sz w:val="24"/>
          <w:szCs w:val="24"/>
        </w:rPr>
        <w:t>lungeemboli</w:t>
      </w:r>
      <w:proofErr w:type="spellEnd"/>
      <w:r w:rsidRPr="000E65AA">
        <w:rPr>
          <w:sz w:val="24"/>
          <w:szCs w:val="24"/>
        </w:rPr>
        <w:t>)</w:t>
      </w:r>
    </w:p>
    <w:p w:rsidR="007A6E31" w:rsidRPr="000E65AA" w:rsidRDefault="007A6E31" w:rsidP="007A6E31">
      <w:pPr>
        <w:pStyle w:val="Listeafsnit"/>
        <w:numPr>
          <w:ilvl w:val="1"/>
          <w:numId w:val="8"/>
        </w:numPr>
        <w:ind w:hanging="589"/>
        <w:rPr>
          <w:sz w:val="24"/>
          <w:szCs w:val="24"/>
        </w:rPr>
      </w:pPr>
      <w:r w:rsidRPr="000E65AA">
        <w:rPr>
          <w:sz w:val="24"/>
          <w:szCs w:val="24"/>
        </w:rPr>
        <w:t xml:space="preserve">Aktiv eller nylig arteriel </w:t>
      </w:r>
      <w:proofErr w:type="spellStart"/>
      <w:r w:rsidRPr="000E65AA">
        <w:rPr>
          <w:sz w:val="24"/>
          <w:szCs w:val="24"/>
        </w:rPr>
        <w:t>tromboembolisk</w:t>
      </w:r>
      <w:proofErr w:type="spellEnd"/>
      <w:r w:rsidRPr="000E65AA">
        <w:rPr>
          <w:sz w:val="24"/>
          <w:szCs w:val="24"/>
        </w:rPr>
        <w:t xml:space="preserve"> sygdom (fx angina, myokardieinfarkt)</w:t>
      </w:r>
    </w:p>
    <w:p w:rsidR="007A6E31" w:rsidRPr="000E65AA" w:rsidRDefault="007A6E31" w:rsidP="007A6E31">
      <w:pPr>
        <w:pStyle w:val="Listeafsnit"/>
        <w:numPr>
          <w:ilvl w:val="1"/>
          <w:numId w:val="8"/>
        </w:numPr>
        <w:ind w:hanging="589"/>
        <w:rPr>
          <w:sz w:val="24"/>
          <w:szCs w:val="24"/>
        </w:rPr>
      </w:pPr>
      <w:r w:rsidRPr="000E65AA">
        <w:rPr>
          <w:sz w:val="24"/>
          <w:szCs w:val="24"/>
        </w:rPr>
        <w:t xml:space="preserve">Diagnosticeret </w:t>
      </w:r>
      <w:proofErr w:type="spellStart"/>
      <w:r w:rsidRPr="000E65AA">
        <w:rPr>
          <w:sz w:val="24"/>
          <w:szCs w:val="24"/>
        </w:rPr>
        <w:t>trombofili</w:t>
      </w:r>
      <w:proofErr w:type="spellEnd"/>
      <w:r w:rsidRPr="000E65AA">
        <w:rPr>
          <w:sz w:val="24"/>
          <w:szCs w:val="24"/>
        </w:rPr>
        <w:t xml:space="preserve"> (fx protein-C, </w:t>
      </w:r>
      <w:proofErr w:type="spellStart"/>
      <w:r w:rsidRPr="000E65AA">
        <w:rPr>
          <w:sz w:val="24"/>
          <w:szCs w:val="24"/>
        </w:rPr>
        <w:t>protein-S</w:t>
      </w:r>
      <w:proofErr w:type="spellEnd"/>
      <w:r w:rsidRPr="000E65AA">
        <w:rPr>
          <w:sz w:val="24"/>
          <w:szCs w:val="24"/>
        </w:rPr>
        <w:t xml:space="preserve"> eller </w:t>
      </w:r>
      <w:proofErr w:type="spellStart"/>
      <w:r w:rsidRPr="000E65AA">
        <w:rPr>
          <w:sz w:val="24"/>
          <w:szCs w:val="24"/>
        </w:rPr>
        <w:t>antitrombinmangel</w:t>
      </w:r>
      <w:proofErr w:type="spellEnd"/>
      <w:r w:rsidRPr="000E65AA">
        <w:rPr>
          <w:sz w:val="24"/>
          <w:szCs w:val="24"/>
        </w:rPr>
        <w:t>, se pkt. 4.4)</w:t>
      </w:r>
    </w:p>
    <w:p w:rsidR="007A6E31" w:rsidRPr="00ED1990" w:rsidRDefault="007A6E31" w:rsidP="007A6E31">
      <w:pPr>
        <w:pStyle w:val="Listeafsnit"/>
        <w:numPr>
          <w:ilvl w:val="1"/>
          <w:numId w:val="8"/>
        </w:numPr>
        <w:ind w:hanging="589"/>
        <w:rPr>
          <w:sz w:val="24"/>
          <w:szCs w:val="24"/>
        </w:rPr>
      </w:pPr>
      <w:r w:rsidRPr="000E65AA">
        <w:rPr>
          <w:sz w:val="24"/>
          <w:szCs w:val="24"/>
        </w:rPr>
        <w:t>Akut leversygdom eller leversygdom i anamnesen, hvor leverfunktionsværdierne endnu</w:t>
      </w:r>
      <w:r w:rsidRPr="000E65AA">
        <w:t xml:space="preserve"> </w:t>
      </w:r>
      <w:r w:rsidRPr="00ED1990">
        <w:rPr>
          <w:sz w:val="24"/>
          <w:szCs w:val="24"/>
        </w:rPr>
        <w:t>ikke er normaliserede</w:t>
      </w:r>
    </w:p>
    <w:p w:rsidR="007A6E31" w:rsidRPr="00ED1990" w:rsidRDefault="007A6E31" w:rsidP="007A6E31">
      <w:pPr>
        <w:pStyle w:val="Listeafsnit"/>
        <w:numPr>
          <w:ilvl w:val="1"/>
          <w:numId w:val="8"/>
        </w:numPr>
        <w:ind w:hanging="589"/>
        <w:rPr>
          <w:sz w:val="24"/>
          <w:szCs w:val="24"/>
        </w:rPr>
      </w:pPr>
      <w:r w:rsidRPr="00ED1990">
        <w:rPr>
          <w:sz w:val="24"/>
          <w:szCs w:val="24"/>
        </w:rPr>
        <w:t>Overfølsomhed over for det aktive stof eller over for et eller flere af hjælpestofferne anført i pkt. 6.1</w:t>
      </w:r>
    </w:p>
    <w:p w:rsidR="007A6E31" w:rsidRPr="00ED1990" w:rsidRDefault="007A6E31" w:rsidP="007A6E31">
      <w:pPr>
        <w:pStyle w:val="Listeafsnit"/>
        <w:numPr>
          <w:ilvl w:val="1"/>
          <w:numId w:val="8"/>
        </w:numPr>
        <w:ind w:hanging="589"/>
        <w:rPr>
          <w:sz w:val="24"/>
          <w:szCs w:val="24"/>
        </w:rPr>
      </w:pPr>
      <w:proofErr w:type="spellStart"/>
      <w:r w:rsidRPr="00ED1990">
        <w:rPr>
          <w:sz w:val="24"/>
          <w:szCs w:val="24"/>
        </w:rPr>
        <w:t>Porfyri</w:t>
      </w:r>
      <w:proofErr w:type="spellEnd"/>
    </w:p>
    <w:p w:rsidR="00336F91" w:rsidRPr="00A569A9" w:rsidRDefault="00D649C1" w:rsidP="00336F91">
      <w:pPr>
        <w:tabs>
          <w:tab w:val="left" w:pos="1134"/>
        </w:tabs>
        <w:ind w:left="1134" w:hanging="283"/>
        <w:rPr>
          <w:sz w:val="24"/>
          <w:szCs w:val="24"/>
        </w:rPr>
      </w:pPr>
      <w:r>
        <w:rPr>
          <w:sz w:val="24"/>
          <w:szCs w:val="24"/>
        </w:rPr>
        <w:br/>
      </w:r>
      <w:r>
        <w:rPr>
          <w:sz w:val="24"/>
          <w:szCs w:val="24"/>
        </w:rPr>
        <w:br/>
      </w:r>
    </w:p>
    <w:p w:rsidR="00336F91" w:rsidRPr="00A569A9" w:rsidRDefault="00336F91" w:rsidP="00336F91">
      <w:pPr>
        <w:tabs>
          <w:tab w:val="left" w:pos="851"/>
        </w:tabs>
        <w:ind w:left="851" w:hanging="851"/>
        <w:rPr>
          <w:b/>
          <w:sz w:val="24"/>
          <w:szCs w:val="24"/>
        </w:rPr>
      </w:pPr>
      <w:r w:rsidRPr="00A569A9">
        <w:rPr>
          <w:b/>
          <w:sz w:val="24"/>
          <w:szCs w:val="24"/>
        </w:rPr>
        <w:lastRenderedPageBreak/>
        <w:t>4.4</w:t>
      </w:r>
      <w:r w:rsidRPr="00A569A9">
        <w:rPr>
          <w:b/>
          <w:sz w:val="24"/>
          <w:szCs w:val="24"/>
        </w:rPr>
        <w:tab/>
        <w:t>Særlige advarsler og forsigtighedsregler vedrørende brugen</w:t>
      </w:r>
    </w:p>
    <w:p w:rsidR="007A6E31" w:rsidRPr="000E65AA" w:rsidRDefault="007A6E31" w:rsidP="007A6E31">
      <w:pPr>
        <w:ind w:left="851"/>
        <w:rPr>
          <w:sz w:val="24"/>
          <w:szCs w:val="24"/>
        </w:rPr>
      </w:pPr>
      <w:r w:rsidRPr="000E65AA">
        <w:rPr>
          <w:sz w:val="24"/>
          <w:szCs w:val="24"/>
        </w:rPr>
        <w:t xml:space="preserve">Behandling af </w:t>
      </w:r>
      <w:proofErr w:type="spellStart"/>
      <w:r w:rsidRPr="000E65AA">
        <w:rPr>
          <w:sz w:val="24"/>
          <w:szCs w:val="24"/>
        </w:rPr>
        <w:t>postmenopausale</w:t>
      </w:r>
      <w:proofErr w:type="spellEnd"/>
      <w:r w:rsidRPr="000E65AA">
        <w:rPr>
          <w:sz w:val="24"/>
          <w:szCs w:val="24"/>
        </w:rPr>
        <w:t xml:space="preserve"> symptomer med lokal østrogenbehandling bør kun initieres ved symptomer, der forringer livskvaliteten. </w:t>
      </w:r>
    </w:p>
    <w:p w:rsidR="007A6E31" w:rsidRPr="000E65AA" w:rsidRDefault="007A6E31" w:rsidP="007A6E31">
      <w:pPr>
        <w:ind w:left="851"/>
        <w:rPr>
          <w:sz w:val="24"/>
          <w:szCs w:val="24"/>
        </w:rPr>
      </w:pPr>
      <w:r w:rsidRPr="000E65AA">
        <w:rPr>
          <w:sz w:val="24"/>
          <w:szCs w:val="24"/>
        </w:rPr>
        <w:t>I alle tilfælde skal der foretages en nøje afvejning af risici og fordele mindst én gang årligt, og HRT-behandling skal kun fortsætte, så længe fordelene opvejer risikoen.</w:t>
      </w:r>
    </w:p>
    <w:p w:rsidR="007A6E31" w:rsidRPr="000E65AA" w:rsidRDefault="007A6E31" w:rsidP="007A6E31">
      <w:pPr>
        <w:ind w:left="851"/>
        <w:rPr>
          <w:sz w:val="24"/>
          <w:szCs w:val="24"/>
        </w:rPr>
      </w:pPr>
    </w:p>
    <w:p w:rsidR="007A6E31" w:rsidRPr="000E65AA" w:rsidRDefault="007A6E31" w:rsidP="007A6E31">
      <w:pPr>
        <w:tabs>
          <w:tab w:val="left" w:pos="851"/>
        </w:tabs>
        <w:ind w:left="851"/>
        <w:rPr>
          <w:sz w:val="24"/>
          <w:szCs w:val="24"/>
        </w:rPr>
      </w:pPr>
      <w:r w:rsidRPr="000E65AA">
        <w:rPr>
          <w:sz w:val="24"/>
          <w:szCs w:val="24"/>
        </w:rPr>
        <w:t xml:space="preserve">Gelisse </w:t>
      </w:r>
      <w:r w:rsidRPr="000E65AA">
        <w:rPr>
          <w:color w:val="000000"/>
          <w:sz w:val="24"/>
          <w:szCs w:val="24"/>
        </w:rPr>
        <w:t>50 mikrokram/g vaginalgel</w:t>
      </w:r>
      <w:r w:rsidRPr="000E65AA">
        <w:rPr>
          <w:sz w:val="24"/>
          <w:szCs w:val="24"/>
        </w:rPr>
        <w:t xml:space="preserve"> må ikke kombineres med østrogenpræparater til systemisk behandling, da der ikke er nogen studier af sikkerhed og risici med østrogenkoncentrationer, der opnås i kombinationsbehandling. </w:t>
      </w:r>
    </w:p>
    <w:p w:rsidR="007A6E31" w:rsidRPr="000E65AA" w:rsidRDefault="007A6E31" w:rsidP="007A6E31">
      <w:pPr>
        <w:tabs>
          <w:tab w:val="left" w:pos="851"/>
        </w:tabs>
        <w:ind w:left="851"/>
        <w:rPr>
          <w:sz w:val="24"/>
          <w:szCs w:val="24"/>
        </w:rPr>
      </w:pPr>
    </w:p>
    <w:p w:rsidR="007A6E31" w:rsidRPr="000E65AA" w:rsidRDefault="007A6E31" w:rsidP="007A6E31">
      <w:pPr>
        <w:tabs>
          <w:tab w:val="left" w:pos="851"/>
        </w:tabs>
        <w:ind w:left="851"/>
        <w:rPr>
          <w:sz w:val="24"/>
          <w:szCs w:val="24"/>
        </w:rPr>
      </w:pPr>
      <w:r w:rsidRPr="000E65AA">
        <w:rPr>
          <w:sz w:val="24"/>
          <w:szCs w:val="24"/>
        </w:rPr>
        <w:t>Brug af en intravaginal applikator kan forårsage mindre lokale traumer, især hos kvinder med alvorlig vaginal atrofi.</w:t>
      </w:r>
    </w:p>
    <w:p w:rsidR="007A6E31" w:rsidRPr="000E65AA" w:rsidRDefault="007A6E31" w:rsidP="007A6E31">
      <w:pPr>
        <w:tabs>
          <w:tab w:val="left" w:pos="851"/>
        </w:tabs>
        <w:ind w:left="851"/>
        <w:rPr>
          <w:sz w:val="24"/>
          <w:szCs w:val="24"/>
        </w:rPr>
      </w:pPr>
    </w:p>
    <w:p w:rsidR="007A6E31" w:rsidRPr="000E65AA" w:rsidRDefault="007A6E31" w:rsidP="007A6E31">
      <w:pPr>
        <w:tabs>
          <w:tab w:val="left" w:pos="851"/>
        </w:tabs>
        <w:ind w:left="851"/>
        <w:rPr>
          <w:sz w:val="24"/>
          <w:szCs w:val="24"/>
          <w:u w:val="single"/>
        </w:rPr>
      </w:pPr>
      <w:r w:rsidRPr="000E65AA">
        <w:rPr>
          <w:sz w:val="24"/>
          <w:szCs w:val="24"/>
          <w:u w:val="single"/>
        </w:rPr>
        <w:t>Advarsel om hjælpestoffer</w:t>
      </w:r>
    </w:p>
    <w:p w:rsidR="007A6E31" w:rsidRPr="000E65AA" w:rsidRDefault="007A6E31" w:rsidP="007A6E31">
      <w:pPr>
        <w:tabs>
          <w:tab w:val="left" w:pos="851"/>
        </w:tabs>
        <w:ind w:left="851"/>
        <w:rPr>
          <w:sz w:val="24"/>
          <w:szCs w:val="24"/>
        </w:rPr>
      </w:pPr>
      <w:r w:rsidRPr="000E65AA">
        <w:rPr>
          <w:sz w:val="24"/>
          <w:szCs w:val="24"/>
        </w:rPr>
        <w:t xml:space="preserve">Gelisse indeholder </w:t>
      </w:r>
      <w:proofErr w:type="spellStart"/>
      <w:r w:rsidRPr="000E65AA">
        <w:rPr>
          <w:sz w:val="24"/>
          <w:szCs w:val="24"/>
        </w:rPr>
        <w:t>natriummethylparahydroxybenzoat</w:t>
      </w:r>
      <w:proofErr w:type="spellEnd"/>
      <w:r w:rsidRPr="000E65AA">
        <w:rPr>
          <w:sz w:val="24"/>
          <w:szCs w:val="24"/>
        </w:rPr>
        <w:t xml:space="preserve"> (E219) og natriumpropyl-</w:t>
      </w:r>
      <w:proofErr w:type="spellStart"/>
      <w:r w:rsidRPr="000E65AA">
        <w:rPr>
          <w:sz w:val="24"/>
          <w:szCs w:val="24"/>
        </w:rPr>
        <w:t>parahydroxybenzoat</w:t>
      </w:r>
      <w:proofErr w:type="spellEnd"/>
      <w:r w:rsidRPr="000E65AA">
        <w:rPr>
          <w:sz w:val="24"/>
          <w:szCs w:val="24"/>
        </w:rPr>
        <w:t xml:space="preserve"> (E217). Kan give allergiske reaktioner (muligvis forsinkede).</w:t>
      </w:r>
    </w:p>
    <w:p w:rsidR="007A6E31" w:rsidRPr="000E65AA" w:rsidRDefault="007A6E31" w:rsidP="007A6E31">
      <w:pPr>
        <w:tabs>
          <w:tab w:val="left" w:pos="851"/>
        </w:tabs>
        <w:ind w:left="851"/>
        <w:rPr>
          <w:sz w:val="24"/>
          <w:szCs w:val="24"/>
        </w:rPr>
      </w:pPr>
    </w:p>
    <w:p w:rsidR="007A6E31" w:rsidRPr="000E65AA" w:rsidRDefault="007A6E31" w:rsidP="007A6E31">
      <w:pPr>
        <w:pStyle w:val="Overskrift2"/>
        <w:ind w:left="851"/>
        <w:rPr>
          <w:rFonts w:ascii="Times New Roman" w:hAnsi="Times New Roman" w:cs="Times New Roman"/>
          <w:color w:val="auto"/>
          <w:sz w:val="24"/>
          <w:u w:val="single"/>
        </w:rPr>
      </w:pPr>
      <w:r w:rsidRPr="000E65AA">
        <w:rPr>
          <w:rFonts w:ascii="Times New Roman" w:hAnsi="Times New Roman" w:cs="Times New Roman"/>
          <w:color w:val="auto"/>
          <w:sz w:val="24"/>
          <w:u w:val="single"/>
        </w:rPr>
        <w:t>Lægeundersøgelse/opfølgende undersøgelse</w:t>
      </w:r>
    </w:p>
    <w:p w:rsidR="007A6E31" w:rsidRPr="000E65AA" w:rsidRDefault="007A6E31" w:rsidP="007A6E31">
      <w:pPr>
        <w:tabs>
          <w:tab w:val="left" w:pos="851"/>
        </w:tabs>
        <w:ind w:left="851"/>
        <w:rPr>
          <w:sz w:val="24"/>
          <w:szCs w:val="24"/>
        </w:rPr>
      </w:pPr>
      <w:r w:rsidRPr="000E65AA">
        <w:rPr>
          <w:sz w:val="24"/>
          <w:szCs w:val="24"/>
        </w:rPr>
        <w:t xml:space="preserve">Før initiering eller genoptagelse af </w:t>
      </w:r>
      <w:proofErr w:type="spellStart"/>
      <w:r w:rsidRPr="000E65AA">
        <w:rPr>
          <w:sz w:val="24"/>
          <w:szCs w:val="24"/>
        </w:rPr>
        <w:t>estriolbehandling</w:t>
      </w:r>
      <w:proofErr w:type="spellEnd"/>
      <w:r w:rsidRPr="000E65AA">
        <w:rPr>
          <w:sz w:val="24"/>
          <w:szCs w:val="24"/>
        </w:rPr>
        <w:t xml:space="preserve"> bør der optages en fuldstændig personlig og familiær anamnese. En fysisk undersøgelse (herunder undersøgelse af </w:t>
      </w:r>
      <w:proofErr w:type="spellStart"/>
      <w:r w:rsidRPr="000E65AA">
        <w:rPr>
          <w:sz w:val="24"/>
          <w:szCs w:val="24"/>
        </w:rPr>
        <w:t>pelvis</w:t>
      </w:r>
      <w:proofErr w:type="spellEnd"/>
      <w:r w:rsidRPr="000E65AA">
        <w:rPr>
          <w:sz w:val="24"/>
          <w:szCs w:val="24"/>
        </w:rPr>
        <w:t xml:space="preserve"> og bryst) skal udføres med udgangspunkt i denne anamnese og ud fra kontraindikationer og forsigtighedsregler vedrørende brugen.  </w:t>
      </w:r>
    </w:p>
    <w:p w:rsidR="007A6E31" w:rsidRPr="000E65AA" w:rsidRDefault="007A6E31" w:rsidP="007A6E31">
      <w:pPr>
        <w:tabs>
          <w:tab w:val="left" w:pos="851"/>
        </w:tabs>
        <w:ind w:left="851"/>
        <w:rPr>
          <w:sz w:val="24"/>
          <w:szCs w:val="24"/>
        </w:rPr>
      </w:pPr>
      <w:r w:rsidRPr="000E65AA">
        <w:rPr>
          <w:sz w:val="24"/>
          <w:szCs w:val="24"/>
        </w:rPr>
        <w:t>Under behandlingen anbefales periodisk kontrol med en hyppighed og af en art, der er tilpasset den enkelte kvinde. Kvinder skal oplyses om</w:t>
      </w:r>
      <w:r w:rsidRPr="000E65AA">
        <w:t xml:space="preserve">, </w:t>
      </w:r>
      <w:r w:rsidRPr="000E65AA">
        <w:rPr>
          <w:sz w:val="24"/>
          <w:szCs w:val="24"/>
        </w:rPr>
        <w:t>hvilken slags forandringer i brystet, der bør føre til henvendelse til læge</w:t>
      </w:r>
      <w:r w:rsidRPr="000E65AA" w:rsidDel="0089120F">
        <w:rPr>
          <w:sz w:val="24"/>
          <w:szCs w:val="24"/>
        </w:rPr>
        <w:t xml:space="preserve"> </w:t>
      </w:r>
      <w:r w:rsidRPr="000E65AA">
        <w:rPr>
          <w:sz w:val="24"/>
          <w:szCs w:val="24"/>
        </w:rPr>
        <w:t>eller sygeplejersken (se ”Brystcancer” nedenfor).</w:t>
      </w:r>
    </w:p>
    <w:p w:rsidR="007A6E31" w:rsidRPr="000E65AA" w:rsidRDefault="007A6E31" w:rsidP="007A6E31">
      <w:pPr>
        <w:tabs>
          <w:tab w:val="left" w:pos="851"/>
        </w:tabs>
        <w:ind w:left="851"/>
        <w:rPr>
          <w:sz w:val="24"/>
          <w:szCs w:val="24"/>
        </w:rPr>
      </w:pPr>
      <w:r w:rsidRPr="000E65AA">
        <w:rPr>
          <w:sz w:val="24"/>
          <w:szCs w:val="24"/>
        </w:rPr>
        <w:t>Der bør foretages undersøgelser, herunder mammografi, i henhold til anerkendt screeningspraksis, modificeret efter de individuelle kliniske behov.</w:t>
      </w:r>
    </w:p>
    <w:p w:rsidR="007A6E31" w:rsidRPr="000E65AA" w:rsidRDefault="007A6E31" w:rsidP="007A6E31">
      <w:pPr>
        <w:tabs>
          <w:tab w:val="left" w:pos="851"/>
        </w:tabs>
        <w:ind w:left="851"/>
        <w:rPr>
          <w:sz w:val="24"/>
          <w:szCs w:val="24"/>
        </w:rPr>
      </w:pPr>
      <w:r w:rsidRPr="000E65AA">
        <w:rPr>
          <w:sz w:val="24"/>
          <w:szCs w:val="24"/>
        </w:rPr>
        <w:t xml:space="preserve">I tilfælde af vaginale infektioner bør disse behandles, før behandling med Gelisse </w:t>
      </w:r>
      <w:r w:rsidRPr="000E65AA">
        <w:rPr>
          <w:color w:val="000000"/>
          <w:sz w:val="24"/>
          <w:szCs w:val="24"/>
        </w:rPr>
        <w:t>50 mikrokram/g vaginalgel</w:t>
      </w:r>
      <w:r w:rsidRPr="000E65AA">
        <w:rPr>
          <w:sz w:val="24"/>
          <w:szCs w:val="24"/>
        </w:rPr>
        <w:t xml:space="preserve"> påbegyndes.</w:t>
      </w:r>
    </w:p>
    <w:p w:rsidR="00336F91" w:rsidRDefault="00336F91" w:rsidP="00336F91">
      <w:pPr>
        <w:tabs>
          <w:tab w:val="left" w:pos="851"/>
        </w:tabs>
        <w:ind w:left="851"/>
        <w:rPr>
          <w:sz w:val="24"/>
          <w:szCs w:val="24"/>
          <w:u w:val="single"/>
        </w:rPr>
      </w:pPr>
    </w:p>
    <w:p w:rsidR="007A6E31" w:rsidRPr="000E65AA" w:rsidRDefault="007A6E31" w:rsidP="007A6E31">
      <w:pPr>
        <w:tabs>
          <w:tab w:val="left" w:pos="851"/>
        </w:tabs>
        <w:ind w:left="851"/>
        <w:rPr>
          <w:sz w:val="24"/>
          <w:szCs w:val="24"/>
          <w:u w:val="single"/>
        </w:rPr>
      </w:pPr>
      <w:r w:rsidRPr="000E65AA">
        <w:rPr>
          <w:sz w:val="24"/>
          <w:szCs w:val="24"/>
          <w:u w:val="single"/>
        </w:rPr>
        <w:t xml:space="preserve">Forhold, der kræver overvågning </w:t>
      </w:r>
    </w:p>
    <w:p w:rsidR="007A6E31" w:rsidRPr="000E65AA" w:rsidRDefault="007A6E31" w:rsidP="007A6E31">
      <w:pPr>
        <w:tabs>
          <w:tab w:val="left" w:pos="851"/>
        </w:tabs>
        <w:ind w:left="851"/>
        <w:rPr>
          <w:sz w:val="24"/>
          <w:szCs w:val="24"/>
        </w:rPr>
      </w:pPr>
      <w:r w:rsidRPr="000E65AA">
        <w:rPr>
          <w:sz w:val="24"/>
          <w:szCs w:val="24"/>
        </w:rPr>
        <w:t xml:space="preserve">Hvis nogen af nedenstående tilstande er til stede, tidligere har været til stede og/eller er blevet forværret under graviditet eller tidligere hormonbehandling, skal patienten overvåges tæt. Opmærksomheden henledes på, at behandling med Gelisse </w:t>
      </w:r>
      <w:r w:rsidRPr="000E65AA">
        <w:rPr>
          <w:color w:val="000000"/>
          <w:sz w:val="24"/>
          <w:szCs w:val="24"/>
        </w:rPr>
        <w:t>50 mikrokram/g vaginalgel</w:t>
      </w:r>
      <w:r w:rsidRPr="000E65AA">
        <w:rPr>
          <w:sz w:val="24"/>
          <w:szCs w:val="24"/>
        </w:rPr>
        <w:t xml:space="preserve"> kan medføre recidiv eller forværring af disse sygdomme:</w:t>
      </w:r>
    </w:p>
    <w:p w:rsidR="007A6E31" w:rsidRPr="000E65AA" w:rsidRDefault="007A6E31" w:rsidP="007A6E31">
      <w:pPr>
        <w:numPr>
          <w:ilvl w:val="0"/>
          <w:numId w:val="9"/>
        </w:numPr>
        <w:ind w:left="1418" w:hanging="567"/>
        <w:rPr>
          <w:sz w:val="24"/>
          <w:szCs w:val="24"/>
        </w:rPr>
      </w:pPr>
      <w:proofErr w:type="spellStart"/>
      <w:r w:rsidRPr="000E65AA">
        <w:rPr>
          <w:sz w:val="24"/>
          <w:szCs w:val="24"/>
        </w:rPr>
        <w:t>Leiomyom</w:t>
      </w:r>
      <w:proofErr w:type="spellEnd"/>
      <w:r w:rsidRPr="000E65AA">
        <w:rPr>
          <w:sz w:val="24"/>
          <w:szCs w:val="24"/>
        </w:rPr>
        <w:t xml:space="preserve"> (</w:t>
      </w:r>
      <w:proofErr w:type="spellStart"/>
      <w:r w:rsidRPr="000E65AA">
        <w:rPr>
          <w:sz w:val="24"/>
          <w:szCs w:val="24"/>
        </w:rPr>
        <w:t>uterinfibromer</w:t>
      </w:r>
      <w:proofErr w:type="spellEnd"/>
      <w:r w:rsidRPr="000E65AA">
        <w:rPr>
          <w:sz w:val="24"/>
          <w:szCs w:val="24"/>
        </w:rPr>
        <w:t xml:space="preserve">) eller </w:t>
      </w:r>
      <w:proofErr w:type="spellStart"/>
      <w:r w:rsidRPr="000E65AA">
        <w:rPr>
          <w:sz w:val="24"/>
          <w:szCs w:val="24"/>
        </w:rPr>
        <w:t>endometriose</w:t>
      </w:r>
      <w:proofErr w:type="spellEnd"/>
      <w:r w:rsidRPr="000E65AA">
        <w:rPr>
          <w:sz w:val="24"/>
          <w:szCs w:val="24"/>
        </w:rPr>
        <w:t xml:space="preserve"> </w:t>
      </w:r>
    </w:p>
    <w:p w:rsidR="007A6E31" w:rsidRPr="000E65AA" w:rsidRDefault="007A6E31" w:rsidP="007A6E31">
      <w:pPr>
        <w:numPr>
          <w:ilvl w:val="0"/>
          <w:numId w:val="9"/>
        </w:numPr>
        <w:ind w:left="1418" w:hanging="567"/>
        <w:rPr>
          <w:sz w:val="24"/>
          <w:szCs w:val="24"/>
        </w:rPr>
      </w:pPr>
      <w:r w:rsidRPr="000E65AA">
        <w:rPr>
          <w:sz w:val="24"/>
          <w:szCs w:val="24"/>
        </w:rPr>
        <w:t xml:space="preserve">Risikofaktorer for </w:t>
      </w:r>
      <w:proofErr w:type="spellStart"/>
      <w:r w:rsidRPr="000E65AA">
        <w:rPr>
          <w:sz w:val="24"/>
          <w:szCs w:val="24"/>
        </w:rPr>
        <w:t>tromboemboliske</w:t>
      </w:r>
      <w:proofErr w:type="spellEnd"/>
      <w:r w:rsidRPr="000E65AA">
        <w:rPr>
          <w:sz w:val="24"/>
          <w:szCs w:val="24"/>
        </w:rPr>
        <w:t xml:space="preserve"> lidelser (se nedenfor) </w:t>
      </w:r>
    </w:p>
    <w:p w:rsidR="007A6E31" w:rsidRPr="000E65AA" w:rsidRDefault="007A6E31" w:rsidP="007A6E31">
      <w:pPr>
        <w:numPr>
          <w:ilvl w:val="0"/>
          <w:numId w:val="9"/>
        </w:numPr>
        <w:ind w:left="1418" w:hanging="567"/>
        <w:rPr>
          <w:sz w:val="24"/>
          <w:szCs w:val="24"/>
        </w:rPr>
      </w:pPr>
      <w:r w:rsidRPr="000E65AA">
        <w:rPr>
          <w:sz w:val="24"/>
          <w:szCs w:val="24"/>
        </w:rPr>
        <w:t xml:space="preserve">Risikofaktorer for østrogenafhængige tumorer, fx førstegrads arvelig disposition for brystcancer </w:t>
      </w:r>
    </w:p>
    <w:p w:rsidR="007A6E31" w:rsidRPr="000E65AA" w:rsidRDefault="007A6E31" w:rsidP="007A6E31">
      <w:pPr>
        <w:numPr>
          <w:ilvl w:val="0"/>
          <w:numId w:val="9"/>
        </w:numPr>
        <w:ind w:left="1418" w:hanging="567"/>
        <w:rPr>
          <w:sz w:val="24"/>
          <w:szCs w:val="24"/>
        </w:rPr>
      </w:pPr>
      <w:r w:rsidRPr="000E65AA">
        <w:rPr>
          <w:sz w:val="24"/>
          <w:szCs w:val="24"/>
        </w:rPr>
        <w:t xml:space="preserve">Hypertension </w:t>
      </w:r>
    </w:p>
    <w:p w:rsidR="007A6E31" w:rsidRPr="000E65AA" w:rsidRDefault="007A6E31" w:rsidP="007A6E31">
      <w:pPr>
        <w:numPr>
          <w:ilvl w:val="0"/>
          <w:numId w:val="9"/>
        </w:numPr>
        <w:ind w:left="1418" w:hanging="567"/>
        <w:rPr>
          <w:sz w:val="24"/>
          <w:szCs w:val="24"/>
        </w:rPr>
      </w:pPr>
      <w:r w:rsidRPr="000E65AA">
        <w:rPr>
          <w:sz w:val="24"/>
          <w:szCs w:val="24"/>
        </w:rPr>
        <w:t xml:space="preserve">Leversygdomme (fx </w:t>
      </w:r>
      <w:proofErr w:type="spellStart"/>
      <w:r w:rsidRPr="000E65AA">
        <w:rPr>
          <w:sz w:val="24"/>
          <w:szCs w:val="24"/>
        </w:rPr>
        <w:t>leveradenom</w:t>
      </w:r>
      <w:proofErr w:type="spellEnd"/>
      <w:r w:rsidRPr="000E65AA">
        <w:rPr>
          <w:sz w:val="24"/>
          <w:szCs w:val="24"/>
        </w:rPr>
        <w:t xml:space="preserve">) </w:t>
      </w:r>
    </w:p>
    <w:p w:rsidR="007A6E31" w:rsidRPr="000E65AA" w:rsidRDefault="007A6E31" w:rsidP="007A6E31">
      <w:pPr>
        <w:numPr>
          <w:ilvl w:val="0"/>
          <w:numId w:val="9"/>
        </w:numPr>
        <w:ind w:left="1418" w:hanging="567"/>
        <w:rPr>
          <w:sz w:val="24"/>
          <w:szCs w:val="24"/>
        </w:rPr>
      </w:pPr>
      <w:r w:rsidRPr="000E65AA">
        <w:rPr>
          <w:sz w:val="24"/>
          <w:szCs w:val="24"/>
        </w:rPr>
        <w:t xml:space="preserve">Diabetes mellitus med eller uden </w:t>
      </w:r>
      <w:proofErr w:type="spellStart"/>
      <w:r w:rsidRPr="000E65AA">
        <w:rPr>
          <w:sz w:val="24"/>
          <w:szCs w:val="24"/>
        </w:rPr>
        <w:t>vaskulære</w:t>
      </w:r>
      <w:proofErr w:type="spellEnd"/>
      <w:r w:rsidRPr="000E65AA">
        <w:rPr>
          <w:sz w:val="24"/>
          <w:szCs w:val="24"/>
        </w:rPr>
        <w:t xml:space="preserve"> komplikationer </w:t>
      </w:r>
    </w:p>
    <w:p w:rsidR="007A6E31" w:rsidRPr="000E65AA" w:rsidRDefault="007A6E31" w:rsidP="007A6E31">
      <w:pPr>
        <w:numPr>
          <w:ilvl w:val="0"/>
          <w:numId w:val="9"/>
        </w:numPr>
        <w:ind w:left="1418" w:hanging="567"/>
        <w:rPr>
          <w:sz w:val="24"/>
          <w:szCs w:val="24"/>
        </w:rPr>
      </w:pPr>
      <w:proofErr w:type="spellStart"/>
      <w:r w:rsidRPr="000E65AA">
        <w:rPr>
          <w:sz w:val="24"/>
          <w:szCs w:val="24"/>
        </w:rPr>
        <w:t>Cholelithiasis</w:t>
      </w:r>
      <w:proofErr w:type="spellEnd"/>
    </w:p>
    <w:p w:rsidR="007A6E31" w:rsidRPr="000E65AA" w:rsidRDefault="007A6E31" w:rsidP="007A6E31">
      <w:pPr>
        <w:numPr>
          <w:ilvl w:val="0"/>
          <w:numId w:val="9"/>
        </w:numPr>
        <w:ind w:left="1418" w:hanging="567"/>
        <w:rPr>
          <w:sz w:val="24"/>
          <w:szCs w:val="24"/>
        </w:rPr>
      </w:pPr>
      <w:r w:rsidRPr="000E65AA">
        <w:rPr>
          <w:sz w:val="24"/>
          <w:szCs w:val="24"/>
        </w:rPr>
        <w:t xml:space="preserve">Migræne eller (svær) hovedpine </w:t>
      </w:r>
    </w:p>
    <w:p w:rsidR="007A6E31" w:rsidRPr="000E65AA" w:rsidRDefault="007A6E31" w:rsidP="007A6E31">
      <w:pPr>
        <w:numPr>
          <w:ilvl w:val="0"/>
          <w:numId w:val="9"/>
        </w:numPr>
        <w:ind w:left="1418" w:hanging="567"/>
        <w:rPr>
          <w:sz w:val="24"/>
          <w:szCs w:val="24"/>
        </w:rPr>
      </w:pPr>
      <w:r w:rsidRPr="000E65AA">
        <w:rPr>
          <w:sz w:val="24"/>
          <w:szCs w:val="24"/>
        </w:rPr>
        <w:t xml:space="preserve">Systemisk lupus </w:t>
      </w:r>
      <w:proofErr w:type="spellStart"/>
      <w:r w:rsidRPr="000E65AA">
        <w:rPr>
          <w:sz w:val="24"/>
          <w:szCs w:val="24"/>
        </w:rPr>
        <w:t>erythematosus</w:t>
      </w:r>
      <w:proofErr w:type="spellEnd"/>
      <w:r w:rsidRPr="000E65AA">
        <w:rPr>
          <w:sz w:val="24"/>
          <w:szCs w:val="24"/>
        </w:rPr>
        <w:t xml:space="preserve"> (SLE)</w:t>
      </w:r>
    </w:p>
    <w:p w:rsidR="007A6E31" w:rsidRPr="000E65AA" w:rsidRDefault="007A6E31" w:rsidP="007A6E31">
      <w:pPr>
        <w:numPr>
          <w:ilvl w:val="0"/>
          <w:numId w:val="9"/>
        </w:numPr>
        <w:ind w:left="1418" w:hanging="567"/>
        <w:rPr>
          <w:sz w:val="24"/>
          <w:szCs w:val="24"/>
        </w:rPr>
      </w:pPr>
      <w:proofErr w:type="spellStart"/>
      <w:r w:rsidRPr="000E65AA">
        <w:rPr>
          <w:sz w:val="24"/>
          <w:szCs w:val="24"/>
        </w:rPr>
        <w:t>Endometriehyperplasi</w:t>
      </w:r>
      <w:proofErr w:type="spellEnd"/>
      <w:r w:rsidRPr="000E65AA">
        <w:rPr>
          <w:sz w:val="24"/>
          <w:szCs w:val="24"/>
        </w:rPr>
        <w:t xml:space="preserve"> i anamnesen (se nedenfor)</w:t>
      </w:r>
    </w:p>
    <w:p w:rsidR="007A6E31" w:rsidRPr="000E65AA" w:rsidRDefault="007A6E31" w:rsidP="007A6E31">
      <w:pPr>
        <w:numPr>
          <w:ilvl w:val="0"/>
          <w:numId w:val="9"/>
        </w:numPr>
        <w:ind w:left="1418" w:hanging="567"/>
        <w:rPr>
          <w:sz w:val="24"/>
          <w:szCs w:val="24"/>
        </w:rPr>
      </w:pPr>
      <w:r w:rsidRPr="000E65AA">
        <w:rPr>
          <w:sz w:val="24"/>
          <w:szCs w:val="24"/>
        </w:rPr>
        <w:t xml:space="preserve">Epilepsi </w:t>
      </w:r>
    </w:p>
    <w:p w:rsidR="007A6E31" w:rsidRPr="000E65AA" w:rsidRDefault="007A6E31" w:rsidP="007A6E31">
      <w:pPr>
        <w:numPr>
          <w:ilvl w:val="0"/>
          <w:numId w:val="9"/>
        </w:numPr>
        <w:ind w:left="1418" w:hanging="567"/>
        <w:rPr>
          <w:sz w:val="24"/>
          <w:szCs w:val="24"/>
        </w:rPr>
      </w:pPr>
      <w:r w:rsidRPr="000E65AA">
        <w:rPr>
          <w:sz w:val="24"/>
          <w:szCs w:val="24"/>
        </w:rPr>
        <w:t xml:space="preserve">Astma </w:t>
      </w:r>
    </w:p>
    <w:p w:rsidR="007A6E31" w:rsidRPr="000E65AA" w:rsidRDefault="007A6E31" w:rsidP="007A6E31">
      <w:pPr>
        <w:numPr>
          <w:ilvl w:val="0"/>
          <w:numId w:val="9"/>
        </w:numPr>
        <w:ind w:left="1418" w:hanging="567"/>
        <w:rPr>
          <w:sz w:val="24"/>
          <w:szCs w:val="24"/>
        </w:rPr>
      </w:pPr>
      <w:proofErr w:type="spellStart"/>
      <w:r w:rsidRPr="000E65AA">
        <w:rPr>
          <w:sz w:val="24"/>
          <w:szCs w:val="24"/>
        </w:rPr>
        <w:t>Otosklerose</w:t>
      </w:r>
      <w:proofErr w:type="spellEnd"/>
    </w:p>
    <w:p w:rsidR="007A6E31" w:rsidRPr="000E65AA" w:rsidRDefault="00D649C1" w:rsidP="007A6E31">
      <w:pPr>
        <w:tabs>
          <w:tab w:val="left" w:pos="851"/>
        </w:tabs>
        <w:ind w:left="851"/>
        <w:rPr>
          <w:sz w:val="24"/>
          <w:szCs w:val="24"/>
          <w:vertAlign w:val="subscript"/>
        </w:rPr>
      </w:pPr>
      <w:r>
        <w:rPr>
          <w:sz w:val="24"/>
          <w:szCs w:val="24"/>
          <w:vertAlign w:val="subscript"/>
        </w:rPr>
        <w:br/>
      </w:r>
    </w:p>
    <w:p w:rsidR="007A6E31" w:rsidRPr="000E65AA" w:rsidRDefault="007A6E31" w:rsidP="007A6E31">
      <w:pPr>
        <w:tabs>
          <w:tab w:val="left" w:pos="851"/>
        </w:tabs>
        <w:ind w:left="851"/>
        <w:rPr>
          <w:sz w:val="24"/>
          <w:szCs w:val="24"/>
          <w:u w:val="single"/>
        </w:rPr>
      </w:pPr>
      <w:r w:rsidRPr="000E65AA">
        <w:rPr>
          <w:sz w:val="24"/>
          <w:szCs w:val="24"/>
          <w:u w:val="single"/>
        </w:rPr>
        <w:lastRenderedPageBreak/>
        <w:t xml:space="preserve">Grunde til øjeblikkelig </w:t>
      </w:r>
      <w:proofErr w:type="spellStart"/>
      <w:r w:rsidRPr="000E65AA">
        <w:rPr>
          <w:sz w:val="24"/>
          <w:szCs w:val="24"/>
          <w:u w:val="single"/>
        </w:rPr>
        <w:t>seponering</w:t>
      </w:r>
      <w:proofErr w:type="spellEnd"/>
      <w:r w:rsidRPr="000E65AA">
        <w:rPr>
          <w:sz w:val="24"/>
          <w:szCs w:val="24"/>
          <w:u w:val="single"/>
        </w:rPr>
        <w:t xml:space="preserve"> </w:t>
      </w:r>
    </w:p>
    <w:p w:rsidR="007A6E31" w:rsidRPr="000E65AA" w:rsidRDefault="007A6E31" w:rsidP="007A6E31">
      <w:pPr>
        <w:tabs>
          <w:tab w:val="left" w:pos="851"/>
        </w:tabs>
        <w:ind w:left="851"/>
        <w:rPr>
          <w:sz w:val="24"/>
          <w:szCs w:val="24"/>
        </w:rPr>
      </w:pPr>
      <w:r w:rsidRPr="000E65AA">
        <w:rPr>
          <w:sz w:val="24"/>
          <w:szCs w:val="24"/>
        </w:rPr>
        <w:t>Behandlingen skal seponeres, hvis der konstateres en kontraindikation, samt i følgende situationer:</w:t>
      </w:r>
    </w:p>
    <w:p w:rsidR="007A6E31" w:rsidRPr="000E65AA" w:rsidRDefault="007A6E31" w:rsidP="007A6E31">
      <w:pPr>
        <w:numPr>
          <w:ilvl w:val="0"/>
          <w:numId w:val="10"/>
        </w:numPr>
        <w:ind w:left="1418" w:hanging="567"/>
        <w:rPr>
          <w:sz w:val="24"/>
          <w:szCs w:val="24"/>
        </w:rPr>
      </w:pPr>
      <w:proofErr w:type="spellStart"/>
      <w:r w:rsidRPr="000E65AA">
        <w:rPr>
          <w:sz w:val="24"/>
          <w:szCs w:val="24"/>
        </w:rPr>
        <w:t>Ikterus</w:t>
      </w:r>
      <w:proofErr w:type="spellEnd"/>
      <w:r w:rsidRPr="000E65AA">
        <w:rPr>
          <w:sz w:val="24"/>
          <w:szCs w:val="24"/>
        </w:rPr>
        <w:t xml:space="preserve"> eller nedsat leverfunktion </w:t>
      </w:r>
    </w:p>
    <w:p w:rsidR="007A6E31" w:rsidRPr="000E65AA" w:rsidRDefault="007A6E31" w:rsidP="007A6E31">
      <w:pPr>
        <w:numPr>
          <w:ilvl w:val="0"/>
          <w:numId w:val="10"/>
        </w:numPr>
        <w:ind w:left="1418" w:hanging="567"/>
        <w:rPr>
          <w:sz w:val="24"/>
          <w:szCs w:val="24"/>
        </w:rPr>
      </w:pPr>
      <w:r w:rsidRPr="000E65AA">
        <w:rPr>
          <w:sz w:val="24"/>
          <w:szCs w:val="24"/>
        </w:rPr>
        <w:t xml:space="preserve">Væsentlig blodtryksstigning </w:t>
      </w:r>
    </w:p>
    <w:p w:rsidR="007A6E31" w:rsidRPr="000E65AA" w:rsidRDefault="007A6E31" w:rsidP="007A6E31">
      <w:pPr>
        <w:numPr>
          <w:ilvl w:val="0"/>
          <w:numId w:val="10"/>
        </w:numPr>
        <w:ind w:left="1418" w:hanging="567"/>
        <w:rPr>
          <w:sz w:val="24"/>
          <w:szCs w:val="24"/>
        </w:rPr>
      </w:pPr>
      <w:proofErr w:type="spellStart"/>
      <w:r w:rsidRPr="000E65AA">
        <w:rPr>
          <w:sz w:val="24"/>
          <w:szCs w:val="24"/>
        </w:rPr>
        <w:t>Nyindsættende</w:t>
      </w:r>
      <w:proofErr w:type="spellEnd"/>
      <w:r w:rsidRPr="000E65AA">
        <w:rPr>
          <w:sz w:val="24"/>
          <w:szCs w:val="24"/>
        </w:rPr>
        <w:t xml:space="preserve"> migrænelignende hovedpine </w:t>
      </w:r>
    </w:p>
    <w:p w:rsidR="007A6E31" w:rsidRPr="000E65AA" w:rsidRDefault="007A6E31" w:rsidP="007A6E31">
      <w:pPr>
        <w:numPr>
          <w:ilvl w:val="0"/>
          <w:numId w:val="10"/>
        </w:numPr>
        <w:ind w:left="1418" w:hanging="567"/>
        <w:rPr>
          <w:sz w:val="24"/>
          <w:szCs w:val="24"/>
        </w:rPr>
      </w:pPr>
      <w:r w:rsidRPr="000E65AA">
        <w:rPr>
          <w:sz w:val="24"/>
          <w:szCs w:val="24"/>
        </w:rPr>
        <w:t xml:space="preserve">Graviditet </w:t>
      </w:r>
    </w:p>
    <w:p w:rsidR="00336F91" w:rsidRDefault="00336F91" w:rsidP="00336F91">
      <w:pPr>
        <w:tabs>
          <w:tab w:val="left" w:pos="851"/>
        </w:tabs>
        <w:ind w:left="851"/>
        <w:rPr>
          <w:sz w:val="24"/>
          <w:szCs w:val="24"/>
          <w:u w:val="single"/>
        </w:rPr>
      </w:pPr>
    </w:p>
    <w:p w:rsidR="00F642AB" w:rsidRPr="000E65AA" w:rsidRDefault="00F642AB" w:rsidP="00F642AB">
      <w:pPr>
        <w:tabs>
          <w:tab w:val="left" w:pos="851"/>
        </w:tabs>
        <w:ind w:left="851"/>
        <w:rPr>
          <w:sz w:val="24"/>
          <w:szCs w:val="24"/>
        </w:rPr>
      </w:pPr>
      <w:r w:rsidRPr="000E65AA">
        <w:rPr>
          <w:sz w:val="24"/>
          <w:szCs w:val="24"/>
        </w:rPr>
        <w:t xml:space="preserve">Gelisse er et </w:t>
      </w:r>
      <w:proofErr w:type="spellStart"/>
      <w:r w:rsidRPr="000E65AA">
        <w:rPr>
          <w:sz w:val="24"/>
          <w:szCs w:val="24"/>
        </w:rPr>
        <w:t>lokaltvirkende</w:t>
      </w:r>
      <w:proofErr w:type="spellEnd"/>
      <w:r w:rsidRPr="000E65AA">
        <w:rPr>
          <w:sz w:val="24"/>
          <w:szCs w:val="24"/>
        </w:rPr>
        <w:t xml:space="preserve">, lavdosis </w:t>
      </w:r>
      <w:proofErr w:type="spellStart"/>
      <w:r w:rsidRPr="000E65AA">
        <w:rPr>
          <w:sz w:val="24"/>
          <w:szCs w:val="24"/>
        </w:rPr>
        <w:t>estriol</w:t>
      </w:r>
      <w:proofErr w:type="spellEnd"/>
      <w:r w:rsidRPr="000E65AA">
        <w:rPr>
          <w:sz w:val="24"/>
          <w:szCs w:val="24"/>
        </w:rPr>
        <w:t>-præparat, og forekomsten af nedenstående lidelser er derfor mindre sandsynlig end med systemisk østrogenbehandling.</w:t>
      </w:r>
    </w:p>
    <w:p w:rsidR="00336F91" w:rsidRDefault="00336F91" w:rsidP="00336F91">
      <w:pPr>
        <w:tabs>
          <w:tab w:val="left" w:pos="851"/>
        </w:tabs>
        <w:ind w:left="851"/>
        <w:rPr>
          <w:sz w:val="24"/>
          <w:szCs w:val="24"/>
          <w:u w:val="single"/>
        </w:rPr>
      </w:pPr>
    </w:p>
    <w:p w:rsidR="00FB66FF" w:rsidRPr="000E65AA" w:rsidRDefault="00FB66FF" w:rsidP="00FB66FF">
      <w:pPr>
        <w:tabs>
          <w:tab w:val="left" w:pos="851"/>
        </w:tabs>
        <w:ind w:left="851"/>
        <w:rPr>
          <w:sz w:val="24"/>
          <w:szCs w:val="24"/>
          <w:u w:val="single"/>
        </w:rPr>
      </w:pPr>
      <w:proofErr w:type="spellStart"/>
      <w:r w:rsidRPr="000E65AA">
        <w:rPr>
          <w:sz w:val="24"/>
          <w:szCs w:val="24"/>
          <w:u w:val="single"/>
        </w:rPr>
        <w:t>Endometriehyperplasi</w:t>
      </w:r>
      <w:proofErr w:type="spellEnd"/>
      <w:r w:rsidRPr="000E65AA">
        <w:rPr>
          <w:sz w:val="24"/>
          <w:szCs w:val="24"/>
          <w:u w:val="single"/>
        </w:rPr>
        <w:t xml:space="preserve"> og -karcinom  </w:t>
      </w:r>
    </w:p>
    <w:p w:rsidR="00FB66FF" w:rsidRPr="00ED1990" w:rsidRDefault="00FB66FF" w:rsidP="00FB66FF">
      <w:pPr>
        <w:pStyle w:val="Listeafsnit"/>
        <w:numPr>
          <w:ilvl w:val="0"/>
          <w:numId w:val="11"/>
        </w:numPr>
        <w:ind w:left="1418" w:hanging="567"/>
        <w:rPr>
          <w:b/>
          <w:sz w:val="24"/>
          <w:szCs w:val="24"/>
        </w:rPr>
      </w:pPr>
      <w:r w:rsidRPr="000E65AA">
        <w:rPr>
          <w:sz w:val="24"/>
          <w:szCs w:val="24"/>
        </w:rPr>
        <w:t xml:space="preserve">Hos kvinder med en intakt uterus er risikoen for </w:t>
      </w:r>
      <w:proofErr w:type="spellStart"/>
      <w:r w:rsidRPr="000E65AA">
        <w:rPr>
          <w:sz w:val="24"/>
          <w:szCs w:val="24"/>
        </w:rPr>
        <w:t>endometriehyperplasi</w:t>
      </w:r>
      <w:proofErr w:type="spellEnd"/>
      <w:r w:rsidRPr="000E65AA">
        <w:rPr>
          <w:sz w:val="24"/>
          <w:szCs w:val="24"/>
        </w:rPr>
        <w:t xml:space="preserve"> og -karcinom øget, når </w:t>
      </w:r>
      <w:r w:rsidRPr="000E65AA">
        <w:rPr>
          <w:b/>
          <w:bCs/>
          <w:sz w:val="24"/>
          <w:szCs w:val="24"/>
        </w:rPr>
        <w:t>systemiske</w:t>
      </w:r>
      <w:r w:rsidRPr="000E65AA">
        <w:rPr>
          <w:sz w:val="24"/>
          <w:szCs w:val="24"/>
        </w:rPr>
        <w:t xml:space="preserve"> østrogener administreres alene i længere perioder. </w:t>
      </w:r>
      <w:r w:rsidRPr="00ED1990">
        <w:rPr>
          <w:sz w:val="24"/>
          <w:szCs w:val="24"/>
        </w:rPr>
        <w:t xml:space="preserve">For østrogen-præparater til vaginal brug, hvor den systemiske eksponering over for østrogenet forbliver inden for det normale </w:t>
      </w:r>
      <w:proofErr w:type="spellStart"/>
      <w:r w:rsidRPr="00ED1990">
        <w:rPr>
          <w:sz w:val="24"/>
          <w:szCs w:val="24"/>
        </w:rPr>
        <w:t>postmenopausale</w:t>
      </w:r>
      <w:proofErr w:type="spellEnd"/>
      <w:r w:rsidRPr="00ED1990">
        <w:rPr>
          <w:sz w:val="24"/>
          <w:szCs w:val="24"/>
        </w:rPr>
        <w:t xml:space="preserve"> interval, frarådes det at tilføje et progestagen.  </w:t>
      </w:r>
    </w:p>
    <w:p w:rsidR="00FB66FF" w:rsidRPr="000E65AA" w:rsidRDefault="00FB66FF" w:rsidP="00FB66FF">
      <w:pPr>
        <w:pStyle w:val="Listeafsnit"/>
        <w:numPr>
          <w:ilvl w:val="0"/>
          <w:numId w:val="11"/>
        </w:numPr>
        <w:ind w:left="1418" w:hanging="567"/>
        <w:rPr>
          <w:b/>
          <w:sz w:val="24"/>
          <w:szCs w:val="24"/>
        </w:rPr>
      </w:pPr>
      <w:proofErr w:type="spellStart"/>
      <w:r w:rsidRPr="000E65AA">
        <w:rPr>
          <w:sz w:val="24"/>
          <w:szCs w:val="24"/>
        </w:rPr>
        <w:t>Endometriets</w:t>
      </w:r>
      <w:proofErr w:type="spellEnd"/>
      <w:r w:rsidRPr="000E65AA">
        <w:rPr>
          <w:sz w:val="24"/>
          <w:szCs w:val="24"/>
        </w:rPr>
        <w:t xml:space="preserve"> sikkerhed ved langtidsbrug (mere end 1 år) eller gentagen brug af </w:t>
      </w:r>
      <w:proofErr w:type="gramStart"/>
      <w:r w:rsidRPr="000E65AA">
        <w:rPr>
          <w:sz w:val="24"/>
          <w:szCs w:val="24"/>
        </w:rPr>
        <w:t>lokal, vaginal østrogen</w:t>
      </w:r>
      <w:proofErr w:type="gramEnd"/>
      <w:r w:rsidRPr="000E65AA">
        <w:rPr>
          <w:sz w:val="24"/>
          <w:szCs w:val="24"/>
        </w:rPr>
        <w:t xml:space="preserve"> er ukendt. Derfor bør behandlingen, hvis den gentages, evalueres mindst én gang årligt.     </w:t>
      </w:r>
    </w:p>
    <w:p w:rsidR="00FB66FF" w:rsidRPr="000E65AA" w:rsidRDefault="00FB66FF" w:rsidP="00FB66FF">
      <w:pPr>
        <w:pStyle w:val="Listeafsnit"/>
        <w:numPr>
          <w:ilvl w:val="0"/>
          <w:numId w:val="11"/>
        </w:numPr>
        <w:ind w:left="1418" w:hanging="567"/>
        <w:rPr>
          <w:sz w:val="24"/>
          <w:szCs w:val="24"/>
        </w:rPr>
      </w:pPr>
      <w:r w:rsidRPr="000E65AA">
        <w:rPr>
          <w:sz w:val="24"/>
          <w:szCs w:val="24"/>
        </w:rPr>
        <w:t xml:space="preserve">Hvis der opstår blødning eller pletblødning på noget tidspunkt under behandlingen, skal årsagen hertil udredes, hvilket kan indebære </w:t>
      </w:r>
      <w:proofErr w:type="spellStart"/>
      <w:r w:rsidRPr="000E65AA">
        <w:rPr>
          <w:sz w:val="24"/>
          <w:szCs w:val="24"/>
        </w:rPr>
        <w:t>endometriebiopsi</w:t>
      </w:r>
      <w:proofErr w:type="spellEnd"/>
      <w:r w:rsidRPr="000E65AA">
        <w:rPr>
          <w:sz w:val="24"/>
          <w:szCs w:val="24"/>
        </w:rPr>
        <w:t xml:space="preserve"> til udelukkelse af </w:t>
      </w:r>
      <w:proofErr w:type="spellStart"/>
      <w:r w:rsidRPr="000E65AA">
        <w:rPr>
          <w:sz w:val="24"/>
          <w:szCs w:val="24"/>
        </w:rPr>
        <w:t>endometriel</w:t>
      </w:r>
      <w:proofErr w:type="spellEnd"/>
      <w:r w:rsidRPr="000E65AA">
        <w:rPr>
          <w:sz w:val="24"/>
          <w:szCs w:val="24"/>
        </w:rPr>
        <w:t xml:space="preserve"> </w:t>
      </w:r>
      <w:proofErr w:type="spellStart"/>
      <w:r w:rsidRPr="000E65AA">
        <w:rPr>
          <w:sz w:val="24"/>
          <w:szCs w:val="24"/>
        </w:rPr>
        <w:t>malignitet</w:t>
      </w:r>
      <w:proofErr w:type="spellEnd"/>
      <w:r w:rsidRPr="000E65AA">
        <w:rPr>
          <w:sz w:val="24"/>
          <w:szCs w:val="24"/>
        </w:rPr>
        <w:t>.</w:t>
      </w:r>
    </w:p>
    <w:p w:rsidR="00FB66FF" w:rsidRPr="000E65AA" w:rsidRDefault="00FB66FF" w:rsidP="00FB66FF">
      <w:pPr>
        <w:pStyle w:val="Listeafsnit"/>
        <w:numPr>
          <w:ilvl w:val="0"/>
          <w:numId w:val="11"/>
        </w:numPr>
        <w:ind w:left="1418" w:hanging="567"/>
        <w:rPr>
          <w:sz w:val="24"/>
          <w:szCs w:val="24"/>
        </w:rPr>
      </w:pPr>
      <w:r w:rsidRPr="000E65AA">
        <w:rPr>
          <w:sz w:val="24"/>
          <w:szCs w:val="24"/>
        </w:rPr>
        <w:t xml:space="preserve">Stimulation med østrogen alene kan medføre præmalign eller malign omdannelse i tilbageværende </w:t>
      </w:r>
      <w:proofErr w:type="spellStart"/>
      <w:r w:rsidRPr="000E65AA">
        <w:rPr>
          <w:sz w:val="24"/>
          <w:szCs w:val="24"/>
        </w:rPr>
        <w:t>foci</w:t>
      </w:r>
      <w:proofErr w:type="spellEnd"/>
      <w:r w:rsidRPr="000E65AA">
        <w:rPr>
          <w:sz w:val="24"/>
          <w:szCs w:val="24"/>
        </w:rPr>
        <w:t xml:space="preserve"> med </w:t>
      </w:r>
      <w:proofErr w:type="spellStart"/>
      <w:r w:rsidRPr="000E65AA">
        <w:rPr>
          <w:sz w:val="24"/>
          <w:szCs w:val="24"/>
        </w:rPr>
        <w:t>endometriose</w:t>
      </w:r>
      <w:proofErr w:type="spellEnd"/>
      <w:r w:rsidRPr="000E65AA">
        <w:rPr>
          <w:sz w:val="24"/>
          <w:szCs w:val="24"/>
        </w:rPr>
        <w:t xml:space="preserve">. Forsigtighed tilrådes derfor ved brug hos patienter, der har fået foretaget </w:t>
      </w:r>
      <w:proofErr w:type="spellStart"/>
      <w:r w:rsidRPr="000E65AA">
        <w:rPr>
          <w:sz w:val="24"/>
          <w:szCs w:val="24"/>
        </w:rPr>
        <w:t>hysterektomi</w:t>
      </w:r>
      <w:proofErr w:type="spellEnd"/>
      <w:r w:rsidRPr="000E65AA">
        <w:rPr>
          <w:sz w:val="24"/>
          <w:szCs w:val="24"/>
        </w:rPr>
        <w:t xml:space="preserve"> på grund af </w:t>
      </w:r>
      <w:proofErr w:type="spellStart"/>
      <w:r w:rsidRPr="000E65AA">
        <w:rPr>
          <w:sz w:val="24"/>
          <w:szCs w:val="24"/>
        </w:rPr>
        <w:t>endometriose</w:t>
      </w:r>
      <w:proofErr w:type="spellEnd"/>
      <w:r w:rsidRPr="000E65AA">
        <w:rPr>
          <w:sz w:val="24"/>
          <w:szCs w:val="24"/>
        </w:rPr>
        <w:t xml:space="preserve">, navnlig hvis de vides at have tilbageværende </w:t>
      </w:r>
      <w:proofErr w:type="spellStart"/>
      <w:r w:rsidRPr="000E65AA">
        <w:rPr>
          <w:sz w:val="24"/>
          <w:szCs w:val="24"/>
        </w:rPr>
        <w:t>endometriose</w:t>
      </w:r>
      <w:proofErr w:type="spellEnd"/>
      <w:r w:rsidRPr="000E65AA">
        <w:rPr>
          <w:sz w:val="24"/>
          <w:szCs w:val="24"/>
        </w:rPr>
        <w:t>.</w:t>
      </w:r>
    </w:p>
    <w:p w:rsidR="00FB66FF" w:rsidRPr="000E65AA" w:rsidRDefault="00FB66FF" w:rsidP="00FB66FF">
      <w:pPr>
        <w:tabs>
          <w:tab w:val="left" w:pos="851"/>
        </w:tabs>
        <w:ind w:left="851"/>
        <w:rPr>
          <w:sz w:val="24"/>
          <w:szCs w:val="24"/>
        </w:rPr>
      </w:pPr>
    </w:p>
    <w:p w:rsidR="00FB66FF" w:rsidRPr="00ED1990" w:rsidRDefault="00FB66FF" w:rsidP="00FB66FF">
      <w:pPr>
        <w:tabs>
          <w:tab w:val="left" w:pos="851"/>
        </w:tabs>
        <w:ind w:left="851"/>
        <w:rPr>
          <w:i/>
          <w:iCs/>
          <w:sz w:val="24"/>
          <w:szCs w:val="24"/>
        </w:rPr>
      </w:pPr>
      <w:r w:rsidRPr="00ED1990">
        <w:rPr>
          <w:i/>
          <w:iCs/>
          <w:sz w:val="24"/>
          <w:szCs w:val="24"/>
        </w:rPr>
        <w:t>Følgende risici har været associeret med systemisk HRT og gælder i mindre omfang østrogen</w:t>
      </w:r>
      <w:r w:rsidRPr="000E65AA">
        <w:rPr>
          <w:i/>
          <w:iCs/>
          <w:sz w:val="24"/>
          <w:szCs w:val="24"/>
        </w:rPr>
        <w:t>præparater</w:t>
      </w:r>
      <w:r w:rsidRPr="00ED1990">
        <w:rPr>
          <w:i/>
          <w:iCs/>
          <w:sz w:val="24"/>
          <w:szCs w:val="24"/>
        </w:rPr>
        <w:t xml:space="preserve"> til vaginal </w:t>
      </w:r>
      <w:r w:rsidRPr="000E65AA">
        <w:rPr>
          <w:i/>
          <w:iCs/>
          <w:sz w:val="24"/>
          <w:szCs w:val="24"/>
        </w:rPr>
        <w:t>brug,</w:t>
      </w:r>
      <w:r w:rsidRPr="00ED1990">
        <w:rPr>
          <w:i/>
          <w:iCs/>
          <w:sz w:val="24"/>
          <w:szCs w:val="24"/>
        </w:rPr>
        <w:t xml:space="preserve"> hvor den systemiske eksponering af østrogen forbliver inden for det normale </w:t>
      </w:r>
      <w:proofErr w:type="spellStart"/>
      <w:r w:rsidRPr="00ED1990">
        <w:rPr>
          <w:i/>
          <w:iCs/>
          <w:sz w:val="24"/>
          <w:szCs w:val="24"/>
        </w:rPr>
        <w:t>postmenopausale</w:t>
      </w:r>
      <w:proofErr w:type="spellEnd"/>
      <w:r w:rsidRPr="00ED1990">
        <w:rPr>
          <w:i/>
          <w:iCs/>
          <w:sz w:val="24"/>
          <w:szCs w:val="24"/>
        </w:rPr>
        <w:t xml:space="preserve"> område. </w:t>
      </w:r>
      <w:r w:rsidRPr="000E65AA">
        <w:rPr>
          <w:i/>
          <w:iCs/>
          <w:sz w:val="24"/>
          <w:szCs w:val="24"/>
        </w:rPr>
        <w:t>Disse risici</w:t>
      </w:r>
      <w:r w:rsidRPr="00ED1990">
        <w:rPr>
          <w:i/>
          <w:iCs/>
          <w:sz w:val="24"/>
          <w:szCs w:val="24"/>
        </w:rPr>
        <w:t xml:space="preserve"> bør </w:t>
      </w:r>
      <w:r w:rsidRPr="000E65AA">
        <w:rPr>
          <w:i/>
          <w:iCs/>
          <w:sz w:val="24"/>
          <w:szCs w:val="24"/>
        </w:rPr>
        <w:t>dog</w:t>
      </w:r>
      <w:r w:rsidRPr="00ED1990">
        <w:rPr>
          <w:i/>
          <w:iCs/>
          <w:sz w:val="24"/>
          <w:szCs w:val="24"/>
        </w:rPr>
        <w:t xml:space="preserve"> overvejes i tilfælde af langvarig eller gentagen brug af dette </w:t>
      </w:r>
      <w:r w:rsidRPr="000E65AA">
        <w:rPr>
          <w:i/>
          <w:iCs/>
          <w:sz w:val="24"/>
          <w:szCs w:val="24"/>
        </w:rPr>
        <w:t>lægemiddel</w:t>
      </w:r>
      <w:r w:rsidRPr="00ED1990">
        <w:rPr>
          <w:i/>
          <w:iCs/>
          <w:sz w:val="24"/>
          <w:szCs w:val="24"/>
        </w:rPr>
        <w:t>.</w:t>
      </w:r>
    </w:p>
    <w:p w:rsidR="00FB66FF" w:rsidRPr="000E65AA" w:rsidRDefault="00FB66FF" w:rsidP="00FB66FF">
      <w:pPr>
        <w:tabs>
          <w:tab w:val="left" w:pos="851"/>
        </w:tabs>
        <w:ind w:left="851"/>
        <w:rPr>
          <w:sz w:val="24"/>
          <w:szCs w:val="24"/>
        </w:rPr>
      </w:pPr>
    </w:p>
    <w:p w:rsidR="00FB66FF" w:rsidRPr="000E65AA" w:rsidRDefault="00FB66FF" w:rsidP="00FB66FF">
      <w:pPr>
        <w:tabs>
          <w:tab w:val="left" w:pos="851"/>
        </w:tabs>
        <w:ind w:left="851"/>
        <w:rPr>
          <w:sz w:val="24"/>
          <w:szCs w:val="24"/>
          <w:u w:val="single"/>
        </w:rPr>
      </w:pPr>
      <w:r w:rsidRPr="000E65AA">
        <w:rPr>
          <w:sz w:val="24"/>
          <w:szCs w:val="24"/>
          <w:u w:val="single"/>
        </w:rPr>
        <w:t>Brystcancer</w:t>
      </w:r>
    </w:p>
    <w:p w:rsidR="00FB66FF" w:rsidRPr="000E65AA" w:rsidRDefault="00FB66FF" w:rsidP="00FB66FF">
      <w:pPr>
        <w:tabs>
          <w:tab w:val="left" w:pos="851"/>
        </w:tabs>
        <w:ind w:left="851"/>
        <w:rPr>
          <w:sz w:val="24"/>
          <w:szCs w:val="24"/>
        </w:rPr>
      </w:pPr>
      <w:r w:rsidRPr="000E65AA">
        <w:rPr>
          <w:sz w:val="24"/>
          <w:szCs w:val="24"/>
        </w:rPr>
        <w:t>Epidemiologisk evidens fra en stor metaanalyse tyder på, at der ikke er nogen øget risiko for brystcancer hos kvinder, der ikke tidligere har haft brystcancer, og som tager en lav dosis vaginalt administrerede østrogener. Det er ukendt, om en lav dosis vaginale østrogener stimulerer recidiv af brystcancer.</w:t>
      </w:r>
    </w:p>
    <w:p w:rsidR="00E606B4" w:rsidRDefault="00E606B4" w:rsidP="00E606B4">
      <w:pPr>
        <w:tabs>
          <w:tab w:val="left" w:pos="851"/>
        </w:tabs>
        <w:ind w:left="851"/>
        <w:rPr>
          <w:sz w:val="24"/>
          <w:szCs w:val="24"/>
        </w:rPr>
      </w:pPr>
    </w:p>
    <w:p w:rsidR="00FB66FF" w:rsidRPr="000E65AA" w:rsidRDefault="00FB66FF" w:rsidP="00FB66FF">
      <w:pPr>
        <w:tabs>
          <w:tab w:val="left" w:pos="851"/>
        </w:tabs>
        <w:ind w:left="851"/>
        <w:rPr>
          <w:sz w:val="24"/>
          <w:szCs w:val="24"/>
          <w:u w:val="single"/>
        </w:rPr>
      </w:pPr>
      <w:r w:rsidRPr="000E65AA">
        <w:rPr>
          <w:sz w:val="24"/>
          <w:szCs w:val="24"/>
          <w:u w:val="single"/>
        </w:rPr>
        <w:t xml:space="preserve">Ovariecancer </w:t>
      </w:r>
    </w:p>
    <w:p w:rsidR="00FB66FF" w:rsidRPr="000E65AA" w:rsidRDefault="00FB66FF" w:rsidP="00FB66FF">
      <w:pPr>
        <w:tabs>
          <w:tab w:val="left" w:pos="851"/>
        </w:tabs>
        <w:ind w:left="851"/>
        <w:rPr>
          <w:sz w:val="24"/>
          <w:szCs w:val="24"/>
        </w:rPr>
      </w:pPr>
      <w:r w:rsidRPr="00ED1990">
        <w:rPr>
          <w:sz w:val="24"/>
          <w:szCs w:val="24"/>
        </w:rPr>
        <w:t xml:space="preserve">Ovariecancer forekommer meget sjældnere end brystcancer. Epidemiologisk evidens fra en omfattende metaanalyse tyder på en let øget risiko hos kvinder, der tager </w:t>
      </w:r>
      <w:r w:rsidRPr="00ED1990">
        <w:rPr>
          <w:bCs/>
          <w:sz w:val="24"/>
          <w:szCs w:val="24"/>
        </w:rPr>
        <w:t>systemisk</w:t>
      </w:r>
      <w:r w:rsidRPr="00ED1990">
        <w:rPr>
          <w:sz w:val="24"/>
          <w:szCs w:val="24"/>
        </w:rPr>
        <w:t xml:space="preserve"> HRT med østrogen alene. Den let øgede risiko ses inden for 5 års behandling og aftager gradvist efter </w:t>
      </w:r>
      <w:proofErr w:type="spellStart"/>
      <w:r w:rsidRPr="00ED1990">
        <w:rPr>
          <w:sz w:val="24"/>
          <w:szCs w:val="24"/>
        </w:rPr>
        <w:t>seponering</w:t>
      </w:r>
      <w:proofErr w:type="spellEnd"/>
      <w:r w:rsidRPr="000E65AA">
        <w:rPr>
          <w:sz w:val="24"/>
          <w:szCs w:val="24"/>
        </w:rPr>
        <w:t>.</w:t>
      </w:r>
    </w:p>
    <w:p w:rsidR="00336F91" w:rsidRDefault="00336F91" w:rsidP="00336F91">
      <w:pPr>
        <w:tabs>
          <w:tab w:val="left" w:pos="851"/>
        </w:tabs>
        <w:ind w:left="851"/>
        <w:rPr>
          <w:sz w:val="24"/>
          <w:szCs w:val="24"/>
        </w:rPr>
      </w:pPr>
    </w:p>
    <w:p w:rsidR="00FB66FF" w:rsidRPr="000E65AA" w:rsidRDefault="00FB66FF" w:rsidP="00FB66FF">
      <w:pPr>
        <w:tabs>
          <w:tab w:val="left" w:pos="851"/>
        </w:tabs>
        <w:ind w:left="851"/>
        <w:rPr>
          <w:sz w:val="24"/>
          <w:szCs w:val="24"/>
          <w:u w:val="single"/>
        </w:rPr>
      </w:pPr>
      <w:r w:rsidRPr="000E65AA">
        <w:rPr>
          <w:sz w:val="24"/>
          <w:szCs w:val="24"/>
          <w:u w:val="single"/>
        </w:rPr>
        <w:t xml:space="preserve">Venøs </w:t>
      </w:r>
      <w:proofErr w:type="spellStart"/>
      <w:r w:rsidRPr="000E65AA">
        <w:rPr>
          <w:sz w:val="24"/>
          <w:szCs w:val="24"/>
          <w:u w:val="single"/>
        </w:rPr>
        <w:t>tromboemboli</w:t>
      </w:r>
      <w:proofErr w:type="spellEnd"/>
    </w:p>
    <w:p w:rsidR="00FB66FF" w:rsidRPr="00ED1990" w:rsidRDefault="00FB66FF" w:rsidP="00FB66FF">
      <w:pPr>
        <w:pStyle w:val="Listeafsnit"/>
        <w:numPr>
          <w:ilvl w:val="0"/>
          <w:numId w:val="12"/>
        </w:numPr>
        <w:ind w:left="1418" w:hanging="567"/>
        <w:rPr>
          <w:sz w:val="24"/>
          <w:szCs w:val="24"/>
        </w:rPr>
      </w:pPr>
      <w:r w:rsidRPr="00ED1990">
        <w:rPr>
          <w:bCs/>
          <w:sz w:val="24"/>
          <w:szCs w:val="24"/>
        </w:rPr>
        <w:t>Systemisk</w:t>
      </w:r>
      <w:r w:rsidRPr="00ED1990">
        <w:rPr>
          <w:sz w:val="24"/>
          <w:szCs w:val="24"/>
        </w:rPr>
        <w:t xml:space="preserve"> HRT er forbundet med en 1,3-3 gange højere risiko for at udvikle venøs </w:t>
      </w:r>
      <w:proofErr w:type="spellStart"/>
      <w:r w:rsidRPr="00ED1990">
        <w:rPr>
          <w:sz w:val="24"/>
          <w:szCs w:val="24"/>
        </w:rPr>
        <w:t>tromboemboli</w:t>
      </w:r>
      <w:proofErr w:type="spellEnd"/>
      <w:r w:rsidRPr="00ED1990">
        <w:rPr>
          <w:sz w:val="24"/>
          <w:szCs w:val="24"/>
        </w:rPr>
        <w:t xml:space="preserve"> (VTE), fx dyb venøs trombose eller </w:t>
      </w:r>
      <w:proofErr w:type="spellStart"/>
      <w:r w:rsidRPr="00ED1990">
        <w:rPr>
          <w:sz w:val="24"/>
          <w:szCs w:val="24"/>
        </w:rPr>
        <w:t>lungeemboli</w:t>
      </w:r>
      <w:proofErr w:type="spellEnd"/>
      <w:r w:rsidRPr="00ED1990">
        <w:rPr>
          <w:sz w:val="24"/>
          <w:szCs w:val="24"/>
        </w:rPr>
        <w:t>. VTE indtræffer oftere i de første år af HRT end senere</w:t>
      </w:r>
      <w:r w:rsidRPr="000E65AA">
        <w:rPr>
          <w:sz w:val="24"/>
          <w:szCs w:val="24"/>
        </w:rPr>
        <w:t xml:space="preserve"> hen</w:t>
      </w:r>
      <w:r w:rsidRPr="00ED1990">
        <w:rPr>
          <w:sz w:val="24"/>
          <w:szCs w:val="24"/>
        </w:rPr>
        <w:t xml:space="preserve"> (se pkt. 4.8). </w:t>
      </w:r>
    </w:p>
    <w:p w:rsidR="00FB66FF" w:rsidRDefault="00FB66FF" w:rsidP="00FB66FF">
      <w:pPr>
        <w:pStyle w:val="Listeafsnit"/>
        <w:numPr>
          <w:ilvl w:val="0"/>
          <w:numId w:val="12"/>
        </w:numPr>
        <w:ind w:left="1418" w:hanging="567"/>
        <w:rPr>
          <w:sz w:val="24"/>
          <w:szCs w:val="24"/>
        </w:rPr>
      </w:pPr>
      <w:r w:rsidRPr="00ED1990">
        <w:rPr>
          <w:sz w:val="24"/>
          <w:szCs w:val="24"/>
        </w:rPr>
        <w:t xml:space="preserve">Patienter med kendt </w:t>
      </w:r>
      <w:proofErr w:type="spellStart"/>
      <w:r w:rsidRPr="00ED1990">
        <w:rPr>
          <w:sz w:val="24"/>
          <w:szCs w:val="24"/>
        </w:rPr>
        <w:t>trombofili</w:t>
      </w:r>
      <w:proofErr w:type="spellEnd"/>
      <w:r w:rsidRPr="00ED1990">
        <w:rPr>
          <w:sz w:val="24"/>
          <w:szCs w:val="24"/>
        </w:rPr>
        <w:t xml:space="preserve"> har en øget risiko for VTE. HRT øger muligvis denne risiko. Derfor er HRT kontraindiceret hos disse patienter (se pkt. 4.3).</w:t>
      </w:r>
    </w:p>
    <w:p w:rsidR="00336F91" w:rsidRPr="00FB66FF" w:rsidRDefault="00FB66FF" w:rsidP="00FB66FF">
      <w:pPr>
        <w:pStyle w:val="Listeafsnit"/>
        <w:numPr>
          <w:ilvl w:val="0"/>
          <w:numId w:val="12"/>
        </w:numPr>
        <w:ind w:left="1418" w:hanging="567"/>
        <w:rPr>
          <w:sz w:val="24"/>
          <w:szCs w:val="24"/>
        </w:rPr>
      </w:pPr>
      <w:r w:rsidRPr="00FB66FF">
        <w:rPr>
          <w:sz w:val="24"/>
          <w:szCs w:val="24"/>
        </w:rPr>
        <w:lastRenderedPageBreak/>
        <w:t xml:space="preserve">Anerkendte risikofaktorer for venøs </w:t>
      </w:r>
      <w:proofErr w:type="spellStart"/>
      <w:r w:rsidRPr="00FB66FF">
        <w:rPr>
          <w:sz w:val="24"/>
          <w:szCs w:val="24"/>
        </w:rPr>
        <w:t>tromboemboli</w:t>
      </w:r>
      <w:proofErr w:type="spellEnd"/>
      <w:r w:rsidRPr="00FB66FF">
        <w:rPr>
          <w:sz w:val="24"/>
          <w:szCs w:val="24"/>
        </w:rPr>
        <w:t xml:space="preserve"> omfatter brug af østrogener, højere alder, større operation, langvarig immobilisering, fedme (BMI &gt;30 kg/m</w:t>
      </w:r>
      <w:r w:rsidRPr="00FB66FF">
        <w:rPr>
          <w:sz w:val="24"/>
          <w:szCs w:val="24"/>
          <w:vertAlign w:val="superscript"/>
        </w:rPr>
        <w:t>2</w:t>
      </w:r>
      <w:r w:rsidRPr="00FB66FF">
        <w:rPr>
          <w:sz w:val="24"/>
          <w:szCs w:val="24"/>
        </w:rPr>
        <w:t>), graviditet/</w:t>
      </w:r>
      <w:proofErr w:type="spellStart"/>
      <w:r w:rsidRPr="00FB66FF">
        <w:rPr>
          <w:sz w:val="24"/>
          <w:szCs w:val="24"/>
        </w:rPr>
        <w:t>postpartumperioden</w:t>
      </w:r>
      <w:proofErr w:type="spellEnd"/>
      <w:r w:rsidRPr="00FB66FF">
        <w:rPr>
          <w:sz w:val="24"/>
          <w:szCs w:val="24"/>
        </w:rPr>
        <w:t xml:space="preserve">, systemisk lupus </w:t>
      </w:r>
      <w:proofErr w:type="spellStart"/>
      <w:r w:rsidRPr="00FB66FF">
        <w:rPr>
          <w:sz w:val="24"/>
          <w:szCs w:val="24"/>
        </w:rPr>
        <w:t>erythematosus</w:t>
      </w:r>
      <w:proofErr w:type="spellEnd"/>
      <w:r w:rsidRPr="00FB66FF">
        <w:rPr>
          <w:sz w:val="24"/>
          <w:szCs w:val="24"/>
        </w:rPr>
        <w:t xml:space="preserve"> (SLE) og cancer. Der er ikke konsensus om den mulige påvirkning af </w:t>
      </w:r>
      <w:proofErr w:type="spellStart"/>
      <w:r w:rsidRPr="00FB66FF">
        <w:rPr>
          <w:sz w:val="24"/>
          <w:szCs w:val="24"/>
        </w:rPr>
        <w:t>varicer</w:t>
      </w:r>
      <w:proofErr w:type="spellEnd"/>
      <w:r w:rsidRPr="00FB66FF">
        <w:rPr>
          <w:sz w:val="24"/>
          <w:szCs w:val="24"/>
        </w:rPr>
        <w:t xml:space="preserve"> på venøs </w:t>
      </w:r>
      <w:proofErr w:type="spellStart"/>
      <w:r w:rsidRPr="00FB66FF">
        <w:rPr>
          <w:sz w:val="24"/>
          <w:szCs w:val="24"/>
        </w:rPr>
        <w:t>tromboemboli</w:t>
      </w:r>
      <w:proofErr w:type="spellEnd"/>
      <w:r w:rsidRPr="00FB66FF">
        <w:rPr>
          <w:sz w:val="24"/>
          <w:szCs w:val="24"/>
        </w:rPr>
        <w:t>.</w:t>
      </w:r>
      <w:r w:rsidRPr="00FB66FF">
        <w:rPr>
          <w:sz w:val="24"/>
          <w:szCs w:val="24"/>
        </w:rPr>
        <w:br/>
      </w:r>
    </w:p>
    <w:p w:rsidR="00FB66FF" w:rsidRPr="00ED1990" w:rsidRDefault="00FB66FF" w:rsidP="00FB66FF">
      <w:pPr>
        <w:tabs>
          <w:tab w:val="left" w:pos="851"/>
        </w:tabs>
        <w:ind w:left="851"/>
        <w:rPr>
          <w:sz w:val="24"/>
          <w:szCs w:val="24"/>
          <w:u w:val="single"/>
        </w:rPr>
      </w:pPr>
      <w:bookmarkStart w:id="0" w:name="_Hlk74648790"/>
      <w:r w:rsidRPr="00ED1990">
        <w:rPr>
          <w:sz w:val="24"/>
          <w:szCs w:val="24"/>
          <w:u w:val="single"/>
        </w:rPr>
        <w:t>Lidelser i koronararterierne (CAD)</w:t>
      </w:r>
    </w:p>
    <w:bookmarkEnd w:id="0"/>
    <w:p w:rsidR="00FB66FF" w:rsidRPr="000E65AA" w:rsidRDefault="00FB66FF" w:rsidP="00FB66FF">
      <w:pPr>
        <w:tabs>
          <w:tab w:val="left" w:pos="851"/>
        </w:tabs>
        <w:ind w:left="851"/>
        <w:rPr>
          <w:sz w:val="24"/>
          <w:szCs w:val="24"/>
        </w:rPr>
      </w:pPr>
      <w:r w:rsidRPr="000E65AA">
        <w:rPr>
          <w:sz w:val="24"/>
          <w:szCs w:val="24"/>
        </w:rPr>
        <w:t>Hormonsubstitutionsbehandling med præparater med systemisk virkning er forbundet med en øget risiko for</w:t>
      </w:r>
      <w:r w:rsidRPr="00ED1990">
        <w:rPr>
          <w:sz w:val="24"/>
          <w:szCs w:val="24"/>
        </w:rPr>
        <w:t xml:space="preserve"> lidelser i koronararterierne</w:t>
      </w:r>
      <w:r w:rsidRPr="000E65AA">
        <w:rPr>
          <w:sz w:val="24"/>
          <w:szCs w:val="24"/>
        </w:rPr>
        <w:t xml:space="preserve">. </w:t>
      </w:r>
    </w:p>
    <w:p w:rsidR="00FB66FF" w:rsidRPr="000E65AA" w:rsidRDefault="00FB66FF" w:rsidP="00FB66FF">
      <w:pPr>
        <w:tabs>
          <w:tab w:val="left" w:pos="851"/>
        </w:tabs>
        <w:ind w:left="851"/>
        <w:rPr>
          <w:sz w:val="24"/>
          <w:szCs w:val="24"/>
        </w:rPr>
      </w:pPr>
    </w:p>
    <w:p w:rsidR="00FB66FF" w:rsidRPr="000E65AA" w:rsidRDefault="00FB66FF" w:rsidP="00FB66FF">
      <w:pPr>
        <w:tabs>
          <w:tab w:val="left" w:pos="851"/>
        </w:tabs>
        <w:ind w:left="851"/>
        <w:rPr>
          <w:bCs/>
          <w:sz w:val="24"/>
          <w:szCs w:val="24"/>
          <w:u w:val="single"/>
        </w:rPr>
      </w:pPr>
      <w:r w:rsidRPr="00ED1990">
        <w:rPr>
          <w:bCs/>
          <w:sz w:val="24"/>
          <w:szCs w:val="24"/>
          <w:u w:val="single"/>
        </w:rPr>
        <w:t>Iskæmisk slagtilfælde</w:t>
      </w:r>
    </w:p>
    <w:p w:rsidR="00FB66FF" w:rsidRPr="000E65AA" w:rsidRDefault="00FB66FF" w:rsidP="00FB66FF">
      <w:pPr>
        <w:tabs>
          <w:tab w:val="left" w:pos="851"/>
        </w:tabs>
        <w:ind w:left="851"/>
        <w:rPr>
          <w:sz w:val="24"/>
          <w:szCs w:val="24"/>
        </w:rPr>
      </w:pPr>
      <w:r w:rsidRPr="000E65AA">
        <w:rPr>
          <w:sz w:val="24"/>
          <w:szCs w:val="24"/>
        </w:rPr>
        <w:t xml:space="preserve">Hormonsubstitutionsbehandling med præparater med systemisk virkning er forbundet med en øget risiko for iskæmisk slagtilfælde. </w:t>
      </w:r>
      <w:r w:rsidRPr="00ED1990">
        <w:rPr>
          <w:sz w:val="24"/>
          <w:szCs w:val="24"/>
        </w:rPr>
        <w:t>Eftersom risikoen for slagtilfælde ved baseline i høj grad afhænger af alder, stiger den samlede risiko for slagtilfælde med alderen hos kvinder, som bruger HRT (se pkt. 4.8)</w:t>
      </w:r>
      <w:r w:rsidRPr="000E65AA">
        <w:rPr>
          <w:sz w:val="24"/>
          <w:szCs w:val="24"/>
        </w:rPr>
        <w:t xml:space="preserve">. </w:t>
      </w:r>
    </w:p>
    <w:p w:rsidR="00FB66FF" w:rsidRPr="000E65AA" w:rsidRDefault="00FB66FF" w:rsidP="00FB66FF">
      <w:pPr>
        <w:tabs>
          <w:tab w:val="left" w:pos="851"/>
        </w:tabs>
        <w:ind w:left="851"/>
        <w:rPr>
          <w:sz w:val="24"/>
          <w:szCs w:val="24"/>
        </w:rPr>
      </w:pPr>
    </w:p>
    <w:p w:rsidR="00FB66FF" w:rsidRPr="000E65AA" w:rsidRDefault="00FB66FF" w:rsidP="00FB66FF">
      <w:pPr>
        <w:tabs>
          <w:tab w:val="left" w:pos="851"/>
        </w:tabs>
        <w:ind w:left="851"/>
        <w:rPr>
          <w:sz w:val="24"/>
          <w:szCs w:val="24"/>
          <w:u w:val="single"/>
        </w:rPr>
      </w:pPr>
      <w:r w:rsidRPr="000E65AA">
        <w:rPr>
          <w:sz w:val="24"/>
          <w:szCs w:val="24"/>
          <w:u w:val="single"/>
        </w:rPr>
        <w:t xml:space="preserve">Andre sygdomstilstande </w:t>
      </w:r>
    </w:p>
    <w:p w:rsidR="00FB66FF" w:rsidRPr="000E65AA" w:rsidRDefault="00FB66FF" w:rsidP="00FB66FF">
      <w:pPr>
        <w:tabs>
          <w:tab w:val="left" w:pos="851"/>
        </w:tabs>
        <w:ind w:left="851"/>
        <w:rPr>
          <w:sz w:val="24"/>
          <w:szCs w:val="24"/>
        </w:rPr>
      </w:pPr>
      <w:r w:rsidRPr="000E65AA">
        <w:rPr>
          <w:sz w:val="24"/>
          <w:szCs w:val="24"/>
        </w:rPr>
        <w:t xml:space="preserve">Da østrogener med systemiske virkninger kan forårsage væskeretention eller stigning i plasmatriglycerider, bør patienter med henholdsvis hjertesygdomme eller nedsat nyrefunktion eller præeksisterende </w:t>
      </w:r>
      <w:proofErr w:type="spellStart"/>
      <w:r w:rsidRPr="000E65AA">
        <w:rPr>
          <w:sz w:val="24"/>
          <w:szCs w:val="24"/>
        </w:rPr>
        <w:t>hypertriglyceridæmi</w:t>
      </w:r>
      <w:proofErr w:type="spellEnd"/>
      <w:r w:rsidRPr="000E65AA">
        <w:rPr>
          <w:sz w:val="24"/>
          <w:szCs w:val="24"/>
        </w:rPr>
        <w:t xml:space="preserve"> observeres nøje i de første uger af behandlingen. Da Gelisse </w:t>
      </w:r>
      <w:r w:rsidRPr="000E65AA">
        <w:rPr>
          <w:color w:val="000000"/>
          <w:sz w:val="24"/>
          <w:szCs w:val="24"/>
        </w:rPr>
        <w:t>50 mikrokram/g vaginalgel</w:t>
      </w:r>
      <w:r w:rsidRPr="000E65AA">
        <w:rPr>
          <w:sz w:val="24"/>
          <w:szCs w:val="24"/>
        </w:rPr>
        <w:t xml:space="preserve"> indeholder en lav dosis af </w:t>
      </w:r>
      <w:proofErr w:type="spellStart"/>
      <w:r w:rsidRPr="000E65AA">
        <w:rPr>
          <w:sz w:val="24"/>
          <w:szCs w:val="24"/>
        </w:rPr>
        <w:t>estriol</w:t>
      </w:r>
      <w:proofErr w:type="spellEnd"/>
      <w:r w:rsidRPr="000E65AA">
        <w:rPr>
          <w:sz w:val="24"/>
          <w:szCs w:val="24"/>
        </w:rPr>
        <w:t xml:space="preserve"> til lokalbehandling, forventes der ikke systemiske virkninger. </w:t>
      </w:r>
    </w:p>
    <w:p w:rsidR="00FB66FF" w:rsidRPr="000E65AA" w:rsidRDefault="00FB66FF" w:rsidP="00FB66FF">
      <w:pPr>
        <w:tabs>
          <w:tab w:val="left" w:pos="851"/>
        </w:tabs>
        <w:ind w:left="851"/>
        <w:rPr>
          <w:sz w:val="24"/>
          <w:szCs w:val="24"/>
        </w:rPr>
      </w:pPr>
    </w:p>
    <w:p w:rsidR="00FB66FF" w:rsidRPr="000E65AA" w:rsidRDefault="00FB66FF" w:rsidP="00FB66FF">
      <w:pPr>
        <w:tabs>
          <w:tab w:val="left" w:pos="851"/>
        </w:tabs>
        <w:ind w:left="851"/>
        <w:rPr>
          <w:sz w:val="24"/>
          <w:szCs w:val="24"/>
        </w:rPr>
      </w:pPr>
      <w:r w:rsidRPr="000E65AA">
        <w:rPr>
          <w:sz w:val="24"/>
          <w:szCs w:val="24"/>
        </w:rPr>
        <w:t xml:space="preserve">Patienter, der lider af svær nyreinsufficiens, bør observeres nøje, da det kan forventes, at niveauet af cirkulerende </w:t>
      </w:r>
      <w:proofErr w:type="spellStart"/>
      <w:r w:rsidRPr="000E65AA">
        <w:rPr>
          <w:sz w:val="24"/>
          <w:szCs w:val="24"/>
        </w:rPr>
        <w:t>estriol</w:t>
      </w:r>
      <w:proofErr w:type="spellEnd"/>
      <w:r w:rsidRPr="000E65AA">
        <w:rPr>
          <w:sz w:val="24"/>
          <w:szCs w:val="24"/>
        </w:rPr>
        <w:t xml:space="preserve"> er forhøjet.</w:t>
      </w:r>
      <w:r w:rsidRPr="000E65AA">
        <w:rPr>
          <w:b/>
          <w:sz w:val="24"/>
          <w:szCs w:val="24"/>
        </w:rPr>
        <w:t xml:space="preserve">  </w:t>
      </w:r>
      <w:r w:rsidRPr="000E65AA">
        <w:rPr>
          <w:sz w:val="24"/>
          <w:szCs w:val="24"/>
        </w:rPr>
        <w:t xml:space="preserve"> </w:t>
      </w:r>
    </w:p>
    <w:p w:rsidR="00FB66FF" w:rsidRPr="000E65AA" w:rsidRDefault="00FB66FF" w:rsidP="00FB66FF">
      <w:pPr>
        <w:tabs>
          <w:tab w:val="left" w:pos="851"/>
        </w:tabs>
        <w:ind w:left="851"/>
        <w:rPr>
          <w:sz w:val="24"/>
          <w:szCs w:val="24"/>
        </w:rPr>
      </w:pPr>
    </w:p>
    <w:p w:rsidR="00FB66FF" w:rsidRPr="000E65AA" w:rsidRDefault="00FB66FF" w:rsidP="00FB66FF">
      <w:pPr>
        <w:tabs>
          <w:tab w:val="left" w:pos="851"/>
        </w:tabs>
        <w:ind w:left="851"/>
        <w:rPr>
          <w:sz w:val="24"/>
          <w:szCs w:val="24"/>
        </w:rPr>
      </w:pPr>
      <w:r w:rsidRPr="000E65AA">
        <w:rPr>
          <w:sz w:val="24"/>
          <w:szCs w:val="24"/>
        </w:rPr>
        <w:t xml:space="preserve">Eksogene østrogener kan inducere eller forværre symptomer på hereditær og erhvervet </w:t>
      </w:r>
      <w:proofErr w:type="spellStart"/>
      <w:r w:rsidRPr="000E65AA">
        <w:rPr>
          <w:sz w:val="24"/>
          <w:szCs w:val="24"/>
        </w:rPr>
        <w:t>angioødem</w:t>
      </w:r>
      <w:proofErr w:type="spellEnd"/>
      <w:r w:rsidRPr="000E65AA">
        <w:rPr>
          <w:sz w:val="24"/>
          <w:szCs w:val="24"/>
        </w:rPr>
        <w:t>.</w:t>
      </w:r>
    </w:p>
    <w:p w:rsidR="00336F91" w:rsidRPr="00A569A9" w:rsidRDefault="00336F91" w:rsidP="00336F91">
      <w:pPr>
        <w:tabs>
          <w:tab w:val="left" w:pos="851"/>
        </w:tabs>
        <w:ind w:left="851"/>
        <w:rPr>
          <w:sz w:val="24"/>
          <w:szCs w:val="24"/>
        </w:rPr>
      </w:pPr>
    </w:p>
    <w:p w:rsidR="00FB66FF" w:rsidRPr="000E65AA" w:rsidRDefault="00336F91" w:rsidP="00FB66FF">
      <w:pPr>
        <w:tabs>
          <w:tab w:val="left" w:pos="851"/>
        </w:tabs>
        <w:ind w:left="851" w:hanging="851"/>
        <w:rPr>
          <w:b/>
          <w:sz w:val="24"/>
          <w:szCs w:val="24"/>
        </w:rPr>
      </w:pPr>
      <w:r w:rsidRPr="00A569A9">
        <w:rPr>
          <w:b/>
          <w:sz w:val="24"/>
          <w:szCs w:val="24"/>
        </w:rPr>
        <w:t>4.5</w:t>
      </w:r>
      <w:r w:rsidRPr="00A569A9">
        <w:rPr>
          <w:b/>
          <w:sz w:val="24"/>
          <w:szCs w:val="24"/>
        </w:rPr>
        <w:tab/>
      </w:r>
      <w:r w:rsidR="00FB66FF" w:rsidRPr="000E65AA">
        <w:rPr>
          <w:b/>
          <w:sz w:val="24"/>
          <w:szCs w:val="24"/>
        </w:rPr>
        <w:t>Interaktion med andre lægemidler og andre former for interaktion</w:t>
      </w:r>
    </w:p>
    <w:p w:rsidR="00FB66FF" w:rsidRPr="000E65AA" w:rsidRDefault="00FB66FF" w:rsidP="00FB66FF">
      <w:pPr>
        <w:tabs>
          <w:tab w:val="left" w:pos="851"/>
        </w:tabs>
        <w:ind w:left="851"/>
        <w:rPr>
          <w:sz w:val="24"/>
          <w:szCs w:val="24"/>
        </w:rPr>
      </w:pPr>
      <w:r w:rsidRPr="000E65AA">
        <w:rPr>
          <w:sz w:val="24"/>
          <w:szCs w:val="24"/>
        </w:rPr>
        <w:t xml:space="preserve">Der er ikke udført interaktionsstudier med Gelisse og andre lægemidler. </w:t>
      </w:r>
    </w:p>
    <w:p w:rsidR="00FB66FF" w:rsidRPr="000E65AA" w:rsidRDefault="00FB66FF" w:rsidP="00FB66FF">
      <w:pPr>
        <w:tabs>
          <w:tab w:val="left" w:pos="851"/>
        </w:tabs>
        <w:ind w:left="851"/>
        <w:rPr>
          <w:sz w:val="24"/>
          <w:szCs w:val="24"/>
        </w:rPr>
      </w:pPr>
      <w:r w:rsidRPr="000E65AA">
        <w:rPr>
          <w:sz w:val="24"/>
          <w:szCs w:val="24"/>
        </w:rPr>
        <w:t xml:space="preserve">Som følge af den vaginale administration og minimale systemiske absorption er det usandsynligt, at der vil forekomme nogle klinisk relevante lægemiddelinteraktioner med </w:t>
      </w:r>
      <w:r w:rsidR="00D649C1" w:rsidRPr="000E65AA">
        <w:rPr>
          <w:sz w:val="24"/>
          <w:szCs w:val="24"/>
        </w:rPr>
        <w:t>Gelisse</w:t>
      </w:r>
      <w:r w:rsidR="00FE3AFA">
        <w:rPr>
          <w:sz w:val="24"/>
          <w:szCs w:val="24"/>
        </w:rPr>
        <w:t>.</w:t>
      </w:r>
      <w:bookmarkStart w:id="1" w:name="_GoBack"/>
      <w:bookmarkEnd w:id="1"/>
      <w:r w:rsidR="00D649C1" w:rsidRPr="000E65AA">
        <w:rPr>
          <w:sz w:val="24"/>
          <w:szCs w:val="24"/>
        </w:rPr>
        <w:t xml:space="preserve"> Interaktioner</w:t>
      </w:r>
      <w:r w:rsidRPr="000E65AA">
        <w:rPr>
          <w:sz w:val="24"/>
          <w:szCs w:val="24"/>
        </w:rPr>
        <w:t xml:space="preserve"> med andre lokale vaginale behandlinger bør dog tages i betragtning.</w:t>
      </w:r>
    </w:p>
    <w:p w:rsidR="00336F91" w:rsidRPr="00A569A9" w:rsidRDefault="00336F91" w:rsidP="00FB66FF">
      <w:pPr>
        <w:keepNext/>
        <w:tabs>
          <w:tab w:val="left" w:pos="851"/>
        </w:tabs>
        <w:ind w:left="851" w:hanging="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4.6</w:t>
      </w:r>
      <w:r w:rsidRPr="00A569A9">
        <w:rPr>
          <w:b/>
          <w:sz w:val="24"/>
          <w:szCs w:val="24"/>
        </w:rPr>
        <w:tab/>
      </w:r>
      <w:r w:rsidR="004F70F7">
        <w:rPr>
          <w:b/>
          <w:sz w:val="24"/>
          <w:szCs w:val="24"/>
        </w:rPr>
        <w:t>G</w:t>
      </w:r>
      <w:r w:rsidR="00FB66FF" w:rsidRPr="000E65AA">
        <w:rPr>
          <w:b/>
          <w:sz w:val="24"/>
          <w:szCs w:val="24"/>
        </w:rPr>
        <w:t>raviditet og amning</w:t>
      </w:r>
    </w:p>
    <w:p w:rsidR="00FB66FF" w:rsidRPr="000E65AA" w:rsidRDefault="00FB66FF" w:rsidP="00FB66FF">
      <w:pPr>
        <w:tabs>
          <w:tab w:val="left" w:pos="851"/>
        </w:tabs>
        <w:ind w:left="851"/>
        <w:rPr>
          <w:sz w:val="24"/>
          <w:szCs w:val="24"/>
          <w:u w:val="single"/>
        </w:rPr>
      </w:pPr>
      <w:r w:rsidRPr="000E65AA">
        <w:rPr>
          <w:sz w:val="24"/>
          <w:szCs w:val="24"/>
          <w:u w:val="single"/>
        </w:rPr>
        <w:t>Fertilitet</w:t>
      </w:r>
    </w:p>
    <w:p w:rsidR="00FB66FF" w:rsidRPr="000E65AA" w:rsidRDefault="00FB66FF" w:rsidP="00FB66FF">
      <w:pPr>
        <w:tabs>
          <w:tab w:val="left" w:pos="851"/>
        </w:tabs>
        <w:ind w:left="851"/>
        <w:rPr>
          <w:sz w:val="24"/>
          <w:szCs w:val="24"/>
        </w:rPr>
      </w:pPr>
      <w:r w:rsidRPr="000E65AA">
        <w:rPr>
          <w:sz w:val="24"/>
          <w:szCs w:val="24"/>
        </w:rPr>
        <w:t>Der er ingen tilgængelige fertilitetsdata.</w:t>
      </w:r>
    </w:p>
    <w:p w:rsidR="00336F91" w:rsidRDefault="00336F91" w:rsidP="00336F91">
      <w:pPr>
        <w:tabs>
          <w:tab w:val="left" w:pos="851"/>
        </w:tabs>
        <w:ind w:left="851"/>
        <w:rPr>
          <w:i/>
          <w:sz w:val="24"/>
          <w:szCs w:val="24"/>
        </w:rPr>
      </w:pPr>
    </w:p>
    <w:p w:rsidR="00FB66FF" w:rsidRPr="000E65AA" w:rsidRDefault="00FB66FF" w:rsidP="00FB66FF">
      <w:pPr>
        <w:tabs>
          <w:tab w:val="left" w:pos="851"/>
        </w:tabs>
        <w:ind w:left="851"/>
        <w:rPr>
          <w:sz w:val="24"/>
          <w:szCs w:val="24"/>
          <w:u w:val="single"/>
        </w:rPr>
      </w:pPr>
      <w:r w:rsidRPr="000E65AA">
        <w:rPr>
          <w:sz w:val="24"/>
          <w:szCs w:val="24"/>
          <w:u w:val="single"/>
        </w:rPr>
        <w:t xml:space="preserve">Graviditet </w:t>
      </w:r>
    </w:p>
    <w:p w:rsidR="00FB66FF" w:rsidRPr="000E65AA" w:rsidRDefault="00FB66FF" w:rsidP="00FB66FF">
      <w:pPr>
        <w:tabs>
          <w:tab w:val="left" w:pos="851"/>
        </w:tabs>
        <w:ind w:left="851"/>
        <w:rPr>
          <w:sz w:val="24"/>
          <w:szCs w:val="24"/>
        </w:rPr>
      </w:pPr>
      <w:r w:rsidRPr="000E65AA">
        <w:rPr>
          <w:sz w:val="24"/>
          <w:szCs w:val="24"/>
        </w:rPr>
        <w:t xml:space="preserve">Gelisse </w:t>
      </w:r>
      <w:r w:rsidRPr="000E65AA">
        <w:rPr>
          <w:color w:val="000000"/>
          <w:sz w:val="24"/>
          <w:szCs w:val="24"/>
        </w:rPr>
        <w:t>50 mikrokram/g vaginalgel</w:t>
      </w:r>
      <w:r w:rsidRPr="000E65AA">
        <w:rPr>
          <w:sz w:val="24"/>
          <w:szCs w:val="24"/>
        </w:rPr>
        <w:t xml:space="preserve"> er ikke indiceret under graviditet. </w:t>
      </w:r>
    </w:p>
    <w:p w:rsidR="00FB66FF" w:rsidRPr="000E65AA" w:rsidRDefault="00FB66FF" w:rsidP="00FB66FF">
      <w:pPr>
        <w:tabs>
          <w:tab w:val="left" w:pos="851"/>
        </w:tabs>
        <w:ind w:left="851"/>
        <w:rPr>
          <w:sz w:val="24"/>
          <w:szCs w:val="24"/>
        </w:rPr>
      </w:pPr>
      <w:r w:rsidRPr="000E65AA">
        <w:rPr>
          <w:sz w:val="24"/>
          <w:szCs w:val="24"/>
        </w:rPr>
        <w:t xml:space="preserve">Hvis der indtræder graviditet under brug af Gelisse </w:t>
      </w:r>
      <w:r w:rsidRPr="000E65AA">
        <w:rPr>
          <w:color w:val="000000"/>
          <w:sz w:val="24"/>
          <w:szCs w:val="24"/>
        </w:rPr>
        <w:t>50 mikrokram/g vaginalgel</w:t>
      </w:r>
      <w:r w:rsidRPr="000E65AA">
        <w:rPr>
          <w:sz w:val="24"/>
          <w:szCs w:val="24"/>
        </w:rPr>
        <w:t xml:space="preserve">, skal behandlingen straks seponeres. </w:t>
      </w:r>
    </w:p>
    <w:p w:rsidR="00FB66FF" w:rsidRPr="000E65AA" w:rsidRDefault="00FB66FF" w:rsidP="00FB66FF">
      <w:pPr>
        <w:tabs>
          <w:tab w:val="left" w:pos="851"/>
        </w:tabs>
        <w:ind w:left="851"/>
        <w:rPr>
          <w:sz w:val="24"/>
          <w:szCs w:val="24"/>
        </w:rPr>
      </w:pPr>
      <w:r w:rsidRPr="000E65AA">
        <w:rPr>
          <w:sz w:val="24"/>
          <w:szCs w:val="24"/>
        </w:rPr>
        <w:t xml:space="preserve">Der foreligger ingen kliniske data for </w:t>
      </w:r>
      <w:proofErr w:type="spellStart"/>
      <w:r w:rsidRPr="000E65AA">
        <w:rPr>
          <w:sz w:val="24"/>
          <w:szCs w:val="24"/>
        </w:rPr>
        <w:t>estriol</w:t>
      </w:r>
      <w:proofErr w:type="spellEnd"/>
      <w:r w:rsidRPr="000E65AA">
        <w:rPr>
          <w:sz w:val="24"/>
          <w:szCs w:val="24"/>
        </w:rPr>
        <w:t xml:space="preserve"> vedrørende eksponering under graviditet.</w:t>
      </w:r>
    </w:p>
    <w:p w:rsidR="00FB66FF" w:rsidRPr="000E65AA" w:rsidRDefault="00FB66FF" w:rsidP="00FB66FF">
      <w:pPr>
        <w:tabs>
          <w:tab w:val="left" w:pos="851"/>
        </w:tabs>
        <w:ind w:left="851"/>
        <w:rPr>
          <w:sz w:val="24"/>
          <w:szCs w:val="24"/>
        </w:rPr>
      </w:pPr>
      <w:r w:rsidRPr="000E65AA">
        <w:rPr>
          <w:sz w:val="24"/>
          <w:szCs w:val="24"/>
        </w:rPr>
        <w:t xml:space="preserve">Resultaterne fra de fleste af de epidemiologiske studier, der er relevante med hensyn til utilsigtet </w:t>
      </w:r>
      <w:proofErr w:type="spellStart"/>
      <w:r w:rsidRPr="000E65AA">
        <w:rPr>
          <w:sz w:val="24"/>
          <w:szCs w:val="24"/>
        </w:rPr>
        <w:t>føtal</w:t>
      </w:r>
      <w:proofErr w:type="spellEnd"/>
      <w:r w:rsidRPr="000E65AA">
        <w:rPr>
          <w:sz w:val="24"/>
          <w:szCs w:val="24"/>
        </w:rPr>
        <w:t xml:space="preserve"> eksponering for østrogener, viser ingen </w:t>
      </w:r>
      <w:proofErr w:type="spellStart"/>
      <w:r w:rsidRPr="000E65AA">
        <w:rPr>
          <w:sz w:val="24"/>
          <w:szCs w:val="24"/>
        </w:rPr>
        <w:t>teratogen</w:t>
      </w:r>
      <w:proofErr w:type="spellEnd"/>
      <w:r w:rsidRPr="000E65AA">
        <w:rPr>
          <w:sz w:val="24"/>
          <w:szCs w:val="24"/>
        </w:rPr>
        <w:t xml:space="preserve"> eller </w:t>
      </w:r>
      <w:proofErr w:type="spellStart"/>
      <w:r w:rsidRPr="000E65AA">
        <w:rPr>
          <w:sz w:val="24"/>
          <w:szCs w:val="24"/>
        </w:rPr>
        <w:t>føtotoksisk</w:t>
      </w:r>
      <w:proofErr w:type="spellEnd"/>
      <w:r w:rsidRPr="000E65AA">
        <w:rPr>
          <w:sz w:val="24"/>
          <w:szCs w:val="24"/>
        </w:rPr>
        <w:t xml:space="preserve"> virkning. </w:t>
      </w:r>
    </w:p>
    <w:p w:rsidR="00FB66FF" w:rsidRPr="000E65AA" w:rsidRDefault="00FB66FF" w:rsidP="00FB66FF">
      <w:pPr>
        <w:tabs>
          <w:tab w:val="left" w:pos="851"/>
        </w:tabs>
        <w:ind w:left="851"/>
        <w:rPr>
          <w:sz w:val="24"/>
          <w:szCs w:val="24"/>
        </w:rPr>
      </w:pPr>
    </w:p>
    <w:p w:rsidR="00FB66FF" w:rsidRPr="000E65AA" w:rsidRDefault="00FB66FF" w:rsidP="00FB66FF">
      <w:pPr>
        <w:tabs>
          <w:tab w:val="left" w:pos="851"/>
        </w:tabs>
        <w:ind w:left="851"/>
        <w:rPr>
          <w:sz w:val="24"/>
          <w:szCs w:val="24"/>
          <w:u w:val="single"/>
        </w:rPr>
      </w:pPr>
      <w:r w:rsidRPr="000E65AA">
        <w:rPr>
          <w:sz w:val="24"/>
          <w:szCs w:val="24"/>
          <w:u w:val="single"/>
        </w:rPr>
        <w:t xml:space="preserve">Amning </w:t>
      </w:r>
    </w:p>
    <w:p w:rsidR="00FB66FF" w:rsidRPr="000E65AA" w:rsidRDefault="00FB66FF" w:rsidP="00FB66FF">
      <w:pPr>
        <w:tabs>
          <w:tab w:val="left" w:pos="851"/>
        </w:tabs>
        <w:ind w:left="851"/>
        <w:rPr>
          <w:sz w:val="24"/>
          <w:szCs w:val="24"/>
        </w:rPr>
      </w:pPr>
      <w:r w:rsidRPr="000E65AA">
        <w:rPr>
          <w:sz w:val="24"/>
          <w:szCs w:val="24"/>
        </w:rPr>
        <w:t xml:space="preserve">Gelisse </w:t>
      </w:r>
      <w:r w:rsidRPr="000E65AA">
        <w:rPr>
          <w:color w:val="000000"/>
          <w:sz w:val="24"/>
          <w:szCs w:val="24"/>
        </w:rPr>
        <w:t>50 mikrokram/g vaginalgel</w:t>
      </w:r>
      <w:r w:rsidRPr="000E65AA">
        <w:rPr>
          <w:sz w:val="24"/>
          <w:szCs w:val="24"/>
        </w:rPr>
        <w:t xml:space="preserve"> er ikke indiceret under amning. </w:t>
      </w:r>
      <w:r>
        <w:rPr>
          <w:sz w:val="24"/>
          <w:szCs w:val="24"/>
        </w:rPr>
        <w:br/>
      </w:r>
      <w:r>
        <w:rPr>
          <w:sz w:val="24"/>
          <w:szCs w:val="24"/>
        </w:rPr>
        <w:br/>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lastRenderedPageBreak/>
        <w:t>4.7</w:t>
      </w:r>
      <w:r w:rsidRPr="00A569A9">
        <w:rPr>
          <w:b/>
          <w:sz w:val="24"/>
          <w:szCs w:val="24"/>
        </w:rPr>
        <w:tab/>
        <w:t>Virkninger på evnen til at føre motorkøretøj eller betjene maskiner</w:t>
      </w:r>
    </w:p>
    <w:p w:rsidR="00FB66FF" w:rsidRPr="000E65AA" w:rsidRDefault="00FB66FF" w:rsidP="00FB66FF">
      <w:pPr>
        <w:tabs>
          <w:tab w:val="left" w:pos="851"/>
        </w:tabs>
        <w:ind w:left="851"/>
        <w:rPr>
          <w:sz w:val="24"/>
          <w:szCs w:val="24"/>
        </w:rPr>
      </w:pPr>
      <w:r w:rsidRPr="000E65AA">
        <w:rPr>
          <w:sz w:val="24"/>
          <w:szCs w:val="24"/>
        </w:rPr>
        <w:t>Ikke mærkning.</w:t>
      </w:r>
    </w:p>
    <w:p w:rsidR="00FB66FF" w:rsidRPr="000E65AA" w:rsidRDefault="00FB66FF" w:rsidP="00FB66FF">
      <w:pPr>
        <w:tabs>
          <w:tab w:val="left" w:pos="851"/>
        </w:tabs>
        <w:ind w:left="851"/>
        <w:rPr>
          <w:sz w:val="24"/>
          <w:szCs w:val="24"/>
        </w:rPr>
      </w:pPr>
      <w:r w:rsidRPr="000E65AA">
        <w:rPr>
          <w:sz w:val="24"/>
          <w:szCs w:val="24"/>
        </w:rPr>
        <w:t xml:space="preserve">Gelisse </w:t>
      </w:r>
      <w:r w:rsidRPr="000E65AA">
        <w:rPr>
          <w:color w:val="000000"/>
          <w:sz w:val="24"/>
          <w:szCs w:val="24"/>
        </w:rPr>
        <w:t>50 mikrokram/g vaginalgel</w:t>
      </w:r>
      <w:r w:rsidRPr="000E65AA">
        <w:rPr>
          <w:sz w:val="24"/>
          <w:szCs w:val="24"/>
        </w:rPr>
        <w:t xml:space="preserve"> påvirker ikke evnen til at føre motorkøretøj og betjene maskiner.</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4.8</w:t>
      </w:r>
      <w:r w:rsidRPr="00A569A9">
        <w:rPr>
          <w:b/>
          <w:sz w:val="24"/>
          <w:szCs w:val="24"/>
        </w:rPr>
        <w:tab/>
        <w:t>Bivirkninger</w:t>
      </w:r>
    </w:p>
    <w:p w:rsidR="00FB66FF" w:rsidRPr="000E65AA" w:rsidRDefault="00FB66FF" w:rsidP="00FB66FF">
      <w:pPr>
        <w:pStyle w:val="Sidehoved"/>
        <w:tabs>
          <w:tab w:val="left" w:pos="851"/>
        </w:tabs>
        <w:ind w:left="851"/>
        <w:rPr>
          <w:szCs w:val="24"/>
        </w:rPr>
      </w:pPr>
      <w:r w:rsidRPr="000E65AA">
        <w:rPr>
          <w:szCs w:val="24"/>
        </w:rPr>
        <w:t xml:space="preserve">Der rapporteres sædvanligvis bivirkninger pga. </w:t>
      </w:r>
      <w:proofErr w:type="spellStart"/>
      <w:r w:rsidRPr="000E65AA">
        <w:rPr>
          <w:szCs w:val="24"/>
        </w:rPr>
        <w:t>estriol</w:t>
      </w:r>
      <w:proofErr w:type="spellEnd"/>
      <w:r w:rsidRPr="000E65AA">
        <w:rPr>
          <w:szCs w:val="24"/>
        </w:rPr>
        <w:t xml:space="preserve"> hos 3-10 % af de behandlede patienter. </w:t>
      </w:r>
    </w:p>
    <w:p w:rsidR="00FB66FF" w:rsidRPr="000E65AA" w:rsidRDefault="00FB66FF" w:rsidP="00FB66FF">
      <w:pPr>
        <w:pStyle w:val="Sidehoved"/>
        <w:tabs>
          <w:tab w:val="left" w:pos="851"/>
        </w:tabs>
        <w:ind w:left="851"/>
        <w:rPr>
          <w:szCs w:val="24"/>
        </w:rPr>
      </w:pPr>
    </w:p>
    <w:p w:rsidR="00FB66FF" w:rsidRPr="000E65AA" w:rsidRDefault="00FB66FF" w:rsidP="00FB66FF">
      <w:pPr>
        <w:pStyle w:val="Sidehoved"/>
        <w:tabs>
          <w:tab w:val="left" w:pos="851"/>
        </w:tabs>
        <w:ind w:left="851"/>
        <w:rPr>
          <w:szCs w:val="24"/>
        </w:rPr>
      </w:pPr>
      <w:r w:rsidRPr="000E65AA">
        <w:rPr>
          <w:szCs w:val="24"/>
        </w:rPr>
        <w:t>I starten af behandlingen, hvor slimhinden i vagina stadig er atrofisk, kan lokalirritation forekomme i form af varmefølelse og/eller kløe.</w:t>
      </w:r>
    </w:p>
    <w:p w:rsidR="00FB66FF" w:rsidRPr="000E65AA" w:rsidRDefault="00FB66FF" w:rsidP="00FB66FF">
      <w:pPr>
        <w:pStyle w:val="Sidehoved"/>
        <w:tabs>
          <w:tab w:val="left" w:pos="851"/>
        </w:tabs>
        <w:ind w:left="851"/>
        <w:rPr>
          <w:szCs w:val="24"/>
        </w:rPr>
      </w:pPr>
    </w:p>
    <w:p w:rsidR="00FB66FF" w:rsidRPr="000E65AA" w:rsidRDefault="00FB66FF" w:rsidP="00FB66FF">
      <w:pPr>
        <w:pStyle w:val="Sidehoved"/>
        <w:tabs>
          <w:tab w:val="left" w:pos="851"/>
        </w:tabs>
        <w:ind w:left="851"/>
        <w:rPr>
          <w:szCs w:val="24"/>
        </w:rPr>
      </w:pPr>
      <w:r w:rsidRPr="000E65AA">
        <w:rPr>
          <w:szCs w:val="24"/>
        </w:rPr>
        <w:t xml:space="preserve">Bivirkninger, der er set i kliniske studier med Gelisse </w:t>
      </w:r>
      <w:r w:rsidRPr="000E65AA">
        <w:rPr>
          <w:color w:val="000000"/>
          <w:szCs w:val="24"/>
        </w:rPr>
        <w:t>50 mikrokram/g vaginalgel</w:t>
      </w:r>
      <w:r w:rsidRPr="000E65AA">
        <w:rPr>
          <w:szCs w:val="24"/>
        </w:rPr>
        <w:t>, er blevet klassificeret i henhold til deres hyppighed:</w:t>
      </w:r>
    </w:p>
    <w:p w:rsidR="00336F91" w:rsidRPr="00A569A9" w:rsidRDefault="00336F91" w:rsidP="00336F91">
      <w:pPr>
        <w:pStyle w:val="Sidehoved"/>
        <w:tabs>
          <w:tab w:val="left" w:pos="851"/>
        </w:tabs>
        <w:ind w:left="851"/>
        <w:rPr>
          <w:szCs w:val="24"/>
        </w:rPr>
      </w:pPr>
    </w:p>
    <w:tbl>
      <w:tblPr>
        <w:tblW w:w="974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7"/>
        <w:gridCol w:w="2183"/>
        <w:gridCol w:w="2880"/>
        <w:gridCol w:w="2472"/>
      </w:tblGrid>
      <w:tr w:rsidR="00FB66FF" w:rsidRPr="000E65AA" w:rsidTr="00ED1990">
        <w:trPr>
          <w:tblHeader/>
        </w:trPr>
        <w:tc>
          <w:tcPr>
            <w:tcW w:w="2207" w:type="dxa"/>
            <w:tcBorders>
              <w:top w:val="single" w:sz="4" w:space="0" w:color="auto"/>
              <w:left w:val="single" w:sz="4" w:space="0" w:color="auto"/>
              <w:bottom w:val="single" w:sz="12" w:space="0" w:color="auto"/>
              <w:right w:val="single" w:sz="4" w:space="0" w:color="auto"/>
            </w:tcBorders>
            <w:hideMark/>
          </w:tcPr>
          <w:p w:rsidR="00FB66FF" w:rsidRPr="000E65AA" w:rsidRDefault="00FB66FF" w:rsidP="00ED1990">
            <w:pPr>
              <w:pStyle w:val="Sidehoved"/>
              <w:ind w:left="67"/>
              <w:rPr>
                <w:b/>
                <w:bCs/>
                <w:sz w:val="22"/>
                <w:szCs w:val="22"/>
              </w:rPr>
            </w:pPr>
            <w:r w:rsidRPr="000E65AA">
              <w:rPr>
                <w:b/>
                <w:sz w:val="22"/>
                <w:szCs w:val="22"/>
              </w:rPr>
              <w:t>Systemorganklasse</w:t>
            </w:r>
          </w:p>
        </w:tc>
        <w:tc>
          <w:tcPr>
            <w:tcW w:w="2183" w:type="dxa"/>
            <w:tcBorders>
              <w:top w:val="single" w:sz="4" w:space="0" w:color="auto"/>
              <w:left w:val="single" w:sz="4" w:space="0" w:color="auto"/>
              <w:bottom w:val="single" w:sz="12" w:space="0" w:color="auto"/>
              <w:right w:val="single" w:sz="4" w:space="0" w:color="auto"/>
            </w:tcBorders>
            <w:hideMark/>
          </w:tcPr>
          <w:p w:rsidR="00FB66FF" w:rsidRPr="000E65AA" w:rsidRDefault="00FB66FF" w:rsidP="00ED1990">
            <w:pPr>
              <w:pStyle w:val="Sidehoved"/>
              <w:ind w:left="82"/>
              <w:rPr>
                <w:b/>
                <w:bCs/>
                <w:sz w:val="22"/>
                <w:szCs w:val="22"/>
              </w:rPr>
            </w:pPr>
            <w:r w:rsidRPr="000E65AA">
              <w:rPr>
                <w:sz w:val="22"/>
                <w:szCs w:val="22"/>
                <w:u w:val="single"/>
              </w:rPr>
              <w:t>Almindelig</w:t>
            </w:r>
            <w:r w:rsidRPr="000E65AA">
              <w:rPr>
                <w:sz w:val="22"/>
                <w:szCs w:val="22"/>
              </w:rPr>
              <w:t xml:space="preserve"> (</w:t>
            </w:r>
            <w:r w:rsidRPr="000E65AA">
              <w:rPr>
                <w:sz w:val="22"/>
                <w:szCs w:val="22"/>
              </w:rPr>
              <w:sym w:font="Symbol" w:char="F0B3"/>
            </w:r>
            <w:r w:rsidRPr="000E65AA">
              <w:rPr>
                <w:sz w:val="22"/>
                <w:szCs w:val="22"/>
              </w:rPr>
              <w:t>1/100 til &lt;1/10)</w:t>
            </w:r>
            <w:r w:rsidRPr="000E65AA">
              <w:rPr>
                <w:sz w:val="22"/>
                <w:szCs w:val="22"/>
                <w:u w:val="single"/>
              </w:rPr>
              <w:t xml:space="preserve"> </w:t>
            </w:r>
            <w:r w:rsidRPr="000E65AA">
              <w:rPr>
                <w:b/>
                <w:sz w:val="22"/>
                <w:szCs w:val="22"/>
              </w:rPr>
              <w:t xml:space="preserve"> </w:t>
            </w:r>
          </w:p>
        </w:tc>
        <w:tc>
          <w:tcPr>
            <w:tcW w:w="2880" w:type="dxa"/>
            <w:tcBorders>
              <w:top w:val="single" w:sz="4" w:space="0" w:color="auto"/>
              <w:left w:val="single" w:sz="4" w:space="0" w:color="auto"/>
              <w:bottom w:val="single" w:sz="12" w:space="0" w:color="auto"/>
              <w:right w:val="single" w:sz="4" w:space="0" w:color="auto"/>
            </w:tcBorders>
            <w:hideMark/>
          </w:tcPr>
          <w:p w:rsidR="00FB66FF" w:rsidRPr="000E65AA" w:rsidRDefault="00FB66FF" w:rsidP="00ED1990">
            <w:pPr>
              <w:pStyle w:val="Sidehoved"/>
              <w:ind w:left="71"/>
              <w:rPr>
                <w:b/>
                <w:bCs/>
                <w:sz w:val="22"/>
                <w:szCs w:val="22"/>
              </w:rPr>
            </w:pPr>
            <w:r w:rsidRPr="000E65AA">
              <w:rPr>
                <w:sz w:val="22"/>
                <w:szCs w:val="22"/>
                <w:u w:val="single"/>
              </w:rPr>
              <w:t>Ikke almindelig</w:t>
            </w:r>
            <w:r w:rsidRPr="000E65AA">
              <w:rPr>
                <w:sz w:val="22"/>
                <w:szCs w:val="22"/>
              </w:rPr>
              <w:t xml:space="preserve"> (</w:t>
            </w:r>
            <w:r w:rsidRPr="000E65AA">
              <w:rPr>
                <w:sz w:val="22"/>
                <w:szCs w:val="22"/>
              </w:rPr>
              <w:sym w:font="Symbol" w:char="F0B3"/>
            </w:r>
            <w:r w:rsidRPr="000E65AA">
              <w:rPr>
                <w:sz w:val="22"/>
                <w:szCs w:val="22"/>
              </w:rPr>
              <w:t>1/1.000 til &lt;1/100)</w:t>
            </w:r>
          </w:p>
        </w:tc>
        <w:tc>
          <w:tcPr>
            <w:tcW w:w="2472" w:type="dxa"/>
            <w:tcBorders>
              <w:top w:val="single" w:sz="4" w:space="0" w:color="auto"/>
              <w:left w:val="single" w:sz="4" w:space="0" w:color="auto"/>
              <w:bottom w:val="single" w:sz="12" w:space="0" w:color="auto"/>
              <w:right w:val="single" w:sz="4" w:space="0" w:color="auto"/>
            </w:tcBorders>
          </w:tcPr>
          <w:p w:rsidR="00FB66FF" w:rsidRPr="000E65AA" w:rsidRDefault="00FB66FF" w:rsidP="00ED1990">
            <w:pPr>
              <w:pStyle w:val="Sidehoved"/>
              <w:ind w:left="26"/>
              <w:rPr>
                <w:b/>
                <w:bCs/>
                <w:sz w:val="22"/>
                <w:szCs w:val="22"/>
              </w:rPr>
            </w:pPr>
            <w:r w:rsidRPr="000E65AA">
              <w:rPr>
                <w:sz w:val="22"/>
                <w:szCs w:val="22"/>
                <w:u w:val="single"/>
              </w:rPr>
              <w:t>Sjælden</w:t>
            </w:r>
            <w:r w:rsidRPr="000E65AA">
              <w:rPr>
                <w:sz w:val="22"/>
                <w:szCs w:val="22"/>
              </w:rPr>
              <w:t xml:space="preserve"> (</w:t>
            </w:r>
            <w:r w:rsidRPr="000E65AA">
              <w:rPr>
                <w:sz w:val="22"/>
                <w:szCs w:val="22"/>
              </w:rPr>
              <w:sym w:font="Symbol" w:char="F0B3"/>
            </w:r>
            <w:r w:rsidRPr="000E65AA">
              <w:rPr>
                <w:sz w:val="22"/>
                <w:szCs w:val="22"/>
              </w:rPr>
              <w:t>1/10.000 til &lt;1/1.000)</w:t>
            </w:r>
          </w:p>
          <w:p w:rsidR="00FB66FF" w:rsidRPr="000E65AA" w:rsidRDefault="00FB66FF" w:rsidP="00ED1990">
            <w:pPr>
              <w:pStyle w:val="Sidehoved"/>
              <w:ind w:left="26"/>
              <w:rPr>
                <w:b/>
                <w:bCs/>
                <w:sz w:val="22"/>
                <w:szCs w:val="22"/>
              </w:rPr>
            </w:pPr>
          </w:p>
        </w:tc>
      </w:tr>
      <w:tr w:rsidR="00FB66FF" w:rsidRPr="000E65AA" w:rsidTr="00ED1990">
        <w:tc>
          <w:tcPr>
            <w:tcW w:w="2207" w:type="dxa"/>
            <w:tcBorders>
              <w:top w:val="single" w:sz="12" w:space="0" w:color="auto"/>
              <w:left w:val="single" w:sz="4" w:space="0" w:color="auto"/>
              <w:bottom w:val="nil"/>
              <w:right w:val="single" w:sz="4" w:space="0" w:color="auto"/>
            </w:tcBorders>
            <w:hideMark/>
          </w:tcPr>
          <w:p w:rsidR="00FB66FF" w:rsidRPr="000E65AA" w:rsidRDefault="00FB66FF" w:rsidP="00ED1990">
            <w:pPr>
              <w:pStyle w:val="Sidehoved"/>
              <w:ind w:left="67"/>
              <w:rPr>
                <w:bCs/>
                <w:sz w:val="22"/>
                <w:szCs w:val="22"/>
              </w:rPr>
            </w:pPr>
            <w:r w:rsidRPr="000E65AA">
              <w:rPr>
                <w:bCs/>
                <w:i/>
                <w:iCs/>
                <w:sz w:val="22"/>
                <w:szCs w:val="22"/>
              </w:rPr>
              <w:t>Det reproduktive system og mammae</w:t>
            </w:r>
          </w:p>
        </w:tc>
        <w:tc>
          <w:tcPr>
            <w:tcW w:w="2183" w:type="dxa"/>
            <w:tcBorders>
              <w:top w:val="single" w:sz="12" w:space="0" w:color="auto"/>
              <w:left w:val="single" w:sz="4" w:space="0" w:color="auto"/>
              <w:bottom w:val="single" w:sz="4" w:space="0" w:color="auto"/>
              <w:right w:val="single" w:sz="4" w:space="0" w:color="auto"/>
            </w:tcBorders>
            <w:hideMark/>
          </w:tcPr>
          <w:p w:rsidR="00FB66FF" w:rsidRPr="000E65AA" w:rsidRDefault="00FB66FF" w:rsidP="00ED1990">
            <w:pPr>
              <w:pStyle w:val="Sidehoved"/>
              <w:ind w:left="82"/>
              <w:rPr>
                <w:sz w:val="22"/>
                <w:szCs w:val="22"/>
              </w:rPr>
            </w:pPr>
            <w:r w:rsidRPr="000E65AA">
              <w:rPr>
                <w:sz w:val="22"/>
                <w:szCs w:val="22"/>
              </w:rPr>
              <w:t xml:space="preserve">Genital </w:t>
            </w:r>
            <w:proofErr w:type="spellStart"/>
            <w:r w:rsidRPr="000E65AA">
              <w:rPr>
                <w:sz w:val="22"/>
                <w:szCs w:val="22"/>
              </w:rPr>
              <w:t>pruritus</w:t>
            </w:r>
            <w:proofErr w:type="spellEnd"/>
            <w:r w:rsidRPr="000E65AA">
              <w:rPr>
                <w:sz w:val="22"/>
                <w:szCs w:val="22"/>
              </w:rPr>
              <w:t>.</w:t>
            </w:r>
          </w:p>
        </w:tc>
        <w:tc>
          <w:tcPr>
            <w:tcW w:w="2880" w:type="dxa"/>
            <w:tcBorders>
              <w:top w:val="single" w:sz="12" w:space="0" w:color="auto"/>
              <w:left w:val="single" w:sz="4" w:space="0" w:color="auto"/>
              <w:bottom w:val="single" w:sz="4" w:space="0" w:color="auto"/>
              <w:right w:val="single" w:sz="4" w:space="0" w:color="auto"/>
            </w:tcBorders>
          </w:tcPr>
          <w:p w:rsidR="00FB66FF" w:rsidRPr="000E65AA" w:rsidRDefault="00FB66FF" w:rsidP="00ED1990">
            <w:pPr>
              <w:pStyle w:val="Sidehoved"/>
              <w:ind w:left="71"/>
              <w:rPr>
                <w:sz w:val="22"/>
                <w:szCs w:val="22"/>
              </w:rPr>
            </w:pPr>
          </w:p>
        </w:tc>
        <w:tc>
          <w:tcPr>
            <w:tcW w:w="2472" w:type="dxa"/>
            <w:tcBorders>
              <w:top w:val="single" w:sz="12" w:space="0" w:color="auto"/>
              <w:left w:val="single" w:sz="4" w:space="0" w:color="auto"/>
              <w:bottom w:val="single" w:sz="4" w:space="0" w:color="auto"/>
              <w:right w:val="single" w:sz="4" w:space="0" w:color="auto"/>
            </w:tcBorders>
          </w:tcPr>
          <w:p w:rsidR="00FB66FF" w:rsidRPr="000E65AA" w:rsidRDefault="00FB66FF" w:rsidP="00ED1990">
            <w:pPr>
              <w:pStyle w:val="Sidehoved"/>
              <w:ind w:left="26"/>
              <w:rPr>
                <w:sz w:val="22"/>
                <w:szCs w:val="22"/>
              </w:rPr>
            </w:pPr>
          </w:p>
        </w:tc>
      </w:tr>
      <w:tr w:rsidR="00FB66FF" w:rsidRPr="000E65AA" w:rsidTr="00ED1990">
        <w:trPr>
          <w:trHeight w:val="593"/>
        </w:trPr>
        <w:tc>
          <w:tcPr>
            <w:tcW w:w="2207" w:type="dxa"/>
            <w:tcBorders>
              <w:top w:val="nil"/>
              <w:left w:val="single" w:sz="4" w:space="0" w:color="auto"/>
              <w:bottom w:val="single" w:sz="4" w:space="0" w:color="auto"/>
              <w:right w:val="single" w:sz="4" w:space="0" w:color="auto"/>
            </w:tcBorders>
          </w:tcPr>
          <w:p w:rsidR="00FB66FF" w:rsidRPr="000E65AA" w:rsidRDefault="00FB66FF" w:rsidP="00ED1990">
            <w:pPr>
              <w:pStyle w:val="Sidehoved"/>
              <w:ind w:left="67"/>
              <w:rPr>
                <w:sz w:val="22"/>
                <w:szCs w:val="22"/>
              </w:rPr>
            </w:pPr>
          </w:p>
        </w:tc>
        <w:tc>
          <w:tcPr>
            <w:tcW w:w="2183" w:type="dxa"/>
            <w:tcBorders>
              <w:top w:val="single" w:sz="4" w:space="0" w:color="auto"/>
              <w:left w:val="single" w:sz="4" w:space="0" w:color="auto"/>
              <w:bottom w:val="single" w:sz="12" w:space="0" w:color="auto"/>
              <w:right w:val="single" w:sz="4" w:space="0" w:color="auto"/>
            </w:tcBorders>
          </w:tcPr>
          <w:p w:rsidR="00FB66FF" w:rsidRPr="000E65AA" w:rsidRDefault="00FB66FF" w:rsidP="00ED1990">
            <w:pPr>
              <w:pStyle w:val="Sidehoved"/>
              <w:ind w:left="82"/>
              <w:rPr>
                <w:sz w:val="22"/>
                <w:szCs w:val="22"/>
              </w:rPr>
            </w:pPr>
          </w:p>
        </w:tc>
        <w:tc>
          <w:tcPr>
            <w:tcW w:w="2880" w:type="dxa"/>
            <w:tcBorders>
              <w:top w:val="single" w:sz="4" w:space="0" w:color="auto"/>
              <w:left w:val="single" w:sz="4" w:space="0" w:color="auto"/>
              <w:bottom w:val="single" w:sz="12" w:space="0" w:color="auto"/>
              <w:right w:val="single" w:sz="4" w:space="0" w:color="auto"/>
            </w:tcBorders>
            <w:hideMark/>
          </w:tcPr>
          <w:p w:rsidR="00FB66FF" w:rsidRPr="000E65AA" w:rsidRDefault="00FB66FF" w:rsidP="00ED1990">
            <w:pPr>
              <w:pStyle w:val="Sidehoved"/>
              <w:ind w:left="71"/>
              <w:rPr>
                <w:sz w:val="22"/>
                <w:szCs w:val="22"/>
              </w:rPr>
            </w:pPr>
            <w:r w:rsidRPr="000E65AA">
              <w:rPr>
                <w:sz w:val="22"/>
                <w:szCs w:val="22"/>
              </w:rPr>
              <w:t>Bækkensmerter, udslæt på genitalier</w:t>
            </w:r>
          </w:p>
        </w:tc>
        <w:tc>
          <w:tcPr>
            <w:tcW w:w="2472" w:type="dxa"/>
            <w:tcBorders>
              <w:top w:val="single" w:sz="4" w:space="0" w:color="auto"/>
              <w:left w:val="single" w:sz="4" w:space="0" w:color="auto"/>
              <w:bottom w:val="single" w:sz="12" w:space="0" w:color="auto"/>
              <w:right w:val="single" w:sz="4" w:space="0" w:color="auto"/>
            </w:tcBorders>
          </w:tcPr>
          <w:p w:rsidR="00FB66FF" w:rsidRPr="000E65AA" w:rsidRDefault="00FB66FF" w:rsidP="00ED1990">
            <w:pPr>
              <w:pStyle w:val="Sidehoved"/>
              <w:ind w:left="26"/>
              <w:rPr>
                <w:sz w:val="22"/>
                <w:szCs w:val="22"/>
              </w:rPr>
            </w:pPr>
          </w:p>
          <w:p w:rsidR="00FB66FF" w:rsidRPr="000E65AA" w:rsidRDefault="00FB66FF" w:rsidP="00ED1990">
            <w:pPr>
              <w:pStyle w:val="Sidehoved"/>
              <w:ind w:left="26"/>
              <w:rPr>
                <w:sz w:val="22"/>
                <w:szCs w:val="22"/>
              </w:rPr>
            </w:pPr>
          </w:p>
        </w:tc>
      </w:tr>
      <w:tr w:rsidR="00FB66FF" w:rsidRPr="000E65AA" w:rsidTr="00ED1990">
        <w:trPr>
          <w:cantSplit/>
          <w:trHeight w:val="623"/>
        </w:trPr>
        <w:tc>
          <w:tcPr>
            <w:tcW w:w="2207" w:type="dxa"/>
            <w:vMerge w:val="restart"/>
            <w:tcBorders>
              <w:top w:val="single" w:sz="4" w:space="0" w:color="auto"/>
              <w:left w:val="single" w:sz="4" w:space="0" w:color="auto"/>
              <w:bottom w:val="single" w:sz="12" w:space="0" w:color="auto"/>
              <w:right w:val="single" w:sz="4" w:space="0" w:color="auto"/>
            </w:tcBorders>
            <w:hideMark/>
          </w:tcPr>
          <w:p w:rsidR="00FB66FF" w:rsidRPr="000E65AA" w:rsidRDefault="00FB66FF" w:rsidP="00ED1990">
            <w:pPr>
              <w:pStyle w:val="Sidehoved"/>
              <w:ind w:left="67"/>
              <w:rPr>
                <w:bCs/>
                <w:sz w:val="22"/>
                <w:szCs w:val="22"/>
              </w:rPr>
            </w:pPr>
            <w:r w:rsidRPr="000E65AA">
              <w:rPr>
                <w:bCs/>
                <w:i/>
                <w:iCs/>
                <w:sz w:val="22"/>
                <w:szCs w:val="22"/>
              </w:rPr>
              <w:t>Almene symptomer og reaktioner på administrationsstedet</w:t>
            </w:r>
          </w:p>
        </w:tc>
        <w:tc>
          <w:tcPr>
            <w:tcW w:w="2183" w:type="dxa"/>
            <w:tcBorders>
              <w:top w:val="single" w:sz="12" w:space="0" w:color="auto"/>
              <w:left w:val="single" w:sz="4" w:space="0" w:color="auto"/>
              <w:bottom w:val="single" w:sz="4" w:space="0" w:color="auto"/>
              <w:right w:val="single" w:sz="4" w:space="0" w:color="auto"/>
            </w:tcBorders>
            <w:hideMark/>
          </w:tcPr>
          <w:p w:rsidR="00FB66FF" w:rsidRPr="000E65AA" w:rsidRDefault="00FB66FF" w:rsidP="00ED1990">
            <w:pPr>
              <w:pStyle w:val="Sidehoved"/>
              <w:ind w:left="82"/>
              <w:rPr>
                <w:sz w:val="22"/>
                <w:szCs w:val="22"/>
              </w:rPr>
            </w:pPr>
            <w:proofErr w:type="spellStart"/>
            <w:r w:rsidRPr="000E65AA">
              <w:rPr>
                <w:sz w:val="22"/>
                <w:szCs w:val="22"/>
              </w:rPr>
              <w:t>Pruritus</w:t>
            </w:r>
            <w:proofErr w:type="spellEnd"/>
            <w:r w:rsidRPr="000E65AA">
              <w:rPr>
                <w:sz w:val="22"/>
                <w:szCs w:val="22"/>
              </w:rPr>
              <w:t xml:space="preserve"> på administrationsstedet</w:t>
            </w:r>
          </w:p>
        </w:tc>
        <w:tc>
          <w:tcPr>
            <w:tcW w:w="2880" w:type="dxa"/>
            <w:tcBorders>
              <w:top w:val="single" w:sz="12" w:space="0" w:color="auto"/>
              <w:left w:val="single" w:sz="4" w:space="0" w:color="auto"/>
              <w:bottom w:val="single" w:sz="4" w:space="0" w:color="auto"/>
              <w:right w:val="single" w:sz="4" w:space="0" w:color="auto"/>
            </w:tcBorders>
          </w:tcPr>
          <w:p w:rsidR="00FB66FF" w:rsidRPr="000E65AA" w:rsidRDefault="00FB66FF" w:rsidP="00ED1990">
            <w:pPr>
              <w:pStyle w:val="Sidehoved"/>
              <w:ind w:left="71"/>
              <w:rPr>
                <w:sz w:val="22"/>
                <w:szCs w:val="22"/>
              </w:rPr>
            </w:pPr>
          </w:p>
        </w:tc>
        <w:tc>
          <w:tcPr>
            <w:tcW w:w="2472" w:type="dxa"/>
            <w:tcBorders>
              <w:top w:val="single" w:sz="12" w:space="0" w:color="auto"/>
              <w:left w:val="single" w:sz="4" w:space="0" w:color="auto"/>
              <w:bottom w:val="single" w:sz="4" w:space="0" w:color="auto"/>
              <w:right w:val="single" w:sz="4" w:space="0" w:color="auto"/>
            </w:tcBorders>
          </w:tcPr>
          <w:p w:rsidR="00FB66FF" w:rsidRPr="000E65AA" w:rsidRDefault="00FB66FF" w:rsidP="00ED1990">
            <w:pPr>
              <w:pStyle w:val="Sidehoved"/>
              <w:ind w:left="26"/>
              <w:rPr>
                <w:sz w:val="22"/>
                <w:szCs w:val="22"/>
              </w:rPr>
            </w:pPr>
          </w:p>
          <w:p w:rsidR="00FB66FF" w:rsidRPr="000E65AA" w:rsidRDefault="00FB66FF" w:rsidP="00ED1990">
            <w:pPr>
              <w:pStyle w:val="Sidehoved"/>
              <w:ind w:left="26"/>
              <w:rPr>
                <w:sz w:val="22"/>
                <w:szCs w:val="22"/>
              </w:rPr>
            </w:pPr>
          </w:p>
        </w:tc>
      </w:tr>
      <w:tr w:rsidR="00FB66FF" w:rsidRPr="000E65AA" w:rsidTr="00ED1990">
        <w:trPr>
          <w:cantSplit/>
        </w:trPr>
        <w:tc>
          <w:tcPr>
            <w:tcW w:w="0" w:type="auto"/>
            <w:vMerge/>
            <w:tcBorders>
              <w:top w:val="single" w:sz="4" w:space="0" w:color="auto"/>
              <w:left w:val="single" w:sz="4" w:space="0" w:color="auto"/>
              <w:bottom w:val="single" w:sz="12" w:space="0" w:color="auto"/>
              <w:right w:val="single" w:sz="4" w:space="0" w:color="auto"/>
            </w:tcBorders>
            <w:vAlign w:val="center"/>
            <w:hideMark/>
          </w:tcPr>
          <w:p w:rsidR="00FB66FF" w:rsidRPr="000E65AA" w:rsidRDefault="00FB66FF" w:rsidP="00ED1990">
            <w:pPr>
              <w:pStyle w:val="Sidehoved"/>
              <w:ind w:left="67"/>
              <w:rPr>
                <w:bCs/>
                <w:sz w:val="22"/>
                <w:szCs w:val="22"/>
              </w:rPr>
            </w:pPr>
          </w:p>
        </w:tc>
        <w:tc>
          <w:tcPr>
            <w:tcW w:w="2183" w:type="dxa"/>
            <w:tcBorders>
              <w:top w:val="single" w:sz="4" w:space="0" w:color="auto"/>
              <w:left w:val="single" w:sz="4" w:space="0" w:color="auto"/>
              <w:bottom w:val="single" w:sz="4" w:space="0" w:color="auto"/>
              <w:right w:val="single" w:sz="4" w:space="0" w:color="auto"/>
            </w:tcBorders>
          </w:tcPr>
          <w:p w:rsidR="00FB66FF" w:rsidRPr="000E65AA" w:rsidRDefault="00FB66FF" w:rsidP="00ED1990">
            <w:pPr>
              <w:pStyle w:val="Sidehoved"/>
              <w:ind w:left="82"/>
              <w:rPr>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rsidR="00FB66FF" w:rsidRPr="000E65AA" w:rsidRDefault="00FB66FF" w:rsidP="00ED1990">
            <w:pPr>
              <w:pStyle w:val="Sidehoved"/>
              <w:ind w:left="71"/>
              <w:rPr>
                <w:sz w:val="22"/>
                <w:szCs w:val="22"/>
              </w:rPr>
            </w:pPr>
            <w:r w:rsidRPr="000E65AA">
              <w:rPr>
                <w:sz w:val="22"/>
                <w:szCs w:val="22"/>
              </w:rPr>
              <w:t>Irritation på administrationsstedet</w:t>
            </w:r>
          </w:p>
        </w:tc>
        <w:tc>
          <w:tcPr>
            <w:tcW w:w="2472" w:type="dxa"/>
            <w:tcBorders>
              <w:top w:val="single" w:sz="4" w:space="0" w:color="auto"/>
              <w:left w:val="single" w:sz="4" w:space="0" w:color="auto"/>
              <w:bottom w:val="single" w:sz="4" w:space="0" w:color="auto"/>
              <w:right w:val="single" w:sz="4" w:space="0" w:color="auto"/>
            </w:tcBorders>
          </w:tcPr>
          <w:p w:rsidR="00FB66FF" w:rsidRPr="000E65AA" w:rsidRDefault="00FB66FF" w:rsidP="00ED1990">
            <w:pPr>
              <w:pStyle w:val="Sidehoved"/>
              <w:ind w:left="26"/>
              <w:rPr>
                <w:sz w:val="22"/>
                <w:szCs w:val="22"/>
              </w:rPr>
            </w:pPr>
          </w:p>
        </w:tc>
      </w:tr>
      <w:tr w:rsidR="00FB66FF" w:rsidRPr="000E65AA" w:rsidTr="00ED1990">
        <w:tc>
          <w:tcPr>
            <w:tcW w:w="2207" w:type="dxa"/>
            <w:tcBorders>
              <w:top w:val="single" w:sz="12" w:space="0" w:color="auto"/>
              <w:left w:val="single" w:sz="4" w:space="0" w:color="auto"/>
              <w:bottom w:val="single" w:sz="12" w:space="0" w:color="auto"/>
              <w:right w:val="single" w:sz="4" w:space="0" w:color="auto"/>
            </w:tcBorders>
            <w:hideMark/>
          </w:tcPr>
          <w:p w:rsidR="00FB66FF" w:rsidRPr="000E65AA" w:rsidRDefault="00FB66FF" w:rsidP="00ED1990">
            <w:pPr>
              <w:pStyle w:val="Sidehoved"/>
              <w:ind w:left="67"/>
              <w:rPr>
                <w:bCs/>
                <w:i/>
                <w:sz w:val="22"/>
                <w:szCs w:val="22"/>
              </w:rPr>
            </w:pPr>
            <w:r w:rsidRPr="000E65AA">
              <w:rPr>
                <w:i/>
                <w:sz w:val="22"/>
                <w:szCs w:val="22"/>
              </w:rPr>
              <w:t>Infektioner og parasitære sygdomme</w:t>
            </w:r>
          </w:p>
        </w:tc>
        <w:tc>
          <w:tcPr>
            <w:tcW w:w="2183" w:type="dxa"/>
            <w:tcBorders>
              <w:top w:val="single" w:sz="12" w:space="0" w:color="auto"/>
              <w:left w:val="single" w:sz="4" w:space="0" w:color="auto"/>
              <w:bottom w:val="single" w:sz="12" w:space="0" w:color="auto"/>
              <w:right w:val="single" w:sz="4" w:space="0" w:color="auto"/>
            </w:tcBorders>
          </w:tcPr>
          <w:p w:rsidR="00FB66FF" w:rsidRPr="000E65AA" w:rsidRDefault="00FB66FF" w:rsidP="00ED1990">
            <w:pPr>
              <w:pStyle w:val="Sidehoved"/>
              <w:ind w:left="82"/>
              <w:rPr>
                <w:sz w:val="22"/>
                <w:szCs w:val="22"/>
              </w:rPr>
            </w:pPr>
          </w:p>
        </w:tc>
        <w:tc>
          <w:tcPr>
            <w:tcW w:w="2880" w:type="dxa"/>
            <w:tcBorders>
              <w:top w:val="single" w:sz="12" w:space="0" w:color="auto"/>
              <w:left w:val="single" w:sz="4" w:space="0" w:color="auto"/>
              <w:bottom w:val="single" w:sz="12" w:space="0" w:color="auto"/>
              <w:right w:val="single" w:sz="4" w:space="0" w:color="auto"/>
            </w:tcBorders>
            <w:hideMark/>
          </w:tcPr>
          <w:p w:rsidR="00FB66FF" w:rsidRPr="000E65AA" w:rsidRDefault="00FB66FF" w:rsidP="00ED1990">
            <w:pPr>
              <w:pStyle w:val="Sidehoved"/>
              <w:ind w:left="71"/>
              <w:rPr>
                <w:sz w:val="22"/>
                <w:szCs w:val="22"/>
              </w:rPr>
            </w:pPr>
            <w:proofErr w:type="spellStart"/>
            <w:r w:rsidRPr="000E65AA">
              <w:rPr>
                <w:sz w:val="22"/>
                <w:szCs w:val="22"/>
              </w:rPr>
              <w:t>Candidiasis</w:t>
            </w:r>
            <w:proofErr w:type="spellEnd"/>
          </w:p>
        </w:tc>
        <w:tc>
          <w:tcPr>
            <w:tcW w:w="2472" w:type="dxa"/>
            <w:tcBorders>
              <w:top w:val="single" w:sz="12" w:space="0" w:color="auto"/>
              <w:left w:val="single" w:sz="4" w:space="0" w:color="auto"/>
              <w:bottom w:val="single" w:sz="12" w:space="0" w:color="auto"/>
              <w:right w:val="single" w:sz="4" w:space="0" w:color="auto"/>
            </w:tcBorders>
          </w:tcPr>
          <w:p w:rsidR="00FB66FF" w:rsidRPr="000E65AA" w:rsidRDefault="00FB66FF" w:rsidP="00ED1990">
            <w:pPr>
              <w:pStyle w:val="Sidehoved"/>
              <w:ind w:left="26"/>
              <w:rPr>
                <w:sz w:val="22"/>
                <w:szCs w:val="22"/>
              </w:rPr>
            </w:pPr>
          </w:p>
        </w:tc>
      </w:tr>
      <w:tr w:rsidR="00FB66FF" w:rsidRPr="000E65AA" w:rsidTr="00ED1990">
        <w:tc>
          <w:tcPr>
            <w:tcW w:w="2207" w:type="dxa"/>
            <w:tcBorders>
              <w:top w:val="single" w:sz="12" w:space="0" w:color="auto"/>
              <w:left w:val="single" w:sz="4" w:space="0" w:color="auto"/>
              <w:bottom w:val="single" w:sz="12" w:space="0" w:color="auto"/>
              <w:right w:val="single" w:sz="4" w:space="0" w:color="auto"/>
            </w:tcBorders>
            <w:hideMark/>
          </w:tcPr>
          <w:p w:rsidR="00FB66FF" w:rsidRPr="000E65AA" w:rsidRDefault="00FB66FF" w:rsidP="00ED1990">
            <w:pPr>
              <w:pStyle w:val="Sidehoved"/>
              <w:ind w:left="67"/>
              <w:rPr>
                <w:bCs/>
                <w:i/>
                <w:sz w:val="22"/>
                <w:szCs w:val="22"/>
              </w:rPr>
            </w:pPr>
            <w:r w:rsidRPr="000E65AA">
              <w:rPr>
                <w:i/>
                <w:sz w:val="22"/>
                <w:szCs w:val="22"/>
              </w:rPr>
              <w:t xml:space="preserve">Nervesystemet </w:t>
            </w:r>
          </w:p>
        </w:tc>
        <w:tc>
          <w:tcPr>
            <w:tcW w:w="2183" w:type="dxa"/>
            <w:tcBorders>
              <w:top w:val="single" w:sz="12" w:space="0" w:color="auto"/>
              <w:left w:val="single" w:sz="4" w:space="0" w:color="auto"/>
              <w:bottom w:val="single" w:sz="12" w:space="0" w:color="auto"/>
              <w:right w:val="single" w:sz="4" w:space="0" w:color="auto"/>
            </w:tcBorders>
          </w:tcPr>
          <w:p w:rsidR="00FB66FF" w:rsidRPr="000E65AA" w:rsidRDefault="00FB66FF" w:rsidP="00ED1990">
            <w:pPr>
              <w:pStyle w:val="Sidehoved"/>
              <w:ind w:left="82"/>
              <w:rPr>
                <w:sz w:val="22"/>
                <w:szCs w:val="22"/>
              </w:rPr>
            </w:pPr>
          </w:p>
        </w:tc>
        <w:tc>
          <w:tcPr>
            <w:tcW w:w="2880" w:type="dxa"/>
            <w:tcBorders>
              <w:top w:val="single" w:sz="12" w:space="0" w:color="auto"/>
              <w:left w:val="single" w:sz="4" w:space="0" w:color="auto"/>
              <w:bottom w:val="single" w:sz="12" w:space="0" w:color="auto"/>
              <w:right w:val="single" w:sz="4" w:space="0" w:color="auto"/>
            </w:tcBorders>
            <w:hideMark/>
          </w:tcPr>
          <w:p w:rsidR="00FB66FF" w:rsidRPr="000E65AA" w:rsidRDefault="00FB66FF" w:rsidP="00ED1990">
            <w:pPr>
              <w:pStyle w:val="Sidehoved"/>
              <w:ind w:left="71"/>
              <w:rPr>
                <w:sz w:val="22"/>
                <w:szCs w:val="22"/>
              </w:rPr>
            </w:pPr>
            <w:r w:rsidRPr="000E65AA">
              <w:rPr>
                <w:sz w:val="22"/>
                <w:szCs w:val="22"/>
              </w:rPr>
              <w:t>Hovedpine</w:t>
            </w:r>
          </w:p>
        </w:tc>
        <w:tc>
          <w:tcPr>
            <w:tcW w:w="2472" w:type="dxa"/>
            <w:tcBorders>
              <w:top w:val="single" w:sz="12" w:space="0" w:color="auto"/>
              <w:left w:val="single" w:sz="4" w:space="0" w:color="auto"/>
              <w:bottom w:val="single" w:sz="12" w:space="0" w:color="auto"/>
              <w:right w:val="single" w:sz="4" w:space="0" w:color="auto"/>
            </w:tcBorders>
          </w:tcPr>
          <w:p w:rsidR="00FB66FF" w:rsidRPr="000E65AA" w:rsidRDefault="00FB66FF" w:rsidP="00ED1990">
            <w:pPr>
              <w:pStyle w:val="Sidehoved"/>
              <w:ind w:left="26"/>
              <w:rPr>
                <w:sz w:val="22"/>
                <w:szCs w:val="22"/>
              </w:rPr>
            </w:pPr>
          </w:p>
        </w:tc>
      </w:tr>
      <w:tr w:rsidR="00FB66FF" w:rsidRPr="000E65AA" w:rsidTr="00ED1990">
        <w:trPr>
          <w:cantSplit/>
        </w:trPr>
        <w:tc>
          <w:tcPr>
            <w:tcW w:w="2207" w:type="dxa"/>
            <w:vMerge w:val="restart"/>
            <w:tcBorders>
              <w:top w:val="single" w:sz="12" w:space="0" w:color="auto"/>
              <w:left w:val="single" w:sz="4" w:space="0" w:color="auto"/>
              <w:bottom w:val="single" w:sz="12" w:space="0" w:color="auto"/>
              <w:right w:val="single" w:sz="4" w:space="0" w:color="auto"/>
            </w:tcBorders>
            <w:hideMark/>
          </w:tcPr>
          <w:p w:rsidR="00FB66FF" w:rsidRPr="000E65AA" w:rsidRDefault="00FB66FF" w:rsidP="00ED1990">
            <w:pPr>
              <w:pStyle w:val="Sidehoved"/>
              <w:ind w:left="67"/>
              <w:rPr>
                <w:sz w:val="22"/>
                <w:szCs w:val="22"/>
              </w:rPr>
            </w:pPr>
            <w:r w:rsidRPr="000E65AA">
              <w:rPr>
                <w:bCs/>
                <w:i/>
                <w:iCs/>
                <w:sz w:val="22"/>
                <w:szCs w:val="22"/>
              </w:rPr>
              <w:t>Hud og subkutane væv</w:t>
            </w:r>
          </w:p>
        </w:tc>
        <w:tc>
          <w:tcPr>
            <w:tcW w:w="2183" w:type="dxa"/>
            <w:tcBorders>
              <w:top w:val="single" w:sz="12" w:space="0" w:color="auto"/>
              <w:left w:val="single" w:sz="4" w:space="0" w:color="auto"/>
              <w:bottom w:val="single" w:sz="4" w:space="0" w:color="auto"/>
              <w:right w:val="single" w:sz="4" w:space="0" w:color="auto"/>
            </w:tcBorders>
            <w:hideMark/>
          </w:tcPr>
          <w:p w:rsidR="00FB66FF" w:rsidRPr="000E65AA" w:rsidRDefault="00FB66FF" w:rsidP="00ED1990">
            <w:pPr>
              <w:pStyle w:val="Sidehoved"/>
              <w:ind w:left="82"/>
              <w:rPr>
                <w:sz w:val="22"/>
                <w:szCs w:val="22"/>
              </w:rPr>
            </w:pPr>
            <w:proofErr w:type="spellStart"/>
            <w:r w:rsidRPr="000E65AA">
              <w:rPr>
                <w:sz w:val="22"/>
                <w:szCs w:val="22"/>
              </w:rPr>
              <w:t>Pruritus</w:t>
            </w:r>
            <w:proofErr w:type="spellEnd"/>
          </w:p>
        </w:tc>
        <w:tc>
          <w:tcPr>
            <w:tcW w:w="2880" w:type="dxa"/>
            <w:tcBorders>
              <w:top w:val="single" w:sz="12" w:space="0" w:color="auto"/>
              <w:left w:val="single" w:sz="4" w:space="0" w:color="auto"/>
              <w:bottom w:val="single" w:sz="4" w:space="0" w:color="auto"/>
              <w:right w:val="single" w:sz="4" w:space="0" w:color="auto"/>
            </w:tcBorders>
          </w:tcPr>
          <w:p w:rsidR="00FB66FF" w:rsidRPr="000E65AA" w:rsidRDefault="00FB66FF" w:rsidP="00ED1990">
            <w:pPr>
              <w:pStyle w:val="Sidehoved"/>
              <w:ind w:left="71"/>
              <w:rPr>
                <w:sz w:val="22"/>
                <w:szCs w:val="22"/>
              </w:rPr>
            </w:pPr>
          </w:p>
        </w:tc>
        <w:tc>
          <w:tcPr>
            <w:tcW w:w="2472" w:type="dxa"/>
            <w:tcBorders>
              <w:top w:val="single" w:sz="12" w:space="0" w:color="auto"/>
              <w:left w:val="single" w:sz="4" w:space="0" w:color="auto"/>
              <w:bottom w:val="single" w:sz="4" w:space="0" w:color="auto"/>
              <w:right w:val="single" w:sz="4" w:space="0" w:color="auto"/>
            </w:tcBorders>
          </w:tcPr>
          <w:p w:rsidR="00FB66FF" w:rsidRPr="000E65AA" w:rsidRDefault="00FB66FF" w:rsidP="00ED1990">
            <w:pPr>
              <w:pStyle w:val="Sidehoved"/>
              <w:ind w:left="26"/>
              <w:rPr>
                <w:sz w:val="22"/>
                <w:szCs w:val="22"/>
              </w:rPr>
            </w:pPr>
          </w:p>
        </w:tc>
      </w:tr>
      <w:tr w:rsidR="00FB66FF" w:rsidRPr="000E65AA" w:rsidTr="00ED1990">
        <w:trPr>
          <w:cantSplit/>
        </w:trPr>
        <w:tc>
          <w:tcPr>
            <w:tcW w:w="0" w:type="auto"/>
            <w:vMerge/>
            <w:tcBorders>
              <w:top w:val="single" w:sz="12" w:space="0" w:color="auto"/>
              <w:left w:val="single" w:sz="4" w:space="0" w:color="auto"/>
              <w:bottom w:val="single" w:sz="12" w:space="0" w:color="auto"/>
              <w:right w:val="single" w:sz="4" w:space="0" w:color="auto"/>
            </w:tcBorders>
            <w:vAlign w:val="center"/>
            <w:hideMark/>
          </w:tcPr>
          <w:p w:rsidR="00FB66FF" w:rsidRPr="000E65AA" w:rsidRDefault="00FB66FF" w:rsidP="00ED1990">
            <w:pPr>
              <w:pStyle w:val="Sidehoved"/>
              <w:ind w:left="67"/>
              <w:rPr>
                <w:sz w:val="22"/>
                <w:szCs w:val="22"/>
              </w:rPr>
            </w:pPr>
          </w:p>
        </w:tc>
        <w:tc>
          <w:tcPr>
            <w:tcW w:w="2183" w:type="dxa"/>
            <w:tcBorders>
              <w:top w:val="single" w:sz="4" w:space="0" w:color="auto"/>
              <w:left w:val="single" w:sz="4" w:space="0" w:color="auto"/>
              <w:bottom w:val="single" w:sz="12" w:space="0" w:color="auto"/>
              <w:right w:val="single" w:sz="4" w:space="0" w:color="auto"/>
            </w:tcBorders>
          </w:tcPr>
          <w:p w:rsidR="00FB66FF" w:rsidRPr="000E65AA" w:rsidRDefault="00FB66FF" w:rsidP="00ED1990">
            <w:pPr>
              <w:pStyle w:val="Sidehoved"/>
              <w:ind w:left="82"/>
              <w:rPr>
                <w:sz w:val="22"/>
                <w:szCs w:val="22"/>
              </w:rPr>
            </w:pPr>
          </w:p>
        </w:tc>
        <w:tc>
          <w:tcPr>
            <w:tcW w:w="2880" w:type="dxa"/>
            <w:tcBorders>
              <w:top w:val="single" w:sz="4" w:space="0" w:color="auto"/>
              <w:left w:val="single" w:sz="4" w:space="0" w:color="auto"/>
              <w:bottom w:val="single" w:sz="12" w:space="0" w:color="auto"/>
              <w:right w:val="single" w:sz="4" w:space="0" w:color="auto"/>
            </w:tcBorders>
            <w:hideMark/>
          </w:tcPr>
          <w:p w:rsidR="00FB66FF" w:rsidRPr="000E65AA" w:rsidRDefault="00FB66FF" w:rsidP="00ED1990">
            <w:pPr>
              <w:pStyle w:val="Sidehoved"/>
              <w:ind w:left="71"/>
              <w:rPr>
                <w:sz w:val="22"/>
                <w:szCs w:val="22"/>
              </w:rPr>
            </w:pPr>
            <w:proofErr w:type="spellStart"/>
            <w:r w:rsidRPr="000E65AA">
              <w:rPr>
                <w:sz w:val="22"/>
                <w:szCs w:val="22"/>
              </w:rPr>
              <w:t>Prurigo</w:t>
            </w:r>
            <w:proofErr w:type="spellEnd"/>
          </w:p>
        </w:tc>
        <w:tc>
          <w:tcPr>
            <w:tcW w:w="2472" w:type="dxa"/>
            <w:tcBorders>
              <w:top w:val="single" w:sz="4" w:space="0" w:color="auto"/>
              <w:left w:val="single" w:sz="4" w:space="0" w:color="auto"/>
              <w:bottom w:val="single" w:sz="12" w:space="0" w:color="auto"/>
              <w:right w:val="single" w:sz="4" w:space="0" w:color="auto"/>
            </w:tcBorders>
          </w:tcPr>
          <w:p w:rsidR="00FB66FF" w:rsidRPr="000E65AA" w:rsidRDefault="00FB66FF" w:rsidP="00ED1990">
            <w:pPr>
              <w:pStyle w:val="Sidehoved"/>
              <w:ind w:left="26"/>
              <w:rPr>
                <w:sz w:val="22"/>
                <w:szCs w:val="22"/>
              </w:rPr>
            </w:pPr>
          </w:p>
        </w:tc>
      </w:tr>
    </w:tbl>
    <w:p w:rsidR="00336F91" w:rsidRPr="00A569A9" w:rsidRDefault="00336F91" w:rsidP="00336F91">
      <w:pPr>
        <w:pStyle w:val="Sidehoved"/>
        <w:tabs>
          <w:tab w:val="left" w:pos="851"/>
        </w:tabs>
        <w:ind w:left="851"/>
        <w:rPr>
          <w:szCs w:val="24"/>
        </w:rPr>
      </w:pPr>
    </w:p>
    <w:p w:rsidR="004F70F7" w:rsidRPr="000E65AA" w:rsidRDefault="004F70F7" w:rsidP="004F70F7">
      <w:pPr>
        <w:pStyle w:val="Sidehoved"/>
        <w:tabs>
          <w:tab w:val="left" w:pos="851"/>
        </w:tabs>
        <w:ind w:left="851"/>
        <w:rPr>
          <w:szCs w:val="24"/>
        </w:rPr>
      </w:pPr>
      <w:r w:rsidRPr="000E65AA">
        <w:rPr>
          <w:szCs w:val="24"/>
        </w:rPr>
        <w:t xml:space="preserve">Gelisse er en vaginalgel til lokal administration med en meget lav dosis </w:t>
      </w:r>
      <w:proofErr w:type="spellStart"/>
      <w:r w:rsidRPr="000E65AA">
        <w:rPr>
          <w:szCs w:val="24"/>
        </w:rPr>
        <w:t>estriol</w:t>
      </w:r>
      <w:proofErr w:type="spellEnd"/>
      <w:r w:rsidRPr="000E65AA">
        <w:rPr>
          <w:szCs w:val="24"/>
        </w:rPr>
        <w:t xml:space="preserve"> og selvbegrænsende systemisk eksponering (påvist at være næsten ubetydelig efter gentagen administration), og der er som sådan meget lille sandsynlighed for, at det forårsager de mere alvorlige bivirkninger, som er forbundet med oral substitutionsterapi med østrogen. </w:t>
      </w:r>
    </w:p>
    <w:p w:rsidR="004F70F7" w:rsidRPr="000E65AA" w:rsidRDefault="004F70F7" w:rsidP="004F70F7">
      <w:pPr>
        <w:pStyle w:val="Sidehoved"/>
        <w:tabs>
          <w:tab w:val="left" w:pos="851"/>
        </w:tabs>
        <w:ind w:left="851"/>
        <w:rPr>
          <w:szCs w:val="24"/>
        </w:rPr>
      </w:pPr>
    </w:p>
    <w:p w:rsidR="004F70F7" w:rsidRPr="000E65AA" w:rsidRDefault="004F70F7" w:rsidP="004F70F7">
      <w:pPr>
        <w:ind w:left="851" w:right="-1"/>
        <w:rPr>
          <w:b/>
          <w:spacing w:val="-3"/>
          <w:sz w:val="24"/>
          <w:szCs w:val="24"/>
          <w:u w:val="single"/>
        </w:rPr>
      </w:pPr>
      <w:r w:rsidRPr="000E65AA">
        <w:rPr>
          <w:b/>
          <w:spacing w:val="-3"/>
          <w:sz w:val="24"/>
          <w:szCs w:val="24"/>
        </w:rPr>
        <w:t>Klasseeffekter i forbindelse med systemisk HRT</w:t>
      </w:r>
    </w:p>
    <w:p w:rsidR="004F70F7" w:rsidRPr="000E65AA" w:rsidRDefault="004F70F7" w:rsidP="004F70F7">
      <w:pPr>
        <w:ind w:left="851" w:right="-1"/>
        <w:rPr>
          <w:i/>
          <w:sz w:val="24"/>
          <w:szCs w:val="24"/>
        </w:rPr>
      </w:pPr>
      <w:r w:rsidRPr="000E65AA">
        <w:rPr>
          <w:i/>
          <w:sz w:val="24"/>
          <w:szCs w:val="24"/>
        </w:rPr>
        <w:t xml:space="preserve">Følgende risici har været associeret med </w:t>
      </w:r>
      <w:r w:rsidRPr="000E65AA">
        <w:rPr>
          <w:bCs/>
          <w:i/>
          <w:sz w:val="24"/>
          <w:szCs w:val="24"/>
        </w:rPr>
        <w:t>systemisk</w:t>
      </w:r>
      <w:r w:rsidRPr="000E65AA">
        <w:rPr>
          <w:b/>
          <w:i/>
          <w:sz w:val="24"/>
          <w:szCs w:val="24"/>
        </w:rPr>
        <w:t xml:space="preserve"> </w:t>
      </w:r>
      <w:r w:rsidRPr="000E65AA">
        <w:rPr>
          <w:i/>
          <w:sz w:val="24"/>
          <w:szCs w:val="24"/>
        </w:rPr>
        <w:t xml:space="preserve">HRT og gælder i mindre omfang østrogenprodukter til vaginal anvendelse, hvor den systemiske eksponering af østrogen forbliver inden for det normale </w:t>
      </w:r>
      <w:proofErr w:type="spellStart"/>
      <w:r w:rsidRPr="000E65AA">
        <w:rPr>
          <w:i/>
          <w:sz w:val="24"/>
          <w:szCs w:val="24"/>
        </w:rPr>
        <w:t>postmenopausale</w:t>
      </w:r>
      <w:proofErr w:type="spellEnd"/>
      <w:r w:rsidRPr="000E65AA">
        <w:rPr>
          <w:i/>
          <w:sz w:val="24"/>
          <w:szCs w:val="24"/>
        </w:rPr>
        <w:t xml:space="preserve"> område.</w:t>
      </w:r>
    </w:p>
    <w:p w:rsidR="004F70F7" w:rsidRPr="000E65AA" w:rsidRDefault="004F70F7" w:rsidP="004F70F7">
      <w:pPr>
        <w:ind w:left="851" w:right="-1"/>
        <w:rPr>
          <w:sz w:val="24"/>
          <w:szCs w:val="24"/>
        </w:rPr>
      </w:pPr>
    </w:p>
    <w:p w:rsidR="004F70F7" w:rsidRPr="00ED1990" w:rsidRDefault="004F70F7" w:rsidP="004F70F7">
      <w:pPr>
        <w:ind w:left="851" w:right="-1"/>
        <w:rPr>
          <w:bCs/>
          <w:sz w:val="24"/>
          <w:szCs w:val="24"/>
          <w:u w:val="single"/>
        </w:rPr>
      </w:pPr>
      <w:r w:rsidRPr="00ED1990">
        <w:rPr>
          <w:bCs/>
          <w:sz w:val="24"/>
          <w:szCs w:val="24"/>
          <w:u w:val="single"/>
        </w:rPr>
        <w:t>Ovariecancer</w:t>
      </w:r>
    </w:p>
    <w:p w:rsidR="004F70F7" w:rsidRPr="000E65AA" w:rsidRDefault="004F70F7" w:rsidP="004F70F7">
      <w:pPr>
        <w:ind w:left="851" w:right="-1"/>
        <w:rPr>
          <w:sz w:val="24"/>
          <w:szCs w:val="24"/>
        </w:rPr>
      </w:pPr>
      <w:r w:rsidRPr="000E65AA">
        <w:rPr>
          <w:b/>
          <w:sz w:val="24"/>
          <w:szCs w:val="24"/>
        </w:rPr>
        <w:t>Systemisk</w:t>
      </w:r>
      <w:r w:rsidRPr="000E65AA">
        <w:rPr>
          <w:sz w:val="24"/>
          <w:szCs w:val="24"/>
        </w:rPr>
        <w:t xml:space="preserve"> HRT-behandling har været associeret med en let forhøjet risiko for at få ovariecancer (se pkt. 4.4).</w:t>
      </w:r>
    </w:p>
    <w:p w:rsidR="004F70F7" w:rsidRPr="000E65AA" w:rsidRDefault="004F70F7" w:rsidP="004F70F7">
      <w:pPr>
        <w:ind w:left="851" w:right="-1"/>
        <w:rPr>
          <w:sz w:val="24"/>
          <w:szCs w:val="24"/>
        </w:rPr>
      </w:pPr>
    </w:p>
    <w:p w:rsidR="004F70F7" w:rsidRPr="000E65AA" w:rsidRDefault="004F70F7" w:rsidP="004F70F7">
      <w:pPr>
        <w:ind w:left="851" w:right="-1"/>
        <w:rPr>
          <w:sz w:val="24"/>
          <w:szCs w:val="24"/>
        </w:rPr>
      </w:pPr>
      <w:r w:rsidRPr="000E65AA">
        <w:rPr>
          <w:sz w:val="24"/>
          <w:szCs w:val="24"/>
        </w:rPr>
        <w:t xml:space="preserve">En </w:t>
      </w:r>
      <w:proofErr w:type="spellStart"/>
      <w:r w:rsidRPr="000E65AA">
        <w:rPr>
          <w:sz w:val="24"/>
          <w:szCs w:val="24"/>
        </w:rPr>
        <w:t>meta</w:t>
      </w:r>
      <w:proofErr w:type="spellEnd"/>
      <w:r w:rsidRPr="000E65AA">
        <w:rPr>
          <w:sz w:val="24"/>
          <w:szCs w:val="24"/>
        </w:rPr>
        <w:t xml:space="preserve">-analyse fra 52 epidemiologiske studier viste en forhøjet risiko for ovariecancer hos kvinder, der bruger systemisk HRT, sammenlignet med kvinder, der aldrig har brugt HRT (RR 1,43, 95 % CI 1,31-1,56). For kvinder i alderen 50-54 år, der har taget HRT i 5 år, svarer det til ca. 1 yderligere tilfælde pr. 2.000 brugere. Blandt kvinder i alderen 50-54 </w:t>
      </w:r>
      <w:r w:rsidRPr="000E65AA">
        <w:rPr>
          <w:sz w:val="24"/>
          <w:szCs w:val="24"/>
        </w:rPr>
        <w:lastRenderedPageBreak/>
        <w:t>år, som ikke tager HRT, diagnosticeres ovariecancer hos ca. 2 ud af 2.000 kvinder i løbet af en periode på 5 år.</w:t>
      </w:r>
    </w:p>
    <w:p w:rsidR="004F70F7" w:rsidRPr="000E65AA" w:rsidRDefault="004F70F7" w:rsidP="004F70F7">
      <w:pPr>
        <w:ind w:left="851" w:right="-1"/>
        <w:rPr>
          <w:sz w:val="24"/>
          <w:szCs w:val="24"/>
        </w:rPr>
      </w:pPr>
    </w:p>
    <w:p w:rsidR="004F70F7" w:rsidRPr="00ED1990" w:rsidRDefault="004F70F7" w:rsidP="004F70F7">
      <w:pPr>
        <w:ind w:left="851" w:right="-1"/>
        <w:rPr>
          <w:bCs/>
          <w:sz w:val="24"/>
          <w:szCs w:val="24"/>
          <w:u w:val="single"/>
        </w:rPr>
      </w:pPr>
      <w:r w:rsidRPr="00ED1990">
        <w:rPr>
          <w:bCs/>
          <w:sz w:val="24"/>
          <w:szCs w:val="24"/>
          <w:u w:val="single"/>
        </w:rPr>
        <w:t xml:space="preserve">Risiko for venøs </w:t>
      </w:r>
      <w:proofErr w:type="spellStart"/>
      <w:r w:rsidRPr="00ED1990">
        <w:rPr>
          <w:bCs/>
          <w:sz w:val="24"/>
          <w:szCs w:val="24"/>
          <w:u w:val="single"/>
        </w:rPr>
        <w:t>tromboemboli</w:t>
      </w:r>
      <w:proofErr w:type="spellEnd"/>
    </w:p>
    <w:p w:rsidR="004F70F7" w:rsidRDefault="004F70F7" w:rsidP="004F70F7">
      <w:pPr>
        <w:ind w:left="851" w:right="-1"/>
        <w:rPr>
          <w:sz w:val="24"/>
          <w:szCs w:val="24"/>
        </w:rPr>
      </w:pPr>
      <w:r w:rsidRPr="000E65AA">
        <w:rPr>
          <w:b/>
          <w:sz w:val="24"/>
          <w:szCs w:val="24"/>
        </w:rPr>
        <w:t>Systemisk</w:t>
      </w:r>
      <w:r w:rsidRPr="000E65AA">
        <w:rPr>
          <w:sz w:val="24"/>
          <w:szCs w:val="24"/>
        </w:rPr>
        <w:t xml:space="preserve"> HRT er associeret med en 1,3 til 3 gange forøget relativ risiko for udvikling af venøs </w:t>
      </w:r>
      <w:proofErr w:type="spellStart"/>
      <w:r w:rsidRPr="000E65AA">
        <w:rPr>
          <w:sz w:val="24"/>
          <w:szCs w:val="24"/>
        </w:rPr>
        <w:t>tromboemboli</w:t>
      </w:r>
      <w:proofErr w:type="spellEnd"/>
      <w:r w:rsidRPr="000E65AA">
        <w:rPr>
          <w:sz w:val="24"/>
          <w:szCs w:val="24"/>
        </w:rPr>
        <w:t xml:space="preserve"> (VTE), dvs. dyb venetrombose eller </w:t>
      </w:r>
      <w:proofErr w:type="spellStart"/>
      <w:r w:rsidRPr="000E65AA">
        <w:rPr>
          <w:sz w:val="24"/>
          <w:szCs w:val="24"/>
        </w:rPr>
        <w:t>lungeemboli</w:t>
      </w:r>
      <w:proofErr w:type="spellEnd"/>
      <w:r w:rsidRPr="000E65AA">
        <w:rPr>
          <w:sz w:val="24"/>
          <w:szCs w:val="24"/>
        </w:rPr>
        <w:t xml:space="preserve">. Forekomsten af en sådan hændelse er mere sandsynlig i det første </w:t>
      </w:r>
      <w:proofErr w:type="spellStart"/>
      <w:r w:rsidRPr="000E65AA">
        <w:rPr>
          <w:sz w:val="24"/>
          <w:szCs w:val="24"/>
        </w:rPr>
        <w:t>behandlingsår</w:t>
      </w:r>
      <w:proofErr w:type="spellEnd"/>
      <w:r w:rsidRPr="000E65AA">
        <w:rPr>
          <w:sz w:val="24"/>
          <w:szCs w:val="24"/>
        </w:rPr>
        <w:t xml:space="preserve"> med HRT (se pkt. 4.4). Resultater fra WHI-studiet er fremstillet nedenfor:</w:t>
      </w:r>
      <w:r>
        <w:rPr>
          <w:sz w:val="24"/>
          <w:szCs w:val="24"/>
        </w:rPr>
        <w:br/>
      </w:r>
    </w:p>
    <w:p w:rsidR="004F70F7" w:rsidRDefault="004F70F7" w:rsidP="004F70F7">
      <w:pPr>
        <w:ind w:left="851" w:right="-1"/>
        <w:rPr>
          <w:sz w:val="24"/>
          <w:szCs w:val="24"/>
        </w:rPr>
      </w:pPr>
      <w:r w:rsidRPr="000E65AA">
        <w:rPr>
          <w:b/>
          <w:sz w:val="24"/>
          <w:szCs w:val="24"/>
        </w:rPr>
        <w:t>WHI-studier – Yderligere risiko for VTE over 5</w:t>
      </w:r>
      <w:r w:rsidRPr="000E65AA">
        <w:rPr>
          <w:bCs/>
          <w:iCs/>
          <w:sz w:val="24"/>
          <w:szCs w:val="24"/>
          <w:lang w:eastAsia="da-DK"/>
        </w:rPr>
        <w:t> </w:t>
      </w:r>
      <w:r w:rsidRPr="000E65AA">
        <w:rPr>
          <w:b/>
          <w:sz w:val="24"/>
          <w:szCs w:val="24"/>
        </w:rPr>
        <w:t>års behandling</w:t>
      </w:r>
    </w:p>
    <w:tbl>
      <w:tblPr>
        <w:tblW w:w="857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2805"/>
        <w:gridCol w:w="1701"/>
        <w:gridCol w:w="2478"/>
      </w:tblGrid>
      <w:tr w:rsidR="004F70F7" w:rsidRPr="000E65AA" w:rsidTr="00ED1990">
        <w:tc>
          <w:tcPr>
            <w:tcW w:w="1589" w:type="dxa"/>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sz w:val="24"/>
                <w:szCs w:val="24"/>
              </w:rPr>
            </w:pPr>
            <w:r w:rsidRPr="000E65AA">
              <w:rPr>
                <w:sz w:val="24"/>
                <w:szCs w:val="24"/>
              </w:rPr>
              <w:t>Aldersinterval (år)</w:t>
            </w:r>
          </w:p>
        </w:tc>
        <w:tc>
          <w:tcPr>
            <w:tcW w:w="2805" w:type="dxa"/>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sz w:val="24"/>
                <w:szCs w:val="24"/>
              </w:rPr>
            </w:pPr>
            <w:r w:rsidRPr="000E65AA">
              <w:rPr>
                <w:sz w:val="24"/>
                <w:szCs w:val="24"/>
              </w:rPr>
              <w:t xml:space="preserve">Tilfælde pr. 1.000 kvinder i placebo-arm over en </w:t>
            </w:r>
            <w:proofErr w:type="gramStart"/>
            <w:r w:rsidRPr="000E65AA">
              <w:rPr>
                <w:sz w:val="24"/>
                <w:szCs w:val="24"/>
              </w:rPr>
              <w:t>5</w:t>
            </w:r>
            <w:r w:rsidRPr="000E65AA">
              <w:rPr>
                <w:bCs/>
                <w:iCs/>
                <w:sz w:val="24"/>
                <w:szCs w:val="24"/>
                <w:lang w:eastAsia="da-DK"/>
              </w:rPr>
              <w:t> </w:t>
            </w:r>
            <w:r w:rsidRPr="000E65AA">
              <w:rPr>
                <w:sz w:val="24"/>
                <w:szCs w:val="24"/>
              </w:rPr>
              <w:t>årig</w:t>
            </w:r>
            <w:proofErr w:type="gramEnd"/>
            <w:r w:rsidRPr="000E65AA">
              <w:rPr>
                <w:sz w:val="24"/>
                <w:szCs w:val="24"/>
              </w:rPr>
              <w:t xml:space="preserve"> periode</w:t>
            </w:r>
          </w:p>
        </w:tc>
        <w:tc>
          <w:tcPr>
            <w:tcW w:w="1701" w:type="dxa"/>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sz w:val="24"/>
                <w:szCs w:val="24"/>
              </w:rPr>
            </w:pPr>
            <w:r w:rsidRPr="000E65AA">
              <w:rPr>
                <w:sz w:val="24"/>
                <w:szCs w:val="24"/>
              </w:rPr>
              <w:t>Risiko-ratio og 95 % CI</w:t>
            </w:r>
          </w:p>
        </w:tc>
        <w:tc>
          <w:tcPr>
            <w:tcW w:w="2478" w:type="dxa"/>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sz w:val="24"/>
                <w:szCs w:val="24"/>
              </w:rPr>
            </w:pPr>
            <w:r w:rsidRPr="000E65AA">
              <w:rPr>
                <w:sz w:val="24"/>
                <w:szCs w:val="24"/>
              </w:rPr>
              <w:t>Yderligere tilfælde pr. 1.000 HRT-brugere</w:t>
            </w:r>
          </w:p>
        </w:tc>
      </w:tr>
      <w:tr w:rsidR="004F70F7" w:rsidRPr="000E65AA" w:rsidTr="00ED1990">
        <w:tc>
          <w:tcPr>
            <w:tcW w:w="8573" w:type="dxa"/>
            <w:gridSpan w:val="4"/>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b/>
                <w:sz w:val="24"/>
                <w:szCs w:val="24"/>
              </w:rPr>
            </w:pPr>
            <w:proofErr w:type="gramStart"/>
            <w:r w:rsidRPr="000E65AA">
              <w:rPr>
                <w:b/>
                <w:sz w:val="24"/>
                <w:szCs w:val="24"/>
              </w:rPr>
              <w:t>Oral østrogen</w:t>
            </w:r>
            <w:proofErr w:type="gramEnd"/>
            <w:r w:rsidRPr="000E65AA">
              <w:rPr>
                <w:b/>
                <w:sz w:val="24"/>
                <w:szCs w:val="24"/>
              </w:rPr>
              <w:t xml:space="preserve"> - alene*</w:t>
            </w:r>
          </w:p>
        </w:tc>
      </w:tr>
      <w:tr w:rsidR="004F70F7" w:rsidRPr="000E65AA" w:rsidTr="00ED1990">
        <w:tc>
          <w:tcPr>
            <w:tcW w:w="1589" w:type="dxa"/>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sz w:val="24"/>
                <w:szCs w:val="24"/>
              </w:rPr>
            </w:pPr>
            <w:r w:rsidRPr="000E65AA">
              <w:rPr>
                <w:sz w:val="24"/>
                <w:szCs w:val="24"/>
              </w:rPr>
              <w:t xml:space="preserve">50 </w:t>
            </w:r>
            <w:r w:rsidRPr="000E65AA">
              <w:rPr>
                <w:sz w:val="24"/>
                <w:szCs w:val="24"/>
              </w:rPr>
              <w:sym w:font="Symbol" w:char="F02D"/>
            </w:r>
            <w:r w:rsidRPr="000E65AA">
              <w:rPr>
                <w:sz w:val="24"/>
                <w:szCs w:val="24"/>
              </w:rPr>
              <w:t xml:space="preserve"> 59</w:t>
            </w:r>
          </w:p>
        </w:tc>
        <w:tc>
          <w:tcPr>
            <w:tcW w:w="2805" w:type="dxa"/>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sz w:val="24"/>
                <w:szCs w:val="24"/>
              </w:rPr>
            </w:pPr>
            <w:r w:rsidRPr="000E65AA">
              <w:rPr>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sz w:val="24"/>
                <w:szCs w:val="24"/>
              </w:rPr>
            </w:pPr>
            <w:r w:rsidRPr="000E65AA">
              <w:rPr>
                <w:sz w:val="24"/>
                <w:szCs w:val="24"/>
              </w:rPr>
              <w:t xml:space="preserve">1,2 (0,6 </w:t>
            </w:r>
            <w:r w:rsidRPr="000E65AA">
              <w:rPr>
                <w:sz w:val="24"/>
                <w:szCs w:val="24"/>
              </w:rPr>
              <w:sym w:font="Symbol" w:char="F02D"/>
            </w:r>
            <w:r w:rsidRPr="000E65AA">
              <w:rPr>
                <w:sz w:val="24"/>
                <w:szCs w:val="24"/>
              </w:rPr>
              <w:t xml:space="preserve"> 2,4)</w:t>
            </w:r>
          </w:p>
        </w:tc>
        <w:tc>
          <w:tcPr>
            <w:tcW w:w="2478" w:type="dxa"/>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sz w:val="24"/>
                <w:szCs w:val="24"/>
              </w:rPr>
            </w:pPr>
            <w:r w:rsidRPr="000E65AA">
              <w:rPr>
                <w:sz w:val="24"/>
                <w:szCs w:val="24"/>
              </w:rPr>
              <w:t xml:space="preserve">1 (-3 </w:t>
            </w:r>
            <w:r w:rsidRPr="000E65AA">
              <w:rPr>
                <w:sz w:val="24"/>
                <w:szCs w:val="24"/>
              </w:rPr>
              <w:sym w:font="Symbol" w:char="F02D"/>
            </w:r>
            <w:r w:rsidRPr="000E65AA">
              <w:rPr>
                <w:sz w:val="24"/>
                <w:szCs w:val="24"/>
              </w:rPr>
              <w:t xml:space="preserve"> 10)</w:t>
            </w:r>
          </w:p>
        </w:tc>
      </w:tr>
    </w:tbl>
    <w:p w:rsidR="004F70F7" w:rsidRPr="000E65AA" w:rsidRDefault="004F70F7" w:rsidP="004F70F7">
      <w:pPr>
        <w:tabs>
          <w:tab w:val="left" w:pos="851"/>
        </w:tabs>
        <w:ind w:left="851" w:right="-1"/>
        <w:rPr>
          <w:sz w:val="20"/>
        </w:rPr>
      </w:pPr>
      <w:r w:rsidRPr="000E65AA">
        <w:rPr>
          <w:sz w:val="20"/>
        </w:rPr>
        <w:t>* Studie med kvinder uden livmoder</w:t>
      </w:r>
    </w:p>
    <w:p w:rsidR="004F70F7" w:rsidRPr="000E65AA" w:rsidRDefault="004F70F7" w:rsidP="004F70F7">
      <w:pPr>
        <w:tabs>
          <w:tab w:val="left" w:pos="851"/>
        </w:tabs>
        <w:ind w:left="851" w:right="-1"/>
        <w:rPr>
          <w:bCs/>
          <w:sz w:val="24"/>
          <w:szCs w:val="24"/>
          <w:u w:val="single"/>
        </w:rPr>
      </w:pPr>
      <w:r>
        <w:rPr>
          <w:sz w:val="24"/>
          <w:szCs w:val="24"/>
        </w:rPr>
        <w:br/>
      </w:r>
      <w:r w:rsidRPr="00ED1990">
        <w:rPr>
          <w:bCs/>
          <w:sz w:val="24"/>
          <w:szCs w:val="24"/>
          <w:u w:val="single"/>
        </w:rPr>
        <w:t>Risiko for iskæmisk slagtilfælde</w:t>
      </w:r>
    </w:p>
    <w:p w:rsidR="004F70F7" w:rsidRPr="00ED1990" w:rsidRDefault="004F70F7" w:rsidP="004F70F7">
      <w:pPr>
        <w:pStyle w:val="Listeafsnit"/>
        <w:numPr>
          <w:ilvl w:val="0"/>
          <w:numId w:val="13"/>
        </w:numPr>
        <w:ind w:left="1418" w:right="-1" w:hanging="567"/>
        <w:rPr>
          <w:sz w:val="24"/>
          <w:szCs w:val="24"/>
        </w:rPr>
      </w:pPr>
      <w:r w:rsidRPr="00ED1990">
        <w:rPr>
          <w:sz w:val="24"/>
          <w:szCs w:val="24"/>
        </w:rPr>
        <w:t xml:space="preserve">Behandling med </w:t>
      </w:r>
      <w:r w:rsidRPr="00ED1990">
        <w:rPr>
          <w:b/>
          <w:sz w:val="24"/>
          <w:szCs w:val="24"/>
        </w:rPr>
        <w:t>systemisk</w:t>
      </w:r>
      <w:r w:rsidRPr="00ED1990">
        <w:rPr>
          <w:sz w:val="24"/>
          <w:szCs w:val="24"/>
        </w:rPr>
        <w:t xml:space="preserve"> HRT er associeret med en </w:t>
      </w:r>
      <w:r w:rsidRPr="000E65AA">
        <w:rPr>
          <w:szCs w:val="24"/>
        </w:rPr>
        <w:t xml:space="preserve">øget relativ risiko på </w:t>
      </w:r>
      <w:r w:rsidRPr="00ED1990">
        <w:rPr>
          <w:sz w:val="24"/>
          <w:szCs w:val="24"/>
        </w:rPr>
        <w:t xml:space="preserve">op til 1,5 gange for iskæmisk slagtilfælde. Risikoen for </w:t>
      </w:r>
      <w:proofErr w:type="spellStart"/>
      <w:r w:rsidRPr="00ED1990">
        <w:rPr>
          <w:sz w:val="24"/>
          <w:szCs w:val="24"/>
        </w:rPr>
        <w:t>hæmoragisk</w:t>
      </w:r>
      <w:proofErr w:type="spellEnd"/>
      <w:r w:rsidRPr="00ED1990">
        <w:rPr>
          <w:sz w:val="24"/>
          <w:szCs w:val="24"/>
        </w:rPr>
        <w:t xml:space="preserve"> slagtilfælde er ikke forøget ved brugen af HRT.</w:t>
      </w:r>
      <w:r w:rsidRPr="000E65AA">
        <w:t xml:space="preserve"> </w:t>
      </w:r>
    </w:p>
    <w:p w:rsidR="004F70F7" w:rsidRPr="00ED1990" w:rsidRDefault="004F70F7" w:rsidP="004F70F7">
      <w:pPr>
        <w:pStyle w:val="Listeafsnit"/>
        <w:numPr>
          <w:ilvl w:val="0"/>
          <w:numId w:val="13"/>
        </w:numPr>
        <w:ind w:left="1418" w:right="-1" w:hanging="567"/>
        <w:rPr>
          <w:sz w:val="24"/>
          <w:szCs w:val="24"/>
        </w:rPr>
      </w:pPr>
      <w:r w:rsidRPr="000E65AA">
        <w:rPr>
          <w:sz w:val="24"/>
          <w:szCs w:val="24"/>
        </w:rPr>
        <w:t>Den relative risiko er ikke afhængig af alder eller behandlingsvarighed, men den basale risiko er stærkt aldersafhængig. Den generelle risiko for slagtilfælde hos kvinder, som bruger HRT, vil stige med alderen (se pkt. 4.4).</w:t>
      </w:r>
    </w:p>
    <w:p w:rsidR="004F70F7" w:rsidRPr="004F70F7" w:rsidRDefault="004F70F7" w:rsidP="004F70F7">
      <w:pPr>
        <w:tabs>
          <w:tab w:val="left" w:pos="851"/>
        </w:tabs>
        <w:ind w:left="851" w:right="-1"/>
        <w:rPr>
          <w:b/>
          <w:sz w:val="24"/>
          <w:szCs w:val="24"/>
        </w:rPr>
      </w:pPr>
      <w:r>
        <w:rPr>
          <w:sz w:val="24"/>
          <w:szCs w:val="24"/>
        </w:rPr>
        <w:br/>
      </w:r>
      <w:r w:rsidRPr="000E65AA">
        <w:rPr>
          <w:b/>
          <w:sz w:val="24"/>
          <w:szCs w:val="24"/>
        </w:rPr>
        <w:t>WHI kombinerede studier – Yderligere risiko for iskæmisk slagtilfælde* over 5</w:t>
      </w:r>
      <w:r w:rsidRPr="000E65AA">
        <w:rPr>
          <w:bCs/>
          <w:iCs/>
          <w:sz w:val="24"/>
          <w:szCs w:val="24"/>
          <w:lang w:eastAsia="da-DK"/>
        </w:rPr>
        <w:t> </w:t>
      </w:r>
      <w:r w:rsidRPr="000E65AA">
        <w:rPr>
          <w:b/>
          <w:sz w:val="24"/>
          <w:szCs w:val="24"/>
        </w:rPr>
        <w:t>år behandling</w:t>
      </w:r>
    </w:p>
    <w:tbl>
      <w:tblPr>
        <w:tblW w:w="846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311"/>
        <w:gridCol w:w="1966"/>
        <w:gridCol w:w="1980"/>
      </w:tblGrid>
      <w:tr w:rsidR="004F70F7" w:rsidRPr="000E65AA" w:rsidTr="00ED1990">
        <w:tc>
          <w:tcPr>
            <w:tcW w:w="2203" w:type="dxa"/>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sz w:val="24"/>
                <w:szCs w:val="24"/>
              </w:rPr>
            </w:pPr>
            <w:r w:rsidRPr="000E65AA">
              <w:rPr>
                <w:sz w:val="24"/>
                <w:szCs w:val="24"/>
              </w:rPr>
              <w:t>Alders-interval (år)</w:t>
            </w:r>
          </w:p>
        </w:tc>
        <w:tc>
          <w:tcPr>
            <w:tcW w:w="2311" w:type="dxa"/>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sz w:val="24"/>
                <w:szCs w:val="24"/>
              </w:rPr>
            </w:pPr>
            <w:r w:rsidRPr="000E65AA">
              <w:rPr>
                <w:sz w:val="24"/>
                <w:szCs w:val="24"/>
              </w:rPr>
              <w:t>Tilfælde per 1.000 kvinder i placebo arm over en 5</w:t>
            </w:r>
            <w:r w:rsidRPr="000E65AA">
              <w:rPr>
                <w:bCs/>
                <w:iCs/>
                <w:sz w:val="24"/>
                <w:szCs w:val="24"/>
                <w:lang w:eastAsia="da-DK"/>
              </w:rPr>
              <w:t>-</w:t>
            </w:r>
            <w:r w:rsidRPr="000E65AA">
              <w:rPr>
                <w:sz w:val="24"/>
                <w:szCs w:val="24"/>
              </w:rPr>
              <w:t>årig periode</w:t>
            </w:r>
          </w:p>
        </w:tc>
        <w:tc>
          <w:tcPr>
            <w:tcW w:w="1966" w:type="dxa"/>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sz w:val="24"/>
                <w:szCs w:val="24"/>
              </w:rPr>
            </w:pPr>
            <w:r w:rsidRPr="000E65AA">
              <w:rPr>
                <w:sz w:val="24"/>
                <w:szCs w:val="24"/>
              </w:rPr>
              <w:t>Risiko ratio og 95% CI</w:t>
            </w:r>
          </w:p>
        </w:tc>
        <w:tc>
          <w:tcPr>
            <w:tcW w:w="1980" w:type="dxa"/>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sz w:val="24"/>
                <w:szCs w:val="24"/>
              </w:rPr>
            </w:pPr>
            <w:r w:rsidRPr="000E65AA">
              <w:rPr>
                <w:sz w:val="24"/>
                <w:szCs w:val="24"/>
              </w:rPr>
              <w:t xml:space="preserve">Yderligere tilfælde per 1.000 </w:t>
            </w:r>
            <w:proofErr w:type="gramStart"/>
            <w:r w:rsidRPr="000E65AA">
              <w:rPr>
                <w:sz w:val="24"/>
                <w:szCs w:val="24"/>
              </w:rPr>
              <w:t>HRT brugere</w:t>
            </w:r>
            <w:proofErr w:type="gramEnd"/>
            <w:r w:rsidRPr="000E65AA">
              <w:rPr>
                <w:sz w:val="24"/>
                <w:szCs w:val="24"/>
              </w:rPr>
              <w:t xml:space="preserve"> over 5</w:t>
            </w:r>
            <w:r w:rsidRPr="000E65AA">
              <w:rPr>
                <w:bCs/>
                <w:iCs/>
                <w:sz w:val="24"/>
                <w:szCs w:val="24"/>
                <w:lang w:eastAsia="da-DK"/>
              </w:rPr>
              <w:t> </w:t>
            </w:r>
            <w:r w:rsidRPr="000E65AA">
              <w:rPr>
                <w:sz w:val="24"/>
                <w:szCs w:val="24"/>
              </w:rPr>
              <w:t>års behandling</w:t>
            </w:r>
          </w:p>
        </w:tc>
      </w:tr>
      <w:tr w:rsidR="004F70F7" w:rsidRPr="000E65AA" w:rsidTr="00ED1990">
        <w:tc>
          <w:tcPr>
            <w:tcW w:w="2203" w:type="dxa"/>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sz w:val="24"/>
                <w:szCs w:val="24"/>
              </w:rPr>
            </w:pPr>
            <w:r w:rsidRPr="000E65AA">
              <w:rPr>
                <w:sz w:val="24"/>
                <w:szCs w:val="24"/>
              </w:rPr>
              <w:t xml:space="preserve">50 </w:t>
            </w:r>
            <w:r w:rsidRPr="000E65AA">
              <w:rPr>
                <w:sz w:val="24"/>
                <w:szCs w:val="24"/>
              </w:rPr>
              <w:sym w:font="Symbol" w:char="F02D"/>
            </w:r>
            <w:r w:rsidRPr="000E65AA">
              <w:rPr>
                <w:sz w:val="24"/>
                <w:szCs w:val="24"/>
              </w:rPr>
              <w:t xml:space="preserve"> 59</w:t>
            </w:r>
          </w:p>
        </w:tc>
        <w:tc>
          <w:tcPr>
            <w:tcW w:w="2311" w:type="dxa"/>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sz w:val="24"/>
                <w:szCs w:val="24"/>
              </w:rPr>
            </w:pPr>
            <w:r w:rsidRPr="000E65AA">
              <w:rPr>
                <w:sz w:val="24"/>
                <w:szCs w:val="24"/>
              </w:rPr>
              <w:t>8</w:t>
            </w:r>
          </w:p>
        </w:tc>
        <w:tc>
          <w:tcPr>
            <w:tcW w:w="1966" w:type="dxa"/>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sz w:val="24"/>
                <w:szCs w:val="24"/>
              </w:rPr>
            </w:pPr>
            <w:r w:rsidRPr="000E65AA">
              <w:rPr>
                <w:sz w:val="24"/>
                <w:szCs w:val="24"/>
              </w:rPr>
              <w:t>1,3 (1,1 – 1,6)</w:t>
            </w:r>
          </w:p>
        </w:tc>
        <w:tc>
          <w:tcPr>
            <w:tcW w:w="1980" w:type="dxa"/>
            <w:tcBorders>
              <w:top w:val="single" w:sz="4" w:space="0" w:color="auto"/>
              <w:left w:val="single" w:sz="4" w:space="0" w:color="auto"/>
              <w:bottom w:val="single" w:sz="4" w:space="0" w:color="auto"/>
              <w:right w:val="single" w:sz="4" w:space="0" w:color="auto"/>
            </w:tcBorders>
            <w:hideMark/>
          </w:tcPr>
          <w:p w:rsidR="004F70F7" w:rsidRPr="000E65AA" w:rsidRDefault="004F70F7" w:rsidP="00ED1990">
            <w:pPr>
              <w:ind w:right="-1"/>
              <w:rPr>
                <w:sz w:val="24"/>
                <w:szCs w:val="24"/>
              </w:rPr>
            </w:pPr>
            <w:r w:rsidRPr="000E65AA">
              <w:rPr>
                <w:sz w:val="24"/>
                <w:szCs w:val="24"/>
              </w:rPr>
              <w:t>3 (1 – 5)</w:t>
            </w:r>
          </w:p>
        </w:tc>
      </w:tr>
    </w:tbl>
    <w:p w:rsidR="004F70F7" w:rsidRPr="000E65AA" w:rsidRDefault="004F70F7" w:rsidP="004F70F7">
      <w:pPr>
        <w:ind w:left="851" w:right="-1"/>
        <w:rPr>
          <w:sz w:val="20"/>
        </w:rPr>
      </w:pPr>
      <w:r w:rsidRPr="000E65AA">
        <w:rPr>
          <w:sz w:val="20"/>
        </w:rPr>
        <w:t xml:space="preserve">* Der er ikke skelnet mellem iskæmisk og </w:t>
      </w:r>
      <w:proofErr w:type="spellStart"/>
      <w:r w:rsidRPr="000E65AA">
        <w:rPr>
          <w:sz w:val="20"/>
        </w:rPr>
        <w:t>hæmoragisk</w:t>
      </w:r>
      <w:proofErr w:type="spellEnd"/>
      <w:r w:rsidRPr="000E65AA">
        <w:rPr>
          <w:sz w:val="20"/>
        </w:rPr>
        <w:t xml:space="preserve"> slagtilfælde.</w:t>
      </w:r>
    </w:p>
    <w:p w:rsidR="004F70F7" w:rsidRPr="000E65AA" w:rsidRDefault="004F70F7" w:rsidP="004F70F7">
      <w:pPr>
        <w:ind w:left="851" w:right="-1"/>
        <w:rPr>
          <w:sz w:val="24"/>
          <w:szCs w:val="24"/>
        </w:rPr>
      </w:pPr>
      <w:r>
        <w:rPr>
          <w:sz w:val="24"/>
          <w:szCs w:val="24"/>
        </w:rPr>
        <w:br/>
      </w:r>
      <w:r w:rsidRPr="000E65AA">
        <w:rPr>
          <w:sz w:val="24"/>
          <w:szCs w:val="24"/>
        </w:rPr>
        <w:t xml:space="preserve">Der er indberettet andre bivirkninger i forbindelse med </w:t>
      </w:r>
      <w:r w:rsidRPr="000E65AA">
        <w:rPr>
          <w:bCs/>
          <w:sz w:val="24"/>
          <w:szCs w:val="24"/>
        </w:rPr>
        <w:t>systemisk</w:t>
      </w:r>
      <w:r w:rsidRPr="000E65AA">
        <w:rPr>
          <w:sz w:val="24"/>
          <w:szCs w:val="24"/>
        </w:rPr>
        <w:t xml:space="preserve"> østrogen/gestagen-behandling:</w:t>
      </w:r>
    </w:p>
    <w:p w:rsidR="004F70F7" w:rsidRPr="000E65AA" w:rsidRDefault="004F70F7" w:rsidP="004F70F7">
      <w:pPr>
        <w:numPr>
          <w:ilvl w:val="0"/>
          <w:numId w:val="14"/>
        </w:numPr>
        <w:tabs>
          <w:tab w:val="clear" w:pos="1571"/>
        </w:tabs>
        <w:suppressAutoHyphens/>
        <w:spacing w:line="240" w:lineRule="atLeast"/>
        <w:ind w:left="1418" w:right="-1" w:hanging="567"/>
        <w:rPr>
          <w:sz w:val="24"/>
          <w:szCs w:val="24"/>
        </w:rPr>
      </w:pPr>
      <w:r w:rsidRPr="000E65AA">
        <w:rPr>
          <w:sz w:val="24"/>
          <w:szCs w:val="24"/>
        </w:rPr>
        <w:t>Galdeblæresygdom</w:t>
      </w:r>
    </w:p>
    <w:p w:rsidR="004F70F7" w:rsidRPr="000E65AA" w:rsidRDefault="004F70F7" w:rsidP="004F70F7">
      <w:pPr>
        <w:numPr>
          <w:ilvl w:val="0"/>
          <w:numId w:val="14"/>
        </w:numPr>
        <w:tabs>
          <w:tab w:val="clear" w:pos="1571"/>
        </w:tabs>
        <w:suppressAutoHyphens/>
        <w:spacing w:line="240" w:lineRule="atLeast"/>
        <w:ind w:left="1418" w:right="-1" w:hanging="567"/>
        <w:rPr>
          <w:sz w:val="24"/>
          <w:szCs w:val="24"/>
        </w:rPr>
      </w:pPr>
      <w:r w:rsidRPr="000E65AA">
        <w:rPr>
          <w:sz w:val="24"/>
          <w:szCs w:val="24"/>
        </w:rPr>
        <w:t xml:space="preserve">Hud og subkutane væv: </w:t>
      </w:r>
      <w:proofErr w:type="spellStart"/>
      <w:r w:rsidRPr="000E65AA">
        <w:rPr>
          <w:sz w:val="24"/>
          <w:szCs w:val="24"/>
        </w:rPr>
        <w:t>kloasma</w:t>
      </w:r>
      <w:proofErr w:type="spellEnd"/>
      <w:r w:rsidRPr="000E65AA">
        <w:rPr>
          <w:sz w:val="24"/>
          <w:szCs w:val="24"/>
        </w:rPr>
        <w:t xml:space="preserve">, </w:t>
      </w:r>
      <w:proofErr w:type="spellStart"/>
      <w:r w:rsidRPr="000E65AA">
        <w:rPr>
          <w:sz w:val="24"/>
          <w:szCs w:val="24"/>
        </w:rPr>
        <w:t>erythema</w:t>
      </w:r>
      <w:proofErr w:type="spellEnd"/>
      <w:r w:rsidRPr="000E65AA">
        <w:rPr>
          <w:sz w:val="24"/>
          <w:szCs w:val="24"/>
        </w:rPr>
        <w:t xml:space="preserve"> multiforme, </w:t>
      </w:r>
      <w:proofErr w:type="spellStart"/>
      <w:r w:rsidRPr="000E65AA">
        <w:rPr>
          <w:sz w:val="24"/>
          <w:szCs w:val="24"/>
        </w:rPr>
        <w:t>erythema</w:t>
      </w:r>
      <w:proofErr w:type="spellEnd"/>
      <w:r w:rsidRPr="000E65AA">
        <w:rPr>
          <w:sz w:val="24"/>
          <w:szCs w:val="24"/>
        </w:rPr>
        <w:t xml:space="preserve"> </w:t>
      </w:r>
      <w:proofErr w:type="spellStart"/>
      <w:r w:rsidRPr="000E65AA">
        <w:rPr>
          <w:sz w:val="24"/>
          <w:szCs w:val="24"/>
        </w:rPr>
        <w:t>nodosum</w:t>
      </w:r>
      <w:proofErr w:type="spellEnd"/>
      <w:r w:rsidRPr="000E65AA">
        <w:rPr>
          <w:sz w:val="24"/>
          <w:szCs w:val="24"/>
        </w:rPr>
        <w:t xml:space="preserve">, </w:t>
      </w:r>
      <w:proofErr w:type="spellStart"/>
      <w:r w:rsidRPr="000E65AA">
        <w:rPr>
          <w:sz w:val="24"/>
          <w:szCs w:val="24"/>
        </w:rPr>
        <w:t>vaskulær</w:t>
      </w:r>
      <w:proofErr w:type="spellEnd"/>
      <w:r w:rsidRPr="000E65AA">
        <w:rPr>
          <w:sz w:val="24"/>
          <w:szCs w:val="24"/>
        </w:rPr>
        <w:t xml:space="preserve"> </w:t>
      </w:r>
      <w:proofErr w:type="spellStart"/>
      <w:r w:rsidRPr="000E65AA">
        <w:rPr>
          <w:sz w:val="24"/>
          <w:szCs w:val="24"/>
        </w:rPr>
        <w:t>purpura</w:t>
      </w:r>
      <w:proofErr w:type="spellEnd"/>
    </w:p>
    <w:p w:rsidR="004F70F7" w:rsidRPr="000E65AA" w:rsidRDefault="004F70F7" w:rsidP="004F70F7">
      <w:pPr>
        <w:numPr>
          <w:ilvl w:val="0"/>
          <w:numId w:val="14"/>
        </w:numPr>
        <w:tabs>
          <w:tab w:val="clear" w:pos="1571"/>
        </w:tabs>
        <w:suppressAutoHyphens/>
        <w:spacing w:line="240" w:lineRule="atLeast"/>
        <w:ind w:left="1418" w:right="-1" w:hanging="567"/>
        <w:rPr>
          <w:sz w:val="24"/>
          <w:szCs w:val="24"/>
        </w:rPr>
      </w:pPr>
      <w:r w:rsidRPr="000E65AA">
        <w:rPr>
          <w:sz w:val="24"/>
          <w:szCs w:val="24"/>
        </w:rPr>
        <w:t>Mulig demens i en alder over 65 år</w:t>
      </w:r>
    </w:p>
    <w:p w:rsidR="004F70F7" w:rsidRPr="000E65AA" w:rsidRDefault="004F70F7" w:rsidP="004F70F7">
      <w:pPr>
        <w:pStyle w:val="Sidehoved"/>
        <w:tabs>
          <w:tab w:val="left" w:pos="1134"/>
        </w:tabs>
        <w:ind w:left="1134" w:hanging="283"/>
        <w:rPr>
          <w:szCs w:val="24"/>
        </w:rPr>
      </w:pPr>
    </w:p>
    <w:p w:rsidR="004F70F7" w:rsidRPr="000E65AA" w:rsidRDefault="004F70F7" w:rsidP="004F70F7">
      <w:pPr>
        <w:pStyle w:val="Sidehoved"/>
        <w:tabs>
          <w:tab w:val="left" w:pos="1134"/>
        </w:tabs>
        <w:ind w:left="1134" w:hanging="283"/>
        <w:rPr>
          <w:szCs w:val="24"/>
          <w:u w:val="single"/>
        </w:rPr>
      </w:pPr>
      <w:r w:rsidRPr="000E65AA">
        <w:rPr>
          <w:szCs w:val="24"/>
          <w:u w:val="single"/>
        </w:rPr>
        <w:t>Indberetning af formodede bivirkninger</w:t>
      </w:r>
    </w:p>
    <w:p w:rsidR="004F70F7" w:rsidRPr="000E65AA" w:rsidRDefault="004F70F7" w:rsidP="004F70F7">
      <w:pPr>
        <w:pStyle w:val="Sidehoved"/>
        <w:tabs>
          <w:tab w:val="left" w:pos="851"/>
        </w:tabs>
        <w:ind w:left="851"/>
        <w:rPr>
          <w:szCs w:val="24"/>
        </w:rPr>
      </w:pPr>
      <w:r w:rsidRPr="000E65AA">
        <w:rPr>
          <w:szCs w:val="24"/>
        </w:rPr>
        <w:t>Når lægemidlet er godkendt, er indberetning af formodede bivirkninger vigtig. Det muliggør løbende overvågning af benefit/</w:t>
      </w:r>
      <w:proofErr w:type="spellStart"/>
      <w:r w:rsidRPr="000E65AA">
        <w:rPr>
          <w:szCs w:val="24"/>
        </w:rPr>
        <w:t>risk</w:t>
      </w:r>
      <w:proofErr w:type="spellEnd"/>
      <w:r w:rsidRPr="000E65AA">
        <w:rPr>
          <w:szCs w:val="24"/>
        </w:rPr>
        <w:t>-forholdet for lægemidlet. Sundhedspersoner anmodes om at indberette alle formodede bivirkninger via:</w:t>
      </w:r>
    </w:p>
    <w:p w:rsidR="00336F91" w:rsidRPr="00A569A9" w:rsidRDefault="00336F91" w:rsidP="00336F91">
      <w:pPr>
        <w:pStyle w:val="Sidehoved"/>
        <w:tabs>
          <w:tab w:val="left" w:pos="851"/>
        </w:tabs>
        <w:ind w:left="851"/>
        <w:rPr>
          <w:szCs w:val="24"/>
        </w:rPr>
      </w:pPr>
    </w:p>
    <w:p w:rsidR="00336F91" w:rsidRPr="00A569A9" w:rsidRDefault="00336F91" w:rsidP="00336F91">
      <w:pPr>
        <w:pStyle w:val="Sidehoved"/>
        <w:tabs>
          <w:tab w:val="left" w:pos="851"/>
        </w:tabs>
        <w:ind w:left="851"/>
        <w:rPr>
          <w:szCs w:val="24"/>
        </w:rPr>
      </w:pPr>
      <w:r w:rsidRPr="00A569A9">
        <w:rPr>
          <w:szCs w:val="24"/>
        </w:rPr>
        <w:t>Lægemiddelstyrelsen</w:t>
      </w:r>
    </w:p>
    <w:p w:rsidR="00336F91" w:rsidRPr="00A569A9" w:rsidRDefault="00336F91" w:rsidP="00336F91">
      <w:pPr>
        <w:pStyle w:val="Sidehoved"/>
        <w:tabs>
          <w:tab w:val="left" w:pos="851"/>
        </w:tabs>
        <w:ind w:left="851"/>
        <w:rPr>
          <w:szCs w:val="24"/>
        </w:rPr>
      </w:pPr>
      <w:r w:rsidRPr="00A569A9">
        <w:rPr>
          <w:szCs w:val="24"/>
        </w:rPr>
        <w:t>Axel Heides Gade 1</w:t>
      </w:r>
    </w:p>
    <w:p w:rsidR="00336F91" w:rsidRPr="00A569A9" w:rsidRDefault="00336F91" w:rsidP="00336F91">
      <w:pPr>
        <w:pStyle w:val="Sidehoved"/>
        <w:tabs>
          <w:tab w:val="left" w:pos="851"/>
        </w:tabs>
        <w:ind w:left="851"/>
        <w:rPr>
          <w:szCs w:val="24"/>
        </w:rPr>
      </w:pPr>
      <w:r w:rsidRPr="00A569A9">
        <w:rPr>
          <w:szCs w:val="24"/>
        </w:rPr>
        <w:t>DK-2300 København S</w:t>
      </w:r>
    </w:p>
    <w:p w:rsidR="00336F91" w:rsidRPr="00BD4C0B" w:rsidRDefault="00336F91" w:rsidP="00336F91">
      <w:pPr>
        <w:pStyle w:val="Sidehoved"/>
        <w:tabs>
          <w:tab w:val="left" w:pos="851"/>
        </w:tabs>
        <w:ind w:left="851"/>
        <w:rPr>
          <w:szCs w:val="24"/>
        </w:rPr>
      </w:pPr>
      <w:r w:rsidRPr="00BD4C0B">
        <w:rPr>
          <w:szCs w:val="24"/>
        </w:rPr>
        <w:t xml:space="preserve">Websted: </w:t>
      </w:r>
      <w:hyperlink r:id="rId8" w:history="1">
        <w:r w:rsidRPr="00BD4C0B">
          <w:rPr>
            <w:rStyle w:val="Hyperlink"/>
            <w:szCs w:val="24"/>
          </w:rPr>
          <w:t>www.meldenbivirkning.dk</w:t>
        </w:r>
      </w:hyperlink>
    </w:p>
    <w:p w:rsidR="00336F91" w:rsidRPr="00BD4C0B" w:rsidRDefault="00336F91" w:rsidP="00336F91">
      <w:pPr>
        <w:pStyle w:val="Sidehoved"/>
        <w:tabs>
          <w:tab w:val="left" w:pos="851"/>
        </w:tabs>
        <w:ind w:left="851"/>
        <w:rPr>
          <w:szCs w:val="24"/>
        </w:rPr>
      </w:pPr>
    </w:p>
    <w:p w:rsidR="00336F91" w:rsidRPr="00A569A9" w:rsidRDefault="00336F91" w:rsidP="00336F91">
      <w:pPr>
        <w:tabs>
          <w:tab w:val="left" w:pos="851"/>
        </w:tabs>
        <w:ind w:left="851" w:hanging="851"/>
        <w:rPr>
          <w:b/>
          <w:sz w:val="24"/>
          <w:szCs w:val="24"/>
        </w:rPr>
      </w:pPr>
      <w:r w:rsidRPr="00A569A9">
        <w:rPr>
          <w:b/>
          <w:sz w:val="24"/>
          <w:szCs w:val="24"/>
        </w:rPr>
        <w:lastRenderedPageBreak/>
        <w:t>4.9</w:t>
      </w:r>
      <w:r w:rsidRPr="00A569A9">
        <w:rPr>
          <w:b/>
          <w:sz w:val="24"/>
          <w:szCs w:val="24"/>
        </w:rPr>
        <w:tab/>
        <w:t>Overdosering</w:t>
      </w:r>
    </w:p>
    <w:p w:rsidR="004F70F7" w:rsidRPr="000E65AA" w:rsidRDefault="004F70F7" w:rsidP="004F70F7">
      <w:pPr>
        <w:tabs>
          <w:tab w:val="left" w:pos="851"/>
        </w:tabs>
        <w:ind w:left="851"/>
        <w:rPr>
          <w:sz w:val="24"/>
          <w:szCs w:val="24"/>
        </w:rPr>
      </w:pPr>
      <w:proofErr w:type="spellStart"/>
      <w:r w:rsidRPr="000E65AA">
        <w:rPr>
          <w:sz w:val="24"/>
          <w:szCs w:val="24"/>
        </w:rPr>
        <w:t>Estriols</w:t>
      </w:r>
      <w:proofErr w:type="spellEnd"/>
      <w:r w:rsidRPr="000E65AA">
        <w:rPr>
          <w:sz w:val="24"/>
          <w:szCs w:val="24"/>
        </w:rPr>
        <w:t xml:space="preserve"> toksicitet er meget lav. Overdosis af Gelisse </w:t>
      </w:r>
      <w:r w:rsidRPr="000E65AA">
        <w:rPr>
          <w:color w:val="000000"/>
          <w:sz w:val="24"/>
          <w:szCs w:val="24"/>
        </w:rPr>
        <w:t>50 mikrokram/g vaginalgel</w:t>
      </w:r>
      <w:r w:rsidRPr="000E65AA">
        <w:rPr>
          <w:sz w:val="24"/>
          <w:szCs w:val="24"/>
        </w:rPr>
        <w:t xml:space="preserve"> ved vaginal administration er meget usandsynlig. Utilsigtet indtagelse af høje doser kan medføre symptomer såsom kvalme, opkastning og vaginal blødning hos kvinder. Der findes ingen specifik </w:t>
      </w:r>
      <w:proofErr w:type="spellStart"/>
      <w:r w:rsidRPr="000E65AA">
        <w:rPr>
          <w:sz w:val="24"/>
          <w:szCs w:val="24"/>
        </w:rPr>
        <w:t>antidot</w:t>
      </w:r>
      <w:proofErr w:type="spellEnd"/>
      <w:r w:rsidRPr="000E65AA">
        <w:rPr>
          <w:sz w:val="24"/>
          <w:szCs w:val="24"/>
        </w:rPr>
        <w:t xml:space="preserve">. Hvis det er nødvendigt, skal symptomatisk behandling indledes. </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4.10</w:t>
      </w:r>
      <w:r w:rsidRPr="00A569A9">
        <w:rPr>
          <w:b/>
          <w:sz w:val="24"/>
          <w:szCs w:val="24"/>
        </w:rPr>
        <w:tab/>
        <w:t>Udlevering</w:t>
      </w:r>
    </w:p>
    <w:p w:rsidR="00336F91" w:rsidRPr="00A569A9" w:rsidRDefault="00336F91" w:rsidP="00336F91">
      <w:pPr>
        <w:tabs>
          <w:tab w:val="left" w:pos="851"/>
        </w:tabs>
        <w:ind w:left="851"/>
        <w:rPr>
          <w:sz w:val="24"/>
          <w:szCs w:val="24"/>
        </w:rPr>
      </w:pPr>
      <w:r>
        <w:rPr>
          <w:sz w:val="24"/>
          <w:szCs w:val="24"/>
        </w:rPr>
        <w:t>HF</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5.</w:t>
      </w:r>
      <w:r w:rsidRPr="00A569A9">
        <w:rPr>
          <w:b/>
          <w:sz w:val="24"/>
          <w:szCs w:val="24"/>
        </w:rPr>
        <w:tab/>
        <w:t>FARMAKOLOGISKE EGENSKABER</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5.0</w:t>
      </w:r>
      <w:r w:rsidRPr="00A569A9">
        <w:rPr>
          <w:b/>
          <w:sz w:val="24"/>
          <w:szCs w:val="24"/>
        </w:rPr>
        <w:tab/>
        <w:t>Terapeutisk klassifikation</w:t>
      </w:r>
    </w:p>
    <w:p w:rsidR="00336F91" w:rsidRPr="00A569A9" w:rsidRDefault="00336F91" w:rsidP="00336F91">
      <w:pPr>
        <w:tabs>
          <w:tab w:val="left" w:pos="851"/>
        </w:tabs>
        <w:ind w:left="851"/>
        <w:rPr>
          <w:sz w:val="24"/>
          <w:szCs w:val="24"/>
        </w:rPr>
      </w:pPr>
      <w:r w:rsidRPr="00A569A9">
        <w:rPr>
          <w:sz w:val="24"/>
          <w:szCs w:val="24"/>
        </w:rPr>
        <w:t>ATC-kode: G</w:t>
      </w:r>
      <w:r>
        <w:rPr>
          <w:sz w:val="24"/>
          <w:szCs w:val="24"/>
        </w:rPr>
        <w:t xml:space="preserve"> </w:t>
      </w:r>
      <w:r w:rsidRPr="00A569A9">
        <w:rPr>
          <w:sz w:val="24"/>
          <w:szCs w:val="24"/>
        </w:rPr>
        <w:t>03</w:t>
      </w:r>
      <w:r>
        <w:rPr>
          <w:sz w:val="24"/>
          <w:szCs w:val="24"/>
        </w:rPr>
        <w:t xml:space="preserve"> </w:t>
      </w:r>
      <w:r w:rsidRPr="00A569A9">
        <w:rPr>
          <w:sz w:val="24"/>
          <w:szCs w:val="24"/>
        </w:rPr>
        <w:t>CA</w:t>
      </w:r>
      <w:r>
        <w:rPr>
          <w:sz w:val="24"/>
          <w:szCs w:val="24"/>
        </w:rPr>
        <w:t xml:space="preserve"> </w:t>
      </w:r>
      <w:r w:rsidRPr="00A569A9">
        <w:rPr>
          <w:sz w:val="24"/>
          <w:szCs w:val="24"/>
        </w:rPr>
        <w:t>04</w:t>
      </w:r>
      <w:r>
        <w:rPr>
          <w:sz w:val="24"/>
          <w:szCs w:val="24"/>
        </w:rPr>
        <w:t xml:space="preserve">. </w:t>
      </w:r>
      <w:proofErr w:type="spellStart"/>
      <w:r>
        <w:rPr>
          <w:sz w:val="24"/>
          <w:szCs w:val="24"/>
        </w:rPr>
        <w:t>Estrogener</w:t>
      </w:r>
      <w:proofErr w:type="spellEnd"/>
      <w:r>
        <w:rPr>
          <w:sz w:val="24"/>
          <w:szCs w:val="24"/>
        </w:rPr>
        <w:t>.</w:t>
      </w:r>
    </w:p>
    <w:p w:rsidR="00336F91" w:rsidRPr="00A569A9" w:rsidRDefault="00336F91" w:rsidP="00336F91">
      <w:pPr>
        <w:tabs>
          <w:tab w:val="left" w:pos="851"/>
        </w:tabs>
        <w:ind w:left="851"/>
        <w:rPr>
          <w:sz w:val="24"/>
          <w:szCs w:val="24"/>
        </w:rPr>
      </w:pPr>
    </w:p>
    <w:p w:rsidR="00336F91" w:rsidRPr="00A569A9" w:rsidRDefault="00336F91" w:rsidP="00336F91">
      <w:pPr>
        <w:tabs>
          <w:tab w:val="num" w:pos="851"/>
        </w:tabs>
        <w:ind w:left="851" w:hanging="851"/>
        <w:rPr>
          <w:b/>
          <w:sz w:val="24"/>
          <w:szCs w:val="24"/>
        </w:rPr>
      </w:pPr>
      <w:r w:rsidRPr="00A569A9">
        <w:rPr>
          <w:b/>
          <w:sz w:val="24"/>
          <w:szCs w:val="24"/>
        </w:rPr>
        <w:t>5.1</w:t>
      </w:r>
      <w:r w:rsidRPr="00A569A9">
        <w:rPr>
          <w:b/>
          <w:sz w:val="24"/>
          <w:szCs w:val="24"/>
        </w:rPr>
        <w:tab/>
      </w:r>
      <w:proofErr w:type="spellStart"/>
      <w:r w:rsidRPr="00A569A9">
        <w:rPr>
          <w:b/>
          <w:sz w:val="24"/>
          <w:szCs w:val="24"/>
        </w:rPr>
        <w:t>Farmakodynamiske</w:t>
      </w:r>
      <w:proofErr w:type="spellEnd"/>
      <w:r w:rsidRPr="00A569A9">
        <w:rPr>
          <w:b/>
          <w:sz w:val="24"/>
          <w:szCs w:val="24"/>
        </w:rPr>
        <w:t xml:space="preserve"> egenskaber</w:t>
      </w:r>
    </w:p>
    <w:p w:rsidR="004F70F7" w:rsidRPr="000E65AA" w:rsidRDefault="004F70F7" w:rsidP="004F70F7">
      <w:pPr>
        <w:tabs>
          <w:tab w:val="left" w:pos="851"/>
        </w:tabs>
        <w:ind w:left="851"/>
        <w:rPr>
          <w:bCs/>
          <w:sz w:val="24"/>
          <w:szCs w:val="24"/>
        </w:rPr>
      </w:pPr>
      <w:r w:rsidRPr="00ED1990">
        <w:rPr>
          <w:bCs/>
          <w:sz w:val="24"/>
          <w:szCs w:val="24"/>
        </w:rPr>
        <w:t xml:space="preserve">Behandling af symptomer på vaginal østrogenmangel: Vaginalt appliceret østrogen lindrer symptomerne på vaginal atrofi, der skyldes østrogenmangel, hos </w:t>
      </w:r>
      <w:proofErr w:type="spellStart"/>
      <w:r w:rsidRPr="00ED1990">
        <w:rPr>
          <w:bCs/>
          <w:sz w:val="24"/>
          <w:szCs w:val="24"/>
        </w:rPr>
        <w:t>postmenopausale</w:t>
      </w:r>
      <w:proofErr w:type="spellEnd"/>
      <w:r w:rsidRPr="00ED1990">
        <w:rPr>
          <w:bCs/>
          <w:sz w:val="24"/>
          <w:szCs w:val="24"/>
        </w:rPr>
        <w:t xml:space="preserve"> kvinder</w:t>
      </w:r>
      <w:r w:rsidRPr="000E65AA">
        <w:rPr>
          <w:bCs/>
          <w:sz w:val="24"/>
          <w:szCs w:val="24"/>
        </w:rPr>
        <w:t xml:space="preserve">.  </w:t>
      </w:r>
    </w:p>
    <w:p w:rsidR="004F70F7" w:rsidRPr="000E65AA" w:rsidRDefault="004F70F7" w:rsidP="004F70F7">
      <w:pPr>
        <w:tabs>
          <w:tab w:val="left" w:pos="851"/>
        </w:tabs>
        <w:ind w:left="851"/>
        <w:rPr>
          <w:sz w:val="24"/>
          <w:szCs w:val="24"/>
        </w:rPr>
      </w:pPr>
    </w:p>
    <w:p w:rsidR="004F70F7" w:rsidRPr="00ED1990" w:rsidRDefault="004F70F7" w:rsidP="004F70F7">
      <w:pPr>
        <w:tabs>
          <w:tab w:val="left" w:pos="851"/>
        </w:tabs>
        <w:ind w:left="851"/>
        <w:rPr>
          <w:sz w:val="24"/>
          <w:szCs w:val="24"/>
          <w:u w:val="single"/>
        </w:rPr>
      </w:pPr>
      <w:r w:rsidRPr="00ED1990">
        <w:rPr>
          <w:sz w:val="24"/>
          <w:szCs w:val="24"/>
          <w:u w:val="single"/>
        </w:rPr>
        <w:t xml:space="preserve">Klinisk virkning og sikkerhed </w:t>
      </w:r>
    </w:p>
    <w:p w:rsidR="004F70F7" w:rsidRPr="000E65AA" w:rsidRDefault="004F70F7" w:rsidP="004F70F7">
      <w:pPr>
        <w:tabs>
          <w:tab w:val="left" w:pos="851"/>
        </w:tabs>
        <w:ind w:left="851"/>
        <w:rPr>
          <w:sz w:val="24"/>
          <w:szCs w:val="24"/>
        </w:rPr>
      </w:pPr>
      <w:r w:rsidRPr="000E65AA">
        <w:rPr>
          <w:sz w:val="24"/>
          <w:szCs w:val="24"/>
        </w:rPr>
        <w:t xml:space="preserve">Effekten af Gelisse </w:t>
      </w:r>
      <w:r w:rsidRPr="000E65AA">
        <w:rPr>
          <w:color w:val="000000"/>
          <w:sz w:val="24"/>
          <w:szCs w:val="24"/>
        </w:rPr>
        <w:t>50 mikrokram/g vaginalgel</w:t>
      </w:r>
      <w:r w:rsidRPr="000E65AA">
        <w:rPr>
          <w:sz w:val="24"/>
          <w:szCs w:val="24"/>
        </w:rPr>
        <w:t xml:space="preserve"> blev undersøgt i et randomiseret dobbeltblindet placebokontrolleret multicenterstudie hos </w:t>
      </w:r>
      <w:proofErr w:type="spellStart"/>
      <w:r w:rsidRPr="000E65AA">
        <w:rPr>
          <w:sz w:val="24"/>
          <w:szCs w:val="24"/>
        </w:rPr>
        <w:t>postmenopausale</w:t>
      </w:r>
      <w:proofErr w:type="spellEnd"/>
      <w:r w:rsidRPr="000E65AA">
        <w:rPr>
          <w:sz w:val="24"/>
          <w:szCs w:val="24"/>
        </w:rPr>
        <w:t xml:space="preserve"> kvinder med symptomer og tegn på </w:t>
      </w:r>
      <w:proofErr w:type="spellStart"/>
      <w:r w:rsidRPr="000E65AA">
        <w:rPr>
          <w:sz w:val="24"/>
          <w:szCs w:val="24"/>
        </w:rPr>
        <w:t>vulvovaginal</w:t>
      </w:r>
      <w:proofErr w:type="spellEnd"/>
      <w:r w:rsidRPr="000E65AA">
        <w:rPr>
          <w:sz w:val="24"/>
          <w:szCs w:val="24"/>
        </w:rPr>
        <w:t xml:space="preserve"> atrofi.</w:t>
      </w:r>
    </w:p>
    <w:p w:rsidR="004F70F7" w:rsidRPr="000E65AA" w:rsidRDefault="004F70F7" w:rsidP="004F70F7">
      <w:pPr>
        <w:tabs>
          <w:tab w:val="left" w:pos="851"/>
        </w:tabs>
        <w:ind w:left="851"/>
        <w:rPr>
          <w:sz w:val="24"/>
          <w:szCs w:val="24"/>
        </w:rPr>
      </w:pPr>
    </w:p>
    <w:p w:rsidR="00336F91" w:rsidRPr="00A569A9" w:rsidRDefault="004F70F7" w:rsidP="004F70F7">
      <w:pPr>
        <w:tabs>
          <w:tab w:val="left" w:pos="851"/>
        </w:tabs>
        <w:ind w:left="851"/>
        <w:rPr>
          <w:sz w:val="24"/>
          <w:szCs w:val="24"/>
        </w:rPr>
      </w:pPr>
      <w:r w:rsidRPr="000E65AA">
        <w:rPr>
          <w:sz w:val="24"/>
          <w:szCs w:val="24"/>
        </w:rPr>
        <w:t xml:space="preserve">Intravaginal applikation af en lav dosis </w:t>
      </w:r>
      <w:proofErr w:type="spellStart"/>
      <w:r w:rsidRPr="000E65AA">
        <w:rPr>
          <w:sz w:val="24"/>
          <w:szCs w:val="24"/>
        </w:rPr>
        <w:t>estriol</w:t>
      </w:r>
      <w:proofErr w:type="spellEnd"/>
      <w:r w:rsidRPr="000E65AA">
        <w:rPr>
          <w:sz w:val="24"/>
          <w:szCs w:val="24"/>
        </w:rPr>
        <w:t xml:space="preserve"> (50 mikrogram pr. applikation) medførte en betydelig forbedring i modningsværdien af det vaginale epitel, den vaginale pH-værdi og tegn på vaginal atrofi såsom skrøbelighed, tørhed og bleghed af slimhinden og udglatning af folder. I respondentanalysen af symptomer (sekundært endepunkt) var vaginal tørhed statistisk signifikant efter 12 ugers behandling. Dette var ikke tilfældet for </w:t>
      </w:r>
      <w:proofErr w:type="spellStart"/>
      <w:r w:rsidRPr="000E65AA">
        <w:rPr>
          <w:sz w:val="24"/>
          <w:szCs w:val="24"/>
        </w:rPr>
        <w:t>dyspareuni</w:t>
      </w:r>
      <w:proofErr w:type="spellEnd"/>
      <w:r w:rsidRPr="000E65AA">
        <w:rPr>
          <w:sz w:val="24"/>
          <w:szCs w:val="24"/>
        </w:rPr>
        <w:t xml:space="preserve"> (p=0,095), vaginal </w:t>
      </w:r>
      <w:proofErr w:type="spellStart"/>
      <w:r w:rsidRPr="000E65AA">
        <w:rPr>
          <w:sz w:val="24"/>
          <w:szCs w:val="24"/>
        </w:rPr>
        <w:t>pruritus</w:t>
      </w:r>
      <w:proofErr w:type="spellEnd"/>
      <w:r w:rsidRPr="000E65AA">
        <w:rPr>
          <w:sz w:val="24"/>
          <w:szCs w:val="24"/>
        </w:rPr>
        <w:t xml:space="preserve">, svie og </w:t>
      </w:r>
      <w:proofErr w:type="spellStart"/>
      <w:r w:rsidRPr="000E65AA">
        <w:rPr>
          <w:sz w:val="24"/>
          <w:szCs w:val="24"/>
        </w:rPr>
        <w:t>dysuri</w:t>
      </w:r>
      <w:proofErr w:type="spellEnd"/>
      <w:r w:rsidRPr="000E65AA">
        <w:rPr>
          <w:sz w:val="24"/>
          <w:szCs w:val="24"/>
        </w:rPr>
        <w:t>.</w:t>
      </w:r>
      <w:r>
        <w:rPr>
          <w:sz w:val="24"/>
          <w:szCs w:val="24"/>
        </w:rPr>
        <w:br/>
      </w:r>
    </w:p>
    <w:p w:rsidR="00336F91" w:rsidRPr="00A569A9" w:rsidRDefault="00336F91" w:rsidP="00336F91">
      <w:pPr>
        <w:tabs>
          <w:tab w:val="left" w:pos="851"/>
        </w:tabs>
        <w:ind w:left="851" w:hanging="851"/>
        <w:rPr>
          <w:b/>
          <w:sz w:val="24"/>
          <w:szCs w:val="24"/>
        </w:rPr>
      </w:pPr>
      <w:r w:rsidRPr="00A569A9">
        <w:rPr>
          <w:b/>
          <w:sz w:val="24"/>
          <w:szCs w:val="24"/>
        </w:rPr>
        <w:t>5.2</w:t>
      </w:r>
      <w:r w:rsidRPr="00A569A9">
        <w:rPr>
          <w:b/>
          <w:sz w:val="24"/>
          <w:szCs w:val="24"/>
        </w:rPr>
        <w:tab/>
      </w:r>
      <w:proofErr w:type="spellStart"/>
      <w:r w:rsidRPr="00A569A9">
        <w:rPr>
          <w:b/>
          <w:sz w:val="24"/>
          <w:szCs w:val="24"/>
        </w:rPr>
        <w:t>Farmakokinetiske</w:t>
      </w:r>
      <w:proofErr w:type="spellEnd"/>
      <w:r w:rsidRPr="00A569A9">
        <w:rPr>
          <w:b/>
          <w:sz w:val="24"/>
          <w:szCs w:val="24"/>
        </w:rPr>
        <w:t xml:space="preserve"> egenskaber</w:t>
      </w:r>
    </w:p>
    <w:p w:rsidR="004F70F7" w:rsidRPr="000E65AA" w:rsidRDefault="004F70F7" w:rsidP="004F70F7">
      <w:pPr>
        <w:tabs>
          <w:tab w:val="left" w:pos="851"/>
        </w:tabs>
        <w:ind w:left="851"/>
        <w:rPr>
          <w:sz w:val="24"/>
          <w:szCs w:val="24"/>
        </w:rPr>
      </w:pPr>
      <w:r w:rsidRPr="000E65AA">
        <w:rPr>
          <w:sz w:val="24"/>
          <w:szCs w:val="24"/>
        </w:rPr>
        <w:t xml:space="preserve">Efter en enkelt administration af Gelisse </w:t>
      </w:r>
      <w:r w:rsidRPr="000E65AA">
        <w:rPr>
          <w:color w:val="000000"/>
          <w:sz w:val="24"/>
          <w:szCs w:val="24"/>
        </w:rPr>
        <w:t>50 mikrokram/g vaginalgel</w:t>
      </w:r>
      <w:r w:rsidRPr="000E65AA">
        <w:rPr>
          <w:sz w:val="24"/>
          <w:szCs w:val="24"/>
        </w:rPr>
        <w:t xml:space="preserve"> absorberes </w:t>
      </w:r>
      <w:proofErr w:type="spellStart"/>
      <w:r w:rsidRPr="000E65AA">
        <w:rPr>
          <w:sz w:val="24"/>
          <w:szCs w:val="24"/>
        </w:rPr>
        <w:t>estriol</w:t>
      </w:r>
      <w:proofErr w:type="spellEnd"/>
      <w:r w:rsidRPr="000E65AA">
        <w:rPr>
          <w:sz w:val="24"/>
          <w:szCs w:val="24"/>
        </w:rPr>
        <w:t xml:space="preserve"> hurtigt, og maksimale </w:t>
      </w:r>
      <w:proofErr w:type="spellStart"/>
      <w:r w:rsidRPr="000E65AA">
        <w:rPr>
          <w:sz w:val="24"/>
          <w:szCs w:val="24"/>
        </w:rPr>
        <w:t>estriolkoncentrationer</w:t>
      </w:r>
      <w:proofErr w:type="spellEnd"/>
      <w:r w:rsidRPr="000E65AA">
        <w:rPr>
          <w:sz w:val="24"/>
          <w:szCs w:val="24"/>
        </w:rPr>
        <w:t xml:space="preserve"> i plasma på 106±63 </w:t>
      </w:r>
      <w:proofErr w:type="spellStart"/>
      <w:r w:rsidRPr="000E65AA">
        <w:rPr>
          <w:sz w:val="24"/>
          <w:szCs w:val="24"/>
        </w:rPr>
        <w:t>pg</w:t>
      </w:r>
      <w:proofErr w:type="spellEnd"/>
      <w:r w:rsidRPr="000E65AA">
        <w:rPr>
          <w:sz w:val="24"/>
          <w:szCs w:val="24"/>
        </w:rPr>
        <w:t xml:space="preserve">/ml blev opnået efter 2 timer (interval 0,5-4 timer). </w:t>
      </w:r>
    </w:p>
    <w:p w:rsidR="004F70F7" w:rsidRPr="000E65AA" w:rsidRDefault="004F70F7" w:rsidP="004F70F7">
      <w:pPr>
        <w:tabs>
          <w:tab w:val="left" w:pos="851"/>
        </w:tabs>
        <w:ind w:left="851"/>
        <w:rPr>
          <w:sz w:val="24"/>
          <w:szCs w:val="24"/>
        </w:rPr>
      </w:pPr>
    </w:p>
    <w:p w:rsidR="004F70F7" w:rsidRPr="000E65AA" w:rsidRDefault="004F70F7" w:rsidP="004F70F7">
      <w:pPr>
        <w:tabs>
          <w:tab w:val="left" w:pos="851"/>
        </w:tabs>
        <w:ind w:left="851"/>
        <w:rPr>
          <w:sz w:val="24"/>
          <w:szCs w:val="24"/>
        </w:rPr>
      </w:pPr>
      <w:r w:rsidRPr="000E65AA">
        <w:rPr>
          <w:sz w:val="24"/>
          <w:szCs w:val="24"/>
        </w:rPr>
        <w:t xml:space="preserve">Efter 21 dages daglig behandling med Gelisse, var </w:t>
      </w:r>
      <w:proofErr w:type="spellStart"/>
      <w:r w:rsidRPr="000E65AA">
        <w:rPr>
          <w:sz w:val="24"/>
          <w:szCs w:val="24"/>
        </w:rPr>
        <w:t>estriols</w:t>
      </w:r>
      <w:proofErr w:type="spellEnd"/>
      <w:r w:rsidRPr="000E65AA">
        <w:rPr>
          <w:sz w:val="24"/>
          <w:szCs w:val="24"/>
        </w:rPr>
        <w:t xml:space="preserve"> gennemsnitlige maksimale plasmakoncentration (± standardafvigelse) 22,80 (±15,78) </w:t>
      </w:r>
      <w:proofErr w:type="spellStart"/>
      <w:r w:rsidRPr="000E65AA">
        <w:rPr>
          <w:sz w:val="24"/>
          <w:szCs w:val="24"/>
        </w:rPr>
        <w:t>pg</w:t>
      </w:r>
      <w:proofErr w:type="spellEnd"/>
      <w:r w:rsidRPr="000E65AA">
        <w:rPr>
          <w:sz w:val="24"/>
          <w:szCs w:val="24"/>
        </w:rPr>
        <w:t xml:space="preserve">/ml. Efter maksimalt niveau (peak) falder </w:t>
      </w:r>
      <w:proofErr w:type="spellStart"/>
      <w:r w:rsidRPr="000E65AA">
        <w:rPr>
          <w:sz w:val="24"/>
          <w:szCs w:val="24"/>
        </w:rPr>
        <w:t>estriols</w:t>
      </w:r>
      <w:proofErr w:type="spellEnd"/>
      <w:r w:rsidRPr="000E65AA">
        <w:rPr>
          <w:sz w:val="24"/>
          <w:szCs w:val="24"/>
        </w:rPr>
        <w:t xml:space="preserve"> plasmakoncentrationer monoeksponentielt med en gennemsnitlig halveringstid på 1,65 ± 0,82 timer. Der forekommer ingen akkumulering.</w:t>
      </w:r>
    </w:p>
    <w:p w:rsidR="004F70F7" w:rsidRPr="000E65AA" w:rsidRDefault="004F70F7" w:rsidP="004F70F7">
      <w:pPr>
        <w:tabs>
          <w:tab w:val="left" w:pos="851"/>
        </w:tabs>
        <w:ind w:left="851"/>
        <w:rPr>
          <w:sz w:val="24"/>
          <w:szCs w:val="24"/>
        </w:rPr>
      </w:pPr>
    </w:p>
    <w:p w:rsidR="004F70F7" w:rsidRPr="000E65AA" w:rsidRDefault="004F70F7" w:rsidP="004F70F7">
      <w:pPr>
        <w:tabs>
          <w:tab w:val="left" w:pos="851"/>
        </w:tabs>
        <w:ind w:left="851"/>
        <w:rPr>
          <w:sz w:val="24"/>
          <w:szCs w:val="24"/>
        </w:rPr>
      </w:pPr>
      <w:r w:rsidRPr="000E65AA">
        <w:rPr>
          <w:sz w:val="24"/>
          <w:szCs w:val="24"/>
        </w:rPr>
        <w:t xml:space="preserve">Systemisk eksponering for </w:t>
      </w:r>
      <w:proofErr w:type="spellStart"/>
      <w:r w:rsidRPr="000E65AA">
        <w:rPr>
          <w:sz w:val="24"/>
          <w:szCs w:val="24"/>
        </w:rPr>
        <w:t>estriol</w:t>
      </w:r>
      <w:proofErr w:type="spellEnd"/>
      <w:r w:rsidRPr="000E65AA">
        <w:rPr>
          <w:sz w:val="24"/>
          <w:szCs w:val="24"/>
        </w:rPr>
        <w:t xml:space="preserve"> ved administration af Gelisse to gange ugentlig blev ikke undersøgt.</w:t>
      </w:r>
    </w:p>
    <w:p w:rsidR="004F70F7" w:rsidRPr="000E65AA" w:rsidRDefault="004F70F7" w:rsidP="004F70F7">
      <w:pPr>
        <w:tabs>
          <w:tab w:val="left" w:pos="851"/>
        </w:tabs>
        <w:ind w:left="851"/>
        <w:rPr>
          <w:sz w:val="24"/>
          <w:szCs w:val="24"/>
        </w:rPr>
      </w:pPr>
      <w:r w:rsidRPr="000E65AA">
        <w:rPr>
          <w:sz w:val="24"/>
          <w:szCs w:val="24"/>
        </w:rPr>
        <w:t xml:space="preserve"> </w:t>
      </w:r>
    </w:p>
    <w:p w:rsidR="004F70F7" w:rsidRPr="000E65AA" w:rsidRDefault="004F70F7" w:rsidP="004F70F7">
      <w:pPr>
        <w:tabs>
          <w:tab w:val="left" w:pos="851"/>
        </w:tabs>
        <w:ind w:left="851"/>
        <w:rPr>
          <w:sz w:val="24"/>
          <w:szCs w:val="24"/>
        </w:rPr>
      </w:pPr>
      <w:r w:rsidRPr="000E65AA">
        <w:rPr>
          <w:sz w:val="24"/>
          <w:szCs w:val="24"/>
        </w:rPr>
        <w:t xml:space="preserve">Næsten al (90 %) </w:t>
      </w:r>
      <w:proofErr w:type="spellStart"/>
      <w:r w:rsidRPr="000E65AA">
        <w:rPr>
          <w:sz w:val="24"/>
          <w:szCs w:val="24"/>
        </w:rPr>
        <w:t>estriol</w:t>
      </w:r>
      <w:proofErr w:type="spellEnd"/>
      <w:r w:rsidRPr="000E65AA">
        <w:rPr>
          <w:sz w:val="24"/>
          <w:szCs w:val="24"/>
        </w:rPr>
        <w:t xml:space="preserve"> bindes til albumin i plasma, og </w:t>
      </w:r>
      <w:proofErr w:type="spellStart"/>
      <w:r w:rsidRPr="000E65AA">
        <w:rPr>
          <w:sz w:val="24"/>
          <w:szCs w:val="24"/>
        </w:rPr>
        <w:t>estriol</w:t>
      </w:r>
      <w:proofErr w:type="spellEnd"/>
      <w:r w:rsidRPr="000E65AA">
        <w:rPr>
          <w:sz w:val="24"/>
          <w:szCs w:val="24"/>
        </w:rPr>
        <w:t xml:space="preserve"> bindes stort set ikke til det kønshormonbindende </w:t>
      </w:r>
      <w:proofErr w:type="spellStart"/>
      <w:r w:rsidRPr="000E65AA">
        <w:rPr>
          <w:sz w:val="24"/>
          <w:szCs w:val="24"/>
        </w:rPr>
        <w:t>globulin</w:t>
      </w:r>
      <w:proofErr w:type="spellEnd"/>
      <w:r w:rsidRPr="000E65AA">
        <w:rPr>
          <w:sz w:val="24"/>
          <w:szCs w:val="24"/>
        </w:rPr>
        <w:t xml:space="preserve"> (SHBG). </w:t>
      </w:r>
      <w:proofErr w:type="spellStart"/>
      <w:r w:rsidRPr="000E65AA">
        <w:rPr>
          <w:sz w:val="24"/>
          <w:szCs w:val="24"/>
        </w:rPr>
        <w:t>Estriols</w:t>
      </w:r>
      <w:proofErr w:type="spellEnd"/>
      <w:r w:rsidRPr="000E65AA">
        <w:rPr>
          <w:sz w:val="24"/>
          <w:szCs w:val="24"/>
        </w:rPr>
        <w:t xml:space="preserve"> metabolisme består hovedsageligt af </w:t>
      </w:r>
      <w:proofErr w:type="spellStart"/>
      <w:r w:rsidRPr="000E65AA">
        <w:rPr>
          <w:sz w:val="24"/>
          <w:szCs w:val="24"/>
        </w:rPr>
        <w:t>konjugering</w:t>
      </w:r>
      <w:proofErr w:type="spellEnd"/>
      <w:r w:rsidRPr="000E65AA">
        <w:rPr>
          <w:sz w:val="24"/>
          <w:szCs w:val="24"/>
        </w:rPr>
        <w:t xml:space="preserve"> og </w:t>
      </w:r>
      <w:proofErr w:type="spellStart"/>
      <w:r w:rsidRPr="000E65AA">
        <w:rPr>
          <w:sz w:val="24"/>
          <w:szCs w:val="24"/>
        </w:rPr>
        <w:t>dekonjugering</w:t>
      </w:r>
      <w:proofErr w:type="spellEnd"/>
      <w:r w:rsidRPr="000E65AA">
        <w:rPr>
          <w:sz w:val="24"/>
          <w:szCs w:val="24"/>
        </w:rPr>
        <w:t xml:space="preserve"> under cirkulation i det </w:t>
      </w:r>
      <w:proofErr w:type="spellStart"/>
      <w:r w:rsidRPr="000E65AA">
        <w:rPr>
          <w:sz w:val="24"/>
          <w:szCs w:val="24"/>
        </w:rPr>
        <w:t>enterohepatiske</w:t>
      </w:r>
      <w:proofErr w:type="spellEnd"/>
      <w:r w:rsidRPr="000E65AA">
        <w:rPr>
          <w:sz w:val="24"/>
          <w:szCs w:val="24"/>
        </w:rPr>
        <w:t xml:space="preserve"> kredsløb. </w:t>
      </w:r>
      <w:proofErr w:type="spellStart"/>
      <w:r w:rsidRPr="000E65AA">
        <w:rPr>
          <w:sz w:val="24"/>
          <w:szCs w:val="24"/>
        </w:rPr>
        <w:t>Estriol</w:t>
      </w:r>
      <w:proofErr w:type="spellEnd"/>
      <w:r w:rsidRPr="000E65AA">
        <w:rPr>
          <w:sz w:val="24"/>
          <w:szCs w:val="24"/>
        </w:rPr>
        <w:t xml:space="preserve"> udskilles hovedsageligt via urinen i konjugeret form. Kun en lille brøkdel (≤2 %) udskilles via fæces, hovedsageligt som </w:t>
      </w:r>
      <w:proofErr w:type="spellStart"/>
      <w:r w:rsidRPr="000E65AA">
        <w:rPr>
          <w:sz w:val="24"/>
          <w:szCs w:val="24"/>
        </w:rPr>
        <w:t>ukonjugeret</w:t>
      </w:r>
      <w:proofErr w:type="spellEnd"/>
      <w:r w:rsidRPr="000E65AA">
        <w:rPr>
          <w:sz w:val="24"/>
          <w:szCs w:val="24"/>
        </w:rPr>
        <w:t xml:space="preserve"> </w:t>
      </w:r>
      <w:proofErr w:type="spellStart"/>
      <w:r w:rsidRPr="000E65AA">
        <w:rPr>
          <w:sz w:val="24"/>
          <w:szCs w:val="24"/>
        </w:rPr>
        <w:t>estriol</w:t>
      </w:r>
      <w:proofErr w:type="spellEnd"/>
      <w:r w:rsidRPr="000E65AA">
        <w:rPr>
          <w:sz w:val="24"/>
          <w:szCs w:val="24"/>
        </w:rPr>
        <w:t>.</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lastRenderedPageBreak/>
        <w:t>5.3</w:t>
      </w:r>
      <w:r w:rsidRPr="00A569A9">
        <w:rPr>
          <w:b/>
          <w:sz w:val="24"/>
          <w:szCs w:val="24"/>
        </w:rPr>
        <w:tab/>
      </w:r>
      <w:r w:rsidR="00F14563" w:rsidRPr="00F14563">
        <w:rPr>
          <w:b/>
          <w:sz w:val="24"/>
          <w:szCs w:val="24"/>
        </w:rPr>
        <w:t>Non-kliniske sikkerhedsdata</w:t>
      </w:r>
    </w:p>
    <w:p w:rsidR="004F70F7" w:rsidRPr="000E65AA" w:rsidRDefault="004F70F7" w:rsidP="004F70F7">
      <w:pPr>
        <w:tabs>
          <w:tab w:val="left" w:pos="851"/>
        </w:tabs>
        <w:ind w:left="851"/>
        <w:rPr>
          <w:sz w:val="24"/>
          <w:szCs w:val="24"/>
        </w:rPr>
      </w:pPr>
      <w:proofErr w:type="spellStart"/>
      <w:r w:rsidRPr="000E65AA">
        <w:rPr>
          <w:sz w:val="24"/>
          <w:szCs w:val="24"/>
        </w:rPr>
        <w:t>Estriols</w:t>
      </w:r>
      <w:proofErr w:type="spellEnd"/>
      <w:r w:rsidRPr="000E65AA">
        <w:rPr>
          <w:sz w:val="24"/>
          <w:szCs w:val="24"/>
        </w:rPr>
        <w:t xml:space="preserve"> toksikologiske egenskaber er velkendte. Der er ingen non-kliniske data af relevans for vurderingen af sikkerheden ud over det, der allerede er behandlet i andre dele af produktresuméet.</w:t>
      </w:r>
    </w:p>
    <w:p w:rsidR="00336F91" w:rsidRPr="00A569A9" w:rsidRDefault="00336F91" w:rsidP="00D649C1">
      <w:pPr>
        <w:tabs>
          <w:tab w:val="left" w:pos="851"/>
        </w:tabs>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6.</w:t>
      </w:r>
      <w:r w:rsidRPr="00A569A9">
        <w:rPr>
          <w:b/>
          <w:sz w:val="24"/>
          <w:szCs w:val="24"/>
        </w:rPr>
        <w:tab/>
        <w:t>FARMACEUTISKE OPLYSNINGER</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6.1</w:t>
      </w:r>
      <w:r w:rsidRPr="00A569A9">
        <w:rPr>
          <w:b/>
          <w:sz w:val="24"/>
          <w:szCs w:val="24"/>
        </w:rPr>
        <w:tab/>
        <w:t>Hjælpestoffer</w:t>
      </w:r>
    </w:p>
    <w:p w:rsidR="00336F91" w:rsidRPr="00A569A9" w:rsidRDefault="00336F91" w:rsidP="00336F91">
      <w:pPr>
        <w:tabs>
          <w:tab w:val="left" w:pos="851"/>
        </w:tabs>
        <w:ind w:left="851"/>
        <w:rPr>
          <w:sz w:val="24"/>
          <w:szCs w:val="24"/>
        </w:rPr>
      </w:pPr>
      <w:r w:rsidRPr="00A569A9">
        <w:rPr>
          <w:sz w:val="24"/>
          <w:szCs w:val="24"/>
        </w:rPr>
        <w:t>Glycerol (E422)</w:t>
      </w:r>
    </w:p>
    <w:p w:rsidR="00336F91" w:rsidRPr="00A569A9" w:rsidRDefault="00336F91" w:rsidP="00336F91">
      <w:pPr>
        <w:tabs>
          <w:tab w:val="left" w:pos="851"/>
        </w:tabs>
        <w:ind w:left="851"/>
        <w:rPr>
          <w:sz w:val="24"/>
          <w:szCs w:val="24"/>
        </w:rPr>
      </w:pPr>
      <w:proofErr w:type="spellStart"/>
      <w:r w:rsidRPr="00A569A9">
        <w:rPr>
          <w:sz w:val="24"/>
          <w:szCs w:val="24"/>
        </w:rPr>
        <w:t>Natriummethylparahydroxybenzoat</w:t>
      </w:r>
      <w:proofErr w:type="spellEnd"/>
      <w:r w:rsidRPr="00A569A9">
        <w:rPr>
          <w:sz w:val="24"/>
          <w:szCs w:val="24"/>
        </w:rPr>
        <w:t xml:space="preserve"> (E219)</w:t>
      </w:r>
    </w:p>
    <w:p w:rsidR="00336F91" w:rsidRPr="00A569A9" w:rsidRDefault="00336F91" w:rsidP="00336F91">
      <w:pPr>
        <w:tabs>
          <w:tab w:val="left" w:pos="851"/>
        </w:tabs>
        <w:ind w:left="851"/>
        <w:rPr>
          <w:sz w:val="24"/>
          <w:szCs w:val="24"/>
        </w:rPr>
      </w:pPr>
      <w:proofErr w:type="spellStart"/>
      <w:r w:rsidRPr="00A569A9">
        <w:rPr>
          <w:sz w:val="24"/>
          <w:szCs w:val="24"/>
        </w:rPr>
        <w:t>Natriumpropylparahydroxybenzoat</w:t>
      </w:r>
      <w:proofErr w:type="spellEnd"/>
      <w:r w:rsidRPr="00A569A9">
        <w:rPr>
          <w:sz w:val="24"/>
          <w:szCs w:val="24"/>
        </w:rPr>
        <w:t xml:space="preserve"> (E217)</w:t>
      </w:r>
    </w:p>
    <w:p w:rsidR="00336F91" w:rsidRPr="00A569A9" w:rsidRDefault="00336F91" w:rsidP="00336F91">
      <w:pPr>
        <w:tabs>
          <w:tab w:val="left" w:pos="851"/>
        </w:tabs>
        <w:ind w:left="851"/>
        <w:rPr>
          <w:sz w:val="24"/>
          <w:szCs w:val="24"/>
        </w:rPr>
      </w:pPr>
      <w:proofErr w:type="spellStart"/>
      <w:r w:rsidRPr="00A569A9">
        <w:rPr>
          <w:sz w:val="24"/>
          <w:szCs w:val="24"/>
        </w:rPr>
        <w:t>Polycarbophil</w:t>
      </w:r>
      <w:proofErr w:type="spellEnd"/>
    </w:p>
    <w:p w:rsidR="00336F91" w:rsidRPr="00A569A9" w:rsidRDefault="00336F91" w:rsidP="00336F91">
      <w:pPr>
        <w:tabs>
          <w:tab w:val="left" w:pos="851"/>
        </w:tabs>
        <w:ind w:left="851"/>
        <w:rPr>
          <w:sz w:val="24"/>
          <w:szCs w:val="24"/>
        </w:rPr>
      </w:pPr>
      <w:proofErr w:type="spellStart"/>
      <w:r w:rsidRPr="00A569A9">
        <w:rPr>
          <w:sz w:val="24"/>
          <w:szCs w:val="24"/>
        </w:rPr>
        <w:t>Carbopol</w:t>
      </w:r>
      <w:proofErr w:type="spellEnd"/>
    </w:p>
    <w:p w:rsidR="00336F91" w:rsidRPr="00A569A9" w:rsidRDefault="00336F91" w:rsidP="00336F91">
      <w:pPr>
        <w:tabs>
          <w:tab w:val="left" w:pos="851"/>
        </w:tabs>
        <w:ind w:left="851"/>
        <w:rPr>
          <w:sz w:val="24"/>
          <w:szCs w:val="24"/>
        </w:rPr>
      </w:pPr>
      <w:r w:rsidRPr="00A569A9">
        <w:rPr>
          <w:sz w:val="24"/>
          <w:szCs w:val="24"/>
        </w:rPr>
        <w:t>Natriumhydroxid (til pH-justering)</w:t>
      </w:r>
    </w:p>
    <w:p w:rsidR="00336F91" w:rsidRPr="00A569A9" w:rsidRDefault="00336F91" w:rsidP="00336F91">
      <w:pPr>
        <w:tabs>
          <w:tab w:val="left" w:pos="851"/>
        </w:tabs>
        <w:ind w:left="851"/>
        <w:rPr>
          <w:sz w:val="24"/>
          <w:szCs w:val="24"/>
        </w:rPr>
      </w:pPr>
      <w:r w:rsidRPr="00A569A9">
        <w:rPr>
          <w:sz w:val="24"/>
          <w:szCs w:val="24"/>
        </w:rPr>
        <w:t>Saltsyre (til pH-justering)</w:t>
      </w:r>
    </w:p>
    <w:p w:rsidR="00336F91" w:rsidRPr="00A569A9" w:rsidRDefault="00336F91" w:rsidP="00336F91">
      <w:pPr>
        <w:tabs>
          <w:tab w:val="left" w:pos="851"/>
        </w:tabs>
        <w:ind w:left="851"/>
        <w:rPr>
          <w:sz w:val="24"/>
          <w:szCs w:val="24"/>
        </w:rPr>
      </w:pPr>
      <w:r w:rsidRPr="00A569A9">
        <w:rPr>
          <w:sz w:val="24"/>
          <w:szCs w:val="24"/>
        </w:rPr>
        <w:t>Renset vand</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6.2</w:t>
      </w:r>
      <w:r w:rsidRPr="00A569A9">
        <w:rPr>
          <w:b/>
          <w:sz w:val="24"/>
          <w:szCs w:val="24"/>
        </w:rPr>
        <w:tab/>
        <w:t>Uforligeligheder</w:t>
      </w:r>
    </w:p>
    <w:p w:rsidR="00336F91" w:rsidRPr="00A569A9" w:rsidRDefault="00336F91" w:rsidP="00336F91">
      <w:pPr>
        <w:tabs>
          <w:tab w:val="left" w:pos="851"/>
        </w:tabs>
        <w:ind w:left="851"/>
        <w:rPr>
          <w:sz w:val="24"/>
          <w:szCs w:val="24"/>
        </w:rPr>
      </w:pPr>
      <w:r w:rsidRPr="00A569A9">
        <w:rPr>
          <w:sz w:val="24"/>
          <w:szCs w:val="24"/>
        </w:rPr>
        <w:t>Ikke relevant.</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6.3</w:t>
      </w:r>
      <w:r w:rsidRPr="00A569A9">
        <w:rPr>
          <w:b/>
          <w:sz w:val="24"/>
          <w:szCs w:val="24"/>
        </w:rPr>
        <w:tab/>
        <w:t>Opbevaringstid</w:t>
      </w:r>
    </w:p>
    <w:p w:rsidR="00336F91" w:rsidRPr="00A569A9" w:rsidRDefault="00336F91" w:rsidP="00336F91">
      <w:pPr>
        <w:tabs>
          <w:tab w:val="left" w:pos="851"/>
        </w:tabs>
        <w:ind w:left="851" w:hanging="851"/>
        <w:rPr>
          <w:sz w:val="24"/>
          <w:szCs w:val="24"/>
        </w:rPr>
      </w:pPr>
      <w:r w:rsidRPr="00A569A9">
        <w:rPr>
          <w:sz w:val="24"/>
          <w:szCs w:val="24"/>
        </w:rPr>
        <w:tab/>
        <w:t>2 år.</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6.4</w:t>
      </w:r>
      <w:r w:rsidRPr="00A569A9">
        <w:rPr>
          <w:b/>
          <w:sz w:val="24"/>
          <w:szCs w:val="24"/>
        </w:rPr>
        <w:tab/>
        <w:t>Særlige opbevaringsforhold</w:t>
      </w:r>
    </w:p>
    <w:p w:rsidR="009A4E5B" w:rsidRPr="000E65AA" w:rsidRDefault="009A4E5B" w:rsidP="009A4E5B">
      <w:pPr>
        <w:tabs>
          <w:tab w:val="left" w:pos="851"/>
        </w:tabs>
        <w:ind w:left="851"/>
        <w:rPr>
          <w:sz w:val="24"/>
          <w:szCs w:val="24"/>
        </w:rPr>
      </w:pPr>
      <w:r w:rsidRPr="00ED1990">
        <w:rPr>
          <w:sz w:val="24"/>
          <w:szCs w:val="24"/>
        </w:rPr>
        <w:t>Må ikke opbevares over</w:t>
      </w:r>
      <w:r w:rsidRPr="00ED1990">
        <w:rPr>
          <w:sz w:val="20"/>
        </w:rPr>
        <w:t xml:space="preserve"> </w:t>
      </w:r>
      <w:r w:rsidRPr="000E65AA">
        <w:rPr>
          <w:sz w:val="24"/>
          <w:szCs w:val="24"/>
        </w:rPr>
        <w:t xml:space="preserve">25 °C. </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6.5</w:t>
      </w:r>
      <w:r w:rsidRPr="00A569A9">
        <w:rPr>
          <w:b/>
          <w:sz w:val="24"/>
          <w:szCs w:val="24"/>
        </w:rPr>
        <w:tab/>
        <w:t>Emballagetyper og pakningsstørrelser</w:t>
      </w:r>
    </w:p>
    <w:p w:rsidR="00C23AEE" w:rsidRPr="000E65AA" w:rsidRDefault="00C23AEE" w:rsidP="00C23AEE">
      <w:pPr>
        <w:tabs>
          <w:tab w:val="left" w:pos="851"/>
        </w:tabs>
        <w:ind w:left="851"/>
        <w:rPr>
          <w:sz w:val="24"/>
          <w:szCs w:val="24"/>
        </w:rPr>
      </w:pPr>
      <w:r w:rsidRPr="000E65AA">
        <w:rPr>
          <w:sz w:val="24"/>
          <w:szCs w:val="24"/>
        </w:rPr>
        <w:t>Ikke alle pakningsstørrelser er nødvendigvis markedsført.</w:t>
      </w:r>
    </w:p>
    <w:p w:rsidR="00C23AEE" w:rsidRPr="000E65AA" w:rsidRDefault="00C23AEE" w:rsidP="00C23AEE">
      <w:pPr>
        <w:tabs>
          <w:tab w:val="left" w:pos="851"/>
        </w:tabs>
        <w:ind w:left="851"/>
        <w:rPr>
          <w:sz w:val="24"/>
          <w:szCs w:val="24"/>
        </w:rPr>
      </w:pPr>
    </w:p>
    <w:p w:rsidR="00C23AEE" w:rsidRPr="000E65AA" w:rsidRDefault="00C23AEE" w:rsidP="00C23AEE">
      <w:pPr>
        <w:tabs>
          <w:tab w:val="left" w:pos="851"/>
        </w:tabs>
        <w:ind w:left="851"/>
        <w:rPr>
          <w:sz w:val="24"/>
          <w:szCs w:val="24"/>
        </w:rPr>
      </w:pPr>
      <w:r w:rsidRPr="000E65AA">
        <w:rPr>
          <w:sz w:val="24"/>
          <w:szCs w:val="24"/>
        </w:rPr>
        <w:t>Aluminiumstuber med 10 g og 30 g.</w:t>
      </w:r>
    </w:p>
    <w:p w:rsidR="00C23AEE" w:rsidRPr="000E65AA" w:rsidRDefault="00C23AEE" w:rsidP="00C23AEE">
      <w:pPr>
        <w:tabs>
          <w:tab w:val="left" w:pos="851"/>
        </w:tabs>
        <w:ind w:left="851"/>
        <w:rPr>
          <w:sz w:val="24"/>
          <w:szCs w:val="24"/>
        </w:rPr>
      </w:pPr>
    </w:p>
    <w:p w:rsidR="00C23AEE" w:rsidRPr="00ED1990" w:rsidRDefault="00C23AEE" w:rsidP="00C23AEE">
      <w:pPr>
        <w:tabs>
          <w:tab w:val="left" w:pos="851"/>
        </w:tabs>
        <w:ind w:left="851"/>
        <w:rPr>
          <w:sz w:val="24"/>
          <w:szCs w:val="24"/>
        </w:rPr>
      </w:pPr>
      <w:r w:rsidRPr="000E65AA">
        <w:rPr>
          <w:sz w:val="24"/>
          <w:szCs w:val="24"/>
        </w:rPr>
        <w:t>I en pakningsstørrelse med</w:t>
      </w:r>
      <w:r w:rsidRPr="00ED1990">
        <w:rPr>
          <w:sz w:val="24"/>
          <w:szCs w:val="24"/>
        </w:rPr>
        <w:t xml:space="preserve"> 10</w:t>
      </w:r>
      <w:r w:rsidRPr="000E65AA">
        <w:rPr>
          <w:sz w:val="24"/>
          <w:szCs w:val="24"/>
        </w:rPr>
        <w:t xml:space="preserve"> </w:t>
      </w:r>
      <w:r w:rsidRPr="00ED1990">
        <w:rPr>
          <w:sz w:val="24"/>
          <w:szCs w:val="24"/>
        </w:rPr>
        <w:t>g er tuben på 10</w:t>
      </w:r>
      <w:r w:rsidRPr="000E65AA">
        <w:rPr>
          <w:sz w:val="24"/>
          <w:szCs w:val="24"/>
        </w:rPr>
        <w:t xml:space="preserve"> </w:t>
      </w:r>
      <w:r w:rsidRPr="00ED1990">
        <w:rPr>
          <w:sz w:val="24"/>
          <w:szCs w:val="24"/>
        </w:rPr>
        <w:t xml:space="preserve">g pakket i en ydre </w:t>
      </w:r>
      <w:r w:rsidRPr="000E65AA">
        <w:rPr>
          <w:sz w:val="24"/>
          <w:szCs w:val="24"/>
        </w:rPr>
        <w:t>kartonæske</w:t>
      </w:r>
      <w:r w:rsidRPr="00ED1990">
        <w:rPr>
          <w:sz w:val="24"/>
          <w:szCs w:val="24"/>
        </w:rPr>
        <w:t xml:space="preserve"> sammen med </w:t>
      </w:r>
      <w:r w:rsidRPr="000E65AA">
        <w:rPr>
          <w:sz w:val="24"/>
          <w:szCs w:val="24"/>
        </w:rPr>
        <w:t>indlægssedlen</w:t>
      </w:r>
      <w:r w:rsidRPr="00ED1990">
        <w:rPr>
          <w:sz w:val="24"/>
          <w:szCs w:val="24"/>
        </w:rPr>
        <w:t xml:space="preserve"> og kan </w:t>
      </w:r>
      <w:r w:rsidRPr="000E65AA">
        <w:rPr>
          <w:sz w:val="24"/>
          <w:szCs w:val="24"/>
        </w:rPr>
        <w:t>fås som</w:t>
      </w:r>
      <w:r w:rsidRPr="00ED1990">
        <w:rPr>
          <w:sz w:val="24"/>
          <w:szCs w:val="24"/>
        </w:rPr>
        <w:t xml:space="preserve"> to </w:t>
      </w:r>
      <w:r w:rsidRPr="000E65AA">
        <w:rPr>
          <w:sz w:val="24"/>
          <w:szCs w:val="24"/>
        </w:rPr>
        <w:t>modeller</w:t>
      </w:r>
      <w:r w:rsidRPr="00ED1990">
        <w:rPr>
          <w:sz w:val="24"/>
          <w:szCs w:val="24"/>
        </w:rPr>
        <w:t>:</w:t>
      </w:r>
    </w:p>
    <w:p w:rsidR="00C23AEE" w:rsidRPr="000E65AA" w:rsidRDefault="00C23AEE" w:rsidP="00C23AEE">
      <w:pPr>
        <w:tabs>
          <w:tab w:val="left" w:pos="2268"/>
        </w:tabs>
        <w:ind w:left="1418" w:hanging="567"/>
        <w:rPr>
          <w:sz w:val="24"/>
          <w:szCs w:val="24"/>
        </w:rPr>
      </w:pPr>
      <w:r w:rsidRPr="00ED1990">
        <w:rPr>
          <w:sz w:val="24"/>
          <w:szCs w:val="24"/>
        </w:rPr>
        <w:t xml:space="preserve">• </w:t>
      </w:r>
      <w:r w:rsidRPr="000E65AA">
        <w:rPr>
          <w:sz w:val="24"/>
          <w:szCs w:val="24"/>
        </w:rPr>
        <w:tab/>
      </w:r>
      <w:r w:rsidRPr="00ED1990">
        <w:rPr>
          <w:sz w:val="24"/>
          <w:szCs w:val="24"/>
        </w:rPr>
        <w:t xml:space="preserve">1 forseglet blister </w:t>
      </w:r>
      <w:r w:rsidRPr="000E65AA">
        <w:rPr>
          <w:sz w:val="24"/>
          <w:szCs w:val="24"/>
        </w:rPr>
        <w:t>med</w:t>
      </w:r>
      <w:r w:rsidRPr="00ED1990">
        <w:rPr>
          <w:sz w:val="24"/>
          <w:szCs w:val="24"/>
        </w:rPr>
        <w:t xml:space="preserve"> 10 </w:t>
      </w:r>
      <w:r w:rsidRPr="000E65AA">
        <w:rPr>
          <w:sz w:val="24"/>
          <w:szCs w:val="24"/>
        </w:rPr>
        <w:t>applikatorer</w:t>
      </w:r>
      <w:r w:rsidRPr="00ED1990">
        <w:rPr>
          <w:sz w:val="24"/>
          <w:szCs w:val="24"/>
        </w:rPr>
        <w:t xml:space="preserve"> </w:t>
      </w:r>
      <w:r w:rsidRPr="000E65AA">
        <w:rPr>
          <w:sz w:val="24"/>
          <w:szCs w:val="24"/>
        </w:rPr>
        <w:t xml:space="preserve">til engangsbrug </w:t>
      </w:r>
      <w:r w:rsidRPr="00ED1990">
        <w:rPr>
          <w:sz w:val="24"/>
          <w:szCs w:val="24"/>
        </w:rPr>
        <w:t xml:space="preserve">med et påfyldningsmærke og 1 genanvendeligt stempel </w:t>
      </w:r>
    </w:p>
    <w:p w:rsidR="00C23AEE" w:rsidRPr="00ED1990" w:rsidRDefault="00C23AEE" w:rsidP="00C23AEE">
      <w:pPr>
        <w:tabs>
          <w:tab w:val="left" w:pos="2268"/>
        </w:tabs>
        <w:ind w:left="1418" w:hanging="567"/>
        <w:rPr>
          <w:sz w:val="24"/>
          <w:szCs w:val="24"/>
        </w:rPr>
      </w:pPr>
      <w:r w:rsidRPr="000E65AA">
        <w:rPr>
          <w:sz w:val="24"/>
          <w:szCs w:val="24"/>
        </w:rPr>
        <w:tab/>
      </w:r>
      <w:r w:rsidRPr="00ED1990">
        <w:rPr>
          <w:sz w:val="24"/>
          <w:szCs w:val="24"/>
        </w:rPr>
        <w:t>eller</w:t>
      </w:r>
    </w:p>
    <w:p w:rsidR="00C23AEE" w:rsidRPr="00ED1990" w:rsidRDefault="00C23AEE" w:rsidP="00C23AEE">
      <w:pPr>
        <w:tabs>
          <w:tab w:val="left" w:pos="2268"/>
        </w:tabs>
        <w:ind w:left="1418" w:hanging="567"/>
        <w:rPr>
          <w:sz w:val="24"/>
          <w:szCs w:val="24"/>
        </w:rPr>
      </w:pPr>
      <w:r w:rsidRPr="00ED1990">
        <w:rPr>
          <w:sz w:val="24"/>
          <w:szCs w:val="24"/>
        </w:rPr>
        <w:t xml:space="preserve">• </w:t>
      </w:r>
      <w:r w:rsidRPr="000E65AA">
        <w:rPr>
          <w:sz w:val="24"/>
          <w:szCs w:val="24"/>
        </w:rPr>
        <w:tab/>
      </w:r>
      <w:r w:rsidRPr="00ED1990">
        <w:rPr>
          <w:sz w:val="24"/>
          <w:szCs w:val="24"/>
        </w:rPr>
        <w:t xml:space="preserve">1 forseglet pose </w:t>
      </w:r>
      <w:r w:rsidRPr="000E65AA">
        <w:rPr>
          <w:sz w:val="24"/>
          <w:szCs w:val="24"/>
        </w:rPr>
        <w:t>med</w:t>
      </w:r>
      <w:r w:rsidRPr="00ED1990">
        <w:rPr>
          <w:sz w:val="24"/>
          <w:szCs w:val="24"/>
        </w:rPr>
        <w:t xml:space="preserve"> 1 </w:t>
      </w:r>
      <w:r w:rsidRPr="000E65AA">
        <w:rPr>
          <w:sz w:val="24"/>
          <w:szCs w:val="24"/>
        </w:rPr>
        <w:t xml:space="preserve">applikator til flergangsbrug </w:t>
      </w:r>
      <w:r w:rsidRPr="00ED1990">
        <w:rPr>
          <w:sz w:val="24"/>
          <w:szCs w:val="24"/>
        </w:rPr>
        <w:t>med et påfyldningsmærke og 1 genanvendeligt stempel.</w:t>
      </w:r>
    </w:p>
    <w:p w:rsidR="00C23AEE" w:rsidRPr="00ED1990" w:rsidRDefault="00C23AEE" w:rsidP="00C23AEE">
      <w:pPr>
        <w:tabs>
          <w:tab w:val="left" w:pos="851"/>
        </w:tabs>
        <w:ind w:left="851"/>
        <w:rPr>
          <w:sz w:val="24"/>
          <w:szCs w:val="24"/>
        </w:rPr>
      </w:pPr>
    </w:p>
    <w:p w:rsidR="00C23AEE" w:rsidRPr="00ED1990" w:rsidRDefault="00C23AEE" w:rsidP="00C23AEE">
      <w:pPr>
        <w:tabs>
          <w:tab w:val="left" w:pos="851"/>
        </w:tabs>
        <w:ind w:left="851"/>
        <w:rPr>
          <w:sz w:val="24"/>
          <w:szCs w:val="24"/>
        </w:rPr>
      </w:pPr>
      <w:r w:rsidRPr="000E65AA">
        <w:rPr>
          <w:sz w:val="24"/>
          <w:szCs w:val="24"/>
        </w:rPr>
        <w:t>I en pakningsstørrelse med</w:t>
      </w:r>
      <w:r w:rsidRPr="00ED1990">
        <w:rPr>
          <w:sz w:val="24"/>
          <w:szCs w:val="24"/>
        </w:rPr>
        <w:t xml:space="preserve"> 30 g er tuben også pakket i en ydre </w:t>
      </w:r>
      <w:r w:rsidRPr="000E65AA">
        <w:rPr>
          <w:sz w:val="24"/>
          <w:szCs w:val="24"/>
        </w:rPr>
        <w:t>kartonæske</w:t>
      </w:r>
      <w:r w:rsidRPr="00ED1990">
        <w:rPr>
          <w:sz w:val="24"/>
          <w:szCs w:val="24"/>
        </w:rPr>
        <w:t xml:space="preserve"> sammen med </w:t>
      </w:r>
      <w:r w:rsidRPr="000E65AA">
        <w:rPr>
          <w:sz w:val="24"/>
          <w:szCs w:val="24"/>
        </w:rPr>
        <w:t xml:space="preserve">indlægssedlen </w:t>
      </w:r>
      <w:r w:rsidRPr="00ED1990">
        <w:rPr>
          <w:sz w:val="24"/>
          <w:szCs w:val="24"/>
        </w:rPr>
        <w:t xml:space="preserve">og kan </w:t>
      </w:r>
      <w:r w:rsidRPr="000E65AA">
        <w:rPr>
          <w:sz w:val="24"/>
          <w:szCs w:val="24"/>
        </w:rPr>
        <w:t>fås</w:t>
      </w:r>
      <w:r w:rsidRPr="00ED1990">
        <w:rPr>
          <w:sz w:val="24"/>
          <w:szCs w:val="24"/>
        </w:rPr>
        <w:t xml:space="preserve"> i to </w:t>
      </w:r>
      <w:r w:rsidRPr="000E65AA">
        <w:rPr>
          <w:sz w:val="24"/>
          <w:szCs w:val="24"/>
        </w:rPr>
        <w:t>modeller</w:t>
      </w:r>
      <w:r w:rsidRPr="00ED1990">
        <w:rPr>
          <w:sz w:val="24"/>
          <w:szCs w:val="24"/>
        </w:rPr>
        <w:t>:</w:t>
      </w:r>
    </w:p>
    <w:p w:rsidR="00C23AEE" w:rsidRPr="000E65AA" w:rsidRDefault="00C23AEE" w:rsidP="00C23AEE">
      <w:pPr>
        <w:ind w:left="1418" w:hanging="567"/>
        <w:rPr>
          <w:sz w:val="24"/>
          <w:szCs w:val="24"/>
        </w:rPr>
      </w:pPr>
      <w:r w:rsidRPr="00ED1990">
        <w:rPr>
          <w:sz w:val="24"/>
          <w:szCs w:val="24"/>
        </w:rPr>
        <w:t xml:space="preserve">• </w:t>
      </w:r>
      <w:r w:rsidRPr="000E65AA">
        <w:rPr>
          <w:sz w:val="24"/>
          <w:szCs w:val="24"/>
        </w:rPr>
        <w:tab/>
      </w:r>
      <w:r w:rsidRPr="00ED1990">
        <w:rPr>
          <w:sz w:val="24"/>
          <w:szCs w:val="24"/>
        </w:rPr>
        <w:t>3 forseglede blist</w:t>
      </w:r>
      <w:r w:rsidRPr="000E65AA">
        <w:rPr>
          <w:sz w:val="24"/>
          <w:szCs w:val="24"/>
        </w:rPr>
        <w:t>re, der hver indeholder</w:t>
      </w:r>
      <w:r w:rsidRPr="00ED1990">
        <w:rPr>
          <w:sz w:val="24"/>
          <w:szCs w:val="24"/>
        </w:rPr>
        <w:t xml:space="preserve"> 10 </w:t>
      </w:r>
      <w:r w:rsidRPr="000E65AA">
        <w:rPr>
          <w:sz w:val="24"/>
          <w:szCs w:val="24"/>
        </w:rPr>
        <w:t xml:space="preserve">applikatorer til engangsbrug </w:t>
      </w:r>
      <w:r w:rsidRPr="00ED1990">
        <w:rPr>
          <w:sz w:val="24"/>
          <w:szCs w:val="24"/>
        </w:rPr>
        <w:t>med et påfyldningsmærke og 1 genanvendeligt stempel</w:t>
      </w:r>
    </w:p>
    <w:p w:rsidR="00C23AEE" w:rsidRPr="00ED1990" w:rsidRDefault="00C23AEE" w:rsidP="00C23AEE">
      <w:pPr>
        <w:ind w:left="1418"/>
        <w:rPr>
          <w:sz w:val="24"/>
          <w:szCs w:val="24"/>
        </w:rPr>
      </w:pPr>
      <w:r w:rsidRPr="00ED1990">
        <w:rPr>
          <w:sz w:val="24"/>
          <w:szCs w:val="24"/>
        </w:rPr>
        <w:t>eller</w:t>
      </w:r>
    </w:p>
    <w:p w:rsidR="00C23AEE" w:rsidRPr="000E65AA" w:rsidRDefault="00C23AEE" w:rsidP="00C23AEE">
      <w:pPr>
        <w:ind w:left="1418" w:hanging="567"/>
        <w:rPr>
          <w:sz w:val="24"/>
          <w:szCs w:val="24"/>
          <w:u w:val="single"/>
        </w:rPr>
      </w:pPr>
      <w:r w:rsidRPr="00ED1990">
        <w:rPr>
          <w:sz w:val="24"/>
          <w:szCs w:val="24"/>
        </w:rPr>
        <w:t xml:space="preserve">• </w:t>
      </w:r>
      <w:r w:rsidRPr="000E65AA">
        <w:rPr>
          <w:sz w:val="24"/>
          <w:szCs w:val="24"/>
        </w:rPr>
        <w:tab/>
      </w:r>
      <w:r w:rsidRPr="00ED1990">
        <w:rPr>
          <w:sz w:val="24"/>
          <w:szCs w:val="24"/>
        </w:rPr>
        <w:t xml:space="preserve">1 forseglet pose </w:t>
      </w:r>
      <w:r w:rsidRPr="000E65AA">
        <w:rPr>
          <w:sz w:val="24"/>
          <w:szCs w:val="24"/>
        </w:rPr>
        <w:t>med</w:t>
      </w:r>
      <w:r w:rsidRPr="00ED1990">
        <w:rPr>
          <w:sz w:val="24"/>
          <w:szCs w:val="24"/>
        </w:rPr>
        <w:t xml:space="preserve"> 1 </w:t>
      </w:r>
      <w:r w:rsidRPr="000E65AA">
        <w:rPr>
          <w:sz w:val="24"/>
          <w:szCs w:val="24"/>
        </w:rPr>
        <w:t xml:space="preserve">applikator til flergangsbrug </w:t>
      </w:r>
      <w:r w:rsidRPr="00ED1990">
        <w:rPr>
          <w:sz w:val="24"/>
          <w:szCs w:val="24"/>
        </w:rPr>
        <w:t>med et påfyldningsmærke og 1 genanvendeligt stempel.</w:t>
      </w:r>
    </w:p>
    <w:p w:rsidR="00336F91" w:rsidRPr="00A569A9" w:rsidRDefault="00336F91" w:rsidP="00336F91">
      <w:pPr>
        <w:tabs>
          <w:tab w:val="left" w:pos="851"/>
        </w:tabs>
        <w:ind w:left="851"/>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6.6</w:t>
      </w:r>
      <w:r w:rsidRPr="00A569A9">
        <w:rPr>
          <w:b/>
          <w:sz w:val="24"/>
          <w:szCs w:val="24"/>
        </w:rPr>
        <w:tab/>
      </w:r>
      <w:r w:rsidR="0030109B" w:rsidRPr="0030109B">
        <w:rPr>
          <w:b/>
          <w:sz w:val="24"/>
          <w:szCs w:val="24"/>
        </w:rPr>
        <w:t>Regler for bortskaffelse</w:t>
      </w:r>
    </w:p>
    <w:p w:rsidR="00336F91" w:rsidRPr="00A569A9" w:rsidRDefault="00336F91" w:rsidP="00336F91">
      <w:pPr>
        <w:tabs>
          <w:tab w:val="left" w:pos="851"/>
        </w:tabs>
        <w:ind w:left="851"/>
        <w:jc w:val="both"/>
        <w:rPr>
          <w:sz w:val="24"/>
          <w:szCs w:val="24"/>
        </w:rPr>
      </w:pPr>
      <w:r w:rsidRPr="00A569A9">
        <w:rPr>
          <w:sz w:val="24"/>
          <w:szCs w:val="24"/>
        </w:rPr>
        <w:t>Ingen særlige forholdsregler.</w:t>
      </w:r>
    </w:p>
    <w:p w:rsidR="00336F91" w:rsidRDefault="00336F91" w:rsidP="00336F91">
      <w:pPr>
        <w:tabs>
          <w:tab w:val="left" w:pos="851"/>
        </w:tabs>
        <w:ind w:left="851"/>
        <w:jc w:val="both"/>
        <w:rPr>
          <w:sz w:val="24"/>
          <w:szCs w:val="24"/>
        </w:rPr>
      </w:pPr>
    </w:p>
    <w:p w:rsidR="00336F91" w:rsidRPr="00A569A9" w:rsidRDefault="00336F91" w:rsidP="00336F91">
      <w:pPr>
        <w:tabs>
          <w:tab w:val="left" w:pos="851"/>
        </w:tabs>
        <w:ind w:left="851"/>
        <w:jc w:val="both"/>
        <w:rPr>
          <w:iCs/>
          <w:sz w:val="24"/>
          <w:szCs w:val="24"/>
        </w:rPr>
      </w:pPr>
      <w:r w:rsidRPr="00A569A9">
        <w:rPr>
          <w:sz w:val="24"/>
          <w:szCs w:val="24"/>
        </w:rPr>
        <w:t>Ikke anvendt lægemiddel samt affald heraf skal bortskaffes i henhold til lokale retningslinjer.</w:t>
      </w:r>
    </w:p>
    <w:p w:rsidR="00336F91" w:rsidRPr="00A569A9" w:rsidRDefault="00336F91" w:rsidP="00336F91">
      <w:pPr>
        <w:tabs>
          <w:tab w:val="left" w:pos="851"/>
        </w:tabs>
        <w:ind w:left="851"/>
        <w:jc w:val="both"/>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7.</w:t>
      </w:r>
      <w:r w:rsidRPr="00A569A9">
        <w:rPr>
          <w:b/>
          <w:sz w:val="24"/>
          <w:szCs w:val="24"/>
        </w:rPr>
        <w:tab/>
        <w:t>INDEHAVER AF MARKEDSFØRINGSTILLADELSEN</w:t>
      </w:r>
    </w:p>
    <w:p w:rsidR="00336F91" w:rsidRPr="00133A30" w:rsidRDefault="00336F91" w:rsidP="00336F91">
      <w:pPr>
        <w:tabs>
          <w:tab w:val="left" w:pos="851"/>
        </w:tabs>
        <w:ind w:left="851"/>
        <w:rPr>
          <w:sz w:val="24"/>
          <w:szCs w:val="24"/>
        </w:rPr>
      </w:pPr>
      <w:proofErr w:type="spellStart"/>
      <w:r w:rsidRPr="00133A30">
        <w:rPr>
          <w:sz w:val="24"/>
          <w:szCs w:val="24"/>
        </w:rPr>
        <w:t>Italfarmaco</w:t>
      </w:r>
      <w:proofErr w:type="spellEnd"/>
      <w:r w:rsidRPr="00133A30">
        <w:rPr>
          <w:sz w:val="24"/>
          <w:szCs w:val="24"/>
        </w:rPr>
        <w:t xml:space="preserve"> S.A.</w:t>
      </w:r>
    </w:p>
    <w:p w:rsidR="00336F91" w:rsidRPr="00641D3B" w:rsidRDefault="00336F91" w:rsidP="00336F91">
      <w:pPr>
        <w:tabs>
          <w:tab w:val="left" w:pos="851"/>
        </w:tabs>
        <w:ind w:left="851"/>
        <w:rPr>
          <w:sz w:val="24"/>
          <w:szCs w:val="24"/>
        </w:rPr>
      </w:pPr>
      <w:r w:rsidRPr="00641D3B">
        <w:rPr>
          <w:sz w:val="24"/>
          <w:szCs w:val="24"/>
        </w:rPr>
        <w:t>C/San Rafael 3</w:t>
      </w:r>
    </w:p>
    <w:p w:rsidR="00336F91" w:rsidRPr="00A569A9" w:rsidRDefault="00336F91" w:rsidP="00336F91">
      <w:pPr>
        <w:tabs>
          <w:tab w:val="left" w:pos="851"/>
        </w:tabs>
        <w:ind w:left="851"/>
        <w:rPr>
          <w:sz w:val="24"/>
          <w:szCs w:val="24"/>
          <w:lang w:val="en-US"/>
        </w:rPr>
      </w:pPr>
      <w:r w:rsidRPr="00641D3B">
        <w:rPr>
          <w:sz w:val="24"/>
          <w:szCs w:val="24"/>
        </w:rPr>
        <w:t xml:space="preserve">Pol. Ind. </w:t>
      </w:r>
      <w:r w:rsidRPr="00133A30">
        <w:rPr>
          <w:sz w:val="24"/>
          <w:szCs w:val="24"/>
          <w:lang w:val="en-US"/>
        </w:rPr>
        <w:t>Alcobendas</w:t>
      </w:r>
    </w:p>
    <w:p w:rsidR="00336F91" w:rsidRPr="00BD4C0B" w:rsidRDefault="00336F91" w:rsidP="00336F91">
      <w:pPr>
        <w:tabs>
          <w:tab w:val="left" w:pos="851"/>
        </w:tabs>
        <w:ind w:left="851"/>
        <w:rPr>
          <w:sz w:val="24"/>
          <w:szCs w:val="24"/>
          <w:lang w:val="en-US"/>
        </w:rPr>
      </w:pPr>
      <w:r w:rsidRPr="00BD4C0B">
        <w:rPr>
          <w:sz w:val="24"/>
          <w:szCs w:val="24"/>
          <w:lang w:val="en-US"/>
        </w:rPr>
        <w:t>28108 Madrid</w:t>
      </w:r>
    </w:p>
    <w:p w:rsidR="00336F91" w:rsidRPr="00BD4C0B" w:rsidRDefault="00336F91" w:rsidP="00336F91">
      <w:pPr>
        <w:tabs>
          <w:tab w:val="left" w:pos="851"/>
        </w:tabs>
        <w:ind w:left="851"/>
        <w:rPr>
          <w:sz w:val="24"/>
          <w:szCs w:val="24"/>
          <w:lang w:val="en-US"/>
        </w:rPr>
      </w:pPr>
      <w:proofErr w:type="spellStart"/>
      <w:r w:rsidRPr="00BD4C0B">
        <w:rPr>
          <w:sz w:val="24"/>
          <w:szCs w:val="24"/>
          <w:lang w:val="en-US"/>
        </w:rPr>
        <w:t>Spanien</w:t>
      </w:r>
      <w:proofErr w:type="spellEnd"/>
    </w:p>
    <w:p w:rsidR="00336F91" w:rsidRPr="00BD4C0B" w:rsidRDefault="00336F91" w:rsidP="00336F91">
      <w:pPr>
        <w:tabs>
          <w:tab w:val="left" w:pos="851"/>
        </w:tabs>
        <w:ind w:left="851"/>
        <w:rPr>
          <w:sz w:val="24"/>
          <w:szCs w:val="24"/>
          <w:lang w:val="en-US"/>
        </w:rPr>
      </w:pPr>
    </w:p>
    <w:p w:rsidR="00336F91" w:rsidRPr="00BD4C0B" w:rsidRDefault="00336F91" w:rsidP="00336F91">
      <w:pPr>
        <w:tabs>
          <w:tab w:val="left" w:pos="851"/>
        </w:tabs>
        <w:ind w:left="851"/>
        <w:rPr>
          <w:b/>
          <w:sz w:val="24"/>
          <w:szCs w:val="24"/>
          <w:lang w:val="en-US"/>
        </w:rPr>
      </w:pPr>
      <w:proofErr w:type="spellStart"/>
      <w:r w:rsidRPr="00BD4C0B">
        <w:rPr>
          <w:b/>
          <w:sz w:val="24"/>
          <w:szCs w:val="24"/>
          <w:lang w:val="en-US"/>
        </w:rPr>
        <w:t>Repræsentant</w:t>
      </w:r>
      <w:proofErr w:type="spellEnd"/>
    </w:p>
    <w:p w:rsidR="00336F91" w:rsidRPr="00BD4C0B" w:rsidRDefault="00336F91" w:rsidP="00336F91">
      <w:pPr>
        <w:tabs>
          <w:tab w:val="left" w:pos="851"/>
        </w:tabs>
        <w:ind w:left="851"/>
        <w:rPr>
          <w:sz w:val="24"/>
          <w:szCs w:val="24"/>
          <w:lang w:val="en-US"/>
        </w:rPr>
      </w:pPr>
      <w:proofErr w:type="spellStart"/>
      <w:r w:rsidRPr="00BD4C0B">
        <w:rPr>
          <w:sz w:val="24"/>
          <w:szCs w:val="24"/>
          <w:lang w:val="en-US"/>
        </w:rPr>
        <w:t>CampusPharma</w:t>
      </w:r>
      <w:proofErr w:type="spellEnd"/>
      <w:r w:rsidRPr="00BD4C0B">
        <w:rPr>
          <w:sz w:val="24"/>
          <w:szCs w:val="24"/>
          <w:lang w:val="en-US"/>
        </w:rPr>
        <w:t xml:space="preserve"> AB                                        </w:t>
      </w:r>
    </w:p>
    <w:p w:rsidR="00336F91" w:rsidRPr="00BD4C0B" w:rsidRDefault="00336F91" w:rsidP="00336F91">
      <w:pPr>
        <w:tabs>
          <w:tab w:val="left" w:pos="851"/>
        </w:tabs>
        <w:ind w:left="851"/>
        <w:rPr>
          <w:sz w:val="24"/>
          <w:szCs w:val="24"/>
          <w:lang w:val="en-US"/>
        </w:rPr>
      </w:pPr>
      <w:r w:rsidRPr="00BD4C0B">
        <w:rPr>
          <w:sz w:val="24"/>
          <w:szCs w:val="24"/>
          <w:lang w:val="en-US"/>
        </w:rPr>
        <w:t xml:space="preserve">Karl </w:t>
      </w:r>
      <w:proofErr w:type="spellStart"/>
      <w:r w:rsidRPr="00BD4C0B">
        <w:rPr>
          <w:sz w:val="24"/>
          <w:szCs w:val="24"/>
          <w:lang w:val="en-US"/>
        </w:rPr>
        <w:t>Gustavsgatan</w:t>
      </w:r>
      <w:proofErr w:type="spellEnd"/>
      <w:r w:rsidRPr="00BD4C0B">
        <w:rPr>
          <w:sz w:val="24"/>
          <w:szCs w:val="24"/>
          <w:lang w:val="en-US"/>
        </w:rPr>
        <w:t xml:space="preserve"> 1A</w:t>
      </w:r>
    </w:p>
    <w:p w:rsidR="00336F91" w:rsidRPr="00A569A9" w:rsidRDefault="00336F91" w:rsidP="00336F91">
      <w:pPr>
        <w:tabs>
          <w:tab w:val="left" w:pos="851"/>
        </w:tabs>
        <w:ind w:left="851"/>
        <w:rPr>
          <w:sz w:val="24"/>
          <w:szCs w:val="24"/>
        </w:rPr>
      </w:pPr>
      <w:r w:rsidRPr="00A569A9">
        <w:rPr>
          <w:sz w:val="24"/>
          <w:szCs w:val="24"/>
        </w:rPr>
        <w:t>411 25 Göteborg</w:t>
      </w:r>
    </w:p>
    <w:p w:rsidR="00336F91" w:rsidRPr="00A569A9" w:rsidRDefault="00336F91" w:rsidP="00336F91">
      <w:pPr>
        <w:tabs>
          <w:tab w:val="left" w:pos="851"/>
        </w:tabs>
        <w:ind w:left="851"/>
        <w:rPr>
          <w:sz w:val="24"/>
          <w:szCs w:val="24"/>
        </w:rPr>
      </w:pPr>
      <w:r w:rsidRPr="00A569A9">
        <w:rPr>
          <w:sz w:val="24"/>
          <w:szCs w:val="24"/>
        </w:rPr>
        <w:t xml:space="preserve">Sverige   </w:t>
      </w:r>
    </w:p>
    <w:p w:rsidR="00336F91" w:rsidRPr="00A569A9" w:rsidRDefault="00336F91" w:rsidP="00336F91">
      <w:pPr>
        <w:tabs>
          <w:tab w:val="left" w:pos="851"/>
        </w:tabs>
        <w:ind w:left="851"/>
        <w:rPr>
          <w:sz w:val="24"/>
          <w:szCs w:val="24"/>
        </w:rPr>
      </w:pPr>
    </w:p>
    <w:p w:rsidR="00336F91" w:rsidRPr="00A569A9" w:rsidRDefault="00336F91" w:rsidP="004C2C1E">
      <w:pPr>
        <w:keepNext/>
        <w:tabs>
          <w:tab w:val="left" w:pos="851"/>
        </w:tabs>
        <w:ind w:left="851" w:hanging="851"/>
        <w:rPr>
          <w:b/>
          <w:sz w:val="24"/>
          <w:szCs w:val="24"/>
        </w:rPr>
      </w:pPr>
      <w:r w:rsidRPr="00A569A9">
        <w:rPr>
          <w:b/>
          <w:sz w:val="24"/>
          <w:szCs w:val="24"/>
        </w:rPr>
        <w:t>8.</w:t>
      </w:r>
      <w:r w:rsidRPr="00A569A9">
        <w:rPr>
          <w:b/>
          <w:sz w:val="24"/>
          <w:szCs w:val="24"/>
        </w:rPr>
        <w:tab/>
        <w:t>MARKEDSFØRINGSTILLADELSESNUMMER (NUMRE)</w:t>
      </w:r>
    </w:p>
    <w:p w:rsidR="00336F91" w:rsidRPr="00A569A9" w:rsidRDefault="00336F91" w:rsidP="00336F91">
      <w:pPr>
        <w:tabs>
          <w:tab w:val="left" w:pos="851"/>
        </w:tabs>
        <w:ind w:left="851"/>
        <w:rPr>
          <w:sz w:val="24"/>
          <w:szCs w:val="24"/>
        </w:rPr>
      </w:pPr>
      <w:r>
        <w:rPr>
          <w:sz w:val="24"/>
          <w:szCs w:val="24"/>
        </w:rPr>
        <w:t>57514</w:t>
      </w:r>
    </w:p>
    <w:p w:rsidR="00336F91" w:rsidRPr="00A569A9" w:rsidRDefault="00336F91" w:rsidP="00336F91">
      <w:pPr>
        <w:tabs>
          <w:tab w:val="left" w:pos="851"/>
        </w:tabs>
        <w:ind w:left="851"/>
        <w:jc w:val="both"/>
        <w:rPr>
          <w:sz w:val="24"/>
          <w:szCs w:val="24"/>
        </w:rPr>
      </w:pPr>
    </w:p>
    <w:p w:rsidR="00336F91" w:rsidRPr="00A569A9" w:rsidRDefault="00336F91" w:rsidP="00336F91">
      <w:pPr>
        <w:tabs>
          <w:tab w:val="left" w:pos="851"/>
        </w:tabs>
        <w:ind w:left="851" w:hanging="851"/>
        <w:rPr>
          <w:b/>
          <w:sz w:val="24"/>
          <w:szCs w:val="24"/>
        </w:rPr>
      </w:pPr>
      <w:r w:rsidRPr="00A569A9">
        <w:rPr>
          <w:b/>
          <w:sz w:val="24"/>
          <w:szCs w:val="24"/>
        </w:rPr>
        <w:t>9.</w:t>
      </w:r>
      <w:r w:rsidRPr="00A569A9">
        <w:rPr>
          <w:b/>
          <w:sz w:val="24"/>
          <w:szCs w:val="24"/>
        </w:rPr>
        <w:tab/>
        <w:t>DATO FOR FØRSTE MARKEDSFØRINGSTILLADELSE</w:t>
      </w:r>
    </w:p>
    <w:p w:rsidR="00AF1C2E" w:rsidRPr="00AF1C2E" w:rsidRDefault="00AF1C2E" w:rsidP="00AF1C2E">
      <w:pPr>
        <w:tabs>
          <w:tab w:val="left" w:pos="851"/>
        </w:tabs>
        <w:ind w:left="851"/>
        <w:rPr>
          <w:sz w:val="24"/>
          <w:szCs w:val="24"/>
        </w:rPr>
      </w:pPr>
      <w:r w:rsidRPr="00AF1C2E">
        <w:rPr>
          <w:sz w:val="24"/>
          <w:szCs w:val="24"/>
        </w:rPr>
        <w:t>Dato for første markedsføringstilladelse: 30. september 2016</w:t>
      </w:r>
    </w:p>
    <w:p w:rsidR="00336F91" w:rsidRPr="00A569A9" w:rsidRDefault="00AF1C2E" w:rsidP="00AF1C2E">
      <w:pPr>
        <w:tabs>
          <w:tab w:val="left" w:pos="851"/>
        </w:tabs>
        <w:ind w:left="851"/>
        <w:rPr>
          <w:sz w:val="24"/>
          <w:szCs w:val="24"/>
        </w:rPr>
      </w:pPr>
      <w:r w:rsidRPr="00AF1C2E">
        <w:rPr>
          <w:sz w:val="24"/>
          <w:szCs w:val="24"/>
        </w:rPr>
        <w:t>Dato for seneste fornyelse: 11. juli 2021</w:t>
      </w:r>
      <w:r>
        <w:rPr>
          <w:sz w:val="24"/>
          <w:szCs w:val="24"/>
        </w:rPr>
        <w:br/>
      </w:r>
    </w:p>
    <w:p w:rsidR="00336F91" w:rsidRPr="00A569A9" w:rsidRDefault="00336F91" w:rsidP="00336F91">
      <w:pPr>
        <w:tabs>
          <w:tab w:val="left" w:pos="851"/>
        </w:tabs>
        <w:ind w:left="851" w:hanging="851"/>
        <w:rPr>
          <w:b/>
          <w:sz w:val="24"/>
          <w:szCs w:val="24"/>
        </w:rPr>
      </w:pPr>
      <w:r w:rsidRPr="00A569A9">
        <w:rPr>
          <w:b/>
          <w:sz w:val="24"/>
          <w:szCs w:val="24"/>
        </w:rPr>
        <w:t>10.</w:t>
      </w:r>
      <w:r w:rsidRPr="00A569A9">
        <w:rPr>
          <w:b/>
          <w:sz w:val="24"/>
          <w:szCs w:val="24"/>
        </w:rPr>
        <w:tab/>
        <w:t>DATO FOR ÆNDRING AF TEKSTEN</w:t>
      </w:r>
    </w:p>
    <w:p w:rsidR="009260DE" w:rsidRPr="00336F91" w:rsidRDefault="007A6E31" w:rsidP="007A6E31">
      <w:pPr>
        <w:ind w:firstLine="851"/>
      </w:pPr>
      <w:r w:rsidRPr="007A6E31">
        <w:rPr>
          <w:sz w:val="24"/>
          <w:szCs w:val="24"/>
        </w:rPr>
        <w:t>17. juni 2022</w:t>
      </w:r>
    </w:p>
    <w:sectPr w:rsidR="009260DE" w:rsidRPr="00336F9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F91" w:rsidRDefault="00336F91">
      <w:r>
        <w:separator/>
      </w:r>
    </w:p>
  </w:endnote>
  <w:endnote w:type="continuationSeparator" w:id="0">
    <w:p w:rsidR="00336F91" w:rsidRDefault="0033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B3938">
      <w:rPr>
        <w:i/>
        <w:noProof/>
        <w:sz w:val="18"/>
        <w:szCs w:val="18"/>
      </w:rPr>
      <w:t>Gelisse, vaginalgel 50 mikrogram-g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F91" w:rsidRDefault="00336F91">
      <w:r>
        <w:separator/>
      </w:r>
    </w:p>
  </w:footnote>
  <w:footnote w:type="continuationSeparator" w:id="0">
    <w:p w:rsidR="00336F91" w:rsidRDefault="0033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33DB"/>
    <w:multiLevelType w:val="hybridMultilevel"/>
    <w:tmpl w:val="3A74DE36"/>
    <w:lvl w:ilvl="0" w:tplc="AA621FEE">
      <w:start w:val="1"/>
      <w:numFmt w:val="bullet"/>
      <w:lvlText w:val="–"/>
      <w:lvlJc w:val="left"/>
      <w:pPr>
        <w:ind w:left="1571" w:hanging="360"/>
      </w:pPr>
      <w:rPr>
        <w:rFonts w:hAnsi="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C501691"/>
    <w:multiLevelType w:val="hybridMultilevel"/>
    <w:tmpl w:val="BC8CBEE6"/>
    <w:lvl w:ilvl="0" w:tplc="FFFFFFFF">
      <w:start w:val="1"/>
      <w:numFmt w:val="bullet"/>
      <w:lvlText w:val="–"/>
      <w:lvlJc w:val="left"/>
      <w:pPr>
        <w:ind w:left="720" w:hanging="360"/>
      </w:pPr>
      <w:rPr>
        <w:rFonts w:hAnsi="Courier New" w:hint="default"/>
      </w:rPr>
    </w:lvl>
    <w:lvl w:ilvl="1" w:tplc="7BF60120">
      <w:start w:val="1"/>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AD356D1"/>
    <w:multiLevelType w:val="hybridMultilevel"/>
    <w:tmpl w:val="BB8EBAB2"/>
    <w:lvl w:ilvl="0" w:tplc="AA621FEE">
      <w:start w:val="1"/>
      <w:numFmt w:val="bullet"/>
      <w:lvlText w:val="–"/>
      <w:lvlJc w:val="left"/>
      <w:pPr>
        <w:ind w:left="720" w:hanging="360"/>
      </w:pPr>
      <w:rPr>
        <w:rFonts w:hAnsi="Courier New"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E085692"/>
    <w:multiLevelType w:val="hybridMultilevel"/>
    <w:tmpl w:val="F0569800"/>
    <w:lvl w:ilvl="0" w:tplc="7BF60120">
      <w:start w:val="1"/>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F162955"/>
    <w:multiLevelType w:val="hybridMultilevel"/>
    <w:tmpl w:val="69509018"/>
    <w:lvl w:ilvl="0" w:tplc="FFFFFFFF">
      <w:start w:val="1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0F9723C"/>
    <w:multiLevelType w:val="hybridMultilevel"/>
    <w:tmpl w:val="5CEE9444"/>
    <w:lvl w:ilvl="0" w:tplc="AA621FEE">
      <w:start w:val="1"/>
      <w:numFmt w:val="bullet"/>
      <w:lvlText w:val="–"/>
      <w:lvlJc w:val="left"/>
      <w:pPr>
        <w:ind w:left="1571" w:hanging="360"/>
      </w:pPr>
      <w:rPr>
        <w:rFonts w:hAnsi="Courier New" w:hint="default"/>
        <w:b w:val="0"/>
        <w:bCs w:val="0"/>
        <w:i w:val="0"/>
        <w:iCs w:val="0"/>
        <w:w w:val="100"/>
        <w:sz w:val="22"/>
        <w:szCs w:val="22"/>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425222C"/>
    <w:multiLevelType w:val="hybridMultilevel"/>
    <w:tmpl w:val="505AF548"/>
    <w:lvl w:ilvl="0" w:tplc="AA621FEE">
      <w:start w:val="1"/>
      <w:numFmt w:val="bullet"/>
      <w:lvlText w:val="–"/>
      <w:lvlJc w:val="left"/>
      <w:pPr>
        <w:tabs>
          <w:tab w:val="num" w:pos="1571"/>
        </w:tabs>
        <w:ind w:left="1571" w:hanging="360"/>
      </w:pPr>
      <w:rPr>
        <w:rFonts w:hAnsi="Courier New"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C7865D5"/>
    <w:multiLevelType w:val="hybridMultilevel"/>
    <w:tmpl w:val="E724134A"/>
    <w:lvl w:ilvl="0" w:tplc="AA621FEE">
      <w:start w:val="1"/>
      <w:numFmt w:val="bullet"/>
      <w:lvlText w:val="–"/>
      <w:lvlJc w:val="left"/>
      <w:pPr>
        <w:ind w:left="1571" w:hanging="360"/>
      </w:pPr>
      <w:rPr>
        <w:rFonts w:hAnsi="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CED3E37"/>
    <w:multiLevelType w:val="hybridMultilevel"/>
    <w:tmpl w:val="EE469A08"/>
    <w:lvl w:ilvl="0" w:tplc="FFFFFFFF">
      <w:start w:val="4"/>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5"/>
  </w:num>
  <w:num w:numId="8">
    <w:abstractNumId w:val="1"/>
  </w:num>
  <w:num w:numId="9">
    <w:abstractNumId w:val="4"/>
  </w:num>
  <w:num w:numId="10">
    <w:abstractNumId w:val="3"/>
  </w:num>
  <w:num w:numId="11">
    <w:abstractNumId w:val="6"/>
  </w:num>
  <w:num w:numId="12">
    <w:abstractNumId w:val="1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91"/>
    <w:rsid w:val="000259B9"/>
    <w:rsid w:val="00041491"/>
    <w:rsid w:val="00050D16"/>
    <w:rsid w:val="00074F2A"/>
    <w:rsid w:val="000A1CA8"/>
    <w:rsid w:val="000A466B"/>
    <w:rsid w:val="000A6272"/>
    <w:rsid w:val="000B058C"/>
    <w:rsid w:val="000E4EE6"/>
    <w:rsid w:val="001454E2"/>
    <w:rsid w:val="00206CE8"/>
    <w:rsid w:val="0021526C"/>
    <w:rsid w:val="0028096D"/>
    <w:rsid w:val="00283A2B"/>
    <w:rsid w:val="002B30AD"/>
    <w:rsid w:val="002C2C01"/>
    <w:rsid w:val="0030109B"/>
    <w:rsid w:val="00336F91"/>
    <w:rsid w:val="003A29AE"/>
    <w:rsid w:val="003A32D7"/>
    <w:rsid w:val="003A5DB2"/>
    <w:rsid w:val="003B4074"/>
    <w:rsid w:val="003C769A"/>
    <w:rsid w:val="003E1C14"/>
    <w:rsid w:val="003F1838"/>
    <w:rsid w:val="00404F39"/>
    <w:rsid w:val="00414F1C"/>
    <w:rsid w:val="0045746C"/>
    <w:rsid w:val="0049104B"/>
    <w:rsid w:val="004C2C1E"/>
    <w:rsid w:val="004E3B12"/>
    <w:rsid w:val="004F70F7"/>
    <w:rsid w:val="00532310"/>
    <w:rsid w:val="005478A7"/>
    <w:rsid w:val="00560ECC"/>
    <w:rsid w:val="00565F0F"/>
    <w:rsid w:val="00594A86"/>
    <w:rsid w:val="00596D86"/>
    <w:rsid w:val="00637F5A"/>
    <w:rsid w:val="006560B1"/>
    <w:rsid w:val="006756DD"/>
    <w:rsid w:val="00737275"/>
    <w:rsid w:val="00740EEC"/>
    <w:rsid w:val="0078011A"/>
    <w:rsid w:val="00782AF4"/>
    <w:rsid w:val="00790EE7"/>
    <w:rsid w:val="007A6E31"/>
    <w:rsid w:val="007B6649"/>
    <w:rsid w:val="0081546F"/>
    <w:rsid w:val="0082576E"/>
    <w:rsid w:val="00907F75"/>
    <w:rsid w:val="009260DE"/>
    <w:rsid w:val="0093258A"/>
    <w:rsid w:val="009A4E5B"/>
    <w:rsid w:val="009C7BA3"/>
    <w:rsid w:val="009D1F5A"/>
    <w:rsid w:val="00AF1C2E"/>
    <w:rsid w:val="00B003BF"/>
    <w:rsid w:val="00B373D7"/>
    <w:rsid w:val="00BD4C0B"/>
    <w:rsid w:val="00C23AEE"/>
    <w:rsid w:val="00C36276"/>
    <w:rsid w:val="00C42586"/>
    <w:rsid w:val="00C60CCD"/>
    <w:rsid w:val="00C84483"/>
    <w:rsid w:val="00C95551"/>
    <w:rsid w:val="00CB20D7"/>
    <w:rsid w:val="00D020B0"/>
    <w:rsid w:val="00D11748"/>
    <w:rsid w:val="00D366CF"/>
    <w:rsid w:val="00D52348"/>
    <w:rsid w:val="00D649C1"/>
    <w:rsid w:val="00D66F98"/>
    <w:rsid w:val="00DB3938"/>
    <w:rsid w:val="00E108AA"/>
    <w:rsid w:val="00E31812"/>
    <w:rsid w:val="00E3749A"/>
    <w:rsid w:val="00E606B4"/>
    <w:rsid w:val="00E7437F"/>
    <w:rsid w:val="00E865B8"/>
    <w:rsid w:val="00EC0B9B"/>
    <w:rsid w:val="00ED5E9F"/>
    <w:rsid w:val="00ED63DE"/>
    <w:rsid w:val="00F14563"/>
    <w:rsid w:val="00F642AB"/>
    <w:rsid w:val="00F66D4F"/>
    <w:rsid w:val="00FB66FF"/>
    <w:rsid w:val="00FB6D01"/>
    <w:rsid w:val="00FC04A4"/>
    <w:rsid w:val="00FE3A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591A9"/>
  <w15:chartTrackingRefBased/>
  <w15:docId w15:val="{0A306930-2A9C-4171-B7E0-F6327A45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7A6E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36F91"/>
    <w:rPr>
      <w:color w:val="0563C1" w:themeColor="hyperlink"/>
      <w:u w:val="single"/>
    </w:rPr>
  </w:style>
  <w:style w:type="paragraph" w:styleId="Listeafsnit">
    <w:name w:val="List Paragraph"/>
    <w:basedOn w:val="Normal"/>
    <w:uiPriority w:val="34"/>
    <w:qFormat/>
    <w:rsid w:val="007A6E31"/>
    <w:pPr>
      <w:ind w:left="720"/>
      <w:contextualSpacing/>
    </w:pPr>
  </w:style>
  <w:style w:type="character" w:customStyle="1" w:styleId="Overskrift2Tegn">
    <w:name w:val="Overskrift 2 Tegn"/>
    <w:basedOn w:val="Standardskrifttypeiafsnit"/>
    <w:link w:val="Overskrift2"/>
    <w:uiPriority w:val="9"/>
    <w:semiHidden/>
    <w:rsid w:val="007A6E31"/>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46</TotalTime>
  <Pages>10</Pages>
  <Words>2699</Words>
  <Characters>17660</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Louise Støvring Alanin</dc:creator>
  <cp:keywords/>
  <dc:description>2021062347_x000d_
SPC pkt. 1, 4.2-4.8, 5.1, 5.2, 6.4, 6.5, 9 </dc:description>
  <cp:lastModifiedBy>Louise Støvring Corneliussen</cp:lastModifiedBy>
  <cp:revision>18</cp:revision>
  <cp:lastPrinted>2012-08-22T08:53:00Z</cp:lastPrinted>
  <dcterms:created xsi:type="dcterms:W3CDTF">2022-06-16T07:28:00Z</dcterms:created>
  <dcterms:modified xsi:type="dcterms:W3CDTF">2022-06-16T09:02:00Z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