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43B6" w:rsidRPr="008F49E1" w:rsidRDefault="007B43B6" w:rsidP="007B43B6">
      <w:pPr>
        <w:rPr>
          <w:sz w:val="24"/>
          <w:szCs w:val="24"/>
        </w:rPr>
      </w:pPr>
      <w:r w:rsidRPr="009260DE">
        <w:rPr>
          <w:noProof/>
          <w:sz w:val="24"/>
          <w:szCs w:val="24"/>
          <w:lang w:eastAsia="da-DK"/>
        </w:rPr>
        <w:drawing>
          <wp:anchor distT="0" distB="0" distL="114300" distR="114300" simplePos="0" relativeHeight="251659264" behindDoc="0" locked="0" layoutInCell="1" allowOverlap="1" wp14:anchorId="446AC3E7" wp14:editId="4EEA4CA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7B43B6" w:rsidRPr="00C84483" w:rsidRDefault="007B43B6" w:rsidP="007B43B6">
      <w:pPr>
        <w:pStyle w:val="Titel"/>
        <w:tabs>
          <w:tab w:val="right" w:pos="9356"/>
        </w:tabs>
        <w:jc w:val="left"/>
        <w:rPr>
          <w:b w:val="0"/>
          <w:szCs w:val="24"/>
          <w:lang w:eastAsia="en-US"/>
        </w:rPr>
      </w:pPr>
      <w:r w:rsidRPr="00C84483">
        <w:rPr>
          <w:b w:val="0"/>
          <w:szCs w:val="24"/>
          <w:lang w:eastAsia="en-US"/>
        </w:rPr>
        <w:tab/>
      </w:r>
      <w:r w:rsidR="00A06F90">
        <w:rPr>
          <w:szCs w:val="24"/>
        </w:rPr>
        <w:t>3. juni 2024</w:t>
      </w:r>
    </w:p>
    <w:p w:rsidR="007B43B6" w:rsidRPr="00C84483" w:rsidRDefault="007B43B6" w:rsidP="007B43B6">
      <w:pPr>
        <w:pStyle w:val="Titel"/>
        <w:tabs>
          <w:tab w:val="left" w:pos="8222"/>
        </w:tabs>
        <w:jc w:val="left"/>
        <w:rPr>
          <w:b w:val="0"/>
          <w:szCs w:val="24"/>
        </w:rPr>
      </w:pPr>
    </w:p>
    <w:p w:rsidR="007B43B6" w:rsidRPr="00C84483" w:rsidRDefault="007B43B6" w:rsidP="007B43B6">
      <w:pPr>
        <w:pStyle w:val="Titel"/>
        <w:jc w:val="left"/>
        <w:rPr>
          <w:b w:val="0"/>
          <w:szCs w:val="24"/>
        </w:rPr>
      </w:pPr>
    </w:p>
    <w:p w:rsidR="007B43B6" w:rsidRPr="00C84483" w:rsidRDefault="007B43B6" w:rsidP="007B43B6">
      <w:pPr>
        <w:jc w:val="center"/>
        <w:rPr>
          <w:b/>
          <w:sz w:val="24"/>
          <w:szCs w:val="24"/>
        </w:rPr>
      </w:pPr>
      <w:r w:rsidRPr="00C84483">
        <w:rPr>
          <w:b/>
          <w:sz w:val="24"/>
          <w:szCs w:val="24"/>
        </w:rPr>
        <w:t>PRODUKTRESUMÉ</w:t>
      </w:r>
    </w:p>
    <w:p w:rsidR="007B43B6" w:rsidRPr="00C84483" w:rsidRDefault="007B43B6" w:rsidP="007B43B6">
      <w:pPr>
        <w:jc w:val="center"/>
        <w:rPr>
          <w:b/>
          <w:sz w:val="24"/>
          <w:szCs w:val="24"/>
        </w:rPr>
      </w:pPr>
    </w:p>
    <w:p w:rsidR="007B43B6" w:rsidRDefault="007B43B6" w:rsidP="007B43B6">
      <w:pPr>
        <w:jc w:val="center"/>
        <w:rPr>
          <w:b/>
          <w:sz w:val="24"/>
          <w:szCs w:val="24"/>
        </w:rPr>
      </w:pPr>
      <w:r w:rsidRPr="00C84483">
        <w:rPr>
          <w:b/>
          <w:sz w:val="24"/>
          <w:szCs w:val="24"/>
        </w:rPr>
        <w:t>for</w:t>
      </w:r>
    </w:p>
    <w:p w:rsidR="007B43B6" w:rsidRPr="00C84483" w:rsidRDefault="007B43B6" w:rsidP="007B43B6">
      <w:pPr>
        <w:jc w:val="center"/>
        <w:rPr>
          <w:b/>
          <w:sz w:val="24"/>
          <w:szCs w:val="24"/>
        </w:rPr>
      </w:pPr>
    </w:p>
    <w:p w:rsidR="007B43B6" w:rsidRPr="00C84483" w:rsidRDefault="007B43B6" w:rsidP="007B43B6">
      <w:pPr>
        <w:jc w:val="center"/>
        <w:rPr>
          <w:b/>
          <w:sz w:val="24"/>
          <w:szCs w:val="24"/>
        </w:rPr>
      </w:pPr>
      <w:proofErr w:type="spellStart"/>
      <w:r>
        <w:rPr>
          <w:b/>
          <w:sz w:val="24"/>
          <w:szCs w:val="24"/>
        </w:rPr>
        <w:t>Gemcitabin</w:t>
      </w:r>
      <w:proofErr w:type="spellEnd"/>
      <w:r>
        <w:rPr>
          <w:b/>
          <w:sz w:val="24"/>
          <w:szCs w:val="24"/>
        </w:rPr>
        <w:t xml:space="preserve"> "SUN", infusionsvæske, opløsning</w:t>
      </w:r>
    </w:p>
    <w:p w:rsidR="007B43B6" w:rsidRPr="00C84483" w:rsidRDefault="007B43B6" w:rsidP="007B43B6">
      <w:pPr>
        <w:jc w:val="both"/>
        <w:rPr>
          <w:sz w:val="24"/>
          <w:szCs w:val="24"/>
        </w:rPr>
      </w:pPr>
    </w:p>
    <w:p w:rsidR="007B43B6" w:rsidRPr="00C84483" w:rsidRDefault="007B43B6" w:rsidP="007B43B6">
      <w:pPr>
        <w:jc w:val="both"/>
        <w:rPr>
          <w:sz w:val="24"/>
          <w:szCs w:val="24"/>
        </w:rPr>
      </w:pPr>
    </w:p>
    <w:p w:rsidR="007B43B6" w:rsidRPr="00C84483" w:rsidRDefault="007B43B6" w:rsidP="007B43B6">
      <w:pPr>
        <w:tabs>
          <w:tab w:val="left" w:pos="851"/>
        </w:tabs>
        <w:ind w:left="851" w:hanging="851"/>
        <w:rPr>
          <w:b/>
          <w:sz w:val="24"/>
          <w:szCs w:val="24"/>
        </w:rPr>
      </w:pPr>
      <w:r w:rsidRPr="00C84483">
        <w:rPr>
          <w:b/>
          <w:sz w:val="24"/>
          <w:szCs w:val="24"/>
        </w:rPr>
        <w:t>0.</w:t>
      </w:r>
      <w:r w:rsidRPr="00C84483">
        <w:rPr>
          <w:b/>
          <w:sz w:val="24"/>
          <w:szCs w:val="24"/>
        </w:rPr>
        <w:tab/>
        <w:t>D.SP.NR.</w:t>
      </w:r>
    </w:p>
    <w:p w:rsidR="007B43B6" w:rsidRPr="00C84483" w:rsidRDefault="007B43B6" w:rsidP="007B43B6">
      <w:pPr>
        <w:tabs>
          <w:tab w:val="left" w:pos="851"/>
        </w:tabs>
        <w:ind w:left="851"/>
        <w:rPr>
          <w:sz w:val="24"/>
          <w:szCs w:val="24"/>
        </w:rPr>
      </w:pPr>
      <w:r>
        <w:rPr>
          <w:sz w:val="24"/>
          <w:szCs w:val="24"/>
        </w:rPr>
        <w:t>29516</w:t>
      </w:r>
    </w:p>
    <w:p w:rsidR="007B43B6" w:rsidRPr="00C84483" w:rsidRDefault="007B43B6" w:rsidP="007B43B6">
      <w:pPr>
        <w:tabs>
          <w:tab w:val="left" w:pos="851"/>
        </w:tabs>
        <w:ind w:left="851"/>
        <w:rPr>
          <w:sz w:val="24"/>
          <w:szCs w:val="24"/>
        </w:rPr>
      </w:pPr>
    </w:p>
    <w:p w:rsidR="007B43B6" w:rsidRPr="00C84483" w:rsidRDefault="007B43B6" w:rsidP="007B43B6">
      <w:pPr>
        <w:tabs>
          <w:tab w:val="left" w:pos="851"/>
        </w:tabs>
        <w:ind w:left="851" w:hanging="851"/>
        <w:rPr>
          <w:b/>
          <w:sz w:val="24"/>
          <w:szCs w:val="24"/>
        </w:rPr>
      </w:pPr>
      <w:r w:rsidRPr="00C84483">
        <w:rPr>
          <w:b/>
          <w:sz w:val="24"/>
          <w:szCs w:val="24"/>
        </w:rPr>
        <w:t>1.</w:t>
      </w:r>
      <w:r w:rsidRPr="00C84483">
        <w:rPr>
          <w:b/>
          <w:sz w:val="24"/>
          <w:szCs w:val="24"/>
        </w:rPr>
        <w:tab/>
        <w:t>LÆGEMIDLETS NAVN</w:t>
      </w:r>
    </w:p>
    <w:p w:rsidR="007B43B6" w:rsidRPr="00C84483" w:rsidRDefault="007B43B6" w:rsidP="007B43B6">
      <w:pPr>
        <w:tabs>
          <w:tab w:val="left" w:pos="851"/>
        </w:tabs>
        <w:ind w:left="851"/>
        <w:rPr>
          <w:sz w:val="24"/>
          <w:szCs w:val="24"/>
        </w:rPr>
      </w:pPr>
      <w:proofErr w:type="spellStart"/>
      <w:r>
        <w:rPr>
          <w:sz w:val="24"/>
          <w:szCs w:val="24"/>
        </w:rPr>
        <w:t>Gemcitabin</w:t>
      </w:r>
      <w:proofErr w:type="spellEnd"/>
      <w:r>
        <w:rPr>
          <w:sz w:val="24"/>
          <w:szCs w:val="24"/>
        </w:rPr>
        <w:t xml:space="preserve"> "SUN"</w:t>
      </w:r>
    </w:p>
    <w:p w:rsidR="007B43B6" w:rsidRPr="00C84483" w:rsidRDefault="007B43B6" w:rsidP="007B43B6">
      <w:pPr>
        <w:tabs>
          <w:tab w:val="left" w:pos="851"/>
        </w:tabs>
        <w:ind w:left="851"/>
        <w:rPr>
          <w:sz w:val="24"/>
          <w:szCs w:val="24"/>
        </w:rPr>
      </w:pPr>
    </w:p>
    <w:p w:rsidR="007B43B6" w:rsidRPr="00C84483" w:rsidRDefault="007B43B6" w:rsidP="007B43B6">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7B43B6" w:rsidRDefault="007B43B6" w:rsidP="007B43B6">
      <w:pPr>
        <w:tabs>
          <w:tab w:val="left" w:pos="851"/>
        </w:tabs>
        <w:ind w:left="851" w:hanging="851"/>
      </w:pPr>
      <w:r>
        <w:tab/>
      </w:r>
    </w:p>
    <w:p w:rsidR="007B43B6" w:rsidRPr="00BC702B" w:rsidRDefault="007B43B6" w:rsidP="007B43B6">
      <w:pPr>
        <w:tabs>
          <w:tab w:val="left" w:pos="851"/>
        </w:tabs>
        <w:ind w:left="851"/>
        <w:rPr>
          <w:u w:val="single"/>
        </w:rPr>
      </w:pPr>
      <w:r w:rsidRPr="00BC702B">
        <w:rPr>
          <w:u w:val="single"/>
          <w:lang w:val="da"/>
        </w:rPr>
        <w:t>Infusionspose på 120 ml</w:t>
      </w:r>
    </w:p>
    <w:p w:rsidR="007B43B6" w:rsidRDefault="007B43B6" w:rsidP="007B43B6">
      <w:pPr>
        <w:tabs>
          <w:tab w:val="left" w:pos="851"/>
        </w:tabs>
        <w:ind w:left="851"/>
        <w:rPr>
          <w:lang w:val="da"/>
        </w:rPr>
      </w:pPr>
      <w:r w:rsidRPr="00297369">
        <w:rPr>
          <w:lang w:val="da"/>
        </w:rPr>
        <w:t xml:space="preserve">Hver infusionspose på 120 ml indeholder 1200 mg </w:t>
      </w:r>
      <w:proofErr w:type="spellStart"/>
      <w:r w:rsidRPr="00297369">
        <w:rPr>
          <w:lang w:val="da"/>
        </w:rPr>
        <w:t>gemcitabin</w:t>
      </w:r>
      <w:proofErr w:type="spellEnd"/>
      <w:r w:rsidRPr="00297369">
        <w:rPr>
          <w:lang w:val="da"/>
        </w:rPr>
        <w:t xml:space="preserve"> (som </w:t>
      </w:r>
      <w:proofErr w:type="spellStart"/>
      <w:r w:rsidRPr="00297369">
        <w:rPr>
          <w:lang w:val="da"/>
        </w:rPr>
        <w:t>hydrochlorid</w:t>
      </w:r>
      <w:proofErr w:type="spellEnd"/>
      <w:r w:rsidRPr="00297369">
        <w:rPr>
          <w:lang w:val="da"/>
        </w:rPr>
        <w:t>)</w:t>
      </w:r>
      <w:r>
        <w:rPr>
          <w:lang w:val="da"/>
        </w:rPr>
        <w:t>.</w:t>
      </w:r>
    </w:p>
    <w:p w:rsidR="007B43B6" w:rsidRPr="00297369" w:rsidRDefault="007B43B6" w:rsidP="007B43B6">
      <w:pPr>
        <w:tabs>
          <w:tab w:val="left" w:pos="851"/>
        </w:tabs>
        <w:ind w:left="851"/>
        <w:rPr>
          <w:lang w:val="da"/>
        </w:rPr>
      </w:pPr>
      <w:r w:rsidRPr="00297369">
        <w:rPr>
          <w:lang w:val="da"/>
        </w:rPr>
        <w:t xml:space="preserve">En ml af infusionsvæsken indeholder 10 mg </w:t>
      </w:r>
      <w:proofErr w:type="spellStart"/>
      <w:r w:rsidRPr="00297369">
        <w:rPr>
          <w:lang w:val="da"/>
        </w:rPr>
        <w:t>gemcitabin</w:t>
      </w:r>
      <w:proofErr w:type="spellEnd"/>
      <w:r>
        <w:rPr>
          <w:lang w:val="da"/>
        </w:rPr>
        <w:t>.</w:t>
      </w:r>
    </w:p>
    <w:p w:rsidR="007B43B6" w:rsidRPr="00297369" w:rsidRDefault="007B43B6" w:rsidP="007B43B6">
      <w:pPr>
        <w:tabs>
          <w:tab w:val="left" w:pos="851"/>
        </w:tabs>
        <w:ind w:left="851" w:hanging="851"/>
        <w:rPr>
          <w:lang w:val="da"/>
        </w:rPr>
      </w:pPr>
    </w:p>
    <w:p w:rsidR="007B43B6" w:rsidRDefault="007B43B6" w:rsidP="007B43B6">
      <w:pPr>
        <w:tabs>
          <w:tab w:val="left" w:pos="851"/>
        </w:tabs>
        <w:ind w:left="851" w:hanging="851"/>
        <w:rPr>
          <w:spacing w:val="-3"/>
          <w:szCs w:val="22"/>
          <w:lang w:val="da"/>
        </w:rPr>
      </w:pPr>
      <w:r w:rsidRPr="002A028D">
        <w:rPr>
          <w:i/>
        </w:rPr>
        <w:tab/>
        <w:t>Hjælpestof, som behandleren skal være opmærksom på</w:t>
      </w:r>
      <w:r>
        <w:rPr>
          <w:i/>
        </w:rPr>
        <w:t xml:space="preserve">: </w:t>
      </w:r>
      <w:r w:rsidRPr="00D5148D">
        <w:rPr>
          <w:spacing w:val="-3"/>
          <w:szCs w:val="22"/>
          <w:lang w:val="da"/>
        </w:rPr>
        <w:t>Hver infusionspose på 120 ml indeholder</w:t>
      </w:r>
      <w:r>
        <w:rPr>
          <w:spacing w:val="-3"/>
          <w:szCs w:val="22"/>
          <w:lang w:val="da"/>
        </w:rPr>
        <w:t xml:space="preserve"> </w:t>
      </w:r>
      <w:r>
        <w:rPr>
          <w:color w:val="000000"/>
          <w:szCs w:val="22"/>
        </w:rPr>
        <w:t>549,00</w:t>
      </w:r>
      <w:r w:rsidRPr="00C870DA">
        <w:rPr>
          <w:szCs w:val="22"/>
        </w:rPr>
        <w:t xml:space="preserve"> mg</w:t>
      </w:r>
      <w:r>
        <w:rPr>
          <w:szCs w:val="22"/>
        </w:rPr>
        <w:t xml:space="preserve"> natrium. </w:t>
      </w:r>
      <w:r w:rsidRPr="00D5148D">
        <w:rPr>
          <w:spacing w:val="-3"/>
          <w:szCs w:val="22"/>
          <w:lang w:val="da"/>
        </w:rPr>
        <w:t>En ml af infusionsvæsken indeholder</w:t>
      </w:r>
      <w:r>
        <w:rPr>
          <w:spacing w:val="-3"/>
          <w:szCs w:val="22"/>
          <w:lang w:val="da"/>
        </w:rPr>
        <w:t xml:space="preserve"> 4,575 mg natrium.</w:t>
      </w:r>
    </w:p>
    <w:p w:rsidR="0028754E" w:rsidRDefault="0028754E" w:rsidP="007B43B6">
      <w:pPr>
        <w:tabs>
          <w:tab w:val="left" w:pos="851"/>
        </w:tabs>
        <w:ind w:left="851" w:hanging="851"/>
        <w:rPr>
          <w:spacing w:val="-3"/>
          <w:szCs w:val="22"/>
          <w:lang w:val="da"/>
        </w:rPr>
      </w:pPr>
    </w:p>
    <w:p w:rsidR="0028754E" w:rsidRPr="00BC702B" w:rsidRDefault="0028754E" w:rsidP="0028754E">
      <w:pPr>
        <w:tabs>
          <w:tab w:val="left" w:pos="851"/>
        </w:tabs>
        <w:ind w:left="851"/>
        <w:rPr>
          <w:u w:val="single"/>
        </w:rPr>
      </w:pPr>
      <w:r w:rsidRPr="00BC702B">
        <w:rPr>
          <w:u w:val="single"/>
          <w:lang w:val="da"/>
        </w:rPr>
        <w:t>Infusionspose på 1</w:t>
      </w:r>
      <w:r>
        <w:rPr>
          <w:u w:val="single"/>
          <w:lang w:val="da"/>
        </w:rPr>
        <w:t>3</w:t>
      </w:r>
      <w:r w:rsidRPr="00BC702B">
        <w:rPr>
          <w:u w:val="single"/>
          <w:lang w:val="da"/>
        </w:rPr>
        <w:t>0 ml</w:t>
      </w:r>
    </w:p>
    <w:p w:rsidR="0028754E" w:rsidRDefault="0028754E" w:rsidP="0028754E">
      <w:pPr>
        <w:tabs>
          <w:tab w:val="left" w:pos="851"/>
        </w:tabs>
        <w:ind w:left="851"/>
        <w:rPr>
          <w:lang w:val="da"/>
        </w:rPr>
      </w:pPr>
      <w:r w:rsidRPr="00297369">
        <w:rPr>
          <w:lang w:val="da"/>
        </w:rPr>
        <w:t>Hver infusionspose på 1</w:t>
      </w:r>
      <w:r>
        <w:rPr>
          <w:lang w:val="da"/>
        </w:rPr>
        <w:t>3</w:t>
      </w:r>
      <w:r w:rsidRPr="00297369">
        <w:rPr>
          <w:lang w:val="da"/>
        </w:rPr>
        <w:t>0 ml indeholder 1</w:t>
      </w:r>
      <w:r>
        <w:rPr>
          <w:lang w:val="da"/>
        </w:rPr>
        <w:t>3</w:t>
      </w:r>
      <w:r w:rsidRPr="00297369">
        <w:rPr>
          <w:lang w:val="da"/>
        </w:rPr>
        <w:t xml:space="preserve">00 mg </w:t>
      </w:r>
      <w:proofErr w:type="spellStart"/>
      <w:r w:rsidRPr="00297369">
        <w:rPr>
          <w:lang w:val="da"/>
        </w:rPr>
        <w:t>gemcitabin</w:t>
      </w:r>
      <w:proofErr w:type="spellEnd"/>
      <w:r w:rsidRPr="00297369">
        <w:rPr>
          <w:lang w:val="da"/>
        </w:rPr>
        <w:t xml:space="preserve"> (som </w:t>
      </w:r>
      <w:proofErr w:type="spellStart"/>
      <w:r w:rsidRPr="00297369">
        <w:rPr>
          <w:lang w:val="da"/>
        </w:rPr>
        <w:t>hydrochlorid</w:t>
      </w:r>
      <w:proofErr w:type="spellEnd"/>
      <w:r w:rsidRPr="00297369">
        <w:rPr>
          <w:lang w:val="da"/>
        </w:rPr>
        <w:t>)</w:t>
      </w:r>
      <w:r>
        <w:rPr>
          <w:lang w:val="da"/>
        </w:rPr>
        <w:t>.</w:t>
      </w:r>
    </w:p>
    <w:p w:rsidR="0028754E" w:rsidRPr="00297369" w:rsidRDefault="0028754E" w:rsidP="0028754E">
      <w:pPr>
        <w:tabs>
          <w:tab w:val="left" w:pos="851"/>
        </w:tabs>
        <w:ind w:left="851"/>
        <w:rPr>
          <w:lang w:val="da"/>
        </w:rPr>
      </w:pPr>
      <w:r w:rsidRPr="00297369">
        <w:rPr>
          <w:lang w:val="da"/>
        </w:rPr>
        <w:t xml:space="preserve">En ml af infusionsvæsken indeholder 10 mg </w:t>
      </w:r>
      <w:proofErr w:type="spellStart"/>
      <w:r w:rsidRPr="00297369">
        <w:rPr>
          <w:lang w:val="da"/>
        </w:rPr>
        <w:t>gemcitabin</w:t>
      </w:r>
      <w:proofErr w:type="spellEnd"/>
      <w:r>
        <w:rPr>
          <w:lang w:val="da"/>
        </w:rPr>
        <w:t>.</w:t>
      </w:r>
    </w:p>
    <w:p w:rsidR="0028754E" w:rsidRPr="00297369" w:rsidRDefault="0028754E" w:rsidP="0028754E">
      <w:pPr>
        <w:tabs>
          <w:tab w:val="left" w:pos="851"/>
        </w:tabs>
        <w:ind w:left="851" w:hanging="851"/>
        <w:rPr>
          <w:lang w:val="da"/>
        </w:rPr>
      </w:pPr>
    </w:p>
    <w:p w:rsidR="0028754E" w:rsidRDefault="0028754E" w:rsidP="0028754E">
      <w:pPr>
        <w:tabs>
          <w:tab w:val="left" w:pos="851"/>
        </w:tabs>
        <w:ind w:left="851" w:hanging="851"/>
        <w:rPr>
          <w:spacing w:val="-3"/>
          <w:szCs w:val="22"/>
          <w:lang w:val="da"/>
        </w:rPr>
      </w:pPr>
      <w:r w:rsidRPr="002A028D">
        <w:rPr>
          <w:i/>
        </w:rPr>
        <w:tab/>
        <w:t>Hjælpestof, som behandleren skal være opmærksom på</w:t>
      </w:r>
      <w:r>
        <w:rPr>
          <w:i/>
        </w:rPr>
        <w:t xml:space="preserve">: </w:t>
      </w:r>
      <w:r w:rsidRPr="00D5148D">
        <w:rPr>
          <w:spacing w:val="-3"/>
          <w:szCs w:val="22"/>
          <w:lang w:val="da"/>
        </w:rPr>
        <w:t>Hver infusionspose på 1</w:t>
      </w:r>
      <w:r>
        <w:rPr>
          <w:spacing w:val="-3"/>
          <w:szCs w:val="22"/>
          <w:lang w:val="da"/>
        </w:rPr>
        <w:t>3</w:t>
      </w:r>
      <w:r w:rsidRPr="00D5148D">
        <w:rPr>
          <w:spacing w:val="-3"/>
          <w:szCs w:val="22"/>
          <w:lang w:val="da"/>
        </w:rPr>
        <w:t>0 ml indeholder</w:t>
      </w:r>
      <w:r>
        <w:rPr>
          <w:spacing w:val="-3"/>
          <w:szCs w:val="22"/>
          <w:lang w:val="da"/>
        </w:rPr>
        <w:t xml:space="preserve"> </w:t>
      </w:r>
      <w:r>
        <w:rPr>
          <w:color w:val="000000"/>
          <w:szCs w:val="22"/>
        </w:rPr>
        <w:t>594,65</w:t>
      </w:r>
      <w:r w:rsidRPr="00C870DA">
        <w:rPr>
          <w:szCs w:val="22"/>
        </w:rPr>
        <w:t xml:space="preserve"> mg</w:t>
      </w:r>
      <w:r>
        <w:rPr>
          <w:szCs w:val="22"/>
        </w:rPr>
        <w:t xml:space="preserve"> natrium. </w:t>
      </w:r>
      <w:r w:rsidRPr="00D5148D">
        <w:rPr>
          <w:spacing w:val="-3"/>
          <w:szCs w:val="22"/>
          <w:lang w:val="da"/>
        </w:rPr>
        <w:t>En ml af infusionsvæsken indeholder</w:t>
      </w:r>
      <w:r>
        <w:rPr>
          <w:spacing w:val="-3"/>
          <w:szCs w:val="22"/>
          <w:lang w:val="da"/>
        </w:rPr>
        <w:t xml:space="preserve"> 4,575 mg natrium.</w:t>
      </w:r>
    </w:p>
    <w:p w:rsidR="007B43B6" w:rsidRDefault="007B43B6" w:rsidP="0028754E">
      <w:pPr>
        <w:tabs>
          <w:tab w:val="left" w:pos="851"/>
        </w:tabs>
      </w:pPr>
    </w:p>
    <w:p w:rsidR="007B43B6" w:rsidRPr="00BC702B" w:rsidRDefault="007B43B6" w:rsidP="007B43B6">
      <w:pPr>
        <w:tabs>
          <w:tab w:val="left" w:pos="851"/>
        </w:tabs>
        <w:ind w:left="851"/>
        <w:rPr>
          <w:u w:val="single"/>
        </w:rPr>
      </w:pPr>
      <w:r w:rsidRPr="00BC702B">
        <w:rPr>
          <w:u w:val="single"/>
          <w:lang w:val="da"/>
        </w:rPr>
        <w:t>Infusionspose på 1</w:t>
      </w:r>
      <w:r>
        <w:rPr>
          <w:u w:val="single"/>
          <w:lang w:val="da"/>
        </w:rPr>
        <w:t>4</w:t>
      </w:r>
      <w:r w:rsidRPr="00BC702B">
        <w:rPr>
          <w:u w:val="single"/>
          <w:lang w:val="da"/>
        </w:rPr>
        <w:t>0 ml</w:t>
      </w:r>
    </w:p>
    <w:p w:rsidR="007B43B6" w:rsidRDefault="007B43B6" w:rsidP="007B43B6">
      <w:pPr>
        <w:tabs>
          <w:tab w:val="left" w:pos="851"/>
        </w:tabs>
        <w:ind w:left="851"/>
        <w:rPr>
          <w:lang w:val="da"/>
        </w:rPr>
      </w:pPr>
      <w:r w:rsidRPr="00297369">
        <w:rPr>
          <w:lang w:val="da"/>
        </w:rPr>
        <w:t>Hver infusionspose på 1</w:t>
      </w:r>
      <w:r>
        <w:rPr>
          <w:lang w:val="da"/>
        </w:rPr>
        <w:t>4</w:t>
      </w:r>
      <w:r w:rsidRPr="00297369">
        <w:rPr>
          <w:lang w:val="da"/>
        </w:rPr>
        <w:t>0 ml indeholder 1</w:t>
      </w:r>
      <w:r>
        <w:rPr>
          <w:lang w:val="da"/>
        </w:rPr>
        <w:t>4</w:t>
      </w:r>
      <w:r w:rsidRPr="00297369">
        <w:rPr>
          <w:lang w:val="da"/>
        </w:rPr>
        <w:t xml:space="preserve">00 mg </w:t>
      </w:r>
      <w:proofErr w:type="spellStart"/>
      <w:r w:rsidRPr="00297369">
        <w:rPr>
          <w:lang w:val="da"/>
        </w:rPr>
        <w:t>gemcitabin</w:t>
      </w:r>
      <w:proofErr w:type="spellEnd"/>
      <w:r w:rsidRPr="00297369">
        <w:rPr>
          <w:lang w:val="da"/>
        </w:rPr>
        <w:t xml:space="preserve"> (som </w:t>
      </w:r>
      <w:proofErr w:type="spellStart"/>
      <w:r w:rsidRPr="00297369">
        <w:rPr>
          <w:lang w:val="da"/>
        </w:rPr>
        <w:t>hydrochlorid</w:t>
      </w:r>
      <w:proofErr w:type="spellEnd"/>
      <w:r w:rsidRPr="00297369">
        <w:rPr>
          <w:lang w:val="da"/>
        </w:rPr>
        <w:t>)</w:t>
      </w:r>
      <w:r>
        <w:rPr>
          <w:lang w:val="da"/>
        </w:rPr>
        <w:t>.</w:t>
      </w:r>
    </w:p>
    <w:p w:rsidR="007B43B6" w:rsidRPr="00297369" w:rsidRDefault="007B43B6" w:rsidP="007B43B6">
      <w:pPr>
        <w:tabs>
          <w:tab w:val="left" w:pos="851"/>
        </w:tabs>
        <w:ind w:left="851"/>
        <w:rPr>
          <w:lang w:val="da"/>
        </w:rPr>
      </w:pPr>
      <w:r w:rsidRPr="00297369">
        <w:rPr>
          <w:lang w:val="da"/>
        </w:rPr>
        <w:t xml:space="preserve">En ml af infusionsvæsken indeholder 10 mg </w:t>
      </w:r>
      <w:proofErr w:type="spellStart"/>
      <w:r w:rsidRPr="00297369">
        <w:rPr>
          <w:lang w:val="da"/>
        </w:rPr>
        <w:t>gemcitabin</w:t>
      </w:r>
      <w:proofErr w:type="spellEnd"/>
      <w:r>
        <w:rPr>
          <w:lang w:val="da"/>
        </w:rPr>
        <w:t>.</w:t>
      </w:r>
    </w:p>
    <w:p w:rsidR="007B43B6" w:rsidRPr="00297369" w:rsidRDefault="007B43B6" w:rsidP="007B43B6">
      <w:pPr>
        <w:tabs>
          <w:tab w:val="left" w:pos="851"/>
        </w:tabs>
        <w:ind w:left="851" w:hanging="851"/>
        <w:rPr>
          <w:lang w:val="da"/>
        </w:rPr>
      </w:pPr>
    </w:p>
    <w:p w:rsidR="007B43B6" w:rsidRDefault="007B43B6" w:rsidP="007B43B6">
      <w:pPr>
        <w:tabs>
          <w:tab w:val="left" w:pos="851"/>
        </w:tabs>
        <w:ind w:left="851" w:hanging="851"/>
        <w:rPr>
          <w:spacing w:val="-3"/>
          <w:szCs w:val="22"/>
          <w:lang w:val="da"/>
        </w:rPr>
      </w:pPr>
      <w:r w:rsidRPr="002A028D">
        <w:rPr>
          <w:i/>
        </w:rPr>
        <w:tab/>
        <w:t>Hjælpestof, som behandleren skal være opmærksom på</w:t>
      </w:r>
      <w:r>
        <w:rPr>
          <w:i/>
        </w:rPr>
        <w:t xml:space="preserve">: </w:t>
      </w:r>
      <w:r w:rsidRPr="00D5148D">
        <w:rPr>
          <w:spacing w:val="-3"/>
          <w:szCs w:val="22"/>
          <w:lang w:val="da"/>
        </w:rPr>
        <w:t>Hver infusionspose på 1</w:t>
      </w:r>
      <w:r>
        <w:rPr>
          <w:spacing w:val="-3"/>
          <w:szCs w:val="22"/>
          <w:lang w:val="da"/>
        </w:rPr>
        <w:t>4</w:t>
      </w:r>
      <w:r w:rsidRPr="00D5148D">
        <w:rPr>
          <w:spacing w:val="-3"/>
          <w:szCs w:val="22"/>
          <w:lang w:val="da"/>
        </w:rPr>
        <w:t>0 ml indeholder</w:t>
      </w:r>
      <w:r>
        <w:rPr>
          <w:spacing w:val="-3"/>
          <w:szCs w:val="22"/>
          <w:lang w:val="da"/>
        </w:rPr>
        <w:t xml:space="preserve"> 640</w:t>
      </w:r>
      <w:r>
        <w:rPr>
          <w:color w:val="000000"/>
          <w:szCs w:val="22"/>
        </w:rPr>
        <w:t>,50</w:t>
      </w:r>
      <w:r w:rsidRPr="00C870DA">
        <w:rPr>
          <w:szCs w:val="22"/>
        </w:rPr>
        <w:t xml:space="preserve"> mg</w:t>
      </w:r>
      <w:r>
        <w:rPr>
          <w:szCs w:val="22"/>
        </w:rPr>
        <w:t xml:space="preserve"> natrium.</w:t>
      </w:r>
      <w:r w:rsidR="00276176">
        <w:rPr>
          <w:szCs w:val="22"/>
        </w:rPr>
        <w:t xml:space="preserve"> </w:t>
      </w:r>
      <w:r w:rsidRPr="00D5148D">
        <w:rPr>
          <w:spacing w:val="-3"/>
          <w:szCs w:val="22"/>
          <w:lang w:val="da"/>
        </w:rPr>
        <w:t>En ml af infusionsvæsken indeholder</w:t>
      </w:r>
      <w:r>
        <w:rPr>
          <w:spacing w:val="-3"/>
          <w:szCs w:val="22"/>
          <w:lang w:val="da"/>
        </w:rPr>
        <w:t xml:space="preserve"> 4,575 mg natrium.</w:t>
      </w:r>
    </w:p>
    <w:p w:rsidR="0028754E" w:rsidRDefault="0028754E" w:rsidP="007B43B6">
      <w:pPr>
        <w:tabs>
          <w:tab w:val="left" w:pos="851"/>
        </w:tabs>
        <w:ind w:left="851" w:hanging="851"/>
      </w:pPr>
    </w:p>
    <w:p w:rsidR="0028754E" w:rsidRPr="00BC702B" w:rsidRDefault="0028754E" w:rsidP="0028754E">
      <w:pPr>
        <w:tabs>
          <w:tab w:val="left" w:pos="851"/>
        </w:tabs>
        <w:ind w:left="851"/>
        <w:rPr>
          <w:u w:val="single"/>
        </w:rPr>
      </w:pPr>
      <w:r w:rsidRPr="00BC702B">
        <w:rPr>
          <w:u w:val="single"/>
          <w:lang w:val="da"/>
        </w:rPr>
        <w:t>Infusionspose på 1</w:t>
      </w:r>
      <w:r>
        <w:rPr>
          <w:u w:val="single"/>
          <w:lang w:val="da"/>
        </w:rPr>
        <w:t>5</w:t>
      </w:r>
      <w:r w:rsidRPr="00BC702B">
        <w:rPr>
          <w:u w:val="single"/>
          <w:lang w:val="da"/>
        </w:rPr>
        <w:t>0 ml</w:t>
      </w:r>
    </w:p>
    <w:p w:rsidR="0028754E" w:rsidRDefault="0028754E" w:rsidP="0028754E">
      <w:pPr>
        <w:tabs>
          <w:tab w:val="left" w:pos="851"/>
        </w:tabs>
        <w:ind w:left="851"/>
        <w:rPr>
          <w:lang w:val="da"/>
        </w:rPr>
      </w:pPr>
      <w:r w:rsidRPr="00297369">
        <w:rPr>
          <w:lang w:val="da"/>
        </w:rPr>
        <w:t>Hver infusionspose på 1</w:t>
      </w:r>
      <w:r>
        <w:rPr>
          <w:lang w:val="da"/>
        </w:rPr>
        <w:t>5</w:t>
      </w:r>
      <w:r w:rsidRPr="00297369">
        <w:rPr>
          <w:lang w:val="da"/>
        </w:rPr>
        <w:t>0 ml indeholder 1</w:t>
      </w:r>
      <w:r>
        <w:rPr>
          <w:lang w:val="da"/>
        </w:rPr>
        <w:t>5</w:t>
      </w:r>
      <w:r w:rsidRPr="00297369">
        <w:rPr>
          <w:lang w:val="da"/>
        </w:rPr>
        <w:t xml:space="preserve">00 mg </w:t>
      </w:r>
      <w:proofErr w:type="spellStart"/>
      <w:r w:rsidRPr="00297369">
        <w:rPr>
          <w:lang w:val="da"/>
        </w:rPr>
        <w:t>gemcitabin</w:t>
      </w:r>
      <w:proofErr w:type="spellEnd"/>
      <w:r w:rsidRPr="00297369">
        <w:rPr>
          <w:lang w:val="da"/>
        </w:rPr>
        <w:t xml:space="preserve"> (som </w:t>
      </w:r>
      <w:proofErr w:type="spellStart"/>
      <w:r w:rsidRPr="00297369">
        <w:rPr>
          <w:lang w:val="da"/>
        </w:rPr>
        <w:t>hydrochlorid</w:t>
      </w:r>
      <w:proofErr w:type="spellEnd"/>
      <w:r w:rsidRPr="00297369">
        <w:rPr>
          <w:lang w:val="da"/>
        </w:rPr>
        <w:t>)</w:t>
      </w:r>
      <w:r>
        <w:rPr>
          <w:lang w:val="da"/>
        </w:rPr>
        <w:t>.</w:t>
      </w:r>
    </w:p>
    <w:p w:rsidR="0028754E" w:rsidRPr="00297369" w:rsidRDefault="0028754E" w:rsidP="0028754E">
      <w:pPr>
        <w:tabs>
          <w:tab w:val="left" w:pos="851"/>
        </w:tabs>
        <w:ind w:left="851"/>
        <w:rPr>
          <w:lang w:val="da"/>
        </w:rPr>
      </w:pPr>
      <w:r w:rsidRPr="00297369">
        <w:rPr>
          <w:lang w:val="da"/>
        </w:rPr>
        <w:t xml:space="preserve">En ml af infusionsvæsken indeholder 10 mg </w:t>
      </w:r>
      <w:proofErr w:type="spellStart"/>
      <w:r w:rsidRPr="00297369">
        <w:rPr>
          <w:lang w:val="da"/>
        </w:rPr>
        <w:t>gemcitabin</w:t>
      </w:r>
      <w:proofErr w:type="spellEnd"/>
      <w:r>
        <w:rPr>
          <w:lang w:val="da"/>
        </w:rPr>
        <w:t>.</w:t>
      </w:r>
    </w:p>
    <w:p w:rsidR="0028754E" w:rsidRPr="00297369" w:rsidRDefault="0028754E" w:rsidP="0028754E">
      <w:pPr>
        <w:tabs>
          <w:tab w:val="left" w:pos="851"/>
        </w:tabs>
        <w:ind w:left="851" w:hanging="851"/>
        <w:rPr>
          <w:lang w:val="da"/>
        </w:rPr>
      </w:pPr>
    </w:p>
    <w:p w:rsidR="0028754E" w:rsidRPr="00297369" w:rsidRDefault="0028754E" w:rsidP="0028754E">
      <w:pPr>
        <w:tabs>
          <w:tab w:val="left" w:pos="851"/>
        </w:tabs>
        <w:ind w:left="851" w:hanging="851"/>
      </w:pPr>
      <w:r w:rsidRPr="002A028D">
        <w:rPr>
          <w:i/>
        </w:rPr>
        <w:tab/>
        <w:t>Hjælpestof, som behandleren skal være opmærksom på</w:t>
      </w:r>
      <w:r>
        <w:rPr>
          <w:i/>
        </w:rPr>
        <w:t xml:space="preserve">: </w:t>
      </w:r>
      <w:r w:rsidRPr="00D5148D">
        <w:rPr>
          <w:spacing w:val="-3"/>
          <w:szCs w:val="22"/>
          <w:lang w:val="da"/>
        </w:rPr>
        <w:t>Hver infusionspose på 1</w:t>
      </w:r>
      <w:r>
        <w:rPr>
          <w:spacing w:val="-3"/>
          <w:szCs w:val="22"/>
          <w:lang w:val="da"/>
        </w:rPr>
        <w:t>5</w:t>
      </w:r>
      <w:r w:rsidRPr="00D5148D">
        <w:rPr>
          <w:spacing w:val="-3"/>
          <w:szCs w:val="22"/>
          <w:lang w:val="da"/>
        </w:rPr>
        <w:t>0 ml indeholder</w:t>
      </w:r>
      <w:r>
        <w:rPr>
          <w:spacing w:val="-3"/>
          <w:szCs w:val="22"/>
          <w:lang w:val="da"/>
        </w:rPr>
        <w:t xml:space="preserve"> 686</w:t>
      </w:r>
      <w:r>
        <w:rPr>
          <w:color w:val="000000"/>
          <w:szCs w:val="22"/>
        </w:rPr>
        <w:t>,25</w:t>
      </w:r>
      <w:r w:rsidRPr="00C870DA">
        <w:rPr>
          <w:szCs w:val="22"/>
        </w:rPr>
        <w:t xml:space="preserve"> mg</w:t>
      </w:r>
      <w:r>
        <w:rPr>
          <w:szCs w:val="22"/>
        </w:rPr>
        <w:t xml:space="preserve"> natrium. </w:t>
      </w:r>
      <w:r w:rsidRPr="00D5148D">
        <w:rPr>
          <w:spacing w:val="-3"/>
          <w:szCs w:val="22"/>
          <w:lang w:val="da"/>
        </w:rPr>
        <w:t>En ml af infusionsvæsken indeholder</w:t>
      </w:r>
      <w:r>
        <w:rPr>
          <w:spacing w:val="-3"/>
          <w:szCs w:val="22"/>
          <w:lang w:val="da"/>
        </w:rPr>
        <w:t xml:space="preserve"> 4,575 mg natrium.</w:t>
      </w:r>
    </w:p>
    <w:p w:rsidR="00A06F90" w:rsidRDefault="00A06F90" w:rsidP="007B43B6">
      <w:pPr>
        <w:tabs>
          <w:tab w:val="left" w:pos="851"/>
        </w:tabs>
      </w:pPr>
    </w:p>
    <w:p w:rsidR="00A06F90" w:rsidRDefault="00A06F90" w:rsidP="007B43B6">
      <w:pPr>
        <w:tabs>
          <w:tab w:val="left" w:pos="851"/>
        </w:tabs>
      </w:pPr>
    </w:p>
    <w:p w:rsidR="007B43B6" w:rsidRPr="00BC702B" w:rsidRDefault="007B43B6" w:rsidP="007B43B6">
      <w:pPr>
        <w:tabs>
          <w:tab w:val="left" w:pos="851"/>
        </w:tabs>
        <w:ind w:left="851"/>
        <w:rPr>
          <w:u w:val="single"/>
        </w:rPr>
      </w:pPr>
      <w:r w:rsidRPr="00BC702B">
        <w:rPr>
          <w:u w:val="single"/>
          <w:lang w:val="da"/>
        </w:rPr>
        <w:lastRenderedPageBreak/>
        <w:t>I</w:t>
      </w:r>
      <w:r>
        <w:rPr>
          <w:u w:val="single"/>
          <w:lang w:val="da"/>
        </w:rPr>
        <w:t>nfusionspose på 16</w:t>
      </w:r>
      <w:r w:rsidRPr="00BC702B">
        <w:rPr>
          <w:u w:val="single"/>
          <w:lang w:val="da"/>
        </w:rPr>
        <w:t>0 ml</w:t>
      </w:r>
    </w:p>
    <w:p w:rsidR="007B43B6" w:rsidRDefault="007B43B6" w:rsidP="007B43B6">
      <w:pPr>
        <w:tabs>
          <w:tab w:val="left" w:pos="851"/>
        </w:tabs>
        <w:ind w:left="851" w:hanging="851"/>
        <w:rPr>
          <w:lang w:val="da"/>
        </w:rPr>
      </w:pPr>
      <w:r>
        <w:rPr>
          <w:lang w:val="da"/>
        </w:rPr>
        <w:tab/>
      </w:r>
      <w:r w:rsidRPr="00297369">
        <w:rPr>
          <w:lang w:val="da"/>
        </w:rPr>
        <w:t>Hver infusionspose på 1</w:t>
      </w:r>
      <w:r>
        <w:rPr>
          <w:lang w:val="da"/>
        </w:rPr>
        <w:t>6</w:t>
      </w:r>
      <w:r w:rsidRPr="00297369">
        <w:rPr>
          <w:lang w:val="da"/>
        </w:rPr>
        <w:t>0 ml indeholder 1</w:t>
      </w:r>
      <w:r>
        <w:rPr>
          <w:lang w:val="da"/>
        </w:rPr>
        <w:t>6</w:t>
      </w:r>
      <w:r w:rsidRPr="00297369">
        <w:rPr>
          <w:lang w:val="da"/>
        </w:rPr>
        <w:t xml:space="preserve">00 mg </w:t>
      </w:r>
      <w:proofErr w:type="spellStart"/>
      <w:r w:rsidRPr="00297369">
        <w:rPr>
          <w:lang w:val="da"/>
        </w:rPr>
        <w:t>gemcitabin</w:t>
      </w:r>
      <w:proofErr w:type="spellEnd"/>
      <w:r w:rsidRPr="00297369">
        <w:rPr>
          <w:lang w:val="da"/>
        </w:rPr>
        <w:t xml:space="preserve"> (som </w:t>
      </w:r>
      <w:proofErr w:type="spellStart"/>
      <w:r w:rsidRPr="00297369">
        <w:rPr>
          <w:lang w:val="da"/>
        </w:rPr>
        <w:t>hydrochlorid</w:t>
      </w:r>
      <w:proofErr w:type="spellEnd"/>
      <w:r w:rsidRPr="00297369">
        <w:rPr>
          <w:lang w:val="da"/>
        </w:rPr>
        <w:t>)</w:t>
      </w:r>
      <w:r>
        <w:rPr>
          <w:lang w:val="da"/>
        </w:rPr>
        <w:t>.</w:t>
      </w:r>
    </w:p>
    <w:p w:rsidR="007B43B6" w:rsidRPr="00297369" w:rsidRDefault="007B43B6" w:rsidP="007B43B6">
      <w:pPr>
        <w:tabs>
          <w:tab w:val="left" w:pos="851"/>
        </w:tabs>
        <w:ind w:left="851" w:hanging="851"/>
        <w:rPr>
          <w:lang w:val="da"/>
        </w:rPr>
      </w:pPr>
      <w:r>
        <w:rPr>
          <w:lang w:val="da"/>
        </w:rPr>
        <w:tab/>
      </w:r>
      <w:r w:rsidRPr="00297369">
        <w:rPr>
          <w:lang w:val="da"/>
        </w:rPr>
        <w:t xml:space="preserve">En ml af infusionsvæsken indeholder 10 mg </w:t>
      </w:r>
      <w:proofErr w:type="spellStart"/>
      <w:r w:rsidRPr="00297369">
        <w:rPr>
          <w:lang w:val="da"/>
        </w:rPr>
        <w:t>gemcitabin</w:t>
      </w:r>
      <w:proofErr w:type="spellEnd"/>
      <w:r>
        <w:rPr>
          <w:lang w:val="da"/>
        </w:rPr>
        <w:t>.</w:t>
      </w:r>
    </w:p>
    <w:p w:rsidR="007B43B6" w:rsidRPr="00297369" w:rsidRDefault="007B43B6" w:rsidP="007B43B6">
      <w:pPr>
        <w:tabs>
          <w:tab w:val="left" w:pos="851"/>
        </w:tabs>
        <w:ind w:left="851" w:hanging="851"/>
        <w:rPr>
          <w:lang w:val="da"/>
        </w:rPr>
      </w:pPr>
    </w:p>
    <w:p w:rsidR="007B43B6" w:rsidRDefault="007B43B6" w:rsidP="007B43B6">
      <w:pPr>
        <w:tabs>
          <w:tab w:val="left" w:pos="851"/>
        </w:tabs>
        <w:ind w:left="851" w:hanging="851"/>
        <w:rPr>
          <w:spacing w:val="-3"/>
          <w:szCs w:val="22"/>
          <w:lang w:val="da"/>
        </w:rPr>
      </w:pPr>
      <w:r w:rsidRPr="002A028D">
        <w:rPr>
          <w:i/>
        </w:rPr>
        <w:tab/>
        <w:t>Hjælpestof, som behandleren skal være opmærksom på</w:t>
      </w:r>
      <w:r>
        <w:rPr>
          <w:i/>
        </w:rPr>
        <w:t xml:space="preserve">: </w:t>
      </w:r>
      <w:r w:rsidRPr="00D5148D">
        <w:rPr>
          <w:spacing w:val="-3"/>
          <w:szCs w:val="22"/>
          <w:lang w:val="da"/>
        </w:rPr>
        <w:t>Hver infusionspose på 1</w:t>
      </w:r>
      <w:r>
        <w:rPr>
          <w:spacing w:val="-3"/>
          <w:szCs w:val="22"/>
          <w:lang w:val="da"/>
        </w:rPr>
        <w:t>6</w:t>
      </w:r>
      <w:r w:rsidRPr="00D5148D">
        <w:rPr>
          <w:spacing w:val="-3"/>
          <w:szCs w:val="22"/>
          <w:lang w:val="da"/>
        </w:rPr>
        <w:t>0 ml indeholder</w:t>
      </w:r>
      <w:r>
        <w:rPr>
          <w:spacing w:val="-3"/>
          <w:szCs w:val="22"/>
          <w:lang w:val="da"/>
        </w:rPr>
        <w:t xml:space="preserve"> 732,</w:t>
      </w:r>
      <w:r>
        <w:rPr>
          <w:color w:val="000000"/>
          <w:szCs w:val="22"/>
        </w:rPr>
        <w:t>00</w:t>
      </w:r>
      <w:r w:rsidRPr="00C870DA">
        <w:rPr>
          <w:szCs w:val="22"/>
        </w:rPr>
        <w:t xml:space="preserve"> mg</w:t>
      </w:r>
      <w:r>
        <w:rPr>
          <w:szCs w:val="22"/>
        </w:rPr>
        <w:t xml:space="preserve"> natrium. </w:t>
      </w:r>
      <w:r w:rsidRPr="00D5148D">
        <w:rPr>
          <w:spacing w:val="-3"/>
          <w:szCs w:val="22"/>
          <w:lang w:val="da"/>
        </w:rPr>
        <w:t>En ml af infusionsvæsken indeholder</w:t>
      </w:r>
      <w:r>
        <w:rPr>
          <w:spacing w:val="-3"/>
          <w:szCs w:val="22"/>
          <w:lang w:val="da"/>
        </w:rPr>
        <w:t xml:space="preserve"> 4,575 mg natrium.</w:t>
      </w:r>
    </w:p>
    <w:p w:rsidR="007B43B6" w:rsidRDefault="007B43B6" w:rsidP="007B43B6">
      <w:pPr>
        <w:tabs>
          <w:tab w:val="left" w:pos="851"/>
        </w:tabs>
        <w:ind w:left="851" w:hanging="851"/>
      </w:pPr>
    </w:p>
    <w:p w:rsidR="007B43B6" w:rsidRPr="00BC702B" w:rsidRDefault="007B43B6" w:rsidP="007B43B6">
      <w:pPr>
        <w:tabs>
          <w:tab w:val="left" w:pos="851"/>
        </w:tabs>
        <w:ind w:left="851"/>
        <w:rPr>
          <w:u w:val="single"/>
        </w:rPr>
      </w:pPr>
      <w:r w:rsidRPr="00BC702B">
        <w:rPr>
          <w:u w:val="single"/>
          <w:lang w:val="da"/>
        </w:rPr>
        <w:t>Infusionspose på 1</w:t>
      </w:r>
      <w:r>
        <w:rPr>
          <w:u w:val="single"/>
          <w:lang w:val="da"/>
        </w:rPr>
        <w:t>7</w:t>
      </w:r>
      <w:r w:rsidRPr="00BC702B">
        <w:rPr>
          <w:u w:val="single"/>
          <w:lang w:val="da"/>
        </w:rPr>
        <w:t>0 ml</w:t>
      </w:r>
    </w:p>
    <w:p w:rsidR="007B43B6" w:rsidRDefault="007B43B6" w:rsidP="007B43B6">
      <w:pPr>
        <w:tabs>
          <w:tab w:val="left" w:pos="851"/>
        </w:tabs>
        <w:ind w:left="851" w:hanging="851"/>
        <w:rPr>
          <w:lang w:val="da"/>
        </w:rPr>
      </w:pPr>
      <w:r>
        <w:rPr>
          <w:lang w:val="da"/>
        </w:rPr>
        <w:tab/>
      </w:r>
      <w:r w:rsidRPr="00297369">
        <w:rPr>
          <w:lang w:val="da"/>
        </w:rPr>
        <w:t>Hver infusionspose på 1</w:t>
      </w:r>
      <w:r>
        <w:rPr>
          <w:lang w:val="da"/>
        </w:rPr>
        <w:t>7</w:t>
      </w:r>
      <w:r w:rsidRPr="00297369">
        <w:rPr>
          <w:lang w:val="da"/>
        </w:rPr>
        <w:t>0 ml indeholder 1</w:t>
      </w:r>
      <w:r>
        <w:rPr>
          <w:lang w:val="da"/>
        </w:rPr>
        <w:t>7</w:t>
      </w:r>
      <w:r w:rsidRPr="00297369">
        <w:rPr>
          <w:lang w:val="da"/>
        </w:rPr>
        <w:t xml:space="preserve">00 mg </w:t>
      </w:r>
      <w:proofErr w:type="spellStart"/>
      <w:r w:rsidRPr="00297369">
        <w:rPr>
          <w:lang w:val="da"/>
        </w:rPr>
        <w:t>gemcitabin</w:t>
      </w:r>
      <w:proofErr w:type="spellEnd"/>
      <w:r w:rsidRPr="00297369">
        <w:rPr>
          <w:lang w:val="da"/>
        </w:rPr>
        <w:t xml:space="preserve"> (som </w:t>
      </w:r>
      <w:proofErr w:type="spellStart"/>
      <w:r w:rsidRPr="00297369">
        <w:rPr>
          <w:lang w:val="da"/>
        </w:rPr>
        <w:t>hydrochlorid</w:t>
      </w:r>
      <w:proofErr w:type="spellEnd"/>
      <w:r w:rsidRPr="00297369">
        <w:rPr>
          <w:lang w:val="da"/>
        </w:rPr>
        <w:t>)</w:t>
      </w:r>
      <w:r>
        <w:rPr>
          <w:lang w:val="da"/>
        </w:rPr>
        <w:t>.</w:t>
      </w:r>
    </w:p>
    <w:p w:rsidR="007B43B6" w:rsidRDefault="007B43B6" w:rsidP="007B43B6">
      <w:pPr>
        <w:tabs>
          <w:tab w:val="left" w:pos="851"/>
        </w:tabs>
        <w:ind w:left="851" w:hanging="851"/>
        <w:rPr>
          <w:lang w:val="da"/>
        </w:rPr>
      </w:pPr>
      <w:r>
        <w:rPr>
          <w:lang w:val="da"/>
        </w:rPr>
        <w:tab/>
      </w:r>
      <w:r w:rsidRPr="00297369">
        <w:rPr>
          <w:lang w:val="da"/>
        </w:rPr>
        <w:t xml:space="preserve">En ml af infusionsvæsken indeholder 10 mg </w:t>
      </w:r>
      <w:proofErr w:type="spellStart"/>
      <w:r w:rsidRPr="00297369">
        <w:rPr>
          <w:lang w:val="da"/>
        </w:rPr>
        <w:t>gemcitabin</w:t>
      </w:r>
      <w:proofErr w:type="spellEnd"/>
      <w:r>
        <w:rPr>
          <w:lang w:val="da"/>
        </w:rPr>
        <w:t>.</w:t>
      </w:r>
    </w:p>
    <w:p w:rsidR="007B43B6" w:rsidRDefault="007B43B6" w:rsidP="007B43B6">
      <w:pPr>
        <w:tabs>
          <w:tab w:val="left" w:pos="851"/>
        </w:tabs>
        <w:ind w:left="851" w:hanging="851"/>
        <w:rPr>
          <w:lang w:val="da"/>
        </w:rPr>
      </w:pPr>
    </w:p>
    <w:p w:rsidR="007B43B6" w:rsidRDefault="007B43B6" w:rsidP="007B43B6">
      <w:pPr>
        <w:tabs>
          <w:tab w:val="left" w:pos="851"/>
        </w:tabs>
        <w:ind w:left="851" w:hanging="851"/>
        <w:rPr>
          <w:spacing w:val="-3"/>
          <w:szCs w:val="22"/>
          <w:lang w:val="da"/>
        </w:rPr>
      </w:pPr>
      <w:r w:rsidRPr="002A028D">
        <w:rPr>
          <w:i/>
        </w:rPr>
        <w:tab/>
        <w:t>Hjælpestof, som behandleren skal være opmærksom på</w:t>
      </w:r>
      <w:r>
        <w:rPr>
          <w:i/>
        </w:rPr>
        <w:t xml:space="preserve">: </w:t>
      </w:r>
      <w:r w:rsidRPr="00D5148D">
        <w:rPr>
          <w:spacing w:val="-3"/>
          <w:szCs w:val="22"/>
          <w:lang w:val="da"/>
        </w:rPr>
        <w:t>Hver infusionspose på 1</w:t>
      </w:r>
      <w:r>
        <w:rPr>
          <w:spacing w:val="-3"/>
          <w:szCs w:val="22"/>
          <w:lang w:val="da"/>
        </w:rPr>
        <w:t>7</w:t>
      </w:r>
      <w:r w:rsidRPr="00D5148D">
        <w:rPr>
          <w:spacing w:val="-3"/>
          <w:szCs w:val="22"/>
          <w:lang w:val="da"/>
        </w:rPr>
        <w:t>0 ml indeholder</w:t>
      </w:r>
      <w:r>
        <w:rPr>
          <w:spacing w:val="-3"/>
          <w:szCs w:val="22"/>
          <w:lang w:val="da"/>
        </w:rPr>
        <w:t xml:space="preserve"> 777,75</w:t>
      </w:r>
      <w:r w:rsidRPr="00C870DA">
        <w:rPr>
          <w:szCs w:val="22"/>
        </w:rPr>
        <w:t xml:space="preserve"> mg</w:t>
      </w:r>
      <w:r>
        <w:rPr>
          <w:szCs w:val="22"/>
        </w:rPr>
        <w:t xml:space="preserve"> natrium. </w:t>
      </w:r>
      <w:r w:rsidRPr="00D5148D">
        <w:rPr>
          <w:spacing w:val="-3"/>
          <w:szCs w:val="22"/>
          <w:lang w:val="da"/>
        </w:rPr>
        <w:t>En ml af infusionsvæsken indeholder</w:t>
      </w:r>
      <w:r>
        <w:rPr>
          <w:spacing w:val="-3"/>
          <w:szCs w:val="22"/>
          <w:lang w:val="da"/>
        </w:rPr>
        <w:t xml:space="preserve"> 4,575 mg natrium.</w:t>
      </w:r>
    </w:p>
    <w:p w:rsidR="007B43B6" w:rsidRDefault="007B43B6" w:rsidP="007B43B6">
      <w:pPr>
        <w:tabs>
          <w:tab w:val="left" w:pos="851"/>
        </w:tabs>
        <w:ind w:left="851" w:hanging="851"/>
        <w:rPr>
          <w:lang w:val="da"/>
        </w:rPr>
      </w:pPr>
    </w:p>
    <w:p w:rsidR="007B43B6" w:rsidRPr="00BC702B" w:rsidRDefault="007B43B6" w:rsidP="007B43B6">
      <w:pPr>
        <w:tabs>
          <w:tab w:val="left" w:pos="851"/>
        </w:tabs>
        <w:ind w:left="851"/>
        <w:rPr>
          <w:u w:val="single"/>
        </w:rPr>
      </w:pPr>
      <w:r w:rsidRPr="00BC702B">
        <w:rPr>
          <w:u w:val="single"/>
          <w:lang w:val="da"/>
        </w:rPr>
        <w:t>Infusionspose på 1</w:t>
      </w:r>
      <w:r>
        <w:rPr>
          <w:u w:val="single"/>
          <w:lang w:val="da"/>
        </w:rPr>
        <w:t>8</w:t>
      </w:r>
      <w:r w:rsidRPr="00BC702B">
        <w:rPr>
          <w:u w:val="single"/>
          <w:lang w:val="da"/>
        </w:rPr>
        <w:t>0 ml</w:t>
      </w:r>
    </w:p>
    <w:p w:rsidR="007B43B6" w:rsidRDefault="007B43B6" w:rsidP="007B43B6">
      <w:pPr>
        <w:tabs>
          <w:tab w:val="left" w:pos="851"/>
        </w:tabs>
        <w:ind w:left="851" w:hanging="851"/>
        <w:rPr>
          <w:lang w:val="da"/>
        </w:rPr>
      </w:pPr>
      <w:r>
        <w:rPr>
          <w:lang w:val="da"/>
        </w:rPr>
        <w:tab/>
      </w:r>
      <w:r w:rsidRPr="00297369">
        <w:rPr>
          <w:lang w:val="da"/>
        </w:rPr>
        <w:t>Hver infusionspose på 1</w:t>
      </w:r>
      <w:r>
        <w:rPr>
          <w:lang w:val="da"/>
        </w:rPr>
        <w:t>8</w:t>
      </w:r>
      <w:r w:rsidRPr="00297369">
        <w:rPr>
          <w:lang w:val="da"/>
        </w:rPr>
        <w:t>0 ml indeholder 1</w:t>
      </w:r>
      <w:r>
        <w:rPr>
          <w:lang w:val="da"/>
        </w:rPr>
        <w:t>8</w:t>
      </w:r>
      <w:r w:rsidRPr="00297369">
        <w:rPr>
          <w:lang w:val="da"/>
        </w:rPr>
        <w:t xml:space="preserve">00 mg </w:t>
      </w:r>
      <w:proofErr w:type="spellStart"/>
      <w:r w:rsidRPr="00297369">
        <w:rPr>
          <w:lang w:val="da"/>
        </w:rPr>
        <w:t>gemcitabin</w:t>
      </w:r>
      <w:proofErr w:type="spellEnd"/>
      <w:r w:rsidRPr="00297369">
        <w:rPr>
          <w:lang w:val="da"/>
        </w:rPr>
        <w:t xml:space="preserve"> (som </w:t>
      </w:r>
      <w:proofErr w:type="spellStart"/>
      <w:r w:rsidRPr="00297369">
        <w:rPr>
          <w:lang w:val="da"/>
        </w:rPr>
        <w:t>hydrochlorid</w:t>
      </w:r>
      <w:proofErr w:type="spellEnd"/>
      <w:r w:rsidRPr="00297369">
        <w:rPr>
          <w:lang w:val="da"/>
        </w:rPr>
        <w:t>)</w:t>
      </w:r>
      <w:r>
        <w:rPr>
          <w:lang w:val="da"/>
        </w:rPr>
        <w:t>.</w:t>
      </w:r>
    </w:p>
    <w:p w:rsidR="007B43B6" w:rsidRDefault="007B43B6" w:rsidP="007B43B6">
      <w:pPr>
        <w:tabs>
          <w:tab w:val="left" w:pos="851"/>
        </w:tabs>
        <w:ind w:left="851" w:hanging="851"/>
        <w:rPr>
          <w:lang w:val="da"/>
        </w:rPr>
      </w:pPr>
      <w:r>
        <w:rPr>
          <w:lang w:val="da"/>
        </w:rPr>
        <w:tab/>
      </w:r>
      <w:r w:rsidRPr="00297369">
        <w:rPr>
          <w:lang w:val="da"/>
        </w:rPr>
        <w:t xml:space="preserve">En ml af infusionsvæsken indeholder 10 mg </w:t>
      </w:r>
      <w:proofErr w:type="spellStart"/>
      <w:r w:rsidRPr="00297369">
        <w:rPr>
          <w:lang w:val="da"/>
        </w:rPr>
        <w:t>gemcitabin</w:t>
      </w:r>
      <w:proofErr w:type="spellEnd"/>
      <w:r>
        <w:rPr>
          <w:lang w:val="da"/>
        </w:rPr>
        <w:t>.</w:t>
      </w:r>
    </w:p>
    <w:p w:rsidR="007B43B6" w:rsidRDefault="007B43B6" w:rsidP="007B43B6">
      <w:pPr>
        <w:tabs>
          <w:tab w:val="left" w:pos="851"/>
        </w:tabs>
        <w:ind w:left="851" w:hanging="851"/>
        <w:rPr>
          <w:lang w:val="da"/>
        </w:rPr>
      </w:pPr>
    </w:p>
    <w:p w:rsidR="007B43B6" w:rsidRDefault="007B43B6" w:rsidP="007B43B6">
      <w:pPr>
        <w:tabs>
          <w:tab w:val="left" w:pos="851"/>
        </w:tabs>
        <w:ind w:left="851" w:hanging="851"/>
        <w:rPr>
          <w:spacing w:val="-3"/>
          <w:szCs w:val="22"/>
          <w:lang w:val="da"/>
        </w:rPr>
      </w:pPr>
      <w:r w:rsidRPr="002A028D">
        <w:rPr>
          <w:i/>
        </w:rPr>
        <w:tab/>
        <w:t>Hjælpestof, som behandleren skal være opmærksom på</w:t>
      </w:r>
      <w:r>
        <w:rPr>
          <w:i/>
        </w:rPr>
        <w:t xml:space="preserve">: </w:t>
      </w:r>
      <w:r w:rsidRPr="00D5148D">
        <w:rPr>
          <w:spacing w:val="-3"/>
          <w:szCs w:val="22"/>
          <w:lang w:val="da"/>
        </w:rPr>
        <w:t>Hver infusionspose på 1</w:t>
      </w:r>
      <w:r>
        <w:rPr>
          <w:spacing w:val="-3"/>
          <w:szCs w:val="22"/>
          <w:lang w:val="da"/>
        </w:rPr>
        <w:t>8</w:t>
      </w:r>
      <w:r w:rsidRPr="00D5148D">
        <w:rPr>
          <w:spacing w:val="-3"/>
          <w:szCs w:val="22"/>
          <w:lang w:val="da"/>
        </w:rPr>
        <w:t>0 ml indeholder</w:t>
      </w:r>
      <w:r>
        <w:rPr>
          <w:spacing w:val="-3"/>
          <w:szCs w:val="22"/>
          <w:lang w:val="da"/>
        </w:rPr>
        <w:t xml:space="preserve"> 823,50</w:t>
      </w:r>
      <w:r w:rsidRPr="00C870DA">
        <w:rPr>
          <w:szCs w:val="22"/>
        </w:rPr>
        <w:t xml:space="preserve"> mg</w:t>
      </w:r>
      <w:r>
        <w:rPr>
          <w:szCs w:val="22"/>
        </w:rPr>
        <w:t xml:space="preserve"> natrium. E</w:t>
      </w:r>
      <w:r w:rsidRPr="00D5148D">
        <w:rPr>
          <w:spacing w:val="-3"/>
          <w:szCs w:val="22"/>
          <w:lang w:val="da"/>
        </w:rPr>
        <w:t>n ml af infusionsvæsken indeholder</w:t>
      </w:r>
      <w:r>
        <w:rPr>
          <w:spacing w:val="-3"/>
          <w:szCs w:val="22"/>
          <w:lang w:val="da"/>
        </w:rPr>
        <w:t xml:space="preserve"> 4,575 mg natrium.</w:t>
      </w:r>
    </w:p>
    <w:p w:rsidR="007B43B6" w:rsidRDefault="007B43B6" w:rsidP="007B43B6">
      <w:pPr>
        <w:tabs>
          <w:tab w:val="left" w:pos="851"/>
        </w:tabs>
        <w:ind w:left="851" w:hanging="851"/>
        <w:rPr>
          <w:spacing w:val="-3"/>
          <w:szCs w:val="22"/>
          <w:lang w:val="da"/>
        </w:rPr>
      </w:pPr>
    </w:p>
    <w:p w:rsidR="007B43B6" w:rsidRPr="00BC702B" w:rsidRDefault="007B43B6" w:rsidP="007B43B6">
      <w:pPr>
        <w:tabs>
          <w:tab w:val="left" w:pos="851"/>
        </w:tabs>
        <w:ind w:left="851"/>
        <w:rPr>
          <w:u w:val="single"/>
        </w:rPr>
      </w:pPr>
      <w:r w:rsidRPr="00BC702B">
        <w:rPr>
          <w:u w:val="single"/>
          <w:lang w:val="da"/>
        </w:rPr>
        <w:t>I</w:t>
      </w:r>
      <w:r>
        <w:rPr>
          <w:u w:val="single"/>
          <w:lang w:val="da"/>
        </w:rPr>
        <w:t xml:space="preserve">nfusionspose på </w:t>
      </w:r>
      <w:r w:rsidRPr="00BC702B">
        <w:rPr>
          <w:u w:val="single"/>
          <w:lang w:val="da"/>
        </w:rPr>
        <w:t>2</w:t>
      </w:r>
      <w:r>
        <w:rPr>
          <w:u w:val="single"/>
          <w:lang w:val="da"/>
        </w:rPr>
        <w:t>0</w:t>
      </w:r>
      <w:r w:rsidRPr="00BC702B">
        <w:rPr>
          <w:u w:val="single"/>
          <w:lang w:val="da"/>
        </w:rPr>
        <w:t>0 ml</w:t>
      </w:r>
    </w:p>
    <w:p w:rsidR="007B43B6" w:rsidRDefault="007B43B6" w:rsidP="007B43B6">
      <w:pPr>
        <w:tabs>
          <w:tab w:val="left" w:pos="851"/>
        </w:tabs>
        <w:ind w:left="851" w:hanging="851"/>
        <w:rPr>
          <w:lang w:val="da"/>
        </w:rPr>
      </w:pPr>
      <w:r>
        <w:rPr>
          <w:lang w:val="da"/>
        </w:rPr>
        <w:tab/>
      </w:r>
      <w:r w:rsidRPr="00297369">
        <w:rPr>
          <w:lang w:val="da"/>
        </w:rPr>
        <w:t>Hver infusionspose på</w:t>
      </w:r>
      <w:r>
        <w:rPr>
          <w:lang w:val="da"/>
        </w:rPr>
        <w:t xml:space="preserve"> 200</w:t>
      </w:r>
      <w:r w:rsidRPr="00297369">
        <w:rPr>
          <w:lang w:val="da"/>
        </w:rPr>
        <w:t xml:space="preserve"> ml indeholder </w:t>
      </w:r>
      <w:r>
        <w:rPr>
          <w:lang w:val="da"/>
        </w:rPr>
        <w:t>2000</w:t>
      </w:r>
      <w:r w:rsidRPr="00297369">
        <w:rPr>
          <w:lang w:val="da"/>
        </w:rPr>
        <w:t xml:space="preserve"> mg </w:t>
      </w:r>
      <w:proofErr w:type="spellStart"/>
      <w:r w:rsidRPr="00297369">
        <w:rPr>
          <w:lang w:val="da"/>
        </w:rPr>
        <w:t>gemcitabin</w:t>
      </w:r>
      <w:proofErr w:type="spellEnd"/>
      <w:r w:rsidRPr="00297369">
        <w:rPr>
          <w:lang w:val="da"/>
        </w:rPr>
        <w:t xml:space="preserve"> (som </w:t>
      </w:r>
      <w:proofErr w:type="spellStart"/>
      <w:r w:rsidRPr="00297369">
        <w:rPr>
          <w:lang w:val="da"/>
        </w:rPr>
        <w:t>hydrochlorid</w:t>
      </w:r>
      <w:proofErr w:type="spellEnd"/>
      <w:r w:rsidRPr="00297369">
        <w:rPr>
          <w:lang w:val="da"/>
        </w:rPr>
        <w:t>)</w:t>
      </w:r>
      <w:r>
        <w:rPr>
          <w:lang w:val="da"/>
        </w:rPr>
        <w:t>.</w:t>
      </w:r>
    </w:p>
    <w:p w:rsidR="007B43B6" w:rsidRDefault="007B43B6" w:rsidP="007B43B6">
      <w:pPr>
        <w:tabs>
          <w:tab w:val="left" w:pos="851"/>
        </w:tabs>
        <w:ind w:left="851" w:hanging="851"/>
        <w:rPr>
          <w:lang w:val="da"/>
        </w:rPr>
      </w:pPr>
      <w:r>
        <w:rPr>
          <w:lang w:val="da"/>
        </w:rPr>
        <w:tab/>
      </w:r>
      <w:r w:rsidRPr="00297369">
        <w:rPr>
          <w:lang w:val="da"/>
        </w:rPr>
        <w:t xml:space="preserve">En ml af infusionsvæsken indeholder 10 mg </w:t>
      </w:r>
      <w:proofErr w:type="spellStart"/>
      <w:r w:rsidRPr="00297369">
        <w:rPr>
          <w:lang w:val="da"/>
        </w:rPr>
        <w:t>gemcitabin</w:t>
      </w:r>
      <w:proofErr w:type="spellEnd"/>
      <w:r>
        <w:rPr>
          <w:lang w:val="da"/>
        </w:rPr>
        <w:t>.</w:t>
      </w:r>
    </w:p>
    <w:p w:rsidR="007B43B6" w:rsidRDefault="007B43B6" w:rsidP="007B43B6">
      <w:pPr>
        <w:tabs>
          <w:tab w:val="left" w:pos="851"/>
        </w:tabs>
        <w:ind w:left="851" w:hanging="851"/>
        <w:rPr>
          <w:lang w:val="da"/>
        </w:rPr>
      </w:pPr>
    </w:p>
    <w:p w:rsidR="007B43B6" w:rsidRDefault="007B43B6" w:rsidP="007B43B6">
      <w:pPr>
        <w:tabs>
          <w:tab w:val="left" w:pos="851"/>
        </w:tabs>
        <w:ind w:left="851" w:hanging="851"/>
        <w:rPr>
          <w:spacing w:val="-3"/>
          <w:szCs w:val="22"/>
          <w:lang w:val="da"/>
        </w:rPr>
      </w:pPr>
      <w:r w:rsidRPr="002A028D">
        <w:rPr>
          <w:i/>
        </w:rPr>
        <w:tab/>
        <w:t>Hjælpestof, som behandleren skal være opmærksom på</w:t>
      </w:r>
      <w:r>
        <w:rPr>
          <w:i/>
        </w:rPr>
        <w:t xml:space="preserve">: </w:t>
      </w:r>
      <w:r w:rsidRPr="00D5148D">
        <w:rPr>
          <w:spacing w:val="-3"/>
          <w:szCs w:val="22"/>
          <w:lang w:val="da"/>
        </w:rPr>
        <w:t xml:space="preserve">Hver infusionspose på </w:t>
      </w:r>
      <w:r>
        <w:rPr>
          <w:spacing w:val="-3"/>
          <w:szCs w:val="22"/>
          <w:lang w:val="da"/>
        </w:rPr>
        <w:t>200</w:t>
      </w:r>
      <w:r w:rsidRPr="00D5148D">
        <w:rPr>
          <w:spacing w:val="-3"/>
          <w:szCs w:val="22"/>
          <w:lang w:val="da"/>
        </w:rPr>
        <w:t> ml indeholder</w:t>
      </w:r>
      <w:r>
        <w:rPr>
          <w:spacing w:val="-3"/>
          <w:szCs w:val="22"/>
          <w:lang w:val="da"/>
        </w:rPr>
        <w:t xml:space="preserve"> 915,00</w:t>
      </w:r>
      <w:r w:rsidRPr="00C870DA">
        <w:rPr>
          <w:szCs w:val="22"/>
        </w:rPr>
        <w:t xml:space="preserve"> mg</w:t>
      </w:r>
      <w:r>
        <w:rPr>
          <w:szCs w:val="22"/>
        </w:rPr>
        <w:t xml:space="preserve"> natrium. </w:t>
      </w:r>
      <w:r w:rsidRPr="00D5148D">
        <w:rPr>
          <w:spacing w:val="-3"/>
          <w:szCs w:val="22"/>
          <w:lang w:val="da"/>
        </w:rPr>
        <w:t>En ml af infusionsvæsken indeholder</w:t>
      </w:r>
      <w:r>
        <w:rPr>
          <w:spacing w:val="-3"/>
          <w:szCs w:val="22"/>
          <w:lang w:val="da"/>
        </w:rPr>
        <w:t xml:space="preserve"> 4,575 mg natrium.</w:t>
      </w:r>
    </w:p>
    <w:p w:rsidR="007B43B6" w:rsidRDefault="007B43B6" w:rsidP="007B43B6">
      <w:pPr>
        <w:tabs>
          <w:tab w:val="left" w:pos="851"/>
        </w:tabs>
        <w:rPr>
          <w:lang w:val="da"/>
        </w:rPr>
      </w:pPr>
    </w:p>
    <w:p w:rsidR="007B43B6" w:rsidRPr="00BC702B" w:rsidRDefault="007B43B6" w:rsidP="007B43B6">
      <w:pPr>
        <w:tabs>
          <w:tab w:val="left" w:pos="851"/>
        </w:tabs>
        <w:ind w:left="851"/>
        <w:rPr>
          <w:u w:val="single"/>
        </w:rPr>
      </w:pPr>
      <w:r w:rsidRPr="00BC702B">
        <w:rPr>
          <w:u w:val="single"/>
          <w:lang w:val="da"/>
        </w:rPr>
        <w:t>I</w:t>
      </w:r>
      <w:r>
        <w:rPr>
          <w:u w:val="single"/>
          <w:lang w:val="da"/>
        </w:rPr>
        <w:t>nfusionspose på 2</w:t>
      </w:r>
      <w:r w:rsidRPr="00BC702B">
        <w:rPr>
          <w:u w:val="single"/>
          <w:lang w:val="da"/>
        </w:rPr>
        <w:t>20 ml</w:t>
      </w:r>
    </w:p>
    <w:p w:rsidR="007B43B6" w:rsidRDefault="007B43B6" w:rsidP="007B43B6">
      <w:pPr>
        <w:tabs>
          <w:tab w:val="left" w:pos="851"/>
        </w:tabs>
        <w:ind w:left="851" w:hanging="851"/>
        <w:rPr>
          <w:lang w:val="da"/>
        </w:rPr>
      </w:pPr>
      <w:r>
        <w:rPr>
          <w:lang w:val="da"/>
        </w:rPr>
        <w:tab/>
      </w:r>
      <w:r w:rsidRPr="00297369">
        <w:rPr>
          <w:lang w:val="da"/>
        </w:rPr>
        <w:t xml:space="preserve">Hver infusionspose på </w:t>
      </w:r>
      <w:r>
        <w:rPr>
          <w:lang w:val="da"/>
        </w:rPr>
        <w:t>220</w:t>
      </w:r>
      <w:r w:rsidRPr="00297369">
        <w:rPr>
          <w:lang w:val="da"/>
        </w:rPr>
        <w:t xml:space="preserve"> ml indeholder </w:t>
      </w:r>
      <w:r>
        <w:rPr>
          <w:lang w:val="da"/>
        </w:rPr>
        <w:t>2200</w:t>
      </w:r>
      <w:r w:rsidRPr="00297369">
        <w:rPr>
          <w:lang w:val="da"/>
        </w:rPr>
        <w:t xml:space="preserve"> mg </w:t>
      </w:r>
      <w:proofErr w:type="spellStart"/>
      <w:r w:rsidRPr="00297369">
        <w:rPr>
          <w:lang w:val="da"/>
        </w:rPr>
        <w:t>gemcitabin</w:t>
      </w:r>
      <w:proofErr w:type="spellEnd"/>
      <w:r w:rsidRPr="00297369">
        <w:rPr>
          <w:lang w:val="da"/>
        </w:rPr>
        <w:t xml:space="preserve"> (som </w:t>
      </w:r>
      <w:proofErr w:type="spellStart"/>
      <w:r w:rsidRPr="00297369">
        <w:rPr>
          <w:lang w:val="da"/>
        </w:rPr>
        <w:t>hydrochlorid</w:t>
      </w:r>
      <w:proofErr w:type="spellEnd"/>
      <w:r w:rsidRPr="00297369">
        <w:rPr>
          <w:lang w:val="da"/>
        </w:rPr>
        <w:t>)</w:t>
      </w:r>
      <w:r>
        <w:rPr>
          <w:lang w:val="da"/>
        </w:rPr>
        <w:t>.</w:t>
      </w:r>
    </w:p>
    <w:p w:rsidR="007B43B6" w:rsidRDefault="007B43B6" w:rsidP="007B43B6">
      <w:pPr>
        <w:tabs>
          <w:tab w:val="left" w:pos="851"/>
        </w:tabs>
        <w:ind w:left="851" w:hanging="851"/>
        <w:rPr>
          <w:lang w:val="da"/>
        </w:rPr>
      </w:pPr>
      <w:r>
        <w:rPr>
          <w:lang w:val="da"/>
        </w:rPr>
        <w:tab/>
      </w:r>
      <w:r w:rsidRPr="00297369">
        <w:rPr>
          <w:lang w:val="da"/>
        </w:rPr>
        <w:t xml:space="preserve">En ml af infusionsvæsken indeholder 10 mg </w:t>
      </w:r>
      <w:proofErr w:type="spellStart"/>
      <w:r w:rsidRPr="00297369">
        <w:rPr>
          <w:lang w:val="da"/>
        </w:rPr>
        <w:t>gemcitabin</w:t>
      </w:r>
      <w:proofErr w:type="spellEnd"/>
      <w:r>
        <w:rPr>
          <w:lang w:val="da"/>
        </w:rPr>
        <w:t>.</w:t>
      </w:r>
    </w:p>
    <w:p w:rsidR="007B43B6" w:rsidRDefault="007B43B6" w:rsidP="007B43B6">
      <w:pPr>
        <w:tabs>
          <w:tab w:val="left" w:pos="851"/>
        </w:tabs>
        <w:ind w:left="851" w:hanging="851"/>
        <w:rPr>
          <w:lang w:val="da"/>
        </w:rPr>
      </w:pPr>
    </w:p>
    <w:p w:rsidR="007B43B6" w:rsidRDefault="007B43B6" w:rsidP="007B43B6">
      <w:pPr>
        <w:tabs>
          <w:tab w:val="left" w:pos="851"/>
        </w:tabs>
        <w:ind w:left="851" w:hanging="851"/>
        <w:rPr>
          <w:spacing w:val="-3"/>
          <w:szCs w:val="22"/>
          <w:lang w:val="da"/>
        </w:rPr>
      </w:pPr>
      <w:r w:rsidRPr="002A028D">
        <w:rPr>
          <w:i/>
        </w:rPr>
        <w:tab/>
        <w:t>Hjælpestof, som behandleren skal være opmærksom på</w:t>
      </w:r>
      <w:r>
        <w:rPr>
          <w:i/>
        </w:rPr>
        <w:t xml:space="preserve">: </w:t>
      </w:r>
      <w:r w:rsidRPr="00D5148D">
        <w:rPr>
          <w:spacing w:val="-3"/>
          <w:szCs w:val="22"/>
          <w:lang w:val="da"/>
        </w:rPr>
        <w:t xml:space="preserve">Hver infusionspose på </w:t>
      </w:r>
      <w:r>
        <w:rPr>
          <w:spacing w:val="-3"/>
          <w:szCs w:val="22"/>
          <w:lang w:val="da"/>
        </w:rPr>
        <w:t>220</w:t>
      </w:r>
      <w:r w:rsidRPr="00D5148D">
        <w:rPr>
          <w:spacing w:val="-3"/>
          <w:szCs w:val="22"/>
          <w:lang w:val="da"/>
        </w:rPr>
        <w:t> ml indeholder</w:t>
      </w:r>
      <w:r>
        <w:rPr>
          <w:spacing w:val="-3"/>
          <w:szCs w:val="22"/>
          <w:lang w:val="da"/>
        </w:rPr>
        <w:t xml:space="preserve"> 1006,50</w:t>
      </w:r>
      <w:r w:rsidRPr="00C870DA">
        <w:rPr>
          <w:szCs w:val="22"/>
        </w:rPr>
        <w:t xml:space="preserve"> mg</w:t>
      </w:r>
      <w:r>
        <w:rPr>
          <w:szCs w:val="22"/>
        </w:rPr>
        <w:t xml:space="preserve"> natrium. </w:t>
      </w:r>
      <w:r w:rsidRPr="00D5148D">
        <w:rPr>
          <w:spacing w:val="-3"/>
          <w:szCs w:val="22"/>
          <w:lang w:val="da"/>
        </w:rPr>
        <w:t>En ml af infusionsvæsken indeholder</w:t>
      </w:r>
      <w:r>
        <w:rPr>
          <w:spacing w:val="-3"/>
          <w:szCs w:val="22"/>
          <w:lang w:val="da"/>
        </w:rPr>
        <w:t xml:space="preserve"> 4,575 mg natrium.</w:t>
      </w:r>
    </w:p>
    <w:p w:rsidR="007B43B6" w:rsidRDefault="007B43B6" w:rsidP="007B43B6">
      <w:pPr>
        <w:tabs>
          <w:tab w:val="left" w:pos="851"/>
        </w:tabs>
        <w:rPr>
          <w:lang w:val="da"/>
        </w:rPr>
      </w:pPr>
    </w:p>
    <w:p w:rsidR="007B43B6" w:rsidRPr="002F1C05" w:rsidRDefault="007B43B6" w:rsidP="007B43B6">
      <w:pPr>
        <w:tabs>
          <w:tab w:val="left" w:pos="851"/>
        </w:tabs>
        <w:ind w:left="851" w:hanging="851"/>
      </w:pPr>
      <w:r>
        <w:tab/>
      </w:r>
      <w:r w:rsidRPr="001F48BE">
        <w:t>Alle hjælpestoffer er anført under pkt. 6.1.</w:t>
      </w:r>
    </w:p>
    <w:p w:rsidR="007B43B6" w:rsidRPr="00C84483" w:rsidRDefault="007B43B6" w:rsidP="007B43B6">
      <w:pPr>
        <w:tabs>
          <w:tab w:val="left" w:pos="851"/>
        </w:tabs>
        <w:ind w:left="851"/>
        <w:rPr>
          <w:sz w:val="24"/>
          <w:szCs w:val="24"/>
        </w:rPr>
      </w:pPr>
    </w:p>
    <w:p w:rsidR="007B43B6" w:rsidRPr="00C84483" w:rsidRDefault="007B43B6" w:rsidP="007B43B6">
      <w:pPr>
        <w:tabs>
          <w:tab w:val="left" w:pos="851"/>
        </w:tabs>
        <w:ind w:left="851" w:hanging="851"/>
        <w:rPr>
          <w:b/>
          <w:sz w:val="24"/>
          <w:szCs w:val="24"/>
        </w:rPr>
      </w:pPr>
      <w:r w:rsidRPr="00C84483">
        <w:rPr>
          <w:b/>
          <w:sz w:val="24"/>
          <w:szCs w:val="24"/>
        </w:rPr>
        <w:t>3.</w:t>
      </w:r>
      <w:r w:rsidRPr="00C84483">
        <w:rPr>
          <w:b/>
          <w:sz w:val="24"/>
          <w:szCs w:val="24"/>
        </w:rPr>
        <w:tab/>
        <w:t>LÆGEMIDDELFORM</w:t>
      </w:r>
    </w:p>
    <w:p w:rsidR="007B43B6" w:rsidRDefault="007B43B6" w:rsidP="007B43B6">
      <w:pPr>
        <w:tabs>
          <w:tab w:val="left" w:pos="851"/>
        </w:tabs>
        <w:ind w:left="851" w:hanging="851"/>
      </w:pPr>
      <w:r>
        <w:tab/>
        <w:t>I</w:t>
      </w:r>
      <w:r w:rsidRPr="001F48BE">
        <w:t>nfusionsvæske, opløsning</w:t>
      </w:r>
    </w:p>
    <w:p w:rsidR="007B43B6" w:rsidRDefault="007B43B6" w:rsidP="007B43B6">
      <w:pPr>
        <w:tabs>
          <w:tab w:val="left" w:pos="851"/>
        </w:tabs>
        <w:ind w:left="851" w:hanging="851"/>
      </w:pPr>
    </w:p>
    <w:p w:rsidR="007B43B6" w:rsidRPr="002A028D" w:rsidRDefault="007B43B6" w:rsidP="007B43B6">
      <w:pPr>
        <w:tabs>
          <w:tab w:val="left" w:pos="851"/>
        </w:tabs>
        <w:ind w:left="851" w:hanging="851"/>
        <w:rPr>
          <w:lang w:val="da"/>
        </w:rPr>
      </w:pPr>
      <w:r>
        <w:tab/>
      </w:r>
      <w:r w:rsidRPr="00A930BA">
        <w:rPr>
          <w:lang w:val="da"/>
        </w:rPr>
        <w:t>En klar, farveløs, steril opløsning, der er fri for synlige partikler, med en pH-værdi på</w:t>
      </w:r>
      <w:r>
        <w:rPr>
          <w:lang w:val="da"/>
        </w:rPr>
        <w:t> </w:t>
      </w:r>
      <w:r w:rsidRPr="00A930BA">
        <w:rPr>
          <w:lang w:val="da"/>
        </w:rPr>
        <w:t>6</w:t>
      </w:r>
      <w:r>
        <w:rPr>
          <w:lang w:val="da"/>
        </w:rPr>
        <w:t> </w:t>
      </w:r>
      <w:r w:rsidRPr="00A930BA">
        <w:rPr>
          <w:lang w:val="da"/>
        </w:rPr>
        <w:t>til</w:t>
      </w:r>
      <w:r>
        <w:rPr>
          <w:lang w:val="da"/>
        </w:rPr>
        <w:t> </w:t>
      </w:r>
      <w:r w:rsidRPr="00A930BA">
        <w:rPr>
          <w:lang w:val="da"/>
        </w:rPr>
        <w:t xml:space="preserve">8 og en </w:t>
      </w:r>
      <w:proofErr w:type="spellStart"/>
      <w:r w:rsidRPr="00A930BA">
        <w:rPr>
          <w:lang w:val="da"/>
        </w:rPr>
        <w:t>osmolalitet</w:t>
      </w:r>
      <w:proofErr w:type="spellEnd"/>
      <w:r w:rsidRPr="00A930BA">
        <w:rPr>
          <w:lang w:val="da"/>
        </w:rPr>
        <w:t xml:space="preserve"> mellem 350-450 </w:t>
      </w:r>
      <w:proofErr w:type="spellStart"/>
      <w:r w:rsidRPr="00A930BA">
        <w:rPr>
          <w:lang w:val="da"/>
        </w:rPr>
        <w:t>mOsmol</w:t>
      </w:r>
      <w:proofErr w:type="spellEnd"/>
      <w:r w:rsidRPr="00A930BA">
        <w:rPr>
          <w:lang w:val="da"/>
        </w:rPr>
        <w:t>/kg.</w:t>
      </w:r>
    </w:p>
    <w:p w:rsidR="007B43B6" w:rsidRPr="00C84483" w:rsidRDefault="007B43B6" w:rsidP="007B43B6">
      <w:pPr>
        <w:tabs>
          <w:tab w:val="left" w:pos="851"/>
        </w:tabs>
        <w:ind w:left="851"/>
        <w:rPr>
          <w:sz w:val="24"/>
          <w:szCs w:val="24"/>
        </w:rPr>
      </w:pPr>
    </w:p>
    <w:p w:rsidR="007B43B6" w:rsidRPr="00C84483" w:rsidRDefault="007B43B6" w:rsidP="007B43B6">
      <w:pPr>
        <w:tabs>
          <w:tab w:val="left" w:pos="851"/>
        </w:tabs>
        <w:ind w:left="851"/>
        <w:rPr>
          <w:sz w:val="24"/>
          <w:szCs w:val="24"/>
        </w:rPr>
      </w:pPr>
    </w:p>
    <w:p w:rsidR="007B43B6" w:rsidRPr="00C84483" w:rsidRDefault="007B43B6" w:rsidP="007B43B6">
      <w:pPr>
        <w:tabs>
          <w:tab w:val="left" w:pos="851"/>
        </w:tabs>
        <w:ind w:left="851" w:hanging="851"/>
        <w:rPr>
          <w:b/>
          <w:sz w:val="24"/>
          <w:szCs w:val="24"/>
        </w:rPr>
      </w:pPr>
      <w:r w:rsidRPr="00C84483">
        <w:rPr>
          <w:b/>
          <w:sz w:val="24"/>
          <w:szCs w:val="24"/>
        </w:rPr>
        <w:t>4.</w:t>
      </w:r>
      <w:r w:rsidRPr="00C84483">
        <w:rPr>
          <w:b/>
          <w:sz w:val="24"/>
          <w:szCs w:val="24"/>
        </w:rPr>
        <w:tab/>
        <w:t>KLINISKE OPLYSNINGER</w:t>
      </w:r>
    </w:p>
    <w:p w:rsidR="007B43B6" w:rsidRPr="00C84483" w:rsidRDefault="007B43B6" w:rsidP="007B43B6">
      <w:pPr>
        <w:tabs>
          <w:tab w:val="left" w:pos="851"/>
        </w:tabs>
        <w:ind w:left="851"/>
        <w:rPr>
          <w:b/>
          <w:sz w:val="24"/>
          <w:szCs w:val="24"/>
        </w:rPr>
      </w:pPr>
    </w:p>
    <w:p w:rsidR="007B43B6" w:rsidRPr="00C84483" w:rsidRDefault="007B43B6" w:rsidP="007B43B6">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7B43B6" w:rsidRDefault="007B43B6" w:rsidP="007B43B6">
      <w:pPr>
        <w:tabs>
          <w:tab w:val="left" w:pos="851"/>
        </w:tabs>
        <w:ind w:left="851" w:hanging="851"/>
      </w:pPr>
      <w:r>
        <w:tab/>
      </w:r>
      <w:proofErr w:type="spellStart"/>
      <w:r w:rsidRPr="00A930BA">
        <w:t>Gemcitabin</w:t>
      </w:r>
      <w:proofErr w:type="spellEnd"/>
      <w:r w:rsidRPr="00A930BA">
        <w:t xml:space="preserve"> er indiceret til behandling af lokalt fremskreden eller metastatisk blærecancer i kombination med </w:t>
      </w:r>
      <w:proofErr w:type="spellStart"/>
      <w:r w:rsidRPr="00A930BA">
        <w:t>cisplatin</w:t>
      </w:r>
      <w:proofErr w:type="spellEnd"/>
      <w:r w:rsidRPr="00A930BA">
        <w:t>.</w:t>
      </w:r>
    </w:p>
    <w:p w:rsidR="007B43B6" w:rsidRPr="00FB065A" w:rsidRDefault="007B43B6" w:rsidP="007B43B6">
      <w:pPr>
        <w:tabs>
          <w:tab w:val="left" w:pos="851"/>
        </w:tabs>
        <w:ind w:left="851" w:hanging="851"/>
      </w:pPr>
    </w:p>
    <w:p w:rsidR="007B43B6" w:rsidRDefault="007B43B6" w:rsidP="007B43B6">
      <w:pPr>
        <w:tabs>
          <w:tab w:val="left" w:pos="851"/>
        </w:tabs>
        <w:ind w:left="851" w:hanging="851"/>
      </w:pPr>
      <w:r>
        <w:tab/>
      </w:r>
      <w:proofErr w:type="spellStart"/>
      <w:r w:rsidRPr="00A930BA">
        <w:t>Gemcitabin</w:t>
      </w:r>
      <w:proofErr w:type="spellEnd"/>
      <w:r w:rsidRPr="00A930BA">
        <w:t xml:space="preserve"> er indiceret til behandling af patienter med lokalt fremskreden eller metastatisk </w:t>
      </w:r>
      <w:proofErr w:type="spellStart"/>
      <w:r w:rsidRPr="00A930BA">
        <w:t>adenokarcinom</w:t>
      </w:r>
      <w:proofErr w:type="spellEnd"/>
      <w:r w:rsidRPr="00A930BA">
        <w:t xml:space="preserve"> i pancreas.</w:t>
      </w:r>
    </w:p>
    <w:p w:rsidR="007B43B6" w:rsidRPr="00FB065A" w:rsidRDefault="007B43B6" w:rsidP="007B43B6">
      <w:pPr>
        <w:tabs>
          <w:tab w:val="left" w:pos="851"/>
        </w:tabs>
        <w:ind w:left="851" w:hanging="851"/>
      </w:pPr>
    </w:p>
    <w:p w:rsidR="007B43B6" w:rsidRPr="00FB065A" w:rsidRDefault="007B43B6" w:rsidP="007B43B6">
      <w:pPr>
        <w:tabs>
          <w:tab w:val="left" w:pos="851"/>
        </w:tabs>
        <w:ind w:left="851" w:hanging="851"/>
      </w:pPr>
      <w:r>
        <w:lastRenderedPageBreak/>
        <w:tab/>
      </w:r>
      <w:proofErr w:type="spellStart"/>
      <w:r w:rsidRPr="00A930BA">
        <w:t>Gemcitabin</w:t>
      </w:r>
      <w:proofErr w:type="spellEnd"/>
      <w:r w:rsidRPr="00A930BA">
        <w:t xml:space="preserve"> er indiceret som 1. linjes behandling i kombination med </w:t>
      </w:r>
      <w:proofErr w:type="spellStart"/>
      <w:r w:rsidRPr="00A930BA">
        <w:t>cisplatin</w:t>
      </w:r>
      <w:proofErr w:type="spellEnd"/>
      <w:r w:rsidRPr="00A930BA">
        <w:t xml:space="preserve"> til patienter med lokalt fremskreden eller metastatisk ikke-småcellet lungecancer (NSCLC). </w:t>
      </w:r>
      <w:proofErr w:type="spellStart"/>
      <w:r w:rsidRPr="00A930BA">
        <w:t>Gemcitabin</w:t>
      </w:r>
      <w:proofErr w:type="spellEnd"/>
      <w:r w:rsidRPr="00A930BA">
        <w:t xml:space="preserve"> monoterapi kan overvejes til behandling af ældre patienter eller til patienter med performance status 2.</w:t>
      </w:r>
    </w:p>
    <w:p w:rsidR="007B43B6" w:rsidRPr="00A930BA" w:rsidRDefault="007B43B6" w:rsidP="007B43B6">
      <w:pPr>
        <w:tabs>
          <w:tab w:val="left" w:pos="851"/>
        </w:tabs>
        <w:ind w:left="851" w:hanging="851"/>
      </w:pPr>
    </w:p>
    <w:p w:rsidR="007B43B6" w:rsidRDefault="007B43B6" w:rsidP="007B43B6">
      <w:pPr>
        <w:tabs>
          <w:tab w:val="left" w:pos="851"/>
        </w:tabs>
        <w:ind w:left="851" w:hanging="851"/>
      </w:pPr>
      <w:r>
        <w:tab/>
      </w:r>
      <w:proofErr w:type="spellStart"/>
      <w:r w:rsidRPr="00A930BA">
        <w:t>Gemcitabin</w:t>
      </w:r>
      <w:proofErr w:type="spellEnd"/>
      <w:r w:rsidRPr="00A930BA">
        <w:t xml:space="preserve"> er indiceret til behandling af patienter med </w:t>
      </w:r>
      <w:proofErr w:type="spellStart"/>
      <w:r w:rsidRPr="00A930BA">
        <w:t>med</w:t>
      </w:r>
      <w:proofErr w:type="spellEnd"/>
      <w:r w:rsidRPr="00A930BA">
        <w:t xml:space="preserve"> lokalt fremskreden eller metastatisk </w:t>
      </w:r>
      <w:proofErr w:type="spellStart"/>
      <w:r w:rsidRPr="00A930BA">
        <w:t>epitelial</w:t>
      </w:r>
      <w:proofErr w:type="spellEnd"/>
      <w:r w:rsidRPr="00A930BA">
        <w:t xml:space="preserve"> ovariekarcinom i kombination med </w:t>
      </w:r>
      <w:proofErr w:type="spellStart"/>
      <w:r w:rsidRPr="00A930BA">
        <w:t>carboplatin</w:t>
      </w:r>
      <w:proofErr w:type="spellEnd"/>
      <w:r w:rsidRPr="00A930BA">
        <w:t xml:space="preserve"> </w:t>
      </w:r>
      <w:r>
        <w:t>hos</w:t>
      </w:r>
      <w:r w:rsidRPr="00A930BA">
        <w:t xml:space="preserve"> patienter med recidiverende sygdom efter en periode på mindst 6 måneder uden tilbagefald efter platinbaseret 1. linjes behandling.</w:t>
      </w:r>
    </w:p>
    <w:p w:rsidR="007B43B6" w:rsidRPr="00FB065A" w:rsidRDefault="007B43B6" w:rsidP="007B43B6">
      <w:pPr>
        <w:tabs>
          <w:tab w:val="left" w:pos="851"/>
        </w:tabs>
        <w:ind w:left="851" w:hanging="851"/>
      </w:pPr>
    </w:p>
    <w:p w:rsidR="007B43B6" w:rsidRDefault="007B43B6" w:rsidP="007B43B6">
      <w:pPr>
        <w:tabs>
          <w:tab w:val="left" w:pos="851"/>
        </w:tabs>
        <w:ind w:left="851" w:hanging="851"/>
      </w:pPr>
      <w:r>
        <w:tab/>
      </w:r>
      <w:proofErr w:type="spellStart"/>
      <w:r w:rsidRPr="00A930BA">
        <w:t>Gemcitabin</w:t>
      </w:r>
      <w:proofErr w:type="spellEnd"/>
      <w:r w:rsidRPr="00A930BA">
        <w:t xml:space="preserve"> er indiceret til behandling i kombination med </w:t>
      </w:r>
      <w:proofErr w:type="spellStart"/>
      <w:r w:rsidRPr="00A930BA">
        <w:t>paclitaxel</w:t>
      </w:r>
      <w:proofErr w:type="spellEnd"/>
      <w:r w:rsidRPr="00A930BA">
        <w:t xml:space="preserve"> af patienter med inoperabel, lokalt tilbagevendende eller metastatisk brystcancer, som har fået tilbagefald efter </w:t>
      </w:r>
      <w:proofErr w:type="spellStart"/>
      <w:r w:rsidRPr="00A930BA">
        <w:t>adjuverende</w:t>
      </w:r>
      <w:proofErr w:type="spellEnd"/>
      <w:r w:rsidRPr="00A930BA">
        <w:t>/</w:t>
      </w:r>
      <w:proofErr w:type="spellStart"/>
      <w:r w:rsidRPr="00A930BA">
        <w:t>neoadjuverende</w:t>
      </w:r>
      <w:proofErr w:type="spellEnd"/>
      <w:r w:rsidRPr="00A930BA">
        <w:t xml:space="preserve"> kemoterapi. Forudgående kemoterapi bør have inkluderet et </w:t>
      </w:r>
      <w:proofErr w:type="spellStart"/>
      <w:r w:rsidRPr="00A930BA">
        <w:t>antracyklin</w:t>
      </w:r>
      <w:proofErr w:type="spellEnd"/>
      <w:r w:rsidRPr="00A930BA">
        <w:t>, medmindre dette har været klinisk kontraindiceret.</w:t>
      </w:r>
    </w:p>
    <w:p w:rsidR="007B43B6" w:rsidRPr="004A0BF7" w:rsidRDefault="007B43B6" w:rsidP="007B43B6">
      <w:pPr>
        <w:tabs>
          <w:tab w:val="left" w:pos="851"/>
        </w:tabs>
        <w:ind w:left="851" w:hanging="851"/>
      </w:pPr>
    </w:p>
    <w:p w:rsidR="007B43B6" w:rsidRPr="00C84483" w:rsidRDefault="007B43B6" w:rsidP="007B43B6">
      <w:pPr>
        <w:tabs>
          <w:tab w:val="left" w:pos="851"/>
        </w:tabs>
        <w:rPr>
          <w:b/>
          <w:sz w:val="24"/>
          <w:szCs w:val="24"/>
        </w:rPr>
      </w:pPr>
      <w:r>
        <w:rPr>
          <w:b/>
          <w:sz w:val="24"/>
          <w:szCs w:val="24"/>
        </w:rPr>
        <w:t xml:space="preserve">4.2 </w:t>
      </w:r>
      <w:r>
        <w:rPr>
          <w:b/>
          <w:sz w:val="24"/>
          <w:szCs w:val="24"/>
        </w:rPr>
        <w:tab/>
      </w:r>
      <w:r w:rsidRPr="00C84483">
        <w:rPr>
          <w:b/>
          <w:sz w:val="24"/>
          <w:szCs w:val="24"/>
        </w:rPr>
        <w:t xml:space="preserve">Dosering og </w:t>
      </w:r>
      <w:r w:rsidR="00A06F90">
        <w:rPr>
          <w:b/>
          <w:sz w:val="24"/>
          <w:szCs w:val="24"/>
        </w:rPr>
        <w:t>administration</w:t>
      </w:r>
    </w:p>
    <w:p w:rsidR="007B43B6" w:rsidRPr="00FB065A" w:rsidRDefault="007B43B6" w:rsidP="007B43B6">
      <w:pPr>
        <w:tabs>
          <w:tab w:val="left" w:pos="851"/>
        </w:tabs>
        <w:ind w:left="851" w:hanging="851"/>
        <w:rPr>
          <w:color w:val="000000"/>
          <w:spacing w:val="-7"/>
        </w:rPr>
      </w:pPr>
      <w:r>
        <w:tab/>
      </w:r>
      <w:proofErr w:type="spellStart"/>
      <w:r w:rsidRPr="00FB065A">
        <w:rPr>
          <w:color w:val="000000"/>
          <w:spacing w:val="-7"/>
        </w:rPr>
        <w:t>Gemcitabin</w:t>
      </w:r>
      <w:proofErr w:type="spellEnd"/>
      <w:r w:rsidRPr="00FB065A">
        <w:rPr>
          <w:color w:val="000000"/>
          <w:spacing w:val="-7"/>
        </w:rPr>
        <w:t xml:space="preserve"> må kun ordineres af en læge, som er uddannet i brug af anticancer kemoterapi.</w:t>
      </w:r>
    </w:p>
    <w:p w:rsidR="007B43B6" w:rsidRPr="004978FF" w:rsidRDefault="007B43B6" w:rsidP="007B43B6">
      <w:pPr>
        <w:tabs>
          <w:tab w:val="left" w:pos="851"/>
        </w:tabs>
        <w:ind w:left="851" w:hanging="851"/>
      </w:pPr>
    </w:p>
    <w:p w:rsidR="007B43B6" w:rsidRPr="000C2E84" w:rsidRDefault="007B43B6" w:rsidP="007B43B6">
      <w:pPr>
        <w:tabs>
          <w:tab w:val="left" w:pos="851"/>
        </w:tabs>
        <w:ind w:left="851" w:hanging="851"/>
      </w:pPr>
      <w:r>
        <w:tab/>
      </w:r>
      <w:r w:rsidRPr="0020200F">
        <w:rPr>
          <w:lang w:val="da"/>
        </w:rPr>
        <w:t xml:space="preserve">Infusionsposer med </w:t>
      </w:r>
      <w:proofErr w:type="spellStart"/>
      <w:r>
        <w:rPr>
          <w:lang w:val="da"/>
        </w:rPr>
        <w:t>Gemcitabin</w:t>
      </w:r>
      <w:proofErr w:type="spellEnd"/>
      <w:r>
        <w:rPr>
          <w:lang w:val="da"/>
        </w:rPr>
        <w:t xml:space="preserve"> "SUN" 10 mg</w:t>
      </w:r>
      <w:r w:rsidRPr="000C2E84">
        <w:t>/</w:t>
      </w:r>
      <w:r>
        <w:rPr>
          <w:lang w:val="da"/>
        </w:rPr>
        <w:t xml:space="preserve">ml </w:t>
      </w:r>
      <w:r w:rsidRPr="0020200F">
        <w:rPr>
          <w:lang w:val="da"/>
        </w:rPr>
        <w:t>infusionsvæske</w:t>
      </w:r>
      <w:r>
        <w:rPr>
          <w:lang w:val="da"/>
        </w:rPr>
        <w:t xml:space="preserve">, </w:t>
      </w:r>
      <w:r w:rsidRPr="0020200F">
        <w:rPr>
          <w:lang w:val="da"/>
        </w:rPr>
        <w:t>opløsning tillader levering af 120 ml/</w:t>
      </w:r>
      <w:r>
        <w:rPr>
          <w:lang w:val="da"/>
        </w:rPr>
        <w:t>140 ml/</w:t>
      </w:r>
      <w:r w:rsidRPr="0020200F">
        <w:rPr>
          <w:lang w:val="da"/>
        </w:rPr>
        <w:t xml:space="preserve">160 ml/170 ml/180 ml/200 ml/220 ml </w:t>
      </w:r>
      <w:r>
        <w:rPr>
          <w:lang w:val="da"/>
        </w:rPr>
        <w:t xml:space="preserve">opløsning </w:t>
      </w:r>
      <w:r w:rsidRPr="0020200F">
        <w:rPr>
          <w:lang w:val="da"/>
        </w:rPr>
        <w:t>(svarende til henholdsvis 1200 mg/</w:t>
      </w:r>
      <w:r>
        <w:rPr>
          <w:lang w:val="da"/>
        </w:rPr>
        <w:t>1400 mg/</w:t>
      </w:r>
      <w:r w:rsidRPr="0020200F">
        <w:rPr>
          <w:lang w:val="da"/>
        </w:rPr>
        <w:t>1600 mg/1700 mg/1800 mg/</w:t>
      </w:r>
      <w:r>
        <w:rPr>
          <w:lang w:val="da"/>
        </w:rPr>
        <w:t>2000 mg/</w:t>
      </w:r>
      <w:r w:rsidRPr="0020200F">
        <w:rPr>
          <w:lang w:val="da"/>
        </w:rPr>
        <w:t>2200 mg).</w:t>
      </w:r>
    </w:p>
    <w:p w:rsidR="007B43B6" w:rsidRPr="000C2E84" w:rsidRDefault="007B43B6" w:rsidP="007B43B6">
      <w:pPr>
        <w:tabs>
          <w:tab w:val="left" w:pos="851"/>
        </w:tabs>
        <w:ind w:left="851" w:hanging="851"/>
      </w:pPr>
    </w:p>
    <w:p w:rsidR="007B43B6" w:rsidRDefault="007B43B6" w:rsidP="007B43B6">
      <w:pPr>
        <w:tabs>
          <w:tab w:val="left" w:pos="851"/>
        </w:tabs>
        <w:ind w:left="851" w:hanging="851"/>
      </w:pPr>
      <w:r>
        <w:tab/>
      </w:r>
      <w:r w:rsidRPr="003F1603">
        <w:t xml:space="preserve">Hvis den nødvendige dosis ikke kan opnås med de tilgængelige præsentationer, </w:t>
      </w:r>
      <w:r>
        <w:t xml:space="preserve">anbefales </w:t>
      </w:r>
      <w:r w:rsidRPr="003F1603">
        <w:t xml:space="preserve">brug af et alternativt </w:t>
      </w:r>
      <w:proofErr w:type="spellStart"/>
      <w:r w:rsidRPr="003F1603">
        <w:t>gemcitabin</w:t>
      </w:r>
      <w:proofErr w:type="spellEnd"/>
      <w:r w:rsidRPr="003F1603">
        <w:t xml:space="preserve"> produkt, herunder </w:t>
      </w:r>
      <w:proofErr w:type="spellStart"/>
      <w:r w:rsidRPr="003F1603">
        <w:t>gemcitabin</w:t>
      </w:r>
      <w:proofErr w:type="spellEnd"/>
      <w:r w:rsidRPr="003F1603">
        <w:t xml:space="preserve"> som et koncentrat eller </w:t>
      </w:r>
      <w:proofErr w:type="spellStart"/>
      <w:r w:rsidRPr="003F1603">
        <w:t>gemcitabi</w:t>
      </w:r>
      <w:r>
        <w:t>n</w:t>
      </w:r>
      <w:proofErr w:type="spellEnd"/>
      <w:r>
        <w:t xml:space="preserve"> som pulver til infusionsvæske</w:t>
      </w:r>
      <w:r w:rsidRPr="003F1603">
        <w:t>.</w:t>
      </w:r>
    </w:p>
    <w:p w:rsidR="007B43B6" w:rsidRPr="0020200F" w:rsidRDefault="007B43B6" w:rsidP="007B43B6">
      <w:pPr>
        <w:tabs>
          <w:tab w:val="left" w:pos="851"/>
        </w:tabs>
        <w:ind w:left="851" w:hanging="851"/>
        <w:rPr>
          <w:lang w:val="nl-NL"/>
        </w:rPr>
      </w:pPr>
    </w:p>
    <w:p w:rsidR="007B43B6" w:rsidRPr="009428B6" w:rsidRDefault="007B43B6" w:rsidP="007B43B6">
      <w:pPr>
        <w:tabs>
          <w:tab w:val="left" w:pos="851"/>
        </w:tabs>
        <w:ind w:left="851" w:hanging="851"/>
        <w:rPr>
          <w:b/>
        </w:rPr>
      </w:pPr>
      <w:r w:rsidRPr="009428B6">
        <w:rPr>
          <w:b/>
        </w:rPr>
        <w:tab/>
        <w:t>Dosering</w:t>
      </w:r>
    </w:p>
    <w:p w:rsidR="007B43B6" w:rsidRDefault="007B43B6" w:rsidP="007B43B6">
      <w:pPr>
        <w:tabs>
          <w:tab w:val="left" w:pos="851"/>
        </w:tabs>
        <w:ind w:left="851" w:hanging="851"/>
      </w:pPr>
    </w:p>
    <w:p w:rsidR="007B43B6" w:rsidRPr="009428B6" w:rsidRDefault="007B43B6" w:rsidP="007B43B6">
      <w:pPr>
        <w:tabs>
          <w:tab w:val="left" w:pos="851"/>
        </w:tabs>
        <w:ind w:left="851" w:hanging="851"/>
        <w:rPr>
          <w:u w:val="single"/>
        </w:rPr>
      </w:pPr>
      <w:r w:rsidRPr="009428B6">
        <w:tab/>
      </w:r>
      <w:r w:rsidRPr="009428B6">
        <w:rPr>
          <w:u w:val="single"/>
        </w:rPr>
        <w:t>Blærecancer</w:t>
      </w:r>
    </w:p>
    <w:p w:rsidR="007B43B6" w:rsidRDefault="007B43B6" w:rsidP="007B43B6">
      <w:pPr>
        <w:tabs>
          <w:tab w:val="left" w:pos="851"/>
        </w:tabs>
        <w:ind w:left="851" w:hanging="851"/>
      </w:pPr>
      <w:r>
        <w:tab/>
      </w:r>
    </w:p>
    <w:p w:rsidR="007B43B6" w:rsidRPr="004978FF" w:rsidRDefault="007B43B6" w:rsidP="007B43B6">
      <w:pPr>
        <w:tabs>
          <w:tab w:val="left" w:pos="851"/>
        </w:tabs>
        <w:ind w:left="851" w:hanging="851"/>
        <w:rPr>
          <w:i/>
        </w:rPr>
      </w:pPr>
      <w:r>
        <w:tab/>
      </w:r>
      <w:r w:rsidRPr="004978FF">
        <w:rPr>
          <w:i/>
        </w:rPr>
        <w:t>Kombinationsbehandling</w:t>
      </w:r>
    </w:p>
    <w:p w:rsidR="007B43B6" w:rsidRPr="00FB065A" w:rsidRDefault="007B43B6" w:rsidP="007B43B6">
      <w:pPr>
        <w:tabs>
          <w:tab w:val="left" w:pos="851"/>
        </w:tabs>
        <w:ind w:left="851" w:hanging="851"/>
      </w:pPr>
      <w:r>
        <w:tab/>
      </w:r>
      <w:r w:rsidRPr="00FB065A">
        <w:rPr>
          <w:color w:val="000000"/>
          <w:spacing w:val="-4"/>
        </w:rPr>
        <w:t xml:space="preserve">Den anbefalede dosis af </w:t>
      </w:r>
      <w:proofErr w:type="spellStart"/>
      <w:r w:rsidRPr="00FB065A">
        <w:rPr>
          <w:color w:val="000000"/>
          <w:spacing w:val="-4"/>
        </w:rPr>
        <w:t>gemcitabin</w:t>
      </w:r>
      <w:proofErr w:type="spellEnd"/>
      <w:r w:rsidRPr="00FB065A">
        <w:rPr>
          <w:color w:val="000000"/>
          <w:spacing w:val="-4"/>
        </w:rPr>
        <w:t xml:space="preserve"> er 1000 mg/m</w:t>
      </w:r>
      <w:r w:rsidRPr="00FB065A">
        <w:rPr>
          <w:color w:val="000000"/>
          <w:spacing w:val="-4"/>
          <w:vertAlign w:val="superscript"/>
        </w:rPr>
        <w:t>2</w:t>
      </w:r>
      <w:r w:rsidRPr="00FB065A">
        <w:rPr>
          <w:color w:val="000000"/>
          <w:spacing w:val="-4"/>
        </w:rPr>
        <w:t xml:space="preserve">, indgivet intravenøst over 30 minutter. Dosis </w:t>
      </w:r>
      <w:r w:rsidRPr="00FB065A">
        <w:rPr>
          <w:i/>
          <w:iCs/>
          <w:color w:val="000000"/>
          <w:spacing w:val="-4"/>
        </w:rPr>
        <w:t xml:space="preserve">bør </w:t>
      </w:r>
      <w:r w:rsidRPr="00FB065A">
        <w:rPr>
          <w:color w:val="000000"/>
          <w:spacing w:val="-4"/>
        </w:rPr>
        <w:t xml:space="preserve">gives </w:t>
      </w:r>
      <w:r w:rsidRPr="00FB065A">
        <w:rPr>
          <w:color w:val="000000"/>
          <w:spacing w:val="-2"/>
        </w:rPr>
        <w:t xml:space="preserve">på dag 1, 8 og 15 i hver 28 dages cyklus i kombination med </w:t>
      </w:r>
      <w:proofErr w:type="spellStart"/>
      <w:r w:rsidRPr="00FB065A">
        <w:rPr>
          <w:color w:val="000000"/>
          <w:spacing w:val="-2"/>
        </w:rPr>
        <w:t>cisplatin</w:t>
      </w:r>
      <w:proofErr w:type="spellEnd"/>
      <w:r w:rsidRPr="00FB065A">
        <w:rPr>
          <w:color w:val="000000"/>
          <w:spacing w:val="-2"/>
        </w:rPr>
        <w:t xml:space="preserve">. </w:t>
      </w:r>
      <w:proofErr w:type="spellStart"/>
      <w:r w:rsidRPr="00FB065A">
        <w:rPr>
          <w:color w:val="000000"/>
          <w:spacing w:val="-2"/>
        </w:rPr>
        <w:t>Cisplatin</w:t>
      </w:r>
      <w:proofErr w:type="spellEnd"/>
      <w:r w:rsidRPr="00FB065A">
        <w:rPr>
          <w:color w:val="000000"/>
          <w:spacing w:val="-2"/>
        </w:rPr>
        <w:t xml:space="preserve"> indgives i en anbefalet </w:t>
      </w:r>
      <w:r w:rsidRPr="00FB065A">
        <w:rPr>
          <w:color w:val="000000"/>
          <w:spacing w:val="-3"/>
        </w:rPr>
        <w:t>dosis på 70 mg/m</w:t>
      </w:r>
      <w:r w:rsidRPr="00FB065A">
        <w:rPr>
          <w:color w:val="000000"/>
          <w:spacing w:val="-3"/>
          <w:vertAlign w:val="superscript"/>
        </w:rPr>
        <w:t>2</w:t>
      </w:r>
      <w:r w:rsidRPr="00FB065A">
        <w:rPr>
          <w:color w:val="000000"/>
          <w:spacing w:val="-3"/>
        </w:rPr>
        <w:t xml:space="preserve"> på dag 1 efter </w:t>
      </w:r>
      <w:proofErr w:type="spellStart"/>
      <w:r w:rsidRPr="00FB065A">
        <w:rPr>
          <w:color w:val="000000"/>
          <w:spacing w:val="-3"/>
        </w:rPr>
        <w:t>gemcitabininfusionen</w:t>
      </w:r>
      <w:proofErr w:type="spellEnd"/>
      <w:r w:rsidRPr="00FB065A">
        <w:rPr>
          <w:color w:val="000000"/>
          <w:spacing w:val="-3"/>
        </w:rPr>
        <w:t xml:space="preserve"> eller dag 2 i hver 28 dages cyklus. Derefter gentages denne 4 ugers cyklus. Dosisreduktion mellem </w:t>
      </w:r>
      <w:r>
        <w:rPr>
          <w:color w:val="000000"/>
          <w:spacing w:val="-3"/>
        </w:rPr>
        <w:t>hver cyklus</w:t>
      </w:r>
      <w:r w:rsidRPr="00FB065A">
        <w:rPr>
          <w:color w:val="000000"/>
          <w:spacing w:val="-3"/>
        </w:rPr>
        <w:t xml:space="preserve"> eller i løbet af en cyklus kan baseres på den grad af toksicitet, som patienten oplever.</w:t>
      </w:r>
    </w:p>
    <w:p w:rsidR="007B43B6" w:rsidRDefault="007B43B6" w:rsidP="007B43B6">
      <w:pPr>
        <w:tabs>
          <w:tab w:val="left" w:pos="851"/>
        </w:tabs>
        <w:ind w:left="851" w:hanging="851"/>
      </w:pPr>
    </w:p>
    <w:p w:rsidR="007B43B6" w:rsidRPr="009428B6" w:rsidRDefault="007B43B6" w:rsidP="007B43B6">
      <w:pPr>
        <w:tabs>
          <w:tab w:val="left" w:pos="851"/>
        </w:tabs>
        <w:ind w:left="851" w:hanging="851"/>
        <w:rPr>
          <w:u w:val="single"/>
        </w:rPr>
      </w:pPr>
      <w:r w:rsidRPr="009428B6">
        <w:tab/>
      </w:r>
      <w:r w:rsidRPr="009428B6">
        <w:rPr>
          <w:u w:val="single"/>
        </w:rPr>
        <w:t>Pancreascancer</w:t>
      </w:r>
    </w:p>
    <w:p w:rsidR="007B43B6" w:rsidRPr="00FB065A" w:rsidRDefault="007B43B6" w:rsidP="007B43B6">
      <w:pPr>
        <w:tabs>
          <w:tab w:val="left" w:pos="851"/>
        </w:tabs>
        <w:ind w:left="851" w:hanging="851"/>
      </w:pPr>
      <w:r>
        <w:tab/>
      </w:r>
      <w:r w:rsidRPr="00FB065A">
        <w:rPr>
          <w:color w:val="000000"/>
          <w:spacing w:val="-4"/>
        </w:rPr>
        <w:t xml:space="preserve">Den anbefalede dosis af </w:t>
      </w:r>
      <w:proofErr w:type="spellStart"/>
      <w:r w:rsidRPr="00FB065A">
        <w:rPr>
          <w:color w:val="000000"/>
          <w:spacing w:val="-4"/>
        </w:rPr>
        <w:t>gemcitabin</w:t>
      </w:r>
      <w:proofErr w:type="spellEnd"/>
      <w:r w:rsidRPr="00FB065A">
        <w:rPr>
          <w:color w:val="000000"/>
          <w:spacing w:val="-4"/>
        </w:rPr>
        <w:t xml:space="preserve"> er 1000 mg/m</w:t>
      </w:r>
      <w:r w:rsidRPr="00FB065A">
        <w:rPr>
          <w:color w:val="000000"/>
          <w:spacing w:val="-4"/>
          <w:vertAlign w:val="superscript"/>
        </w:rPr>
        <w:t>2</w:t>
      </w:r>
      <w:r w:rsidRPr="00FB065A">
        <w:rPr>
          <w:color w:val="000000"/>
          <w:spacing w:val="-4"/>
        </w:rPr>
        <w:t xml:space="preserve"> indgivet intravenøst over 30 minutter. Dette gentages </w:t>
      </w:r>
      <w:r w:rsidRPr="00FB065A">
        <w:rPr>
          <w:color w:val="000000"/>
          <w:spacing w:val="-3"/>
        </w:rPr>
        <w:t xml:space="preserve">en gang ugentlig i </w:t>
      </w:r>
      <w:r>
        <w:rPr>
          <w:color w:val="000000"/>
          <w:spacing w:val="-3"/>
        </w:rPr>
        <w:t xml:space="preserve">op til </w:t>
      </w:r>
      <w:r w:rsidRPr="00FB065A">
        <w:rPr>
          <w:color w:val="000000"/>
          <w:spacing w:val="-3"/>
        </w:rPr>
        <w:t xml:space="preserve">7 uger efterfulgt af en uges pause. Efterfølgende cykler </w:t>
      </w:r>
      <w:r w:rsidRPr="00FB065A">
        <w:rPr>
          <w:iCs/>
          <w:color w:val="000000"/>
          <w:spacing w:val="-3"/>
        </w:rPr>
        <w:t>bør</w:t>
      </w:r>
      <w:r w:rsidRPr="00FB065A">
        <w:rPr>
          <w:i/>
          <w:iCs/>
          <w:color w:val="000000"/>
          <w:spacing w:val="-3"/>
        </w:rPr>
        <w:t xml:space="preserve"> </w:t>
      </w:r>
      <w:r w:rsidRPr="00FB065A">
        <w:rPr>
          <w:color w:val="000000"/>
          <w:spacing w:val="-3"/>
        </w:rPr>
        <w:t xml:space="preserve">bestå af infusioner en gang ugentligt i 3 sammenhængende uger ud af en 4 ugers periode. Dosisreduktion mellem </w:t>
      </w:r>
      <w:r>
        <w:rPr>
          <w:color w:val="000000"/>
          <w:spacing w:val="-3"/>
        </w:rPr>
        <w:t>hver cyklus</w:t>
      </w:r>
      <w:r w:rsidRPr="00FB065A">
        <w:rPr>
          <w:color w:val="000000"/>
          <w:spacing w:val="-3"/>
        </w:rPr>
        <w:t xml:space="preserve"> eller i løbet af en cyklus kan baseres på den grad af toksicitet, som patienten oplever.</w:t>
      </w:r>
    </w:p>
    <w:p w:rsidR="007B43B6" w:rsidRDefault="007B43B6" w:rsidP="007B43B6">
      <w:pPr>
        <w:tabs>
          <w:tab w:val="left" w:pos="851"/>
        </w:tabs>
        <w:ind w:left="851" w:hanging="851"/>
      </w:pPr>
    </w:p>
    <w:p w:rsidR="007B43B6" w:rsidRPr="009428B6" w:rsidRDefault="007B43B6" w:rsidP="007B43B6">
      <w:pPr>
        <w:tabs>
          <w:tab w:val="left" w:pos="851"/>
        </w:tabs>
        <w:ind w:left="851" w:hanging="851"/>
        <w:rPr>
          <w:u w:val="single"/>
        </w:rPr>
      </w:pPr>
      <w:r w:rsidRPr="009428B6">
        <w:tab/>
      </w:r>
      <w:r w:rsidRPr="009428B6">
        <w:rPr>
          <w:u w:val="single"/>
        </w:rPr>
        <w:t>Ikke-småcellet lungecancer</w:t>
      </w:r>
    </w:p>
    <w:p w:rsidR="007B43B6" w:rsidRDefault="007B43B6" w:rsidP="007B43B6">
      <w:pPr>
        <w:tabs>
          <w:tab w:val="left" w:pos="851"/>
        </w:tabs>
        <w:ind w:left="851" w:hanging="851"/>
      </w:pPr>
      <w:r>
        <w:tab/>
      </w:r>
    </w:p>
    <w:p w:rsidR="007B43B6" w:rsidRPr="004978FF" w:rsidRDefault="007B43B6" w:rsidP="007B43B6">
      <w:pPr>
        <w:tabs>
          <w:tab w:val="left" w:pos="851"/>
        </w:tabs>
        <w:ind w:left="851" w:hanging="851"/>
        <w:rPr>
          <w:i/>
        </w:rPr>
      </w:pPr>
      <w:r>
        <w:tab/>
      </w:r>
      <w:r w:rsidRPr="004978FF">
        <w:rPr>
          <w:i/>
        </w:rPr>
        <w:t>Monoterapi</w:t>
      </w:r>
    </w:p>
    <w:p w:rsidR="007B43B6" w:rsidRPr="00FB065A" w:rsidRDefault="007B43B6" w:rsidP="007B43B6">
      <w:pPr>
        <w:tabs>
          <w:tab w:val="left" w:pos="851"/>
        </w:tabs>
        <w:ind w:left="851" w:hanging="851"/>
      </w:pPr>
      <w:r>
        <w:tab/>
      </w:r>
      <w:r w:rsidRPr="00FB065A">
        <w:rPr>
          <w:color w:val="000000"/>
          <w:spacing w:val="-3"/>
        </w:rPr>
        <w:t xml:space="preserve">Den anbefalede dosis af </w:t>
      </w:r>
      <w:proofErr w:type="spellStart"/>
      <w:r w:rsidRPr="00FB065A">
        <w:rPr>
          <w:color w:val="000000"/>
          <w:spacing w:val="-3"/>
        </w:rPr>
        <w:t>gemcitabin</w:t>
      </w:r>
      <w:proofErr w:type="spellEnd"/>
      <w:r w:rsidRPr="00FB065A">
        <w:rPr>
          <w:color w:val="000000"/>
          <w:spacing w:val="-3"/>
        </w:rPr>
        <w:t xml:space="preserve"> er 1000 mg/m</w:t>
      </w:r>
      <w:r w:rsidRPr="00FB065A">
        <w:rPr>
          <w:color w:val="000000"/>
          <w:spacing w:val="-3"/>
          <w:vertAlign w:val="superscript"/>
        </w:rPr>
        <w:t>2</w:t>
      </w:r>
      <w:r w:rsidRPr="00FB065A">
        <w:rPr>
          <w:color w:val="000000"/>
          <w:spacing w:val="-3"/>
        </w:rPr>
        <w:t xml:space="preserve"> indgivet intravenøst over 30 minutter. Dette gentages en gang ugentligt i 3 uger efterfulgt af 1 uges pause. Derefter gentages denne 4 ugers cyklus. </w:t>
      </w:r>
      <w:r w:rsidRPr="00FB065A">
        <w:rPr>
          <w:color w:val="000000"/>
          <w:spacing w:val="-2"/>
        </w:rPr>
        <w:t xml:space="preserve">Dosisreduktion mellem </w:t>
      </w:r>
      <w:r>
        <w:rPr>
          <w:color w:val="000000"/>
          <w:spacing w:val="-2"/>
        </w:rPr>
        <w:t>hver cyklus</w:t>
      </w:r>
      <w:r w:rsidRPr="00FB065A">
        <w:rPr>
          <w:color w:val="000000"/>
          <w:spacing w:val="-2"/>
        </w:rPr>
        <w:t xml:space="preserve"> eller i løbet af en cyklus kan baseres på den grad af toksicitet, som </w:t>
      </w:r>
      <w:r w:rsidRPr="00FB065A">
        <w:rPr>
          <w:color w:val="000000"/>
          <w:spacing w:val="-3"/>
        </w:rPr>
        <w:t>patienten oplever.</w:t>
      </w:r>
    </w:p>
    <w:p w:rsidR="007B43B6" w:rsidRDefault="007B43B6" w:rsidP="007B43B6">
      <w:pPr>
        <w:tabs>
          <w:tab w:val="left" w:pos="851"/>
        </w:tabs>
        <w:ind w:left="851" w:hanging="851"/>
      </w:pPr>
    </w:p>
    <w:p w:rsidR="00A06F90" w:rsidRDefault="00A06F90" w:rsidP="007B43B6">
      <w:pPr>
        <w:tabs>
          <w:tab w:val="left" w:pos="851"/>
        </w:tabs>
        <w:ind w:left="851" w:hanging="851"/>
      </w:pPr>
    </w:p>
    <w:p w:rsidR="007B43B6" w:rsidRPr="004978FF" w:rsidRDefault="007B43B6" w:rsidP="007B43B6">
      <w:pPr>
        <w:tabs>
          <w:tab w:val="left" w:pos="851"/>
        </w:tabs>
        <w:ind w:left="851" w:hanging="851"/>
        <w:rPr>
          <w:i/>
        </w:rPr>
      </w:pPr>
      <w:r>
        <w:lastRenderedPageBreak/>
        <w:tab/>
      </w:r>
      <w:r w:rsidRPr="004978FF">
        <w:rPr>
          <w:i/>
        </w:rPr>
        <w:t>Kombinationsbehandling</w:t>
      </w:r>
    </w:p>
    <w:p w:rsidR="007B43B6" w:rsidRPr="00FB065A" w:rsidRDefault="007B43B6" w:rsidP="007B43B6">
      <w:pPr>
        <w:tabs>
          <w:tab w:val="left" w:pos="851"/>
        </w:tabs>
        <w:ind w:left="851" w:hanging="851"/>
      </w:pPr>
      <w:r>
        <w:tab/>
      </w:r>
      <w:r w:rsidRPr="008574CF">
        <w:t xml:space="preserve">Den anbefalede dosis af </w:t>
      </w:r>
      <w:proofErr w:type="spellStart"/>
      <w:r w:rsidRPr="008574CF">
        <w:t>gemcitabin</w:t>
      </w:r>
      <w:proofErr w:type="spellEnd"/>
      <w:r w:rsidRPr="008574CF">
        <w:t xml:space="preserve"> er 1250 mg/m</w:t>
      </w:r>
      <w:r w:rsidRPr="008574CF">
        <w:rPr>
          <w:vertAlign w:val="superscript"/>
        </w:rPr>
        <w:t>2</w:t>
      </w:r>
      <w:r w:rsidRPr="008574CF">
        <w:t xml:space="preserve"> indgivet intravenøst over 30 minutter på dag 1 og 8 i en behandlingscyklus (21 dage). Dosisreduktion mellem </w:t>
      </w:r>
      <w:r>
        <w:t>hver cyklus</w:t>
      </w:r>
      <w:r w:rsidRPr="008574CF">
        <w:t xml:space="preserve"> eller i løbet af en cyklus kan baseres på den grad af toksicitet, som patienten oplever. </w:t>
      </w:r>
      <w:proofErr w:type="spellStart"/>
      <w:r w:rsidRPr="008574CF">
        <w:t>Cisplatin</w:t>
      </w:r>
      <w:proofErr w:type="spellEnd"/>
      <w:r w:rsidRPr="008574CF">
        <w:t xml:space="preserve"> har været anvendt i doser mellem 75-100 mg/m</w:t>
      </w:r>
      <w:r w:rsidRPr="008574CF">
        <w:rPr>
          <w:vertAlign w:val="superscript"/>
        </w:rPr>
        <w:t>2</w:t>
      </w:r>
      <w:r w:rsidRPr="008574CF">
        <w:t xml:space="preserve"> en gang hver 3. uge.</w:t>
      </w:r>
    </w:p>
    <w:p w:rsidR="007B43B6" w:rsidRDefault="007B43B6" w:rsidP="007B43B6">
      <w:pPr>
        <w:tabs>
          <w:tab w:val="left" w:pos="851"/>
        </w:tabs>
        <w:ind w:left="851" w:hanging="851"/>
      </w:pPr>
    </w:p>
    <w:p w:rsidR="007B43B6" w:rsidRDefault="007B43B6" w:rsidP="007B43B6">
      <w:pPr>
        <w:tabs>
          <w:tab w:val="left" w:pos="851"/>
        </w:tabs>
        <w:ind w:left="851" w:hanging="851"/>
        <w:rPr>
          <w:u w:val="single"/>
        </w:rPr>
      </w:pPr>
      <w:r w:rsidRPr="007A70E9">
        <w:tab/>
      </w:r>
      <w:r w:rsidRPr="007A70E9">
        <w:rPr>
          <w:u w:val="single"/>
        </w:rPr>
        <w:t>Brystcancer</w:t>
      </w:r>
    </w:p>
    <w:p w:rsidR="007B43B6" w:rsidRPr="007A70E9" w:rsidRDefault="007B43B6" w:rsidP="007B43B6">
      <w:pPr>
        <w:tabs>
          <w:tab w:val="left" w:pos="851"/>
        </w:tabs>
        <w:ind w:left="851" w:hanging="851"/>
        <w:rPr>
          <w:u w:val="single"/>
        </w:rPr>
      </w:pPr>
    </w:p>
    <w:p w:rsidR="007B43B6" w:rsidRPr="004978FF" w:rsidRDefault="007B43B6" w:rsidP="007B43B6">
      <w:pPr>
        <w:tabs>
          <w:tab w:val="left" w:pos="851"/>
        </w:tabs>
        <w:ind w:left="851" w:hanging="851"/>
        <w:rPr>
          <w:i/>
        </w:rPr>
      </w:pPr>
      <w:r>
        <w:tab/>
      </w:r>
      <w:r w:rsidRPr="004978FF">
        <w:rPr>
          <w:i/>
        </w:rPr>
        <w:t>Kombinationsbehandling</w:t>
      </w:r>
    </w:p>
    <w:p w:rsidR="007B43B6" w:rsidRPr="00FB065A" w:rsidRDefault="007B43B6" w:rsidP="007B43B6">
      <w:pPr>
        <w:tabs>
          <w:tab w:val="left" w:pos="851"/>
        </w:tabs>
        <w:ind w:left="851" w:hanging="851"/>
      </w:pPr>
      <w:r>
        <w:tab/>
      </w:r>
      <w:proofErr w:type="spellStart"/>
      <w:r w:rsidRPr="00FB065A">
        <w:rPr>
          <w:color w:val="000000"/>
          <w:spacing w:val="-3"/>
        </w:rPr>
        <w:t>Gemcitabin</w:t>
      </w:r>
      <w:proofErr w:type="spellEnd"/>
      <w:r w:rsidRPr="00FB065A">
        <w:rPr>
          <w:color w:val="000000"/>
          <w:spacing w:val="-3"/>
        </w:rPr>
        <w:t xml:space="preserve"> i kombination med </w:t>
      </w:r>
      <w:proofErr w:type="spellStart"/>
      <w:r w:rsidRPr="00FB065A">
        <w:rPr>
          <w:color w:val="000000"/>
          <w:spacing w:val="-3"/>
        </w:rPr>
        <w:t>paclitaxel</w:t>
      </w:r>
      <w:proofErr w:type="spellEnd"/>
      <w:r w:rsidRPr="00FB065A">
        <w:rPr>
          <w:color w:val="000000"/>
          <w:spacing w:val="-3"/>
        </w:rPr>
        <w:t xml:space="preserve"> anbefales administreret på følgende måde: Den anbefalede dosis af </w:t>
      </w:r>
      <w:proofErr w:type="spellStart"/>
      <w:r w:rsidRPr="00FB065A">
        <w:rPr>
          <w:color w:val="000000"/>
          <w:spacing w:val="-3"/>
        </w:rPr>
        <w:t>paclitaxel</w:t>
      </w:r>
      <w:proofErr w:type="spellEnd"/>
      <w:r w:rsidRPr="00FB065A">
        <w:rPr>
          <w:color w:val="000000"/>
          <w:spacing w:val="-3"/>
        </w:rPr>
        <w:t xml:space="preserve"> er 175 mg/m</w:t>
      </w:r>
      <w:r w:rsidRPr="00FB065A">
        <w:rPr>
          <w:color w:val="000000"/>
          <w:spacing w:val="-3"/>
          <w:vertAlign w:val="superscript"/>
        </w:rPr>
        <w:t>2</w:t>
      </w:r>
      <w:r w:rsidRPr="00FB065A">
        <w:rPr>
          <w:color w:val="000000"/>
          <w:spacing w:val="-3"/>
        </w:rPr>
        <w:t xml:space="preserve"> indgivet intravenøst over ca. 3 timer på dag 1, efterfulgt af </w:t>
      </w:r>
      <w:proofErr w:type="spellStart"/>
      <w:r w:rsidRPr="00FB065A">
        <w:rPr>
          <w:color w:val="000000"/>
          <w:spacing w:val="-3"/>
        </w:rPr>
        <w:t>gemcitabin</w:t>
      </w:r>
      <w:proofErr w:type="spellEnd"/>
      <w:r w:rsidRPr="00FB065A">
        <w:rPr>
          <w:color w:val="000000"/>
          <w:spacing w:val="-3"/>
        </w:rPr>
        <w:t xml:space="preserve"> (1250 mg/m</w:t>
      </w:r>
      <w:r w:rsidRPr="00FB065A">
        <w:rPr>
          <w:color w:val="000000"/>
          <w:spacing w:val="-3"/>
          <w:vertAlign w:val="superscript"/>
        </w:rPr>
        <w:t>2</w:t>
      </w:r>
      <w:r w:rsidRPr="00FB065A">
        <w:rPr>
          <w:color w:val="000000"/>
          <w:spacing w:val="-3"/>
        </w:rPr>
        <w:t>) indgivet intravenøst over 30 minutter på dag 1</w:t>
      </w:r>
      <w:r>
        <w:rPr>
          <w:color w:val="000000"/>
          <w:spacing w:val="-3"/>
        </w:rPr>
        <w:t> </w:t>
      </w:r>
      <w:r w:rsidRPr="00FB065A">
        <w:rPr>
          <w:color w:val="000000"/>
          <w:spacing w:val="-3"/>
        </w:rPr>
        <w:t>og</w:t>
      </w:r>
      <w:r>
        <w:rPr>
          <w:color w:val="000000"/>
          <w:spacing w:val="-3"/>
        </w:rPr>
        <w:t> </w:t>
      </w:r>
      <w:r w:rsidRPr="00FB065A">
        <w:rPr>
          <w:color w:val="000000"/>
          <w:spacing w:val="-3"/>
        </w:rPr>
        <w:t>8</w:t>
      </w:r>
      <w:r>
        <w:rPr>
          <w:color w:val="000000"/>
          <w:spacing w:val="-3"/>
        </w:rPr>
        <w:t> </w:t>
      </w:r>
      <w:r w:rsidRPr="00FB065A">
        <w:rPr>
          <w:color w:val="000000"/>
          <w:spacing w:val="-3"/>
        </w:rPr>
        <w:t>i</w:t>
      </w:r>
      <w:r>
        <w:rPr>
          <w:color w:val="000000"/>
          <w:spacing w:val="-3"/>
        </w:rPr>
        <w:t> </w:t>
      </w:r>
      <w:r w:rsidRPr="00FB065A">
        <w:rPr>
          <w:color w:val="000000"/>
          <w:spacing w:val="-3"/>
        </w:rPr>
        <w:t xml:space="preserve">hver 21 dages cyklus. Dosisreduktionen </w:t>
      </w:r>
      <w:r w:rsidRPr="00FB065A">
        <w:rPr>
          <w:color w:val="000000"/>
          <w:spacing w:val="-2"/>
        </w:rPr>
        <w:t xml:space="preserve">mellem hver cyklus eller i løbet af en cyklus kan baseres på den grad af toksicitet, som patienten oplever. </w:t>
      </w:r>
      <w:r w:rsidRPr="00FB065A">
        <w:rPr>
          <w:color w:val="000000"/>
          <w:spacing w:val="-3"/>
        </w:rPr>
        <w:t>Patienterne skal have et absolut granulocyttal på mindst 1.500 (x 10</w:t>
      </w:r>
      <w:r w:rsidRPr="00FB065A">
        <w:rPr>
          <w:color w:val="000000"/>
          <w:spacing w:val="-3"/>
          <w:vertAlign w:val="superscript"/>
        </w:rPr>
        <w:t>6</w:t>
      </w:r>
      <w:r w:rsidRPr="00FB065A">
        <w:rPr>
          <w:color w:val="000000"/>
          <w:spacing w:val="-3"/>
        </w:rPr>
        <w:t xml:space="preserve"> /1) før påbegyndelse af behandling med kombinationen </w:t>
      </w:r>
      <w:proofErr w:type="spellStart"/>
      <w:r w:rsidRPr="00FB065A">
        <w:rPr>
          <w:color w:val="000000"/>
          <w:spacing w:val="-3"/>
        </w:rPr>
        <w:t>gemcitabin</w:t>
      </w:r>
      <w:proofErr w:type="spellEnd"/>
      <w:r w:rsidRPr="00FB065A">
        <w:rPr>
          <w:color w:val="000000"/>
          <w:spacing w:val="-3"/>
        </w:rPr>
        <w:t xml:space="preserve"> + </w:t>
      </w:r>
      <w:proofErr w:type="spellStart"/>
      <w:r w:rsidRPr="00FB065A">
        <w:rPr>
          <w:color w:val="000000"/>
          <w:spacing w:val="-3"/>
        </w:rPr>
        <w:t>paclitaxel</w:t>
      </w:r>
      <w:proofErr w:type="spellEnd"/>
      <w:r w:rsidRPr="00FB065A">
        <w:rPr>
          <w:color w:val="000000"/>
          <w:spacing w:val="-3"/>
        </w:rPr>
        <w:t>.</w:t>
      </w:r>
    </w:p>
    <w:p w:rsidR="007B43B6" w:rsidRDefault="007B43B6" w:rsidP="007B43B6">
      <w:pPr>
        <w:tabs>
          <w:tab w:val="left" w:pos="851"/>
        </w:tabs>
        <w:ind w:left="851" w:hanging="851"/>
      </w:pPr>
    </w:p>
    <w:p w:rsidR="007B43B6" w:rsidRDefault="007B43B6" w:rsidP="007B43B6">
      <w:pPr>
        <w:tabs>
          <w:tab w:val="left" w:pos="851"/>
        </w:tabs>
        <w:ind w:left="851" w:hanging="851"/>
        <w:rPr>
          <w:u w:val="single"/>
        </w:rPr>
      </w:pPr>
      <w:r w:rsidRPr="007A70E9">
        <w:tab/>
      </w:r>
      <w:r w:rsidRPr="007A70E9">
        <w:rPr>
          <w:u w:val="single"/>
        </w:rPr>
        <w:t>Ovariecancer</w:t>
      </w:r>
    </w:p>
    <w:p w:rsidR="007B43B6" w:rsidRPr="007A70E9" w:rsidRDefault="007B43B6" w:rsidP="007B43B6">
      <w:pPr>
        <w:tabs>
          <w:tab w:val="left" w:pos="851"/>
        </w:tabs>
        <w:ind w:left="851" w:hanging="851"/>
        <w:rPr>
          <w:u w:val="single"/>
        </w:rPr>
      </w:pPr>
    </w:p>
    <w:p w:rsidR="007B43B6" w:rsidRPr="004978FF" w:rsidRDefault="007B43B6" w:rsidP="007B43B6">
      <w:pPr>
        <w:tabs>
          <w:tab w:val="left" w:pos="851"/>
        </w:tabs>
        <w:ind w:left="851" w:hanging="851"/>
        <w:rPr>
          <w:i/>
        </w:rPr>
      </w:pPr>
      <w:r>
        <w:tab/>
      </w:r>
      <w:r w:rsidRPr="004978FF">
        <w:rPr>
          <w:i/>
        </w:rPr>
        <w:t>Kombinationsbehandling</w:t>
      </w:r>
    </w:p>
    <w:p w:rsidR="007B43B6" w:rsidRPr="00FB065A" w:rsidRDefault="007B43B6" w:rsidP="007B43B6">
      <w:pPr>
        <w:tabs>
          <w:tab w:val="left" w:pos="851"/>
        </w:tabs>
        <w:ind w:left="851" w:hanging="851"/>
      </w:pPr>
      <w:r>
        <w:tab/>
      </w:r>
      <w:proofErr w:type="spellStart"/>
      <w:r w:rsidRPr="00FB065A">
        <w:rPr>
          <w:color w:val="000000"/>
          <w:spacing w:val="-2"/>
        </w:rPr>
        <w:t>Gemcitabin</w:t>
      </w:r>
      <w:proofErr w:type="spellEnd"/>
      <w:r w:rsidRPr="00FB065A">
        <w:rPr>
          <w:color w:val="000000"/>
          <w:spacing w:val="-2"/>
        </w:rPr>
        <w:t xml:space="preserve"> i kombination med </w:t>
      </w:r>
      <w:proofErr w:type="spellStart"/>
      <w:r w:rsidRPr="00FB065A">
        <w:rPr>
          <w:color w:val="000000"/>
          <w:spacing w:val="-2"/>
        </w:rPr>
        <w:t>carboplatin</w:t>
      </w:r>
      <w:proofErr w:type="spellEnd"/>
      <w:r w:rsidRPr="00FB065A">
        <w:rPr>
          <w:color w:val="000000"/>
          <w:spacing w:val="-2"/>
        </w:rPr>
        <w:t xml:space="preserve"> anbefales administreret på følgende måde: På dag 1 og 8 af </w:t>
      </w:r>
      <w:r w:rsidRPr="00FB065A">
        <w:rPr>
          <w:color w:val="000000"/>
          <w:spacing w:val="-3"/>
        </w:rPr>
        <w:t>hver 21 dages cyklus indgives 1000 mg/m</w:t>
      </w:r>
      <w:r w:rsidRPr="00FB065A">
        <w:rPr>
          <w:color w:val="000000"/>
          <w:spacing w:val="-3"/>
          <w:vertAlign w:val="superscript"/>
        </w:rPr>
        <w:t>2</w:t>
      </w:r>
      <w:r w:rsidRPr="00FB065A">
        <w:rPr>
          <w:color w:val="000000"/>
          <w:spacing w:val="-3"/>
        </w:rPr>
        <w:t xml:space="preserve"> </w:t>
      </w:r>
      <w:proofErr w:type="spellStart"/>
      <w:r w:rsidRPr="00FB065A">
        <w:rPr>
          <w:color w:val="000000"/>
          <w:spacing w:val="-3"/>
        </w:rPr>
        <w:t>gemcitabin</w:t>
      </w:r>
      <w:proofErr w:type="spellEnd"/>
      <w:r w:rsidRPr="00FB065A">
        <w:rPr>
          <w:color w:val="000000"/>
          <w:spacing w:val="-3"/>
        </w:rPr>
        <w:t>, som en 30-minutters intravenøs infusion.</w:t>
      </w:r>
    </w:p>
    <w:p w:rsidR="007B43B6" w:rsidRPr="00FB065A" w:rsidRDefault="007B43B6" w:rsidP="007B43B6">
      <w:pPr>
        <w:tabs>
          <w:tab w:val="left" w:pos="851"/>
        </w:tabs>
        <w:ind w:left="851" w:hanging="851"/>
      </w:pPr>
      <w:r>
        <w:rPr>
          <w:color w:val="000000"/>
          <w:spacing w:val="-3"/>
        </w:rPr>
        <w:tab/>
      </w:r>
      <w:proofErr w:type="spellStart"/>
      <w:r w:rsidRPr="00FB065A">
        <w:rPr>
          <w:color w:val="000000"/>
          <w:spacing w:val="-3"/>
        </w:rPr>
        <w:t>Carboplatin</w:t>
      </w:r>
      <w:proofErr w:type="spellEnd"/>
      <w:r w:rsidRPr="00FB065A">
        <w:rPr>
          <w:color w:val="000000"/>
          <w:spacing w:val="-3"/>
        </w:rPr>
        <w:t xml:space="preserve"> gives på dag 1 efter </w:t>
      </w:r>
      <w:proofErr w:type="spellStart"/>
      <w:r w:rsidRPr="00FB065A">
        <w:rPr>
          <w:color w:val="000000"/>
          <w:spacing w:val="-3"/>
        </w:rPr>
        <w:t>gemcitabin</w:t>
      </w:r>
      <w:proofErr w:type="spellEnd"/>
      <w:r w:rsidRPr="00FB065A">
        <w:rPr>
          <w:color w:val="000000"/>
          <w:spacing w:val="-3"/>
        </w:rPr>
        <w:t xml:space="preserve"> med en beregnet dosis ud fra Arealet under kurven (AUC) på </w:t>
      </w:r>
      <w:r w:rsidRPr="00FB065A">
        <w:rPr>
          <w:color w:val="000000"/>
          <w:spacing w:val="-2"/>
        </w:rPr>
        <w:t xml:space="preserve">4,0 mg/ml i min. Dosisreduktion mellem hver cyklus eller i løbet af en cyklus baseres på den grad af </w:t>
      </w:r>
      <w:r w:rsidRPr="00FB065A">
        <w:rPr>
          <w:color w:val="000000"/>
          <w:spacing w:val="-3"/>
        </w:rPr>
        <w:t>toksicitet, som patienten oplever.</w:t>
      </w:r>
    </w:p>
    <w:p w:rsidR="007B43B6" w:rsidRPr="004978FF" w:rsidRDefault="007B43B6" w:rsidP="007B43B6">
      <w:pPr>
        <w:tabs>
          <w:tab w:val="left" w:pos="851"/>
        </w:tabs>
        <w:ind w:left="851" w:hanging="851"/>
      </w:pPr>
    </w:p>
    <w:p w:rsidR="007B43B6" w:rsidRPr="00B1157C" w:rsidRDefault="007B43B6" w:rsidP="007B43B6">
      <w:pPr>
        <w:tabs>
          <w:tab w:val="left" w:pos="851"/>
        </w:tabs>
        <w:ind w:left="851" w:hanging="851"/>
        <w:rPr>
          <w:b/>
        </w:rPr>
      </w:pPr>
      <w:r w:rsidRPr="00B1157C">
        <w:rPr>
          <w:b/>
        </w:rPr>
        <w:tab/>
        <w:t>Monitorering for toksicitet og dosisjustering som følge af</w:t>
      </w:r>
      <w:r>
        <w:rPr>
          <w:b/>
        </w:rPr>
        <w:t xml:space="preserve"> </w:t>
      </w:r>
      <w:r w:rsidRPr="00B1157C">
        <w:rPr>
          <w:b/>
        </w:rPr>
        <w:t>toksicitet</w:t>
      </w:r>
    </w:p>
    <w:p w:rsidR="007B43B6" w:rsidRPr="00FB065A" w:rsidRDefault="007B43B6" w:rsidP="007B43B6">
      <w:pPr>
        <w:tabs>
          <w:tab w:val="left" w:pos="851"/>
        </w:tabs>
        <w:ind w:left="851" w:hanging="851"/>
      </w:pPr>
    </w:p>
    <w:p w:rsidR="007B43B6" w:rsidRPr="00B1157C" w:rsidRDefault="007B43B6" w:rsidP="007B43B6">
      <w:pPr>
        <w:tabs>
          <w:tab w:val="left" w:pos="851"/>
        </w:tabs>
        <w:ind w:left="851" w:hanging="851"/>
        <w:rPr>
          <w:u w:val="single"/>
        </w:rPr>
      </w:pPr>
      <w:r w:rsidRPr="00B1157C">
        <w:tab/>
      </w:r>
      <w:r w:rsidRPr="00B1157C">
        <w:rPr>
          <w:u w:val="single"/>
        </w:rPr>
        <w:t>Dosisjustering som følge af</w:t>
      </w:r>
      <w:r>
        <w:rPr>
          <w:u w:val="single"/>
        </w:rPr>
        <w:t xml:space="preserve"> </w:t>
      </w:r>
      <w:r w:rsidRPr="00B1157C">
        <w:rPr>
          <w:u w:val="single"/>
        </w:rPr>
        <w:t>ikke-hæmatologisk toksicitet</w:t>
      </w:r>
    </w:p>
    <w:p w:rsidR="007B43B6" w:rsidRPr="00FB065A" w:rsidRDefault="007B43B6" w:rsidP="007B43B6">
      <w:pPr>
        <w:tabs>
          <w:tab w:val="left" w:pos="851"/>
        </w:tabs>
        <w:ind w:left="851" w:hanging="851"/>
      </w:pPr>
      <w:r>
        <w:tab/>
      </w:r>
      <w:r w:rsidRPr="00FB065A">
        <w:t xml:space="preserve">Periodiske helbredsundersøgelser og kontrol af nyre- og leverfunktion skal udføres for at kunne påvise ikke-hæmatologisk toksicitet. Dosisreduktion mellem </w:t>
      </w:r>
      <w:r>
        <w:t>hver cyklus</w:t>
      </w:r>
      <w:r w:rsidRPr="00FB065A">
        <w:t xml:space="preserve"> eller i løbet af en cyklus kan baseres på den grad af toksicitet, som patienten oplever. Ved svær (grad 3 eller 4) ikke-hæmatologisk toksicitet, kvalme/opkastning undtaget, skal </w:t>
      </w:r>
      <w:proofErr w:type="spellStart"/>
      <w:r w:rsidRPr="00FB065A">
        <w:t>gemcitabinbehandling</w:t>
      </w:r>
      <w:proofErr w:type="spellEnd"/>
      <w:r w:rsidRPr="00FB065A">
        <w:t xml:space="preserve"> normalt holdes tilbage eller reduceres afhængig af den behandlende læges vurdering.</w:t>
      </w:r>
      <w:r>
        <w:t xml:space="preserve"> </w:t>
      </w:r>
      <w:r w:rsidRPr="003F1603">
        <w:t>Dosis bør tilbageholdes</w:t>
      </w:r>
      <w:r>
        <w:t>,</w:t>
      </w:r>
      <w:r w:rsidRPr="003F1603">
        <w:t xml:space="preserve"> indtil toksiciteten </w:t>
      </w:r>
      <w:r>
        <w:t>efter lægens vurdering er forsvundet</w:t>
      </w:r>
      <w:r w:rsidRPr="003F1603">
        <w:t>.</w:t>
      </w:r>
    </w:p>
    <w:p w:rsidR="007B43B6" w:rsidRPr="00FB065A" w:rsidRDefault="007B43B6" w:rsidP="007B43B6">
      <w:pPr>
        <w:tabs>
          <w:tab w:val="left" w:pos="851"/>
        </w:tabs>
        <w:ind w:left="851" w:hanging="851"/>
      </w:pPr>
    </w:p>
    <w:p w:rsidR="007B43B6" w:rsidRPr="00FB065A" w:rsidRDefault="007B43B6" w:rsidP="007B43B6">
      <w:pPr>
        <w:tabs>
          <w:tab w:val="left" w:pos="851"/>
        </w:tabs>
        <w:ind w:left="851" w:hanging="851"/>
      </w:pPr>
      <w:r>
        <w:tab/>
      </w:r>
      <w:r w:rsidRPr="00FB065A">
        <w:t xml:space="preserve">For justering af dosis af </w:t>
      </w:r>
      <w:proofErr w:type="spellStart"/>
      <w:r w:rsidRPr="00FB065A">
        <w:t>cisplatin</w:t>
      </w:r>
      <w:proofErr w:type="spellEnd"/>
      <w:r w:rsidRPr="00FB065A">
        <w:t xml:space="preserve">, </w:t>
      </w:r>
      <w:proofErr w:type="spellStart"/>
      <w:r w:rsidRPr="00FB065A">
        <w:t>carboplatin</w:t>
      </w:r>
      <w:proofErr w:type="spellEnd"/>
      <w:r w:rsidRPr="00FB065A">
        <w:t xml:space="preserve"> og </w:t>
      </w:r>
      <w:proofErr w:type="spellStart"/>
      <w:r w:rsidRPr="00FB065A">
        <w:t>paclitaxel</w:t>
      </w:r>
      <w:proofErr w:type="spellEnd"/>
      <w:r w:rsidRPr="00FB065A">
        <w:t xml:space="preserve"> i kombinationsbehandling, henvises til de pågældende produktresuméer.</w:t>
      </w:r>
    </w:p>
    <w:p w:rsidR="007B43B6" w:rsidRPr="00FB065A" w:rsidRDefault="007B43B6" w:rsidP="007B43B6">
      <w:pPr>
        <w:tabs>
          <w:tab w:val="left" w:pos="851"/>
        </w:tabs>
        <w:ind w:left="851" w:hanging="851"/>
      </w:pPr>
    </w:p>
    <w:p w:rsidR="007B43B6" w:rsidRDefault="007B43B6" w:rsidP="007B43B6">
      <w:pPr>
        <w:tabs>
          <w:tab w:val="left" w:pos="851"/>
        </w:tabs>
        <w:ind w:left="851" w:hanging="851"/>
        <w:rPr>
          <w:u w:val="single"/>
        </w:rPr>
      </w:pPr>
      <w:r w:rsidRPr="00B1157C">
        <w:tab/>
      </w:r>
      <w:r w:rsidRPr="00B1157C">
        <w:rPr>
          <w:u w:val="single"/>
        </w:rPr>
        <w:t>Dosisjustering som følge af</w:t>
      </w:r>
      <w:r>
        <w:rPr>
          <w:u w:val="single"/>
        </w:rPr>
        <w:t xml:space="preserve"> </w:t>
      </w:r>
      <w:r w:rsidRPr="00B1157C">
        <w:rPr>
          <w:u w:val="single"/>
        </w:rPr>
        <w:t>hæmatologisk toksicitet</w:t>
      </w:r>
    </w:p>
    <w:p w:rsidR="007B43B6" w:rsidRPr="00B1157C" w:rsidRDefault="007B43B6" w:rsidP="007B43B6">
      <w:pPr>
        <w:tabs>
          <w:tab w:val="left" w:pos="851"/>
        </w:tabs>
        <w:ind w:left="851" w:hanging="851"/>
        <w:rPr>
          <w:u w:val="single"/>
        </w:rPr>
      </w:pPr>
    </w:p>
    <w:p w:rsidR="00A06F90" w:rsidRPr="004978FF" w:rsidRDefault="007B43B6" w:rsidP="00A06F90">
      <w:pPr>
        <w:tabs>
          <w:tab w:val="left" w:pos="851"/>
        </w:tabs>
        <w:ind w:left="851" w:hanging="851"/>
        <w:rPr>
          <w:i/>
        </w:rPr>
      </w:pPr>
      <w:r>
        <w:tab/>
      </w:r>
      <w:r w:rsidR="00A06F90" w:rsidRPr="004978FF">
        <w:rPr>
          <w:i/>
        </w:rPr>
        <w:t>I starten af</w:t>
      </w:r>
      <w:r w:rsidR="00A06F90">
        <w:rPr>
          <w:i/>
        </w:rPr>
        <w:t xml:space="preserve"> </w:t>
      </w:r>
      <w:r w:rsidR="00A06F90" w:rsidRPr="004978FF">
        <w:rPr>
          <w:i/>
        </w:rPr>
        <w:t>en cyklus</w:t>
      </w:r>
    </w:p>
    <w:p w:rsidR="00A06F90" w:rsidRPr="00FB065A" w:rsidRDefault="00A06F90" w:rsidP="00A06F90">
      <w:pPr>
        <w:tabs>
          <w:tab w:val="left" w:pos="851"/>
        </w:tabs>
        <w:ind w:left="851" w:hanging="851"/>
      </w:pPr>
      <w:r>
        <w:tab/>
      </w:r>
      <w:r w:rsidRPr="00FB065A">
        <w:t>For alle indikationer gælder, at patienten skal monitoreres for blodplade- og granulocyttal før hver dosis. Patienterne bør have et absolut granulocyttal på mindst 1.500 (x 10</w:t>
      </w:r>
      <w:r w:rsidRPr="00FB065A">
        <w:rPr>
          <w:vertAlign w:val="superscript"/>
        </w:rPr>
        <w:t>6</w:t>
      </w:r>
      <w:r w:rsidRPr="00FB065A">
        <w:t>/l) og blodpladetal på 100.000 (x 10</w:t>
      </w:r>
      <w:r w:rsidRPr="00FB065A">
        <w:rPr>
          <w:vertAlign w:val="superscript"/>
        </w:rPr>
        <w:t>6</w:t>
      </w:r>
      <w:r w:rsidRPr="00FB065A">
        <w:t>/l) før start på en cyklus.</w:t>
      </w:r>
    </w:p>
    <w:p w:rsidR="00A06F90" w:rsidRPr="004978FF" w:rsidRDefault="00A06F90" w:rsidP="00A06F90">
      <w:pPr>
        <w:keepNext/>
        <w:tabs>
          <w:tab w:val="left" w:pos="851"/>
        </w:tabs>
        <w:ind w:left="851" w:hanging="851"/>
        <w:rPr>
          <w:i/>
        </w:rPr>
      </w:pPr>
      <w:r>
        <w:lastRenderedPageBreak/>
        <w:tab/>
      </w:r>
      <w:r w:rsidRPr="004978FF">
        <w:rPr>
          <w:i/>
        </w:rPr>
        <w:t>I løbet af</w:t>
      </w:r>
      <w:r>
        <w:rPr>
          <w:i/>
        </w:rPr>
        <w:t xml:space="preserve"> </w:t>
      </w:r>
      <w:r w:rsidRPr="004978FF">
        <w:rPr>
          <w:i/>
        </w:rPr>
        <w:t>en cyklus</w:t>
      </w:r>
    </w:p>
    <w:p w:rsidR="00A06F90" w:rsidRPr="00FB065A" w:rsidRDefault="00A06F90" w:rsidP="00A06F90">
      <w:pPr>
        <w:keepNext/>
        <w:tabs>
          <w:tab w:val="left" w:pos="851"/>
        </w:tabs>
        <w:ind w:left="851" w:hanging="851"/>
      </w:pPr>
      <w:r>
        <w:tab/>
      </w:r>
      <w:r w:rsidRPr="00FB065A">
        <w:t xml:space="preserve">Dosisændringer af </w:t>
      </w:r>
      <w:proofErr w:type="spellStart"/>
      <w:r w:rsidRPr="00FB065A">
        <w:t>gemcitabin</w:t>
      </w:r>
      <w:proofErr w:type="spellEnd"/>
      <w:r w:rsidRPr="00FB065A">
        <w:t xml:space="preserve"> i løbet af en cyklus bør foretages i henhold til følgende tabeller:</w:t>
      </w:r>
    </w:p>
    <w:p w:rsidR="00A06F90" w:rsidRPr="00FB065A" w:rsidRDefault="00A06F90" w:rsidP="00A06F90">
      <w:pPr>
        <w:keepNext/>
        <w:tabs>
          <w:tab w:val="left" w:pos="851"/>
        </w:tabs>
        <w:ind w:left="851"/>
      </w:pPr>
    </w:p>
    <w:tbl>
      <w:tblPr>
        <w:tblW w:w="0" w:type="auto"/>
        <w:tblInd w:w="891" w:type="dxa"/>
        <w:tblLayout w:type="fixed"/>
        <w:tblCellMar>
          <w:left w:w="40" w:type="dxa"/>
          <w:right w:w="40" w:type="dxa"/>
        </w:tblCellMar>
        <w:tblLook w:val="0000" w:firstRow="0" w:lastRow="0" w:firstColumn="0" w:lastColumn="0" w:noHBand="0" w:noVBand="0"/>
      </w:tblPr>
      <w:tblGrid>
        <w:gridCol w:w="2410"/>
        <w:gridCol w:w="2989"/>
        <w:gridCol w:w="3380"/>
      </w:tblGrid>
      <w:tr w:rsidR="00A06F90" w:rsidRPr="00B307A9" w:rsidTr="008877D7">
        <w:trPr>
          <w:trHeight w:hRule="exact" w:val="615"/>
        </w:trPr>
        <w:tc>
          <w:tcPr>
            <w:tcW w:w="8779" w:type="dxa"/>
            <w:gridSpan w:val="3"/>
            <w:tcBorders>
              <w:top w:val="single" w:sz="6" w:space="0" w:color="auto"/>
              <w:left w:val="single" w:sz="6" w:space="0" w:color="auto"/>
              <w:bottom w:val="single" w:sz="6" w:space="0" w:color="auto"/>
              <w:right w:val="single" w:sz="6" w:space="0" w:color="auto"/>
            </w:tcBorders>
            <w:shd w:val="clear" w:color="auto" w:fill="FFFFFF"/>
          </w:tcPr>
          <w:p w:rsidR="00A06F90" w:rsidRPr="004978FF" w:rsidRDefault="00A06F90" w:rsidP="008877D7">
            <w:pPr>
              <w:keepNext/>
              <w:ind w:left="102"/>
              <w:rPr>
                <w:b/>
              </w:rPr>
            </w:pPr>
            <w:r w:rsidRPr="004978FF">
              <w:rPr>
                <w:b/>
              </w:rPr>
              <w:t xml:space="preserve">Dosisændring af </w:t>
            </w:r>
            <w:proofErr w:type="spellStart"/>
            <w:r w:rsidRPr="004978FF">
              <w:rPr>
                <w:b/>
              </w:rPr>
              <w:t>gemcitabin</w:t>
            </w:r>
            <w:proofErr w:type="spellEnd"/>
            <w:r w:rsidRPr="004978FF">
              <w:rPr>
                <w:b/>
              </w:rPr>
              <w:t xml:space="preserve"> givet som monoterapi eller i kombination med </w:t>
            </w:r>
            <w:proofErr w:type="spellStart"/>
            <w:r w:rsidRPr="004978FF">
              <w:rPr>
                <w:b/>
              </w:rPr>
              <w:t>cisplatin</w:t>
            </w:r>
            <w:proofErr w:type="spellEnd"/>
            <w:r w:rsidRPr="004978FF">
              <w:rPr>
                <w:b/>
              </w:rPr>
              <w:t xml:space="preserve"> i løbet af en cyklus ved blærecancer, ikke-småcellet lungecancer og pancreascancer</w:t>
            </w:r>
          </w:p>
        </w:tc>
      </w:tr>
      <w:tr w:rsidR="00A06F90" w:rsidRPr="00A5418D" w:rsidTr="008877D7">
        <w:trPr>
          <w:trHeight w:hRule="exact" w:val="706"/>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A06F90" w:rsidRPr="004978FF" w:rsidRDefault="00A06F90" w:rsidP="008877D7">
            <w:pPr>
              <w:keepNext/>
              <w:tabs>
                <w:tab w:val="left" w:pos="102"/>
              </w:tabs>
              <w:ind w:left="102"/>
              <w:rPr>
                <w:b/>
              </w:rPr>
            </w:pPr>
            <w:r w:rsidRPr="004978FF">
              <w:rPr>
                <w:b/>
              </w:rPr>
              <w:t>Absolut granulocyttal (x 10</w:t>
            </w:r>
            <w:r w:rsidRPr="00446EF2">
              <w:rPr>
                <w:b/>
                <w:vertAlign w:val="superscript"/>
              </w:rPr>
              <w:t>6</w:t>
            </w:r>
            <w:r w:rsidRPr="004978FF">
              <w:rPr>
                <w:b/>
              </w:rPr>
              <w:t>/l)</w:t>
            </w:r>
          </w:p>
        </w:tc>
        <w:tc>
          <w:tcPr>
            <w:tcW w:w="2989" w:type="dxa"/>
            <w:tcBorders>
              <w:top w:val="single" w:sz="6" w:space="0" w:color="auto"/>
              <w:left w:val="single" w:sz="6" w:space="0" w:color="auto"/>
              <w:bottom w:val="single" w:sz="6" w:space="0" w:color="auto"/>
              <w:right w:val="single" w:sz="6" w:space="0" w:color="auto"/>
            </w:tcBorders>
            <w:shd w:val="clear" w:color="auto" w:fill="FFFFFF"/>
          </w:tcPr>
          <w:p w:rsidR="00A06F90" w:rsidRPr="004978FF" w:rsidRDefault="00A06F90" w:rsidP="008877D7">
            <w:pPr>
              <w:keepNext/>
              <w:ind w:left="102"/>
              <w:rPr>
                <w:b/>
              </w:rPr>
            </w:pPr>
            <w:r w:rsidRPr="004978FF">
              <w:rPr>
                <w:b/>
              </w:rPr>
              <w:t>Blodbladetal (x 10</w:t>
            </w:r>
            <w:r w:rsidRPr="00446EF2">
              <w:rPr>
                <w:b/>
                <w:vertAlign w:val="superscript"/>
              </w:rPr>
              <w:t>6</w:t>
            </w:r>
            <w:r w:rsidRPr="004978FF">
              <w:rPr>
                <w:b/>
              </w:rPr>
              <w:t>/l)</w:t>
            </w:r>
          </w:p>
        </w:tc>
        <w:tc>
          <w:tcPr>
            <w:tcW w:w="3380" w:type="dxa"/>
            <w:tcBorders>
              <w:top w:val="single" w:sz="6" w:space="0" w:color="auto"/>
              <w:left w:val="single" w:sz="6" w:space="0" w:color="auto"/>
              <w:bottom w:val="single" w:sz="6" w:space="0" w:color="auto"/>
              <w:right w:val="single" w:sz="6" w:space="0" w:color="auto"/>
            </w:tcBorders>
            <w:shd w:val="clear" w:color="auto" w:fill="FFFFFF"/>
          </w:tcPr>
          <w:p w:rsidR="00A06F90" w:rsidRPr="004978FF" w:rsidRDefault="00A06F90" w:rsidP="008877D7">
            <w:pPr>
              <w:keepNext/>
              <w:ind w:left="102"/>
              <w:rPr>
                <w:b/>
              </w:rPr>
            </w:pPr>
            <w:r w:rsidRPr="004978FF">
              <w:rPr>
                <w:b/>
              </w:rPr>
              <w:t xml:space="preserve">Procent af standarddosis for </w:t>
            </w:r>
            <w:proofErr w:type="spellStart"/>
            <w:r>
              <w:rPr>
                <w:b/>
              </w:rPr>
              <w:t>Gemcitabin</w:t>
            </w:r>
            <w:proofErr w:type="spellEnd"/>
            <w:r>
              <w:rPr>
                <w:b/>
              </w:rPr>
              <w:t xml:space="preserve"> "SUN"</w:t>
            </w:r>
            <w:r w:rsidRPr="004978FF">
              <w:rPr>
                <w:b/>
              </w:rPr>
              <w:t xml:space="preserve"> (%)</w:t>
            </w:r>
          </w:p>
        </w:tc>
      </w:tr>
      <w:tr w:rsidR="00A06F90" w:rsidRPr="00A5418D" w:rsidTr="008877D7">
        <w:trPr>
          <w:trHeight w:hRule="exact" w:val="269"/>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A06F90" w:rsidRPr="00A5418D" w:rsidRDefault="00A06F90" w:rsidP="008877D7">
            <w:pPr>
              <w:tabs>
                <w:tab w:val="left" w:pos="102"/>
              </w:tabs>
              <w:ind w:left="102"/>
            </w:pPr>
            <w:r w:rsidRPr="004978FF">
              <w:t>&gt; 1.000 og</w:t>
            </w:r>
          </w:p>
        </w:tc>
        <w:tc>
          <w:tcPr>
            <w:tcW w:w="2989" w:type="dxa"/>
            <w:tcBorders>
              <w:top w:val="single" w:sz="6" w:space="0" w:color="auto"/>
              <w:left w:val="single" w:sz="6" w:space="0" w:color="auto"/>
              <w:bottom w:val="single" w:sz="6" w:space="0" w:color="auto"/>
              <w:right w:val="single" w:sz="6" w:space="0" w:color="auto"/>
            </w:tcBorders>
            <w:shd w:val="clear" w:color="auto" w:fill="FFFFFF"/>
          </w:tcPr>
          <w:p w:rsidR="00A06F90" w:rsidRPr="00A5418D" w:rsidRDefault="00A06F90" w:rsidP="008877D7">
            <w:pPr>
              <w:tabs>
                <w:tab w:val="left" w:pos="851"/>
              </w:tabs>
              <w:ind w:left="851"/>
            </w:pPr>
            <w:r w:rsidRPr="004978FF">
              <w:t>&gt; 100.000</w:t>
            </w:r>
          </w:p>
        </w:tc>
        <w:tc>
          <w:tcPr>
            <w:tcW w:w="3380" w:type="dxa"/>
            <w:tcBorders>
              <w:top w:val="single" w:sz="6" w:space="0" w:color="auto"/>
              <w:left w:val="single" w:sz="6" w:space="0" w:color="auto"/>
              <w:bottom w:val="single" w:sz="6" w:space="0" w:color="auto"/>
              <w:right w:val="single" w:sz="6" w:space="0" w:color="auto"/>
            </w:tcBorders>
            <w:shd w:val="clear" w:color="auto" w:fill="FFFFFF"/>
          </w:tcPr>
          <w:p w:rsidR="00A06F90" w:rsidRPr="00A5418D" w:rsidRDefault="00A06F90" w:rsidP="008877D7">
            <w:pPr>
              <w:tabs>
                <w:tab w:val="left" w:pos="851"/>
              </w:tabs>
              <w:ind w:left="851"/>
            </w:pPr>
            <w:r w:rsidRPr="004978FF">
              <w:t>100</w:t>
            </w:r>
          </w:p>
        </w:tc>
      </w:tr>
      <w:tr w:rsidR="00A06F90" w:rsidRPr="00A5418D" w:rsidTr="008877D7">
        <w:trPr>
          <w:trHeight w:hRule="exact" w:val="259"/>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A06F90" w:rsidRPr="00A5418D" w:rsidRDefault="00A06F90" w:rsidP="008877D7">
            <w:pPr>
              <w:tabs>
                <w:tab w:val="left" w:pos="102"/>
              </w:tabs>
              <w:ind w:left="102"/>
            </w:pPr>
            <w:r w:rsidRPr="004978FF">
              <w:t>500-1.000 eller</w:t>
            </w:r>
          </w:p>
        </w:tc>
        <w:tc>
          <w:tcPr>
            <w:tcW w:w="2989" w:type="dxa"/>
            <w:tcBorders>
              <w:top w:val="single" w:sz="6" w:space="0" w:color="auto"/>
              <w:left w:val="single" w:sz="6" w:space="0" w:color="auto"/>
              <w:bottom w:val="single" w:sz="6" w:space="0" w:color="auto"/>
              <w:right w:val="single" w:sz="6" w:space="0" w:color="auto"/>
            </w:tcBorders>
            <w:shd w:val="clear" w:color="auto" w:fill="FFFFFF"/>
          </w:tcPr>
          <w:p w:rsidR="00A06F90" w:rsidRPr="00A5418D" w:rsidRDefault="00A06F90" w:rsidP="008877D7">
            <w:pPr>
              <w:tabs>
                <w:tab w:val="left" w:pos="851"/>
              </w:tabs>
              <w:ind w:left="851"/>
            </w:pPr>
            <w:r w:rsidRPr="004978FF">
              <w:t>50.000-100.000</w:t>
            </w:r>
          </w:p>
        </w:tc>
        <w:tc>
          <w:tcPr>
            <w:tcW w:w="3380" w:type="dxa"/>
            <w:tcBorders>
              <w:top w:val="single" w:sz="6" w:space="0" w:color="auto"/>
              <w:left w:val="single" w:sz="6" w:space="0" w:color="auto"/>
              <w:bottom w:val="single" w:sz="6" w:space="0" w:color="auto"/>
              <w:right w:val="single" w:sz="6" w:space="0" w:color="auto"/>
            </w:tcBorders>
            <w:shd w:val="clear" w:color="auto" w:fill="FFFFFF"/>
          </w:tcPr>
          <w:p w:rsidR="00A06F90" w:rsidRPr="00A5418D" w:rsidRDefault="00A06F90" w:rsidP="008877D7">
            <w:pPr>
              <w:tabs>
                <w:tab w:val="left" w:pos="851"/>
              </w:tabs>
              <w:ind w:left="851"/>
            </w:pPr>
            <w:r w:rsidRPr="004978FF">
              <w:t>75</w:t>
            </w:r>
          </w:p>
        </w:tc>
      </w:tr>
      <w:tr w:rsidR="00A06F90" w:rsidRPr="00A5418D" w:rsidTr="008877D7">
        <w:trPr>
          <w:trHeight w:hRule="exact" w:val="278"/>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A06F90" w:rsidRPr="00A5418D" w:rsidRDefault="00A06F90" w:rsidP="008877D7">
            <w:pPr>
              <w:tabs>
                <w:tab w:val="left" w:pos="102"/>
              </w:tabs>
              <w:ind w:left="102"/>
            </w:pPr>
            <w:r w:rsidRPr="004978FF">
              <w:t>&lt; 500 eller</w:t>
            </w:r>
          </w:p>
        </w:tc>
        <w:tc>
          <w:tcPr>
            <w:tcW w:w="2989" w:type="dxa"/>
            <w:tcBorders>
              <w:top w:val="single" w:sz="6" w:space="0" w:color="auto"/>
              <w:left w:val="single" w:sz="6" w:space="0" w:color="auto"/>
              <w:bottom w:val="single" w:sz="6" w:space="0" w:color="auto"/>
              <w:right w:val="single" w:sz="6" w:space="0" w:color="auto"/>
            </w:tcBorders>
            <w:shd w:val="clear" w:color="auto" w:fill="FFFFFF"/>
          </w:tcPr>
          <w:p w:rsidR="00A06F90" w:rsidRPr="00A5418D" w:rsidRDefault="00A06F90" w:rsidP="008877D7">
            <w:pPr>
              <w:tabs>
                <w:tab w:val="left" w:pos="851"/>
              </w:tabs>
              <w:ind w:left="851"/>
            </w:pPr>
            <w:r w:rsidRPr="004978FF">
              <w:t>&lt; 50.000</w:t>
            </w:r>
          </w:p>
        </w:tc>
        <w:tc>
          <w:tcPr>
            <w:tcW w:w="3380" w:type="dxa"/>
            <w:tcBorders>
              <w:top w:val="single" w:sz="6" w:space="0" w:color="auto"/>
              <w:left w:val="single" w:sz="6" w:space="0" w:color="auto"/>
              <w:bottom w:val="single" w:sz="6" w:space="0" w:color="auto"/>
              <w:right w:val="single" w:sz="6" w:space="0" w:color="auto"/>
            </w:tcBorders>
            <w:shd w:val="clear" w:color="auto" w:fill="FFFFFF"/>
          </w:tcPr>
          <w:p w:rsidR="00A06F90" w:rsidRPr="00A5418D" w:rsidRDefault="00A06F90" w:rsidP="008877D7">
            <w:pPr>
              <w:tabs>
                <w:tab w:val="left" w:pos="851"/>
              </w:tabs>
              <w:ind w:left="851"/>
            </w:pPr>
            <w:r w:rsidRPr="004978FF">
              <w:t>Spring dosis over*</w:t>
            </w:r>
          </w:p>
        </w:tc>
      </w:tr>
    </w:tbl>
    <w:p w:rsidR="00A06F90" w:rsidRPr="00FB065A" w:rsidRDefault="00A06F90" w:rsidP="00A06F90">
      <w:pPr>
        <w:tabs>
          <w:tab w:val="left" w:pos="851"/>
        </w:tabs>
        <w:ind w:left="851" w:hanging="851"/>
      </w:pPr>
      <w:r>
        <w:tab/>
      </w:r>
      <w:r w:rsidRPr="004978FF">
        <w:t>*</w:t>
      </w:r>
      <w:r>
        <w:t xml:space="preserve"> </w:t>
      </w:r>
      <w:r w:rsidRPr="00FB065A">
        <w:t xml:space="preserve">Udeladt behandling vil ikke blive genoptaget i løbet af en cyklus, før </w:t>
      </w:r>
      <w:r>
        <w:t>det absolutte granulocyttal når</w:t>
      </w:r>
      <w:r w:rsidRPr="00FB065A">
        <w:t xml:space="preserve"> mindst 500 (x 10</w:t>
      </w:r>
      <w:r w:rsidRPr="008574CF">
        <w:rPr>
          <w:vertAlign w:val="superscript"/>
        </w:rPr>
        <w:t>6</w:t>
      </w:r>
      <w:r w:rsidRPr="00FB065A">
        <w:t>/l) og blodpladetallet når 50.000 (x 10</w:t>
      </w:r>
      <w:r w:rsidRPr="008574CF">
        <w:rPr>
          <w:vertAlign w:val="superscript"/>
        </w:rPr>
        <w:t>6</w:t>
      </w:r>
      <w:r w:rsidRPr="00FB065A">
        <w:t>/l).</w:t>
      </w:r>
    </w:p>
    <w:p w:rsidR="00A06F90" w:rsidRPr="00FB065A" w:rsidRDefault="00A06F90" w:rsidP="00A06F90"/>
    <w:tbl>
      <w:tblPr>
        <w:tblW w:w="0" w:type="auto"/>
        <w:tblInd w:w="891" w:type="dxa"/>
        <w:tblLayout w:type="fixed"/>
        <w:tblCellMar>
          <w:left w:w="40" w:type="dxa"/>
          <w:right w:w="40" w:type="dxa"/>
        </w:tblCellMar>
        <w:tblLook w:val="0000" w:firstRow="0" w:lastRow="0" w:firstColumn="0" w:lastColumn="0" w:noHBand="0" w:noVBand="0"/>
      </w:tblPr>
      <w:tblGrid>
        <w:gridCol w:w="2410"/>
        <w:gridCol w:w="2976"/>
        <w:gridCol w:w="3402"/>
      </w:tblGrid>
      <w:tr w:rsidR="00A06F90" w:rsidRPr="00FB065A" w:rsidTr="008877D7">
        <w:trPr>
          <w:trHeight w:hRule="exact" w:val="617"/>
        </w:trPr>
        <w:tc>
          <w:tcPr>
            <w:tcW w:w="8788" w:type="dxa"/>
            <w:gridSpan w:val="3"/>
            <w:tcBorders>
              <w:top w:val="single" w:sz="6" w:space="0" w:color="auto"/>
              <w:left w:val="single" w:sz="6" w:space="0" w:color="auto"/>
              <w:bottom w:val="single" w:sz="6" w:space="0" w:color="auto"/>
              <w:right w:val="single" w:sz="6" w:space="0" w:color="auto"/>
            </w:tcBorders>
            <w:shd w:val="clear" w:color="auto" w:fill="FFFFFF"/>
          </w:tcPr>
          <w:p w:rsidR="00A06F90" w:rsidRPr="004978FF" w:rsidRDefault="00A06F90" w:rsidP="008877D7">
            <w:pPr>
              <w:ind w:left="102"/>
              <w:rPr>
                <w:b/>
              </w:rPr>
            </w:pPr>
            <w:r w:rsidRPr="004978FF">
              <w:rPr>
                <w:b/>
              </w:rPr>
              <w:t xml:space="preserve">Dosisændring af </w:t>
            </w:r>
            <w:proofErr w:type="spellStart"/>
            <w:r w:rsidRPr="004978FF">
              <w:rPr>
                <w:b/>
              </w:rPr>
              <w:t>gemcitabin</w:t>
            </w:r>
            <w:proofErr w:type="spellEnd"/>
            <w:r w:rsidRPr="004978FF">
              <w:rPr>
                <w:b/>
              </w:rPr>
              <w:t xml:space="preserve"> givet i kombination med </w:t>
            </w:r>
            <w:proofErr w:type="spellStart"/>
            <w:r w:rsidRPr="004978FF">
              <w:rPr>
                <w:b/>
              </w:rPr>
              <w:t>paclitaxel</w:t>
            </w:r>
            <w:proofErr w:type="spellEnd"/>
            <w:r w:rsidRPr="004978FF">
              <w:rPr>
                <w:b/>
              </w:rPr>
              <w:t xml:space="preserve"> i løbet af en cyklus ved brystcancer</w:t>
            </w:r>
          </w:p>
        </w:tc>
      </w:tr>
      <w:tr w:rsidR="00A06F90" w:rsidRPr="00FB065A" w:rsidTr="008877D7">
        <w:trPr>
          <w:trHeight w:hRule="exact" w:val="623"/>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A06F90" w:rsidRPr="00446EF2" w:rsidRDefault="00A06F90" w:rsidP="008877D7">
            <w:pPr>
              <w:ind w:left="102"/>
              <w:rPr>
                <w:b/>
              </w:rPr>
            </w:pPr>
            <w:r w:rsidRPr="00446EF2">
              <w:rPr>
                <w:b/>
              </w:rPr>
              <w:t>Absolut granulocyttal (x 10</w:t>
            </w:r>
            <w:r w:rsidRPr="00446EF2">
              <w:rPr>
                <w:b/>
                <w:vertAlign w:val="superscript"/>
              </w:rPr>
              <w:t>6</w:t>
            </w:r>
            <w:r w:rsidRPr="00446EF2">
              <w:rPr>
                <w:b/>
              </w:rPr>
              <w:t>/l)</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A06F90" w:rsidRPr="00446EF2" w:rsidRDefault="00A06F90" w:rsidP="008877D7">
            <w:pPr>
              <w:ind w:left="102"/>
              <w:rPr>
                <w:b/>
              </w:rPr>
            </w:pPr>
            <w:r w:rsidRPr="00446EF2">
              <w:rPr>
                <w:b/>
              </w:rPr>
              <w:t>Blodbladetal (x 10</w:t>
            </w:r>
            <w:r w:rsidRPr="00446EF2">
              <w:rPr>
                <w:b/>
                <w:vertAlign w:val="superscript"/>
              </w:rPr>
              <w:t>6</w:t>
            </w:r>
            <w:r w:rsidRPr="00446EF2">
              <w:rPr>
                <w:b/>
              </w:rPr>
              <w:t>/l)</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A06F90" w:rsidRPr="00446EF2" w:rsidRDefault="00A06F90" w:rsidP="008877D7">
            <w:pPr>
              <w:ind w:left="102"/>
              <w:rPr>
                <w:b/>
              </w:rPr>
            </w:pPr>
            <w:r w:rsidRPr="00446EF2">
              <w:rPr>
                <w:b/>
              </w:rPr>
              <w:t xml:space="preserve">Procent af normaldosis for </w:t>
            </w:r>
            <w:proofErr w:type="spellStart"/>
            <w:r>
              <w:rPr>
                <w:b/>
              </w:rPr>
              <w:t>Gemcitabin</w:t>
            </w:r>
            <w:proofErr w:type="spellEnd"/>
            <w:r>
              <w:rPr>
                <w:b/>
              </w:rPr>
              <w:t xml:space="preserve"> "SUN"</w:t>
            </w:r>
            <w:r w:rsidRPr="00446EF2">
              <w:rPr>
                <w:b/>
              </w:rPr>
              <w:t xml:space="preserve"> (%)</w:t>
            </w:r>
          </w:p>
        </w:tc>
      </w:tr>
      <w:tr w:rsidR="00A06F90" w:rsidRPr="00FB065A" w:rsidTr="008877D7">
        <w:trPr>
          <w:trHeight w:hRule="exact" w:val="259"/>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tabs>
                <w:tab w:val="left" w:pos="851"/>
              </w:tabs>
              <w:ind w:left="851" w:hanging="851"/>
            </w:pPr>
            <w:r w:rsidRPr="004978FF">
              <w:sym w:font="Symbol" w:char="F0B3"/>
            </w:r>
            <w:r w:rsidRPr="004978FF">
              <w:t xml:space="preserve"> 1.200 og</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tabs>
                <w:tab w:val="left" w:pos="851"/>
              </w:tabs>
              <w:ind w:left="851" w:hanging="851"/>
              <w:jc w:val="center"/>
            </w:pPr>
            <w:r w:rsidRPr="004978FF">
              <w:t>&gt;75.000</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tabs>
                <w:tab w:val="left" w:pos="851"/>
              </w:tabs>
              <w:ind w:left="851" w:hanging="851"/>
              <w:jc w:val="center"/>
            </w:pPr>
            <w:r w:rsidRPr="004978FF">
              <w:t>100</w:t>
            </w:r>
          </w:p>
        </w:tc>
      </w:tr>
      <w:tr w:rsidR="00A06F90" w:rsidRPr="00FB065A" w:rsidTr="008877D7">
        <w:trPr>
          <w:trHeight w:hRule="exact" w:val="269"/>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tabs>
                <w:tab w:val="left" w:pos="851"/>
              </w:tabs>
              <w:ind w:left="851" w:hanging="851"/>
            </w:pPr>
            <w:r w:rsidRPr="004978FF">
              <w:t>1.000-&lt;1.200 eller</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tabs>
                <w:tab w:val="left" w:pos="851"/>
              </w:tabs>
              <w:ind w:left="851" w:hanging="851"/>
              <w:jc w:val="center"/>
            </w:pPr>
            <w:r w:rsidRPr="004978FF">
              <w:t>50.000-75.000</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tabs>
                <w:tab w:val="left" w:pos="851"/>
              </w:tabs>
              <w:ind w:left="851" w:hanging="851"/>
              <w:jc w:val="center"/>
            </w:pPr>
            <w:r w:rsidRPr="004978FF">
              <w:t>75</w:t>
            </w:r>
          </w:p>
        </w:tc>
      </w:tr>
      <w:tr w:rsidR="00A06F90" w:rsidRPr="00FB065A" w:rsidTr="008877D7">
        <w:trPr>
          <w:trHeight w:hRule="exact" w:val="259"/>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tabs>
                <w:tab w:val="left" w:pos="851"/>
              </w:tabs>
              <w:ind w:left="851" w:hanging="851"/>
            </w:pPr>
            <w:r w:rsidRPr="004978FF">
              <w:t>700- &lt; 1.000 og</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tabs>
                <w:tab w:val="left" w:pos="851"/>
              </w:tabs>
              <w:ind w:left="851" w:hanging="851"/>
              <w:jc w:val="center"/>
            </w:pPr>
            <w:r w:rsidRPr="004978FF">
              <w:sym w:font="Symbol" w:char="F0B3"/>
            </w:r>
            <w:r w:rsidRPr="004978FF">
              <w:t xml:space="preserve"> 50.000</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tabs>
                <w:tab w:val="left" w:pos="851"/>
              </w:tabs>
              <w:ind w:left="851" w:hanging="851"/>
              <w:jc w:val="center"/>
            </w:pPr>
            <w:r w:rsidRPr="004978FF">
              <w:t>50</w:t>
            </w:r>
          </w:p>
        </w:tc>
      </w:tr>
      <w:tr w:rsidR="00A06F90" w:rsidRPr="00FB065A" w:rsidTr="008877D7">
        <w:trPr>
          <w:trHeight w:hRule="exact" w:val="278"/>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tabs>
                <w:tab w:val="left" w:pos="851"/>
              </w:tabs>
              <w:ind w:left="851" w:hanging="851"/>
            </w:pPr>
            <w:r w:rsidRPr="004978FF">
              <w:t>&lt;700 eller</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tabs>
                <w:tab w:val="left" w:pos="851"/>
              </w:tabs>
              <w:ind w:left="851" w:hanging="851"/>
              <w:jc w:val="center"/>
            </w:pPr>
            <w:r w:rsidRPr="004978FF">
              <w:t>&lt;50.000</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tabs>
                <w:tab w:val="left" w:pos="851"/>
              </w:tabs>
              <w:ind w:left="851" w:hanging="851"/>
              <w:jc w:val="center"/>
            </w:pPr>
            <w:r w:rsidRPr="004978FF">
              <w:t>Spring dosis over</w:t>
            </w:r>
            <w:r>
              <w:t>*</w:t>
            </w:r>
          </w:p>
        </w:tc>
      </w:tr>
    </w:tbl>
    <w:p w:rsidR="00A06F90" w:rsidRPr="00FB065A" w:rsidRDefault="00A06F90" w:rsidP="00A06F90">
      <w:pPr>
        <w:tabs>
          <w:tab w:val="left" w:pos="851"/>
        </w:tabs>
        <w:ind w:left="851" w:hanging="851"/>
      </w:pPr>
      <w:r>
        <w:tab/>
      </w:r>
      <w:r w:rsidRPr="004978FF">
        <w:t>*</w:t>
      </w:r>
      <w:r>
        <w:t xml:space="preserve"> </w:t>
      </w:r>
      <w:r w:rsidRPr="00FB065A">
        <w:t>Udeladt behandling vil ikke blive genoptaget i løbet af en cyklus. Behandling vil blive påbegyndt på dag 1 af næste cyklus, når det absolutte granulocyttal når mindst 1.500 (x 10</w:t>
      </w:r>
      <w:r w:rsidRPr="008574CF">
        <w:rPr>
          <w:vertAlign w:val="superscript"/>
        </w:rPr>
        <w:t>6</w:t>
      </w:r>
      <w:r w:rsidRPr="00FB065A">
        <w:t>/l) og blodpladet</w:t>
      </w:r>
      <w:r>
        <w:t>a</w:t>
      </w:r>
      <w:r w:rsidRPr="00FB065A">
        <w:t>llet når 100.000 (x 10</w:t>
      </w:r>
      <w:r w:rsidRPr="008574CF">
        <w:rPr>
          <w:vertAlign w:val="superscript"/>
        </w:rPr>
        <w:t>6</w:t>
      </w:r>
      <w:r w:rsidRPr="00FB065A">
        <w:t>/l).</w:t>
      </w:r>
    </w:p>
    <w:p w:rsidR="00A06F90" w:rsidRPr="00FB065A" w:rsidRDefault="00A06F90" w:rsidP="00A06F90">
      <w:pPr>
        <w:tabs>
          <w:tab w:val="left" w:pos="851"/>
        </w:tabs>
        <w:ind w:left="851" w:hanging="851"/>
      </w:pPr>
    </w:p>
    <w:tbl>
      <w:tblPr>
        <w:tblW w:w="0" w:type="auto"/>
        <w:tblInd w:w="891" w:type="dxa"/>
        <w:tblLayout w:type="fixed"/>
        <w:tblCellMar>
          <w:left w:w="40" w:type="dxa"/>
          <w:right w:w="40" w:type="dxa"/>
        </w:tblCellMar>
        <w:tblLook w:val="0000" w:firstRow="0" w:lastRow="0" w:firstColumn="0" w:lastColumn="0" w:noHBand="0" w:noVBand="0"/>
      </w:tblPr>
      <w:tblGrid>
        <w:gridCol w:w="2410"/>
        <w:gridCol w:w="2976"/>
        <w:gridCol w:w="3402"/>
      </w:tblGrid>
      <w:tr w:rsidR="00A06F90" w:rsidRPr="00FB065A" w:rsidTr="008877D7">
        <w:trPr>
          <w:trHeight w:hRule="exact" w:val="693"/>
        </w:trPr>
        <w:tc>
          <w:tcPr>
            <w:tcW w:w="8788" w:type="dxa"/>
            <w:gridSpan w:val="3"/>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ind w:left="102"/>
            </w:pPr>
            <w:r w:rsidRPr="00446EF2">
              <w:rPr>
                <w:b/>
              </w:rPr>
              <w:t>Dos</w:t>
            </w:r>
            <w:r>
              <w:rPr>
                <w:b/>
              </w:rPr>
              <w:t>i</w:t>
            </w:r>
            <w:r w:rsidRPr="00446EF2">
              <w:rPr>
                <w:b/>
              </w:rPr>
              <w:t xml:space="preserve">sændring af </w:t>
            </w:r>
            <w:proofErr w:type="spellStart"/>
            <w:r w:rsidRPr="00446EF2">
              <w:rPr>
                <w:b/>
              </w:rPr>
              <w:t>gemcitabin</w:t>
            </w:r>
            <w:proofErr w:type="spellEnd"/>
            <w:r w:rsidRPr="00446EF2">
              <w:rPr>
                <w:b/>
              </w:rPr>
              <w:t xml:space="preserve"> givet i kombination med </w:t>
            </w:r>
            <w:proofErr w:type="spellStart"/>
            <w:r w:rsidRPr="00446EF2">
              <w:rPr>
                <w:b/>
              </w:rPr>
              <w:t>carboplatin</w:t>
            </w:r>
            <w:proofErr w:type="spellEnd"/>
            <w:r w:rsidRPr="00446EF2">
              <w:rPr>
                <w:b/>
              </w:rPr>
              <w:t xml:space="preserve"> i løbet af en cyklus ved ovariecancer</w:t>
            </w:r>
          </w:p>
        </w:tc>
      </w:tr>
      <w:tr w:rsidR="00A06F90" w:rsidRPr="00FB065A" w:rsidTr="008877D7">
        <w:trPr>
          <w:trHeight w:hRule="exact" w:val="679"/>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A06F90" w:rsidRPr="00446EF2" w:rsidRDefault="00A06F90" w:rsidP="008877D7">
            <w:pPr>
              <w:tabs>
                <w:tab w:val="left" w:pos="851"/>
              </w:tabs>
              <w:ind w:left="851" w:hanging="797"/>
              <w:rPr>
                <w:b/>
              </w:rPr>
            </w:pPr>
            <w:r w:rsidRPr="00446EF2">
              <w:rPr>
                <w:b/>
              </w:rPr>
              <w:t>Absolut granulocyttal (x 10</w:t>
            </w:r>
            <w:r w:rsidRPr="00446EF2">
              <w:rPr>
                <w:b/>
                <w:vertAlign w:val="superscript"/>
              </w:rPr>
              <w:t>6</w:t>
            </w:r>
            <w:r w:rsidRPr="00446EF2">
              <w:rPr>
                <w:b/>
              </w:rPr>
              <w:t>/l)</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A06F90" w:rsidRPr="00446EF2" w:rsidRDefault="00A06F90" w:rsidP="008877D7">
            <w:pPr>
              <w:tabs>
                <w:tab w:val="left" w:pos="851"/>
              </w:tabs>
              <w:ind w:left="851" w:hanging="798"/>
              <w:rPr>
                <w:b/>
              </w:rPr>
            </w:pPr>
            <w:r w:rsidRPr="00446EF2">
              <w:rPr>
                <w:b/>
              </w:rPr>
              <w:t>Blodbladetal (x 10</w:t>
            </w:r>
            <w:r w:rsidRPr="00446EF2">
              <w:rPr>
                <w:b/>
                <w:vertAlign w:val="superscript"/>
              </w:rPr>
              <w:t>6</w:t>
            </w:r>
            <w:r w:rsidRPr="00446EF2">
              <w:rPr>
                <w:b/>
              </w:rPr>
              <w:t>/l)</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A06F90" w:rsidRPr="00446EF2" w:rsidRDefault="00A06F90" w:rsidP="008877D7">
            <w:pPr>
              <w:ind w:left="102"/>
              <w:rPr>
                <w:b/>
              </w:rPr>
            </w:pPr>
            <w:r w:rsidRPr="00446EF2">
              <w:rPr>
                <w:b/>
              </w:rPr>
              <w:t xml:space="preserve">Procent af normaldosis for </w:t>
            </w:r>
            <w:proofErr w:type="spellStart"/>
            <w:r>
              <w:rPr>
                <w:b/>
              </w:rPr>
              <w:t>Gemcitabin</w:t>
            </w:r>
            <w:proofErr w:type="spellEnd"/>
            <w:r>
              <w:rPr>
                <w:b/>
              </w:rPr>
              <w:t xml:space="preserve"> "SUN"</w:t>
            </w:r>
            <w:r w:rsidRPr="00446EF2">
              <w:rPr>
                <w:b/>
              </w:rPr>
              <w:t xml:space="preserve"> (%)</w:t>
            </w:r>
          </w:p>
        </w:tc>
      </w:tr>
      <w:tr w:rsidR="00A06F90" w:rsidRPr="00FB065A" w:rsidTr="008877D7">
        <w:trPr>
          <w:trHeight w:hRule="exact" w:val="269"/>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tabs>
                <w:tab w:val="left" w:pos="851"/>
              </w:tabs>
              <w:ind w:left="851" w:hanging="851"/>
            </w:pPr>
            <w:r w:rsidRPr="004978FF">
              <w:t>&gt;1.500 og</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tabs>
                <w:tab w:val="left" w:pos="851"/>
              </w:tabs>
              <w:ind w:left="851" w:hanging="851"/>
              <w:jc w:val="center"/>
            </w:pPr>
            <w:r w:rsidRPr="004978FF">
              <w:sym w:font="Symbol" w:char="F0B3"/>
            </w:r>
            <w:r w:rsidRPr="004978FF">
              <w:t xml:space="preserve"> 100.000</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tabs>
                <w:tab w:val="left" w:pos="851"/>
              </w:tabs>
              <w:ind w:left="851" w:hanging="851"/>
              <w:jc w:val="center"/>
            </w:pPr>
            <w:r w:rsidRPr="004978FF">
              <w:t>100</w:t>
            </w:r>
          </w:p>
        </w:tc>
      </w:tr>
      <w:tr w:rsidR="00A06F90" w:rsidRPr="00FB065A" w:rsidTr="008877D7">
        <w:trPr>
          <w:trHeight w:hRule="exact" w:val="259"/>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tabs>
                <w:tab w:val="left" w:pos="851"/>
              </w:tabs>
              <w:ind w:left="851" w:hanging="851"/>
            </w:pPr>
            <w:r w:rsidRPr="004978FF">
              <w:t>1.000-1.500 eller</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tabs>
                <w:tab w:val="left" w:pos="851"/>
              </w:tabs>
              <w:ind w:left="851" w:hanging="851"/>
              <w:jc w:val="center"/>
            </w:pPr>
            <w:r w:rsidRPr="004978FF">
              <w:t>75.000-100.000</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tabs>
                <w:tab w:val="left" w:pos="851"/>
              </w:tabs>
              <w:ind w:left="851" w:hanging="851"/>
              <w:jc w:val="center"/>
            </w:pPr>
            <w:r w:rsidRPr="004978FF">
              <w:t>50</w:t>
            </w:r>
          </w:p>
        </w:tc>
      </w:tr>
      <w:tr w:rsidR="00A06F90" w:rsidRPr="00FB065A" w:rsidTr="008877D7">
        <w:trPr>
          <w:trHeight w:hRule="exact" w:val="278"/>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tabs>
                <w:tab w:val="left" w:pos="851"/>
              </w:tabs>
              <w:ind w:left="851" w:hanging="851"/>
            </w:pPr>
            <w:r w:rsidRPr="004978FF">
              <w:t>&lt; 1.000 eller</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tabs>
                <w:tab w:val="left" w:pos="851"/>
              </w:tabs>
              <w:ind w:left="851" w:hanging="851"/>
              <w:jc w:val="center"/>
            </w:pPr>
            <w:r w:rsidRPr="004978FF">
              <w:t>&lt;75.000</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tabs>
                <w:tab w:val="left" w:pos="851"/>
              </w:tabs>
              <w:ind w:left="851" w:hanging="851"/>
              <w:jc w:val="center"/>
            </w:pPr>
            <w:r w:rsidRPr="004978FF">
              <w:t>Spring dosis over</w:t>
            </w:r>
            <w:r>
              <w:t>*</w:t>
            </w:r>
          </w:p>
        </w:tc>
      </w:tr>
    </w:tbl>
    <w:p w:rsidR="00A06F90" w:rsidRPr="00FB065A" w:rsidRDefault="00A06F90" w:rsidP="00A06F90">
      <w:pPr>
        <w:tabs>
          <w:tab w:val="left" w:pos="851"/>
        </w:tabs>
        <w:ind w:left="851" w:hanging="851"/>
      </w:pPr>
      <w:r>
        <w:tab/>
      </w:r>
      <w:r w:rsidRPr="004978FF">
        <w:t>*</w:t>
      </w:r>
      <w:r>
        <w:t xml:space="preserve"> </w:t>
      </w:r>
      <w:r w:rsidRPr="004978FF">
        <w:t>Udeladt behandling vil ikke blive genoptaget i løbet af en cyklus. Behandling vil blive påbegyndt på dag 1 af næste cyklus, når det absolutte granulocyttal når mindst 1.500 (x 10</w:t>
      </w:r>
      <w:r w:rsidRPr="008574CF">
        <w:rPr>
          <w:vertAlign w:val="superscript"/>
        </w:rPr>
        <w:t>6</w:t>
      </w:r>
      <w:r w:rsidRPr="004978FF">
        <w:t>/l) og blodpladet</w:t>
      </w:r>
      <w:r>
        <w:t>a</w:t>
      </w:r>
      <w:r w:rsidRPr="004978FF">
        <w:t>llet når 100.000 (x 10</w:t>
      </w:r>
      <w:r w:rsidRPr="008574CF">
        <w:rPr>
          <w:vertAlign w:val="superscript"/>
        </w:rPr>
        <w:t>6</w:t>
      </w:r>
      <w:r w:rsidRPr="004978FF">
        <w:t>/l).</w:t>
      </w:r>
    </w:p>
    <w:p w:rsidR="00A06F90" w:rsidRDefault="00A06F90" w:rsidP="00A06F90">
      <w:pPr>
        <w:tabs>
          <w:tab w:val="left" w:pos="851"/>
        </w:tabs>
        <w:ind w:left="851" w:hanging="851"/>
      </w:pPr>
      <w:r>
        <w:tab/>
      </w:r>
    </w:p>
    <w:p w:rsidR="00A06F90" w:rsidRPr="003F5433" w:rsidRDefault="00A06F90" w:rsidP="00A06F90">
      <w:pPr>
        <w:tabs>
          <w:tab w:val="left" w:pos="851"/>
        </w:tabs>
        <w:ind w:left="851" w:hanging="851"/>
        <w:rPr>
          <w:u w:val="single"/>
        </w:rPr>
      </w:pPr>
      <w:r>
        <w:tab/>
      </w:r>
      <w:r w:rsidRPr="003F5433">
        <w:rPr>
          <w:u w:val="single"/>
        </w:rPr>
        <w:t>Dosisændringer som skyldes hæmatologisk toksicitet i efterfølgende cykler, gældende for alle indikationer</w:t>
      </w:r>
    </w:p>
    <w:p w:rsidR="00A06F90" w:rsidRPr="00FB065A" w:rsidRDefault="00A06F90" w:rsidP="00A06F90">
      <w:pPr>
        <w:tabs>
          <w:tab w:val="left" w:pos="851"/>
        </w:tabs>
        <w:ind w:left="851" w:hanging="851"/>
      </w:pPr>
      <w:r>
        <w:tab/>
      </w:r>
      <w:proofErr w:type="spellStart"/>
      <w:r w:rsidRPr="004978FF">
        <w:t>Gemcitabindosis</w:t>
      </w:r>
      <w:proofErr w:type="spellEnd"/>
      <w:r w:rsidRPr="004978FF">
        <w:t xml:space="preserve"> bør reduceres til 75% af den oprindelige startdosis i en cyklus i tilfælde af følgende hæmatologiske </w:t>
      </w:r>
      <w:proofErr w:type="spellStart"/>
      <w:r w:rsidRPr="004978FF">
        <w:t>toksiciteter</w:t>
      </w:r>
      <w:proofErr w:type="spellEnd"/>
      <w:r w:rsidRPr="004978FF">
        <w:t>:</w:t>
      </w:r>
    </w:p>
    <w:p w:rsidR="00A06F90" w:rsidRPr="004978FF" w:rsidRDefault="00A06F90" w:rsidP="00A06F90">
      <w:pPr>
        <w:numPr>
          <w:ilvl w:val="0"/>
          <w:numId w:val="9"/>
        </w:numPr>
        <w:tabs>
          <w:tab w:val="left" w:pos="851"/>
        </w:tabs>
      </w:pPr>
      <w:r w:rsidRPr="004978FF">
        <w:t>Absolut granulocyttal &lt; 500 x 10</w:t>
      </w:r>
      <w:r w:rsidRPr="008574CF">
        <w:rPr>
          <w:vertAlign w:val="superscript"/>
        </w:rPr>
        <w:t>6</w:t>
      </w:r>
      <w:r w:rsidRPr="004978FF">
        <w:t>/l i mere end 5 dage</w:t>
      </w:r>
    </w:p>
    <w:p w:rsidR="00A06F90" w:rsidRPr="004978FF" w:rsidRDefault="00A06F90" w:rsidP="00A06F90">
      <w:pPr>
        <w:numPr>
          <w:ilvl w:val="0"/>
          <w:numId w:val="9"/>
        </w:numPr>
        <w:tabs>
          <w:tab w:val="left" w:pos="851"/>
        </w:tabs>
      </w:pPr>
      <w:r>
        <w:t>Absolut granulocyttal &lt; 100</w:t>
      </w:r>
      <w:r w:rsidRPr="004978FF">
        <w:t xml:space="preserve"> x 10</w:t>
      </w:r>
      <w:r w:rsidRPr="008574CF">
        <w:rPr>
          <w:vertAlign w:val="superscript"/>
        </w:rPr>
        <w:t>6</w:t>
      </w:r>
      <w:r w:rsidRPr="004978FF">
        <w:t>/l i mere end 3 dage</w:t>
      </w:r>
    </w:p>
    <w:p w:rsidR="00A06F90" w:rsidRPr="004978FF" w:rsidRDefault="00A06F90" w:rsidP="00A06F90">
      <w:pPr>
        <w:numPr>
          <w:ilvl w:val="0"/>
          <w:numId w:val="9"/>
        </w:numPr>
        <w:tabs>
          <w:tab w:val="left" w:pos="851"/>
        </w:tabs>
      </w:pPr>
      <w:r w:rsidRPr="004978FF">
        <w:t xml:space="preserve">Febril </w:t>
      </w:r>
      <w:proofErr w:type="spellStart"/>
      <w:r w:rsidRPr="004978FF">
        <w:t>neutropeni</w:t>
      </w:r>
      <w:proofErr w:type="spellEnd"/>
    </w:p>
    <w:p w:rsidR="00A06F90" w:rsidRPr="004978FF" w:rsidRDefault="00A06F90" w:rsidP="00A06F90">
      <w:pPr>
        <w:numPr>
          <w:ilvl w:val="0"/>
          <w:numId w:val="9"/>
        </w:numPr>
        <w:tabs>
          <w:tab w:val="left" w:pos="851"/>
        </w:tabs>
      </w:pPr>
      <w:r w:rsidRPr="004978FF">
        <w:t>Blodplader &lt; 25.000 x 10</w:t>
      </w:r>
      <w:r w:rsidRPr="008574CF">
        <w:rPr>
          <w:vertAlign w:val="superscript"/>
        </w:rPr>
        <w:t>6</w:t>
      </w:r>
      <w:r w:rsidRPr="004978FF">
        <w:t>/l</w:t>
      </w:r>
    </w:p>
    <w:p w:rsidR="00A06F90" w:rsidRPr="004978FF" w:rsidRDefault="00A06F90" w:rsidP="00A06F90">
      <w:pPr>
        <w:numPr>
          <w:ilvl w:val="0"/>
          <w:numId w:val="9"/>
        </w:numPr>
        <w:tabs>
          <w:tab w:val="left" w:pos="851"/>
        </w:tabs>
      </w:pPr>
      <w:r w:rsidRPr="004978FF">
        <w:t>Udsættelse af cyklus på mere end 1 uge grundet toksicitet</w:t>
      </w:r>
    </w:p>
    <w:p w:rsidR="00A06F90" w:rsidRDefault="00A06F90" w:rsidP="00A06F90">
      <w:pPr>
        <w:tabs>
          <w:tab w:val="left" w:pos="851"/>
        </w:tabs>
        <w:ind w:left="-229"/>
      </w:pPr>
    </w:p>
    <w:p w:rsidR="00A06F90" w:rsidRDefault="00A06F90" w:rsidP="00A06F90">
      <w:pPr>
        <w:keepNext/>
        <w:tabs>
          <w:tab w:val="left" w:pos="851"/>
        </w:tabs>
        <w:ind w:left="851"/>
        <w:rPr>
          <w:u w:val="single"/>
        </w:rPr>
      </w:pPr>
      <w:r>
        <w:rPr>
          <w:u w:val="single"/>
        </w:rPr>
        <w:lastRenderedPageBreak/>
        <w:t>Specielle populationer</w:t>
      </w:r>
    </w:p>
    <w:p w:rsidR="00A06F90" w:rsidRDefault="00A06F90" w:rsidP="00A06F90">
      <w:pPr>
        <w:keepNext/>
        <w:tabs>
          <w:tab w:val="left" w:pos="851"/>
        </w:tabs>
        <w:ind w:left="851" w:hanging="851"/>
      </w:pPr>
      <w:r>
        <w:tab/>
      </w:r>
    </w:p>
    <w:p w:rsidR="00A06F90" w:rsidRDefault="00A06F90" w:rsidP="00A06F90">
      <w:pPr>
        <w:keepNext/>
        <w:tabs>
          <w:tab w:val="left" w:pos="851"/>
        </w:tabs>
        <w:ind w:left="851" w:hanging="851"/>
        <w:rPr>
          <w:i/>
        </w:rPr>
      </w:pPr>
      <w:r>
        <w:rPr>
          <w:i/>
        </w:rPr>
        <w:tab/>
        <w:t>Patienter med nedsat nyre- eller leverfunktion</w:t>
      </w:r>
    </w:p>
    <w:p w:rsidR="00A06F90" w:rsidRDefault="00A06F90" w:rsidP="00A06F90">
      <w:pPr>
        <w:keepNext/>
        <w:tabs>
          <w:tab w:val="left" w:pos="851"/>
        </w:tabs>
        <w:ind w:left="851" w:hanging="851"/>
      </w:pPr>
      <w:r>
        <w:tab/>
      </w:r>
      <w:proofErr w:type="spellStart"/>
      <w:r>
        <w:t>Gemcitabin</w:t>
      </w:r>
      <w:proofErr w:type="spellEnd"/>
      <w:r>
        <w:t xml:space="preserve"> skal anvendes med forsigtighed til patienter med nedsat nyre- eller leverfunktion, da der er utilstrækkelige data fra kliniske forsøg til at give entydige dosisrekommandationer til disse patientpopulationer (se pkt. 4.4 og 5.2).</w:t>
      </w:r>
    </w:p>
    <w:p w:rsidR="00A06F90" w:rsidRDefault="00A06F90" w:rsidP="00A06F90">
      <w:pPr>
        <w:tabs>
          <w:tab w:val="left" w:pos="851"/>
        </w:tabs>
        <w:ind w:left="851" w:hanging="851"/>
      </w:pPr>
    </w:p>
    <w:p w:rsidR="00A06F90" w:rsidRDefault="00A06F90" w:rsidP="00A06F90">
      <w:pPr>
        <w:tabs>
          <w:tab w:val="left" w:pos="851"/>
        </w:tabs>
        <w:ind w:left="851" w:hanging="851"/>
        <w:rPr>
          <w:i/>
        </w:rPr>
      </w:pPr>
      <w:r>
        <w:tab/>
      </w:r>
      <w:r>
        <w:rPr>
          <w:i/>
        </w:rPr>
        <w:t>Ældre (&gt; 65 år)</w:t>
      </w:r>
    </w:p>
    <w:p w:rsidR="00A06F90" w:rsidRDefault="00A06F90" w:rsidP="00A06F90">
      <w:pPr>
        <w:tabs>
          <w:tab w:val="left" w:pos="851"/>
        </w:tabs>
        <w:ind w:left="851" w:hanging="851"/>
      </w:pPr>
      <w:r>
        <w:tab/>
      </w:r>
      <w:proofErr w:type="spellStart"/>
      <w:r>
        <w:t>Gemcitabin</w:t>
      </w:r>
      <w:proofErr w:type="spellEnd"/>
      <w:r>
        <w:t xml:space="preserve"> er veltolereret af patienter over 65 år. Der er ingen evidens for at dosisjusteringer, udover dem, der allerede anbefales til alle patienter, er nødvendige til ældre (se pkt. 5.2).</w:t>
      </w:r>
    </w:p>
    <w:p w:rsidR="00A06F90" w:rsidRDefault="00A06F90" w:rsidP="00A06F90">
      <w:pPr>
        <w:tabs>
          <w:tab w:val="left" w:pos="851"/>
        </w:tabs>
        <w:ind w:left="851" w:hanging="851"/>
      </w:pPr>
    </w:p>
    <w:p w:rsidR="00A06F90" w:rsidRDefault="00A06F90" w:rsidP="00A06F90">
      <w:pPr>
        <w:tabs>
          <w:tab w:val="left" w:pos="851"/>
        </w:tabs>
        <w:ind w:left="851" w:hanging="851"/>
        <w:rPr>
          <w:i/>
        </w:rPr>
      </w:pPr>
      <w:r>
        <w:tab/>
      </w:r>
      <w:r>
        <w:rPr>
          <w:i/>
          <w:noProof/>
          <w:szCs w:val="22"/>
        </w:rPr>
        <w:t>Pædiatrisk population</w:t>
      </w:r>
    </w:p>
    <w:p w:rsidR="00A06F90" w:rsidRDefault="00A06F90" w:rsidP="00A06F90">
      <w:pPr>
        <w:tabs>
          <w:tab w:val="left" w:pos="851"/>
        </w:tabs>
        <w:ind w:left="851" w:hanging="851"/>
      </w:pPr>
      <w:r>
        <w:tab/>
      </w:r>
      <w:proofErr w:type="spellStart"/>
      <w:r>
        <w:t>Gemcitabin</w:t>
      </w:r>
      <w:proofErr w:type="spellEnd"/>
      <w:r>
        <w:t xml:space="preserve"> anbefales ikke til brug til børn under 18 år på grund af utilstrækkelig dokumentation for sikkerhed og virkning.</w:t>
      </w:r>
    </w:p>
    <w:p w:rsidR="00A06F90" w:rsidRDefault="00A06F90" w:rsidP="00A06F90">
      <w:pPr>
        <w:tabs>
          <w:tab w:val="left" w:pos="851"/>
        </w:tabs>
        <w:ind w:left="-229"/>
        <w:rPr>
          <w:b/>
        </w:rPr>
      </w:pPr>
    </w:p>
    <w:p w:rsidR="00A06F90" w:rsidRPr="00F20C01" w:rsidRDefault="00A06F90" w:rsidP="00A06F90">
      <w:pPr>
        <w:tabs>
          <w:tab w:val="left" w:pos="851"/>
        </w:tabs>
        <w:ind w:left="851" w:hanging="851"/>
        <w:rPr>
          <w:b/>
        </w:rPr>
      </w:pPr>
      <w:r>
        <w:rPr>
          <w:b/>
        </w:rPr>
        <w:tab/>
      </w:r>
      <w:r w:rsidRPr="00F20C01">
        <w:rPr>
          <w:b/>
        </w:rPr>
        <w:t>Administration</w:t>
      </w:r>
    </w:p>
    <w:p w:rsidR="00A06F90" w:rsidRDefault="00A06F90" w:rsidP="00A06F90">
      <w:pPr>
        <w:tabs>
          <w:tab w:val="left" w:pos="851"/>
        </w:tabs>
        <w:ind w:left="851" w:hanging="851"/>
      </w:pPr>
      <w:r>
        <w:tab/>
      </w:r>
      <w:proofErr w:type="spellStart"/>
      <w:r>
        <w:rPr>
          <w:lang w:val="da"/>
        </w:rPr>
        <w:t>Gemcitabin</w:t>
      </w:r>
      <w:proofErr w:type="spellEnd"/>
      <w:r>
        <w:rPr>
          <w:lang w:val="da"/>
        </w:rPr>
        <w:t xml:space="preserve"> "SUN" </w:t>
      </w:r>
      <w:r w:rsidRPr="004978FF">
        <w:rPr>
          <w:lang w:val="da"/>
        </w:rPr>
        <w:t>infusionsvæske</w:t>
      </w:r>
      <w:r>
        <w:rPr>
          <w:lang w:val="da"/>
        </w:rPr>
        <w:t>, opløsning</w:t>
      </w:r>
      <w:r w:rsidRPr="004978FF">
        <w:rPr>
          <w:lang w:val="da"/>
        </w:rPr>
        <w:t xml:space="preserve"> er kun til intravenøs anvendelse. </w:t>
      </w:r>
      <w:r>
        <w:rPr>
          <w:rStyle w:val="hps"/>
        </w:rPr>
        <w:t>Opløsningen</w:t>
      </w:r>
      <w:r>
        <w:t xml:space="preserve"> </w:t>
      </w:r>
      <w:r>
        <w:rPr>
          <w:rStyle w:val="hps"/>
        </w:rPr>
        <w:t>kan indgives direkte</w:t>
      </w:r>
      <w:r>
        <w:t xml:space="preserve"> </w:t>
      </w:r>
      <w:r>
        <w:rPr>
          <w:rStyle w:val="hps"/>
        </w:rPr>
        <w:t>til patienten</w:t>
      </w:r>
      <w:r>
        <w:t xml:space="preserve"> </w:t>
      </w:r>
      <w:r>
        <w:rPr>
          <w:rStyle w:val="hps"/>
        </w:rPr>
        <w:t>uden yderligere</w:t>
      </w:r>
      <w:r>
        <w:t xml:space="preserve"> </w:t>
      </w:r>
      <w:r>
        <w:rPr>
          <w:rStyle w:val="hps"/>
        </w:rPr>
        <w:t>forberedelse.</w:t>
      </w:r>
      <w:r w:rsidRPr="004978FF">
        <w:rPr>
          <w:lang w:val="da"/>
        </w:rPr>
        <w:t xml:space="preserve"> </w:t>
      </w:r>
      <w:proofErr w:type="spellStart"/>
      <w:r>
        <w:rPr>
          <w:lang w:val="da"/>
        </w:rPr>
        <w:t>Gemcitabin</w:t>
      </w:r>
      <w:proofErr w:type="spellEnd"/>
      <w:r>
        <w:rPr>
          <w:lang w:val="da"/>
        </w:rPr>
        <w:t xml:space="preserve"> "SUN" </w:t>
      </w:r>
      <w:r w:rsidRPr="004978FF">
        <w:rPr>
          <w:lang w:val="da"/>
        </w:rPr>
        <w:t>infusionsvæske</w:t>
      </w:r>
      <w:r>
        <w:rPr>
          <w:lang w:val="da"/>
        </w:rPr>
        <w:t>, opløsning</w:t>
      </w:r>
      <w:r w:rsidRPr="004978FF">
        <w:rPr>
          <w:lang w:val="da"/>
        </w:rPr>
        <w:t xml:space="preserve"> er kompatibel med IV-infusionssæt, når det administreres over en periode på 30 minutter. Kun til engangsbrug.</w:t>
      </w:r>
    </w:p>
    <w:p w:rsidR="00A06F90" w:rsidRDefault="00A06F90" w:rsidP="00A06F90">
      <w:pPr>
        <w:tabs>
          <w:tab w:val="left" w:pos="851"/>
        </w:tabs>
        <w:ind w:left="851" w:hanging="851"/>
      </w:pPr>
    </w:p>
    <w:p w:rsidR="00A06F90" w:rsidRPr="00FB065A" w:rsidRDefault="00A06F90" w:rsidP="00A06F90">
      <w:pPr>
        <w:tabs>
          <w:tab w:val="left" w:pos="851"/>
        </w:tabs>
        <w:ind w:left="851" w:hanging="851"/>
      </w:pPr>
      <w:r>
        <w:tab/>
      </w:r>
      <w:proofErr w:type="spellStart"/>
      <w:r w:rsidRPr="004978FF">
        <w:t>Gemcitabin</w:t>
      </w:r>
      <w:proofErr w:type="spellEnd"/>
      <w:r w:rsidRPr="004978FF">
        <w:t xml:space="preserve"> er veltolereret under infusion og kan indgives ambulant. Hvis der forekommer </w:t>
      </w:r>
      <w:proofErr w:type="spellStart"/>
      <w:r w:rsidRPr="004978FF">
        <w:t>ekstravasation</w:t>
      </w:r>
      <w:proofErr w:type="spellEnd"/>
      <w:r w:rsidRPr="004978FF">
        <w:t>, skal infusionen normalt stoppes med det samme og startes igen i et andet blodkar. Patienten skal monitoreres omhyggeligt efter indgivelsen.</w:t>
      </w:r>
    </w:p>
    <w:p w:rsidR="007B43B6" w:rsidRPr="00FB065A" w:rsidRDefault="007B43B6" w:rsidP="00A06F90">
      <w:pPr>
        <w:tabs>
          <w:tab w:val="left" w:pos="851"/>
        </w:tabs>
        <w:ind w:left="851" w:hanging="851"/>
      </w:pPr>
    </w:p>
    <w:p w:rsidR="007B43B6" w:rsidRPr="00C84483" w:rsidRDefault="007B43B6" w:rsidP="00276176">
      <w:pPr>
        <w:tabs>
          <w:tab w:val="left" w:pos="851"/>
        </w:tabs>
        <w:ind w:left="851" w:hanging="851"/>
        <w:rPr>
          <w:sz w:val="24"/>
          <w:szCs w:val="24"/>
        </w:rPr>
      </w:pPr>
      <w:r>
        <w:tab/>
      </w:r>
    </w:p>
    <w:p w:rsidR="007B43B6" w:rsidRPr="00C84483" w:rsidRDefault="007B43B6" w:rsidP="007B43B6">
      <w:pPr>
        <w:tabs>
          <w:tab w:val="left" w:pos="851"/>
        </w:tabs>
        <w:ind w:left="851" w:hanging="851"/>
        <w:rPr>
          <w:b/>
          <w:sz w:val="24"/>
          <w:szCs w:val="24"/>
        </w:rPr>
      </w:pPr>
      <w:r w:rsidRPr="00C84483">
        <w:rPr>
          <w:b/>
          <w:sz w:val="24"/>
          <w:szCs w:val="24"/>
        </w:rPr>
        <w:t>4.3</w:t>
      </w:r>
      <w:r w:rsidRPr="00C84483">
        <w:rPr>
          <w:b/>
          <w:sz w:val="24"/>
          <w:szCs w:val="24"/>
        </w:rPr>
        <w:tab/>
        <w:t>Kontraindikationer</w:t>
      </w:r>
    </w:p>
    <w:p w:rsidR="007B43B6" w:rsidRDefault="007B43B6" w:rsidP="007B43B6">
      <w:pPr>
        <w:tabs>
          <w:tab w:val="left" w:pos="851"/>
        </w:tabs>
        <w:ind w:left="851" w:hanging="851"/>
        <w:rPr>
          <w:color w:val="000000"/>
          <w:spacing w:val="-4"/>
        </w:rPr>
      </w:pPr>
      <w:r>
        <w:tab/>
      </w:r>
      <w:r w:rsidRPr="00FB065A">
        <w:rPr>
          <w:color w:val="000000"/>
          <w:spacing w:val="-4"/>
        </w:rPr>
        <w:t>Overfølsomhed over for det aktive stof eller over for et eller flere af hjælpestofferne</w:t>
      </w:r>
      <w:r w:rsidRPr="00BC6CD3">
        <w:t xml:space="preserve"> </w:t>
      </w:r>
      <w:r w:rsidRPr="00BC6CD3">
        <w:rPr>
          <w:color w:val="000000"/>
          <w:spacing w:val="-4"/>
        </w:rPr>
        <w:t>anført i pkt. 6.1</w:t>
      </w:r>
      <w:r w:rsidRPr="00FB065A">
        <w:rPr>
          <w:color w:val="000000"/>
          <w:spacing w:val="-4"/>
        </w:rPr>
        <w:t>.</w:t>
      </w:r>
    </w:p>
    <w:p w:rsidR="007B43B6" w:rsidRPr="00104C0B" w:rsidRDefault="007B43B6" w:rsidP="007B43B6">
      <w:pPr>
        <w:tabs>
          <w:tab w:val="left" w:pos="851"/>
        </w:tabs>
        <w:ind w:left="851" w:hanging="851"/>
      </w:pPr>
      <w:r>
        <w:rPr>
          <w:color w:val="000000"/>
          <w:spacing w:val="-4"/>
        </w:rPr>
        <w:tab/>
      </w:r>
      <w:r w:rsidRPr="00FB065A">
        <w:rPr>
          <w:color w:val="000000"/>
          <w:spacing w:val="-3"/>
        </w:rPr>
        <w:t>Amning</w:t>
      </w:r>
      <w:r>
        <w:rPr>
          <w:color w:val="000000"/>
          <w:spacing w:val="-3"/>
        </w:rPr>
        <w:t>: Se pkt. 4.6</w:t>
      </w:r>
      <w:r w:rsidRPr="00FB065A">
        <w:rPr>
          <w:color w:val="000000"/>
          <w:spacing w:val="-3"/>
        </w:rPr>
        <w:t>.</w:t>
      </w:r>
    </w:p>
    <w:p w:rsidR="007B43B6" w:rsidRPr="00C84483" w:rsidRDefault="007B43B6" w:rsidP="007B43B6">
      <w:pPr>
        <w:tabs>
          <w:tab w:val="left" w:pos="851"/>
        </w:tabs>
        <w:ind w:left="851"/>
        <w:rPr>
          <w:sz w:val="24"/>
          <w:szCs w:val="24"/>
        </w:rPr>
      </w:pPr>
    </w:p>
    <w:p w:rsidR="007B43B6" w:rsidRPr="00C84483" w:rsidRDefault="007B43B6" w:rsidP="007B43B6">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7B43B6" w:rsidRPr="00FB065A" w:rsidRDefault="007B43B6" w:rsidP="007B43B6">
      <w:pPr>
        <w:tabs>
          <w:tab w:val="left" w:pos="851"/>
        </w:tabs>
        <w:ind w:left="851" w:hanging="851"/>
        <w:rPr>
          <w:color w:val="000000"/>
          <w:spacing w:val="-3"/>
        </w:rPr>
      </w:pPr>
      <w:r>
        <w:tab/>
      </w:r>
      <w:r w:rsidRPr="00FB065A">
        <w:rPr>
          <w:color w:val="000000"/>
          <w:spacing w:val="-3"/>
        </w:rPr>
        <w:t>Forlænge</w:t>
      </w:r>
      <w:r>
        <w:rPr>
          <w:color w:val="000000"/>
          <w:spacing w:val="-3"/>
        </w:rPr>
        <w:t xml:space="preserve">lse af infusionstiden og øget </w:t>
      </w:r>
      <w:r w:rsidRPr="00FB065A">
        <w:rPr>
          <w:color w:val="000000"/>
          <w:spacing w:val="-3"/>
        </w:rPr>
        <w:t>doseringsfrekvens ha</w:t>
      </w:r>
      <w:r>
        <w:rPr>
          <w:color w:val="000000"/>
          <w:spacing w:val="-3"/>
        </w:rPr>
        <w:t>r</w:t>
      </w:r>
      <w:r w:rsidRPr="00FB065A">
        <w:rPr>
          <w:color w:val="000000"/>
          <w:spacing w:val="-3"/>
        </w:rPr>
        <w:t xml:space="preserve"> vist sig at øge toksiciteten. </w:t>
      </w:r>
    </w:p>
    <w:p w:rsidR="007B43B6" w:rsidRDefault="007B43B6" w:rsidP="007B43B6">
      <w:pPr>
        <w:tabs>
          <w:tab w:val="left" w:pos="851"/>
        </w:tabs>
        <w:ind w:left="851" w:hanging="851"/>
        <w:rPr>
          <w:color w:val="000000"/>
          <w:spacing w:val="-2"/>
        </w:rPr>
      </w:pPr>
    </w:p>
    <w:p w:rsidR="007B43B6" w:rsidRPr="00FB065A" w:rsidRDefault="007B43B6" w:rsidP="007B43B6">
      <w:pPr>
        <w:tabs>
          <w:tab w:val="left" w:pos="851"/>
        </w:tabs>
        <w:ind w:left="851" w:hanging="851"/>
      </w:pPr>
      <w:r>
        <w:rPr>
          <w:color w:val="000000"/>
          <w:spacing w:val="-2"/>
        </w:rPr>
        <w:tab/>
      </w:r>
      <w:r w:rsidRPr="00FB065A">
        <w:rPr>
          <w:color w:val="000000"/>
          <w:spacing w:val="-2"/>
          <w:u w:val="single"/>
        </w:rPr>
        <w:t>Hæmatologisk toksicitet</w:t>
      </w:r>
    </w:p>
    <w:p w:rsidR="007B43B6" w:rsidRPr="00FB065A" w:rsidRDefault="007B43B6" w:rsidP="007B43B6">
      <w:pPr>
        <w:tabs>
          <w:tab w:val="left" w:pos="851"/>
        </w:tabs>
        <w:ind w:left="851" w:hanging="851"/>
      </w:pPr>
      <w:r>
        <w:rPr>
          <w:color w:val="000000"/>
          <w:spacing w:val="-3"/>
        </w:rPr>
        <w:tab/>
      </w:r>
      <w:proofErr w:type="spellStart"/>
      <w:r w:rsidRPr="00FB065A">
        <w:rPr>
          <w:color w:val="000000"/>
          <w:spacing w:val="-3"/>
        </w:rPr>
        <w:t>Gemcitabin</w:t>
      </w:r>
      <w:proofErr w:type="spellEnd"/>
      <w:r w:rsidRPr="00FB065A">
        <w:rPr>
          <w:color w:val="000000"/>
          <w:spacing w:val="-3"/>
        </w:rPr>
        <w:t xml:space="preserve"> kan undertrykke knoglemarvsfunktionen, som viser sig ved </w:t>
      </w:r>
      <w:proofErr w:type="spellStart"/>
      <w:r w:rsidRPr="00FB065A">
        <w:rPr>
          <w:color w:val="000000"/>
          <w:spacing w:val="-3"/>
        </w:rPr>
        <w:t>leukopeni</w:t>
      </w:r>
      <w:proofErr w:type="spellEnd"/>
      <w:r w:rsidRPr="00FB065A">
        <w:rPr>
          <w:color w:val="000000"/>
          <w:spacing w:val="-3"/>
        </w:rPr>
        <w:t xml:space="preserve">, </w:t>
      </w:r>
      <w:proofErr w:type="spellStart"/>
      <w:r w:rsidRPr="00FB065A">
        <w:rPr>
          <w:color w:val="000000"/>
          <w:spacing w:val="-3"/>
        </w:rPr>
        <w:t>trombocytopeni</w:t>
      </w:r>
      <w:proofErr w:type="spellEnd"/>
      <w:r w:rsidRPr="00FB065A">
        <w:rPr>
          <w:color w:val="000000"/>
          <w:spacing w:val="-3"/>
        </w:rPr>
        <w:t xml:space="preserve"> og </w:t>
      </w:r>
      <w:r w:rsidRPr="00FB065A">
        <w:rPr>
          <w:color w:val="000000"/>
          <w:spacing w:val="-8"/>
        </w:rPr>
        <w:t>anæmi.</w:t>
      </w:r>
    </w:p>
    <w:p w:rsidR="007B43B6" w:rsidRDefault="007B43B6" w:rsidP="007B43B6">
      <w:pPr>
        <w:shd w:val="clear" w:color="auto" w:fill="FFFFFF"/>
        <w:tabs>
          <w:tab w:val="left" w:pos="567"/>
        </w:tabs>
        <w:spacing w:line="250" w:lineRule="exact"/>
        <w:ind w:left="14" w:right="605"/>
        <w:rPr>
          <w:color w:val="000000"/>
          <w:spacing w:val="-2"/>
        </w:rPr>
      </w:pPr>
    </w:p>
    <w:p w:rsidR="007B43B6" w:rsidRPr="00FB065A" w:rsidRDefault="007B43B6" w:rsidP="007B43B6">
      <w:pPr>
        <w:tabs>
          <w:tab w:val="left" w:pos="851"/>
        </w:tabs>
        <w:ind w:left="851" w:hanging="851"/>
        <w:rPr>
          <w:color w:val="000000"/>
          <w:spacing w:val="-3"/>
        </w:rPr>
      </w:pPr>
      <w:r>
        <w:rPr>
          <w:color w:val="000000"/>
          <w:spacing w:val="-2"/>
        </w:rPr>
        <w:tab/>
      </w:r>
      <w:r w:rsidRPr="00FB065A">
        <w:rPr>
          <w:color w:val="000000"/>
          <w:spacing w:val="-2"/>
        </w:rPr>
        <w:t xml:space="preserve">Patienter i behandling med </w:t>
      </w:r>
      <w:proofErr w:type="spellStart"/>
      <w:r w:rsidRPr="00FB065A">
        <w:rPr>
          <w:color w:val="000000"/>
          <w:spacing w:val="-2"/>
        </w:rPr>
        <w:t>gemcitabin</w:t>
      </w:r>
      <w:proofErr w:type="spellEnd"/>
      <w:r w:rsidRPr="00FB065A">
        <w:rPr>
          <w:color w:val="000000"/>
          <w:spacing w:val="-2"/>
        </w:rPr>
        <w:t xml:space="preserve"> skal have bestemt </w:t>
      </w:r>
      <w:proofErr w:type="spellStart"/>
      <w:r w:rsidRPr="00FB065A">
        <w:rPr>
          <w:color w:val="000000"/>
          <w:spacing w:val="-2"/>
        </w:rPr>
        <w:t>trombocyttal</w:t>
      </w:r>
      <w:proofErr w:type="spellEnd"/>
      <w:r w:rsidRPr="00FB065A">
        <w:rPr>
          <w:color w:val="000000"/>
          <w:spacing w:val="-2"/>
        </w:rPr>
        <w:t>, leukocyttal og granulocyttal før hver dosis. Afbrydelse eller ændring</w:t>
      </w:r>
      <w:r>
        <w:rPr>
          <w:color w:val="000000"/>
          <w:spacing w:val="-2"/>
        </w:rPr>
        <w:t xml:space="preserve"> af behandlingen skal overvejes, når </w:t>
      </w:r>
      <w:r w:rsidRPr="00FB065A">
        <w:rPr>
          <w:color w:val="000000"/>
          <w:spacing w:val="-2"/>
        </w:rPr>
        <w:t xml:space="preserve">lægemiddelinduceret knoglemarvsdepression bliver påvist (se pkt. 4.2). </w:t>
      </w:r>
      <w:proofErr w:type="spellStart"/>
      <w:r w:rsidRPr="00FB065A">
        <w:rPr>
          <w:color w:val="000000"/>
          <w:spacing w:val="-2"/>
        </w:rPr>
        <w:t>Myelosuppression</w:t>
      </w:r>
      <w:proofErr w:type="spellEnd"/>
      <w:r w:rsidRPr="00FB065A">
        <w:rPr>
          <w:color w:val="000000"/>
          <w:spacing w:val="-2"/>
        </w:rPr>
        <w:t xml:space="preserve"> er dog kortvarig og fører normalt </w:t>
      </w:r>
      <w:r w:rsidRPr="00FB065A">
        <w:rPr>
          <w:color w:val="000000"/>
          <w:spacing w:val="-3"/>
        </w:rPr>
        <w:t xml:space="preserve">ikke til dosisreduktion og sjældent til </w:t>
      </w:r>
      <w:proofErr w:type="spellStart"/>
      <w:r w:rsidRPr="00FB065A">
        <w:rPr>
          <w:color w:val="000000"/>
          <w:spacing w:val="-3"/>
        </w:rPr>
        <w:t>seponering</w:t>
      </w:r>
      <w:proofErr w:type="spellEnd"/>
      <w:r w:rsidRPr="00FB065A">
        <w:rPr>
          <w:color w:val="000000"/>
          <w:spacing w:val="-3"/>
        </w:rPr>
        <w:t>.</w:t>
      </w:r>
    </w:p>
    <w:p w:rsidR="007B43B6" w:rsidRPr="00FB065A" w:rsidRDefault="007B43B6" w:rsidP="007B43B6">
      <w:pPr>
        <w:shd w:val="clear" w:color="auto" w:fill="FFFFFF"/>
        <w:tabs>
          <w:tab w:val="left" w:pos="567"/>
        </w:tabs>
        <w:spacing w:line="250" w:lineRule="exact"/>
        <w:ind w:left="14" w:right="605"/>
        <w:rPr>
          <w:color w:val="000000"/>
          <w:spacing w:val="-4"/>
        </w:rPr>
      </w:pPr>
    </w:p>
    <w:p w:rsidR="007B43B6" w:rsidRPr="00FB065A" w:rsidRDefault="007B43B6" w:rsidP="007B43B6">
      <w:pPr>
        <w:tabs>
          <w:tab w:val="left" w:pos="851"/>
        </w:tabs>
        <w:ind w:left="851" w:hanging="851"/>
      </w:pPr>
      <w:r>
        <w:rPr>
          <w:color w:val="000000"/>
          <w:spacing w:val="-2"/>
        </w:rPr>
        <w:tab/>
      </w:r>
      <w:r w:rsidRPr="00AF4084">
        <w:rPr>
          <w:color w:val="000000"/>
          <w:spacing w:val="-2"/>
        </w:rPr>
        <w:t>Perifere</w:t>
      </w:r>
      <w:r w:rsidRPr="00FB065A">
        <w:rPr>
          <w:color w:val="000000"/>
          <w:spacing w:val="-4"/>
        </w:rPr>
        <w:t xml:space="preserve"> blodværdier kan fortsat forværres efter ophør med </w:t>
      </w:r>
      <w:proofErr w:type="spellStart"/>
      <w:r w:rsidRPr="00FB065A">
        <w:rPr>
          <w:color w:val="000000"/>
          <w:spacing w:val="-4"/>
        </w:rPr>
        <w:t>gemcitabinbehandling</w:t>
      </w:r>
      <w:proofErr w:type="spellEnd"/>
      <w:r w:rsidRPr="00FB065A">
        <w:rPr>
          <w:color w:val="000000"/>
          <w:spacing w:val="-4"/>
        </w:rPr>
        <w:t xml:space="preserve">. Behandlingen skal </w:t>
      </w:r>
      <w:r w:rsidRPr="00FB065A">
        <w:rPr>
          <w:color w:val="000000"/>
          <w:spacing w:val="-3"/>
        </w:rPr>
        <w:t>startes med forsigtighed hos patienter med nedsat knoglemarvsfunktion.</w:t>
      </w:r>
    </w:p>
    <w:p w:rsidR="007B43B6" w:rsidRPr="00FB065A" w:rsidRDefault="007B43B6" w:rsidP="007B43B6">
      <w:pPr>
        <w:tabs>
          <w:tab w:val="left" w:pos="851"/>
        </w:tabs>
        <w:ind w:left="851" w:hanging="851"/>
      </w:pPr>
      <w:r>
        <w:rPr>
          <w:color w:val="000000"/>
          <w:spacing w:val="-4"/>
        </w:rPr>
        <w:tab/>
      </w:r>
      <w:r w:rsidRPr="00FB065A">
        <w:rPr>
          <w:color w:val="000000"/>
          <w:spacing w:val="-4"/>
        </w:rPr>
        <w:t xml:space="preserve">Risikoen for kumulativ knoglemarvssuppression skal overvejes som med andre </w:t>
      </w:r>
      <w:proofErr w:type="spellStart"/>
      <w:r w:rsidRPr="00FB065A">
        <w:rPr>
          <w:color w:val="000000"/>
          <w:spacing w:val="-4"/>
        </w:rPr>
        <w:t>cytotoksiske</w:t>
      </w:r>
      <w:proofErr w:type="spellEnd"/>
      <w:r w:rsidRPr="00FB065A">
        <w:rPr>
          <w:color w:val="000000"/>
          <w:spacing w:val="-4"/>
        </w:rPr>
        <w:t xml:space="preserve"> behandlinger, </w:t>
      </w:r>
      <w:r w:rsidRPr="00FB065A">
        <w:rPr>
          <w:color w:val="000000"/>
          <w:spacing w:val="-3"/>
        </w:rPr>
        <w:t xml:space="preserve">når </w:t>
      </w:r>
      <w:proofErr w:type="spellStart"/>
      <w:r w:rsidRPr="00FB065A">
        <w:rPr>
          <w:color w:val="000000"/>
          <w:spacing w:val="-3"/>
        </w:rPr>
        <w:t>gemcitabin</w:t>
      </w:r>
      <w:proofErr w:type="spellEnd"/>
      <w:r w:rsidRPr="00FB065A">
        <w:rPr>
          <w:color w:val="000000"/>
          <w:spacing w:val="-3"/>
        </w:rPr>
        <w:t xml:space="preserve"> gives sammen med anden kemoterapi.</w:t>
      </w:r>
      <w:r>
        <w:rPr>
          <w:color w:val="000000"/>
          <w:spacing w:val="-3"/>
        </w:rPr>
        <w:br/>
      </w:r>
    </w:p>
    <w:p w:rsidR="007B43B6" w:rsidRPr="00FB065A" w:rsidRDefault="007B43B6" w:rsidP="007B43B6">
      <w:pPr>
        <w:tabs>
          <w:tab w:val="left" w:pos="851"/>
        </w:tabs>
        <w:ind w:left="851" w:hanging="851"/>
      </w:pPr>
      <w:r>
        <w:rPr>
          <w:color w:val="000000"/>
          <w:spacing w:val="-3"/>
        </w:rPr>
        <w:tab/>
      </w:r>
      <w:r>
        <w:rPr>
          <w:color w:val="000000"/>
          <w:spacing w:val="-3"/>
          <w:u w:val="single"/>
        </w:rPr>
        <w:t>Nedsat l</w:t>
      </w:r>
      <w:r w:rsidRPr="00FB065A">
        <w:rPr>
          <w:color w:val="000000"/>
          <w:spacing w:val="-3"/>
          <w:u w:val="single"/>
        </w:rPr>
        <w:t>ever</w:t>
      </w:r>
      <w:r>
        <w:rPr>
          <w:color w:val="000000"/>
          <w:spacing w:val="-3"/>
          <w:u w:val="single"/>
        </w:rPr>
        <w:t>- og nyrefunktion</w:t>
      </w:r>
    </w:p>
    <w:p w:rsidR="007B43B6" w:rsidRDefault="007B43B6" w:rsidP="007B43B6">
      <w:pPr>
        <w:tabs>
          <w:tab w:val="left" w:pos="851"/>
        </w:tabs>
        <w:ind w:left="851" w:hanging="851"/>
        <w:rPr>
          <w:color w:val="000000"/>
          <w:spacing w:val="-2"/>
        </w:rPr>
      </w:pPr>
      <w:r>
        <w:rPr>
          <w:color w:val="000000"/>
          <w:spacing w:val="-2"/>
        </w:rPr>
        <w:tab/>
      </w:r>
      <w:proofErr w:type="spellStart"/>
      <w:r w:rsidRPr="00DA6571">
        <w:rPr>
          <w:color w:val="000000"/>
          <w:spacing w:val="-2"/>
        </w:rPr>
        <w:t>Gemcitabin</w:t>
      </w:r>
      <w:proofErr w:type="spellEnd"/>
      <w:r w:rsidRPr="00DA6571">
        <w:rPr>
          <w:color w:val="000000"/>
          <w:spacing w:val="-2"/>
        </w:rPr>
        <w:t xml:space="preserve"> bør anvendes med forsigtighed til patienter med nedsat lever- eller nyrefunktion, da data fra kliniske forsøg ikke er tilstrækkelige til at fastsætte entydige dosisrekommandationer til denne patientpopulation (se pkt. 4.2).</w:t>
      </w:r>
    </w:p>
    <w:p w:rsidR="007B43B6" w:rsidRDefault="007B43B6" w:rsidP="007B43B6">
      <w:pPr>
        <w:shd w:val="clear" w:color="auto" w:fill="FFFFFF"/>
        <w:tabs>
          <w:tab w:val="left" w:pos="567"/>
        </w:tabs>
        <w:spacing w:line="250" w:lineRule="exact"/>
        <w:ind w:left="10" w:right="605"/>
        <w:rPr>
          <w:color w:val="000000"/>
          <w:spacing w:val="-2"/>
        </w:rPr>
      </w:pPr>
    </w:p>
    <w:p w:rsidR="007B43B6" w:rsidRPr="00FB065A" w:rsidRDefault="007B43B6" w:rsidP="007B43B6">
      <w:pPr>
        <w:tabs>
          <w:tab w:val="left" w:pos="851"/>
        </w:tabs>
        <w:ind w:left="851" w:hanging="851"/>
        <w:rPr>
          <w:color w:val="000000"/>
          <w:spacing w:val="-2"/>
        </w:rPr>
      </w:pPr>
      <w:r>
        <w:rPr>
          <w:color w:val="000000"/>
          <w:spacing w:val="-2"/>
        </w:rPr>
        <w:lastRenderedPageBreak/>
        <w:tab/>
      </w:r>
      <w:r w:rsidRPr="00FB065A">
        <w:rPr>
          <w:color w:val="000000"/>
          <w:spacing w:val="-2"/>
        </w:rPr>
        <w:t xml:space="preserve">Administration af </w:t>
      </w:r>
      <w:proofErr w:type="spellStart"/>
      <w:r w:rsidRPr="00FB065A">
        <w:rPr>
          <w:color w:val="000000"/>
          <w:spacing w:val="-2"/>
        </w:rPr>
        <w:t>gemcitabin</w:t>
      </w:r>
      <w:proofErr w:type="spellEnd"/>
      <w:r w:rsidRPr="00FB065A">
        <w:rPr>
          <w:color w:val="000000"/>
          <w:spacing w:val="-2"/>
        </w:rPr>
        <w:t xml:space="preserve"> til patienter, som samtidig har levermetastaser eller tidligere har haft hepatitis, alkoholisme eller levercirrose, kan føre til forværring af den tilgrundliggende lever</w:t>
      </w:r>
      <w:r w:rsidRPr="00DA6571">
        <w:rPr>
          <w:color w:val="000000"/>
          <w:spacing w:val="-2"/>
        </w:rPr>
        <w:t>funktionsnedsættelse</w:t>
      </w:r>
      <w:r w:rsidRPr="00FB065A">
        <w:rPr>
          <w:color w:val="000000"/>
          <w:spacing w:val="-2"/>
        </w:rPr>
        <w:t xml:space="preserve">. </w:t>
      </w:r>
    </w:p>
    <w:p w:rsidR="007B43B6" w:rsidRPr="00FB065A" w:rsidRDefault="007B43B6" w:rsidP="007B43B6">
      <w:pPr>
        <w:shd w:val="clear" w:color="auto" w:fill="FFFFFF"/>
        <w:tabs>
          <w:tab w:val="left" w:pos="567"/>
        </w:tabs>
        <w:spacing w:line="250" w:lineRule="exact"/>
        <w:ind w:left="10" w:right="605"/>
        <w:rPr>
          <w:color w:val="000000"/>
          <w:spacing w:val="-2"/>
        </w:rPr>
      </w:pPr>
    </w:p>
    <w:p w:rsidR="007B43B6" w:rsidRDefault="007B43B6" w:rsidP="007B43B6">
      <w:pPr>
        <w:tabs>
          <w:tab w:val="left" w:pos="851"/>
        </w:tabs>
        <w:ind w:left="851" w:hanging="851"/>
        <w:rPr>
          <w:color w:val="000000"/>
          <w:spacing w:val="-3"/>
        </w:rPr>
      </w:pPr>
      <w:r>
        <w:rPr>
          <w:color w:val="000000"/>
          <w:spacing w:val="-3"/>
        </w:rPr>
        <w:tab/>
      </w:r>
      <w:r w:rsidRPr="00FB065A">
        <w:rPr>
          <w:color w:val="000000"/>
          <w:spacing w:val="-3"/>
        </w:rPr>
        <w:t>Laboratoriemåling af nyre- og leverfunktion (inklusive virologiske tests) bør foretages regelmæssigt.</w:t>
      </w:r>
    </w:p>
    <w:p w:rsidR="007B43B6" w:rsidRPr="00FB065A" w:rsidRDefault="007B43B6" w:rsidP="007B43B6">
      <w:pPr>
        <w:tabs>
          <w:tab w:val="left" w:pos="851"/>
        </w:tabs>
        <w:ind w:left="851" w:hanging="851"/>
      </w:pPr>
    </w:p>
    <w:p w:rsidR="007B43B6" w:rsidRPr="00FB065A" w:rsidRDefault="007B43B6" w:rsidP="007B43B6">
      <w:pPr>
        <w:tabs>
          <w:tab w:val="left" w:pos="851"/>
        </w:tabs>
        <w:ind w:left="851" w:hanging="851"/>
      </w:pPr>
      <w:r>
        <w:rPr>
          <w:color w:val="000000"/>
          <w:spacing w:val="-3"/>
        </w:rPr>
        <w:tab/>
      </w:r>
      <w:r w:rsidRPr="00FB065A">
        <w:rPr>
          <w:color w:val="000000"/>
          <w:spacing w:val="-3"/>
          <w:u w:val="single"/>
        </w:rPr>
        <w:t>Samtidig røntgenbehandling</w:t>
      </w:r>
    </w:p>
    <w:p w:rsidR="007B43B6" w:rsidRPr="00FB065A" w:rsidRDefault="007B43B6" w:rsidP="007B43B6">
      <w:pPr>
        <w:tabs>
          <w:tab w:val="left" w:pos="851"/>
        </w:tabs>
        <w:ind w:left="851" w:hanging="851"/>
      </w:pPr>
      <w:r>
        <w:rPr>
          <w:color w:val="000000"/>
          <w:spacing w:val="-3"/>
        </w:rPr>
        <w:tab/>
      </w:r>
      <w:r w:rsidRPr="00FB065A">
        <w:rPr>
          <w:color w:val="000000"/>
          <w:spacing w:val="-3"/>
        </w:rPr>
        <w:t>Samtidig røntgenbehandling (givet samtidig eller</w:t>
      </w:r>
      <w:r>
        <w:rPr>
          <w:color w:val="000000"/>
          <w:spacing w:val="-3"/>
        </w:rPr>
        <w:t xml:space="preserve"> med</w:t>
      </w:r>
      <w:r w:rsidRPr="00FB065A">
        <w:rPr>
          <w:color w:val="000000"/>
          <w:spacing w:val="-3"/>
        </w:rPr>
        <w:t xml:space="preserve"> </w:t>
      </w:r>
      <w:r w:rsidRPr="00FB065A">
        <w:rPr>
          <w:color w:val="000000"/>
          <w:spacing w:val="-3"/>
        </w:rPr>
        <w:sym w:font="Symbol" w:char="F0A3"/>
      </w:r>
      <w:r w:rsidRPr="00FB065A">
        <w:rPr>
          <w:color w:val="000000"/>
          <w:spacing w:val="-3"/>
        </w:rPr>
        <w:t xml:space="preserve"> 7 dage</w:t>
      </w:r>
      <w:r>
        <w:rPr>
          <w:color w:val="000000"/>
          <w:spacing w:val="-3"/>
        </w:rPr>
        <w:t>s mellemrum</w:t>
      </w:r>
      <w:r w:rsidRPr="00FB065A">
        <w:rPr>
          <w:color w:val="000000"/>
          <w:spacing w:val="-3"/>
        </w:rPr>
        <w:t>): Toksici</w:t>
      </w:r>
      <w:r>
        <w:rPr>
          <w:color w:val="000000"/>
          <w:spacing w:val="-3"/>
        </w:rPr>
        <w:t>tet er rapporteret (se pkt. 4.5).</w:t>
      </w:r>
    </w:p>
    <w:p w:rsidR="007B43B6" w:rsidRDefault="007B43B6" w:rsidP="007B43B6">
      <w:pPr>
        <w:tabs>
          <w:tab w:val="left" w:pos="851"/>
        </w:tabs>
        <w:ind w:left="1304" w:hanging="1304"/>
        <w:rPr>
          <w:color w:val="000000"/>
          <w:spacing w:val="-3"/>
        </w:rPr>
      </w:pPr>
    </w:p>
    <w:p w:rsidR="00A06F90" w:rsidRPr="00FB065A" w:rsidRDefault="007B43B6" w:rsidP="00A06F90">
      <w:pPr>
        <w:tabs>
          <w:tab w:val="left" w:pos="851"/>
        </w:tabs>
        <w:ind w:left="1304" w:hanging="1304"/>
      </w:pPr>
      <w:r>
        <w:rPr>
          <w:color w:val="000000"/>
          <w:spacing w:val="-3"/>
        </w:rPr>
        <w:tab/>
      </w:r>
      <w:r w:rsidR="00A06F90" w:rsidRPr="00FB065A">
        <w:rPr>
          <w:color w:val="000000"/>
          <w:spacing w:val="-3"/>
          <w:u w:val="single"/>
        </w:rPr>
        <w:t>Levende vacciner</w:t>
      </w:r>
    </w:p>
    <w:p w:rsidR="00A06F90" w:rsidRPr="00FB065A" w:rsidRDefault="00A06F90" w:rsidP="00A06F90">
      <w:pPr>
        <w:tabs>
          <w:tab w:val="left" w:pos="851"/>
        </w:tabs>
        <w:ind w:left="851" w:hanging="851"/>
      </w:pPr>
      <w:r>
        <w:rPr>
          <w:color w:val="000000"/>
          <w:spacing w:val="-2"/>
        </w:rPr>
        <w:tab/>
      </w:r>
      <w:r w:rsidRPr="00FB065A">
        <w:rPr>
          <w:color w:val="000000"/>
          <w:spacing w:val="-2"/>
        </w:rPr>
        <w:t xml:space="preserve">Gul feber vaccine og andre levende, svækkede vacciner anbefales ikke til patienter i behandling med </w:t>
      </w:r>
      <w:proofErr w:type="spellStart"/>
      <w:r w:rsidRPr="00FB065A">
        <w:rPr>
          <w:color w:val="000000"/>
          <w:spacing w:val="-3"/>
        </w:rPr>
        <w:t>gemcitabin</w:t>
      </w:r>
      <w:proofErr w:type="spellEnd"/>
      <w:r>
        <w:rPr>
          <w:color w:val="000000"/>
          <w:spacing w:val="-3"/>
        </w:rPr>
        <w:t xml:space="preserve"> </w:t>
      </w:r>
      <w:r w:rsidRPr="00FB065A">
        <w:rPr>
          <w:color w:val="000000"/>
          <w:spacing w:val="-3"/>
        </w:rPr>
        <w:t>(se pkt. 4.5).</w:t>
      </w:r>
    </w:p>
    <w:p w:rsidR="00A06F90" w:rsidRDefault="00A06F90" w:rsidP="00A06F90">
      <w:pPr>
        <w:shd w:val="clear" w:color="auto" w:fill="FFFFFF"/>
        <w:tabs>
          <w:tab w:val="left" w:pos="567"/>
        </w:tabs>
        <w:spacing w:line="245" w:lineRule="exact"/>
        <w:ind w:left="10" w:right="605"/>
        <w:rPr>
          <w:color w:val="000000"/>
          <w:spacing w:val="-2"/>
          <w:u w:val="single"/>
        </w:rPr>
      </w:pPr>
    </w:p>
    <w:p w:rsidR="00A06F90" w:rsidRPr="00AF4084" w:rsidRDefault="00A06F90" w:rsidP="00A06F90">
      <w:pPr>
        <w:tabs>
          <w:tab w:val="left" w:pos="851"/>
        </w:tabs>
        <w:ind w:left="1304" w:hanging="1304"/>
        <w:rPr>
          <w:color w:val="000000"/>
          <w:spacing w:val="-2"/>
          <w:u w:val="single"/>
        </w:rPr>
      </w:pPr>
      <w:r w:rsidRPr="00AF4084">
        <w:rPr>
          <w:color w:val="000000"/>
          <w:spacing w:val="-3"/>
        </w:rPr>
        <w:tab/>
      </w:r>
      <w:proofErr w:type="spellStart"/>
      <w:r w:rsidRPr="00AF4084">
        <w:rPr>
          <w:color w:val="000000"/>
          <w:spacing w:val="-3"/>
          <w:u w:val="single"/>
        </w:rPr>
        <w:t>Posterior</w:t>
      </w:r>
      <w:proofErr w:type="spellEnd"/>
      <w:r w:rsidRPr="00AF4084">
        <w:rPr>
          <w:color w:val="000000"/>
          <w:spacing w:val="-2"/>
          <w:u w:val="single"/>
        </w:rPr>
        <w:t xml:space="preserve"> reversibel encefalopati syndrom</w:t>
      </w:r>
    </w:p>
    <w:p w:rsidR="00A06F90" w:rsidRDefault="00A06F90" w:rsidP="00A06F90">
      <w:pPr>
        <w:tabs>
          <w:tab w:val="left" w:pos="851"/>
        </w:tabs>
        <w:ind w:left="851" w:hanging="851"/>
        <w:rPr>
          <w:color w:val="000000"/>
          <w:spacing w:val="-2"/>
        </w:rPr>
      </w:pPr>
      <w:r>
        <w:rPr>
          <w:color w:val="000000"/>
          <w:spacing w:val="-2"/>
        </w:rPr>
        <w:tab/>
      </w:r>
      <w:r w:rsidRPr="00DA6571">
        <w:rPr>
          <w:color w:val="000000"/>
          <w:spacing w:val="-2"/>
        </w:rPr>
        <w:t xml:space="preserve">Hos patienter, der fik </w:t>
      </w:r>
      <w:proofErr w:type="spellStart"/>
      <w:r w:rsidRPr="00DA6571">
        <w:rPr>
          <w:color w:val="000000"/>
          <w:spacing w:val="-2"/>
        </w:rPr>
        <w:t>gemcitabin</w:t>
      </w:r>
      <w:proofErr w:type="spellEnd"/>
      <w:r w:rsidRPr="00DA6571">
        <w:rPr>
          <w:color w:val="000000"/>
          <w:spacing w:val="-2"/>
        </w:rPr>
        <w:t xml:space="preserve"> alene eller i kombination med andre kemoterapeutika, er der indberettet tilfælde af </w:t>
      </w:r>
      <w:proofErr w:type="spellStart"/>
      <w:r w:rsidRPr="00DA6571">
        <w:rPr>
          <w:color w:val="000000"/>
          <w:spacing w:val="-2"/>
        </w:rPr>
        <w:t>posterior</w:t>
      </w:r>
      <w:proofErr w:type="spellEnd"/>
      <w:r w:rsidRPr="00DA6571">
        <w:rPr>
          <w:color w:val="000000"/>
          <w:spacing w:val="-2"/>
        </w:rPr>
        <w:t xml:space="preserve"> reversibel encefalopati syndrom (PRES) med potentielt alvorlige konsekvenser. Akut hypertension og krampeanfald blev indberettet for de fleste af de </w:t>
      </w:r>
      <w:proofErr w:type="spellStart"/>
      <w:r w:rsidRPr="00DA6571">
        <w:rPr>
          <w:color w:val="000000"/>
          <w:spacing w:val="-2"/>
        </w:rPr>
        <w:t>gemcitabinpatienter</w:t>
      </w:r>
      <w:proofErr w:type="spellEnd"/>
      <w:r w:rsidRPr="00DA6571">
        <w:rPr>
          <w:color w:val="000000"/>
          <w:spacing w:val="-2"/>
        </w:rPr>
        <w:t xml:space="preserve">, der fik PRES, men andre symptomer så som hovedpine, letargi, forvirring og blindhed kan også være til stede. Optimalt skal diagnosen bekræftes ved magnetisk resonans skanning (MR). PRES var typisk reversibel ved den rette understøttende behandling. Hvis der udvikles PRES under behandling med </w:t>
      </w:r>
      <w:proofErr w:type="spellStart"/>
      <w:r w:rsidRPr="00DA6571">
        <w:rPr>
          <w:color w:val="000000"/>
          <w:spacing w:val="-2"/>
        </w:rPr>
        <w:t>gemcitabin</w:t>
      </w:r>
      <w:proofErr w:type="spellEnd"/>
      <w:r w:rsidRPr="00DA6571">
        <w:rPr>
          <w:color w:val="000000"/>
          <w:spacing w:val="-2"/>
        </w:rPr>
        <w:t xml:space="preserve">, skal </w:t>
      </w:r>
      <w:proofErr w:type="spellStart"/>
      <w:r w:rsidRPr="00DA6571">
        <w:rPr>
          <w:color w:val="000000"/>
          <w:spacing w:val="-2"/>
        </w:rPr>
        <w:t>gemcitabinbehandlingen</w:t>
      </w:r>
      <w:proofErr w:type="spellEnd"/>
      <w:r w:rsidRPr="00DA6571">
        <w:rPr>
          <w:color w:val="000000"/>
          <w:spacing w:val="-2"/>
        </w:rPr>
        <w:t xml:space="preserve"> ophøre permanent og understøttende behandling skal implementeres, inklusive blodtrykskontrol og behandling mod krampeanfald.</w:t>
      </w:r>
    </w:p>
    <w:p w:rsidR="00A06F90" w:rsidRDefault="00A06F90" w:rsidP="00A06F90">
      <w:pPr>
        <w:rPr>
          <w:color w:val="000000"/>
          <w:spacing w:val="-2"/>
        </w:rPr>
      </w:pPr>
    </w:p>
    <w:p w:rsidR="00A06F90" w:rsidRPr="00467C10" w:rsidRDefault="00A06F90" w:rsidP="00A06F90">
      <w:pPr>
        <w:ind w:firstLine="851"/>
        <w:rPr>
          <w:color w:val="000000"/>
          <w:spacing w:val="-2"/>
        </w:rPr>
      </w:pPr>
      <w:proofErr w:type="spellStart"/>
      <w:r w:rsidRPr="00FB065A">
        <w:rPr>
          <w:color w:val="000000"/>
          <w:spacing w:val="-2"/>
          <w:u w:val="single"/>
        </w:rPr>
        <w:t>Kardiovaskulært</w:t>
      </w:r>
      <w:proofErr w:type="spellEnd"/>
    </w:p>
    <w:p w:rsidR="00A06F90" w:rsidRPr="00FB065A" w:rsidRDefault="00A06F90" w:rsidP="00A06F90">
      <w:pPr>
        <w:tabs>
          <w:tab w:val="left" w:pos="851"/>
        </w:tabs>
        <w:ind w:left="851" w:hanging="851"/>
      </w:pPr>
      <w:r>
        <w:rPr>
          <w:color w:val="000000"/>
          <w:spacing w:val="-2"/>
        </w:rPr>
        <w:tab/>
      </w:r>
      <w:r w:rsidRPr="00FB065A">
        <w:rPr>
          <w:color w:val="000000"/>
          <w:spacing w:val="-2"/>
        </w:rPr>
        <w:t xml:space="preserve">På grund af risikoen for hjerte og/eller </w:t>
      </w:r>
      <w:proofErr w:type="spellStart"/>
      <w:r w:rsidRPr="00FB065A">
        <w:rPr>
          <w:color w:val="000000"/>
          <w:spacing w:val="-2"/>
        </w:rPr>
        <w:t>vaskulære</w:t>
      </w:r>
      <w:proofErr w:type="spellEnd"/>
      <w:r w:rsidRPr="00FB065A">
        <w:rPr>
          <w:color w:val="000000"/>
          <w:spacing w:val="-2"/>
        </w:rPr>
        <w:t xml:space="preserve"> </w:t>
      </w:r>
      <w:r>
        <w:rPr>
          <w:color w:val="000000"/>
          <w:spacing w:val="-2"/>
        </w:rPr>
        <w:t xml:space="preserve">lidelser ved brug af </w:t>
      </w:r>
      <w:proofErr w:type="spellStart"/>
      <w:r>
        <w:rPr>
          <w:color w:val="000000"/>
          <w:spacing w:val="-2"/>
        </w:rPr>
        <w:t>gemcitabin</w:t>
      </w:r>
      <w:proofErr w:type="spellEnd"/>
      <w:r>
        <w:rPr>
          <w:color w:val="000000"/>
          <w:spacing w:val="-2"/>
        </w:rPr>
        <w:t xml:space="preserve"> skal der udvises</w:t>
      </w:r>
      <w:r w:rsidRPr="00FB065A">
        <w:rPr>
          <w:color w:val="000000"/>
          <w:spacing w:val="-2"/>
        </w:rPr>
        <w:t xml:space="preserve"> særlig </w:t>
      </w:r>
      <w:r w:rsidRPr="00FB065A">
        <w:rPr>
          <w:color w:val="000000"/>
          <w:spacing w:val="-3"/>
        </w:rPr>
        <w:t>for</w:t>
      </w:r>
      <w:r>
        <w:rPr>
          <w:color w:val="000000"/>
          <w:spacing w:val="-3"/>
        </w:rPr>
        <w:t>sigtighed</w:t>
      </w:r>
      <w:r w:rsidRPr="00FB065A">
        <w:rPr>
          <w:color w:val="000000"/>
          <w:spacing w:val="-3"/>
        </w:rPr>
        <w:t xml:space="preserve"> ved behandling af patienter med </w:t>
      </w:r>
      <w:proofErr w:type="spellStart"/>
      <w:r w:rsidRPr="00FB065A">
        <w:rPr>
          <w:color w:val="000000"/>
          <w:spacing w:val="-3"/>
        </w:rPr>
        <w:t>kardiovaskulære</w:t>
      </w:r>
      <w:proofErr w:type="spellEnd"/>
      <w:r w:rsidRPr="00FB065A">
        <w:rPr>
          <w:color w:val="000000"/>
          <w:spacing w:val="-3"/>
        </w:rPr>
        <w:t xml:space="preserve"> tilfælde i </w:t>
      </w:r>
      <w:proofErr w:type="spellStart"/>
      <w:r w:rsidRPr="00FB065A">
        <w:rPr>
          <w:color w:val="000000"/>
          <w:spacing w:val="-3"/>
        </w:rPr>
        <w:t>anmnesen</w:t>
      </w:r>
      <w:proofErr w:type="spellEnd"/>
      <w:r w:rsidRPr="00FB065A">
        <w:rPr>
          <w:color w:val="000000"/>
          <w:spacing w:val="-3"/>
        </w:rPr>
        <w:t>.</w:t>
      </w:r>
    </w:p>
    <w:p w:rsidR="00A06F90" w:rsidRDefault="00A06F90" w:rsidP="00A06F90">
      <w:pPr>
        <w:shd w:val="clear" w:color="auto" w:fill="FFFFFF"/>
        <w:tabs>
          <w:tab w:val="left" w:pos="567"/>
        </w:tabs>
        <w:spacing w:line="245" w:lineRule="exact"/>
        <w:ind w:left="14" w:right="605"/>
        <w:rPr>
          <w:color w:val="000000"/>
          <w:spacing w:val="-3"/>
          <w:u w:val="single"/>
        </w:rPr>
      </w:pPr>
    </w:p>
    <w:p w:rsidR="00A06F90" w:rsidRPr="008877D7" w:rsidRDefault="00A06F90" w:rsidP="00A06F90">
      <w:pPr>
        <w:tabs>
          <w:tab w:val="left" w:pos="851"/>
        </w:tabs>
        <w:ind w:left="1304" w:hanging="1304"/>
        <w:rPr>
          <w:i/>
        </w:rPr>
      </w:pPr>
      <w:r>
        <w:rPr>
          <w:color w:val="000000"/>
          <w:spacing w:val="-2"/>
        </w:rPr>
        <w:tab/>
      </w:r>
      <w:proofErr w:type="spellStart"/>
      <w:r w:rsidRPr="008877D7">
        <w:rPr>
          <w:i/>
          <w:color w:val="000000"/>
          <w:spacing w:val="-2"/>
        </w:rPr>
        <w:t>Kapillær</w:t>
      </w:r>
      <w:proofErr w:type="spellEnd"/>
      <w:r w:rsidRPr="008877D7">
        <w:rPr>
          <w:i/>
        </w:rPr>
        <w:t xml:space="preserve"> lækage-syndrom</w:t>
      </w:r>
    </w:p>
    <w:p w:rsidR="00A06F90" w:rsidRPr="008F3110" w:rsidRDefault="00A06F90" w:rsidP="00A06F90">
      <w:pPr>
        <w:tabs>
          <w:tab w:val="left" w:pos="851"/>
        </w:tabs>
        <w:ind w:left="851" w:hanging="851"/>
      </w:pPr>
      <w:r w:rsidRPr="008F3110">
        <w:tab/>
      </w:r>
      <w:proofErr w:type="spellStart"/>
      <w:r w:rsidRPr="008F3110">
        <w:t>Kapillær</w:t>
      </w:r>
      <w:proofErr w:type="spellEnd"/>
      <w:r w:rsidRPr="008F3110">
        <w:t xml:space="preserve"> lækage-syndrom er indberettet for patienter, der fik </w:t>
      </w:r>
      <w:proofErr w:type="spellStart"/>
      <w:r w:rsidRPr="008F3110">
        <w:t>gemcitabin</w:t>
      </w:r>
      <w:proofErr w:type="spellEnd"/>
      <w:r w:rsidRPr="008F3110">
        <w:t xml:space="preserve"> som monoterapi eller i kombination med andre </w:t>
      </w:r>
      <w:proofErr w:type="spellStart"/>
      <w:r w:rsidRPr="008F3110">
        <w:t>kemoteraputika</w:t>
      </w:r>
      <w:proofErr w:type="spellEnd"/>
      <w:r w:rsidRPr="008F3110">
        <w:t xml:space="preserve"> (se pkt. 4.8). Tilstanden kan sædvanligvis behandles, hvis den opdages tidligt og håndteres hensigtsmæssigt, men der er indberettet tilfælde med dødelig udgang. Tilstanden indebærer systemisk </w:t>
      </w:r>
      <w:proofErr w:type="spellStart"/>
      <w:r w:rsidRPr="008F3110">
        <w:t>kapillær</w:t>
      </w:r>
      <w:proofErr w:type="spellEnd"/>
      <w:r w:rsidRPr="008F3110">
        <w:t xml:space="preserve"> </w:t>
      </w:r>
      <w:proofErr w:type="spellStart"/>
      <w:r w:rsidRPr="008F3110">
        <w:t>hyperpermeabilitet</w:t>
      </w:r>
      <w:proofErr w:type="spellEnd"/>
      <w:r w:rsidRPr="008F3110">
        <w:t xml:space="preserve">, hvor væske og proteiner fra det </w:t>
      </w:r>
      <w:proofErr w:type="spellStart"/>
      <w:r w:rsidRPr="008F3110">
        <w:t>intravaskulære</w:t>
      </w:r>
      <w:proofErr w:type="spellEnd"/>
      <w:r w:rsidRPr="008F3110">
        <w:t xml:space="preserve"> rum lækker ind i </w:t>
      </w:r>
      <w:proofErr w:type="spellStart"/>
      <w:r w:rsidRPr="008F3110">
        <w:t>interstitiet</w:t>
      </w:r>
      <w:proofErr w:type="spellEnd"/>
      <w:r w:rsidRPr="008F3110">
        <w:t xml:space="preserve">. De kliniske symptomer omfatter generaliseret ødem, vægtstigning, hypoalbuminæmi, svær hypotension, akut nyrefunktionsnedsættelse og </w:t>
      </w:r>
      <w:proofErr w:type="spellStart"/>
      <w:r w:rsidRPr="008F3110">
        <w:t>pulmonalt</w:t>
      </w:r>
      <w:proofErr w:type="spellEnd"/>
      <w:r w:rsidRPr="008F3110">
        <w:t xml:space="preserve"> ødem. Hvis </w:t>
      </w:r>
      <w:proofErr w:type="spellStart"/>
      <w:r w:rsidRPr="008F3110">
        <w:t>kapillær</w:t>
      </w:r>
      <w:proofErr w:type="spellEnd"/>
      <w:r w:rsidRPr="008F3110">
        <w:t xml:space="preserve"> lækage-syndrom opstår under behandlingen, skal </w:t>
      </w:r>
      <w:proofErr w:type="spellStart"/>
      <w:r w:rsidRPr="008F3110">
        <w:t>gemcitabin</w:t>
      </w:r>
      <w:proofErr w:type="spellEnd"/>
      <w:r w:rsidRPr="008F3110">
        <w:t xml:space="preserve"> seponeres og understøttende behandling iværksættes</w:t>
      </w:r>
      <w:r>
        <w:t xml:space="preserve">. </w:t>
      </w:r>
      <w:proofErr w:type="spellStart"/>
      <w:r w:rsidRPr="008F3110">
        <w:t>Kapillær</w:t>
      </w:r>
      <w:proofErr w:type="spellEnd"/>
      <w:r w:rsidRPr="008F3110">
        <w:t xml:space="preserve"> lækage-syndrom kan opstå i senere </w:t>
      </w:r>
      <w:r>
        <w:t>cyklusser</w:t>
      </w:r>
      <w:r w:rsidRPr="008F3110">
        <w:t xml:space="preserve"> og er i litteraturen forbundet med </w:t>
      </w:r>
      <w:proofErr w:type="spellStart"/>
      <w:r w:rsidRPr="008F3110">
        <w:t>adult</w:t>
      </w:r>
      <w:proofErr w:type="spellEnd"/>
      <w:r w:rsidRPr="008F3110">
        <w:t xml:space="preserve"> </w:t>
      </w:r>
      <w:proofErr w:type="spellStart"/>
      <w:r w:rsidRPr="008F3110">
        <w:t>respiratory</w:t>
      </w:r>
      <w:proofErr w:type="spellEnd"/>
      <w:r w:rsidRPr="008F3110">
        <w:t xml:space="preserve"> </w:t>
      </w:r>
      <w:proofErr w:type="spellStart"/>
      <w:r w:rsidRPr="008F3110">
        <w:t>distress</w:t>
      </w:r>
      <w:proofErr w:type="spellEnd"/>
      <w:r w:rsidRPr="008F3110">
        <w:t xml:space="preserve"> syndrom (ARDS).</w:t>
      </w:r>
    </w:p>
    <w:p w:rsidR="00A06F90" w:rsidRDefault="00A06F90" w:rsidP="00A06F90">
      <w:pPr>
        <w:shd w:val="clear" w:color="auto" w:fill="FFFFFF"/>
        <w:tabs>
          <w:tab w:val="left" w:pos="567"/>
        </w:tabs>
        <w:spacing w:line="245" w:lineRule="exact"/>
        <w:ind w:left="14" w:right="605"/>
        <w:rPr>
          <w:color w:val="000000"/>
          <w:spacing w:val="-3"/>
          <w:u w:val="single"/>
        </w:rPr>
      </w:pPr>
    </w:p>
    <w:p w:rsidR="00A06F90" w:rsidRPr="00FB065A" w:rsidRDefault="00A06F90" w:rsidP="00A06F90">
      <w:pPr>
        <w:tabs>
          <w:tab w:val="left" w:pos="851"/>
        </w:tabs>
        <w:ind w:left="1304" w:hanging="1304"/>
      </w:pPr>
      <w:r>
        <w:rPr>
          <w:color w:val="000000"/>
          <w:spacing w:val="-3"/>
        </w:rPr>
        <w:tab/>
      </w:r>
      <w:proofErr w:type="spellStart"/>
      <w:r w:rsidRPr="00FB065A">
        <w:rPr>
          <w:color w:val="000000"/>
          <w:spacing w:val="-3"/>
          <w:u w:val="single"/>
        </w:rPr>
        <w:t>Pulmonært</w:t>
      </w:r>
      <w:proofErr w:type="spellEnd"/>
    </w:p>
    <w:p w:rsidR="00A06F90" w:rsidRDefault="00A06F90" w:rsidP="00A06F90">
      <w:pPr>
        <w:tabs>
          <w:tab w:val="left" w:pos="851"/>
        </w:tabs>
        <w:ind w:left="851" w:hanging="851"/>
        <w:rPr>
          <w:color w:val="000000"/>
          <w:spacing w:val="-3"/>
        </w:rPr>
      </w:pPr>
      <w:r>
        <w:rPr>
          <w:color w:val="000000"/>
          <w:spacing w:val="-4"/>
        </w:rPr>
        <w:tab/>
      </w:r>
      <w:proofErr w:type="spellStart"/>
      <w:r w:rsidRPr="00FB065A">
        <w:rPr>
          <w:color w:val="000000"/>
          <w:spacing w:val="-4"/>
        </w:rPr>
        <w:t>Pulmonære</w:t>
      </w:r>
      <w:proofErr w:type="spellEnd"/>
      <w:r w:rsidRPr="00FB065A">
        <w:rPr>
          <w:color w:val="000000"/>
          <w:spacing w:val="-4"/>
        </w:rPr>
        <w:t xml:space="preserve"> virkninger, som kan være alvorlige (såsom </w:t>
      </w:r>
      <w:proofErr w:type="spellStart"/>
      <w:r w:rsidRPr="00FB065A">
        <w:rPr>
          <w:color w:val="000000"/>
          <w:spacing w:val="-4"/>
        </w:rPr>
        <w:t>pulmonalt</w:t>
      </w:r>
      <w:proofErr w:type="spellEnd"/>
      <w:r w:rsidRPr="00FB065A">
        <w:rPr>
          <w:color w:val="000000"/>
          <w:spacing w:val="-4"/>
        </w:rPr>
        <w:t xml:space="preserve"> ødem, </w:t>
      </w:r>
      <w:proofErr w:type="spellStart"/>
      <w:r w:rsidRPr="00FB065A">
        <w:rPr>
          <w:color w:val="000000"/>
          <w:spacing w:val="-4"/>
        </w:rPr>
        <w:t>interstitiel</w:t>
      </w:r>
      <w:proofErr w:type="spellEnd"/>
      <w:r w:rsidRPr="00FB065A">
        <w:rPr>
          <w:color w:val="000000"/>
          <w:spacing w:val="-4"/>
        </w:rPr>
        <w:t xml:space="preserve"> pneumoni </w:t>
      </w:r>
      <w:r w:rsidRPr="00FB065A">
        <w:rPr>
          <w:color w:val="000000"/>
          <w:spacing w:val="-2"/>
        </w:rPr>
        <w:t xml:space="preserve">og </w:t>
      </w:r>
      <w:proofErr w:type="spellStart"/>
      <w:r w:rsidRPr="00FB065A">
        <w:rPr>
          <w:color w:val="000000"/>
          <w:spacing w:val="-2"/>
        </w:rPr>
        <w:t>Adult</w:t>
      </w:r>
      <w:proofErr w:type="spellEnd"/>
      <w:r w:rsidRPr="00FB065A">
        <w:rPr>
          <w:color w:val="000000"/>
          <w:spacing w:val="-2"/>
        </w:rPr>
        <w:t xml:space="preserve"> </w:t>
      </w:r>
      <w:proofErr w:type="spellStart"/>
      <w:r w:rsidRPr="00FB065A">
        <w:rPr>
          <w:color w:val="000000"/>
          <w:spacing w:val="-2"/>
        </w:rPr>
        <w:t>Respiratory</w:t>
      </w:r>
      <w:proofErr w:type="spellEnd"/>
      <w:r w:rsidRPr="00FB065A">
        <w:rPr>
          <w:color w:val="000000"/>
          <w:spacing w:val="-2"/>
        </w:rPr>
        <w:t xml:space="preserve"> </w:t>
      </w:r>
      <w:proofErr w:type="spellStart"/>
      <w:r w:rsidRPr="00FB065A">
        <w:rPr>
          <w:color w:val="000000"/>
          <w:spacing w:val="-2"/>
        </w:rPr>
        <w:t>Distress</w:t>
      </w:r>
      <w:proofErr w:type="spellEnd"/>
      <w:r w:rsidRPr="00FB065A">
        <w:rPr>
          <w:color w:val="000000"/>
          <w:spacing w:val="-2"/>
        </w:rPr>
        <w:t xml:space="preserve"> </w:t>
      </w:r>
      <w:proofErr w:type="spellStart"/>
      <w:r w:rsidRPr="00FB065A">
        <w:rPr>
          <w:color w:val="000000"/>
          <w:spacing w:val="-2"/>
        </w:rPr>
        <w:t>Syndrome</w:t>
      </w:r>
      <w:proofErr w:type="spellEnd"/>
      <w:r w:rsidRPr="00FB065A">
        <w:rPr>
          <w:color w:val="000000"/>
          <w:spacing w:val="-2"/>
        </w:rPr>
        <w:t xml:space="preserve"> (ARDS), er set i forbindelse med </w:t>
      </w:r>
      <w:proofErr w:type="spellStart"/>
      <w:r w:rsidRPr="00FB065A">
        <w:rPr>
          <w:color w:val="000000"/>
          <w:spacing w:val="-2"/>
        </w:rPr>
        <w:t>gemcitabinbehandling</w:t>
      </w:r>
      <w:proofErr w:type="spellEnd"/>
      <w:r w:rsidRPr="00FB065A">
        <w:rPr>
          <w:color w:val="000000"/>
          <w:spacing w:val="-2"/>
        </w:rPr>
        <w:t xml:space="preserve">. Hvis disse virkninger udvikles, bør det overvejes at seponere behandlingen med </w:t>
      </w:r>
      <w:proofErr w:type="spellStart"/>
      <w:r w:rsidRPr="00FB065A">
        <w:rPr>
          <w:color w:val="000000"/>
          <w:spacing w:val="-2"/>
        </w:rPr>
        <w:t>gemcitabin</w:t>
      </w:r>
      <w:proofErr w:type="spellEnd"/>
      <w:r w:rsidRPr="00FB065A">
        <w:rPr>
          <w:color w:val="000000"/>
          <w:spacing w:val="-2"/>
        </w:rPr>
        <w:t xml:space="preserve">. Tidlig brug af </w:t>
      </w:r>
      <w:r w:rsidRPr="00FB065A">
        <w:rPr>
          <w:color w:val="000000"/>
          <w:spacing w:val="-3"/>
        </w:rPr>
        <w:t>understøttende behandling kan afhjælpe tilstanden.</w:t>
      </w:r>
    </w:p>
    <w:p w:rsidR="00A06F90" w:rsidRPr="00FB065A" w:rsidRDefault="00A06F90" w:rsidP="00A06F90">
      <w:pPr>
        <w:tabs>
          <w:tab w:val="left" w:pos="851"/>
        </w:tabs>
        <w:ind w:left="851" w:hanging="851"/>
      </w:pPr>
    </w:p>
    <w:p w:rsidR="00A06F90" w:rsidRPr="00FB065A" w:rsidRDefault="00A06F90" w:rsidP="00A06F90">
      <w:pPr>
        <w:tabs>
          <w:tab w:val="left" w:pos="851"/>
        </w:tabs>
        <w:ind w:left="1304" w:hanging="1304"/>
      </w:pPr>
      <w:r>
        <w:rPr>
          <w:color w:val="000000"/>
          <w:spacing w:val="-3"/>
        </w:rPr>
        <w:tab/>
      </w:r>
      <w:proofErr w:type="spellStart"/>
      <w:r w:rsidRPr="00FB065A">
        <w:rPr>
          <w:color w:val="000000"/>
          <w:spacing w:val="-3"/>
          <w:u w:val="single"/>
        </w:rPr>
        <w:t>Renalt</w:t>
      </w:r>
      <w:proofErr w:type="spellEnd"/>
    </w:p>
    <w:p w:rsidR="00A06F90" w:rsidRDefault="00A06F90" w:rsidP="00A06F90">
      <w:pPr>
        <w:tabs>
          <w:tab w:val="left" w:pos="851"/>
        </w:tabs>
        <w:ind w:left="1304" w:hanging="1304"/>
        <w:rPr>
          <w:i/>
          <w:color w:val="000000"/>
          <w:spacing w:val="-3"/>
        </w:rPr>
      </w:pPr>
      <w:r>
        <w:rPr>
          <w:i/>
          <w:color w:val="000000"/>
          <w:spacing w:val="-3"/>
        </w:rPr>
        <w:tab/>
      </w:r>
    </w:p>
    <w:p w:rsidR="00A06F90" w:rsidRDefault="00A06F90" w:rsidP="00A06F90">
      <w:pPr>
        <w:tabs>
          <w:tab w:val="left" w:pos="851"/>
        </w:tabs>
        <w:ind w:left="1304" w:hanging="1304"/>
        <w:rPr>
          <w:color w:val="000000"/>
          <w:spacing w:val="-3"/>
        </w:rPr>
      </w:pPr>
      <w:r>
        <w:rPr>
          <w:i/>
          <w:color w:val="000000"/>
          <w:spacing w:val="-3"/>
        </w:rPr>
        <w:tab/>
      </w:r>
      <w:proofErr w:type="spellStart"/>
      <w:r w:rsidRPr="008F3110">
        <w:rPr>
          <w:i/>
          <w:color w:val="000000"/>
          <w:spacing w:val="-3"/>
        </w:rPr>
        <w:t>Hæmolytisk</w:t>
      </w:r>
      <w:proofErr w:type="spellEnd"/>
      <w:r w:rsidRPr="008F3110">
        <w:rPr>
          <w:i/>
          <w:color w:val="000000"/>
          <w:spacing w:val="-3"/>
        </w:rPr>
        <w:t>-uræmisk syndrom</w:t>
      </w:r>
      <w:r w:rsidRPr="008F3110">
        <w:rPr>
          <w:color w:val="000000"/>
          <w:spacing w:val="-3"/>
        </w:rPr>
        <w:t xml:space="preserve"> </w:t>
      </w:r>
    </w:p>
    <w:p w:rsidR="00A06F90" w:rsidRDefault="00A06F90" w:rsidP="00A06F90">
      <w:pPr>
        <w:tabs>
          <w:tab w:val="left" w:pos="851"/>
        </w:tabs>
        <w:ind w:left="851" w:hanging="851"/>
        <w:rPr>
          <w:color w:val="000000"/>
          <w:spacing w:val="-3"/>
        </w:rPr>
      </w:pPr>
      <w:r>
        <w:rPr>
          <w:color w:val="000000"/>
          <w:spacing w:val="-3"/>
        </w:rPr>
        <w:tab/>
      </w:r>
      <w:r w:rsidRPr="00FB065A">
        <w:rPr>
          <w:color w:val="000000"/>
          <w:spacing w:val="-3"/>
        </w:rPr>
        <w:t xml:space="preserve">Ved behandling med </w:t>
      </w:r>
      <w:proofErr w:type="spellStart"/>
      <w:r w:rsidRPr="00FB065A">
        <w:rPr>
          <w:color w:val="000000"/>
          <w:spacing w:val="-3"/>
        </w:rPr>
        <w:t>gemcitabin</w:t>
      </w:r>
      <w:proofErr w:type="spellEnd"/>
      <w:r w:rsidRPr="00FB065A">
        <w:rPr>
          <w:color w:val="000000"/>
          <w:spacing w:val="-3"/>
        </w:rPr>
        <w:t xml:space="preserve"> er </w:t>
      </w:r>
      <w:proofErr w:type="spellStart"/>
      <w:r w:rsidRPr="00FB065A">
        <w:rPr>
          <w:color w:val="000000"/>
          <w:spacing w:val="-3"/>
        </w:rPr>
        <w:t>hæmolytisk</w:t>
      </w:r>
      <w:proofErr w:type="spellEnd"/>
      <w:r w:rsidRPr="00FB065A">
        <w:rPr>
          <w:color w:val="000000"/>
          <w:spacing w:val="-3"/>
        </w:rPr>
        <w:t xml:space="preserve">-uræmisk syndrom (HUS) sjældent set </w:t>
      </w:r>
      <w:r>
        <w:rPr>
          <w:color w:val="000000"/>
          <w:spacing w:val="-3"/>
        </w:rPr>
        <w:t xml:space="preserve">(post-marketing data) </w:t>
      </w:r>
      <w:r w:rsidRPr="00FB065A">
        <w:rPr>
          <w:color w:val="000000"/>
          <w:spacing w:val="-3"/>
        </w:rPr>
        <w:t>(se pkt. 4.8).</w:t>
      </w:r>
      <w:r w:rsidRPr="008F3110">
        <w:rPr>
          <w:b/>
        </w:rPr>
        <w:t xml:space="preserve"> </w:t>
      </w:r>
      <w:r w:rsidRPr="008F3110">
        <w:rPr>
          <w:color w:val="000000"/>
          <w:spacing w:val="-3"/>
        </w:rPr>
        <w:t>HUS er en potentielt livstruende tilstand.</w:t>
      </w:r>
      <w:r w:rsidRPr="00FB065A">
        <w:rPr>
          <w:color w:val="000000"/>
          <w:spacing w:val="-3"/>
        </w:rPr>
        <w:t xml:space="preserve"> </w:t>
      </w:r>
      <w:r w:rsidRPr="00FB065A">
        <w:rPr>
          <w:color w:val="000000"/>
          <w:spacing w:val="-4"/>
        </w:rPr>
        <w:t xml:space="preserve">Behandlingen med </w:t>
      </w:r>
      <w:proofErr w:type="spellStart"/>
      <w:r w:rsidRPr="00FB065A">
        <w:rPr>
          <w:color w:val="000000"/>
          <w:spacing w:val="-4"/>
        </w:rPr>
        <w:t>gemcitabin</w:t>
      </w:r>
      <w:proofErr w:type="spellEnd"/>
      <w:r w:rsidRPr="00FB065A">
        <w:rPr>
          <w:color w:val="000000"/>
          <w:spacing w:val="-4"/>
        </w:rPr>
        <w:t xml:space="preserve"> bør seponeres ved de første tegn på </w:t>
      </w:r>
      <w:proofErr w:type="spellStart"/>
      <w:r w:rsidRPr="00FB065A">
        <w:rPr>
          <w:color w:val="000000"/>
          <w:spacing w:val="-4"/>
        </w:rPr>
        <w:t>mikroangiopatisk</w:t>
      </w:r>
      <w:proofErr w:type="spellEnd"/>
      <w:r w:rsidRPr="00FB065A">
        <w:rPr>
          <w:color w:val="000000"/>
          <w:spacing w:val="-4"/>
        </w:rPr>
        <w:t xml:space="preserve"> </w:t>
      </w:r>
      <w:proofErr w:type="spellStart"/>
      <w:r w:rsidRPr="00FB065A">
        <w:rPr>
          <w:color w:val="000000"/>
          <w:spacing w:val="-4"/>
        </w:rPr>
        <w:t>hæmolytisk</w:t>
      </w:r>
      <w:proofErr w:type="spellEnd"/>
      <w:r w:rsidRPr="00FB065A">
        <w:rPr>
          <w:color w:val="000000"/>
          <w:spacing w:val="-4"/>
        </w:rPr>
        <w:t xml:space="preserve"> anæmi </w:t>
      </w:r>
      <w:r w:rsidRPr="00FB065A">
        <w:rPr>
          <w:color w:val="000000"/>
          <w:spacing w:val="-3"/>
        </w:rPr>
        <w:t xml:space="preserve">såsom hurtigt </w:t>
      </w:r>
      <w:r w:rsidRPr="00FB065A">
        <w:rPr>
          <w:color w:val="000000"/>
          <w:spacing w:val="-3"/>
        </w:rPr>
        <w:lastRenderedPageBreak/>
        <w:t xml:space="preserve">faldende hæmoglobinniveau med samtidig </w:t>
      </w:r>
      <w:proofErr w:type="spellStart"/>
      <w:r w:rsidRPr="00FB065A">
        <w:rPr>
          <w:color w:val="000000"/>
          <w:spacing w:val="-3"/>
        </w:rPr>
        <w:t>trombocytopeni</w:t>
      </w:r>
      <w:proofErr w:type="spellEnd"/>
      <w:r w:rsidRPr="00FB065A">
        <w:rPr>
          <w:color w:val="000000"/>
          <w:spacing w:val="-3"/>
        </w:rPr>
        <w:t xml:space="preserve">, stigning i serumbilirubin, </w:t>
      </w:r>
      <w:proofErr w:type="spellStart"/>
      <w:r w:rsidRPr="00FB065A">
        <w:rPr>
          <w:color w:val="000000"/>
          <w:spacing w:val="-2"/>
        </w:rPr>
        <w:t>serumkreatinin</w:t>
      </w:r>
      <w:proofErr w:type="spellEnd"/>
      <w:r w:rsidRPr="00FB065A">
        <w:rPr>
          <w:color w:val="000000"/>
          <w:spacing w:val="-2"/>
        </w:rPr>
        <w:t xml:space="preserve">, </w:t>
      </w:r>
      <w:proofErr w:type="spellStart"/>
      <w:r w:rsidRPr="00FB065A">
        <w:rPr>
          <w:color w:val="000000"/>
          <w:spacing w:val="-2"/>
        </w:rPr>
        <w:t>serumcarbamid</w:t>
      </w:r>
      <w:proofErr w:type="spellEnd"/>
      <w:r w:rsidRPr="00FB065A">
        <w:rPr>
          <w:color w:val="000000"/>
          <w:spacing w:val="-2"/>
        </w:rPr>
        <w:t xml:space="preserve"> eller LDH. Nyresvigt er muligvis ikke reversibel ved </w:t>
      </w:r>
      <w:proofErr w:type="spellStart"/>
      <w:r w:rsidRPr="00FB065A">
        <w:rPr>
          <w:color w:val="000000"/>
          <w:spacing w:val="-2"/>
        </w:rPr>
        <w:t>seponering</w:t>
      </w:r>
      <w:proofErr w:type="spellEnd"/>
      <w:r w:rsidRPr="00FB065A">
        <w:rPr>
          <w:color w:val="000000"/>
          <w:spacing w:val="-2"/>
        </w:rPr>
        <w:t xml:space="preserve"> af </w:t>
      </w:r>
      <w:r w:rsidRPr="00FB065A">
        <w:rPr>
          <w:color w:val="000000"/>
          <w:spacing w:val="-3"/>
        </w:rPr>
        <w:t>behandlingen og dialysebehandling kan blive nødvendig.</w:t>
      </w:r>
    </w:p>
    <w:p w:rsidR="00A06F90" w:rsidRPr="00FB065A" w:rsidRDefault="00A06F90" w:rsidP="00A06F90">
      <w:pPr>
        <w:tabs>
          <w:tab w:val="left" w:pos="851"/>
        </w:tabs>
        <w:ind w:left="851" w:hanging="851"/>
      </w:pPr>
    </w:p>
    <w:p w:rsidR="00A06F90" w:rsidRPr="00FB065A" w:rsidRDefault="00A06F90" w:rsidP="00A06F90">
      <w:pPr>
        <w:tabs>
          <w:tab w:val="left" w:pos="851"/>
        </w:tabs>
        <w:ind w:left="1304" w:hanging="1304"/>
      </w:pPr>
      <w:r w:rsidRPr="00AF4084">
        <w:rPr>
          <w:color w:val="000000"/>
          <w:spacing w:val="-1"/>
        </w:rPr>
        <w:tab/>
      </w:r>
      <w:r w:rsidRPr="00FB065A">
        <w:rPr>
          <w:color w:val="000000"/>
          <w:spacing w:val="-1"/>
          <w:u w:val="single"/>
        </w:rPr>
        <w:t>Fertilitet</w:t>
      </w:r>
    </w:p>
    <w:p w:rsidR="00A06F90" w:rsidRDefault="00A06F90" w:rsidP="00A06F90">
      <w:pPr>
        <w:tabs>
          <w:tab w:val="left" w:pos="851"/>
        </w:tabs>
        <w:ind w:left="851" w:hanging="851"/>
        <w:rPr>
          <w:color w:val="000000"/>
          <w:spacing w:val="-4"/>
        </w:rPr>
      </w:pPr>
      <w:r>
        <w:rPr>
          <w:color w:val="000000"/>
          <w:spacing w:val="-3"/>
        </w:rPr>
        <w:tab/>
      </w:r>
      <w:r w:rsidRPr="00FB065A">
        <w:rPr>
          <w:color w:val="000000"/>
          <w:spacing w:val="-3"/>
        </w:rPr>
        <w:t xml:space="preserve">I fertilitetsstudier har </w:t>
      </w:r>
      <w:proofErr w:type="spellStart"/>
      <w:r w:rsidRPr="00FB065A">
        <w:rPr>
          <w:color w:val="000000"/>
          <w:spacing w:val="-3"/>
        </w:rPr>
        <w:t>gemcitabin</w:t>
      </w:r>
      <w:proofErr w:type="spellEnd"/>
      <w:r w:rsidRPr="00FB065A">
        <w:rPr>
          <w:color w:val="000000"/>
          <w:spacing w:val="-3"/>
        </w:rPr>
        <w:t xml:space="preserve"> forårsaget </w:t>
      </w:r>
      <w:proofErr w:type="spellStart"/>
      <w:r w:rsidRPr="00FB065A">
        <w:rPr>
          <w:color w:val="000000"/>
          <w:spacing w:val="-3"/>
        </w:rPr>
        <w:t>hypospermatogenese</w:t>
      </w:r>
      <w:proofErr w:type="spellEnd"/>
      <w:r w:rsidRPr="00FB065A">
        <w:rPr>
          <w:color w:val="000000"/>
          <w:spacing w:val="-3"/>
        </w:rPr>
        <w:t xml:space="preserve"> hos </w:t>
      </w:r>
      <w:proofErr w:type="spellStart"/>
      <w:r w:rsidRPr="00FB065A">
        <w:rPr>
          <w:color w:val="000000"/>
          <w:spacing w:val="-3"/>
        </w:rPr>
        <w:t>hanmus</w:t>
      </w:r>
      <w:proofErr w:type="spellEnd"/>
      <w:r w:rsidRPr="00FB065A">
        <w:rPr>
          <w:color w:val="000000"/>
          <w:spacing w:val="-3"/>
        </w:rPr>
        <w:t xml:space="preserve"> (se pkt. 5.3). Mænd, som </w:t>
      </w:r>
      <w:r w:rsidRPr="00FB065A">
        <w:rPr>
          <w:color w:val="000000"/>
          <w:spacing w:val="-2"/>
        </w:rPr>
        <w:t xml:space="preserve">behandles med </w:t>
      </w:r>
      <w:proofErr w:type="spellStart"/>
      <w:r w:rsidRPr="00FB065A">
        <w:rPr>
          <w:color w:val="000000"/>
          <w:spacing w:val="-2"/>
        </w:rPr>
        <w:t>gemcitabin</w:t>
      </w:r>
      <w:proofErr w:type="spellEnd"/>
      <w:r w:rsidRPr="00FB065A">
        <w:rPr>
          <w:color w:val="000000"/>
          <w:spacing w:val="-2"/>
        </w:rPr>
        <w:t xml:space="preserve">, frarådes derfor at gøre en kvinde gravid under og op til 6 måneder efter behandling. Det anbefales også at søge yderligere rådgivning angående </w:t>
      </w:r>
      <w:proofErr w:type="spellStart"/>
      <w:r w:rsidRPr="00FB065A">
        <w:rPr>
          <w:color w:val="000000"/>
          <w:spacing w:val="-2"/>
        </w:rPr>
        <w:t>kryokonservering</w:t>
      </w:r>
      <w:proofErr w:type="spellEnd"/>
      <w:r w:rsidRPr="00FB065A">
        <w:rPr>
          <w:color w:val="000000"/>
          <w:spacing w:val="-2"/>
        </w:rPr>
        <w:t xml:space="preserve"> af sæd før </w:t>
      </w:r>
      <w:r w:rsidRPr="00FB065A">
        <w:rPr>
          <w:color w:val="000000"/>
          <w:spacing w:val="-4"/>
        </w:rPr>
        <w:t xml:space="preserve">behandling, på grund af muligheden for </w:t>
      </w:r>
      <w:proofErr w:type="spellStart"/>
      <w:r w:rsidRPr="00FB065A">
        <w:rPr>
          <w:color w:val="000000"/>
          <w:spacing w:val="-4"/>
        </w:rPr>
        <w:t>infertilitet</w:t>
      </w:r>
      <w:proofErr w:type="spellEnd"/>
      <w:r w:rsidRPr="00FB065A">
        <w:rPr>
          <w:color w:val="000000"/>
          <w:spacing w:val="-4"/>
        </w:rPr>
        <w:t xml:space="preserve"> som følge af behandling med </w:t>
      </w:r>
      <w:proofErr w:type="spellStart"/>
      <w:r w:rsidRPr="00FB065A">
        <w:rPr>
          <w:color w:val="000000"/>
          <w:spacing w:val="-4"/>
        </w:rPr>
        <w:t>gemcitabin</w:t>
      </w:r>
      <w:proofErr w:type="spellEnd"/>
      <w:r w:rsidRPr="00FB065A">
        <w:rPr>
          <w:color w:val="000000"/>
          <w:spacing w:val="-4"/>
        </w:rPr>
        <w:t xml:space="preserve"> (se pkt</w:t>
      </w:r>
      <w:r>
        <w:rPr>
          <w:color w:val="000000"/>
          <w:spacing w:val="-4"/>
        </w:rPr>
        <w:t>.</w:t>
      </w:r>
      <w:r w:rsidRPr="00FB065A">
        <w:rPr>
          <w:color w:val="000000"/>
          <w:spacing w:val="-4"/>
        </w:rPr>
        <w:t xml:space="preserve"> 4.6).</w:t>
      </w:r>
    </w:p>
    <w:p w:rsidR="00A06F90" w:rsidRDefault="00A06F90" w:rsidP="00A06F90">
      <w:pPr>
        <w:tabs>
          <w:tab w:val="left" w:pos="851"/>
        </w:tabs>
        <w:ind w:left="851" w:hanging="851"/>
        <w:rPr>
          <w:color w:val="000000"/>
          <w:spacing w:val="-4"/>
        </w:rPr>
      </w:pPr>
    </w:p>
    <w:p w:rsidR="00A06F90" w:rsidRPr="008877D7" w:rsidRDefault="00A06F90" w:rsidP="00A06F90">
      <w:pPr>
        <w:tabs>
          <w:tab w:val="left" w:pos="851"/>
        </w:tabs>
        <w:ind w:left="851" w:hanging="851"/>
        <w:rPr>
          <w:u w:val="single"/>
        </w:rPr>
      </w:pPr>
      <w:r>
        <w:tab/>
      </w:r>
      <w:r w:rsidRPr="008877D7">
        <w:rPr>
          <w:u w:val="single"/>
        </w:rPr>
        <w:t>Hud</w:t>
      </w:r>
    </w:p>
    <w:p w:rsidR="00A06F90" w:rsidRDefault="00A06F90" w:rsidP="00A06F90">
      <w:pPr>
        <w:tabs>
          <w:tab w:val="left" w:pos="851"/>
        </w:tabs>
        <w:ind w:left="851" w:hanging="851"/>
        <w:rPr>
          <w:color w:val="000000"/>
          <w:spacing w:val="-2"/>
        </w:rPr>
      </w:pPr>
      <w:r>
        <w:rPr>
          <w:color w:val="000000"/>
          <w:spacing w:val="-2"/>
        </w:rPr>
        <w:tab/>
        <w:t>Alvorlige</w:t>
      </w:r>
      <w:r w:rsidRPr="009B0814">
        <w:rPr>
          <w:color w:val="000000"/>
          <w:spacing w:val="-2"/>
        </w:rPr>
        <w:t xml:space="preserve"> </w:t>
      </w:r>
      <w:proofErr w:type="spellStart"/>
      <w:r w:rsidRPr="009B0814">
        <w:rPr>
          <w:color w:val="000000"/>
          <w:spacing w:val="-2"/>
        </w:rPr>
        <w:t>kutane</w:t>
      </w:r>
      <w:proofErr w:type="spellEnd"/>
      <w:r w:rsidRPr="009B0814">
        <w:rPr>
          <w:color w:val="000000"/>
          <w:spacing w:val="-2"/>
        </w:rPr>
        <w:t xml:space="preserve"> bivirkninger</w:t>
      </w:r>
      <w:r>
        <w:rPr>
          <w:color w:val="000000"/>
          <w:spacing w:val="-2"/>
        </w:rPr>
        <w:t xml:space="preserve"> (</w:t>
      </w:r>
      <w:proofErr w:type="spellStart"/>
      <w:r>
        <w:rPr>
          <w:color w:val="000000"/>
          <w:spacing w:val="-2"/>
        </w:rPr>
        <w:t>SCAR’er</w:t>
      </w:r>
      <w:proofErr w:type="spellEnd"/>
      <w:r>
        <w:rPr>
          <w:color w:val="000000"/>
          <w:spacing w:val="-2"/>
        </w:rPr>
        <w:t>)</w:t>
      </w:r>
      <w:r w:rsidRPr="009B0814">
        <w:rPr>
          <w:color w:val="000000"/>
          <w:spacing w:val="-2"/>
        </w:rPr>
        <w:t>, herunder Stevens-Johnsons syndrom</w:t>
      </w:r>
      <w:r>
        <w:rPr>
          <w:color w:val="000000"/>
          <w:spacing w:val="-2"/>
        </w:rPr>
        <w:t xml:space="preserve"> (SJS),</w:t>
      </w:r>
      <w:r w:rsidRPr="009B0814">
        <w:rPr>
          <w:color w:val="000000"/>
          <w:spacing w:val="-2"/>
        </w:rPr>
        <w:t xml:space="preserve"> toksisk </w:t>
      </w:r>
      <w:proofErr w:type="spellStart"/>
      <w:r w:rsidRPr="009B0814">
        <w:rPr>
          <w:color w:val="000000"/>
          <w:spacing w:val="-2"/>
        </w:rPr>
        <w:t>epidermal</w:t>
      </w:r>
      <w:proofErr w:type="spellEnd"/>
      <w:r w:rsidRPr="009B0814">
        <w:rPr>
          <w:color w:val="000000"/>
          <w:spacing w:val="-2"/>
        </w:rPr>
        <w:t xml:space="preserve"> </w:t>
      </w:r>
      <w:proofErr w:type="spellStart"/>
      <w:r w:rsidRPr="009B0814">
        <w:rPr>
          <w:color w:val="000000"/>
          <w:spacing w:val="-2"/>
        </w:rPr>
        <w:t>nekrolyse</w:t>
      </w:r>
      <w:proofErr w:type="spellEnd"/>
      <w:r>
        <w:rPr>
          <w:color w:val="000000"/>
          <w:spacing w:val="-2"/>
        </w:rPr>
        <w:t xml:space="preserve"> (TEN) og </w:t>
      </w:r>
      <w:r>
        <w:t xml:space="preserve">akut generaliseret </w:t>
      </w:r>
      <w:proofErr w:type="spellStart"/>
      <w:r>
        <w:t>eksantematøs</w:t>
      </w:r>
      <w:proofErr w:type="spellEnd"/>
      <w:r>
        <w:t xml:space="preserve"> </w:t>
      </w:r>
      <w:proofErr w:type="spellStart"/>
      <w:r>
        <w:t>pustulose</w:t>
      </w:r>
      <w:proofErr w:type="spellEnd"/>
      <w:r>
        <w:t xml:space="preserve"> (AGEP)</w:t>
      </w:r>
      <w:r w:rsidRPr="009B0814">
        <w:rPr>
          <w:color w:val="000000"/>
          <w:spacing w:val="-2"/>
        </w:rPr>
        <w:t>, som</w:t>
      </w:r>
      <w:r>
        <w:rPr>
          <w:color w:val="000000"/>
          <w:spacing w:val="-2"/>
        </w:rPr>
        <w:t xml:space="preserve"> </w:t>
      </w:r>
      <w:r w:rsidRPr="009B0814">
        <w:rPr>
          <w:color w:val="000000"/>
          <w:spacing w:val="-2"/>
        </w:rPr>
        <w:t xml:space="preserve">kan være livstruende eller </w:t>
      </w:r>
      <w:r>
        <w:rPr>
          <w:color w:val="000000"/>
          <w:spacing w:val="-2"/>
        </w:rPr>
        <w:t>dødelig</w:t>
      </w:r>
      <w:r w:rsidRPr="009B0814">
        <w:rPr>
          <w:color w:val="000000"/>
          <w:spacing w:val="-2"/>
        </w:rPr>
        <w:t>, er blevet rapporteret i forbindelse med behandling med</w:t>
      </w:r>
      <w:r>
        <w:rPr>
          <w:color w:val="000000"/>
          <w:spacing w:val="-2"/>
        </w:rPr>
        <w:t xml:space="preserve"> </w:t>
      </w:r>
      <w:proofErr w:type="spellStart"/>
      <w:r>
        <w:rPr>
          <w:color w:val="000000"/>
          <w:spacing w:val="-2"/>
        </w:rPr>
        <w:t>gemcitabin</w:t>
      </w:r>
      <w:proofErr w:type="spellEnd"/>
      <w:r w:rsidRPr="009B0814">
        <w:rPr>
          <w:color w:val="000000"/>
          <w:spacing w:val="-2"/>
        </w:rPr>
        <w:t xml:space="preserve">. </w:t>
      </w:r>
      <w:r>
        <w:rPr>
          <w:color w:val="000000"/>
          <w:spacing w:val="-2"/>
        </w:rPr>
        <w:t xml:space="preserve">Patienterne skal informeres om </w:t>
      </w:r>
      <w:r w:rsidRPr="009B0814">
        <w:rPr>
          <w:color w:val="000000"/>
          <w:spacing w:val="-2"/>
        </w:rPr>
        <w:t>tegn og symptomer og</w:t>
      </w:r>
      <w:r>
        <w:rPr>
          <w:color w:val="000000"/>
          <w:spacing w:val="-2"/>
        </w:rPr>
        <w:t xml:space="preserve"> </w:t>
      </w:r>
      <w:r w:rsidRPr="009B0814">
        <w:rPr>
          <w:color w:val="000000"/>
          <w:spacing w:val="-2"/>
        </w:rPr>
        <w:t>monitoreres nøje for hudreaktioner. Hvis der opstår tegn og symptomer</w:t>
      </w:r>
      <w:r>
        <w:rPr>
          <w:color w:val="000000"/>
          <w:spacing w:val="-2"/>
        </w:rPr>
        <w:t>, der tyder</w:t>
      </w:r>
      <w:r w:rsidRPr="009B0814">
        <w:rPr>
          <w:color w:val="000000"/>
          <w:spacing w:val="-2"/>
        </w:rPr>
        <w:t xml:space="preserve"> på </w:t>
      </w:r>
      <w:r>
        <w:rPr>
          <w:color w:val="000000"/>
          <w:spacing w:val="-2"/>
        </w:rPr>
        <w:t>disse</w:t>
      </w:r>
      <w:r w:rsidRPr="009B0814">
        <w:rPr>
          <w:color w:val="000000"/>
          <w:spacing w:val="-2"/>
        </w:rPr>
        <w:t xml:space="preserve"> reaktioner, </w:t>
      </w:r>
      <w:r>
        <w:rPr>
          <w:color w:val="000000"/>
          <w:spacing w:val="-2"/>
        </w:rPr>
        <w:t xml:space="preserve">skal </w:t>
      </w:r>
      <w:proofErr w:type="spellStart"/>
      <w:r>
        <w:rPr>
          <w:color w:val="000000"/>
          <w:spacing w:val="-2"/>
        </w:rPr>
        <w:t>gemcitabin</w:t>
      </w:r>
      <w:proofErr w:type="spellEnd"/>
      <w:r w:rsidRPr="009B0814">
        <w:rPr>
          <w:color w:val="000000"/>
          <w:spacing w:val="-2"/>
        </w:rPr>
        <w:t xml:space="preserve"> straks seponeres. </w:t>
      </w:r>
      <w:r w:rsidRPr="009B0814">
        <w:rPr>
          <w:color w:val="000000"/>
          <w:spacing w:val="-2"/>
        </w:rPr>
        <w:cr/>
      </w:r>
    </w:p>
    <w:p w:rsidR="00A06F90" w:rsidRPr="00FB065A" w:rsidRDefault="00A06F90" w:rsidP="00A06F90">
      <w:pPr>
        <w:tabs>
          <w:tab w:val="left" w:pos="851"/>
        </w:tabs>
        <w:ind w:left="1304" w:hanging="453"/>
      </w:pPr>
      <w:r w:rsidRPr="00FB065A">
        <w:rPr>
          <w:color w:val="000000"/>
          <w:spacing w:val="-2"/>
          <w:u w:val="single"/>
        </w:rPr>
        <w:t>Natrium</w:t>
      </w:r>
    </w:p>
    <w:p w:rsidR="00A06F90" w:rsidRDefault="00A06F90" w:rsidP="00A06F90">
      <w:pPr>
        <w:tabs>
          <w:tab w:val="left" w:pos="851"/>
        </w:tabs>
        <w:ind w:left="851" w:hanging="851"/>
      </w:pPr>
      <w:r>
        <w:tab/>
      </w:r>
    </w:p>
    <w:p w:rsidR="00A06F90" w:rsidRDefault="00A06F90" w:rsidP="00A06F90">
      <w:pPr>
        <w:keepNext/>
        <w:tabs>
          <w:tab w:val="left" w:pos="851"/>
        </w:tabs>
        <w:ind w:left="851"/>
        <w:rPr>
          <w:i/>
        </w:rPr>
      </w:pPr>
      <w:r>
        <w:rPr>
          <w:i/>
        </w:rPr>
        <w:t>Infusionspose på 120 ml</w:t>
      </w:r>
    </w:p>
    <w:p w:rsidR="00A06F90" w:rsidRDefault="00A06F90" w:rsidP="00A06F90">
      <w:pPr>
        <w:keepNext/>
        <w:tabs>
          <w:tab w:val="left" w:pos="851"/>
        </w:tabs>
        <w:ind w:left="851"/>
        <w:rPr>
          <w:color w:val="000000"/>
          <w:spacing w:val="-3"/>
        </w:rPr>
      </w:pPr>
      <w:r>
        <w:t xml:space="preserve">Dette lægemiddel indeholder 549,00 mg (23,88 mmol) natrium pr. infusionspose med 120 ml, svarende til 27,5% af den WHO anbefalede </w:t>
      </w:r>
      <w:proofErr w:type="gramStart"/>
      <w:r>
        <w:t>maximale</w:t>
      </w:r>
      <w:proofErr w:type="gramEnd"/>
      <w:r>
        <w:t xml:space="preserve"> daglige indtagelse af 2 g natrium for en voksen.</w:t>
      </w:r>
    </w:p>
    <w:p w:rsidR="00A06F90" w:rsidRDefault="00A06F90" w:rsidP="00A06F90">
      <w:pPr>
        <w:tabs>
          <w:tab w:val="left" w:pos="851"/>
        </w:tabs>
        <w:ind w:left="851"/>
        <w:rPr>
          <w:color w:val="000000"/>
          <w:spacing w:val="-3"/>
        </w:rPr>
      </w:pPr>
    </w:p>
    <w:p w:rsidR="00A06F90" w:rsidRDefault="00A06F90" w:rsidP="00A06F90">
      <w:pPr>
        <w:keepNext/>
        <w:tabs>
          <w:tab w:val="left" w:pos="851"/>
        </w:tabs>
        <w:ind w:left="851"/>
        <w:rPr>
          <w:i/>
        </w:rPr>
      </w:pPr>
      <w:r>
        <w:rPr>
          <w:i/>
        </w:rPr>
        <w:t>Infusionspose på 130 ml</w:t>
      </w:r>
    </w:p>
    <w:p w:rsidR="00A06F90" w:rsidRDefault="00A06F90" w:rsidP="00A06F90">
      <w:pPr>
        <w:keepNext/>
        <w:tabs>
          <w:tab w:val="left" w:pos="851"/>
        </w:tabs>
        <w:ind w:left="851"/>
      </w:pPr>
      <w:r>
        <w:t xml:space="preserve">Dette lægemiddel indeholder 594,65 mg (25,87 mmol) natrium pr. infusionspose med 130 ml, svarende til 29,7% af den WHO anbefalede </w:t>
      </w:r>
      <w:proofErr w:type="gramStart"/>
      <w:r>
        <w:t>maximale</w:t>
      </w:r>
      <w:proofErr w:type="gramEnd"/>
      <w:r>
        <w:t xml:space="preserve"> daglige indtagelse af 2 g natrium for en voksen.</w:t>
      </w:r>
    </w:p>
    <w:p w:rsidR="00A06F90" w:rsidRDefault="00A06F90" w:rsidP="00A06F90">
      <w:pPr>
        <w:keepNext/>
        <w:tabs>
          <w:tab w:val="left" w:pos="851"/>
        </w:tabs>
        <w:ind w:left="851"/>
        <w:rPr>
          <w:color w:val="000000"/>
          <w:spacing w:val="-3"/>
        </w:rPr>
      </w:pPr>
    </w:p>
    <w:p w:rsidR="00A06F90" w:rsidRDefault="00A06F90" w:rsidP="00A06F90">
      <w:pPr>
        <w:tabs>
          <w:tab w:val="left" w:pos="851"/>
        </w:tabs>
        <w:ind w:left="851"/>
        <w:rPr>
          <w:i/>
        </w:rPr>
      </w:pPr>
      <w:r>
        <w:rPr>
          <w:i/>
        </w:rPr>
        <w:t>Infusionspose på 140 ml</w:t>
      </w:r>
    </w:p>
    <w:p w:rsidR="00A06F90" w:rsidRDefault="00A06F90" w:rsidP="00A06F90">
      <w:pPr>
        <w:tabs>
          <w:tab w:val="left" w:pos="851"/>
        </w:tabs>
        <w:ind w:left="851"/>
      </w:pPr>
      <w:r>
        <w:t xml:space="preserve">Dette lægemiddel indeholder 640,50 mg (27,86 mmol) natrium pr. infusionspose med 140 ml, svarende til 32% af den WHO anbefalede </w:t>
      </w:r>
      <w:proofErr w:type="gramStart"/>
      <w:r>
        <w:t>maximale</w:t>
      </w:r>
      <w:proofErr w:type="gramEnd"/>
      <w:r>
        <w:t xml:space="preserve"> daglige indtagelse af 2 g natrium for en voksen.</w:t>
      </w:r>
    </w:p>
    <w:p w:rsidR="00A06F90" w:rsidRDefault="00A06F90" w:rsidP="00A06F90">
      <w:pPr>
        <w:tabs>
          <w:tab w:val="left" w:pos="851"/>
        </w:tabs>
      </w:pPr>
    </w:p>
    <w:p w:rsidR="00A06F90" w:rsidRDefault="00A06F90" w:rsidP="00A06F90">
      <w:pPr>
        <w:keepNext/>
        <w:tabs>
          <w:tab w:val="left" w:pos="851"/>
        </w:tabs>
        <w:ind w:left="851"/>
        <w:rPr>
          <w:i/>
        </w:rPr>
      </w:pPr>
      <w:r>
        <w:rPr>
          <w:i/>
        </w:rPr>
        <w:t>Infusionspose på 150 ml</w:t>
      </w:r>
    </w:p>
    <w:p w:rsidR="00A06F90" w:rsidRDefault="00A06F90" w:rsidP="00A06F90">
      <w:pPr>
        <w:keepNext/>
        <w:tabs>
          <w:tab w:val="left" w:pos="851"/>
        </w:tabs>
        <w:ind w:left="851"/>
      </w:pPr>
      <w:r>
        <w:t xml:space="preserve">Dette lægemiddel indeholder 686,25 mg (29,85 mmol) natrium pr. infusionspose med 150 ml, svarende til 34,3% af den WHO anbefalede </w:t>
      </w:r>
      <w:proofErr w:type="gramStart"/>
      <w:r>
        <w:t>maximale</w:t>
      </w:r>
      <w:proofErr w:type="gramEnd"/>
      <w:r>
        <w:t xml:space="preserve"> daglige indtagelse af 2 g natrium for en voksen.</w:t>
      </w:r>
    </w:p>
    <w:p w:rsidR="00A06F90" w:rsidRDefault="00A06F90" w:rsidP="00A06F90">
      <w:pPr>
        <w:keepNext/>
        <w:tabs>
          <w:tab w:val="left" w:pos="851"/>
        </w:tabs>
        <w:ind w:left="851"/>
        <w:rPr>
          <w:color w:val="000000"/>
          <w:spacing w:val="-3"/>
        </w:rPr>
      </w:pPr>
    </w:p>
    <w:p w:rsidR="00A06F90" w:rsidRDefault="00A06F90" w:rsidP="00A06F90">
      <w:pPr>
        <w:tabs>
          <w:tab w:val="left" w:pos="851"/>
        </w:tabs>
        <w:ind w:left="851"/>
        <w:rPr>
          <w:i/>
        </w:rPr>
      </w:pPr>
      <w:r>
        <w:rPr>
          <w:i/>
        </w:rPr>
        <w:t>Infusionspose på 160 ml</w:t>
      </w:r>
    </w:p>
    <w:p w:rsidR="00A06F90" w:rsidRDefault="00A06F90" w:rsidP="00A06F90">
      <w:pPr>
        <w:tabs>
          <w:tab w:val="left" w:pos="851"/>
        </w:tabs>
        <w:ind w:left="851"/>
        <w:rPr>
          <w:color w:val="000000"/>
          <w:spacing w:val="-3"/>
        </w:rPr>
      </w:pPr>
      <w:r>
        <w:t xml:space="preserve">Dette lægemiddel indeholder 732,00 mg (31,84 mmol) natrium pr. infusionspose med 160 ml, svarende til 36,6% af den WHO anbefalede </w:t>
      </w:r>
      <w:proofErr w:type="gramStart"/>
      <w:r>
        <w:t>maximale</w:t>
      </w:r>
      <w:proofErr w:type="gramEnd"/>
      <w:r>
        <w:t xml:space="preserve"> daglige indtagelse af 2 g natrium for en voksen.</w:t>
      </w:r>
    </w:p>
    <w:p w:rsidR="00A06F90" w:rsidRDefault="00A06F90" w:rsidP="00A06F90">
      <w:pPr>
        <w:rPr>
          <w:color w:val="000000"/>
          <w:spacing w:val="-3"/>
        </w:rPr>
      </w:pPr>
    </w:p>
    <w:p w:rsidR="00A06F90" w:rsidRDefault="00A06F90" w:rsidP="00A06F90">
      <w:pPr>
        <w:ind w:firstLine="851"/>
        <w:rPr>
          <w:color w:val="000000"/>
          <w:spacing w:val="-3"/>
        </w:rPr>
      </w:pPr>
      <w:r>
        <w:rPr>
          <w:i/>
        </w:rPr>
        <w:t>Infusionspose på 170 ml</w:t>
      </w:r>
    </w:p>
    <w:p w:rsidR="00A06F90" w:rsidRDefault="00A06F90" w:rsidP="00A06F90">
      <w:pPr>
        <w:tabs>
          <w:tab w:val="left" w:pos="851"/>
        </w:tabs>
        <w:ind w:left="851"/>
      </w:pPr>
      <w:r>
        <w:t xml:space="preserve">Dette lægemiddel indeholder 777,75 mg (33,83 mmol) natrium pr. infusionspose med 170 ml, svarende til 38,8% af den WHO anbefalede </w:t>
      </w:r>
      <w:proofErr w:type="gramStart"/>
      <w:r>
        <w:t>maximale</w:t>
      </w:r>
      <w:proofErr w:type="gramEnd"/>
      <w:r>
        <w:t xml:space="preserve"> daglige indtagelse af 2 g natrium for en voksen.</w:t>
      </w:r>
    </w:p>
    <w:p w:rsidR="00A06F90" w:rsidRDefault="00A06F90" w:rsidP="00A06F90">
      <w:pPr>
        <w:tabs>
          <w:tab w:val="left" w:pos="851"/>
        </w:tabs>
        <w:ind w:left="851"/>
      </w:pPr>
    </w:p>
    <w:p w:rsidR="00A06F90" w:rsidRDefault="00A06F90" w:rsidP="00A06F90">
      <w:pPr>
        <w:tabs>
          <w:tab w:val="left" w:pos="851"/>
        </w:tabs>
        <w:ind w:left="851"/>
      </w:pPr>
    </w:p>
    <w:p w:rsidR="00A06F90" w:rsidRDefault="00A06F90" w:rsidP="00A06F90">
      <w:pPr>
        <w:tabs>
          <w:tab w:val="left" w:pos="851"/>
        </w:tabs>
        <w:ind w:left="851"/>
      </w:pPr>
    </w:p>
    <w:p w:rsidR="00A06F90" w:rsidRDefault="00A06F90" w:rsidP="00A06F90">
      <w:pPr>
        <w:tabs>
          <w:tab w:val="left" w:pos="851"/>
        </w:tabs>
        <w:ind w:left="851"/>
      </w:pPr>
    </w:p>
    <w:p w:rsidR="00A06F90" w:rsidRDefault="00A06F90" w:rsidP="00A06F90">
      <w:pPr>
        <w:tabs>
          <w:tab w:val="left" w:pos="851"/>
        </w:tabs>
        <w:ind w:left="851"/>
        <w:rPr>
          <w:i/>
        </w:rPr>
      </w:pPr>
      <w:r>
        <w:rPr>
          <w:i/>
        </w:rPr>
        <w:lastRenderedPageBreak/>
        <w:t>Infusionspose på 180 ml</w:t>
      </w:r>
    </w:p>
    <w:p w:rsidR="00A06F90" w:rsidRDefault="00A06F90" w:rsidP="00A06F90">
      <w:pPr>
        <w:tabs>
          <w:tab w:val="left" w:pos="851"/>
        </w:tabs>
        <w:ind w:left="851"/>
        <w:rPr>
          <w:color w:val="000000"/>
          <w:spacing w:val="-3"/>
        </w:rPr>
      </w:pPr>
      <w:r>
        <w:t xml:space="preserve">Dette lægemiddel indeholder 823,50 mg (35,82 mmol) natrium pr. infusionspose med 180 ml, svarende til 41,2% af den WHO anbefalede </w:t>
      </w:r>
      <w:proofErr w:type="gramStart"/>
      <w:r>
        <w:t>maximale</w:t>
      </w:r>
      <w:proofErr w:type="gramEnd"/>
      <w:r>
        <w:t xml:space="preserve"> daglige indtagelse af 2 g natrium for en voksen.</w:t>
      </w:r>
    </w:p>
    <w:p w:rsidR="00A06F90" w:rsidRDefault="00A06F90" w:rsidP="00A06F90">
      <w:pPr>
        <w:tabs>
          <w:tab w:val="left" w:pos="851"/>
        </w:tabs>
        <w:ind w:left="851"/>
      </w:pPr>
    </w:p>
    <w:p w:rsidR="00A06F90" w:rsidRDefault="00A06F90" w:rsidP="00A06F90">
      <w:pPr>
        <w:tabs>
          <w:tab w:val="left" w:pos="851"/>
        </w:tabs>
        <w:ind w:left="851"/>
        <w:rPr>
          <w:i/>
        </w:rPr>
      </w:pPr>
      <w:r>
        <w:rPr>
          <w:i/>
        </w:rPr>
        <w:t>Infusionspose på 200 ml</w:t>
      </w:r>
    </w:p>
    <w:p w:rsidR="00A06F90" w:rsidRDefault="00A06F90" w:rsidP="00A06F90">
      <w:pPr>
        <w:tabs>
          <w:tab w:val="left" w:pos="851"/>
        </w:tabs>
        <w:ind w:left="851"/>
        <w:rPr>
          <w:color w:val="000000"/>
          <w:spacing w:val="-3"/>
        </w:rPr>
      </w:pPr>
      <w:r>
        <w:t xml:space="preserve">Dette lægemiddelindeholder 915,00 mg (39,80 mmol) natrium pr. infusionspose med 200 ml, svarende til 45,8% af den WHO anbefalede </w:t>
      </w:r>
      <w:proofErr w:type="gramStart"/>
      <w:r>
        <w:t>maximale</w:t>
      </w:r>
      <w:proofErr w:type="gramEnd"/>
      <w:r>
        <w:t xml:space="preserve"> daglige indtagelse af 2 g natrium for en voksen.</w:t>
      </w:r>
    </w:p>
    <w:p w:rsidR="00A06F90" w:rsidRDefault="00A06F90" w:rsidP="00A06F90">
      <w:pPr>
        <w:tabs>
          <w:tab w:val="left" w:pos="851"/>
        </w:tabs>
        <w:ind w:left="851"/>
        <w:rPr>
          <w:color w:val="000000"/>
          <w:spacing w:val="-3"/>
        </w:rPr>
      </w:pPr>
    </w:p>
    <w:p w:rsidR="00A06F90" w:rsidRDefault="00A06F90" w:rsidP="00A06F90">
      <w:pPr>
        <w:tabs>
          <w:tab w:val="left" w:pos="851"/>
        </w:tabs>
        <w:ind w:left="851"/>
        <w:rPr>
          <w:i/>
        </w:rPr>
      </w:pPr>
      <w:r>
        <w:rPr>
          <w:i/>
        </w:rPr>
        <w:t>Infusionspose på 220 ml</w:t>
      </w:r>
    </w:p>
    <w:p w:rsidR="00A06F90" w:rsidRPr="00EF1F52" w:rsidRDefault="00A06F90" w:rsidP="00A06F90">
      <w:pPr>
        <w:tabs>
          <w:tab w:val="left" w:pos="851"/>
        </w:tabs>
        <w:ind w:left="851"/>
      </w:pPr>
      <w:r>
        <w:t xml:space="preserve">Dette lægemiddel indeholder 1006,50 mg (43,78 mmol) natrium pr. infusionspose med 220 ml, svarende til 50,3% af den WHO anbefalede </w:t>
      </w:r>
      <w:proofErr w:type="gramStart"/>
      <w:r>
        <w:t>maximale</w:t>
      </w:r>
      <w:proofErr w:type="gramEnd"/>
      <w:r>
        <w:t xml:space="preserve"> daglige indtagelse af 2 g natrium for en voksen.</w:t>
      </w:r>
    </w:p>
    <w:p w:rsidR="007B43B6" w:rsidRPr="00C84483" w:rsidRDefault="007B43B6" w:rsidP="00A06F90">
      <w:pPr>
        <w:tabs>
          <w:tab w:val="left" w:pos="851"/>
        </w:tabs>
        <w:ind w:left="1304" w:hanging="1304"/>
        <w:rPr>
          <w:sz w:val="24"/>
          <w:szCs w:val="24"/>
        </w:rPr>
      </w:pPr>
    </w:p>
    <w:p w:rsidR="007B43B6" w:rsidRPr="00C84483" w:rsidRDefault="007B43B6" w:rsidP="007B43B6">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7B43B6" w:rsidRPr="00FB065A" w:rsidRDefault="007B43B6" w:rsidP="007B43B6">
      <w:pPr>
        <w:tabs>
          <w:tab w:val="left" w:pos="851"/>
        </w:tabs>
        <w:ind w:left="851" w:hanging="851"/>
      </w:pPr>
      <w:r>
        <w:tab/>
      </w:r>
      <w:r w:rsidRPr="00FB065A">
        <w:rPr>
          <w:color w:val="000000"/>
          <w:spacing w:val="-3"/>
        </w:rPr>
        <w:t xml:space="preserve">Der er ikke udført </w:t>
      </w:r>
      <w:r w:rsidRPr="00BC6CD3">
        <w:rPr>
          <w:color w:val="000000"/>
          <w:spacing w:val="-3"/>
        </w:rPr>
        <w:t>interaktionsstudier</w:t>
      </w:r>
      <w:r w:rsidRPr="00BC6CD3" w:rsidDel="00BC6CD3">
        <w:rPr>
          <w:color w:val="000000"/>
          <w:spacing w:val="-3"/>
        </w:rPr>
        <w:t xml:space="preserve"> </w:t>
      </w:r>
      <w:r w:rsidRPr="00FB065A">
        <w:rPr>
          <w:color w:val="000000"/>
          <w:spacing w:val="-3"/>
        </w:rPr>
        <w:t>(se pkt. 5.2)</w:t>
      </w:r>
      <w:r>
        <w:rPr>
          <w:color w:val="000000"/>
          <w:spacing w:val="-3"/>
        </w:rPr>
        <w:t>.</w:t>
      </w:r>
    </w:p>
    <w:p w:rsidR="007B43B6" w:rsidRDefault="007B43B6" w:rsidP="007B43B6">
      <w:pPr>
        <w:tabs>
          <w:tab w:val="left" w:pos="851"/>
        </w:tabs>
        <w:ind w:left="1304" w:hanging="1304"/>
        <w:rPr>
          <w:color w:val="000000"/>
          <w:spacing w:val="-3"/>
          <w:u w:val="single"/>
        </w:rPr>
      </w:pPr>
    </w:p>
    <w:p w:rsidR="007B43B6" w:rsidRPr="00FB065A" w:rsidRDefault="007B43B6" w:rsidP="007B43B6">
      <w:pPr>
        <w:tabs>
          <w:tab w:val="left" w:pos="851"/>
        </w:tabs>
        <w:ind w:left="1304" w:hanging="1304"/>
      </w:pPr>
      <w:r>
        <w:rPr>
          <w:color w:val="000000"/>
          <w:spacing w:val="-3"/>
        </w:rPr>
        <w:tab/>
      </w:r>
      <w:r w:rsidRPr="00FB065A">
        <w:rPr>
          <w:color w:val="000000"/>
          <w:spacing w:val="-3"/>
          <w:u w:val="single"/>
        </w:rPr>
        <w:t>Strålebehandling</w:t>
      </w:r>
    </w:p>
    <w:p w:rsidR="007B43B6" w:rsidRDefault="007B43B6" w:rsidP="007B43B6">
      <w:pPr>
        <w:tabs>
          <w:tab w:val="left" w:pos="851"/>
        </w:tabs>
        <w:ind w:left="851" w:hanging="851"/>
        <w:rPr>
          <w:color w:val="000000"/>
          <w:spacing w:val="-2"/>
        </w:rPr>
      </w:pPr>
      <w:r>
        <w:rPr>
          <w:color w:val="000000"/>
          <w:spacing w:val="-3"/>
        </w:rPr>
        <w:tab/>
      </w:r>
      <w:r w:rsidRPr="00FB065A">
        <w:rPr>
          <w:color w:val="000000"/>
          <w:spacing w:val="-3"/>
        </w:rPr>
        <w:t xml:space="preserve">Samtidig behandling (administreret samtidigt eller </w:t>
      </w:r>
      <w:r>
        <w:rPr>
          <w:color w:val="000000"/>
          <w:spacing w:val="-3"/>
        </w:rPr>
        <w:t>med ≤</w:t>
      </w:r>
      <w:r w:rsidRPr="00FB065A">
        <w:rPr>
          <w:color w:val="000000"/>
          <w:spacing w:val="-3"/>
        </w:rPr>
        <w:t xml:space="preserve"> 7 dages mellemrum)</w:t>
      </w:r>
      <w:r>
        <w:rPr>
          <w:color w:val="000000"/>
          <w:spacing w:val="-3"/>
        </w:rPr>
        <w:t>: T</w:t>
      </w:r>
      <w:r w:rsidRPr="00FB065A">
        <w:rPr>
          <w:color w:val="000000"/>
          <w:spacing w:val="-3"/>
        </w:rPr>
        <w:t xml:space="preserve">oksicitet forbundet med denne multimodale behandling afhænger af mange forskellige faktorer, blandt andet dosis af </w:t>
      </w:r>
      <w:proofErr w:type="spellStart"/>
      <w:r w:rsidRPr="00FB065A">
        <w:rPr>
          <w:color w:val="000000"/>
          <w:spacing w:val="-3"/>
        </w:rPr>
        <w:t>gemcitabin</w:t>
      </w:r>
      <w:proofErr w:type="spellEnd"/>
      <w:r w:rsidRPr="00FB065A">
        <w:rPr>
          <w:color w:val="000000"/>
          <w:spacing w:val="-3"/>
        </w:rPr>
        <w:t xml:space="preserve">, </w:t>
      </w:r>
      <w:r w:rsidRPr="00FB065A">
        <w:rPr>
          <w:color w:val="000000"/>
          <w:spacing w:val="-2"/>
        </w:rPr>
        <w:t xml:space="preserve">hyppighed af </w:t>
      </w:r>
      <w:proofErr w:type="spellStart"/>
      <w:r w:rsidRPr="00FB065A">
        <w:rPr>
          <w:color w:val="000000"/>
          <w:spacing w:val="-2"/>
        </w:rPr>
        <w:t>gemcitabinadministration</w:t>
      </w:r>
      <w:proofErr w:type="spellEnd"/>
      <w:r w:rsidRPr="00FB065A">
        <w:rPr>
          <w:color w:val="000000"/>
          <w:spacing w:val="-2"/>
        </w:rPr>
        <w:t>, stråledosis, planlægningsteknikken for strålebehandlingen, det tumorvæv, som er mål for be</w:t>
      </w:r>
      <w:r>
        <w:rPr>
          <w:color w:val="000000"/>
          <w:spacing w:val="-2"/>
        </w:rPr>
        <w:t>handlingen, og tumorstørrelsen.</w:t>
      </w:r>
    </w:p>
    <w:p w:rsidR="007B43B6" w:rsidRPr="00FB065A" w:rsidRDefault="007B43B6" w:rsidP="007B43B6">
      <w:pPr>
        <w:tabs>
          <w:tab w:val="left" w:pos="851"/>
        </w:tabs>
        <w:ind w:left="851" w:hanging="851"/>
      </w:pPr>
      <w:r>
        <w:rPr>
          <w:color w:val="000000"/>
          <w:spacing w:val="-2"/>
        </w:rPr>
        <w:tab/>
      </w:r>
      <w:r w:rsidRPr="00FB065A">
        <w:rPr>
          <w:color w:val="000000"/>
          <w:spacing w:val="-2"/>
        </w:rPr>
        <w:t xml:space="preserve">Prækliniske og kliniske forsøg har vist, at </w:t>
      </w:r>
      <w:proofErr w:type="spellStart"/>
      <w:r w:rsidRPr="00FB065A">
        <w:rPr>
          <w:color w:val="000000"/>
          <w:spacing w:val="-2"/>
        </w:rPr>
        <w:t>gemcitabin</w:t>
      </w:r>
      <w:proofErr w:type="spellEnd"/>
      <w:r w:rsidRPr="00FB065A">
        <w:rPr>
          <w:color w:val="000000"/>
          <w:spacing w:val="-2"/>
        </w:rPr>
        <w:t xml:space="preserve"> forøger følsomheden over for stråling. I en enkelt undersøgelse, hvor </w:t>
      </w:r>
      <w:proofErr w:type="spellStart"/>
      <w:r w:rsidRPr="00FB065A">
        <w:rPr>
          <w:color w:val="000000"/>
          <w:spacing w:val="-2"/>
        </w:rPr>
        <w:t>gemcitabin</w:t>
      </w:r>
      <w:proofErr w:type="spellEnd"/>
      <w:r w:rsidRPr="00FB065A">
        <w:rPr>
          <w:color w:val="000000"/>
          <w:spacing w:val="-2"/>
        </w:rPr>
        <w:t xml:space="preserve"> blev givet i </w:t>
      </w:r>
      <w:r w:rsidRPr="00FB065A">
        <w:rPr>
          <w:color w:val="000000"/>
          <w:spacing w:val="-3"/>
        </w:rPr>
        <w:t>en dosis på 1000 mg/m</w:t>
      </w:r>
      <w:r w:rsidRPr="00FB065A">
        <w:rPr>
          <w:color w:val="000000"/>
          <w:spacing w:val="-3"/>
          <w:vertAlign w:val="superscript"/>
        </w:rPr>
        <w:t>2</w:t>
      </w:r>
      <w:r w:rsidRPr="00FB065A">
        <w:rPr>
          <w:color w:val="000000"/>
          <w:spacing w:val="-3"/>
        </w:rPr>
        <w:t xml:space="preserve"> i op til 6 uger i træk sammen med terapeutisk </w:t>
      </w:r>
      <w:proofErr w:type="spellStart"/>
      <w:r w:rsidRPr="00FB065A">
        <w:rPr>
          <w:color w:val="000000"/>
          <w:spacing w:val="-3"/>
        </w:rPr>
        <w:t>torakalbestråling</w:t>
      </w:r>
      <w:proofErr w:type="spellEnd"/>
      <w:r w:rsidRPr="00FB065A">
        <w:rPr>
          <w:color w:val="000000"/>
          <w:spacing w:val="-3"/>
        </w:rPr>
        <w:t xml:space="preserve"> til patienter med </w:t>
      </w:r>
      <w:r w:rsidRPr="00FB065A">
        <w:rPr>
          <w:color w:val="000000"/>
          <w:spacing w:val="-2"/>
        </w:rPr>
        <w:t xml:space="preserve">ikke-småcellet lungecancer, blev der observeret signifikant toksicitet i form af svær og potentielt </w:t>
      </w:r>
      <w:r w:rsidRPr="00FB065A">
        <w:rPr>
          <w:color w:val="000000"/>
          <w:spacing w:val="-3"/>
        </w:rPr>
        <w:t xml:space="preserve">livstruende </w:t>
      </w:r>
      <w:proofErr w:type="spellStart"/>
      <w:r w:rsidRPr="00FB065A">
        <w:rPr>
          <w:color w:val="000000"/>
          <w:spacing w:val="-3"/>
        </w:rPr>
        <w:t>mucosit</w:t>
      </w:r>
      <w:proofErr w:type="spellEnd"/>
      <w:r w:rsidRPr="00FB065A">
        <w:rPr>
          <w:color w:val="000000"/>
          <w:spacing w:val="-3"/>
        </w:rPr>
        <w:t xml:space="preserve">, specielt </w:t>
      </w:r>
      <w:proofErr w:type="spellStart"/>
      <w:r w:rsidRPr="00FB065A">
        <w:rPr>
          <w:color w:val="000000"/>
          <w:spacing w:val="-3"/>
        </w:rPr>
        <w:t>øsofagitis</w:t>
      </w:r>
      <w:proofErr w:type="spellEnd"/>
      <w:r w:rsidRPr="00FB065A">
        <w:rPr>
          <w:color w:val="000000"/>
          <w:spacing w:val="-3"/>
        </w:rPr>
        <w:t xml:space="preserve"> og pneumoni. Dette blev især observeret hos patienter, der fik store </w:t>
      </w:r>
      <w:r w:rsidRPr="00FB065A">
        <w:rPr>
          <w:color w:val="000000"/>
          <w:spacing w:val="-4"/>
        </w:rPr>
        <w:t>mængder strålebehandling [median behandlingsvolumen 4795 cm</w:t>
      </w:r>
      <w:r w:rsidRPr="00FB065A">
        <w:rPr>
          <w:color w:val="000000"/>
          <w:spacing w:val="-4"/>
          <w:vertAlign w:val="superscript"/>
        </w:rPr>
        <w:t>3</w:t>
      </w:r>
      <w:r w:rsidRPr="00FB065A">
        <w:rPr>
          <w:color w:val="000000"/>
          <w:spacing w:val="-4"/>
        </w:rPr>
        <w:t xml:space="preserve">]. Senere undersøgelser indikerer, at det </w:t>
      </w:r>
      <w:r w:rsidRPr="00FB065A">
        <w:rPr>
          <w:color w:val="000000"/>
          <w:spacing w:val="-2"/>
        </w:rPr>
        <w:t xml:space="preserve">er muligt at administrere </w:t>
      </w:r>
      <w:proofErr w:type="spellStart"/>
      <w:r w:rsidRPr="00FB065A">
        <w:rPr>
          <w:color w:val="000000"/>
          <w:spacing w:val="-2"/>
        </w:rPr>
        <w:t>gemcitabin</w:t>
      </w:r>
      <w:proofErr w:type="spellEnd"/>
      <w:r w:rsidRPr="00FB065A">
        <w:rPr>
          <w:color w:val="000000"/>
          <w:spacing w:val="-2"/>
        </w:rPr>
        <w:t xml:space="preserve"> i lavere doser med samtidig strålebehandling med en forudsigelig toksicitet, som i et fase II studie af ikke-småcellet lungecancer, hvor der blev anvendt </w:t>
      </w:r>
      <w:proofErr w:type="spellStart"/>
      <w:r w:rsidRPr="00FB065A">
        <w:rPr>
          <w:color w:val="000000"/>
          <w:spacing w:val="-2"/>
        </w:rPr>
        <w:t>torakalbestråling</w:t>
      </w:r>
      <w:proofErr w:type="spellEnd"/>
      <w:r w:rsidRPr="00FB065A">
        <w:rPr>
          <w:color w:val="000000"/>
          <w:spacing w:val="-2"/>
        </w:rPr>
        <w:t xml:space="preserve"> i </w:t>
      </w:r>
      <w:r w:rsidRPr="00FB065A">
        <w:rPr>
          <w:color w:val="000000"/>
          <w:spacing w:val="-3"/>
        </w:rPr>
        <w:t xml:space="preserve">doser på 66Gy samtidig med </w:t>
      </w:r>
      <w:proofErr w:type="spellStart"/>
      <w:r w:rsidRPr="00FB065A">
        <w:rPr>
          <w:color w:val="000000"/>
          <w:spacing w:val="-3"/>
        </w:rPr>
        <w:t>gemcitabin</w:t>
      </w:r>
      <w:proofErr w:type="spellEnd"/>
      <w:r w:rsidRPr="00FB065A">
        <w:rPr>
          <w:color w:val="000000"/>
          <w:spacing w:val="-3"/>
        </w:rPr>
        <w:t xml:space="preserve"> (600 mg/m</w:t>
      </w:r>
      <w:r w:rsidRPr="00FB065A">
        <w:rPr>
          <w:color w:val="000000"/>
          <w:spacing w:val="-3"/>
          <w:vertAlign w:val="superscript"/>
        </w:rPr>
        <w:t>2</w:t>
      </w:r>
      <w:r>
        <w:rPr>
          <w:color w:val="000000"/>
          <w:spacing w:val="-3"/>
        </w:rPr>
        <w:t>,</w:t>
      </w:r>
      <w:r w:rsidRPr="00FB065A">
        <w:rPr>
          <w:color w:val="000000"/>
          <w:spacing w:val="-3"/>
        </w:rPr>
        <w:t xml:space="preserve"> 4 gange) og </w:t>
      </w:r>
      <w:proofErr w:type="spellStart"/>
      <w:r w:rsidRPr="00FB065A">
        <w:rPr>
          <w:color w:val="000000"/>
          <w:spacing w:val="-3"/>
        </w:rPr>
        <w:t>cisplatin</w:t>
      </w:r>
      <w:proofErr w:type="spellEnd"/>
      <w:r w:rsidRPr="00FB065A">
        <w:rPr>
          <w:color w:val="000000"/>
          <w:spacing w:val="-3"/>
        </w:rPr>
        <w:t xml:space="preserve"> (80 mg/m</w:t>
      </w:r>
      <w:r w:rsidRPr="00FB065A">
        <w:rPr>
          <w:color w:val="000000"/>
          <w:spacing w:val="-3"/>
          <w:vertAlign w:val="superscript"/>
        </w:rPr>
        <w:t>2</w:t>
      </w:r>
      <w:r w:rsidRPr="00FB065A">
        <w:rPr>
          <w:color w:val="000000"/>
          <w:spacing w:val="-3"/>
        </w:rPr>
        <w:t xml:space="preserve">, to gange) i løbet af </w:t>
      </w:r>
      <w:r w:rsidRPr="00FB065A">
        <w:rPr>
          <w:color w:val="000000"/>
          <w:spacing w:val="-2"/>
        </w:rPr>
        <w:t xml:space="preserve">6 uger. Der er endnu ikke fastlagt et optimalt doseringsregime til sikker administration af </w:t>
      </w:r>
      <w:proofErr w:type="spellStart"/>
      <w:r w:rsidRPr="00FB065A">
        <w:rPr>
          <w:color w:val="000000"/>
          <w:spacing w:val="-2"/>
        </w:rPr>
        <w:t>gemcitabin</w:t>
      </w:r>
      <w:proofErr w:type="spellEnd"/>
      <w:r w:rsidRPr="00FB065A">
        <w:rPr>
          <w:color w:val="000000"/>
          <w:spacing w:val="-2"/>
        </w:rPr>
        <w:t xml:space="preserve"> </w:t>
      </w:r>
      <w:r w:rsidRPr="00FB065A">
        <w:rPr>
          <w:color w:val="000000"/>
          <w:spacing w:val="-3"/>
        </w:rPr>
        <w:t>sammen med terapeutiske strålingsdoser for alle slags tumorer.</w:t>
      </w:r>
    </w:p>
    <w:p w:rsidR="007B43B6" w:rsidRDefault="007B43B6" w:rsidP="007B43B6">
      <w:pPr>
        <w:tabs>
          <w:tab w:val="left" w:pos="851"/>
        </w:tabs>
        <w:ind w:left="851" w:hanging="851"/>
        <w:rPr>
          <w:color w:val="000000"/>
          <w:spacing w:val="-3"/>
        </w:rPr>
      </w:pPr>
    </w:p>
    <w:p w:rsidR="007B43B6" w:rsidRPr="00FB065A" w:rsidRDefault="007B43B6" w:rsidP="007B43B6">
      <w:pPr>
        <w:tabs>
          <w:tab w:val="left" w:pos="851"/>
        </w:tabs>
        <w:ind w:left="851" w:hanging="851"/>
      </w:pPr>
      <w:r>
        <w:rPr>
          <w:color w:val="000000"/>
          <w:spacing w:val="-3"/>
        </w:rPr>
        <w:tab/>
      </w:r>
      <w:r w:rsidRPr="00FB065A">
        <w:rPr>
          <w:color w:val="000000"/>
          <w:spacing w:val="-3"/>
        </w:rPr>
        <w:t>Ikke samtidig behandling (</w:t>
      </w:r>
      <w:r>
        <w:rPr>
          <w:color w:val="000000"/>
          <w:spacing w:val="-3"/>
        </w:rPr>
        <w:t xml:space="preserve">med </w:t>
      </w:r>
      <w:r w:rsidRPr="00FB065A">
        <w:rPr>
          <w:color w:val="000000"/>
          <w:spacing w:val="-3"/>
        </w:rPr>
        <w:t>&gt; 7 dages mellemrum)</w:t>
      </w:r>
      <w:r>
        <w:rPr>
          <w:color w:val="000000"/>
          <w:spacing w:val="-3"/>
        </w:rPr>
        <w:t xml:space="preserve">: </w:t>
      </w:r>
      <w:r w:rsidRPr="00FB065A">
        <w:rPr>
          <w:color w:val="000000"/>
          <w:spacing w:val="-3"/>
        </w:rPr>
        <w:t xml:space="preserve">Der foreligger ikke data, som indikerer betydelig øget </w:t>
      </w:r>
      <w:r w:rsidRPr="00FB065A">
        <w:rPr>
          <w:color w:val="000000"/>
          <w:spacing w:val="-2"/>
        </w:rPr>
        <w:t xml:space="preserve">toksicitet, når </w:t>
      </w:r>
      <w:proofErr w:type="spellStart"/>
      <w:r w:rsidRPr="00FB065A">
        <w:rPr>
          <w:color w:val="000000"/>
          <w:spacing w:val="-2"/>
        </w:rPr>
        <w:t>gemcitabin</w:t>
      </w:r>
      <w:proofErr w:type="spellEnd"/>
      <w:r w:rsidRPr="00FB065A">
        <w:rPr>
          <w:color w:val="000000"/>
          <w:spacing w:val="-2"/>
        </w:rPr>
        <w:t xml:space="preserve"> indgives mere end 7 dage før eller efter strålebehandling, bortset fra en genkaldelse af strålebivirkningerne. Data indikerer, at </w:t>
      </w:r>
      <w:proofErr w:type="spellStart"/>
      <w:r w:rsidRPr="00FB065A">
        <w:rPr>
          <w:color w:val="000000"/>
          <w:spacing w:val="-2"/>
        </w:rPr>
        <w:t>gemcitabin</w:t>
      </w:r>
      <w:proofErr w:type="spellEnd"/>
      <w:r w:rsidRPr="00FB065A">
        <w:rPr>
          <w:color w:val="000000"/>
          <w:spacing w:val="-2"/>
        </w:rPr>
        <w:t xml:space="preserve"> kan startes, når akutte effekter af </w:t>
      </w:r>
      <w:r w:rsidRPr="00FB065A">
        <w:rPr>
          <w:color w:val="000000"/>
          <w:spacing w:val="-3"/>
        </w:rPr>
        <w:t>strålingen har fortaget sig, eller mindst en uge efter strålebehandlingen.</w:t>
      </w:r>
    </w:p>
    <w:p w:rsidR="007B43B6" w:rsidRDefault="007B43B6" w:rsidP="007B43B6">
      <w:pPr>
        <w:shd w:val="clear" w:color="auto" w:fill="FFFFFF"/>
        <w:tabs>
          <w:tab w:val="left" w:pos="567"/>
        </w:tabs>
        <w:spacing w:before="10" w:line="250" w:lineRule="exact"/>
        <w:ind w:left="5" w:right="605"/>
        <w:rPr>
          <w:color w:val="000000"/>
          <w:spacing w:val="-3"/>
        </w:rPr>
      </w:pPr>
    </w:p>
    <w:p w:rsidR="007B43B6" w:rsidRDefault="007B43B6" w:rsidP="007B43B6">
      <w:pPr>
        <w:tabs>
          <w:tab w:val="left" w:pos="851"/>
        </w:tabs>
        <w:ind w:left="851" w:hanging="851"/>
        <w:rPr>
          <w:color w:val="000000"/>
          <w:spacing w:val="-3"/>
        </w:rPr>
      </w:pPr>
      <w:r>
        <w:rPr>
          <w:color w:val="000000"/>
          <w:spacing w:val="-3"/>
        </w:rPr>
        <w:tab/>
      </w:r>
      <w:r w:rsidRPr="00FB065A">
        <w:rPr>
          <w:color w:val="000000"/>
          <w:spacing w:val="-3"/>
        </w:rPr>
        <w:t xml:space="preserve">Der er rapporteret om stråleskade på det tumorvæv, som er mål for behandlingen (f.eks. </w:t>
      </w:r>
      <w:proofErr w:type="spellStart"/>
      <w:r w:rsidRPr="00FB065A">
        <w:rPr>
          <w:color w:val="000000"/>
          <w:spacing w:val="-3"/>
        </w:rPr>
        <w:t>øsofagitis</w:t>
      </w:r>
      <w:proofErr w:type="spellEnd"/>
      <w:r w:rsidRPr="00FB065A">
        <w:rPr>
          <w:color w:val="000000"/>
          <w:spacing w:val="-3"/>
        </w:rPr>
        <w:t xml:space="preserve">, colitis og pneumoni) både i forbindelse med samtidig og ikke-samtidig brug af </w:t>
      </w:r>
      <w:proofErr w:type="spellStart"/>
      <w:r w:rsidRPr="00FB065A">
        <w:rPr>
          <w:color w:val="000000"/>
          <w:spacing w:val="-3"/>
        </w:rPr>
        <w:t>gemcitabin</w:t>
      </w:r>
      <w:proofErr w:type="spellEnd"/>
      <w:r w:rsidRPr="00FB065A">
        <w:rPr>
          <w:color w:val="000000"/>
          <w:spacing w:val="-3"/>
        </w:rPr>
        <w:t>.</w:t>
      </w:r>
    </w:p>
    <w:p w:rsidR="007B43B6" w:rsidRPr="00FB065A" w:rsidRDefault="007B43B6" w:rsidP="007B43B6">
      <w:pPr>
        <w:tabs>
          <w:tab w:val="left" w:pos="851"/>
        </w:tabs>
        <w:ind w:left="851" w:hanging="851"/>
      </w:pPr>
    </w:p>
    <w:p w:rsidR="007B43B6" w:rsidRPr="00FB065A" w:rsidRDefault="007B43B6" w:rsidP="007B43B6">
      <w:pPr>
        <w:tabs>
          <w:tab w:val="left" w:pos="851"/>
        </w:tabs>
        <w:ind w:left="1304" w:hanging="1304"/>
      </w:pPr>
      <w:r>
        <w:rPr>
          <w:color w:val="000000"/>
          <w:spacing w:val="-5"/>
        </w:rPr>
        <w:tab/>
      </w:r>
      <w:r w:rsidRPr="00FB065A">
        <w:rPr>
          <w:color w:val="000000"/>
          <w:spacing w:val="-5"/>
          <w:u w:val="single"/>
        </w:rPr>
        <w:t>Andre</w:t>
      </w:r>
    </w:p>
    <w:p w:rsidR="007B43B6" w:rsidRPr="005656C3" w:rsidRDefault="007B43B6" w:rsidP="007B43B6">
      <w:pPr>
        <w:tabs>
          <w:tab w:val="left" w:pos="851"/>
        </w:tabs>
        <w:ind w:left="851" w:hanging="851"/>
      </w:pPr>
      <w:r>
        <w:rPr>
          <w:color w:val="000000"/>
          <w:spacing w:val="-3"/>
        </w:rPr>
        <w:tab/>
      </w:r>
      <w:r w:rsidRPr="000D6077">
        <w:rPr>
          <w:color w:val="000000"/>
          <w:spacing w:val="-3"/>
        </w:rPr>
        <w:t>Gul feber vaccine og andre levende, svækkede vacciner anbefales ikke, på grund af risikoen for</w:t>
      </w:r>
      <w:r w:rsidRPr="00FB065A">
        <w:rPr>
          <w:color w:val="000000"/>
          <w:spacing w:val="-5"/>
        </w:rPr>
        <w:t xml:space="preserve"> </w:t>
      </w:r>
      <w:r w:rsidRPr="00FB065A">
        <w:rPr>
          <w:color w:val="000000"/>
          <w:spacing w:val="-6"/>
        </w:rPr>
        <w:t xml:space="preserve">systemisk sygdom, som kan være fatal, specielt hos patienter med </w:t>
      </w:r>
      <w:proofErr w:type="spellStart"/>
      <w:r w:rsidRPr="00FB065A">
        <w:rPr>
          <w:color w:val="000000"/>
          <w:spacing w:val="-6"/>
        </w:rPr>
        <w:t>immunosuppression</w:t>
      </w:r>
      <w:proofErr w:type="spellEnd"/>
      <w:r w:rsidRPr="00FB065A">
        <w:rPr>
          <w:color w:val="000000"/>
          <w:spacing w:val="-6"/>
        </w:rPr>
        <w:t>.</w:t>
      </w:r>
    </w:p>
    <w:p w:rsidR="007B43B6" w:rsidRDefault="007B43B6" w:rsidP="007B43B6">
      <w:pPr>
        <w:tabs>
          <w:tab w:val="left" w:pos="851"/>
        </w:tabs>
        <w:ind w:left="851"/>
        <w:rPr>
          <w:sz w:val="24"/>
          <w:szCs w:val="24"/>
        </w:rPr>
      </w:pPr>
    </w:p>
    <w:p w:rsidR="00A06F90" w:rsidRDefault="00A06F90" w:rsidP="007B43B6">
      <w:pPr>
        <w:tabs>
          <w:tab w:val="left" w:pos="851"/>
        </w:tabs>
        <w:ind w:left="851"/>
        <w:rPr>
          <w:sz w:val="24"/>
          <w:szCs w:val="24"/>
        </w:rPr>
      </w:pPr>
    </w:p>
    <w:p w:rsidR="00A06F90" w:rsidRPr="00C84483" w:rsidRDefault="00A06F90" w:rsidP="007B43B6">
      <w:pPr>
        <w:tabs>
          <w:tab w:val="left" w:pos="851"/>
        </w:tabs>
        <w:ind w:left="851"/>
        <w:rPr>
          <w:sz w:val="24"/>
          <w:szCs w:val="24"/>
        </w:rPr>
      </w:pPr>
    </w:p>
    <w:p w:rsidR="007B43B6" w:rsidRPr="00C84483" w:rsidRDefault="007B43B6" w:rsidP="007B43B6">
      <w:pPr>
        <w:tabs>
          <w:tab w:val="left" w:pos="851"/>
        </w:tabs>
        <w:ind w:left="851" w:hanging="851"/>
        <w:rPr>
          <w:b/>
          <w:sz w:val="24"/>
          <w:szCs w:val="24"/>
        </w:rPr>
      </w:pPr>
      <w:r w:rsidRPr="00C84483">
        <w:rPr>
          <w:b/>
          <w:sz w:val="24"/>
          <w:szCs w:val="24"/>
        </w:rPr>
        <w:lastRenderedPageBreak/>
        <w:t>4.6</w:t>
      </w:r>
      <w:r w:rsidRPr="00C84483">
        <w:rPr>
          <w:b/>
          <w:sz w:val="24"/>
          <w:szCs w:val="24"/>
        </w:rPr>
        <w:tab/>
      </w:r>
      <w:r w:rsidR="00A06F90">
        <w:rPr>
          <w:b/>
          <w:sz w:val="24"/>
          <w:szCs w:val="24"/>
        </w:rPr>
        <w:t>Fertilitet, g</w:t>
      </w:r>
      <w:r w:rsidRPr="00C84483">
        <w:rPr>
          <w:b/>
          <w:sz w:val="24"/>
          <w:szCs w:val="24"/>
        </w:rPr>
        <w:t>raviditet og amning</w:t>
      </w:r>
    </w:p>
    <w:p w:rsidR="007B43B6" w:rsidRDefault="007B43B6" w:rsidP="007B43B6">
      <w:pPr>
        <w:tabs>
          <w:tab w:val="left" w:pos="851"/>
        </w:tabs>
        <w:ind w:left="1304" w:hanging="1304"/>
      </w:pPr>
      <w:r>
        <w:tab/>
      </w:r>
    </w:p>
    <w:p w:rsidR="007B43B6" w:rsidRPr="00FB065A" w:rsidRDefault="007B43B6" w:rsidP="007B43B6">
      <w:pPr>
        <w:tabs>
          <w:tab w:val="left" w:pos="851"/>
        </w:tabs>
        <w:ind w:left="1304" w:hanging="1304"/>
      </w:pPr>
      <w:r>
        <w:tab/>
      </w:r>
      <w:r w:rsidRPr="00FB065A">
        <w:rPr>
          <w:color w:val="000000"/>
          <w:spacing w:val="-2"/>
          <w:u w:val="single"/>
        </w:rPr>
        <w:t>Fertilitet</w:t>
      </w:r>
    </w:p>
    <w:p w:rsidR="007B43B6" w:rsidRDefault="007B43B6" w:rsidP="007B43B6">
      <w:pPr>
        <w:tabs>
          <w:tab w:val="left" w:pos="851"/>
        </w:tabs>
        <w:ind w:left="851" w:hanging="851"/>
        <w:rPr>
          <w:color w:val="000000"/>
          <w:spacing w:val="-3"/>
        </w:rPr>
      </w:pPr>
      <w:r>
        <w:rPr>
          <w:color w:val="000000"/>
          <w:spacing w:val="-2"/>
        </w:rPr>
        <w:tab/>
      </w:r>
      <w:r w:rsidRPr="00FB065A">
        <w:rPr>
          <w:color w:val="000000"/>
          <w:spacing w:val="-2"/>
        </w:rPr>
        <w:t xml:space="preserve">I fertilitetsstudier forårsagede </w:t>
      </w:r>
      <w:proofErr w:type="spellStart"/>
      <w:r w:rsidRPr="00FB065A">
        <w:rPr>
          <w:color w:val="000000"/>
          <w:spacing w:val="-2"/>
        </w:rPr>
        <w:t>gemcitabin</w:t>
      </w:r>
      <w:proofErr w:type="spellEnd"/>
      <w:r w:rsidRPr="00FB065A">
        <w:rPr>
          <w:color w:val="000000"/>
          <w:spacing w:val="-2"/>
        </w:rPr>
        <w:t xml:space="preserve"> </w:t>
      </w:r>
      <w:proofErr w:type="spellStart"/>
      <w:r w:rsidRPr="00FB065A">
        <w:rPr>
          <w:color w:val="000000"/>
          <w:spacing w:val="-2"/>
        </w:rPr>
        <w:t>hypospermatogenese</w:t>
      </w:r>
      <w:proofErr w:type="spellEnd"/>
      <w:r w:rsidRPr="00FB065A">
        <w:rPr>
          <w:color w:val="000000"/>
          <w:spacing w:val="-2"/>
        </w:rPr>
        <w:t xml:space="preserve"> i </w:t>
      </w:r>
      <w:proofErr w:type="spellStart"/>
      <w:r w:rsidRPr="00FB065A">
        <w:rPr>
          <w:color w:val="000000"/>
          <w:spacing w:val="-2"/>
        </w:rPr>
        <w:t>hanmus</w:t>
      </w:r>
      <w:proofErr w:type="spellEnd"/>
      <w:r w:rsidRPr="00FB065A">
        <w:rPr>
          <w:color w:val="000000"/>
          <w:spacing w:val="-2"/>
        </w:rPr>
        <w:t xml:space="preserve"> (se pkt. 5.3). Mænd, som </w:t>
      </w:r>
      <w:r w:rsidRPr="00FB065A">
        <w:rPr>
          <w:color w:val="000000"/>
          <w:spacing w:val="-3"/>
        </w:rPr>
        <w:t xml:space="preserve">behandles med </w:t>
      </w:r>
      <w:proofErr w:type="spellStart"/>
      <w:r w:rsidRPr="00FB065A">
        <w:rPr>
          <w:color w:val="000000"/>
          <w:spacing w:val="-3"/>
        </w:rPr>
        <w:t>gemcitabin</w:t>
      </w:r>
      <w:proofErr w:type="spellEnd"/>
      <w:r w:rsidRPr="00FB065A">
        <w:rPr>
          <w:color w:val="000000"/>
          <w:spacing w:val="-3"/>
        </w:rPr>
        <w:t xml:space="preserve">, frarådes derfor at gøre en kvinde gravid under og op til 6 måneder efter behandling. Det anbefales også at søge yderligere rådgivning angående </w:t>
      </w:r>
      <w:proofErr w:type="spellStart"/>
      <w:r w:rsidRPr="00FB065A">
        <w:rPr>
          <w:color w:val="000000"/>
          <w:spacing w:val="-3"/>
        </w:rPr>
        <w:t>kryokonservering</w:t>
      </w:r>
      <w:proofErr w:type="spellEnd"/>
      <w:r w:rsidRPr="00FB065A">
        <w:rPr>
          <w:color w:val="000000"/>
          <w:spacing w:val="-3"/>
        </w:rPr>
        <w:t xml:space="preserve"> af sæd før behandling, på grund af muligheden for </w:t>
      </w:r>
      <w:proofErr w:type="spellStart"/>
      <w:r w:rsidRPr="00FB065A">
        <w:rPr>
          <w:color w:val="000000"/>
          <w:spacing w:val="-3"/>
        </w:rPr>
        <w:t>infertilitet</w:t>
      </w:r>
      <w:proofErr w:type="spellEnd"/>
      <w:r w:rsidRPr="00FB065A">
        <w:rPr>
          <w:color w:val="000000"/>
          <w:spacing w:val="-3"/>
        </w:rPr>
        <w:t xml:space="preserve"> som følge af behandling med </w:t>
      </w:r>
      <w:proofErr w:type="spellStart"/>
      <w:r w:rsidRPr="00FB065A">
        <w:rPr>
          <w:color w:val="000000"/>
          <w:spacing w:val="-3"/>
        </w:rPr>
        <w:t>gemcitabin</w:t>
      </w:r>
      <w:proofErr w:type="spellEnd"/>
      <w:r w:rsidRPr="00FB065A">
        <w:rPr>
          <w:color w:val="000000"/>
          <w:spacing w:val="-3"/>
        </w:rPr>
        <w:t>.</w:t>
      </w:r>
    </w:p>
    <w:p w:rsidR="007B43B6" w:rsidRPr="005656C3" w:rsidRDefault="007B43B6" w:rsidP="007B43B6">
      <w:pPr>
        <w:tabs>
          <w:tab w:val="left" w:pos="851"/>
        </w:tabs>
        <w:ind w:left="851" w:hanging="851"/>
      </w:pPr>
    </w:p>
    <w:p w:rsidR="007B43B6" w:rsidRPr="00FB065A" w:rsidRDefault="007B43B6" w:rsidP="007B43B6">
      <w:pPr>
        <w:tabs>
          <w:tab w:val="left" w:pos="851"/>
        </w:tabs>
        <w:ind w:left="1304" w:hanging="1304"/>
      </w:pPr>
      <w:r>
        <w:rPr>
          <w:color w:val="000000"/>
          <w:spacing w:val="-3"/>
        </w:rPr>
        <w:tab/>
      </w:r>
      <w:r w:rsidRPr="00FB065A">
        <w:rPr>
          <w:color w:val="000000"/>
          <w:spacing w:val="-3"/>
          <w:u w:val="single"/>
        </w:rPr>
        <w:t>Graviditet</w:t>
      </w:r>
    </w:p>
    <w:p w:rsidR="007B43B6" w:rsidRDefault="007B43B6" w:rsidP="007B43B6">
      <w:pPr>
        <w:tabs>
          <w:tab w:val="left" w:pos="851"/>
        </w:tabs>
        <w:ind w:left="851" w:hanging="851"/>
        <w:rPr>
          <w:color w:val="000000"/>
          <w:spacing w:val="-3"/>
        </w:rPr>
      </w:pPr>
      <w:r>
        <w:rPr>
          <w:color w:val="000000"/>
          <w:spacing w:val="-3"/>
        </w:rPr>
        <w:tab/>
      </w:r>
      <w:r w:rsidRPr="00FB065A">
        <w:rPr>
          <w:color w:val="000000"/>
          <w:spacing w:val="-3"/>
        </w:rPr>
        <w:t xml:space="preserve">Der foreligger ikke tilstrækkelige data om brugen af </w:t>
      </w:r>
      <w:proofErr w:type="spellStart"/>
      <w:r w:rsidRPr="00FB065A">
        <w:rPr>
          <w:color w:val="000000"/>
          <w:spacing w:val="-3"/>
        </w:rPr>
        <w:t>gemcitabin</w:t>
      </w:r>
      <w:proofErr w:type="spellEnd"/>
      <w:r w:rsidRPr="00FB065A">
        <w:rPr>
          <w:color w:val="000000"/>
          <w:spacing w:val="-3"/>
        </w:rPr>
        <w:t xml:space="preserve"> til gravide kvinder. Studier i dyr har vist </w:t>
      </w:r>
      <w:r w:rsidRPr="00FB065A">
        <w:rPr>
          <w:color w:val="000000"/>
          <w:spacing w:val="-2"/>
        </w:rPr>
        <w:t xml:space="preserve">reproduktionstoksicitet (se pkt. 5.3). Baseret på resultater fra dyrestudier og </w:t>
      </w:r>
      <w:proofErr w:type="spellStart"/>
      <w:r w:rsidRPr="00FB065A">
        <w:rPr>
          <w:color w:val="000000"/>
          <w:spacing w:val="-2"/>
        </w:rPr>
        <w:t>gemcitabins</w:t>
      </w:r>
      <w:proofErr w:type="spellEnd"/>
      <w:r w:rsidRPr="00FB065A">
        <w:rPr>
          <w:color w:val="000000"/>
          <w:spacing w:val="-2"/>
        </w:rPr>
        <w:t xml:space="preserve"> </w:t>
      </w:r>
      <w:r w:rsidRPr="00FB065A">
        <w:rPr>
          <w:color w:val="000000"/>
          <w:spacing w:val="-4"/>
        </w:rPr>
        <w:t xml:space="preserve">virkningsmekanisme, bør dette stof ikke anvendes under graviditet, medmindre det er absolut nødvendigt. </w:t>
      </w:r>
      <w:r w:rsidRPr="00FB065A">
        <w:rPr>
          <w:color w:val="000000"/>
          <w:spacing w:val="-2"/>
        </w:rPr>
        <w:t xml:space="preserve">Kvinder skal rådes til ikke at blive gravide under behandling med </w:t>
      </w:r>
      <w:proofErr w:type="spellStart"/>
      <w:r w:rsidRPr="00FB065A">
        <w:rPr>
          <w:color w:val="000000"/>
          <w:spacing w:val="-2"/>
        </w:rPr>
        <w:t>gemcitabin</w:t>
      </w:r>
      <w:proofErr w:type="spellEnd"/>
      <w:r w:rsidRPr="00FB065A">
        <w:rPr>
          <w:color w:val="000000"/>
          <w:spacing w:val="-2"/>
        </w:rPr>
        <w:t xml:space="preserve"> og til straks at underrette </w:t>
      </w:r>
      <w:r w:rsidRPr="00FB065A">
        <w:rPr>
          <w:color w:val="000000"/>
          <w:spacing w:val="-3"/>
        </w:rPr>
        <w:t>deres behandlende læge, hvis graviditet alligevel skulle indtræde.</w:t>
      </w:r>
    </w:p>
    <w:p w:rsidR="007B43B6" w:rsidRPr="00FB065A" w:rsidRDefault="007B43B6" w:rsidP="007B43B6">
      <w:pPr>
        <w:tabs>
          <w:tab w:val="left" w:pos="851"/>
        </w:tabs>
        <w:ind w:left="851" w:hanging="851"/>
      </w:pPr>
    </w:p>
    <w:p w:rsidR="007B43B6" w:rsidRPr="00FB065A" w:rsidRDefault="007B43B6" w:rsidP="007B43B6">
      <w:pPr>
        <w:tabs>
          <w:tab w:val="left" w:pos="851"/>
        </w:tabs>
        <w:ind w:left="1304" w:hanging="1304"/>
      </w:pPr>
      <w:r>
        <w:rPr>
          <w:color w:val="000000"/>
          <w:spacing w:val="-3"/>
        </w:rPr>
        <w:tab/>
      </w:r>
      <w:r w:rsidRPr="00FB065A">
        <w:rPr>
          <w:color w:val="000000"/>
          <w:spacing w:val="-3"/>
          <w:u w:val="single"/>
        </w:rPr>
        <w:t>Amning</w:t>
      </w:r>
    </w:p>
    <w:p w:rsidR="007B43B6" w:rsidRDefault="007B43B6" w:rsidP="007B43B6">
      <w:pPr>
        <w:tabs>
          <w:tab w:val="left" w:pos="851"/>
        </w:tabs>
        <w:ind w:left="851" w:hanging="851"/>
        <w:rPr>
          <w:color w:val="000000"/>
          <w:spacing w:val="-3"/>
        </w:rPr>
      </w:pPr>
      <w:r>
        <w:rPr>
          <w:color w:val="000000"/>
          <w:spacing w:val="-3"/>
        </w:rPr>
        <w:tab/>
      </w:r>
      <w:r w:rsidRPr="00FB065A">
        <w:rPr>
          <w:color w:val="000000"/>
          <w:spacing w:val="-3"/>
        </w:rPr>
        <w:t xml:space="preserve">Det er uvist om </w:t>
      </w:r>
      <w:proofErr w:type="spellStart"/>
      <w:r w:rsidRPr="00FB065A">
        <w:rPr>
          <w:color w:val="000000"/>
          <w:spacing w:val="-3"/>
        </w:rPr>
        <w:t>gemcitabin</w:t>
      </w:r>
      <w:proofErr w:type="spellEnd"/>
      <w:r w:rsidRPr="00FB065A">
        <w:rPr>
          <w:color w:val="000000"/>
          <w:spacing w:val="-3"/>
        </w:rPr>
        <w:t xml:space="preserve"> udskilles i modermælken, og bivirkninger hos det diende barn kan ikke udelukkes. Amning skal ophøre under </w:t>
      </w:r>
      <w:proofErr w:type="spellStart"/>
      <w:r w:rsidRPr="00FB065A">
        <w:rPr>
          <w:color w:val="000000"/>
          <w:spacing w:val="-3"/>
        </w:rPr>
        <w:t>gemcitabinbehandling</w:t>
      </w:r>
      <w:proofErr w:type="spellEnd"/>
      <w:r w:rsidRPr="00FB065A">
        <w:rPr>
          <w:color w:val="000000"/>
          <w:spacing w:val="-3"/>
        </w:rPr>
        <w:t>.</w:t>
      </w:r>
    </w:p>
    <w:p w:rsidR="007B43B6" w:rsidRPr="00C84483" w:rsidRDefault="007B43B6" w:rsidP="007B43B6">
      <w:pPr>
        <w:tabs>
          <w:tab w:val="left" w:pos="851"/>
        </w:tabs>
        <w:ind w:left="851"/>
        <w:rPr>
          <w:sz w:val="24"/>
          <w:szCs w:val="24"/>
        </w:rPr>
      </w:pPr>
    </w:p>
    <w:p w:rsidR="007B43B6" w:rsidRPr="00C84483" w:rsidRDefault="007B43B6" w:rsidP="007B43B6">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A06F90">
        <w:rPr>
          <w:b/>
          <w:sz w:val="24"/>
          <w:szCs w:val="24"/>
        </w:rPr>
        <w:t xml:space="preserve">og </w:t>
      </w:r>
      <w:r w:rsidRPr="00C84483">
        <w:rPr>
          <w:b/>
          <w:sz w:val="24"/>
          <w:szCs w:val="24"/>
        </w:rPr>
        <w:t>betjene maskiner</w:t>
      </w:r>
    </w:p>
    <w:p w:rsidR="007B43B6" w:rsidRDefault="007B43B6" w:rsidP="007B43B6">
      <w:pPr>
        <w:tabs>
          <w:tab w:val="left" w:pos="851"/>
        </w:tabs>
        <w:ind w:left="851" w:hanging="851"/>
      </w:pPr>
      <w:r>
        <w:tab/>
        <w:t>Ikke mærkning.</w:t>
      </w:r>
    </w:p>
    <w:p w:rsidR="007B43B6" w:rsidRPr="00270ECE" w:rsidRDefault="007B43B6" w:rsidP="007B43B6">
      <w:pPr>
        <w:tabs>
          <w:tab w:val="left" w:pos="851"/>
        </w:tabs>
        <w:ind w:left="851" w:hanging="851"/>
      </w:pPr>
      <w:r>
        <w:tab/>
      </w:r>
      <w:r w:rsidRPr="00FB065A">
        <w:rPr>
          <w:color w:val="000000"/>
          <w:spacing w:val="-3"/>
        </w:rPr>
        <w:t xml:space="preserve">Der er ikke foretaget undersøgelser af virkningen på evnen til at føre motorkøretøj </w:t>
      </w:r>
      <w:r w:rsidR="006F4B47">
        <w:rPr>
          <w:color w:val="000000"/>
          <w:spacing w:val="-3"/>
        </w:rPr>
        <w:t>og</w:t>
      </w:r>
      <w:r w:rsidRPr="00FB065A">
        <w:rPr>
          <w:color w:val="000000"/>
          <w:spacing w:val="-3"/>
        </w:rPr>
        <w:t xml:space="preserve"> betjene maskiner. Det er dog rapporteret, at </w:t>
      </w:r>
      <w:proofErr w:type="spellStart"/>
      <w:r w:rsidRPr="00FB065A">
        <w:rPr>
          <w:color w:val="000000"/>
          <w:spacing w:val="-3"/>
        </w:rPr>
        <w:t>gemcitabin</w:t>
      </w:r>
      <w:proofErr w:type="spellEnd"/>
      <w:r w:rsidRPr="00FB065A">
        <w:rPr>
          <w:color w:val="000000"/>
          <w:spacing w:val="-3"/>
        </w:rPr>
        <w:t xml:space="preserve"> kan forårsage mild til moderat </w:t>
      </w:r>
      <w:proofErr w:type="spellStart"/>
      <w:r w:rsidRPr="00FB065A">
        <w:rPr>
          <w:color w:val="000000"/>
          <w:spacing w:val="-3"/>
        </w:rPr>
        <w:t>somnolens</w:t>
      </w:r>
      <w:proofErr w:type="spellEnd"/>
      <w:r w:rsidRPr="00FB065A">
        <w:rPr>
          <w:color w:val="000000"/>
          <w:spacing w:val="-3"/>
        </w:rPr>
        <w:t xml:space="preserve">, særligt i kombination med alkoholindtag. Patienter skal frarådes at køre bil eller betjene maskiner, indtil det er afklaret, om de bliver </w:t>
      </w:r>
      <w:proofErr w:type="spellStart"/>
      <w:r w:rsidRPr="00FB065A">
        <w:rPr>
          <w:color w:val="000000"/>
          <w:spacing w:val="-3"/>
        </w:rPr>
        <w:t>somnolente</w:t>
      </w:r>
      <w:proofErr w:type="spellEnd"/>
      <w:r w:rsidRPr="00FB065A">
        <w:rPr>
          <w:color w:val="000000"/>
          <w:spacing w:val="-3"/>
        </w:rPr>
        <w:t xml:space="preserve"> som følge af behandlingen.</w:t>
      </w:r>
    </w:p>
    <w:p w:rsidR="007B43B6" w:rsidRPr="00C84483" w:rsidRDefault="007B43B6" w:rsidP="007B43B6">
      <w:pPr>
        <w:tabs>
          <w:tab w:val="left" w:pos="851"/>
        </w:tabs>
        <w:ind w:left="851"/>
        <w:rPr>
          <w:sz w:val="24"/>
          <w:szCs w:val="24"/>
        </w:rPr>
      </w:pPr>
    </w:p>
    <w:p w:rsidR="007B43B6" w:rsidRPr="00C84483" w:rsidRDefault="007B43B6" w:rsidP="007B43B6">
      <w:pPr>
        <w:tabs>
          <w:tab w:val="left" w:pos="851"/>
        </w:tabs>
        <w:ind w:left="851" w:hanging="851"/>
        <w:rPr>
          <w:b/>
          <w:sz w:val="24"/>
          <w:szCs w:val="24"/>
        </w:rPr>
      </w:pPr>
      <w:r w:rsidRPr="00C84483">
        <w:rPr>
          <w:b/>
          <w:sz w:val="24"/>
          <w:szCs w:val="24"/>
        </w:rPr>
        <w:t>4.8</w:t>
      </w:r>
      <w:r w:rsidRPr="00C84483">
        <w:rPr>
          <w:b/>
          <w:sz w:val="24"/>
          <w:szCs w:val="24"/>
        </w:rPr>
        <w:tab/>
        <w:t>Bivirkninger</w:t>
      </w:r>
    </w:p>
    <w:p w:rsidR="006F4B47" w:rsidRDefault="007B43B6" w:rsidP="007B43B6">
      <w:pPr>
        <w:tabs>
          <w:tab w:val="left" w:pos="851"/>
        </w:tabs>
        <w:ind w:left="851" w:hanging="851"/>
        <w:rPr>
          <w:color w:val="000000"/>
          <w:spacing w:val="-3"/>
        </w:rPr>
      </w:pPr>
      <w:r>
        <w:tab/>
      </w:r>
      <w:r w:rsidR="006F4B47">
        <w:br/>
      </w:r>
      <w:r w:rsidR="006F4B47">
        <w:rPr>
          <w:sz w:val="22"/>
          <w:u w:val="single"/>
        </w:rPr>
        <w:t>Oversigt over sikkerhedsprofilen</w:t>
      </w:r>
      <w:r w:rsidR="006F4B47" w:rsidRPr="00FB065A">
        <w:rPr>
          <w:color w:val="000000"/>
          <w:spacing w:val="-3"/>
        </w:rPr>
        <w:t xml:space="preserve"> </w:t>
      </w:r>
    </w:p>
    <w:p w:rsidR="007B43B6" w:rsidRDefault="006F4B47" w:rsidP="007B43B6">
      <w:pPr>
        <w:tabs>
          <w:tab w:val="left" w:pos="851"/>
        </w:tabs>
        <w:ind w:left="851" w:hanging="851"/>
        <w:rPr>
          <w:color w:val="000000"/>
          <w:spacing w:val="-3"/>
        </w:rPr>
      </w:pPr>
      <w:r>
        <w:rPr>
          <w:color w:val="000000"/>
          <w:spacing w:val="-3"/>
        </w:rPr>
        <w:tab/>
      </w:r>
      <w:r w:rsidR="007B43B6" w:rsidRPr="00FB065A">
        <w:rPr>
          <w:color w:val="000000"/>
          <w:spacing w:val="-3"/>
        </w:rPr>
        <w:t xml:space="preserve">De mest almindelige rapporterede bivirkninger forbundet med </w:t>
      </w:r>
      <w:proofErr w:type="spellStart"/>
      <w:r w:rsidR="007B43B6" w:rsidRPr="00FB065A">
        <w:rPr>
          <w:color w:val="000000"/>
          <w:spacing w:val="-3"/>
        </w:rPr>
        <w:t>gemcitabinbehandling</w:t>
      </w:r>
      <w:proofErr w:type="spellEnd"/>
      <w:r w:rsidR="007B43B6" w:rsidRPr="00FB065A">
        <w:rPr>
          <w:color w:val="000000"/>
          <w:spacing w:val="-3"/>
        </w:rPr>
        <w:t xml:space="preserve"> omfatter: kvalme med eller uden opkastning, forhøjede </w:t>
      </w:r>
      <w:proofErr w:type="spellStart"/>
      <w:r w:rsidR="007B43B6" w:rsidRPr="00FB065A">
        <w:rPr>
          <w:color w:val="000000"/>
          <w:spacing w:val="-3"/>
        </w:rPr>
        <w:t>levertransaminaser</w:t>
      </w:r>
      <w:proofErr w:type="spellEnd"/>
      <w:r w:rsidR="007B43B6" w:rsidRPr="00FB065A">
        <w:rPr>
          <w:color w:val="000000"/>
          <w:spacing w:val="-3"/>
        </w:rPr>
        <w:t xml:space="preserve"> (ASAT/ALAT) og </w:t>
      </w:r>
      <w:proofErr w:type="gramStart"/>
      <w:r w:rsidR="007B43B6" w:rsidRPr="00FB065A">
        <w:rPr>
          <w:color w:val="000000"/>
          <w:spacing w:val="-3"/>
        </w:rPr>
        <w:t>alkalisk</w:t>
      </w:r>
      <w:proofErr w:type="gramEnd"/>
      <w:r w:rsidR="007B43B6" w:rsidRPr="00FB065A">
        <w:rPr>
          <w:color w:val="000000"/>
          <w:spacing w:val="-3"/>
        </w:rPr>
        <w:t xml:space="preserve"> fosfataser, disse er rapporteret hos ca. 60</w:t>
      </w:r>
      <w:r w:rsidR="007B43B6">
        <w:rPr>
          <w:color w:val="000000"/>
          <w:spacing w:val="-3"/>
        </w:rPr>
        <w:t xml:space="preserve"> </w:t>
      </w:r>
      <w:r w:rsidR="007B43B6" w:rsidRPr="00FB065A">
        <w:rPr>
          <w:color w:val="000000"/>
          <w:spacing w:val="-3"/>
        </w:rPr>
        <w:t xml:space="preserve">% af patienterne. Tilfælde af </w:t>
      </w:r>
      <w:proofErr w:type="spellStart"/>
      <w:r w:rsidR="007B43B6" w:rsidRPr="00FB065A">
        <w:rPr>
          <w:color w:val="000000"/>
          <w:spacing w:val="-3"/>
        </w:rPr>
        <w:t>proteinuri</w:t>
      </w:r>
      <w:proofErr w:type="spellEnd"/>
      <w:r w:rsidR="007B43B6" w:rsidRPr="00FB065A">
        <w:rPr>
          <w:color w:val="000000"/>
          <w:spacing w:val="-3"/>
        </w:rPr>
        <w:t xml:space="preserve"> og hæmaturi er rapporteret hos ca. 50</w:t>
      </w:r>
      <w:r w:rsidR="007B43B6">
        <w:rPr>
          <w:color w:val="000000"/>
          <w:spacing w:val="-3"/>
        </w:rPr>
        <w:t xml:space="preserve"> </w:t>
      </w:r>
      <w:r w:rsidR="007B43B6" w:rsidRPr="00FB065A">
        <w:rPr>
          <w:color w:val="000000"/>
          <w:spacing w:val="-3"/>
        </w:rPr>
        <w:t xml:space="preserve">% af </w:t>
      </w:r>
      <w:r w:rsidR="007B43B6" w:rsidRPr="00FB065A">
        <w:rPr>
          <w:color w:val="000000"/>
          <w:spacing w:val="-2"/>
        </w:rPr>
        <w:t>patienterne. Dyspnø er rapporteret hos ca. 10-40</w:t>
      </w:r>
      <w:r w:rsidR="007B43B6">
        <w:rPr>
          <w:color w:val="000000"/>
          <w:spacing w:val="-2"/>
        </w:rPr>
        <w:t xml:space="preserve"> </w:t>
      </w:r>
      <w:r w:rsidR="007B43B6" w:rsidRPr="00FB065A">
        <w:rPr>
          <w:color w:val="000000"/>
          <w:spacing w:val="-2"/>
        </w:rPr>
        <w:t xml:space="preserve">% af patienterne (højeste frekvens hos patienter med </w:t>
      </w:r>
      <w:r w:rsidR="007B43B6" w:rsidRPr="00FB065A">
        <w:rPr>
          <w:color w:val="000000"/>
          <w:spacing w:val="-3"/>
        </w:rPr>
        <w:t>lungecancer). Allergiske hududslæt forekommer hos omkring 25</w:t>
      </w:r>
      <w:r w:rsidR="007B43B6">
        <w:rPr>
          <w:color w:val="000000"/>
          <w:spacing w:val="-3"/>
        </w:rPr>
        <w:t xml:space="preserve"> </w:t>
      </w:r>
      <w:r w:rsidR="007B43B6" w:rsidRPr="00FB065A">
        <w:rPr>
          <w:color w:val="000000"/>
          <w:spacing w:val="-3"/>
        </w:rPr>
        <w:t>% af patienterne og er associeret med kløe hos 10</w:t>
      </w:r>
      <w:r w:rsidR="007B43B6">
        <w:rPr>
          <w:color w:val="000000"/>
          <w:spacing w:val="-3"/>
        </w:rPr>
        <w:t xml:space="preserve"> </w:t>
      </w:r>
      <w:r w:rsidR="007B43B6" w:rsidRPr="00FB065A">
        <w:rPr>
          <w:color w:val="000000"/>
          <w:spacing w:val="-3"/>
        </w:rPr>
        <w:t>% af patienterne.</w:t>
      </w:r>
    </w:p>
    <w:p w:rsidR="007B43B6" w:rsidRPr="00FB065A" w:rsidRDefault="007B43B6" w:rsidP="007B43B6">
      <w:pPr>
        <w:tabs>
          <w:tab w:val="left" w:pos="851"/>
        </w:tabs>
        <w:ind w:left="851" w:hanging="851"/>
      </w:pPr>
    </w:p>
    <w:p w:rsidR="007B43B6" w:rsidRPr="00FB065A" w:rsidRDefault="007B43B6" w:rsidP="007B43B6">
      <w:pPr>
        <w:tabs>
          <w:tab w:val="left" w:pos="851"/>
        </w:tabs>
        <w:ind w:left="851" w:hanging="851"/>
      </w:pPr>
      <w:r>
        <w:rPr>
          <w:color w:val="000000"/>
          <w:spacing w:val="-3"/>
        </w:rPr>
        <w:tab/>
      </w:r>
      <w:r w:rsidRPr="00FB065A">
        <w:rPr>
          <w:color w:val="000000"/>
          <w:spacing w:val="-3"/>
        </w:rPr>
        <w:t xml:space="preserve">Frekvensen og alvorligheden af bivirkninger påvirkes af dosis, infusionshastighed og intervaller mellem </w:t>
      </w:r>
      <w:r w:rsidRPr="00FB065A">
        <w:rPr>
          <w:color w:val="000000"/>
          <w:spacing w:val="-2"/>
        </w:rPr>
        <w:t xml:space="preserve">doseringerne (se pkt. 4.4). De dosisbegrænsende bivirkninger, der er set, er reduktion af blodplader, </w:t>
      </w:r>
      <w:r w:rsidRPr="00FB065A">
        <w:rPr>
          <w:color w:val="000000"/>
          <w:spacing w:val="-3"/>
        </w:rPr>
        <w:t>leukocytter og granulocytter (se pkt. 4.2).</w:t>
      </w:r>
    </w:p>
    <w:p w:rsidR="007B43B6" w:rsidRDefault="007B43B6" w:rsidP="007B43B6">
      <w:pPr>
        <w:tabs>
          <w:tab w:val="left" w:pos="851"/>
        </w:tabs>
        <w:ind w:left="1304" w:hanging="1304"/>
        <w:rPr>
          <w:color w:val="000000"/>
          <w:spacing w:val="-2"/>
          <w:u w:val="single"/>
        </w:rPr>
      </w:pPr>
    </w:p>
    <w:p w:rsidR="007B43B6" w:rsidRPr="00FB065A" w:rsidRDefault="007B43B6" w:rsidP="007B43B6">
      <w:pPr>
        <w:tabs>
          <w:tab w:val="left" w:pos="851"/>
        </w:tabs>
        <w:ind w:left="1304" w:hanging="1304"/>
      </w:pPr>
      <w:r>
        <w:rPr>
          <w:color w:val="000000"/>
          <w:spacing w:val="-2"/>
        </w:rPr>
        <w:tab/>
      </w:r>
      <w:r w:rsidRPr="00FB065A">
        <w:rPr>
          <w:color w:val="000000"/>
          <w:spacing w:val="-2"/>
          <w:u w:val="single"/>
        </w:rPr>
        <w:t>Data fra kliniske undersøgelser</w:t>
      </w:r>
    </w:p>
    <w:p w:rsidR="007B43B6" w:rsidRPr="00FB065A" w:rsidRDefault="007B43B6" w:rsidP="007B43B6">
      <w:pPr>
        <w:tabs>
          <w:tab w:val="left" w:pos="851"/>
        </w:tabs>
        <w:ind w:left="851" w:hanging="851"/>
        <w:rPr>
          <w:color w:val="000000"/>
          <w:spacing w:val="-3"/>
        </w:rPr>
      </w:pPr>
      <w:r>
        <w:rPr>
          <w:color w:val="000000"/>
          <w:spacing w:val="-4"/>
        </w:rPr>
        <w:tab/>
        <w:t>Frekvenser er defineret som: meget almindelig (</w:t>
      </w:r>
      <w:r>
        <w:rPr>
          <w:color w:val="000000"/>
          <w:spacing w:val="-4"/>
        </w:rPr>
        <w:sym w:font="Symbol" w:char="F0B3"/>
      </w:r>
      <w:r>
        <w:rPr>
          <w:color w:val="000000"/>
          <w:spacing w:val="-4"/>
        </w:rPr>
        <w:t xml:space="preserve"> 1/10), almindelig</w:t>
      </w:r>
      <w:r w:rsidR="006F4B47">
        <w:rPr>
          <w:color w:val="000000"/>
          <w:spacing w:val="-4"/>
        </w:rPr>
        <w:t xml:space="preserve"> </w:t>
      </w:r>
      <w:r>
        <w:rPr>
          <w:color w:val="000000"/>
          <w:spacing w:val="-4"/>
        </w:rPr>
        <w:t>(</w:t>
      </w:r>
      <w:r>
        <w:rPr>
          <w:color w:val="000000"/>
          <w:spacing w:val="-4"/>
        </w:rPr>
        <w:sym w:font="Symbol" w:char="F0B3"/>
      </w:r>
      <w:r>
        <w:rPr>
          <w:color w:val="000000"/>
          <w:spacing w:val="-4"/>
        </w:rPr>
        <w:t xml:space="preserve"> 1/100 til &lt;1/10), ikke almindelig </w:t>
      </w:r>
      <w:r>
        <w:rPr>
          <w:color w:val="000000"/>
          <w:spacing w:val="-3"/>
        </w:rPr>
        <w:t>(</w:t>
      </w:r>
      <w:r>
        <w:rPr>
          <w:color w:val="000000"/>
          <w:spacing w:val="-4"/>
        </w:rPr>
        <w:sym w:font="Symbol" w:char="F0B3"/>
      </w:r>
      <w:r>
        <w:rPr>
          <w:color w:val="000000"/>
          <w:spacing w:val="-3"/>
        </w:rPr>
        <w:t xml:space="preserve"> 1/1.000 til &lt; 1/100), sjælden (</w:t>
      </w:r>
      <w:r>
        <w:rPr>
          <w:color w:val="000000"/>
          <w:spacing w:val="-4"/>
        </w:rPr>
        <w:sym w:font="Symbol" w:char="F0B3"/>
      </w:r>
      <w:r>
        <w:rPr>
          <w:color w:val="000000"/>
          <w:spacing w:val="-3"/>
        </w:rPr>
        <w:t xml:space="preserve"> 1/10.000 til &lt; 1/1.000), meget sjælden (&lt;1/10.000), ikke kendt (kan ikke estimeres ud fra forhåndenværende data).</w:t>
      </w:r>
    </w:p>
    <w:p w:rsidR="007B43B6" w:rsidRPr="00FB065A" w:rsidRDefault="007B43B6" w:rsidP="007B43B6">
      <w:pPr>
        <w:shd w:val="clear" w:color="auto" w:fill="FFFFFF"/>
        <w:tabs>
          <w:tab w:val="left" w:pos="567"/>
        </w:tabs>
        <w:spacing w:line="250" w:lineRule="exact"/>
        <w:ind w:right="605"/>
      </w:pPr>
    </w:p>
    <w:p w:rsidR="00A06F90" w:rsidRDefault="007B43B6" w:rsidP="00A06F90">
      <w:pPr>
        <w:tabs>
          <w:tab w:val="left" w:pos="851"/>
        </w:tabs>
        <w:ind w:left="851" w:hanging="851"/>
      </w:pPr>
      <w:r>
        <w:tab/>
      </w:r>
      <w:r w:rsidR="00A06F90">
        <w:rPr>
          <w:sz w:val="22"/>
          <w:u w:val="single"/>
        </w:rPr>
        <w:t>Bivirkningstabel</w:t>
      </w:r>
      <w:r w:rsidR="00A06F90" w:rsidRPr="00FB065A">
        <w:t xml:space="preserve"> </w:t>
      </w:r>
    </w:p>
    <w:p w:rsidR="00A06F90" w:rsidRDefault="00A06F90" w:rsidP="00A06F90">
      <w:pPr>
        <w:tabs>
          <w:tab w:val="left" w:pos="851"/>
        </w:tabs>
        <w:ind w:left="851" w:hanging="851"/>
      </w:pPr>
      <w:r>
        <w:tab/>
      </w:r>
      <w:r w:rsidRPr="00FB065A">
        <w:t>Følgende tabel med bivirkninger og tilhørende frekvenser er baseret på data fra kliniske undersøgelser. Inden for hver systemorganklasse, er bivirkningerne listet efter faldende grad af alvorlighed.</w:t>
      </w:r>
    </w:p>
    <w:p w:rsidR="00A06F90" w:rsidRDefault="00A06F90" w:rsidP="00A06F90">
      <w:pPr>
        <w:shd w:val="clear" w:color="auto" w:fill="FFFFFF"/>
        <w:tabs>
          <w:tab w:val="left" w:pos="567"/>
        </w:tabs>
        <w:rPr>
          <w:sz w:val="22"/>
          <w:szCs w:val="22"/>
        </w:rPr>
      </w:pPr>
    </w:p>
    <w:tbl>
      <w:tblPr>
        <w:tblW w:w="565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1701"/>
        <w:gridCol w:w="1418"/>
        <w:gridCol w:w="1700"/>
        <w:gridCol w:w="1559"/>
        <w:gridCol w:w="1276"/>
        <w:gridCol w:w="1245"/>
      </w:tblGrid>
      <w:tr w:rsidR="00A06F90" w:rsidTr="008877D7">
        <w:trPr>
          <w:tblHeader/>
        </w:trPr>
        <w:tc>
          <w:tcPr>
            <w:tcW w:w="912" w:type="pct"/>
            <w:tcBorders>
              <w:top w:val="single" w:sz="4" w:space="0" w:color="auto"/>
              <w:left w:val="single" w:sz="4" w:space="0" w:color="auto"/>
              <w:bottom w:val="single" w:sz="4" w:space="0" w:color="auto"/>
              <w:right w:val="single" w:sz="4" w:space="0" w:color="auto"/>
            </w:tcBorders>
            <w:hideMark/>
          </w:tcPr>
          <w:p w:rsidR="00A06F90" w:rsidRDefault="00A06F90" w:rsidP="008877D7">
            <w:pPr>
              <w:tabs>
                <w:tab w:val="left" w:pos="0"/>
                <w:tab w:val="left" w:pos="3840"/>
              </w:tabs>
              <w:rPr>
                <w:b/>
                <w:sz w:val="22"/>
                <w:szCs w:val="22"/>
              </w:rPr>
            </w:pPr>
            <w:r>
              <w:rPr>
                <w:b/>
                <w:sz w:val="22"/>
                <w:szCs w:val="22"/>
              </w:rPr>
              <w:lastRenderedPageBreak/>
              <w:t>System-organklasse</w:t>
            </w:r>
          </w:p>
        </w:tc>
        <w:tc>
          <w:tcPr>
            <w:tcW w:w="781" w:type="pct"/>
            <w:tcBorders>
              <w:top w:val="single" w:sz="4" w:space="0" w:color="auto"/>
              <w:left w:val="single" w:sz="4" w:space="0" w:color="auto"/>
              <w:bottom w:val="single" w:sz="4" w:space="0" w:color="auto"/>
              <w:right w:val="single" w:sz="4" w:space="0" w:color="auto"/>
            </w:tcBorders>
          </w:tcPr>
          <w:p w:rsidR="00A06F90" w:rsidRDefault="00A06F90" w:rsidP="008877D7">
            <w:pPr>
              <w:tabs>
                <w:tab w:val="left" w:pos="0"/>
                <w:tab w:val="left" w:pos="3840"/>
              </w:tabs>
              <w:rPr>
                <w:b/>
                <w:sz w:val="22"/>
                <w:szCs w:val="22"/>
              </w:rPr>
            </w:pPr>
            <w:r>
              <w:rPr>
                <w:b/>
                <w:sz w:val="22"/>
                <w:szCs w:val="22"/>
              </w:rPr>
              <w:t>Meget almindelig</w:t>
            </w:r>
          </w:p>
          <w:p w:rsidR="00A06F90" w:rsidRDefault="00A06F90" w:rsidP="008877D7">
            <w:pPr>
              <w:tabs>
                <w:tab w:val="left" w:pos="0"/>
                <w:tab w:val="left" w:pos="3840"/>
              </w:tabs>
              <w:rPr>
                <w:b/>
                <w:bCs/>
                <w:i/>
                <w:iCs/>
                <w:sz w:val="22"/>
                <w:szCs w:val="22"/>
              </w:rPr>
            </w:pPr>
          </w:p>
        </w:tc>
        <w:tc>
          <w:tcPr>
            <w:tcW w:w="651" w:type="pct"/>
            <w:tcBorders>
              <w:top w:val="single" w:sz="4" w:space="0" w:color="auto"/>
              <w:left w:val="single" w:sz="4" w:space="0" w:color="auto"/>
              <w:bottom w:val="single" w:sz="4" w:space="0" w:color="auto"/>
              <w:right w:val="single" w:sz="4" w:space="0" w:color="auto"/>
            </w:tcBorders>
            <w:hideMark/>
          </w:tcPr>
          <w:p w:rsidR="00A06F90" w:rsidRDefault="00A06F90" w:rsidP="008877D7">
            <w:pPr>
              <w:tabs>
                <w:tab w:val="left" w:pos="0"/>
                <w:tab w:val="left" w:pos="3840"/>
              </w:tabs>
              <w:rPr>
                <w:b/>
                <w:bCs/>
                <w:i/>
                <w:iCs/>
                <w:sz w:val="22"/>
                <w:szCs w:val="22"/>
              </w:rPr>
            </w:pPr>
            <w:r>
              <w:rPr>
                <w:b/>
                <w:sz w:val="22"/>
                <w:szCs w:val="22"/>
              </w:rPr>
              <w:t>Almindelig</w:t>
            </w:r>
          </w:p>
        </w:tc>
        <w:tc>
          <w:tcPr>
            <w:tcW w:w="781" w:type="pct"/>
            <w:tcBorders>
              <w:top w:val="single" w:sz="4" w:space="0" w:color="auto"/>
              <w:left w:val="single" w:sz="4" w:space="0" w:color="auto"/>
              <w:bottom w:val="single" w:sz="4" w:space="0" w:color="auto"/>
              <w:right w:val="single" w:sz="4" w:space="0" w:color="auto"/>
            </w:tcBorders>
          </w:tcPr>
          <w:p w:rsidR="00A06F90" w:rsidRDefault="00A06F90" w:rsidP="008877D7">
            <w:pPr>
              <w:tabs>
                <w:tab w:val="left" w:pos="0"/>
                <w:tab w:val="left" w:pos="3840"/>
              </w:tabs>
              <w:rPr>
                <w:b/>
                <w:sz w:val="22"/>
                <w:szCs w:val="22"/>
              </w:rPr>
            </w:pPr>
            <w:r>
              <w:rPr>
                <w:b/>
                <w:sz w:val="22"/>
                <w:szCs w:val="22"/>
              </w:rPr>
              <w:t>Ikke almindelig</w:t>
            </w:r>
          </w:p>
        </w:tc>
        <w:tc>
          <w:tcPr>
            <w:tcW w:w="716" w:type="pct"/>
            <w:tcBorders>
              <w:top w:val="single" w:sz="4" w:space="0" w:color="auto"/>
              <w:left w:val="single" w:sz="4" w:space="0" w:color="auto"/>
              <w:bottom w:val="single" w:sz="4" w:space="0" w:color="auto"/>
              <w:right w:val="single" w:sz="4" w:space="0" w:color="auto"/>
            </w:tcBorders>
          </w:tcPr>
          <w:p w:rsidR="00A06F90" w:rsidRDefault="00A06F90" w:rsidP="008877D7">
            <w:pPr>
              <w:tabs>
                <w:tab w:val="left" w:pos="0"/>
                <w:tab w:val="left" w:pos="3840"/>
              </w:tabs>
              <w:rPr>
                <w:b/>
                <w:sz w:val="22"/>
                <w:szCs w:val="22"/>
              </w:rPr>
            </w:pPr>
            <w:r>
              <w:rPr>
                <w:b/>
                <w:sz w:val="22"/>
                <w:szCs w:val="22"/>
              </w:rPr>
              <w:t>Sjælden</w:t>
            </w:r>
          </w:p>
          <w:p w:rsidR="00A06F90" w:rsidRDefault="00A06F90" w:rsidP="008877D7">
            <w:pPr>
              <w:tabs>
                <w:tab w:val="left" w:pos="0"/>
                <w:tab w:val="left" w:pos="3840"/>
              </w:tabs>
              <w:rPr>
                <w:b/>
                <w:sz w:val="22"/>
                <w:szCs w:val="22"/>
              </w:rPr>
            </w:pPr>
          </w:p>
        </w:tc>
        <w:tc>
          <w:tcPr>
            <w:tcW w:w="586" w:type="pct"/>
            <w:tcBorders>
              <w:top w:val="single" w:sz="4" w:space="0" w:color="auto"/>
              <w:left w:val="single" w:sz="4" w:space="0" w:color="auto"/>
              <w:bottom w:val="single" w:sz="4" w:space="0" w:color="auto"/>
              <w:right w:val="single" w:sz="4" w:space="0" w:color="auto"/>
            </w:tcBorders>
            <w:hideMark/>
          </w:tcPr>
          <w:p w:rsidR="00A06F90" w:rsidRDefault="00A06F90" w:rsidP="008877D7">
            <w:pPr>
              <w:tabs>
                <w:tab w:val="left" w:pos="0"/>
                <w:tab w:val="left" w:pos="3840"/>
              </w:tabs>
              <w:rPr>
                <w:b/>
                <w:sz w:val="22"/>
                <w:szCs w:val="22"/>
              </w:rPr>
            </w:pPr>
            <w:r>
              <w:rPr>
                <w:b/>
                <w:sz w:val="22"/>
                <w:szCs w:val="22"/>
              </w:rPr>
              <w:t xml:space="preserve">Meget sjælden </w:t>
            </w:r>
          </w:p>
        </w:tc>
        <w:tc>
          <w:tcPr>
            <w:tcW w:w="572" w:type="pct"/>
            <w:tcBorders>
              <w:top w:val="single" w:sz="4" w:space="0" w:color="auto"/>
              <w:left w:val="single" w:sz="4" w:space="0" w:color="auto"/>
              <w:bottom w:val="single" w:sz="4" w:space="0" w:color="auto"/>
              <w:right w:val="single" w:sz="4" w:space="0" w:color="auto"/>
            </w:tcBorders>
            <w:hideMark/>
          </w:tcPr>
          <w:p w:rsidR="00A06F90" w:rsidRDefault="00A06F90" w:rsidP="008877D7">
            <w:pPr>
              <w:tabs>
                <w:tab w:val="left" w:pos="0"/>
                <w:tab w:val="left" w:pos="3840"/>
              </w:tabs>
              <w:rPr>
                <w:b/>
                <w:sz w:val="22"/>
                <w:szCs w:val="22"/>
              </w:rPr>
            </w:pPr>
            <w:r w:rsidRPr="00233BCB">
              <w:rPr>
                <w:b/>
                <w:color w:val="000000"/>
                <w:spacing w:val="-3"/>
              </w:rPr>
              <w:t>Ikke kendt</w:t>
            </w:r>
          </w:p>
        </w:tc>
      </w:tr>
      <w:tr w:rsidR="00A06F90" w:rsidTr="008877D7">
        <w:tc>
          <w:tcPr>
            <w:tcW w:w="912" w:type="pct"/>
            <w:tcBorders>
              <w:top w:val="single" w:sz="4" w:space="0" w:color="auto"/>
              <w:left w:val="single" w:sz="4" w:space="0" w:color="auto"/>
              <w:bottom w:val="single" w:sz="4" w:space="0" w:color="auto"/>
              <w:right w:val="single" w:sz="4" w:space="0" w:color="auto"/>
            </w:tcBorders>
            <w:hideMark/>
          </w:tcPr>
          <w:p w:rsidR="00A06F90" w:rsidRDefault="00A06F90" w:rsidP="008877D7">
            <w:pPr>
              <w:tabs>
                <w:tab w:val="left" w:pos="0"/>
                <w:tab w:val="left" w:pos="3840"/>
              </w:tabs>
              <w:rPr>
                <w:b/>
                <w:color w:val="000000"/>
                <w:spacing w:val="-2"/>
                <w:sz w:val="22"/>
                <w:szCs w:val="22"/>
              </w:rPr>
            </w:pPr>
            <w:r>
              <w:rPr>
                <w:b/>
                <w:color w:val="000000"/>
                <w:spacing w:val="-2"/>
                <w:sz w:val="22"/>
                <w:szCs w:val="22"/>
              </w:rPr>
              <w:t>Infektioner og parasitære sygdomme</w:t>
            </w:r>
          </w:p>
        </w:tc>
        <w:tc>
          <w:tcPr>
            <w:tcW w:w="781" w:type="pct"/>
            <w:tcBorders>
              <w:top w:val="single" w:sz="4" w:space="0" w:color="auto"/>
              <w:left w:val="single" w:sz="4" w:space="0" w:color="auto"/>
              <w:bottom w:val="single" w:sz="4" w:space="0" w:color="auto"/>
              <w:right w:val="single" w:sz="4" w:space="0" w:color="auto"/>
            </w:tcBorders>
          </w:tcPr>
          <w:p w:rsidR="00A06F90" w:rsidRDefault="00A06F90" w:rsidP="008877D7">
            <w:pPr>
              <w:tabs>
                <w:tab w:val="left" w:pos="0"/>
                <w:tab w:val="left" w:pos="3840"/>
              </w:tabs>
              <w:rPr>
                <w:color w:val="000000"/>
                <w:spacing w:val="-1"/>
                <w:sz w:val="22"/>
                <w:szCs w:val="22"/>
              </w:rPr>
            </w:pPr>
          </w:p>
        </w:tc>
        <w:tc>
          <w:tcPr>
            <w:tcW w:w="651" w:type="pct"/>
            <w:tcBorders>
              <w:top w:val="single" w:sz="4" w:space="0" w:color="auto"/>
              <w:left w:val="single" w:sz="4" w:space="0" w:color="auto"/>
              <w:bottom w:val="single" w:sz="4" w:space="0" w:color="auto"/>
              <w:right w:val="single" w:sz="4" w:space="0" w:color="auto"/>
            </w:tcBorders>
            <w:hideMark/>
          </w:tcPr>
          <w:p w:rsidR="00A06F90" w:rsidRDefault="00A06F90" w:rsidP="008877D7">
            <w:pPr>
              <w:tabs>
                <w:tab w:val="left" w:pos="0"/>
                <w:tab w:val="left" w:pos="3840"/>
              </w:tabs>
              <w:rPr>
                <w:sz w:val="22"/>
                <w:szCs w:val="22"/>
              </w:rPr>
            </w:pPr>
            <w:r>
              <w:rPr>
                <w:sz w:val="22"/>
                <w:szCs w:val="22"/>
              </w:rPr>
              <w:t>Infektioner</w:t>
            </w:r>
          </w:p>
        </w:tc>
        <w:tc>
          <w:tcPr>
            <w:tcW w:w="781" w:type="pct"/>
            <w:tcBorders>
              <w:top w:val="single" w:sz="4" w:space="0" w:color="auto"/>
              <w:left w:val="single" w:sz="4" w:space="0" w:color="auto"/>
              <w:bottom w:val="single" w:sz="4" w:space="0" w:color="auto"/>
              <w:right w:val="single" w:sz="4" w:space="0" w:color="auto"/>
            </w:tcBorders>
          </w:tcPr>
          <w:p w:rsidR="00A06F90" w:rsidRDefault="00A06F90" w:rsidP="008877D7">
            <w:pPr>
              <w:tabs>
                <w:tab w:val="left" w:pos="0"/>
                <w:tab w:val="left" w:pos="3840"/>
              </w:tabs>
              <w:jc w:val="center"/>
              <w:rPr>
                <w:b/>
                <w:sz w:val="22"/>
                <w:szCs w:val="22"/>
              </w:rPr>
            </w:pPr>
          </w:p>
        </w:tc>
        <w:tc>
          <w:tcPr>
            <w:tcW w:w="716" w:type="pct"/>
            <w:tcBorders>
              <w:top w:val="single" w:sz="4" w:space="0" w:color="auto"/>
              <w:left w:val="single" w:sz="4" w:space="0" w:color="auto"/>
              <w:bottom w:val="single" w:sz="4" w:space="0" w:color="auto"/>
              <w:right w:val="single" w:sz="4" w:space="0" w:color="auto"/>
            </w:tcBorders>
          </w:tcPr>
          <w:p w:rsidR="00A06F90" w:rsidRDefault="00A06F90" w:rsidP="008877D7">
            <w:pPr>
              <w:tabs>
                <w:tab w:val="left" w:pos="0"/>
                <w:tab w:val="left" w:pos="3840"/>
              </w:tabs>
              <w:jc w:val="center"/>
              <w:rPr>
                <w:b/>
                <w:sz w:val="22"/>
                <w:szCs w:val="22"/>
              </w:rPr>
            </w:pPr>
          </w:p>
        </w:tc>
        <w:tc>
          <w:tcPr>
            <w:tcW w:w="586" w:type="pct"/>
            <w:tcBorders>
              <w:top w:val="single" w:sz="4" w:space="0" w:color="auto"/>
              <w:left w:val="single" w:sz="4" w:space="0" w:color="auto"/>
              <w:bottom w:val="single" w:sz="4" w:space="0" w:color="auto"/>
              <w:right w:val="single" w:sz="4" w:space="0" w:color="auto"/>
            </w:tcBorders>
          </w:tcPr>
          <w:p w:rsidR="00A06F90" w:rsidRDefault="00A06F90" w:rsidP="008877D7">
            <w:pPr>
              <w:tabs>
                <w:tab w:val="left" w:pos="0"/>
                <w:tab w:val="left" w:pos="3840"/>
              </w:tabs>
              <w:rPr>
                <w:color w:val="000000"/>
                <w:sz w:val="22"/>
                <w:szCs w:val="22"/>
              </w:rPr>
            </w:pPr>
          </w:p>
        </w:tc>
        <w:tc>
          <w:tcPr>
            <w:tcW w:w="572" w:type="pct"/>
            <w:tcBorders>
              <w:top w:val="single" w:sz="4" w:space="0" w:color="auto"/>
              <w:left w:val="single" w:sz="4" w:space="0" w:color="auto"/>
              <w:bottom w:val="single" w:sz="4" w:space="0" w:color="auto"/>
              <w:right w:val="single" w:sz="4" w:space="0" w:color="auto"/>
            </w:tcBorders>
            <w:hideMark/>
          </w:tcPr>
          <w:p w:rsidR="00A06F90" w:rsidRDefault="00A06F90" w:rsidP="008877D7">
            <w:pPr>
              <w:tabs>
                <w:tab w:val="left" w:pos="0"/>
                <w:tab w:val="left" w:pos="3840"/>
              </w:tabs>
              <w:rPr>
                <w:color w:val="000000"/>
                <w:sz w:val="22"/>
                <w:szCs w:val="22"/>
              </w:rPr>
            </w:pPr>
            <w:r>
              <w:rPr>
                <w:color w:val="000000"/>
                <w:sz w:val="22"/>
                <w:szCs w:val="22"/>
              </w:rPr>
              <w:t>Sepsis</w:t>
            </w:r>
          </w:p>
        </w:tc>
      </w:tr>
      <w:tr w:rsidR="00A06F90" w:rsidTr="008877D7">
        <w:tc>
          <w:tcPr>
            <w:tcW w:w="912" w:type="pct"/>
            <w:tcBorders>
              <w:top w:val="single" w:sz="4" w:space="0" w:color="auto"/>
              <w:left w:val="single" w:sz="4" w:space="0" w:color="auto"/>
              <w:bottom w:val="single" w:sz="4" w:space="0" w:color="auto"/>
              <w:right w:val="single" w:sz="4" w:space="0" w:color="auto"/>
            </w:tcBorders>
            <w:hideMark/>
          </w:tcPr>
          <w:p w:rsidR="00A06F90" w:rsidRDefault="00A06F90" w:rsidP="008877D7">
            <w:pPr>
              <w:tabs>
                <w:tab w:val="left" w:pos="0"/>
                <w:tab w:val="left" w:pos="3840"/>
              </w:tabs>
              <w:rPr>
                <w:b/>
                <w:sz w:val="22"/>
                <w:szCs w:val="22"/>
              </w:rPr>
            </w:pPr>
            <w:r>
              <w:rPr>
                <w:b/>
                <w:color w:val="000000"/>
                <w:spacing w:val="-2"/>
                <w:sz w:val="22"/>
                <w:szCs w:val="22"/>
              </w:rPr>
              <w:t>Blod og lymfesystem</w:t>
            </w:r>
          </w:p>
        </w:tc>
        <w:tc>
          <w:tcPr>
            <w:tcW w:w="781" w:type="pct"/>
            <w:tcBorders>
              <w:top w:val="single" w:sz="4" w:space="0" w:color="auto"/>
              <w:left w:val="single" w:sz="4" w:space="0" w:color="auto"/>
              <w:bottom w:val="single" w:sz="4" w:space="0" w:color="auto"/>
              <w:right w:val="single" w:sz="4" w:space="0" w:color="auto"/>
            </w:tcBorders>
          </w:tcPr>
          <w:p w:rsidR="00A06F90" w:rsidRDefault="00A06F90" w:rsidP="008877D7">
            <w:pPr>
              <w:tabs>
                <w:tab w:val="left" w:pos="0"/>
                <w:tab w:val="left" w:pos="3840"/>
              </w:tabs>
              <w:rPr>
                <w:color w:val="000000"/>
                <w:spacing w:val="-1"/>
                <w:sz w:val="22"/>
                <w:szCs w:val="22"/>
              </w:rPr>
            </w:pPr>
            <w:proofErr w:type="spellStart"/>
            <w:r>
              <w:rPr>
                <w:color w:val="000000"/>
                <w:spacing w:val="-1"/>
                <w:sz w:val="22"/>
                <w:szCs w:val="22"/>
              </w:rPr>
              <w:t>Leukopeni</w:t>
            </w:r>
            <w:proofErr w:type="spellEnd"/>
            <w:r>
              <w:rPr>
                <w:color w:val="000000"/>
                <w:spacing w:val="-1"/>
                <w:sz w:val="22"/>
                <w:szCs w:val="22"/>
              </w:rPr>
              <w:t xml:space="preserve"> (</w:t>
            </w:r>
            <w:proofErr w:type="spellStart"/>
            <w:r>
              <w:rPr>
                <w:color w:val="000000"/>
                <w:spacing w:val="-1"/>
                <w:sz w:val="22"/>
                <w:szCs w:val="22"/>
              </w:rPr>
              <w:t>Neutropeni</w:t>
            </w:r>
            <w:proofErr w:type="spellEnd"/>
            <w:r>
              <w:rPr>
                <w:color w:val="000000"/>
                <w:spacing w:val="-1"/>
                <w:sz w:val="22"/>
                <w:szCs w:val="22"/>
              </w:rPr>
              <w:t xml:space="preserve"> grad 3 = 19,3 %; grad 4 = 6 %)</w:t>
            </w:r>
          </w:p>
          <w:p w:rsidR="00A06F90" w:rsidRDefault="00A06F90" w:rsidP="008877D7">
            <w:pPr>
              <w:tabs>
                <w:tab w:val="left" w:pos="0"/>
                <w:tab w:val="left" w:pos="3840"/>
              </w:tabs>
              <w:rPr>
                <w:color w:val="000000"/>
                <w:spacing w:val="-1"/>
                <w:sz w:val="22"/>
                <w:szCs w:val="22"/>
              </w:rPr>
            </w:pPr>
          </w:p>
          <w:p w:rsidR="00A06F90" w:rsidRDefault="00A06F90" w:rsidP="008877D7">
            <w:pPr>
              <w:tabs>
                <w:tab w:val="left" w:pos="0"/>
                <w:tab w:val="left" w:pos="3840"/>
              </w:tabs>
              <w:rPr>
                <w:color w:val="000000"/>
                <w:spacing w:val="-1"/>
                <w:sz w:val="22"/>
                <w:szCs w:val="22"/>
              </w:rPr>
            </w:pPr>
            <w:r>
              <w:rPr>
                <w:color w:val="000000"/>
                <w:spacing w:val="-1"/>
                <w:sz w:val="22"/>
                <w:szCs w:val="22"/>
              </w:rPr>
              <w:t xml:space="preserve">Knoglemarvs-suppression er sædvanligvis mild til moderat og påvirker </w:t>
            </w:r>
            <w:proofErr w:type="spellStart"/>
            <w:r>
              <w:rPr>
                <w:color w:val="000000"/>
                <w:spacing w:val="-1"/>
                <w:sz w:val="22"/>
                <w:szCs w:val="22"/>
              </w:rPr>
              <w:t>hovedsaglig</w:t>
            </w:r>
            <w:proofErr w:type="spellEnd"/>
            <w:r>
              <w:rPr>
                <w:color w:val="000000"/>
                <w:spacing w:val="-1"/>
                <w:sz w:val="22"/>
                <w:szCs w:val="22"/>
              </w:rPr>
              <w:t xml:space="preserve"> granulocyttallet (se pkt. 4.2 og 4.4)</w:t>
            </w:r>
          </w:p>
          <w:p w:rsidR="00A06F90" w:rsidRDefault="00A06F90" w:rsidP="008877D7">
            <w:pPr>
              <w:tabs>
                <w:tab w:val="left" w:pos="0"/>
                <w:tab w:val="left" w:pos="3840"/>
              </w:tabs>
              <w:rPr>
                <w:color w:val="000000"/>
                <w:spacing w:val="-1"/>
                <w:sz w:val="22"/>
                <w:szCs w:val="22"/>
              </w:rPr>
            </w:pPr>
            <w:proofErr w:type="spellStart"/>
            <w:r>
              <w:rPr>
                <w:color w:val="000000"/>
                <w:spacing w:val="-1"/>
                <w:sz w:val="22"/>
                <w:szCs w:val="22"/>
              </w:rPr>
              <w:t>Thrombocyto-peni</w:t>
            </w:r>
            <w:proofErr w:type="spellEnd"/>
          </w:p>
          <w:p w:rsidR="00A06F90" w:rsidRDefault="00A06F90" w:rsidP="008877D7">
            <w:pPr>
              <w:tabs>
                <w:tab w:val="left" w:pos="0"/>
                <w:tab w:val="left" w:pos="3840"/>
              </w:tabs>
              <w:rPr>
                <w:color w:val="000000"/>
                <w:spacing w:val="-1"/>
                <w:sz w:val="22"/>
                <w:szCs w:val="22"/>
              </w:rPr>
            </w:pPr>
            <w:r>
              <w:rPr>
                <w:color w:val="000000"/>
                <w:spacing w:val="-1"/>
                <w:sz w:val="22"/>
                <w:szCs w:val="22"/>
              </w:rPr>
              <w:t>Anæmi</w:t>
            </w:r>
          </w:p>
        </w:tc>
        <w:tc>
          <w:tcPr>
            <w:tcW w:w="651" w:type="pct"/>
            <w:tcBorders>
              <w:top w:val="single" w:sz="4" w:space="0" w:color="auto"/>
              <w:left w:val="single" w:sz="4" w:space="0" w:color="auto"/>
              <w:bottom w:val="single" w:sz="4" w:space="0" w:color="auto"/>
              <w:right w:val="single" w:sz="4" w:space="0" w:color="auto"/>
            </w:tcBorders>
            <w:hideMark/>
          </w:tcPr>
          <w:p w:rsidR="00A06F90" w:rsidRDefault="00A06F90" w:rsidP="008877D7">
            <w:pPr>
              <w:tabs>
                <w:tab w:val="left" w:pos="0"/>
                <w:tab w:val="left" w:pos="3840"/>
              </w:tabs>
              <w:rPr>
                <w:b/>
                <w:sz w:val="22"/>
                <w:szCs w:val="22"/>
              </w:rPr>
            </w:pPr>
            <w:r>
              <w:rPr>
                <w:sz w:val="22"/>
                <w:szCs w:val="22"/>
              </w:rPr>
              <w:t xml:space="preserve">Febril </w:t>
            </w:r>
            <w:proofErr w:type="spellStart"/>
            <w:r>
              <w:rPr>
                <w:sz w:val="22"/>
                <w:szCs w:val="22"/>
              </w:rPr>
              <w:t>neutropeni</w:t>
            </w:r>
            <w:proofErr w:type="spellEnd"/>
          </w:p>
        </w:tc>
        <w:tc>
          <w:tcPr>
            <w:tcW w:w="781" w:type="pct"/>
            <w:tcBorders>
              <w:top w:val="single" w:sz="4" w:space="0" w:color="auto"/>
              <w:left w:val="single" w:sz="4" w:space="0" w:color="auto"/>
              <w:bottom w:val="single" w:sz="4" w:space="0" w:color="auto"/>
              <w:right w:val="single" w:sz="4" w:space="0" w:color="auto"/>
            </w:tcBorders>
          </w:tcPr>
          <w:p w:rsidR="00A06F90" w:rsidRDefault="00A06F90" w:rsidP="008877D7">
            <w:pPr>
              <w:tabs>
                <w:tab w:val="left" w:pos="0"/>
                <w:tab w:val="left" w:pos="3840"/>
              </w:tabs>
              <w:jc w:val="center"/>
              <w:rPr>
                <w:b/>
                <w:sz w:val="22"/>
                <w:szCs w:val="22"/>
              </w:rPr>
            </w:pPr>
          </w:p>
        </w:tc>
        <w:tc>
          <w:tcPr>
            <w:tcW w:w="716" w:type="pct"/>
            <w:tcBorders>
              <w:top w:val="single" w:sz="4" w:space="0" w:color="auto"/>
              <w:left w:val="single" w:sz="4" w:space="0" w:color="auto"/>
              <w:bottom w:val="single" w:sz="4" w:space="0" w:color="auto"/>
              <w:right w:val="single" w:sz="4" w:space="0" w:color="auto"/>
            </w:tcBorders>
          </w:tcPr>
          <w:p w:rsidR="00A06F90" w:rsidRDefault="00A06F90" w:rsidP="008877D7">
            <w:pPr>
              <w:tabs>
                <w:tab w:val="left" w:pos="0"/>
                <w:tab w:val="left" w:pos="3840"/>
              </w:tabs>
              <w:jc w:val="center"/>
              <w:rPr>
                <w:b/>
                <w:sz w:val="22"/>
                <w:szCs w:val="22"/>
              </w:rPr>
            </w:pPr>
          </w:p>
        </w:tc>
        <w:tc>
          <w:tcPr>
            <w:tcW w:w="586" w:type="pct"/>
            <w:tcBorders>
              <w:top w:val="single" w:sz="4" w:space="0" w:color="auto"/>
              <w:left w:val="single" w:sz="4" w:space="0" w:color="auto"/>
              <w:bottom w:val="single" w:sz="4" w:space="0" w:color="auto"/>
              <w:right w:val="single" w:sz="4" w:space="0" w:color="auto"/>
            </w:tcBorders>
            <w:hideMark/>
          </w:tcPr>
          <w:p w:rsidR="00A06F90" w:rsidRDefault="00A06F90" w:rsidP="008877D7">
            <w:pPr>
              <w:tabs>
                <w:tab w:val="left" w:pos="0"/>
                <w:tab w:val="left" w:pos="3840"/>
              </w:tabs>
              <w:rPr>
                <w:color w:val="000000"/>
                <w:sz w:val="22"/>
                <w:szCs w:val="22"/>
              </w:rPr>
            </w:pPr>
            <w:proofErr w:type="spellStart"/>
            <w:r>
              <w:rPr>
                <w:color w:val="000000"/>
                <w:sz w:val="22"/>
                <w:szCs w:val="22"/>
              </w:rPr>
              <w:t>Thrombo-cytose</w:t>
            </w:r>
            <w:proofErr w:type="spellEnd"/>
          </w:p>
          <w:p w:rsidR="00A06F90" w:rsidRDefault="00A06F90" w:rsidP="008877D7">
            <w:pPr>
              <w:tabs>
                <w:tab w:val="left" w:pos="0"/>
                <w:tab w:val="left" w:pos="3840"/>
              </w:tabs>
              <w:rPr>
                <w:b/>
                <w:sz w:val="22"/>
                <w:szCs w:val="22"/>
              </w:rPr>
            </w:pPr>
            <w:proofErr w:type="spellStart"/>
            <w:r w:rsidRPr="00233BCB">
              <w:rPr>
                <w:sz w:val="22"/>
                <w:szCs w:val="22"/>
              </w:rPr>
              <w:t>Trombotisk</w:t>
            </w:r>
            <w:proofErr w:type="spellEnd"/>
            <w:r w:rsidRPr="00233BCB">
              <w:rPr>
                <w:sz w:val="22"/>
                <w:szCs w:val="22"/>
              </w:rPr>
              <w:t xml:space="preserve"> mikro-</w:t>
            </w:r>
            <w:proofErr w:type="spellStart"/>
            <w:r w:rsidRPr="00233BCB">
              <w:rPr>
                <w:sz w:val="22"/>
                <w:szCs w:val="22"/>
              </w:rPr>
              <w:t>angiopati</w:t>
            </w:r>
            <w:proofErr w:type="spellEnd"/>
          </w:p>
        </w:tc>
        <w:tc>
          <w:tcPr>
            <w:tcW w:w="572" w:type="pct"/>
            <w:tcBorders>
              <w:top w:val="single" w:sz="4" w:space="0" w:color="auto"/>
              <w:left w:val="single" w:sz="4" w:space="0" w:color="auto"/>
              <w:bottom w:val="single" w:sz="4" w:space="0" w:color="auto"/>
              <w:right w:val="single" w:sz="4" w:space="0" w:color="auto"/>
            </w:tcBorders>
          </w:tcPr>
          <w:p w:rsidR="00A06F90" w:rsidRDefault="00A06F90" w:rsidP="008877D7">
            <w:pPr>
              <w:tabs>
                <w:tab w:val="left" w:pos="0"/>
                <w:tab w:val="left" w:pos="3840"/>
              </w:tabs>
              <w:rPr>
                <w:color w:val="000000"/>
                <w:sz w:val="22"/>
                <w:szCs w:val="22"/>
              </w:rPr>
            </w:pPr>
          </w:p>
        </w:tc>
      </w:tr>
      <w:tr w:rsidR="00A06F90" w:rsidTr="008877D7">
        <w:tc>
          <w:tcPr>
            <w:tcW w:w="912" w:type="pct"/>
            <w:tcBorders>
              <w:top w:val="single" w:sz="4" w:space="0" w:color="auto"/>
              <w:left w:val="single" w:sz="4" w:space="0" w:color="auto"/>
              <w:bottom w:val="single" w:sz="4" w:space="0" w:color="auto"/>
              <w:right w:val="single" w:sz="4" w:space="0" w:color="auto"/>
            </w:tcBorders>
            <w:hideMark/>
          </w:tcPr>
          <w:p w:rsidR="00A06F90" w:rsidRDefault="00A06F90" w:rsidP="008877D7">
            <w:pPr>
              <w:tabs>
                <w:tab w:val="left" w:pos="0"/>
                <w:tab w:val="left" w:pos="3840"/>
              </w:tabs>
              <w:rPr>
                <w:color w:val="000000"/>
                <w:spacing w:val="-2"/>
                <w:sz w:val="22"/>
                <w:szCs w:val="22"/>
              </w:rPr>
            </w:pPr>
            <w:r>
              <w:rPr>
                <w:b/>
                <w:bCs/>
                <w:color w:val="000000"/>
                <w:spacing w:val="-4"/>
                <w:sz w:val="22"/>
                <w:szCs w:val="22"/>
              </w:rPr>
              <w:t>Immunsystemet</w:t>
            </w:r>
          </w:p>
        </w:tc>
        <w:tc>
          <w:tcPr>
            <w:tcW w:w="781" w:type="pct"/>
            <w:tcBorders>
              <w:top w:val="single" w:sz="4" w:space="0" w:color="auto"/>
              <w:left w:val="single" w:sz="4" w:space="0" w:color="auto"/>
              <w:bottom w:val="single" w:sz="4" w:space="0" w:color="auto"/>
              <w:right w:val="single" w:sz="4" w:space="0" w:color="auto"/>
            </w:tcBorders>
          </w:tcPr>
          <w:p w:rsidR="00A06F90" w:rsidRDefault="00A06F90" w:rsidP="008877D7">
            <w:pPr>
              <w:tabs>
                <w:tab w:val="left" w:pos="0"/>
                <w:tab w:val="left" w:pos="3840"/>
              </w:tabs>
              <w:rPr>
                <w:color w:val="000000"/>
                <w:spacing w:val="-1"/>
                <w:sz w:val="22"/>
                <w:szCs w:val="22"/>
              </w:rPr>
            </w:pPr>
          </w:p>
        </w:tc>
        <w:tc>
          <w:tcPr>
            <w:tcW w:w="651" w:type="pct"/>
            <w:tcBorders>
              <w:top w:val="single" w:sz="4" w:space="0" w:color="auto"/>
              <w:left w:val="single" w:sz="4" w:space="0" w:color="auto"/>
              <w:bottom w:val="single" w:sz="4" w:space="0" w:color="auto"/>
              <w:right w:val="single" w:sz="4" w:space="0" w:color="auto"/>
            </w:tcBorders>
          </w:tcPr>
          <w:p w:rsidR="00A06F90" w:rsidRDefault="00A06F90" w:rsidP="008877D7">
            <w:pPr>
              <w:tabs>
                <w:tab w:val="left" w:pos="0"/>
                <w:tab w:val="left" w:pos="3840"/>
              </w:tabs>
              <w:rPr>
                <w:color w:val="000000"/>
                <w:spacing w:val="2"/>
                <w:sz w:val="22"/>
                <w:szCs w:val="22"/>
              </w:rPr>
            </w:pPr>
          </w:p>
        </w:tc>
        <w:tc>
          <w:tcPr>
            <w:tcW w:w="781" w:type="pct"/>
            <w:tcBorders>
              <w:top w:val="single" w:sz="4" w:space="0" w:color="auto"/>
              <w:left w:val="single" w:sz="4" w:space="0" w:color="auto"/>
              <w:bottom w:val="single" w:sz="4" w:space="0" w:color="auto"/>
              <w:right w:val="single" w:sz="4" w:space="0" w:color="auto"/>
            </w:tcBorders>
          </w:tcPr>
          <w:p w:rsidR="00A06F90" w:rsidRDefault="00A06F90" w:rsidP="008877D7">
            <w:pPr>
              <w:tabs>
                <w:tab w:val="left" w:pos="0"/>
                <w:tab w:val="left" w:pos="3840"/>
              </w:tabs>
              <w:jc w:val="center"/>
              <w:rPr>
                <w:b/>
                <w:sz w:val="22"/>
                <w:szCs w:val="22"/>
              </w:rPr>
            </w:pPr>
          </w:p>
        </w:tc>
        <w:tc>
          <w:tcPr>
            <w:tcW w:w="716" w:type="pct"/>
            <w:tcBorders>
              <w:top w:val="single" w:sz="4" w:space="0" w:color="auto"/>
              <w:left w:val="single" w:sz="4" w:space="0" w:color="auto"/>
              <w:bottom w:val="single" w:sz="4" w:space="0" w:color="auto"/>
              <w:right w:val="single" w:sz="4" w:space="0" w:color="auto"/>
            </w:tcBorders>
          </w:tcPr>
          <w:p w:rsidR="00A06F90" w:rsidRDefault="00A06F90" w:rsidP="008877D7">
            <w:pPr>
              <w:tabs>
                <w:tab w:val="left" w:pos="0"/>
                <w:tab w:val="left" w:pos="3840"/>
              </w:tabs>
              <w:jc w:val="center"/>
              <w:rPr>
                <w:b/>
                <w:sz w:val="22"/>
                <w:szCs w:val="22"/>
              </w:rPr>
            </w:pPr>
          </w:p>
        </w:tc>
        <w:tc>
          <w:tcPr>
            <w:tcW w:w="586" w:type="pct"/>
            <w:tcBorders>
              <w:top w:val="single" w:sz="4" w:space="0" w:color="auto"/>
              <w:left w:val="single" w:sz="4" w:space="0" w:color="auto"/>
              <w:bottom w:val="single" w:sz="4" w:space="0" w:color="auto"/>
              <w:right w:val="single" w:sz="4" w:space="0" w:color="auto"/>
            </w:tcBorders>
            <w:hideMark/>
          </w:tcPr>
          <w:p w:rsidR="00A06F90" w:rsidRDefault="00A06F90" w:rsidP="008877D7">
            <w:pPr>
              <w:tabs>
                <w:tab w:val="left" w:pos="0"/>
                <w:tab w:val="left" w:pos="3840"/>
              </w:tabs>
              <w:rPr>
                <w:color w:val="000000"/>
                <w:sz w:val="22"/>
                <w:szCs w:val="22"/>
              </w:rPr>
            </w:pPr>
            <w:proofErr w:type="spellStart"/>
            <w:r>
              <w:rPr>
                <w:color w:val="000000"/>
                <w:spacing w:val="2"/>
                <w:sz w:val="22"/>
                <w:szCs w:val="22"/>
              </w:rPr>
              <w:t>Anafylak-toide</w:t>
            </w:r>
            <w:proofErr w:type="spellEnd"/>
            <w:r>
              <w:rPr>
                <w:color w:val="000000"/>
                <w:spacing w:val="2"/>
                <w:sz w:val="22"/>
                <w:szCs w:val="22"/>
              </w:rPr>
              <w:t xml:space="preserve"> reaktioner</w:t>
            </w:r>
          </w:p>
        </w:tc>
        <w:tc>
          <w:tcPr>
            <w:tcW w:w="572" w:type="pct"/>
            <w:tcBorders>
              <w:top w:val="single" w:sz="4" w:space="0" w:color="auto"/>
              <w:left w:val="single" w:sz="4" w:space="0" w:color="auto"/>
              <w:bottom w:val="single" w:sz="4" w:space="0" w:color="auto"/>
              <w:right w:val="single" w:sz="4" w:space="0" w:color="auto"/>
            </w:tcBorders>
          </w:tcPr>
          <w:p w:rsidR="00A06F90" w:rsidRDefault="00A06F90" w:rsidP="008877D7">
            <w:pPr>
              <w:tabs>
                <w:tab w:val="left" w:pos="0"/>
                <w:tab w:val="left" w:pos="3840"/>
              </w:tabs>
              <w:rPr>
                <w:color w:val="000000"/>
                <w:spacing w:val="2"/>
                <w:sz w:val="22"/>
                <w:szCs w:val="22"/>
              </w:rPr>
            </w:pPr>
          </w:p>
        </w:tc>
      </w:tr>
      <w:tr w:rsidR="00A06F90" w:rsidTr="008877D7">
        <w:tc>
          <w:tcPr>
            <w:tcW w:w="912" w:type="pct"/>
            <w:tcBorders>
              <w:top w:val="single" w:sz="4" w:space="0" w:color="auto"/>
              <w:left w:val="single" w:sz="4" w:space="0" w:color="auto"/>
              <w:bottom w:val="single" w:sz="4" w:space="0" w:color="auto"/>
              <w:right w:val="single" w:sz="4" w:space="0" w:color="auto"/>
            </w:tcBorders>
            <w:hideMark/>
          </w:tcPr>
          <w:p w:rsidR="00A06F90" w:rsidRDefault="00A06F90" w:rsidP="008877D7">
            <w:pPr>
              <w:shd w:val="clear" w:color="auto" w:fill="FFFFFF"/>
              <w:tabs>
                <w:tab w:val="left" w:pos="567"/>
              </w:tabs>
              <w:rPr>
                <w:sz w:val="22"/>
                <w:szCs w:val="22"/>
              </w:rPr>
            </w:pPr>
            <w:r>
              <w:rPr>
                <w:b/>
                <w:bCs/>
                <w:color w:val="000000"/>
                <w:spacing w:val="-3"/>
                <w:sz w:val="22"/>
                <w:szCs w:val="22"/>
              </w:rPr>
              <w:t>Metabolisme og ernæring</w:t>
            </w:r>
          </w:p>
        </w:tc>
        <w:tc>
          <w:tcPr>
            <w:tcW w:w="781" w:type="pct"/>
            <w:tcBorders>
              <w:top w:val="single" w:sz="4" w:space="0" w:color="auto"/>
              <w:left w:val="single" w:sz="4" w:space="0" w:color="auto"/>
              <w:bottom w:val="single" w:sz="4" w:space="0" w:color="auto"/>
              <w:right w:val="single" w:sz="4" w:space="0" w:color="auto"/>
            </w:tcBorders>
          </w:tcPr>
          <w:p w:rsidR="00A06F90" w:rsidRDefault="00A06F90" w:rsidP="008877D7">
            <w:pPr>
              <w:tabs>
                <w:tab w:val="left" w:pos="0"/>
                <w:tab w:val="left" w:pos="3840"/>
              </w:tabs>
              <w:rPr>
                <w:color w:val="000000"/>
                <w:spacing w:val="-1"/>
                <w:sz w:val="22"/>
                <w:szCs w:val="22"/>
              </w:rPr>
            </w:pPr>
          </w:p>
        </w:tc>
        <w:tc>
          <w:tcPr>
            <w:tcW w:w="651" w:type="pct"/>
            <w:tcBorders>
              <w:top w:val="single" w:sz="4" w:space="0" w:color="auto"/>
              <w:left w:val="single" w:sz="4" w:space="0" w:color="auto"/>
              <w:bottom w:val="single" w:sz="4" w:space="0" w:color="auto"/>
              <w:right w:val="single" w:sz="4" w:space="0" w:color="auto"/>
            </w:tcBorders>
            <w:hideMark/>
          </w:tcPr>
          <w:p w:rsidR="00A06F90" w:rsidRDefault="00A06F90" w:rsidP="008877D7">
            <w:pPr>
              <w:tabs>
                <w:tab w:val="left" w:pos="0"/>
                <w:tab w:val="left" w:pos="3840"/>
              </w:tabs>
              <w:rPr>
                <w:color w:val="000000"/>
                <w:spacing w:val="2"/>
                <w:sz w:val="22"/>
                <w:szCs w:val="22"/>
              </w:rPr>
            </w:pPr>
            <w:r>
              <w:rPr>
                <w:color w:val="000000"/>
                <w:spacing w:val="5"/>
                <w:sz w:val="22"/>
                <w:szCs w:val="22"/>
              </w:rPr>
              <w:t>Anoreksi</w:t>
            </w:r>
          </w:p>
        </w:tc>
        <w:tc>
          <w:tcPr>
            <w:tcW w:w="781" w:type="pct"/>
            <w:tcBorders>
              <w:top w:val="single" w:sz="4" w:space="0" w:color="auto"/>
              <w:left w:val="single" w:sz="4" w:space="0" w:color="auto"/>
              <w:bottom w:val="single" w:sz="4" w:space="0" w:color="auto"/>
              <w:right w:val="single" w:sz="4" w:space="0" w:color="auto"/>
            </w:tcBorders>
          </w:tcPr>
          <w:p w:rsidR="00A06F90" w:rsidRDefault="00A06F90" w:rsidP="008877D7">
            <w:pPr>
              <w:tabs>
                <w:tab w:val="left" w:pos="0"/>
                <w:tab w:val="left" w:pos="3840"/>
              </w:tabs>
              <w:jc w:val="center"/>
              <w:rPr>
                <w:b/>
                <w:sz w:val="22"/>
                <w:szCs w:val="22"/>
              </w:rPr>
            </w:pPr>
          </w:p>
        </w:tc>
        <w:tc>
          <w:tcPr>
            <w:tcW w:w="716" w:type="pct"/>
            <w:tcBorders>
              <w:top w:val="single" w:sz="4" w:space="0" w:color="auto"/>
              <w:left w:val="single" w:sz="4" w:space="0" w:color="auto"/>
              <w:bottom w:val="single" w:sz="4" w:space="0" w:color="auto"/>
              <w:right w:val="single" w:sz="4" w:space="0" w:color="auto"/>
            </w:tcBorders>
          </w:tcPr>
          <w:p w:rsidR="00A06F90" w:rsidRDefault="00A06F90" w:rsidP="008877D7">
            <w:pPr>
              <w:tabs>
                <w:tab w:val="left" w:pos="0"/>
                <w:tab w:val="left" w:pos="3840"/>
              </w:tabs>
              <w:jc w:val="center"/>
              <w:rPr>
                <w:b/>
                <w:sz w:val="22"/>
                <w:szCs w:val="22"/>
              </w:rPr>
            </w:pPr>
          </w:p>
        </w:tc>
        <w:tc>
          <w:tcPr>
            <w:tcW w:w="586" w:type="pct"/>
            <w:tcBorders>
              <w:top w:val="single" w:sz="4" w:space="0" w:color="auto"/>
              <w:left w:val="single" w:sz="4" w:space="0" w:color="auto"/>
              <w:bottom w:val="single" w:sz="4" w:space="0" w:color="auto"/>
              <w:right w:val="single" w:sz="4" w:space="0" w:color="auto"/>
            </w:tcBorders>
          </w:tcPr>
          <w:p w:rsidR="00A06F90" w:rsidRDefault="00A06F90" w:rsidP="008877D7">
            <w:pPr>
              <w:tabs>
                <w:tab w:val="left" w:pos="0"/>
                <w:tab w:val="left" w:pos="3840"/>
              </w:tabs>
              <w:rPr>
                <w:color w:val="000000"/>
                <w:spacing w:val="2"/>
                <w:sz w:val="22"/>
                <w:szCs w:val="22"/>
              </w:rPr>
            </w:pPr>
          </w:p>
        </w:tc>
        <w:tc>
          <w:tcPr>
            <w:tcW w:w="572" w:type="pct"/>
            <w:tcBorders>
              <w:top w:val="single" w:sz="4" w:space="0" w:color="auto"/>
              <w:left w:val="single" w:sz="4" w:space="0" w:color="auto"/>
              <w:bottom w:val="single" w:sz="4" w:space="0" w:color="auto"/>
              <w:right w:val="single" w:sz="4" w:space="0" w:color="auto"/>
            </w:tcBorders>
          </w:tcPr>
          <w:p w:rsidR="00A06F90" w:rsidRDefault="00A06F90" w:rsidP="008877D7">
            <w:pPr>
              <w:tabs>
                <w:tab w:val="left" w:pos="0"/>
                <w:tab w:val="left" w:pos="3840"/>
              </w:tabs>
              <w:rPr>
                <w:color w:val="000000"/>
                <w:spacing w:val="2"/>
                <w:sz w:val="22"/>
                <w:szCs w:val="22"/>
              </w:rPr>
            </w:pPr>
          </w:p>
        </w:tc>
      </w:tr>
      <w:tr w:rsidR="00A06F90" w:rsidTr="008877D7">
        <w:tc>
          <w:tcPr>
            <w:tcW w:w="912" w:type="pct"/>
            <w:tcBorders>
              <w:top w:val="single" w:sz="4" w:space="0" w:color="auto"/>
              <w:left w:val="single" w:sz="4" w:space="0" w:color="auto"/>
              <w:bottom w:val="single" w:sz="4" w:space="0" w:color="auto"/>
              <w:right w:val="single" w:sz="4" w:space="0" w:color="auto"/>
            </w:tcBorders>
            <w:hideMark/>
          </w:tcPr>
          <w:p w:rsidR="00A06F90" w:rsidRDefault="00A06F90" w:rsidP="008877D7">
            <w:pPr>
              <w:tabs>
                <w:tab w:val="left" w:pos="0"/>
                <w:tab w:val="left" w:pos="3840"/>
              </w:tabs>
              <w:rPr>
                <w:color w:val="000000"/>
                <w:spacing w:val="-1"/>
                <w:sz w:val="22"/>
                <w:szCs w:val="22"/>
              </w:rPr>
            </w:pPr>
            <w:r>
              <w:rPr>
                <w:b/>
                <w:bCs/>
                <w:color w:val="000000"/>
                <w:spacing w:val="-3"/>
                <w:sz w:val="22"/>
                <w:szCs w:val="22"/>
              </w:rPr>
              <w:t>Nervesystemet</w:t>
            </w:r>
          </w:p>
        </w:tc>
        <w:tc>
          <w:tcPr>
            <w:tcW w:w="781" w:type="pct"/>
            <w:tcBorders>
              <w:top w:val="single" w:sz="4" w:space="0" w:color="auto"/>
              <w:left w:val="single" w:sz="4" w:space="0" w:color="auto"/>
              <w:bottom w:val="single" w:sz="4" w:space="0" w:color="auto"/>
              <w:right w:val="single" w:sz="4" w:space="0" w:color="auto"/>
            </w:tcBorders>
          </w:tcPr>
          <w:p w:rsidR="00A06F90" w:rsidRDefault="00A06F90" w:rsidP="008877D7">
            <w:pPr>
              <w:tabs>
                <w:tab w:val="left" w:pos="0"/>
                <w:tab w:val="left" w:pos="3840"/>
              </w:tabs>
              <w:rPr>
                <w:color w:val="000000"/>
                <w:spacing w:val="-1"/>
                <w:sz w:val="22"/>
                <w:szCs w:val="22"/>
              </w:rPr>
            </w:pPr>
          </w:p>
        </w:tc>
        <w:tc>
          <w:tcPr>
            <w:tcW w:w="651" w:type="pct"/>
            <w:tcBorders>
              <w:top w:val="single" w:sz="4" w:space="0" w:color="auto"/>
              <w:left w:val="single" w:sz="4" w:space="0" w:color="auto"/>
              <w:bottom w:val="single" w:sz="4" w:space="0" w:color="auto"/>
              <w:right w:val="single" w:sz="4" w:space="0" w:color="auto"/>
            </w:tcBorders>
            <w:hideMark/>
          </w:tcPr>
          <w:p w:rsidR="00A06F90" w:rsidRDefault="00A06F90" w:rsidP="008877D7">
            <w:pPr>
              <w:tabs>
                <w:tab w:val="left" w:pos="0"/>
                <w:tab w:val="left" w:pos="3840"/>
              </w:tabs>
              <w:rPr>
                <w:sz w:val="22"/>
                <w:szCs w:val="22"/>
              </w:rPr>
            </w:pPr>
            <w:r>
              <w:rPr>
                <w:sz w:val="22"/>
                <w:szCs w:val="22"/>
              </w:rPr>
              <w:t>Hovedpine</w:t>
            </w:r>
          </w:p>
          <w:p w:rsidR="00A06F90" w:rsidRDefault="00A06F90" w:rsidP="008877D7">
            <w:pPr>
              <w:tabs>
                <w:tab w:val="left" w:pos="0"/>
                <w:tab w:val="left" w:pos="3840"/>
              </w:tabs>
              <w:rPr>
                <w:sz w:val="22"/>
                <w:szCs w:val="22"/>
              </w:rPr>
            </w:pPr>
            <w:r>
              <w:rPr>
                <w:sz w:val="22"/>
                <w:szCs w:val="22"/>
              </w:rPr>
              <w:t>Søvnløshed</w:t>
            </w:r>
          </w:p>
          <w:p w:rsidR="00A06F90" w:rsidRDefault="00A06F90" w:rsidP="008877D7">
            <w:pPr>
              <w:tabs>
                <w:tab w:val="left" w:pos="0"/>
                <w:tab w:val="left" w:pos="3840"/>
              </w:tabs>
              <w:rPr>
                <w:color w:val="000000"/>
                <w:spacing w:val="5"/>
                <w:sz w:val="22"/>
                <w:szCs w:val="22"/>
              </w:rPr>
            </w:pPr>
            <w:proofErr w:type="spellStart"/>
            <w:r>
              <w:rPr>
                <w:sz w:val="22"/>
                <w:szCs w:val="22"/>
              </w:rPr>
              <w:t>Somnolens</w:t>
            </w:r>
            <w:proofErr w:type="spellEnd"/>
          </w:p>
        </w:tc>
        <w:tc>
          <w:tcPr>
            <w:tcW w:w="781" w:type="pct"/>
            <w:tcBorders>
              <w:top w:val="single" w:sz="4" w:space="0" w:color="auto"/>
              <w:left w:val="single" w:sz="4" w:space="0" w:color="auto"/>
              <w:bottom w:val="single" w:sz="4" w:space="0" w:color="auto"/>
              <w:right w:val="single" w:sz="4" w:space="0" w:color="auto"/>
            </w:tcBorders>
            <w:hideMark/>
          </w:tcPr>
          <w:p w:rsidR="00A06F90" w:rsidRDefault="00A06F90" w:rsidP="008877D7">
            <w:pPr>
              <w:tabs>
                <w:tab w:val="left" w:pos="0"/>
                <w:tab w:val="left" w:pos="3840"/>
              </w:tabs>
              <w:rPr>
                <w:b/>
                <w:sz w:val="22"/>
                <w:szCs w:val="22"/>
              </w:rPr>
            </w:pPr>
            <w:proofErr w:type="spellStart"/>
            <w:r>
              <w:rPr>
                <w:color w:val="000000"/>
                <w:spacing w:val="3"/>
                <w:sz w:val="22"/>
                <w:szCs w:val="22"/>
              </w:rPr>
              <w:t>Hjerne-blødning</w:t>
            </w:r>
            <w:proofErr w:type="spellEnd"/>
          </w:p>
        </w:tc>
        <w:tc>
          <w:tcPr>
            <w:tcW w:w="716" w:type="pct"/>
            <w:tcBorders>
              <w:top w:val="single" w:sz="4" w:space="0" w:color="auto"/>
              <w:left w:val="single" w:sz="4" w:space="0" w:color="auto"/>
              <w:bottom w:val="single" w:sz="4" w:space="0" w:color="auto"/>
              <w:right w:val="single" w:sz="4" w:space="0" w:color="auto"/>
            </w:tcBorders>
          </w:tcPr>
          <w:p w:rsidR="00A06F90" w:rsidRDefault="00A06F90" w:rsidP="008877D7">
            <w:pPr>
              <w:tabs>
                <w:tab w:val="left" w:pos="0"/>
                <w:tab w:val="left" w:pos="3840"/>
              </w:tabs>
              <w:jc w:val="center"/>
              <w:rPr>
                <w:b/>
                <w:sz w:val="22"/>
                <w:szCs w:val="22"/>
              </w:rPr>
            </w:pPr>
          </w:p>
        </w:tc>
        <w:tc>
          <w:tcPr>
            <w:tcW w:w="586" w:type="pct"/>
            <w:tcBorders>
              <w:top w:val="single" w:sz="4" w:space="0" w:color="auto"/>
              <w:left w:val="single" w:sz="4" w:space="0" w:color="auto"/>
              <w:bottom w:val="single" w:sz="4" w:space="0" w:color="auto"/>
              <w:right w:val="single" w:sz="4" w:space="0" w:color="auto"/>
            </w:tcBorders>
            <w:hideMark/>
          </w:tcPr>
          <w:p w:rsidR="00A06F90" w:rsidRDefault="00A06F90" w:rsidP="008877D7">
            <w:pPr>
              <w:tabs>
                <w:tab w:val="left" w:pos="0"/>
                <w:tab w:val="left" w:pos="3840"/>
              </w:tabs>
              <w:rPr>
                <w:color w:val="000000"/>
                <w:spacing w:val="2"/>
                <w:sz w:val="22"/>
                <w:szCs w:val="22"/>
              </w:rPr>
            </w:pPr>
            <w:proofErr w:type="spellStart"/>
            <w:r>
              <w:rPr>
                <w:sz w:val="22"/>
                <w:szCs w:val="22"/>
              </w:rPr>
              <w:t>Posterior</w:t>
            </w:r>
            <w:proofErr w:type="spellEnd"/>
            <w:r>
              <w:rPr>
                <w:sz w:val="22"/>
                <w:szCs w:val="22"/>
              </w:rPr>
              <w:t xml:space="preserve"> reversibel </w:t>
            </w:r>
            <w:proofErr w:type="spellStart"/>
            <w:r>
              <w:rPr>
                <w:sz w:val="22"/>
                <w:szCs w:val="22"/>
              </w:rPr>
              <w:t>encefalopa</w:t>
            </w:r>
            <w:proofErr w:type="spellEnd"/>
            <w:r>
              <w:rPr>
                <w:sz w:val="22"/>
                <w:szCs w:val="22"/>
              </w:rPr>
              <w:t>-ti-syndrom (se pkt.</w:t>
            </w:r>
            <w:r w:rsidRPr="00233BCB">
              <w:rPr>
                <w:sz w:val="22"/>
                <w:szCs w:val="22"/>
              </w:rPr>
              <w:t> </w:t>
            </w:r>
            <w:r>
              <w:rPr>
                <w:sz w:val="22"/>
                <w:szCs w:val="22"/>
              </w:rPr>
              <w:t>4.4.)</w:t>
            </w:r>
          </w:p>
        </w:tc>
        <w:tc>
          <w:tcPr>
            <w:tcW w:w="572" w:type="pct"/>
            <w:tcBorders>
              <w:top w:val="single" w:sz="4" w:space="0" w:color="auto"/>
              <w:left w:val="single" w:sz="4" w:space="0" w:color="auto"/>
              <w:bottom w:val="single" w:sz="4" w:space="0" w:color="auto"/>
              <w:right w:val="single" w:sz="4" w:space="0" w:color="auto"/>
            </w:tcBorders>
          </w:tcPr>
          <w:p w:rsidR="00A06F90" w:rsidRDefault="00A06F90" w:rsidP="008877D7">
            <w:pPr>
              <w:tabs>
                <w:tab w:val="left" w:pos="0"/>
                <w:tab w:val="left" w:pos="3840"/>
              </w:tabs>
              <w:rPr>
                <w:sz w:val="22"/>
                <w:szCs w:val="22"/>
              </w:rPr>
            </w:pPr>
          </w:p>
        </w:tc>
      </w:tr>
      <w:tr w:rsidR="00A06F90" w:rsidTr="008877D7">
        <w:tc>
          <w:tcPr>
            <w:tcW w:w="912" w:type="pct"/>
            <w:tcBorders>
              <w:top w:val="single" w:sz="4" w:space="0" w:color="auto"/>
              <w:left w:val="single" w:sz="4" w:space="0" w:color="auto"/>
              <w:bottom w:val="single" w:sz="4" w:space="0" w:color="auto"/>
              <w:right w:val="single" w:sz="4" w:space="0" w:color="auto"/>
            </w:tcBorders>
            <w:hideMark/>
          </w:tcPr>
          <w:p w:rsidR="00A06F90" w:rsidRDefault="00A06F90" w:rsidP="008877D7">
            <w:pPr>
              <w:tabs>
                <w:tab w:val="left" w:pos="0"/>
                <w:tab w:val="left" w:pos="3840"/>
              </w:tabs>
              <w:rPr>
                <w:color w:val="000000"/>
                <w:spacing w:val="-1"/>
                <w:sz w:val="22"/>
                <w:szCs w:val="22"/>
              </w:rPr>
            </w:pPr>
            <w:r>
              <w:rPr>
                <w:b/>
                <w:bCs/>
                <w:color w:val="000000"/>
                <w:spacing w:val="-2"/>
                <w:sz w:val="22"/>
                <w:szCs w:val="22"/>
              </w:rPr>
              <w:t>Hjerte</w:t>
            </w:r>
          </w:p>
        </w:tc>
        <w:tc>
          <w:tcPr>
            <w:tcW w:w="781" w:type="pct"/>
            <w:tcBorders>
              <w:top w:val="single" w:sz="4" w:space="0" w:color="auto"/>
              <w:left w:val="single" w:sz="4" w:space="0" w:color="auto"/>
              <w:bottom w:val="single" w:sz="4" w:space="0" w:color="auto"/>
              <w:right w:val="single" w:sz="4" w:space="0" w:color="auto"/>
            </w:tcBorders>
          </w:tcPr>
          <w:p w:rsidR="00A06F90" w:rsidRDefault="00A06F90" w:rsidP="008877D7">
            <w:pPr>
              <w:tabs>
                <w:tab w:val="left" w:pos="0"/>
                <w:tab w:val="left" w:pos="3840"/>
              </w:tabs>
              <w:rPr>
                <w:color w:val="000000"/>
                <w:spacing w:val="-1"/>
                <w:sz w:val="22"/>
                <w:szCs w:val="22"/>
              </w:rPr>
            </w:pPr>
          </w:p>
        </w:tc>
        <w:tc>
          <w:tcPr>
            <w:tcW w:w="651" w:type="pct"/>
            <w:tcBorders>
              <w:top w:val="single" w:sz="4" w:space="0" w:color="auto"/>
              <w:left w:val="single" w:sz="4" w:space="0" w:color="auto"/>
              <w:bottom w:val="single" w:sz="4" w:space="0" w:color="auto"/>
              <w:right w:val="single" w:sz="4" w:space="0" w:color="auto"/>
            </w:tcBorders>
          </w:tcPr>
          <w:p w:rsidR="00A06F90" w:rsidRDefault="00A06F90" w:rsidP="008877D7">
            <w:pPr>
              <w:tabs>
                <w:tab w:val="left" w:pos="0"/>
                <w:tab w:val="left" w:pos="3840"/>
              </w:tabs>
              <w:rPr>
                <w:color w:val="000000"/>
                <w:spacing w:val="5"/>
                <w:sz w:val="22"/>
                <w:szCs w:val="22"/>
              </w:rPr>
            </w:pPr>
          </w:p>
        </w:tc>
        <w:tc>
          <w:tcPr>
            <w:tcW w:w="781" w:type="pct"/>
            <w:tcBorders>
              <w:top w:val="single" w:sz="4" w:space="0" w:color="auto"/>
              <w:left w:val="single" w:sz="4" w:space="0" w:color="auto"/>
              <w:bottom w:val="single" w:sz="4" w:space="0" w:color="auto"/>
              <w:right w:val="single" w:sz="4" w:space="0" w:color="auto"/>
            </w:tcBorders>
            <w:hideMark/>
          </w:tcPr>
          <w:p w:rsidR="00A06F90" w:rsidRDefault="00A06F90" w:rsidP="008877D7">
            <w:pPr>
              <w:tabs>
                <w:tab w:val="left" w:pos="0"/>
                <w:tab w:val="left" w:pos="3840"/>
              </w:tabs>
              <w:ind w:right="-109"/>
              <w:rPr>
                <w:color w:val="000000"/>
                <w:spacing w:val="3"/>
                <w:sz w:val="22"/>
                <w:szCs w:val="22"/>
              </w:rPr>
            </w:pPr>
            <w:proofErr w:type="spellStart"/>
            <w:r>
              <w:rPr>
                <w:color w:val="000000"/>
                <w:spacing w:val="3"/>
                <w:sz w:val="22"/>
                <w:szCs w:val="22"/>
              </w:rPr>
              <w:t>Arytmier</w:t>
            </w:r>
            <w:proofErr w:type="spellEnd"/>
            <w:r>
              <w:rPr>
                <w:color w:val="000000"/>
                <w:spacing w:val="3"/>
                <w:sz w:val="22"/>
                <w:szCs w:val="22"/>
              </w:rPr>
              <w:t xml:space="preserve">, </w:t>
            </w:r>
            <w:proofErr w:type="spellStart"/>
            <w:r>
              <w:rPr>
                <w:color w:val="000000"/>
                <w:spacing w:val="3"/>
                <w:sz w:val="22"/>
                <w:szCs w:val="22"/>
              </w:rPr>
              <w:t>hovedsaglig</w:t>
            </w:r>
            <w:proofErr w:type="spellEnd"/>
            <w:r>
              <w:rPr>
                <w:color w:val="000000"/>
                <w:spacing w:val="3"/>
                <w:sz w:val="22"/>
                <w:szCs w:val="22"/>
              </w:rPr>
              <w:t xml:space="preserve"> af </w:t>
            </w:r>
            <w:proofErr w:type="spellStart"/>
            <w:r>
              <w:rPr>
                <w:color w:val="000000"/>
                <w:spacing w:val="3"/>
                <w:sz w:val="22"/>
                <w:szCs w:val="22"/>
              </w:rPr>
              <w:t>supra-ventrikulær</w:t>
            </w:r>
            <w:proofErr w:type="spellEnd"/>
            <w:r>
              <w:rPr>
                <w:color w:val="000000"/>
                <w:spacing w:val="3"/>
                <w:sz w:val="22"/>
                <w:szCs w:val="22"/>
              </w:rPr>
              <w:t xml:space="preserve"> karakter</w:t>
            </w:r>
          </w:p>
          <w:p w:rsidR="00A06F90" w:rsidRDefault="00A06F90" w:rsidP="008877D7">
            <w:pPr>
              <w:tabs>
                <w:tab w:val="left" w:pos="0"/>
                <w:tab w:val="left" w:pos="3840"/>
              </w:tabs>
              <w:rPr>
                <w:sz w:val="22"/>
                <w:szCs w:val="22"/>
              </w:rPr>
            </w:pPr>
            <w:r>
              <w:rPr>
                <w:color w:val="000000"/>
                <w:spacing w:val="3"/>
                <w:sz w:val="22"/>
                <w:szCs w:val="22"/>
              </w:rPr>
              <w:t>Hjerte</w:t>
            </w:r>
            <w:r>
              <w:rPr>
                <w:color w:val="000000"/>
                <w:spacing w:val="3"/>
                <w:sz w:val="22"/>
                <w:szCs w:val="22"/>
                <w:lang w:val="nl-NL"/>
              </w:rPr>
              <w:t>-</w:t>
            </w:r>
            <w:r>
              <w:rPr>
                <w:color w:val="000000"/>
                <w:spacing w:val="3"/>
                <w:sz w:val="22"/>
                <w:szCs w:val="22"/>
              </w:rPr>
              <w:t>insufficiens</w:t>
            </w:r>
          </w:p>
        </w:tc>
        <w:tc>
          <w:tcPr>
            <w:tcW w:w="716" w:type="pct"/>
            <w:tcBorders>
              <w:top w:val="single" w:sz="4" w:space="0" w:color="auto"/>
              <w:left w:val="single" w:sz="4" w:space="0" w:color="auto"/>
              <w:bottom w:val="single" w:sz="4" w:space="0" w:color="auto"/>
              <w:right w:val="single" w:sz="4" w:space="0" w:color="auto"/>
            </w:tcBorders>
            <w:hideMark/>
          </w:tcPr>
          <w:p w:rsidR="00A06F90" w:rsidRDefault="00A06F90" w:rsidP="008877D7">
            <w:pPr>
              <w:tabs>
                <w:tab w:val="left" w:pos="0"/>
                <w:tab w:val="left" w:pos="3840"/>
              </w:tabs>
              <w:rPr>
                <w:b/>
                <w:sz w:val="22"/>
                <w:szCs w:val="22"/>
              </w:rPr>
            </w:pPr>
            <w:proofErr w:type="spellStart"/>
            <w:r>
              <w:rPr>
                <w:color w:val="000000"/>
                <w:sz w:val="22"/>
                <w:szCs w:val="22"/>
              </w:rPr>
              <w:t>Hjerte-infarkt</w:t>
            </w:r>
            <w:proofErr w:type="spellEnd"/>
          </w:p>
        </w:tc>
        <w:tc>
          <w:tcPr>
            <w:tcW w:w="586" w:type="pct"/>
            <w:tcBorders>
              <w:top w:val="single" w:sz="4" w:space="0" w:color="auto"/>
              <w:left w:val="single" w:sz="4" w:space="0" w:color="auto"/>
              <w:bottom w:val="single" w:sz="4" w:space="0" w:color="auto"/>
              <w:right w:val="single" w:sz="4" w:space="0" w:color="auto"/>
            </w:tcBorders>
          </w:tcPr>
          <w:p w:rsidR="00A06F90" w:rsidRDefault="00A06F90" w:rsidP="008877D7">
            <w:pPr>
              <w:tabs>
                <w:tab w:val="left" w:pos="0"/>
                <w:tab w:val="left" w:pos="3840"/>
              </w:tabs>
              <w:rPr>
                <w:sz w:val="22"/>
                <w:szCs w:val="22"/>
              </w:rPr>
            </w:pPr>
          </w:p>
        </w:tc>
        <w:tc>
          <w:tcPr>
            <w:tcW w:w="572" w:type="pct"/>
            <w:tcBorders>
              <w:top w:val="single" w:sz="4" w:space="0" w:color="auto"/>
              <w:left w:val="single" w:sz="4" w:space="0" w:color="auto"/>
              <w:bottom w:val="single" w:sz="4" w:space="0" w:color="auto"/>
              <w:right w:val="single" w:sz="4" w:space="0" w:color="auto"/>
            </w:tcBorders>
          </w:tcPr>
          <w:p w:rsidR="00A06F90" w:rsidRDefault="00A06F90" w:rsidP="008877D7">
            <w:pPr>
              <w:tabs>
                <w:tab w:val="left" w:pos="0"/>
                <w:tab w:val="left" w:pos="3840"/>
              </w:tabs>
              <w:rPr>
                <w:sz w:val="22"/>
                <w:szCs w:val="22"/>
              </w:rPr>
            </w:pPr>
          </w:p>
        </w:tc>
      </w:tr>
      <w:tr w:rsidR="00A06F90" w:rsidTr="008877D7">
        <w:tc>
          <w:tcPr>
            <w:tcW w:w="912" w:type="pct"/>
            <w:tcBorders>
              <w:top w:val="single" w:sz="4" w:space="0" w:color="auto"/>
              <w:left w:val="single" w:sz="4" w:space="0" w:color="auto"/>
              <w:bottom w:val="single" w:sz="4" w:space="0" w:color="auto"/>
              <w:right w:val="single" w:sz="4" w:space="0" w:color="auto"/>
            </w:tcBorders>
            <w:hideMark/>
          </w:tcPr>
          <w:p w:rsidR="00A06F90" w:rsidRDefault="00A06F90" w:rsidP="008877D7">
            <w:pPr>
              <w:tabs>
                <w:tab w:val="left" w:pos="0"/>
                <w:tab w:val="left" w:pos="3840"/>
              </w:tabs>
              <w:rPr>
                <w:color w:val="000000"/>
                <w:spacing w:val="-2"/>
                <w:sz w:val="22"/>
                <w:szCs w:val="22"/>
              </w:rPr>
            </w:pPr>
            <w:proofErr w:type="spellStart"/>
            <w:r>
              <w:rPr>
                <w:b/>
                <w:bCs/>
                <w:color w:val="000000"/>
                <w:spacing w:val="-2"/>
                <w:sz w:val="22"/>
                <w:szCs w:val="22"/>
              </w:rPr>
              <w:t>Vaskulære</w:t>
            </w:r>
            <w:proofErr w:type="spellEnd"/>
            <w:r>
              <w:rPr>
                <w:b/>
                <w:bCs/>
                <w:color w:val="000000"/>
                <w:spacing w:val="-2"/>
                <w:sz w:val="22"/>
                <w:szCs w:val="22"/>
              </w:rPr>
              <w:t xml:space="preserve"> sygdomme</w:t>
            </w:r>
          </w:p>
        </w:tc>
        <w:tc>
          <w:tcPr>
            <w:tcW w:w="781" w:type="pct"/>
            <w:tcBorders>
              <w:top w:val="single" w:sz="4" w:space="0" w:color="auto"/>
              <w:left w:val="single" w:sz="4" w:space="0" w:color="auto"/>
              <w:bottom w:val="single" w:sz="4" w:space="0" w:color="auto"/>
              <w:right w:val="single" w:sz="4" w:space="0" w:color="auto"/>
            </w:tcBorders>
          </w:tcPr>
          <w:p w:rsidR="00A06F90" w:rsidRDefault="00A06F90" w:rsidP="008877D7">
            <w:pPr>
              <w:tabs>
                <w:tab w:val="left" w:pos="0"/>
                <w:tab w:val="left" w:pos="3840"/>
              </w:tabs>
              <w:rPr>
                <w:color w:val="000000"/>
                <w:spacing w:val="-1"/>
                <w:sz w:val="22"/>
                <w:szCs w:val="22"/>
              </w:rPr>
            </w:pPr>
          </w:p>
        </w:tc>
        <w:tc>
          <w:tcPr>
            <w:tcW w:w="651" w:type="pct"/>
            <w:tcBorders>
              <w:top w:val="single" w:sz="4" w:space="0" w:color="auto"/>
              <w:left w:val="single" w:sz="4" w:space="0" w:color="auto"/>
              <w:bottom w:val="single" w:sz="4" w:space="0" w:color="auto"/>
              <w:right w:val="single" w:sz="4" w:space="0" w:color="auto"/>
            </w:tcBorders>
          </w:tcPr>
          <w:p w:rsidR="00A06F90" w:rsidRDefault="00A06F90" w:rsidP="008877D7">
            <w:pPr>
              <w:tabs>
                <w:tab w:val="left" w:pos="0"/>
                <w:tab w:val="left" w:pos="3840"/>
              </w:tabs>
              <w:rPr>
                <w:color w:val="000000"/>
                <w:spacing w:val="5"/>
                <w:sz w:val="22"/>
                <w:szCs w:val="22"/>
              </w:rPr>
            </w:pPr>
          </w:p>
        </w:tc>
        <w:tc>
          <w:tcPr>
            <w:tcW w:w="781" w:type="pct"/>
            <w:tcBorders>
              <w:top w:val="single" w:sz="4" w:space="0" w:color="auto"/>
              <w:left w:val="single" w:sz="4" w:space="0" w:color="auto"/>
              <w:bottom w:val="single" w:sz="4" w:space="0" w:color="auto"/>
              <w:right w:val="single" w:sz="4" w:space="0" w:color="auto"/>
            </w:tcBorders>
          </w:tcPr>
          <w:p w:rsidR="00A06F90" w:rsidRDefault="00A06F90" w:rsidP="008877D7">
            <w:pPr>
              <w:tabs>
                <w:tab w:val="left" w:pos="0"/>
                <w:tab w:val="left" w:pos="3840"/>
              </w:tabs>
              <w:rPr>
                <w:color w:val="000000"/>
                <w:spacing w:val="-4"/>
                <w:sz w:val="22"/>
                <w:szCs w:val="22"/>
              </w:rPr>
            </w:pPr>
          </w:p>
        </w:tc>
        <w:tc>
          <w:tcPr>
            <w:tcW w:w="716" w:type="pct"/>
            <w:tcBorders>
              <w:top w:val="single" w:sz="4" w:space="0" w:color="auto"/>
              <w:left w:val="single" w:sz="4" w:space="0" w:color="auto"/>
              <w:bottom w:val="single" w:sz="4" w:space="0" w:color="auto"/>
              <w:right w:val="single" w:sz="4" w:space="0" w:color="auto"/>
            </w:tcBorders>
            <w:hideMark/>
          </w:tcPr>
          <w:p w:rsidR="00A06F90" w:rsidRDefault="00A06F90" w:rsidP="008877D7">
            <w:pPr>
              <w:tabs>
                <w:tab w:val="left" w:pos="0"/>
                <w:tab w:val="left" w:pos="3840"/>
              </w:tabs>
              <w:rPr>
                <w:color w:val="000000"/>
                <w:spacing w:val="-4"/>
                <w:sz w:val="22"/>
                <w:szCs w:val="22"/>
              </w:rPr>
            </w:pPr>
            <w:r>
              <w:rPr>
                <w:color w:val="000000"/>
                <w:spacing w:val="-4"/>
                <w:sz w:val="22"/>
                <w:szCs w:val="22"/>
              </w:rPr>
              <w:t xml:space="preserve">Kliniske tegn på perifer </w:t>
            </w:r>
            <w:proofErr w:type="spellStart"/>
            <w:r>
              <w:rPr>
                <w:color w:val="000000"/>
                <w:spacing w:val="-4"/>
                <w:sz w:val="22"/>
                <w:szCs w:val="22"/>
              </w:rPr>
              <w:t>vaskulitis</w:t>
            </w:r>
            <w:proofErr w:type="spellEnd"/>
            <w:r>
              <w:rPr>
                <w:color w:val="000000"/>
                <w:spacing w:val="-4"/>
                <w:sz w:val="22"/>
                <w:szCs w:val="22"/>
              </w:rPr>
              <w:t xml:space="preserve"> og gangræn</w:t>
            </w:r>
          </w:p>
          <w:p w:rsidR="00A06F90" w:rsidRDefault="00A06F90" w:rsidP="008877D7">
            <w:pPr>
              <w:tabs>
                <w:tab w:val="left" w:pos="0"/>
                <w:tab w:val="left" w:pos="3840"/>
              </w:tabs>
              <w:rPr>
                <w:color w:val="000000"/>
                <w:spacing w:val="-4"/>
                <w:sz w:val="22"/>
                <w:szCs w:val="22"/>
              </w:rPr>
            </w:pPr>
            <w:proofErr w:type="spellStart"/>
            <w:r>
              <w:rPr>
                <w:color w:val="000000"/>
                <w:spacing w:val="-4"/>
                <w:sz w:val="22"/>
                <w:szCs w:val="22"/>
              </w:rPr>
              <w:t>Hypo-tension</w:t>
            </w:r>
            <w:proofErr w:type="spellEnd"/>
          </w:p>
        </w:tc>
        <w:tc>
          <w:tcPr>
            <w:tcW w:w="586" w:type="pct"/>
            <w:tcBorders>
              <w:top w:val="single" w:sz="4" w:space="0" w:color="auto"/>
              <w:left w:val="single" w:sz="4" w:space="0" w:color="auto"/>
              <w:bottom w:val="single" w:sz="4" w:space="0" w:color="auto"/>
              <w:right w:val="single" w:sz="4" w:space="0" w:color="auto"/>
            </w:tcBorders>
            <w:hideMark/>
          </w:tcPr>
          <w:p w:rsidR="00A06F90" w:rsidRDefault="00A06F90" w:rsidP="008877D7">
            <w:pPr>
              <w:tabs>
                <w:tab w:val="left" w:pos="0"/>
                <w:tab w:val="left" w:pos="3840"/>
              </w:tabs>
              <w:rPr>
                <w:sz w:val="22"/>
                <w:szCs w:val="22"/>
              </w:rPr>
            </w:pPr>
            <w:proofErr w:type="spellStart"/>
            <w:r>
              <w:rPr>
                <w:color w:val="000000"/>
                <w:spacing w:val="3"/>
                <w:sz w:val="22"/>
                <w:szCs w:val="22"/>
              </w:rPr>
              <w:t>Kapillær</w:t>
            </w:r>
            <w:proofErr w:type="spellEnd"/>
            <w:r>
              <w:rPr>
                <w:color w:val="000000"/>
                <w:spacing w:val="3"/>
                <w:sz w:val="22"/>
                <w:szCs w:val="22"/>
              </w:rPr>
              <w:t xml:space="preserve"> lækage-syndrom (se pkt. 4.4)</w:t>
            </w:r>
          </w:p>
        </w:tc>
        <w:tc>
          <w:tcPr>
            <w:tcW w:w="572" w:type="pct"/>
            <w:tcBorders>
              <w:top w:val="single" w:sz="4" w:space="0" w:color="auto"/>
              <w:left w:val="single" w:sz="4" w:space="0" w:color="auto"/>
              <w:bottom w:val="single" w:sz="4" w:space="0" w:color="auto"/>
              <w:right w:val="single" w:sz="4" w:space="0" w:color="auto"/>
            </w:tcBorders>
          </w:tcPr>
          <w:p w:rsidR="00A06F90" w:rsidRDefault="00A06F90" w:rsidP="008877D7">
            <w:pPr>
              <w:tabs>
                <w:tab w:val="left" w:pos="0"/>
                <w:tab w:val="left" w:pos="3840"/>
              </w:tabs>
              <w:rPr>
                <w:color w:val="000000"/>
                <w:spacing w:val="3"/>
                <w:sz w:val="22"/>
                <w:szCs w:val="22"/>
              </w:rPr>
            </w:pPr>
          </w:p>
        </w:tc>
      </w:tr>
      <w:tr w:rsidR="00A06F90" w:rsidTr="008877D7">
        <w:tc>
          <w:tcPr>
            <w:tcW w:w="912" w:type="pct"/>
            <w:tcBorders>
              <w:top w:val="single" w:sz="4" w:space="0" w:color="auto"/>
              <w:left w:val="single" w:sz="4" w:space="0" w:color="auto"/>
              <w:bottom w:val="single" w:sz="4" w:space="0" w:color="auto"/>
              <w:right w:val="single" w:sz="4" w:space="0" w:color="auto"/>
            </w:tcBorders>
            <w:hideMark/>
          </w:tcPr>
          <w:p w:rsidR="00A06F90" w:rsidRDefault="00A06F90" w:rsidP="008877D7">
            <w:pPr>
              <w:tabs>
                <w:tab w:val="left" w:pos="0"/>
                <w:tab w:val="left" w:pos="3840"/>
              </w:tabs>
              <w:rPr>
                <w:color w:val="000000"/>
                <w:spacing w:val="-2"/>
                <w:sz w:val="22"/>
                <w:szCs w:val="22"/>
              </w:rPr>
            </w:pPr>
            <w:r>
              <w:rPr>
                <w:b/>
                <w:color w:val="000000"/>
                <w:spacing w:val="-1"/>
                <w:sz w:val="22"/>
                <w:szCs w:val="22"/>
              </w:rPr>
              <w:t xml:space="preserve">Luftveje, thorax og </w:t>
            </w:r>
            <w:proofErr w:type="spellStart"/>
            <w:r>
              <w:rPr>
                <w:b/>
                <w:color w:val="000000"/>
                <w:spacing w:val="-1"/>
                <w:sz w:val="22"/>
                <w:szCs w:val="22"/>
              </w:rPr>
              <w:t>mediastinum</w:t>
            </w:r>
            <w:proofErr w:type="spellEnd"/>
          </w:p>
        </w:tc>
        <w:tc>
          <w:tcPr>
            <w:tcW w:w="781" w:type="pct"/>
            <w:tcBorders>
              <w:top w:val="single" w:sz="4" w:space="0" w:color="auto"/>
              <w:left w:val="single" w:sz="4" w:space="0" w:color="auto"/>
              <w:bottom w:val="single" w:sz="4" w:space="0" w:color="auto"/>
              <w:right w:val="single" w:sz="4" w:space="0" w:color="auto"/>
            </w:tcBorders>
            <w:hideMark/>
          </w:tcPr>
          <w:p w:rsidR="00A06F90" w:rsidRDefault="00A06F90" w:rsidP="008877D7">
            <w:pPr>
              <w:tabs>
                <w:tab w:val="left" w:pos="0"/>
                <w:tab w:val="left" w:pos="3840"/>
              </w:tabs>
              <w:rPr>
                <w:color w:val="000000"/>
                <w:spacing w:val="-1"/>
                <w:sz w:val="22"/>
                <w:szCs w:val="22"/>
              </w:rPr>
            </w:pPr>
            <w:r>
              <w:rPr>
                <w:color w:val="000000"/>
                <w:spacing w:val="1"/>
                <w:sz w:val="22"/>
                <w:szCs w:val="22"/>
              </w:rPr>
              <w:t>Dyspnø - sædvanligvis mild og med hurtigt ophør uden behandling</w:t>
            </w:r>
          </w:p>
        </w:tc>
        <w:tc>
          <w:tcPr>
            <w:tcW w:w="651" w:type="pct"/>
            <w:tcBorders>
              <w:top w:val="single" w:sz="4" w:space="0" w:color="auto"/>
              <w:left w:val="single" w:sz="4" w:space="0" w:color="auto"/>
              <w:bottom w:val="single" w:sz="4" w:space="0" w:color="auto"/>
              <w:right w:val="single" w:sz="4" w:space="0" w:color="auto"/>
            </w:tcBorders>
            <w:hideMark/>
          </w:tcPr>
          <w:p w:rsidR="00A06F90" w:rsidRDefault="00A06F90" w:rsidP="008877D7">
            <w:pPr>
              <w:tabs>
                <w:tab w:val="left" w:pos="567"/>
              </w:tabs>
              <w:ind w:right="605"/>
              <w:rPr>
                <w:sz w:val="22"/>
                <w:szCs w:val="22"/>
              </w:rPr>
            </w:pPr>
            <w:r>
              <w:rPr>
                <w:sz w:val="22"/>
                <w:szCs w:val="22"/>
              </w:rPr>
              <w:t>Hoste</w:t>
            </w:r>
          </w:p>
          <w:p w:rsidR="00A06F90" w:rsidRDefault="00A06F90" w:rsidP="008877D7">
            <w:pPr>
              <w:ind w:right="312"/>
              <w:rPr>
                <w:sz w:val="22"/>
                <w:szCs w:val="22"/>
              </w:rPr>
            </w:pPr>
            <w:proofErr w:type="spellStart"/>
            <w:r>
              <w:rPr>
                <w:sz w:val="22"/>
                <w:szCs w:val="22"/>
              </w:rPr>
              <w:t>Rhinitis</w:t>
            </w:r>
            <w:proofErr w:type="spellEnd"/>
          </w:p>
        </w:tc>
        <w:tc>
          <w:tcPr>
            <w:tcW w:w="781" w:type="pct"/>
            <w:tcBorders>
              <w:top w:val="single" w:sz="4" w:space="0" w:color="auto"/>
              <w:left w:val="single" w:sz="4" w:space="0" w:color="auto"/>
              <w:bottom w:val="single" w:sz="4" w:space="0" w:color="auto"/>
              <w:right w:val="single" w:sz="4" w:space="0" w:color="auto"/>
            </w:tcBorders>
            <w:hideMark/>
          </w:tcPr>
          <w:p w:rsidR="00A06F90" w:rsidRDefault="00A06F90" w:rsidP="008877D7">
            <w:pPr>
              <w:tabs>
                <w:tab w:val="left" w:pos="0"/>
                <w:tab w:val="left" w:pos="3840"/>
              </w:tabs>
              <w:rPr>
                <w:color w:val="000000"/>
                <w:sz w:val="22"/>
                <w:szCs w:val="22"/>
              </w:rPr>
            </w:pPr>
            <w:proofErr w:type="spellStart"/>
            <w:r>
              <w:rPr>
                <w:color w:val="000000"/>
                <w:sz w:val="22"/>
                <w:szCs w:val="22"/>
              </w:rPr>
              <w:t>Interstitiel</w:t>
            </w:r>
            <w:proofErr w:type="spellEnd"/>
            <w:r>
              <w:rPr>
                <w:color w:val="000000"/>
                <w:sz w:val="22"/>
                <w:szCs w:val="22"/>
              </w:rPr>
              <w:t xml:space="preserve"> pneumoni (se pkt. 4.4)</w:t>
            </w:r>
          </w:p>
          <w:p w:rsidR="00A06F90" w:rsidRDefault="00A06F90" w:rsidP="008877D7">
            <w:pPr>
              <w:tabs>
                <w:tab w:val="left" w:pos="0"/>
                <w:tab w:val="left" w:pos="3840"/>
              </w:tabs>
              <w:rPr>
                <w:color w:val="000000"/>
                <w:spacing w:val="-4"/>
                <w:sz w:val="22"/>
                <w:szCs w:val="22"/>
              </w:rPr>
            </w:pPr>
            <w:proofErr w:type="spellStart"/>
            <w:r>
              <w:rPr>
                <w:color w:val="000000"/>
                <w:sz w:val="22"/>
                <w:szCs w:val="22"/>
              </w:rPr>
              <w:t>Bronkospasme</w:t>
            </w:r>
            <w:proofErr w:type="spellEnd"/>
            <w:r>
              <w:rPr>
                <w:color w:val="000000"/>
                <w:sz w:val="22"/>
                <w:szCs w:val="22"/>
              </w:rPr>
              <w:t xml:space="preserve"> - sædvanligvis mild og kortvarig, men kan kræve parenteral behandling</w:t>
            </w:r>
          </w:p>
        </w:tc>
        <w:tc>
          <w:tcPr>
            <w:tcW w:w="716" w:type="pct"/>
            <w:tcBorders>
              <w:top w:val="single" w:sz="4" w:space="0" w:color="auto"/>
              <w:left w:val="single" w:sz="4" w:space="0" w:color="auto"/>
              <w:bottom w:val="single" w:sz="4" w:space="0" w:color="auto"/>
              <w:right w:val="single" w:sz="4" w:space="0" w:color="auto"/>
            </w:tcBorders>
            <w:hideMark/>
          </w:tcPr>
          <w:p w:rsidR="00A06F90" w:rsidRDefault="00A06F90" w:rsidP="008877D7">
            <w:pPr>
              <w:tabs>
                <w:tab w:val="left" w:pos="0"/>
                <w:tab w:val="left" w:pos="3840"/>
              </w:tabs>
              <w:rPr>
                <w:sz w:val="22"/>
                <w:szCs w:val="22"/>
              </w:rPr>
            </w:pPr>
            <w:proofErr w:type="spellStart"/>
            <w:r>
              <w:rPr>
                <w:sz w:val="22"/>
                <w:szCs w:val="22"/>
              </w:rPr>
              <w:t>Pulmonært</w:t>
            </w:r>
            <w:proofErr w:type="spellEnd"/>
            <w:r>
              <w:rPr>
                <w:sz w:val="22"/>
                <w:szCs w:val="22"/>
              </w:rPr>
              <w:t xml:space="preserve"> ødem</w:t>
            </w:r>
          </w:p>
          <w:p w:rsidR="00A06F90" w:rsidRDefault="00A06F90" w:rsidP="008877D7">
            <w:pPr>
              <w:tabs>
                <w:tab w:val="left" w:pos="0"/>
                <w:tab w:val="left" w:pos="3840"/>
              </w:tabs>
              <w:rPr>
                <w:color w:val="000000"/>
                <w:spacing w:val="-4"/>
                <w:sz w:val="22"/>
                <w:szCs w:val="22"/>
                <w:lang w:val="en-US"/>
              </w:rPr>
            </w:pPr>
            <w:r>
              <w:rPr>
                <w:sz w:val="22"/>
                <w:szCs w:val="22"/>
                <w:lang w:val="en-US"/>
              </w:rPr>
              <w:t>Adult Respiratory Distress Syndrome (ARDS) (se pkt. 4.4)</w:t>
            </w:r>
          </w:p>
        </w:tc>
        <w:tc>
          <w:tcPr>
            <w:tcW w:w="586" w:type="pct"/>
            <w:tcBorders>
              <w:top w:val="single" w:sz="4" w:space="0" w:color="auto"/>
              <w:left w:val="single" w:sz="4" w:space="0" w:color="auto"/>
              <w:bottom w:val="single" w:sz="4" w:space="0" w:color="auto"/>
              <w:right w:val="single" w:sz="4" w:space="0" w:color="auto"/>
            </w:tcBorders>
          </w:tcPr>
          <w:p w:rsidR="00A06F90" w:rsidRDefault="00A06F90" w:rsidP="008877D7">
            <w:pPr>
              <w:tabs>
                <w:tab w:val="left" w:pos="0"/>
                <w:tab w:val="left" w:pos="3840"/>
              </w:tabs>
              <w:rPr>
                <w:color w:val="000000"/>
                <w:spacing w:val="3"/>
                <w:sz w:val="22"/>
                <w:szCs w:val="22"/>
                <w:lang w:val="en-US"/>
              </w:rPr>
            </w:pPr>
          </w:p>
        </w:tc>
        <w:tc>
          <w:tcPr>
            <w:tcW w:w="572" w:type="pct"/>
            <w:tcBorders>
              <w:top w:val="single" w:sz="4" w:space="0" w:color="auto"/>
              <w:left w:val="single" w:sz="4" w:space="0" w:color="auto"/>
              <w:bottom w:val="single" w:sz="4" w:space="0" w:color="auto"/>
              <w:right w:val="single" w:sz="4" w:space="0" w:color="auto"/>
            </w:tcBorders>
          </w:tcPr>
          <w:p w:rsidR="00A06F90" w:rsidRDefault="00A06F90" w:rsidP="008877D7">
            <w:pPr>
              <w:tabs>
                <w:tab w:val="left" w:pos="0"/>
                <w:tab w:val="left" w:pos="3840"/>
              </w:tabs>
              <w:rPr>
                <w:color w:val="000000"/>
                <w:spacing w:val="3"/>
                <w:sz w:val="22"/>
                <w:szCs w:val="22"/>
                <w:lang w:val="en-US"/>
              </w:rPr>
            </w:pPr>
            <w:proofErr w:type="spellStart"/>
            <w:r>
              <w:t>Pulmonal</w:t>
            </w:r>
            <w:proofErr w:type="spellEnd"/>
            <w:r>
              <w:t xml:space="preserve"> </w:t>
            </w:r>
            <w:proofErr w:type="spellStart"/>
            <w:r>
              <w:t>eosinofili</w:t>
            </w:r>
            <w:proofErr w:type="spellEnd"/>
          </w:p>
        </w:tc>
      </w:tr>
      <w:tr w:rsidR="00A06F90" w:rsidTr="008877D7">
        <w:tc>
          <w:tcPr>
            <w:tcW w:w="912" w:type="pct"/>
            <w:tcBorders>
              <w:top w:val="single" w:sz="4" w:space="0" w:color="auto"/>
              <w:left w:val="single" w:sz="4" w:space="0" w:color="auto"/>
              <w:bottom w:val="single" w:sz="4" w:space="0" w:color="auto"/>
              <w:right w:val="single" w:sz="4" w:space="0" w:color="auto"/>
            </w:tcBorders>
            <w:hideMark/>
          </w:tcPr>
          <w:p w:rsidR="00A06F90" w:rsidRDefault="00A06F90" w:rsidP="008877D7">
            <w:pPr>
              <w:shd w:val="clear" w:color="auto" w:fill="FFFFFF"/>
              <w:tabs>
                <w:tab w:val="left" w:pos="567"/>
              </w:tabs>
              <w:ind w:right="605"/>
              <w:rPr>
                <w:sz w:val="22"/>
                <w:szCs w:val="22"/>
              </w:rPr>
            </w:pPr>
            <w:r>
              <w:rPr>
                <w:b/>
                <w:bCs/>
                <w:color w:val="000000"/>
                <w:spacing w:val="-4"/>
                <w:sz w:val="22"/>
                <w:szCs w:val="22"/>
              </w:rPr>
              <w:lastRenderedPageBreak/>
              <w:t>Mave-tarm-kanalen</w:t>
            </w:r>
          </w:p>
        </w:tc>
        <w:tc>
          <w:tcPr>
            <w:tcW w:w="781" w:type="pct"/>
            <w:tcBorders>
              <w:top w:val="single" w:sz="4" w:space="0" w:color="auto"/>
              <w:left w:val="single" w:sz="4" w:space="0" w:color="auto"/>
              <w:bottom w:val="single" w:sz="4" w:space="0" w:color="auto"/>
              <w:right w:val="single" w:sz="4" w:space="0" w:color="auto"/>
            </w:tcBorders>
            <w:hideMark/>
          </w:tcPr>
          <w:p w:rsidR="00A06F90" w:rsidRDefault="00A06F90" w:rsidP="008877D7">
            <w:pPr>
              <w:tabs>
                <w:tab w:val="left" w:pos="0"/>
                <w:tab w:val="left" w:pos="3840"/>
              </w:tabs>
              <w:rPr>
                <w:color w:val="000000"/>
                <w:spacing w:val="4"/>
                <w:sz w:val="22"/>
                <w:szCs w:val="22"/>
              </w:rPr>
            </w:pPr>
            <w:r>
              <w:rPr>
                <w:color w:val="000000"/>
                <w:spacing w:val="4"/>
                <w:sz w:val="22"/>
                <w:szCs w:val="22"/>
              </w:rPr>
              <w:t>Kvalme</w:t>
            </w:r>
          </w:p>
          <w:p w:rsidR="00A06F90" w:rsidRDefault="00A06F90" w:rsidP="008877D7">
            <w:pPr>
              <w:tabs>
                <w:tab w:val="left" w:pos="0"/>
                <w:tab w:val="left" w:pos="3840"/>
              </w:tabs>
              <w:rPr>
                <w:color w:val="000000"/>
                <w:spacing w:val="1"/>
                <w:sz w:val="22"/>
                <w:szCs w:val="22"/>
              </w:rPr>
            </w:pPr>
            <w:r>
              <w:rPr>
                <w:color w:val="000000"/>
                <w:spacing w:val="4"/>
                <w:sz w:val="22"/>
                <w:szCs w:val="22"/>
              </w:rPr>
              <w:t>Opkastning</w:t>
            </w:r>
          </w:p>
        </w:tc>
        <w:tc>
          <w:tcPr>
            <w:tcW w:w="651" w:type="pct"/>
            <w:tcBorders>
              <w:top w:val="single" w:sz="4" w:space="0" w:color="auto"/>
              <w:left w:val="single" w:sz="4" w:space="0" w:color="auto"/>
              <w:bottom w:val="single" w:sz="4" w:space="0" w:color="auto"/>
              <w:right w:val="single" w:sz="4" w:space="0" w:color="auto"/>
            </w:tcBorders>
            <w:hideMark/>
          </w:tcPr>
          <w:p w:rsidR="00A06F90" w:rsidRDefault="00A06F90" w:rsidP="008877D7">
            <w:pPr>
              <w:tabs>
                <w:tab w:val="left" w:pos="0"/>
                <w:tab w:val="left" w:pos="3840"/>
              </w:tabs>
              <w:ind w:right="-110"/>
              <w:rPr>
                <w:color w:val="000000"/>
                <w:spacing w:val="4"/>
                <w:sz w:val="22"/>
                <w:szCs w:val="22"/>
              </w:rPr>
            </w:pPr>
            <w:r>
              <w:rPr>
                <w:color w:val="000000"/>
                <w:spacing w:val="4"/>
                <w:sz w:val="22"/>
                <w:szCs w:val="22"/>
              </w:rPr>
              <w:t>Diarré</w:t>
            </w:r>
          </w:p>
          <w:p w:rsidR="00A06F90" w:rsidRDefault="00A06F90" w:rsidP="008877D7">
            <w:pPr>
              <w:tabs>
                <w:tab w:val="left" w:pos="0"/>
                <w:tab w:val="left" w:pos="3840"/>
              </w:tabs>
              <w:ind w:right="-110"/>
              <w:rPr>
                <w:color w:val="000000"/>
                <w:spacing w:val="4"/>
                <w:sz w:val="22"/>
                <w:szCs w:val="22"/>
              </w:rPr>
            </w:pPr>
            <w:proofErr w:type="spellStart"/>
            <w:r>
              <w:rPr>
                <w:color w:val="000000"/>
                <w:spacing w:val="4"/>
                <w:sz w:val="22"/>
                <w:szCs w:val="22"/>
              </w:rPr>
              <w:t>Stomatit</w:t>
            </w:r>
            <w:proofErr w:type="spellEnd"/>
            <w:r>
              <w:rPr>
                <w:color w:val="000000"/>
                <w:spacing w:val="4"/>
                <w:sz w:val="22"/>
                <w:szCs w:val="22"/>
              </w:rPr>
              <w:t xml:space="preserve"> og </w:t>
            </w:r>
            <w:proofErr w:type="spellStart"/>
            <w:r>
              <w:rPr>
                <w:color w:val="000000"/>
                <w:spacing w:val="4"/>
                <w:sz w:val="22"/>
                <w:szCs w:val="22"/>
              </w:rPr>
              <w:t>ulceration</w:t>
            </w:r>
            <w:proofErr w:type="spellEnd"/>
            <w:r>
              <w:rPr>
                <w:color w:val="000000"/>
                <w:spacing w:val="4"/>
                <w:sz w:val="22"/>
                <w:szCs w:val="22"/>
              </w:rPr>
              <w:t xml:space="preserve"> af </w:t>
            </w:r>
            <w:proofErr w:type="spellStart"/>
            <w:r>
              <w:rPr>
                <w:color w:val="000000"/>
                <w:spacing w:val="4"/>
                <w:sz w:val="22"/>
                <w:szCs w:val="22"/>
              </w:rPr>
              <w:t>mundslimhin-den</w:t>
            </w:r>
            <w:proofErr w:type="spellEnd"/>
          </w:p>
          <w:p w:rsidR="00A06F90" w:rsidRDefault="00A06F90" w:rsidP="008877D7">
            <w:pPr>
              <w:tabs>
                <w:tab w:val="left" w:pos="0"/>
                <w:tab w:val="left" w:pos="3840"/>
              </w:tabs>
              <w:ind w:right="-110"/>
              <w:rPr>
                <w:color w:val="000000"/>
                <w:spacing w:val="-1"/>
                <w:sz w:val="22"/>
                <w:szCs w:val="22"/>
              </w:rPr>
            </w:pPr>
            <w:r>
              <w:rPr>
                <w:color w:val="000000"/>
                <w:spacing w:val="4"/>
                <w:sz w:val="22"/>
                <w:szCs w:val="22"/>
              </w:rPr>
              <w:t>Obstipation</w:t>
            </w:r>
          </w:p>
        </w:tc>
        <w:tc>
          <w:tcPr>
            <w:tcW w:w="781" w:type="pct"/>
            <w:tcBorders>
              <w:top w:val="single" w:sz="4" w:space="0" w:color="auto"/>
              <w:left w:val="single" w:sz="4" w:space="0" w:color="auto"/>
              <w:bottom w:val="single" w:sz="4" w:space="0" w:color="auto"/>
              <w:right w:val="single" w:sz="4" w:space="0" w:color="auto"/>
            </w:tcBorders>
          </w:tcPr>
          <w:p w:rsidR="00A06F90" w:rsidRDefault="00A06F90" w:rsidP="008877D7">
            <w:pPr>
              <w:tabs>
                <w:tab w:val="left" w:pos="0"/>
                <w:tab w:val="left" w:pos="3840"/>
              </w:tabs>
              <w:rPr>
                <w:color w:val="000000"/>
                <w:sz w:val="22"/>
                <w:szCs w:val="22"/>
              </w:rPr>
            </w:pPr>
          </w:p>
        </w:tc>
        <w:tc>
          <w:tcPr>
            <w:tcW w:w="716" w:type="pct"/>
            <w:tcBorders>
              <w:top w:val="single" w:sz="4" w:space="0" w:color="auto"/>
              <w:left w:val="single" w:sz="4" w:space="0" w:color="auto"/>
              <w:bottom w:val="single" w:sz="4" w:space="0" w:color="auto"/>
              <w:right w:val="single" w:sz="4" w:space="0" w:color="auto"/>
            </w:tcBorders>
          </w:tcPr>
          <w:p w:rsidR="00A06F90" w:rsidRDefault="00A06F90" w:rsidP="008877D7">
            <w:pPr>
              <w:tabs>
                <w:tab w:val="left" w:pos="0"/>
                <w:tab w:val="left" w:pos="3840"/>
              </w:tabs>
              <w:rPr>
                <w:sz w:val="22"/>
                <w:szCs w:val="22"/>
              </w:rPr>
            </w:pPr>
          </w:p>
        </w:tc>
        <w:tc>
          <w:tcPr>
            <w:tcW w:w="586" w:type="pct"/>
            <w:tcBorders>
              <w:top w:val="single" w:sz="4" w:space="0" w:color="auto"/>
              <w:left w:val="single" w:sz="4" w:space="0" w:color="auto"/>
              <w:bottom w:val="single" w:sz="4" w:space="0" w:color="auto"/>
              <w:right w:val="single" w:sz="4" w:space="0" w:color="auto"/>
            </w:tcBorders>
            <w:hideMark/>
          </w:tcPr>
          <w:p w:rsidR="00A06F90" w:rsidRDefault="00A06F90" w:rsidP="008877D7">
            <w:pPr>
              <w:tabs>
                <w:tab w:val="left" w:pos="0"/>
                <w:tab w:val="left" w:pos="3840"/>
              </w:tabs>
              <w:rPr>
                <w:color w:val="000000"/>
                <w:spacing w:val="3"/>
                <w:sz w:val="22"/>
                <w:szCs w:val="22"/>
              </w:rPr>
            </w:pPr>
            <w:r>
              <w:rPr>
                <w:sz w:val="22"/>
                <w:szCs w:val="22"/>
              </w:rPr>
              <w:t>Iskæmisk colitis</w:t>
            </w:r>
          </w:p>
        </w:tc>
        <w:tc>
          <w:tcPr>
            <w:tcW w:w="572" w:type="pct"/>
            <w:tcBorders>
              <w:top w:val="single" w:sz="4" w:space="0" w:color="auto"/>
              <w:left w:val="single" w:sz="4" w:space="0" w:color="auto"/>
              <w:bottom w:val="single" w:sz="4" w:space="0" w:color="auto"/>
              <w:right w:val="single" w:sz="4" w:space="0" w:color="auto"/>
            </w:tcBorders>
          </w:tcPr>
          <w:p w:rsidR="00A06F90" w:rsidRDefault="00A06F90" w:rsidP="008877D7">
            <w:pPr>
              <w:tabs>
                <w:tab w:val="left" w:pos="0"/>
                <w:tab w:val="left" w:pos="3840"/>
              </w:tabs>
              <w:rPr>
                <w:sz w:val="22"/>
                <w:szCs w:val="22"/>
              </w:rPr>
            </w:pPr>
          </w:p>
        </w:tc>
      </w:tr>
      <w:tr w:rsidR="00A06F90" w:rsidTr="008877D7">
        <w:tc>
          <w:tcPr>
            <w:tcW w:w="912" w:type="pct"/>
            <w:tcBorders>
              <w:top w:val="single" w:sz="4" w:space="0" w:color="auto"/>
              <w:left w:val="single" w:sz="4" w:space="0" w:color="auto"/>
              <w:bottom w:val="single" w:sz="4" w:space="0" w:color="auto"/>
              <w:right w:val="single" w:sz="4" w:space="0" w:color="auto"/>
            </w:tcBorders>
            <w:hideMark/>
          </w:tcPr>
          <w:p w:rsidR="00A06F90" w:rsidRDefault="00A06F90" w:rsidP="008877D7">
            <w:pPr>
              <w:tabs>
                <w:tab w:val="left" w:pos="0"/>
                <w:tab w:val="left" w:pos="3840"/>
              </w:tabs>
              <w:rPr>
                <w:color w:val="000000"/>
                <w:spacing w:val="-2"/>
                <w:sz w:val="22"/>
                <w:szCs w:val="22"/>
              </w:rPr>
            </w:pPr>
            <w:r>
              <w:rPr>
                <w:b/>
                <w:color w:val="000000"/>
                <w:spacing w:val="-1"/>
                <w:sz w:val="22"/>
                <w:szCs w:val="22"/>
              </w:rPr>
              <w:t>Lever og galdeveje</w:t>
            </w:r>
          </w:p>
        </w:tc>
        <w:tc>
          <w:tcPr>
            <w:tcW w:w="781" w:type="pct"/>
            <w:tcBorders>
              <w:top w:val="single" w:sz="4" w:space="0" w:color="auto"/>
              <w:left w:val="single" w:sz="4" w:space="0" w:color="auto"/>
              <w:bottom w:val="single" w:sz="4" w:space="0" w:color="auto"/>
              <w:right w:val="single" w:sz="4" w:space="0" w:color="auto"/>
            </w:tcBorders>
            <w:hideMark/>
          </w:tcPr>
          <w:p w:rsidR="00A06F90" w:rsidRDefault="00A06F90" w:rsidP="008877D7">
            <w:pPr>
              <w:tabs>
                <w:tab w:val="left" w:pos="0"/>
                <w:tab w:val="left" w:pos="3840"/>
              </w:tabs>
              <w:rPr>
                <w:color w:val="000000"/>
                <w:sz w:val="22"/>
                <w:szCs w:val="22"/>
              </w:rPr>
            </w:pPr>
            <w:r>
              <w:rPr>
                <w:color w:val="000000"/>
                <w:sz w:val="22"/>
                <w:szCs w:val="22"/>
              </w:rPr>
              <w:t xml:space="preserve">Forhøjede </w:t>
            </w:r>
            <w:proofErr w:type="spellStart"/>
            <w:r>
              <w:rPr>
                <w:color w:val="000000"/>
                <w:sz w:val="22"/>
                <w:szCs w:val="22"/>
              </w:rPr>
              <w:t>levertransami-naser</w:t>
            </w:r>
            <w:proofErr w:type="spellEnd"/>
            <w:r>
              <w:rPr>
                <w:color w:val="000000"/>
                <w:sz w:val="22"/>
                <w:szCs w:val="22"/>
              </w:rPr>
              <w:t xml:space="preserve"> (ASAT/</w:t>
            </w:r>
          </w:p>
          <w:p w:rsidR="00A06F90" w:rsidRDefault="00A06F90" w:rsidP="008877D7">
            <w:pPr>
              <w:tabs>
                <w:tab w:val="left" w:pos="0"/>
                <w:tab w:val="left" w:pos="3840"/>
              </w:tabs>
              <w:rPr>
                <w:color w:val="000000"/>
                <w:spacing w:val="4"/>
                <w:sz w:val="22"/>
                <w:szCs w:val="22"/>
              </w:rPr>
            </w:pPr>
            <w:r>
              <w:rPr>
                <w:color w:val="000000"/>
                <w:sz w:val="22"/>
                <w:szCs w:val="22"/>
              </w:rPr>
              <w:t>ALAT) og basiske fosfataser</w:t>
            </w:r>
          </w:p>
        </w:tc>
        <w:tc>
          <w:tcPr>
            <w:tcW w:w="651" w:type="pct"/>
            <w:tcBorders>
              <w:top w:val="single" w:sz="4" w:space="0" w:color="auto"/>
              <w:left w:val="single" w:sz="4" w:space="0" w:color="auto"/>
              <w:bottom w:val="single" w:sz="4" w:space="0" w:color="auto"/>
              <w:right w:val="single" w:sz="4" w:space="0" w:color="auto"/>
            </w:tcBorders>
            <w:hideMark/>
          </w:tcPr>
          <w:p w:rsidR="00A06F90" w:rsidRDefault="00A06F90" w:rsidP="008877D7">
            <w:pPr>
              <w:tabs>
                <w:tab w:val="left" w:pos="0"/>
                <w:tab w:val="left" w:pos="3840"/>
              </w:tabs>
              <w:rPr>
                <w:color w:val="000000"/>
                <w:spacing w:val="4"/>
                <w:sz w:val="22"/>
                <w:szCs w:val="22"/>
              </w:rPr>
            </w:pPr>
            <w:r>
              <w:rPr>
                <w:color w:val="000000"/>
                <w:sz w:val="22"/>
                <w:szCs w:val="22"/>
              </w:rPr>
              <w:t>Forhøjet bilirubin</w:t>
            </w:r>
          </w:p>
        </w:tc>
        <w:tc>
          <w:tcPr>
            <w:tcW w:w="781" w:type="pct"/>
            <w:tcBorders>
              <w:top w:val="single" w:sz="4" w:space="0" w:color="auto"/>
              <w:left w:val="single" w:sz="4" w:space="0" w:color="auto"/>
              <w:bottom w:val="single" w:sz="4" w:space="0" w:color="auto"/>
              <w:right w:val="single" w:sz="4" w:space="0" w:color="auto"/>
            </w:tcBorders>
            <w:hideMark/>
          </w:tcPr>
          <w:p w:rsidR="00A06F90" w:rsidRDefault="00A06F90" w:rsidP="008877D7">
            <w:pPr>
              <w:tabs>
                <w:tab w:val="left" w:pos="0"/>
                <w:tab w:val="left" w:pos="3840"/>
              </w:tabs>
              <w:rPr>
                <w:color w:val="000000"/>
                <w:sz w:val="22"/>
                <w:szCs w:val="22"/>
              </w:rPr>
            </w:pPr>
            <w:r>
              <w:rPr>
                <w:color w:val="000000"/>
                <w:spacing w:val="-3"/>
                <w:sz w:val="22"/>
                <w:szCs w:val="22"/>
              </w:rPr>
              <w:t xml:space="preserve">Alvorlig </w:t>
            </w:r>
            <w:proofErr w:type="spellStart"/>
            <w:r>
              <w:rPr>
                <w:color w:val="000000"/>
                <w:spacing w:val="-3"/>
                <w:sz w:val="22"/>
                <w:szCs w:val="22"/>
              </w:rPr>
              <w:t>hepatotoksicitet</w:t>
            </w:r>
            <w:proofErr w:type="spellEnd"/>
            <w:r>
              <w:rPr>
                <w:color w:val="000000"/>
                <w:spacing w:val="-3"/>
                <w:sz w:val="22"/>
                <w:szCs w:val="22"/>
              </w:rPr>
              <w:t>, herunder leverinsufficiens og død</w:t>
            </w:r>
          </w:p>
        </w:tc>
        <w:tc>
          <w:tcPr>
            <w:tcW w:w="716" w:type="pct"/>
            <w:tcBorders>
              <w:top w:val="single" w:sz="4" w:space="0" w:color="auto"/>
              <w:left w:val="single" w:sz="4" w:space="0" w:color="auto"/>
              <w:bottom w:val="single" w:sz="4" w:space="0" w:color="auto"/>
              <w:right w:val="single" w:sz="4" w:space="0" w:color="auto"/>
            </w:tcBorders>
            <w:hideMark/>
          </w:tcPr>
          <w:p w:rsidR="00A06F90" w:rsidRDefault="00A06F90" w:rsidP="008877D7">
            <w:pPr>
              <w:tabs>
                <w:tab w:val="left" w:pos="0"/>
                <w:tab w:val="left" w:pos="3840"/>
              </w:tabs>
              <w:rPr>
                <w:sz w:val="22"/>
                <w:szCs w:val="22"/>
              </w:rPr>
            </w:pPr>
            <w:r>
              <w:rPr>
                <w:color w:val="000000"/>
                <w:sz w:val="22"/>
                <w:szCs w:val="22"/>
              </w:rPr>
              <w:t xml:space="preserve">Forhøjet </w:t>
            </w:r>
            <w:proofErr w:type="spellStart"/>
            <w:r>
              <w:rPr>
                <w:color w:val="000000"/>
                <w:sz w:val="22"/>
                <w:szCs w:val="22"/>
              </w:rPr>
              <w:t>gammaglutamyl</w:t>
            </w:r>
            <w:proofErr w:type="spellEnd"/>
            <w:r>
              <w:rPr>
                <w:color w:val="000000"/>
                <w:sz w:val="22"/>
                <w:szCs w:val="22"/>
              </w:rPr>
              <w:t>-transferase (GGT)</w:t>
            </w:r>
          </w:p>
        </w:tc>
        <w:tc>
          <w:tcPr>
            <w:tcW w:w="586" w:type="pct"/>
            <w:tcBorders>
              <w:top w:val="single" w:sz="4" w:space="0" w:color="auto"/>
              <w:left w:val="single" w:sz="4" w:space="0" w:color="auto"/>
              <w:bottom w:val="single" w:sz="4" w:space="0" w:color="auto"/>
              <w:right w:val="single" w:sz="4" w:space="0" w:color="auto"/>
            </w:tcBorders>
          </w:tcPr>
          <w:p w:rsidR="00A06F90" w:rsidRDefault="00A06F90" w:rsidP="008877D7">
            <w:pPr>
              <w:tabs>
                <w:tab w:val="left" w:pos="0"/>
                <w:tab w:val="left" w:pos="3840"/>
              </w:tabs>
              <w:rPr>
                <w:sz w:val="22"/>
                <w:szCs w:val="22"/>
              </w:rPr>
            </w:pPr>
          </w:p>
        </w:tc>
        <w:tc>
          <w:tcPr>
            <w:tcW w:w="572" w:type="pct"/>
            <w:tcBorders>
              <w:top w:val="single" w:sz="4" w:space="0" w:color="auto"/>
              <w:left w:val="single" w:sz="4" w:space="0" w:color="auto"/>
              <w:bottom w:val="single" w:sz="4" w:space="0" w:color="auto"/>
              <w:right w:val="single" w:sz="4" w:space="0" w:color="auto"/>
            </w:tcBorders>
          </w:tcPr>
          <w:p w:rsidR="00A06F90" w:rsidRDefault="00A06F90" w:rsidP="008877D7">
            <w:pPr>
              <w:tabs>
                <w:tab w:val="left" w:pos="0"/>
                <w:tab w:val="left" w:pos="3840"/>
              </w:tabs>
              <w:rPr>
                <w:sz w:val="22"/>
                <w:szCs w:val="22"/>
              </w:rPr>
            </w:pPr>
          </w:p>
        </w:tc>
      </w:tr>
      <w:tr w:rsidR="00A06F90" w:rsidTr="008877D7">
        <w:tc>
          <w:tcPr>
            <w:tcW w:w="912" w:type="pct"/>
            <w:tcBorders>
              <w:top w:val="single" w:sz="4" w:space="0" w:color="auto"/>
              <w:left w:val="single" w:sz="4" w:space="0" w:color="auto"/>
              <w:bottom w:val="single" w:sz="4" w:space="0" w:color="auto"/>
              <w:right w:val="single" w:sz="4" w:space="0" w:color="auto"/>
            </w:tcBorders>
            <w:hideMark/>
          </w:tcPr>
          <w:p w:rsidR="00A06F90" w:rsidRDefault="00A06F90" w:rsidP="008877D7">
            <w:pPr>
              <w:tabs>
                <w:tab w:val="left" w:pos="0"/>
                <w:tab w:val="left" w:pos="3840"/>
              </w:tabs>
              <w:rPr>
                <w:color w:val="000000"/>
                <w:spacing w:val="-1"/>
                <w:sz w:val="22"/>
                <w:szCs w:val="22"/>
              </w:rPr>
            </w:pPr>
            <w:r>
              <w:rPr>
                <w:b/>
                <w:color w:val="000000"/>
                <w:spacing w:val="-2"/>
                <w:sz w:val="22"/>
                <w:szCs w:val="22"/>
              </w:rPr>
              <w:t>Hud og subkutane væv</w:t>
            </w:r>
          </w:p>
        </w:tc>
        <w:tc>
          <w:tcPr>
            <w:tcW w:w="781" w:type="pct"/>
            <w:tcBorders>
              <w:top w:val="single" w:sz="4" w:space="0" w:color="auto"/>
              <w:left w:val="single" w:sz="4" w:space="0" w:color="auto"/>
              <w:bottom w:val="single" w:sz="4" w:space="0" w:color="auto"/>
              <w:right w:val="single" w:sz="4" w:space="0" w:color="auto"/>
            </w:tcBorders>
            <w:hideMark/>
          </w:tcPr>
          <w:p w:rsidR="00A06F90" w:rsidRDefault="00A06F90" w:rsidP="008877D7">
            <w:pPr>
              <w:tabs>
                <w:tab w:val="left" w:pos="0"/>
                <w:tab w:val="left" w:pos="3840"/>
              </w:tabs>
              <w:rPr>
                <w:color w:val="000000"/>
                <w:spacing w:val="1"/>
                <w:sz w:val="22"/>
                <w:szCs w:val="22"/>
              </w:rPr>
            </w:pPr>
            <w:r>
              <w:rPr>
                <w:color w:val="000000"/>
                <w:spacing w:val="1"/>
                <w:sz w:val="22"/>
                <w:szCs w:val="22"/>
              </w:rPr>
              <w:t>Allergisk hududslæt ofte forbundet med kløe</w:t>
            </w:r>
          </w:p>
          <w:p w:rsidR="00A06F90" w:rsidRDefault="00A06F90" w:rsidP="008877D7">
            <w:pPr>
              <w:tabs>
                <w:tab w:val="left" w:pos="0"/>
                <w:tab w:val="left" w:pos="3840"/>
              </w:tabs>
              <w:rPr>
                <w:color w:val="000000"/>
                <w:sz w:val="22"/>
                <w:szCs w:val="22"/>
              </w:rPr>
            </w:pPr>
            <w:proofErr w:type="spellStart"/>
            <w:r>
              <w:rPr>
                <w:color w:val="000000"/>
                <w:spacing w:val="1"/>
                <w:sz w:val="22"/>
                <w:szCs w:val="22"/>
              </w:rPr>
              <w:t>Alopeci</w:t>
            </w:r>
            <w:proofErr w:type="spellEnd"/>
          </w:p>
        </w:tc>
        <w:tc>
          <w:tcPr>
            <w:tcW w:w="651" w:type="pct"/>
            <w:tcBorders>
              <w:top w:val="single" w:sz="4" w:space="0" w:color="auto"/>
              <w:left w:val="single" w:sz="4" w:space="0" w:color="auto"/>
              <w:bottom w:val="single" w:sz="4" w:space="0" w:color="auto"/>
              <w:right w:val="single" w:sz="4" w:space="0" w:color="auto"/>
            </w:tcBorders>
            <w:hideMark/>
          </w:tcPr>
          <w:p w:rsidR="00A06F90" w:rsidRDefault="00A06F90" w:rsidP="008877D7">
            <w:pPr>
              <w:tabs>
                <w:tab w:val="left" w:pos="0"/>
                <w:tab w:val="left" w:pos="3840"/>
              </w:tabs>
              <w:rPr>
                <w:color w:val="000000"/>
                <w:spacing w:val="-1"/>
                <w:sz w:val="22"/>
                <w:szCs w:val="22"/>
              </w:rPr>
            </w:pPr>
            <w:r>
              <w:rPr>
                <w:color w:val="000000"/>
                <w:spacing w:val="-1"/>
                <w:sz w:val="22"/>
                <w:szCs w:val="22"/>
              </w:rPr>
              <w:t>Kløe</w:t>
            </w:r>
          </w:p>
          <w:p w:rsidR="00A06F90" w:rsidRDefault="00A06F90" w:rsidP="008877D7">
            <w:pPr>
              <w:tabs>
                <w:tab w:val="left" w:pos="0"/>
                <w:tab w:val="left" w:pos="3840"/>
              </w:tabs>
              <w:rPr>
                <w:color w:val="000000"/>
                <w:sz w:val="22"/>
                <w:szCs w:val="22"/>
              </w:rPr>
            </w:pPr>
            <w:r>
              <w:rPr>
                <w:color w:val="000000"/>
                <w:spacing w:val="-1"/>
                <w:sz w:val="22"/>
                <w:szCs w:val="22"/>
              </w:rPr>
              <w:t>Svedtendens</w:t>
            </w:r>
          </w:p>
        </w:tc>
        <w:tc>
          <w:tcPr>
            <w:tcW w:w="781" w:type="pct"/>
            <w:tcBorders>
              <w:top w:val="single" w:sz="4" w:space="0" w:color="auto"/>
              <w:left w:val="single" w:sz="4" w:space="0" w:color="auto"/>
              <w:bottom w:val="single" w:sz="4" w:space="0" w:color="auto"/>
              <w:right w:val="single" w:sz="4" w:space="0" w:color="auto"/>
            </w:tcBorders>
          </w:tcPr>
          <w:p w:rsidR="00A06F90" w:rsidRDefault="00A06F90" w:rsidP="008877D7">
            <w:pPr>
              <w:tabs>
                <w:tab w:val="left" w:pos="0"/>
                <w:tab w:val="left" w:pos="3840"/>
              </w:tabs>
              <w:rPr>
                <w:color w:val="000000"/>
                <w:spacing w:val="-3"/>
                <w:sz w:val="22"/>
                <w:szCs w:val="22"/>
              </w:rPr>
            </w:pPr>
          </w:p>
        </w:tc>
        <w:tc>
          <w:tcPr>
            <w:tcW w:w="716" w:type="pct"/>
            <w:tcBorders>
              <w:top w:val="single" w:sz="4" w:space="0" w:color="auto"/>
              <w:left w:val="single" w:sz="4" w:space="0" w:color="auto"/>
              <w:bottom w:val="single" w:sz="4" w:space="0" w:color="auto"/>
              <w:right w:val="single" w:sz="4" w:space="0" w:color="auto"/>
            </w:tcBorders>
            <w:hideMark/>
          </w:tcPr>
          <w:p w:rsidR="00A06F90" w:rsidRDefault="00A06F90" w:rsidP="008877D7">
            <w:pPr>
              <w:tabs>
                <w:tab w:val="left" w:pos="0"/>
                <w:tab w:val="left" w:pos="3840"/>
              </w:tabs>
              <w:rPr>
                <w:sz w:val="22"/>
                <w:szCs w:val="22"/>
              </w:rPr>
            </w:pPr>
            <w:r>
              <w:rPr>
                <w:sz w:val="22"/>
                <w:szCs w:val="22"/>
              </w:rPr>
              <w:t xml:space="preserve">Alvorlige hudreaktioner, herunder udbredt </w:t>
            </w:r>
            <w:proofErr w:type="spellStart"/>
            <w:r>
              <w:rPr>
                <w:sz w:val="22"/>
                <w:szCs w:val="22"/>
              </w:rPr>
              <w:t>deskvamation</w:t>
            </w:r>
            <w:proofErr w:type="spellEnd"/>
            <w:r>
              <w:rPr>
                <w:sz w:val="22"/>
                <w:szCs w:val="22"/>
              </w:rPr>
              <w:t xml:space="preserve"> (afskalning) og </w:t>
            </w:r>
            <w:proofErr w:type="spellStart"/>
            <w:r>
              <w:rPr>
                <w:sz w:val="22"/>
                <w:szCs w:val="22"/>
              </w:rPr>
              <w:t>bulløst</w:t>
            </w:r>
            <w:proofErr w:type="spellEnd"/>
            <w:r>
              <w:rPr>
                <w:sz w:val="22"/>
                <w:szCs w:val="22"/>
              </w:rPr>
              <w:t xml:space="preserve"> udslæt </w:t>
            </w:r>
            <w:proofErr w:type="spellStart"/>
            <w:r>
              <w:rPr>
                <w:sz w:val="22"/>
                <w:szCs w:val="22"/>
              </w:rPr>
              <w:t>Ulceration</w:t>
            </w:r>
            <w:proofErr w:type="spellEnd"/>
          </w:p>
          <w:p w:rsidR="00A06F90" w:rsidRDefault="00A06F90" w:rsidP="008877D7">
            <w:pPr>
              <w:tabs>
                <w:tab w:val="left" w:pos="0"/>
                <w:tab w:val="left" w:pos="3840"/>
              </w:tabs>
              <w:rPr>
                <w:sz w:val="22"/>
                <w:szCs w:val="22"/>
              </w:rPr>
            </w:pPr>
            <w:r>
              <w:rPr>
                <w:sz w:val="22"/>
                <w:szCs w:val="22"/>
              </w:rPr>
              <w:t>Blære- og sårdannelse</w:t>
            </w:r>
          </w:p>
          <w:p w:rsidR="00A06F90" w:rsidRDefault="00A06F90" w:rsidP="008877D7">
            <w:pPr>
              <w:tabs>
                <w:tab w:val="left" w:pos="0"/>
                <w:tab w:val="left" w:pos="3840"/>
              </w:tabs>
              <w:rPr>
                <w:color w:val="000000"/>
                <w:sz w:val="22"/>
                <w:szCs w:val="22"/>
              </w:rPr>
            </w:pPr>
            <w:proofErr w:type="spellStart"/>
            <w:r>
              <w:rPr>
                <w:sz w:val="22"/>
                <w:szCs w:val="22"/>
              </w:rPr>
              <w:t>Eksfoliation</w:t>
            </w:r>
            <w:proofErr w:type="spellEnd"/>
          </w:p>
        </w:tc>
        <w:tc>
          <w:tcPr>
            <w:tcW w:w="586" w:type="pct"/>
            <w:tcBorders>
              <w:top w:val="single" w:sz="4" w:space="0" w:color="auto"/>
              <w:left w:val="single" w:sz="4" w:space="0" w:color="auto"/>
              <w:bottom w:val="single" w:sz="4" w:space="0" w:color="auto"/>
              <w:right w:val="single" w:sz="4" w:space="0" w:color="auto"/>
            </w:tcBorders>
            <w:hideMark/>
          </w:tcPr>
          <w:p w:rsidR="00A06F90" w:rsidRDefault="00A06F90" w:rsidP="008877D7">
            <w:pPr>
              <w:tabs>
                <w:tab w:val="left" w:pos="0"/>
                <w:tab w:val="left" w:pos="3840"/>
              </w:tabs>
              <w:rPr>
                <w:sz w:val="22"/>
                <w:szCs w:val="22"/>
              </w:rPr>
            </w:pPr>
            <w:r>
              <w:rPr>
                <w:sz w:val="22"/>
                <w:szCs w:val="22"/>
              </w:rPr>
              <w:t xml:space="preserve">Toksisk </w:t>
            </w:r>
            <w:proofErr w:type="spellStart"/>
            <w:r>
              <w:rPr>
                <w:sz w:val="22"/>
                <w:szCs w:val="22"/>
              </w:rPr>
              <w:t>epidermal</w:t>
            </w:r>
            <w:proofErr w:type="spellEnd"/>
            <w:r>
              <w:rPr>
                <w:sz w:val="22"/>
                <w:szCs w:val="22"/>
              </w:rPr>
              <w:t xml:space="preserve"> </w:t>
            </w:r>
            <w:proofErr w:type="spellStart"/>
            <w:r>
              <w:rPr>
                <w:sz w:val="22"/>
                <w:szCs w:val="22"/>
              </w:rPr>
              <w:t>nekrolyse</w:t>
            </w:r>
            <w:proofErr w:type="spellEnd"/>
          </w:p>
          <w:p w:rsidR="00A06F90" w:rsidRDefault="00A06F90" w:rsidP="008877D7">
            <w:pPr>
              <w:tabs>
                <w:tab w:val="left" w:pos="0"/>
                <w:tab w:val="left" w:pos="3840"/>
              </w:tabs>
              <w:rPr>
                <w:sz w:val="22"/>
                <w:szCs w:val="22"/>
              </w:rPr>
            </w:pPr>
            <w:r>
              <w:rPr>
                <w:sz w:val="22"/>
                <w:szCs w:val="22"/>
              </w:rPr>
              <w:t>Stevens–</w:t>
            </w:r>
            <w:proofErr w:type="spellStart"/>
            <w:r>
              <w:rPr>
                <w:sz w:val="22"/>
                <w:szCs w:val="22"/>
              </w:rPr>
              <w:t>Johnson's</w:t>
            </w:r>
            <w:proofErr w:type="spellEnd"/>
            <w:r>
              <w:rPr>
                <w:sz w:val="22"/>
                <w:szCs w:val="22"/>
              </w:rPr>
              <w:t xml:space="preserve"> syndrom</w:t>
            </w:r>
          </w:p>
        </w:tc>
        <w:tc>
          <w:tcPr>
            <w:tcW w:w="572" w:type="pct"/>
            <w:tcBorders>
              <w:top w:val="single" w:sz="4" w:space="0" w:color="auto"/>
              <w:left w:val="single" w:sz="4" w:space="0" w:color="auto"/>
              <w:bottom w:val="single" w:sz="4" w:space="0" w:color="auto"/>
              <w:right w:val="single" w:sz="4" w:space="0" w:color="auto"/>
            </w:tcBorders>
            <w:hideMark/>
          </w:tcPr>
          <w:p w:rsidR="00A06F90" w:rsidRDefault="00A06F90" w:rsidP="008877D7">
            <w:pPr>
              <w:tabs>
                <w:tab w:val="left" w:pos="0"/>
                <w:tab w:val="left" w:pos="3840"/>
              </w:tabs>
              <w:rPr>
                <w:sz w:val="22"/>
                <w:szCs w:val="22"/>
              </w:rPr>
            </w:pPr>
            <w:r>
              <w:rPr>
                <w:sz w:val="22"/>
                <w:szCs w:val="22"/>
              </w:rPr>
              <w:t>Pseudo-cellulitis</w:t>
            </w:r>
          </w:p>
          <w:p w:rsidR="00A06F90" w:rsidRDefault="00A06F90" w:rsidP="008877D7">
            <w:pPr>
              <w:tabs>
                <w:tab w:val="left" w:pos="0"/>
                <w:tab w:val="left" w:pos="3840"/>
              </w:tabs>
              <w:rPr>
                <w:sz w:val="22"/>
                <w:szCs w:val="22"/>
              </w:rPr>
            </w:pPr>
            <w:r>
              <w:t xml:space="preserve">Akut </w:t>
            </w:r>
            <w:proofErr w:type="spellStart"/>
            <w:r>
              <w:t>generalise-ret</w:t>
            </w:r>
            <w:proofErr w:type="spellEnd"/>
            <w:r>
              <w:t xml:space="preserve"> </w:t>
            </w:r>
            <w:proofErr w:type="spellStart"/>
            <w:r>
              <w:t>eksante-matøs</w:t>
            </w:r>
            <w:proofErr w:type="spellEnd"/>
            <w:r>
              <w:t xml:space="preserve"> </w:t>
            </w:r>
            <w:proofErr w:type="spellStart"/>
            <w:r>
              <w:t>pustulose</w:t>
            </w:r>
            <w:proofErr w:type="spellEnd"/>
          </w:p>
        </w:tc>
      </w:tr>
      <w:tr w:rsidR="00A06F90" w:rsidTr="008877D7">
        <w:tc>
          <w:tcPr>
            <w:tcW w:w="912" w:type="pct"/>
            <w:tcBorders>
              <w:top w:val="single" w:sz="4" w:space="0" w:color="auto"/>
              <w:left w:val="single" w:sz="4" w:space="0" w:color="auto"/>
              <w:bottom w:val="single" w:sz="4" w:space="0" w:color="auto"/>
              <w:right w:val="single" w:sz="4" w:space="0" w:color="auto"/>
            </w:tcBorders>
            <w:hideMark/>
          </w:tcPr>
          <w:p w:rsidR="00A06F90" w:rsidRDefault="00A06F90" w:rsidP="008877D7">
            <w:pPr>
              <w:tabs>
                <w:tab w:val="left" w:pos="0"/>
                <w:tab w:val="left" w:pos="3840"/>
              </w:tabs>
              <w:rPr>
                <w:color w:val="000000"/>
                <w:spacing w:val="-2"/>
                <w:sz w:val="22"/>
                <w:szCs w:val="22"/>
              </w:rPr>
            </w:pPr>
            <w:r>
              <w:rPr>
                <w:b/>
                <w:bCs/>
                <w:color w:val="000000"/>
                <w:spacing w:val="-1"/>
                <w:sz w:val="22"/>
                <w:szCs w:val="22"/>
              </w:rPr>
              <w:t>Knogler, led, muskler og bindevæv</w:t>
            </w:r>
          </w:p>
        </w:tc>
        <w:tc>
          <w:tcPr>
            <w:tcW w:w="781" w:type="pct"/>
            <w:tcBorders>
              <w:top w:val="single" w:sz="4" w:space="0" w:color="auto"/>
              <w:left w:val="single" w:sz="4" w:space="0" w:color="auto"/>
              <w:bottom w:val="single" w:sz="4" w:space="0" w:color="auto"/>
              <w:right w:val="single" w:sz="4" w:space="0" w:color="auto"/>
            </w:tcBorders>
          </w:tcPr>
          <w:p w:rsidR="00A06F90" w:rsidRDefault="00A06F90" w:rsidP="008877D7">
            <w:pPr>
              <w:tabs>
                <w:tab w:val="left" w:pos="0"/>
                <w:tab w:val="left" w:pos="3840"/>
              </w:tabs>
              <w:rPr>
                <w:color w:val="000000"/>
                <w:spacing w:val="1"/>
                <w:sz w:val="22"/>
                <w:szCs w:val="22"/>
              </w:rPr>
            </w:pPr>
          </w:p>
        </w:tc>
        <w:tc>
          <w:tcPr>
            <w:tcW w:w="651" w:type="pct"/>
            <w:tcBorders>
              <w:top w:val="single" w:sz="4" w:space="0" w:color="auto"/>
              <w:left w:val="single" w:sz="4" w:space="0" w:color="auto"/>
              <w:bottom w:val="single" w:sz="4" w:space="0" w:color="auto"/>
              <w:right w:val="single" w:sz="4" w:space="0" w:color="auto"/>
            </w:tcBorders>
            <w:hideMark/>
          </w:tcPr>
          <w:p w:rsidR="00A06F90" w:rsidRDefault="00A06F90" w:rsidP="008877D7">
            <w:pPr>
              <w:tabs>
                <w:tab w:val="left" w:pos="0"/>
                <w:tab w:val="left" w:pos="3840"/>
              </w:tabs>
              <w:rPr>
                <w:color w:val="000000"/>
                <w:spacing w:val="-1"/>
                <w:sz w:val="22"/>
                <w:szCs w:val="22"/>
              </w:rPr>
            </w:pPr>
            <w:r>
              <w:rPr>
                <w:color w:val="000000"/>
                <w:spacing w:val="-4"/>
                <w:sz w:val="22"/>
                <w:szCs w:val="22"/>
              </w:rPr>
              <w:t>Rygsmerter Myalgi</w:t>
            </w:r>
          </w:p>
        </w:tc>
        <w:tc>
          <w:tcPr>
            <w:tcW w:w="781" w:type="pct"/>
            <w:tcBorders>
              <w:top w:val="single" w:sz="4" w:space="0" w:color="auto"/>
              <w:left w:val="single" w:sz="4" w:space="0" w:color="auto"/>
              <w:bottom w:val="single" w:sz="4" w:space="0" w:color="auto"/>
              <w:right w:val="single" w:sz="4" w:space="0" w:color="auto"/>
            </w:tcBorders>
          </w:tcPr>
          <w:p w:rsidR="00A06F90" w:rsidRDefault="00A06F90" w:rsidP="008877D7">
            <w:pPr>
              <w:tabs>
                <w:tab w:val="left" w:pos="0"/>
                <w:tab w:val="left" w:pos="3840"/>
              </w:tabs>
              <w:rPr>
                <w:color w:val="000000"/>
                <w:spacing w:val="-3"/>
                <w:sz w:val="22"/>
                <w:szCs w:val="22"/>
              </w:rPr>
            </w:pPr>
          </w:p>
        </w:tc>
        <w:tc>
          <w:tcPr>
            <w:tcW w:w="716" w:type="pct"/>
            <w:tcBorders>
              <w:top w:val="single" w:sz="4" w:space="0" w:color="auto"/>
              <w:left w:val="single" w:sz="4" w:space="0" w:color="auto"/>
              <w:bottom w:val="single" w:sz="4" w:space="0" w:color="auto"/>
              <w:right w:val="single" w:sz="4" w:space="0" w:color="auto"/>
            </w:tcBorders>
          </w:tcPr>
          <w:p w:rsidR="00A06F90" w:rsidRDefault="00A06F90" w:rsidP="008877D7">
            <w:pPr>
              <w:tabs>
                <w:tab w:val="left" w:pos="0"/>
                <w:tab w:val="left" w:pos="3840"/>
              </w:tabs>
              <w:rPr>
                <w:sz w:val="22"/>
                <w:szCs w:val="22"/>
              </w:rPr>
            </w:pPr>
          </w:p>
        </w:tc>
        <w:tc>
          <w:tcPr>
            <w:tcW w:w="586" w:type="pct"/>
            <w:tcBorders>
              <w:top w:val="single" w:sz="4" w:space="0" w:color="auto"/>
              <w:left w:val="single" w:sz="4" w:space="0" w:color="auto"/>
              <w:bottom w:val="single" w:sz="4" w:space="0" w:color="auto"/>
              <w:right w:val="single" w:sz="4" w:space="0" w:color="auto"/>
            </w:tcBorders>
          </w:tcPr>
          <w:p w:rsidR="00A06F90" w:rsidRDefault="00A06F90" w:rsidP="008877D7">
            <w:pPr>
              <w:tabs>
                <w:tab w:val="left" w:pos="0"/>
                <w:tab w:val="left" w:pos="3840"/>
              </w:tabs>
              <w:rPr>
                <w:color w:val="000000"/>
                <w:spacing w:val="-1"/>
                <w:sz w:val="22"/>
                <w:szCs w:val="22"/>
              </w:rPr>
            </w:pPr>
          </w:p>
        </w:tc>
        <w:tc>
          <w:tcPr>
            <w:tcW w:w="572" w:type="pct"/>
            <w:tcBorders>
              <w:top w:val="single" w:sz="4" w:space="0" w:color="auto"/>
              <w:left w:val="single" w:sz="4" w:space="0" w:color="auto"/>
              <w:bottom w:val="single" w:sz="4" w:space="0" w:color="auto"/>
              <w:right w:val="single" w:sz="4" w:space="0" w:color="auto"/>
            </w:tcBorders>
          </w:tcPr>
          <w:p w:rsidR="00A06F90" w:rsidRDefault="00A06F90" w:rsidP="008877D7">
            <w:pPr>
              <w:tabs>
                <w:tab w:val="left" w:pos="0"/>
                <w:tab w:val="left" w:pos="3840"/>
              </w:tabs>
              <w:rPr>
                <w:color w:val="000000"/>
                <w:spacing w:val="-1"/>
                <w:sz w:val="22"/>
                <w:szCs w:val="22"/>
              </w:rPr>
            </w:pPr>
          </w:p>
        </w:tc>
      </w:tr>
      <w:tr w:rsidR="00A06F90" w:rsidTr="008877D7">
        <w:tc>
          <w:tcPr>
            <w:tcW w:w="912" w:type="pct"/>
            <w:tcBorders>
              <w:top w:val="single" w:sz="4" w:space="0" w:color="auto"/>
              <w:left w:val="single" w:sz="4" w:space="0" w:color="auto"/>
              <w:bottom w:val="single" w:sz="4" w:space="0" w:color="auto"/>
              <w:right w:val="single" w:sz="4" w:space="0" w:color="auto"/>
            </w:tcBorders>
            <w:hideMark/>
          </w:tcPr>
          <w:p w:rsidR="00A06F90" w:rsidRDefault="00A06F90" w:rsidP="008877D7">
            <w:pPr>
              <w:tabs>
                <w:tab w:val="left" w:pos="0"/>
                <w:tab w:val="left" w:pos="3840"/>
              </w:tabs>
              <w:rPr>
                <w:color w:val="000000"/>
                <w:spacing w:val="-1"/>
                <w:sz w:val="22"/>
                <w:szCs w:val="22"/>
              </w:rPr>
            </w:pPr>
            <w:r>
              <w:rPr>
                <w:b/>
                <w:bCs/>
                <w:color w:val="000000"/>
                <w:spacing w:val="-2"/>
                <w:sz w:val="22"/>
                <w:szCs w:val="22"/>
              </w:rPr>
              <w:t>Nyrer og urinveje</w:t>
            </w:r>
          </w:p>
        </w:tc>
        <w:tc>
          <w:tcPr>
            <w:tcW w:w="781" w:type="pct"/>
            <w:tcBorders>
              <w:top w:val="single" w:sz="4" w:space="0" w:color="auto"/>
              <w:left w:val="single" w:sz="4" w:space="0" w:color="auto"/>
              <w:bottom w:val="single" w:sz="4" w:space="0" w:color="auto"/>
              <w:right w:val="single" w:sz="4" w:space="0" w:color="auto"/>
            </w:tcBorders>
            <w:hideMark/>
          </w:tcPr>
          <w:p w:rsidR="00A06F90" w:rsidRDefault="00A06F90" w:rsidP="008877D7">
            <w:pPr>
              <w:tabs>
                <w:tab w:val="left" w:pos="0"/>
                <w:tab w:val="left" w:pos="3840"/>
              </w:tabs>
              <w:rPr>
                <w:color w:val="000000"/>
                <w:spacing w:val="4"/>
                <w:sz w:val="22"/>
                <w:szCs w:val="22"/>
              </w:rPr>
            </w:pPr>
            <w:r>
              <w:rPr>
                <w:color w:val="000000"/>
                <w:spacing w:val="4"/>
                <w:sz w:val="22"/>
                <w:szCs w:val="22"/>
              </w:rPr>
              <w:t>Hæmaturi</w:t>
            </w:r>
          </w:p>
          <w:p w:rsidR="00A06F90" w:rsidRDefault="00A06F90" w:rsidP="008877D7">
            <w:pPr>
              <w:tabs>
                <w:tab w:val="left" w:pos="0"/>
                <w:tab w:val="left" w:pos="3840"/>
              </w:tabs>
              <w:rPr>
                <w:color w:val="000000"/>
                <w:spacing w:val="4"/>
                <w:sz w:val="22"/>
                <w:szCs w:val="22"/>
              </w:rPr>
            </w:pPr>
            <w:r>
              <w:rPr>
                <w:color w:val="000000"/>
                <w:spacing w:val="4"/>
                <w:sz w:val="22"/>
                <w:szCs w:val="22"/>
              </w:rPr>
              <w:t xml:space="preserve">Mild </w:t>
            </w:r>
            <w:proofErr w:type="spellStart"/>
            <w:r>
              <w:rPr>
                <w:color w:val="000000"/>
                <w:spacing w:val="4"/>
                <w:sz w:val="22"/>
                <w:szCs w:val="22"/>
              </w:rPr>
              <w:t>proteinuri</w:t>
            </w:r>
            <w:proofErr w:type="spellEnd"/>
          </w:p>
        </w:tc>
        <w:tc>
          <w:tcPr>
            <w:tcW w:w="651" w:type="pct"/>
            <w:tcBorders>
              <w:top w:val="single" w:sz="4" w:space="0" w:color="auto"/>
              <w:left w:val="single" w:sz="4" w:space="0" w:color="auto"/>
              <w:bottom w:val="single" w:sz="4" w:space="0" w:color="auto"/>
              <w:right w:val="single" w:sz="4" w:space="0" w:color="auto"/>
            </w:tcBorders>
          </w:tcPr>
          <w:p w:rsidR="00A06F90" w:rsidRDefault="00A06F90" w:rsidP="008877D7">
            <w:pPr>
              <w:tabs>
                <w:tab w:val="left" w:pos="0"/>
                <w:tab w:val="left" w:pos="3840"/>
              </w:tabs>
              <w:rPr>
                <w:color w:val="000000"/>
                <w:sz w:val="22"/>
                <w:szCs w:val="22"/>
              </w:rPr>
            </w:pPr>
          </w:p>
        </w:tc>
        <w:tc>
          <w:tcPr>
            <w:tcW w:w="781" w:type="pct"/>
            <w:tcBorders>
              <w:top w:val="single" w:sz="4" w:space="0" w:color="auto"/>
              <w:left w:val="single" w:sz="4" w:space="0" w:color="auto"/>
              <w:bottom w:val="single" w:sz="4" w:space="0" w:color="auto"/>
              <w:right w:val="single" w:sz="4" w:space="0" w:color="auto"/>
            </w:tcBorders>
          </w:tcPr>
          <w:p w:rsidR="00A06F90" w:rsidRDefault="00A06F90" w:rsidP="008877D7">
            <w:pPr>
              <w:tabs>
                <w:tab w:val="left" w:pos="0"/>
                <w:tab w:val="left" w:pos="3840"/>
              </w:tabs>
              <w:rPr>
                <w:sz w:val="22"/>
                <w:szCs w:val="22"/>
              </w:rPr>
            </w:pPr>
          </w:p>
        </w:tc>
        <w:tc>
          <w:tcPr>
            <w:tcW w:w="716" w:type="pct"/>
            <w:tcBorders>
              <w:top w:val="single" w:sz="4" w:space="0" w:color="auto"/>
              <w:left w:val="single" w:sz="4" w:space="0" w:color="auto"/>
              <w:bottom w:val="single" w:sz="4" w:space="0" w:color="auto"/>
              <w:right w:val="single" w:sz="4" w:space="0" w:color="auto"/>
            </w:tcBorders>
            <w:hideMark/>
          </w:tcPr>
          <w:p w:rsidR="00A06F90" w:rsidRDefault="00A06F90" w:rsidP="008877D7">
            <w:pPr>
              <w:tabs>
                <w:tab w:val="left" w:pos="0"/>
                <w:tab w:val="left" w:pos="3840"/>
              </w:tabs>
              <w:rPr>
                <w:sz w:val="22"/>
                <w:szCs w:val="22"/>
              </w:rPr>
            </w:pPr>
            <w:proofErr w:type="spellStart"/>
            <w:r>
              <w:rPr>
                <w:sz w:val="22"/>
                <w:szCs w:val="22"/>
              </w:rPr>
              <w:t>Hæmolytisk</w:t>
            </w:r>
            <w:proofErr w:type="spellEnd"/>
            <w:r>
              <w:rPr>
                <w:sz w:val="22"/>
                <w:szCs w:val="22"/>
              </w:rPr>
              <w:t xml:space="preserve"> uræmisk syndrom (HUS) (se pkt. 4.4)</w:t>
            </w:r>
          </w:p>
          <w:p w:rsidR="00A06F90" w:rsidRDefault="00A06F90" w:rsidP="008877D7">
            <w:pPr>
              <w:tabs>
                <w:tab w:val="left" w:pos="0"/>
                <w:tab w:val="left" w:pos="3840"/>
              </w:tabs>
              <w:rPr>
                <w:sz w:val="22"/>
                <w:szCs w:val="22"/>
              </w:rPr>
            </w:pPr>
            <w:proofErr w:type="spellStart"/>
            <w:r w:rsidRPr="00E4013F">
              <w:rPr>
                <w:sz w:val="22"/>
                <w:szCs w:val="22"/>
                <w:lang w:val="en-US"/>
              </w:rPr>
              <w:t>Nyre</w:t>
            </w:r>
            <w:proofErr w:type="spellEnd"/>
            <w:r w:rsidRPr="00E4013F">
              <w:rPr>
                <w:sz w:val="22"/>
                <w:szCs w:val="22"/>
                <w:lang w:val="en-US"/>
              </w:rPr>
              <w:t>-</w:t>
            </w:r>
            <w:r w:rsidRPr="00E4013F">
              <w:rPr>
                <w:sz w:val="22"/>
                <w:szCs w:val="22"/>
                <w:lang w:val="en-US"/>
              </w:rPr>
              <w:br/>
            </w:r>
            <w:proofErr w:type="spellStart"/>
            <w:r w:rsidRPr="00E4013F">
              <w:rPr>
                <w:sz w:val="22"/>
                <w:szCs w:val="22"/>
                <w:lang w:val="en-US"/>
              </w:rPr>
              <w:t>insufficiens</w:t>
            </w:r>
            <w:proofErr w:type="spellEnd"/>
            <w:r w:rsidRPr="00E4013F">
              <w:rPr>
                <w:sz w:val="22"/>
                <w:szCs w:val="22"/>
                <w:lang w:val="en-US"/>
              </w:rPr>
              <w:t xml:space="preserve"> (se pkt. </w:t>
            </w:r>
            <w:r>
              <w:rPr>
                <w:sz w:val="22"/>
                <w:szCs w:val="22"/>
              </w:rPr>
              <w:t xml:space="preserve">4.4) </w:t>
            </w:r>
          </w:p>
        </w:tc>
        <w:tc>
          <w:tcPr>
            <w:tcW w:w="586" w:type="pct"/>
            <w:tcBorders>
              <w:top w:val="single" w:sz="4" w:space="0" w:color="auto"/>
              <w:left w:val="single" w:sz="4" w:space="0" w:color="auto"/>
              <w:bottom w:val="single" w:sz="4" w:space="0" w:color="auto"/>
              <w:right w:val="single" w:sz="4" w:space="0" w:color="auto"/>
            </w:tcBorders>
          </w:tcPr>
          <w:p w:rsidR="00A06F90" w:rsidRDefault="00A06F90" w:rsidP="008877D7">
            <w:pPr>
              <w:tabs>
                <w:tab w:val="left" w:pos="0"/>
                <w:tab w:val="left" w:pos="3840"/>
              </w:tabs>
              <w:rPr>
                <w:color w:val="000000"/>
                <w:spacing w:val="-1"/>
                <w:sz w:val="22"/>
                <w:szCs w:val="22"/>
              </w:rPr>
            </w:pPr>
          </w:p>
        </w:tc>
        <w:tc>
          <w:tcPr>
            <w:tcW w:w="572" w:type="pct"/>
            <w:tcBorders>
              <w:top w:val="single" w:sz="4" w:space="0" w:color="auto"/>
              <w:left w:val="single" w:sz="4" w:space="0" w:color="auto"/>
              <w:bottom w:val="single" w:sz="4" w:space="0" w:color="auto"/>
              <w:right w:val="single" w:sz="4" w:space="0" w:color="auto"/>
            </w:tcBorders>
          </w:tcPr>
          <w:p w:rsidR="00A06F90" w:rsidRDefault="00A06F90" w:rsidP="008877D7">
            <w:pPr>
              <w:tabs>
                <w:tab w:val="left" w:pos="0"/>
                <w:tab w:val="left" w:pos="3840"/>
              </w:tabs>
              <w:rPr>
                <w:color w:val="000000"/>
                <w:spacing w:val="-1"/>
                <w:sz w:val="22"/>
                <w:szCs w:val="22"/>
              </w:rPr>
            </w:pPr>
          </w:p>
        </w:tc>
      </w:tr>
      <w:tr w:rsidR="00A06F90" w:rsidTr="008877D7">
        <w:tc>
          <w:tcPr>
            <w:tcW w:w="912" w:type="pct"/>
            <w:tcBorders>
              <w:top w:val="single" w:sz="4" w:space="0" w:color="auto"/>
              <w:left w:val="single" w:sz="4" w:space="0" w:color="auto"/>
              <w:bottom w:val="single" w:sz="4" w:space="0" w:color="auto"/>
              <w:right w:val="single" w:sz="4" w:space="0" w:color="auto"/>
            </w:tcBorders>
            <w:hideMark/>
          </w:tcPr>
          <w:p w:rsidR="00A06F90" w:rsidRDefault="00A06F90" w:rsidP="008877D7">
            <w:pPr>
              <w:tabs>
                <w:tab w:val="left" w:pos="0"/>
                <w:tab w:val="left" w:pos="3840"/>
              </w:tabs>
              <w:rPr>
                <w:color w:val="000000"/>
                <w:spacing w:val="-2"/>
                <w:sz w:val="22"/>
                <w:szCs w:val="22"/>
              </w:rPr>
            </w:pPr>
            <w:r>
              <w:rPr>
                <w:b/>
                <w:color w:val="000000"/>
                <w:spacing w:val="-1"/>
                <w:sz w:val="22"/>
                <w:szCs w:val="22"/>
              </w:rPr>
              <w:t>Almene symptomer og reaktioner på administrations-stedet</w:t>
            </w:r>
          </w:p>
        </w:tc>
        <w:tc>
          <w:tcPr>
            <w:tcW w:w="781" w:type="pct"/>
            <w:tcBorders>
              <w:top w:val="single" w:sz="4" w:space="0" w:color="auto"/>
              <w:left w:val="single" w:sz="4" w:space="0" w:color="auto"/>
              <w:bottom w:val="single" w:sz="4" w:space="0" w:color="auto"/>
              <w:right w:val="single" w:sz="4" w:space="0" w:color="auto"/>
            </w:tcBorders>
            <w:hideMark/>
          </w:tcPr>
          <w:p w:rsidR="00A06F90" w:rsidRDefault="00A06F90" w:rsidP="008877D7">
            <w:pPr>
              <w:tabs>
                <w:tab w:val="left" w:pos="0"/>
                <w:tab w:val="left" w:pos="3840"/>
              </w:tabs>
              <w:rPr>
                <w:color w:val="000000"/>
                <w:spacing w:val="4"/>
                <w:sz w:val="22"/>
                <w:szCs w:val="22"/>
              </w:rPr>
            </w:pPr>
            <w:r>
              <w:rPr>
                <w:color w:val="000000"/>
                <w:spacing w:val="4"/>
                <w:sz w:val="22"/>
                <w:szCs w:val="22"/>
              </w:rPr>
              <w:t>Influenza-lignende symptomer - de hyppigst forekommende symptomer er feber, hovedpine, kulderystelser, myalgi, asteni og anoreksi.</w:t>
            </w:r>
          </w:p>
          <w:p w:rsidR="00A06F90" w:rsidRDefault="00A06F90" w:rsidP="008877D7">
            <w:pPr>
              <w:tabs>
                <w:tab w:val="left" w:pos="0"/>
                <w:tab w:val="left" w:pos="3840"/>
              </w:tabs>
              <w:rPr>
                <w:color w:val="000000"/>
                <w:spacing w:val="4"/>
                <w:sz w:val="22"/>
                <w:szCs w:val="22"/>
              </w:rPr>
            </w:pPr>
            <w:r>
              <w:rPr>
                <w:color w:val="000000"/>
                <w:spacing w:val="4"/>
                <w:sz w:val="22"/>
                <w:szCs w:val="22"/>
              </w:rPr>
              <w:t xml:space="preserve">Hoste, </w:t>
            </w:r>
            <w:proofErr w:type="spellStart"/>
            <w:r>
              <w:rPr>
                <w:color w:val="000000"/>
                <w:spacing w:val="4"/>
                <w:sz w:val="22"/>
                <w:szCs w:val="22"/>
              </w:rPr>
              <w:t>rhinit</w:t>
            </w:r>
            <w:proofErr w:type="spellEnd"/>
            <w:r>
              <w:rPr>
                <w:color w:val="000000"/>
                <w:spacing w:val="4"/>
                <w:sz w:val="22"/>
                <w:szCs w:val="22"/>
              </w:rPr>
              <w:t xml:space="preserve">, utilpashed, svedtendens og søvnbesvær er også rapporteret. Ødemer/perifere ødemer </w:t>
            </w:r>
            <w:r>
              <w:rPr>
                <w:color w:val="000000"/>
                <w:spacing w:val="4"/>
                <w:sz w:val="22"/>
                <w:szCs w:val="22"/>
              </w:rPr>
              <w:lastRenderedPageBreak/>
              <w:t>inklusive ansigtsødem. Ødemer er sædvanligvis reversible efter behandlings-ophør</w:t>
            </w:r>
          </w:p>
        </w:tc>
        <w:tc>
          <w:tcPr>
            <w:tcW w:w="651" w:type="pct"/>
            <w:tcBorders>
              <w:top w:val="single" w:sz="4" w:space="0" w:color="auto"/>
              <w:left w:val="single" w:sz="4" w:space="0" w:color="auto"/>
              <w:bottom w:val="single" w:sz="4" w:space="0" w:color="auto"/>
              <w:right w:val="single" w:sz="4" w:space="0" w:color="auto"/>
            </w:tcBorders>
            <w:hideMark/>
          </w:tcPr>
          <w:p w:rsidR="00A06F90" w:rsidRDefault="00A06F90" w:rsidP="008877D7">
            <w:pPr>
              <w:tabs>
                <w:tab w:val="left" w:pos="0"/>
                <w:tab w:val="left" w:pos="3840"/>
              </w:tabs>
              <w:rPr>
                <w:color w:val="000000"/>
                <w:spacing w:val="-1"/>
                <w:sz w:val="22"/>
                <w:szCs w:val="22"/>
              </w:rPr>
            </w:pPr>
            <w:r>
              <w:rPr>
                <w:color w:val="000000"/>
                <w:spacing w:val="-1"/>
                <w:sz w:val="22"/>
                <w:szCs w:val="22"/>
              </w:rPr>
              <w:lastRenderedPageBreak/>
              <w:t>Feber</w:t>
            </w:r>
          </w:p>
          <w:p w:rsidR="00A06F90" w:rsidRDefault="00A06F90" w:rsidP="008877D7">
            <w:pPr>
              <w:tabs>
                <w:tab w:val="left" w:pos="0"/>
                <w:tab w:val="left" w:pos="3840"/>
              </w:tabs>
              <w:rPr>
                <w:color w:val="000000"/>
                <w:spacing w:val="-1"/>
                <w:sz w:val="22"/>
                <w:szCs w:val="22"/>
              </w:rPr>
            </w:pPr>
            <w:r>
              <w:rPr>
                <w:color w:val="000000"/>
                <w:spacing w:val="-1"/>
                <w:sz w:val="22"/>
                <w:szCs w:val="22"/>
              </w:rPr>
              <w:t>Asteni</w:t>
            </w:r>
          </w:p>
          <w:p w:rsidR="00A06F90" w:rsidRDefault="00A06F90" w:rsidP="008877D7">
            <w:pPr>
              <w:tabs>
                <w:tab w:val="left" w:pos="0"/>
                <w:tab w:val="left" w:pos="3840"/>
              </w:tabs>
              <w:rPr>
                <w:color w:val="000000"/>
                <w:sz w:val="22"/>
                <w:szCs w:val="22"/>
              </w:rPr>
            </w:pPr>
            <w:proofErr w:type="spellStart"/>
            <w:r>
              <w:rPr>
                <w:color w:val="000000"/>
                <w:spacing w:val="-1"/>
                <w:sz w:val="22"/>
                <w:szCs w:val="22"/>
              </w:rPr>
              <w:t>Kulderystel-ser</w:t>
            </w:r>
            <w:proofErr w:type="spellEnd"/>
            <w:r>
              <w:rPr>
                <w:color w:val="000000"/>
                <w:spacing w:val="-1"/>
                <w:sz w:val="22"/>
                <w:szCs w:val="22"/>
              </w:rPr>
              <w:t xml:space="preserve"> </w:t>
            </w:r>
          </w:p>
        </w:tc>
        <w:tc>
          <w:tcPr>
            <w:tcW w:w="781" w:type="pct"/>
            <w:tcBorders>
              <w:top w:val="single" w:sz="4" w:space="0" w:color="auto"/>
              <w:left w:val="single" w:sz="4" w:space="0" w:color="auto"/>
              <w:bottom w:val="single" w:sz="4" w:space="0" w:color="auto"/>
              <w:right w:val="single" w:sz="4" w:space="0" w:color="auto"/>
            </w:tcBorders>
          </w:tcPr>
          <w:p w:rsidR="00A06F90" w:rsidRDefault="00A06F90" w:rsidP="008877D7">
            <w:pPr>
              <w:tabs>
                <w:tab w:val="left" w:pos="0"/>
                <w:tab w:val="left" w:pos="3840"/>
              </w:tabs>
              <w:rPr>
                <w:sz w:val="22"/>
                <w:szCs w:val="22"/>
              </w:rPr>
            </w:pPr>
          </w:p>
        </w:tc>
        <w:tc>
          <w:tcPr>
            <w:tcW w:w="716" w:type="pct"/>
            <w:tcBorders>
              <w:top w:val="single" w:sz="4" w:space="0" w:color="auto"/>
              <w:left w:val="single" w:sz="4" w:space="0" w:color="auto"/>
              <w:bottom w:val="single" w:sz="4" w:space="0" w:color="auto"/>
              <w:right w:val="single" w:sz="4" w:space="0" w:color="auto"/>
            </w:tcBorders>
            <w:hideMark/>
          </w:tcPr>
          <w:p w:rsidR="00A06F90" w:rsidRDefault="00A06F90" w:rsidP="008877D7">
            <w:pPr>
              <w:tabs>
                <w:tab w:val="left" w:pos="0"/>
                <w:tab w:val="left" w:pos="3840"/>
              </w:tabs>
              <w:rPr>
                <w:sz w:val="22"/>
                <w:szCs w:val="22"/>
              </w:rPr>
            </w:pPr>
            <w:r>
              <w:rPr>
                <w:sz w:val="22"/>
                <w:szCs w:val="22"/>
              </w:rPr>
              <w:t xml:space="preserve">Reaktioner på </w:t>
            </w:r>
            <w:proofErr w:type="spellStart"/>
            <w:r>
              <w:rPr>
                <w:sz w:val="22"/>
                <w:szCs w:val="22"/>
              </w:rPr>
              <w:t>administra-tionsstedet</w:t>
            </w:r>
            <w:proofErr w:type="spellEnd"/>
            <w:r>
              <w:rPr>
                <w:sz w:val="22"/>
                <w:szCs w:val="22"/>
              </w:rPr>
              <w:t xml:space="preserve"> –hovedsageligt milde af natur</w:t>
            </w:r>
          </w:p>
        </w:tc>
        <w:tc>
          <w:tcPr>
            <w:tcW w:w="586" w:type="pct"/>
            <w:tcBorders>
              <w:top w:val="single" w:sz="4" w:space="0" w:color="auto"/>
              <w:left w:val="single" w:sz="4" w:space="0" w:color="auto"/>
              <w:bottom w:val="single" w:sz="4" w:space="0" w:color="auto"/>
              <w:right w:val="single" w:sz="4" w:space="0" w:color="auto"/>
            </w:tcBorders>
          </w:tcPr>
          <w:p w:rsidR="00A06F90" w:rsidRDefault="00A06F90" w:rsidP="008877D7">
            <w:pPr>
              <w:tabs>
                <w:tab w:val="left" w:pos="0"/>
                <w:tab w:val="left" w:pos="3840"/>
              </w:tabs>
              <w:rPr>
                <w:color w:val="000000"/>
                <w:spacing w:val="-1"/>
                <w:sz w:val="22"/>
                <w:szCs w:val="22"/>
              </w:rPr>
            </w:pPr>
          </w:p>
        </w:tc>
        <w:tc>
          <w:tcPr>
            <w:tcW w:w="572" w:type="pct"/>
            <w:tcBorders>
              <w:top w:val="single" w:sz="4" w:space="0" w:color="auto"/>
              <w:left w:val="single" w:sz="4" w:space="0" w:color="auto"/>
              <w:bottom w:val="single" w:sz="4" w:space="0" w:color="auto"/>
              <w:right w:val="single" w:sz="4" w:space="0" w:color="auto"/>
            </w:tcBorders>
          </w:tcPr>
          <w:p w:rsidR="00A06F90" w:rsidRDefault="00A06F90" w:rsidP="008877D7">
            <w:pPr>
              <w:tabs>
                <w:tab w:val="left" w:pos="0"/>
                <w:tab w:val="left" w:pos="3840"/>
              </w:tabs>
              <w:rPr>
                <w:color w:val="000000"/>
                <w:spacing w:val="-1"/>
                <w:sz w:val="22"/>
                <w:szCs w:val="22"/>
              </w:rPr>
            </w:pPr>
          </w:p>
        </w:tc>
      </w:tr>
      <w:tr w:rsidR="00A06F90" w:rsidTr="008877D7">
        <w:tc>
          <w:tcPr>
            <w:tcW w:w="912" w:type="pct"/>
            <w:tcBorders>
              <w:top w:val="single" w:sz="4" w:space="0" w:color="auto"/>
              <w:left w:val="single" w:sz="4" w:space="0" w:color="auto"/>
              <w:bottom w:val="single" w:sz="4" w:space="0" w:color="auto"/>
              <w:right w:val="single" w:sz="4" w:space="0" w:color="auto"/>
            </w:tcBorders>
            <w:hideMark/>
          </w:tcPr>
          <w:p w:rsidR="00A06F90" w:rsidRDefault="00A06F90" w:rsidP="008877D7">
            <w:pPr>
              <w:tabs>
                <w:tab w:val="left" w:pos="0"/>
                <w:tab w:val="left" w:pos="3840"/>
              </w:tabs>
              <w:rPr>
                <w:b/>
                <w:color w:val="000000"/>
                <w:spacing w:val="-1"/>
                <w:sz w:val="22"/>
                <w:szCs w:val="22"/>
              </w:rPr>
            </w:pPr>
            <w:r>
              <w:rPr>
                <w:b/>
                <w:color w:val="000000"/>
                <w:spacing w:val="-1"/>
                <w:sz w:val="22"/>
                <w:szCs w:val="22"/>
              </w:rPr>
              <w:t>Traumer, forgiftninger og behandlings</w:t>
            </w:r>
            <w:r>
              <w:rPr>
                <w:b/>
                <w:color w:val="000000"/>
                <w:spacing w:val="-1"/>
                <w:sz w:val="22"/>
                <w:szCs w:val="22"/>
              </w:rPr>
              <w:noBreakHyphen/>
            </w:r>
          </w:p>
          <w:p w:rsidR="00A06F90" w:rsidRDefault="00A06F90" w:rsidP="008877D7">
            <w:pPr>
              <w:tabs>
                <w:tab w:val="left" w:pos="0"/>
                <w:tab w:val="left" w:pos="3840"/>
              </w:tabs>
              <w:rPr>
                <w:color w:val="000000"/>
                <w:spacing w:val="-2"/>
                <w:sz w:val="22"/>
                <w:szCs w:val="22"/>
              </w:rPr>
            </w:pPr>
            <w:r>
              <w:rPr>
                <w:b/>
                <w:color w:val="000000"/>
                <w:spacing w:val="-1"/>
                <w:sz w:val="22"/>
                <w:szCs w:val="22"/>
              </w:rPr>
              <w:t>komplikationer</w:t>
            </w:r>
          </w:p>
        </w:tc>
        <w:tc>
          <w:tcPr>
            <w:tcW w:w="781" w:type="pct"/>
            <w:tcBorders>
              <w:top w:val="single" w:sz="4" w:space="0" w:color="auto"/>
              <w:left w:val="single" w:sz="4" w:space="0" w:color="auto"/>
              <w:bottom w:val="single" w:sz="4" w:space="0" w:color="auto"/>
              <w:right w:val="single" w:sz="4" w:space="0" w:color="auto"/>
            </w:tcBorders>
          </w:tcPr>
          <w:p w:rsidR="00A06F90" w:rsidRDefault="00A06F90" w:rsidP="008877D7">
            <w:pPr>
              <w:tabs>
                <w:tab w:val="left" w:pos="0"/>
                <w:tab w:val="left" w:pos="3840"/>
              </w:tabs>
              <w:rPr>
                <w:color w:val="000000"/>
                <w:spacing w:val="4"/>
                <w:sz w:val="22"/>
                <w:szCs w:val="22"/>
              </w:rPr>
            </w:pPr>
          </w:p>
        </w:tc>
        <w:tc>
          <w:tcPr>
            <w:tcW w:w="651" w:type="pct"/>
            <w:tcBorders>
              <w:top w:val="single" w:sz="4" w:space="0" w:color="auto"/>
              <w:left w:val="single" w:sz="4" w:space="0" w:color="auto"/>
              <w:bottom w:val="single" w:sz="4" w:space="0" w:color="auto"/>
              <w:right w:val="single" w:sz="4" w:space="0" w:color="auto"/>
            </w:tcBorders>
          </w:tcPr>
          <w:p w:rsidR="00A06F90" w:rsidRDefault="00A06F90" w:rsidP="008877D7">
            <w:pPr>
              <w:tabs>
                <w:tab w:val="left" w:pos="0"/>
                <w:tab w:val="left" w:pos="3840"/>
              </w:tabs>
              <w:rPr>
                <w:color w:val="000000"/>
                <w:sz w:val="22"/>
                <w:szCs w:val="22"/>
              </w:rPr>
            </w:pPr>
          </w:p>
        </w:tc>
        <w:tc>
          <w:tcPr>
            <w:tcW w:w="781" w:type="pct"/>
            <w:tcBorders>
              <w:top w:val="single" w:sz="4" w:space="0" w:color="auto"/>
              <w:left w:val="single" w:sz="4" w:space="0" w:color="auto"/>
              <w:bottom w:val="single" w:sz="4" w:space="0" w:color="auto"/>
              <w:right w:val="single" w:sz="4" w:space="0" w:color="auto"/>
            </w:tcBorders>
          </w:tcPr>
          <w:p w:rsidR="00A06F90" w:rsidRDefault="00A06F90" w:rsidP="008877D7">
            <w:pPr>
              <w:tabs>
                <w:tab w:val="left" w:pos="0"/>
                <w:tab w:val="left" w:pos="3840"/>
              </w:tabs>
              <w:rPr>
                <w:sz w:val="22"/>
                <w:szCs w:val="22"/>
              </w:rPr>
            </w:pPr>
          </w:p>
        </w:tc>
        <w:tc>
          <w:tcPr>
            <w:tcW w:w="716" w:type="pct"/>
            <w:tcBorders>
              <w:top w:val="single" w:sz="4" w:space="0" w:color="auto"/>
              <w:left w:val="single" w:sz="4" w:space="0" w:color="auto"/>
              <w:bottom w:val="single" w:sz="4" w:space="0" w:color="auto"/>
              <w:right w:val="single" w:sz="4" w:space="0" w:color="auto"/>
            </w:tcBorders>
            <w:hideMark/>
          </w:tcPr>
          <w:p w:rsidR="00A06F90" w:rsidRDefault="00A06F90" w:rsidP="008877D7">
            <w:pPr>
              <w:tabs>
                <w:tab w:val="left" w:pos="0"/>
                <w:tab w:val="left" w:pos="3840"/>
              </w:tabs>
              <w:rPr>
                <w:color w:val="000000"/>
                <w:spacing w:val="-1"/>
                <w:sz w:val="22"/>
                <w:szCs w:val="22"/>
              </w:rPr>
            </w:pPr>
            <w:r>
              <w:rPr>
                <w:color w:val="000000"/>
                <w:spacing w:val="-1"/>
                <w:sz w:val="22"/>
                <w:szCs w:val="22"/>
              </w:rPr>
              <w:t>Strålings-skade (se pkt. 4.5).</w:t>
            </w:r>
          </w:p>
          <w:p w:rsidR="00A06F90" w:rsidRDefault="00A06F90" w:rsidP="008877D7">
            <w:pPr>
              <w:tabs>
                <w:tab w:val="left" w:pos="0"/>
                <w:tab w:val="left" w:pos="3840"/>
              </w:tabs>
              <w:rPr>
                <w:sz w:val="22"/>
                <w:szCs w:val="22"/>
              </w:rPr>
            </w:pPr>
            <w:r>
              <w:rPr>
                <w:color w:val="000000"/>
                <w:spacing w:val="-1"/>
                <w:sz w:val="22"/>
                <w:szCs w:val="22"/>
              </w:rPr>
              <w:t>Genkaldelse af stråle-bivirkninger</w:t>
            </w:r>
          </w:p>
        </w:tc>
        <w:tc>
          <w:tcPr>
            <w:tcW w:w="586" w:type="pct"/>
            <w:tcBorders>
              <w:top w:val="single" w:sz="4" w:space="0" w:color="auto"/>
              <w:left w:val="single" w:sz="4" w:space="0" w:color="auto"/>
              <w:bottom w:val="single" w:sz="4" w:space="0" w:color="auto"/>
              <w:right w:val="single" w:sz="4" w:space="0" w:color="auto"/>
            </w:tcBorders>
          </w:tcPr>
          <w:p w:rsidR="00A06F90" w:rsidRDefault="00A06F90" w:rsidP="008877D7">
            <w:pPr>
              <w:tabs>
                <w:tab w:val="left" w:pos="0"/>
                <w:tab w:val="left" w:pos="3840"/>
              </w:tabs>
              <w:rPr>
                <w:color w:val="000000"/>
                <w:spacing w:val="-1"/>
                <w:sz w:val="22"/>
                <w:szCs w:val="22"/>
              </w:rPr>
            </w:pPr>
          </w:p>
        </w:tc>
        <w:tc>
          <w:tcPr>
            <w:tcW w:w="572" w:type="pct"/>
            <w:tcBorders>
              <w:top w:val="single" w:sz="4" w:space="0" w:color="auto"/>
              <w:left w:val="single" w:sz="4" w:space="0" w:color="auto"/>
              <w:bottom w:val="single" w:sz="4" w:space="0" w:color="auto"/>
              <w:right w:val="single" w:sz="4" w:space="0" w:color="auto"/>
            </w:tcBorders>
          </w:tcPr>
          <w:p w:rsidR="00A06F90" w:rsidRDefault="00A06F90" w:rsidP="008877D7">
            <w:pPr>
              <w:tabs>
                <w:tab w:val="left" w:pos="0"/>
                <w:tab w:val="left" w:pos="3840"/>
              </w:tabs>
              <w:rPr>
                <w:color w:val="000000"/>
                <w:spacing w:val="-1"/>
                <w:sz w:val="22"/>
                <w:szCs w:val="22"/>
              </w:rPr>
            </w:pPr>
          </w:p>
        </w:tc>
      </w:tr>
    </w:tbl>
    <w:p w:rsidR="00A06F90" w:rsidRDefault="00A06F90" w:rsidP="00A06F90">
      <w:pPr>
        <w:shd w:val="clear" w:color="auto" w:fill="FFFFFF"/>
        <w:tabs>
          <w:tab w:val="left" w:pos="567"/>
        </w:tabs>
        <w:rPr>
          <w:color w:val="000000"/>
          <w:spacing w:val="-1"/>
          <w:sz w:val="22"/>
          <w:szCs w:val="22"/>
          <w:u w:val="single"/>
        </w:rPr>
      </w:pPr>
    </w:p>
    <w:p w:rsidR="00A06F90" w:rsidRDefault="00A06F90" w:rsidP="00A06F90">
      <w:pPr>
        <w:tabs>
          <w:tab w:val="left" w:pos="851"/>
        </w:tabs>
        <w:ind w:left="1304" w:hanging="1304"/>
        <w:rPr>
          <w:iCs/>
          <w:color w:val="000000"/>
          <w:spacing w:val="4"/>
          <w:u w:val="single"/>
        </w:rPr>
      </w:pPr>
      <w:r>
        <w:rPr>
          <w:iCs/>
          <w:color w:val="000000"/>
          <w:spacing w:val="4"/>
        </w:rPr>
        <w:tab/>
      </w:r>
      <w:r>
        <w:rPr>
          <w:u w:val="single"/>
        </w:rPr>
        <w:t>Beskrivelse af udvalgte bivirkninger</w:t>
      </w:r>
    </w:p>
    <w:p w:rsidR="00A06F90" w:rsidRDefault="00A06F90" w:rsidP="00A06F90">
      <w:pPr>
        <w:shd w:val="clear" w:color="auto" w:fill="FFFFFF"/>
        <w:tabs>
          <w:tab w:val="left" w:pos="567"/>
        </w:tabs>
        <w:rPr>
          <w:color w:val="000000"/>
          <w:spacing w:val="-1"/>
          <w:sz w:val="22"/>
          <w:szCs w:val="22"/>
          <w:u w:val="single"/>
        </w:rPr>
      </w:pPr>
    </w:p>
    <w:p w:rsidR="00A06F90" w:rsidRPr="001A5168" w:rsidRDefault="00A06F90" w:rsidP="00A06F90">
      <w:pPr>
        <w:tabs>
          <w:tab w:val="left" w:pos="851"/>
        </w:tabs>
        <w:ind w:left="1304" w:hanging="1304"/>
      </w:pPr>
      <w:r w:rsidRPr="001A5168">
        <w:rPr>
          <w:iCs/>
          <w:color w:val="000000"/>
          <w:spacing w:val="4"/>
        </w:rPr>
        <w:tab/>
      </w:r>
      <w:r w:rsidRPr="001A5168">
        <w:rPr>
          <w:iCs/>
          <w:color w:val="000000"/>
          <w:spacing w:val="4"/>
          <w:u w:val="single"/>
        </w:rPr>
        <w:t>Kombinationsbehandling ved brystcancer</w:t>
      </w:r>
    </w:p>
    <w:p w:rsidR="00A06F90" w:rsidRPr="00FB065A" w:rsidRDefault="00A06F90" w:rsidP="00A06F90">
      <w:pPr>
        <w:tabs>
          <w:tab w:val="left" w:pos="851"/>
        </w:tabs>
        <w:ind w:left="851" w:right="605" w:hanging="851"/>
      </w:pPr>
      <w:r>
        <w:tab/>
      </w:r>
      <w:r w:rsidRPr="00FB065A">
        <w:t xml:space="preserve">Frekvensen af grad 3 og 4 hæmatologiske </w:t>
      </w:r>
      <w:proofErr w:type="spellStart"/>
      <w:r w:rsidRPr="00FB065A">
        <w:t>toksiciteter</w:t>
      </w:r>
      <w:proofErr w:type="spellEnd"/>
      <w:r w:rsidRPr="00FB065A">
        <w:t xml:space="preserve">, specielt </w:t>
      </w:r>
      <w:proofErr w:type="spellStart"/>
      <w:r w:rsidRPr="00FB065A">
        <w:t>neutropeni</w:t>
      </w:r>
      <w:proofErr w:type="spellEnd"/>
      <w:r w:rsidRPr="00FB065A">
        <w:t xml:space="preserve">, stiger når </w:t>
      </w:r>
      <w:proofErr w:type="spellStart"/>
      <w:r w:rsidRPr="00FB065A">
        <w:t>gemcitabin</w:t>
      </w:r>
      <w:proofErr w:type="spellEnd"/>
      <w:r w:rsidRPr="00FB065A">
        <w:t xml:space="preserve"> anvendes i kombination med </w:t>
      </w:r>
      <w:proofErr w:type="spellStart"/>
      <w:r w:rsidRPr="00FB065A">
        <w:t>paclitaxel</w:t>
      </w:r>
      <w:proofErr w:type="spellEnd"/>
      <w:r w:rsidRPr="00FB065A">
        <w:t xml:space="preserve">. Stigningen i antallet af disse bivirkninger er dog ikke forbundet med en øget forekomst af infektioner eller </w:t>
      </w:r>
      <w:proofErr w:type="spellStart"/>
      <w:r w:rsidRPr="00FB065A">
        <w:t>hæmorrhagiske</w:t>
      </w:r>
      <w:proofErr w:type="spellEnd"/>
      <w:r w:rsidRPr="00FB065A">
        <w:t xml:space="preserve"> tilfælde. Træthed og febril </w:t>
      </w:r>
      <w:proofErr w:type="spellStart"/>
      <w:r w:rsidRPr="00FB065A">
        <w:t>neutropeni</w:t>
      </w:r>
      <w:proofErr w:type="spellEnd"/>
      <w:r w:rsidRPr="00FB065A">
        <w:t xml:space="preserve"> opstår hyppigere, når </w:t>
      </w:r>
      <w:proofErr w:type="spellStart"/>
      <w:r w:rsidRPr="00FB065A">
        <w:t>gemcitabin</w:t>
      </w:r>
      <w:proofErr w:type="spellEnd"/>
      <w:r w:rsidRPr="00FB065A">
        <w:t xml:space="preserve"> anvendes i kombination med </w:t>
      </w:r>
      <w:proofErr w:type="spellStart"/>
      <w:r w:rsidRPr="00FB065A">
        <w:t>paclitaxel</w:t>
      </w:r>
      <w:proofErr w:type="spellEnd"/>
      <w:r w:rsidRPr="00FB065A">
        <w:t>. Træthed, som ikke er forbundet med anæmi, ophører normalt efter den første cyklus.</w:t>
      </w:r>
    </w:p>
    <w:p w:rsidR="00A06F90" w:rsidRPr="00FB065A" w:rsidRDefault="00A06F90" w:rsidP="00A06F90">
      <w:pPr>
        <w:tabs>
          <w:tab w:val="left" w:pos="567"/>
        </w:tabs>
        <w:ind w:right="605" w:firstLine="142"/>
      </w:pPr>
    </w:p>
    <w:tbl>
      <w:tblPr>
        <w:tblW w:w="9398" w:type="dxa"/>
        <w:tblInd w:w="40" w:type="dxa"/>
        <w:tblLayout w:type="fixed"/>
        <w:tblCellMar>
          <w:left w:w="40" w:type="dxa"/>
          <w:right w:w="40" w:type="dxa"/>
        </w:tblCellMar>
        <w:tblLook w:val="0000" w:firstRow="0" w:lastRow="0" w:firstColumn="0" w:lastColumn="0" w:noHBand="0" w:noVBand="0"/>
      </w:tblPr>
      <w:tblGrid>
        <w:gridCol w:w="2694"/>
        <w:gridCol w:w="1559"/>
        <w:gridCol w:w="1559"/>
        <w:gridCol w:w="1704"/>
        <w:gridCol w:w="1882"/>
      </w:tblGrid>
      <w:tr w:rsidR="00A06F90" w:rsidRPr="001A5168" w:rsidTr="008877D7">
        <w:trPr>
          <w:trHeight w:hRule="exact" w:val="667"/>
        </w:trPr>
        <w:tc>
          <w:tcPr>
            <w:tcW w:w="9398" w:type="dxa"/>
            <w:gridSpan w:val="5"/>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tabs>
                <w:tab w:val="left" w:pos="567"/>
              </w:tabs>
              <w:ind w:right="605"/>
              <w:jc w:val="center"/>
            </w:pPr>
            <w:r w:rsidRPr="00FB065A">
              <w:t>Grad 3 og 4 bivirkninger</w:t>
            </w:r>
          </w:p>
          <w:p w:rsidR="00A06F90" w:rsidRPr="00E70C4E" w:rsidRDefault="00A06F90" w:rsidP="008877D7">
            <w:pPr>
              <w:tabs>
                <w:tab w:val="left" w:pos="567"/>
              </w:tabs>
              <w:ind w:right="605"/>
              <w:jc w:val="center"/>
            </w:pPr>
            <w:proofErr w:type="spellStart"/>
            <w:r w:rsidRPr="00E70C4E">
              <w:t>Paclitaxel</w:t>
            </w:r>
            <w:proofErr w:type="spellEnd"/>
            <w:r w:rsidRPr="00E70C4E">
              <w:t xml:space="preserve"> versus </w:t>
            </w:r>
            <w:proofErr w:type="spellStart"/>
            <w:r w:rsidRPr="00E70C4E">
              <w:t>gemcitabin</w:t>
            </w:r>
            <w:proofErr w:type="spellEnd"/>
            <w:r w:rsidRPr="00E70C4E">
              <w:t xml:space="preserve"> plus </w:t>
            </w:r>
            <w:proofErr w:type="spellStart"/>
            <w:r w:rsidRPr="00E70C4E">
              <w:t>paclitaxel</w:t>
            </w:r>
            <w:proofErr w:type="spellEnd"/>
          </w:p>
        </w:tc>
      </w:tr>
      <w:tr w:rsidR="00A06F90" w:rsidRPr="00FB065A" w:rsidTr="008877D7">
        <w:trPr>
          <w:trHeight w:hRule="exact" w:val="259"/>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A06F90" w:rsidRPr="00E70C4E" w:rsidRDefault="00A06F90" w:rsidP="008877D7">
            <w:pPr>
              <w:shd w:val="clear" w:color="auto" w:fill="FFFFFF"/>
              <w:tabs>
                <w:tab w:val="left" w:pos="567"/>
              </w:tabs>
              <w:ind w:right="605"/>
            </w:pPr>
          </w:p>
        </w:tc>
        <w:tc>
          <w:tcPr>
            <w:tcW w:w="6704" w:type="dxa"/>
            <w:gridSpan w:val="4"/>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pPr>
            <w:r w:rsidRPr="00FB065A">
              <w:rPr>
                <w:color w:val="000000"/>
                <w:spacing w:val="2"/>
              </w:rPr>
              <w:t>Antal (%) patienter</w:t>
            </w:r>
          </w:p>
        </w:tc>
      </w:tr>
      <w:tr w:rsidR="00A06F90" w:rsidRPr="00A06F90" w:rsidTr="008877D7">
        <w:trPr>
          <w:trHeight w:hRule="exact" w:val="518"/>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pP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tabs>
                <w:tab w:val="left" w:pos="567"/>
              </w:tabs>
              <w:ind w:right="605"/>
              <w:jc w:val="center"/>
            </w:pPr>
            <w:proofErr w:type="spellStart"/>
            <w:r w:rsidRPr="00FB065A">
              <w:t>Paclitaxel</w:t>
            </w:r>
            <w:proofErr w:type="spellEnd"/>
            <w:r w:rsidRPr="00FB065A">
              <w:t xml:space="preserve"> arm</w:t>
            </w:r>
          </w:p>
          <w:p w:rsidR="00A06F90" w:rsidRPr="00FB065A" w:rsidRDefault="00A06F90" w:rsidP="008877D7">
            <w:pPr>
              <w:tabs>
                <w:tab w:val="left" w:pos="567"/>
              </w:tabs>
              <w:ind w:right="605"/>
              <w:jc w:val="center"/>
            </w:pPr>
            <w:r w:rsidRPr="00FB065A">
              <w:t>(N=259)</w:t>
            </w:r>
          </w:p>
        </w:tc>
        <w:tc>
          <w:tcPr>
            <w:tcW w:w="3586" w:type="dxa"/>
            <w:gridSpan w:val="2"/>
            <w:tcBorders>
              <w:top w:val="single" w:sz="6" w:space="0" w:color="auto"/>
              <w:left w:val="single" w:sz="6" w:space="0" w:color="auto"/>
              <w:bottom w:val="single" w:sz="6" w:space="0" w:color="auto"/>
              <w:right w:val="single" w:sz="6" w:space="0" w:color="auto"/>
            </w:tcBorders>
            <w:shd w:val="clear" w:color="auto" w:fill="FFFFFF"/>
          </w:tcPr>
          <w:p w:rsidR="00A06F90" w:rsidRPr="001A5168" w:rsidRDefault="00A06F90" w:rsidP="008877D7">
            <w:pPr>
              <w:tabs>
                <w:tab w:val="left" w:pos="567"/>
              </w:tabs>
              <w:ind w:right="605"/>
              <w:jc w:val="center"/>
              <w:rPr>
                <w:lang w:val="en-US"/>
              </w:rPr>
            </w:pPr>
            <w:proofErr w:type="spellStart"/>
            <w:r w:rsidRPr="001A5168">
              <w:rPr>
                <w:lang w:val="en-US"/>
              </w:rPr>
              <w:t>Gemcitabin</w:t>
            </w:r>
            <w:proofErr w:type="spellEnd"/>
            <w:r w:rsidRPr="001A5168">
              <w:rPr>
                <w:lang w:val="en-US"/>
              </w:rPr>
              <w:t xml:space="preserve"> plus paclitaxel arm</w:t>
            </w:r>
          </w:p>
          <w:p w:rsidR="00A06F90" w:rsidRPr="001A5168" w:rsidRDefault="00A06F90" w:rsidP="008877D7">
            <w:pPr>
              <w:tabs>
                <w:tab w:val="left" w:pos="567"/>
              </w:tabs>
              <w:ind w:right="605"/>
              <w:jc w:val="center"/>
              <w:rPr>
                <w:lang w:val="en-US"/>
              </w:rPr>
            </w:pPr>
            <w:r w:rsidRPr="001A5168">
              <w:rPr>
                <w:lang w:val="en-US"/>
              </w:rPr>
              <w:t>(N=262)</w:t>
            </w:r>
          </w:p>
        </w:tc>
      </w:tr>
      <w:tr w:rsidR="00A06F90" w:rsidRPr="00FB065A" w:rsidTr="008877D7">
        <w:trPr>
          <w:trHeight w:hRule="exact" w:val="259"/>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A06F90" w:rsidRPr="001A5168" w:rsidRDefault="00A06F90" w:rsidP="008877D7">
            <w:pPr>
              <w:shd w:val="clear" w:color="auto" w:fill="FFFFFF"/>
              <w:tabs>
                <w:tab w:val="left" w:pos="567"/>
              </w:tabs>
              <w:ind w:right="605"/>
              <w:rPr>
                <w:lang w:val="en-US"/>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spacing w:val="-1"/>
              </w:rPr>
              <w:t>Grad 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spacing w:val="1"/>
              </w:rPr>
              <w:t>Grad 4</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spacing w:val="-1"/>
              </w:rPr>
              <w:t>Grad 3</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rPr>
              <w:t>Grad 4</w:t>
            </w:r>
          </w:p>
        </w:tc>
      </w:tr>
      <w:tr w:rsidR="00A06F90" w:rsidRPr="00DC3AD0" w:rsidTr="008877D7">
        <w:trPr>
          <w:trHeight w:hRule="exact" w:val="269"/>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A06F90" w:rsidRPr="00DC3AD0" w:rsidRDefault="00A06F90" w:rsidP="008877D7">
            <w:pPr>
              <w:shd w:val="clear" w:color="auto" w:fill="FFFFFF"/>
              <w:tabs>
                <w:tab w:val="left" w:pos="567"/>
              </w:tabs>
              <w:ind w:left="54" w:right="605"/>
              <w:rPr>
                <w:i/>
              </w:rPr>
            </w:pPr>
            <w:r w:rsidRPr="00DC3AD0">
              <w:rPr>
                <w:i/>
                <w:color w:val="000000"/>
                <w:spacing w:val="2"/>
              </w:rPr>
              <w:t>Laboratorieværdier</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06F90" w:rsidRPr="00DC3AD0" w:rsidRDefault="00A06F90" w:rsidP="008877D7">
            <w:pPr>
              <w:shd w:val="clear" w:color="auto" w:fill="FFFFFF"/>
              <w:tabs>
                <w:tab w:val="left" w:pos="567"/>
              </w:tabs>
              <w:ind w:right="605"/>
              <w:rPr>
                <w:i/>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06F90" w:rsidRPr="00DC3AD0" w:rsidRDefault="00A06F90" w:rsidP="008877D7">
            <w:pPr>
              <w:shd w:val="clear" w:color="auto" w:fill="FFFFFF"/>
              <w:tabs>
                <w:tab w:val="left" w:pos="567"/>
              </w:tabs>
              <w:ind w:right="605"/>
              <w:rPr>
                <w:i/>
              </w:rPr>
            </w:pP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A06F90" w:rsidRPr="00DC3AD0" w:rsidRDefault="00A06F90" w:rsidP="008877D7">
            <w:pPr>
              <w:shd w:val="clear" w:color="auto" w:fill="FFFFFF"/>
              <w:tabs>
                <w:tab w:val="left" w:pos="567"/>
              </w:tabs>
              <w:ind w:right="605"/>
              <w:rPr>
                <w:i/>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A06F90" w:rsidRPr="00DC3AD0" w:rsidRDefault="00A06F90" w:rsidP="008877D7">
            <w:pPr>
              <w:shd w:val="clear" w:color="auto" w:fill="FFFFFF"/>
              <w:tabs>
                <w:tab w:val="left" w:pos="567"/>
              </w:tabs>
              <w:ind w:right="605"/>
              <w:rPr>
                <w:i/>
              </w:rPr>
            </w:pPr>
          </w:p>
        </w:tc>
      </w:tr>
      <w:tr w:rsidR="00A06F90" w:rsidRPr="00FB065A" w:rsidTr="008877D7">
        <w:trPr>
          <w:trHeight w:hRule="exact" w:val="259"/>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left="54" w:right="605"/>
            </w:pPr>
            <w:r w:rsidRPr="00FB065A">
              <w:rPr>
                <w:color w:val="000000"/>
                <w:spacing w:val="2"/>
              </w:rPr>
              <w:t>Anæmi</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rPr>
              <w:t>5 (1,9)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spacing w:val="-3"/>
              </w:rPr>
              <w:t>1 (0,4)</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spacing w:val="-2"/>
              </w:rPr>
              <w:t>15 (5,7)</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spacing w:val="8"/>
              </w:rPr>
              <w:t>3 (1,1)</w:t>
            </w:r>
          </w:p>
        </w:tc>
      </w:tr>
      <w:tr w:rsidR="00A06F90" w:rsidRPr="00FB065A" w:rsidTr="008877D7">
        <w:trPr>
          <w:trHeight w:hRule="exact" w:val="269"/>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left="54" w:right="605"/>
            </w:pPr>
            <w:proofErr w:type="spellStart"/>
            <w:r w:rsidRPr="00FB065A">
              <w:rPr>
                <w:color w:val="000000"/>
                <w:spacing w:val="2"/>
              </w:rPr>
              <w:t>Trombocytopeni</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rPr>
              <w:t>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rPr>
              <w:t>0</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spacing w:val="5"/>
              </w:rPr>
              <w:t>14 (5,3)</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spacing w:val="-3"/>
              </w:rPr>
              <w:t>1 (0,4)</w:t>
            </w:r>
          </w:p>
        </w:tc>
      </w:tr>
      <w:tr w:rsidR="00A06F90" w:rsidRPr="00FB065A" w:rsidTr="008877D7">
        <w:trPr>
          <w:trHeight w:hRule="exact" w:val="259"/>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left="54" w:right="605"/>
            </w:pPr>
            <w:proofErr w:type="spellStart"/>
            <w:r w:rsidRPr="00FB065A">
              <w:rPr>
                <w:color w:val="000000"/>
                <w:spacing w:val="3"/>
              </w:rPr>
              <w:t>Neutropeni</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spacing w:val="5"/>
              </w:rPr>
              <w:t>11 (4,2)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spacing w:val="-6"/>
              </w:rPr>
              <w:t>17 (6,</w:t>
            </w:r>
            <w:proofErr w:type="gramStart"/>
            <w:r w:rsidRPr="00FB065A">
              <w:rPr>
                <w:color w:val="000000"/>
                <w:spacing w:val="-6"/>
              </w:rPr>
              <w:t>6)*</w:t>
            </w:r>
            <w:proofErr w:type="gramEnd"/>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spacing w:val="6"/>
              </w:rPr>
              <w:t>82 (31,3)</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spacing w:val="-3"/>
              </w:rPr>
              <w:t>45 (17,</w:t>
            </w:r>
            <w:proofErr w:type="gramStart"/>
            <w:r w:rsidRPr="00FB065A">
              <w:rPr>
                <w:color w:val="000000"/>
                <w:spacing w:val="-3"/>
              </w:rPr>
              <w:t>2)*</w:t>
            </w:r>
            <w:proofErr w:type="gramEnd"/>
          </w:p>
        </w:tc>
      </w:tr>
      <w:tr w:rsidR="00A06F90" w:rsidRPr="00DC3AD0" w:rsidTr="008877D7">
        <w:trPr>
          <w:trHeight w:hRule="exact" w:val="518"/>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A06F90" w:rsidRPr="00DC3AD0" w:rsidRDefault="00A06F90" w:rsidP="008877D7">
            <w:pPr>
              <w:tabs>
                <w:tab w:val="left" w:pos="567"/>
              </w:tabs>
              <w:ind w:left="54" w:right="605"/>
              <w:rPr>
                <w:i/>
              </w:rPr>
            </w:pPr>
            <w:r w:rsidRPr="00DC3AD0">
              <w:rPr>
                <w:i/>
              </w:rPr>
              <w:t>Ikke-laboratorieværdier</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06F90" w:rsidRPr="00DC3AD0" w:rsidRDefault="00A06F90" w:rsidP="008877D7">
            <w:pPr>
              <w:shd w:val="clear" w:color="auto" w:fill="FFFFFF"/>
              <w:tabs>
                <w:tab w:val="left" w:pos="567"/>
              </w:tabs>
              <w:ind w:right="605"/>
              <w:rPr>
                <w:i/>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06F90" w:rsidRPr="00DC3AD0" w:rsidRDefault="00A06F90" w:rsidP="008877D7">
            <w:pPr>
              <w:shd w:val="clear" w:color="auto" w:fill="FFFFFF"/>
              <w:tabs>
                <w:tab w:val="left" w:pos="567"/>
              </w:tabs>
              <w:ind w:right="605"/>
              <w:rPr>
                <w:i/>
              </w:rPr>
            </w:pP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A06F90" w:rsidRPr="00DC3AD0" w:rsidRDefault="00A06F90" w:rsidP="008877D7">
            <w:pPr>
              <w:shd w:val="clear" w:color="auto" w:fill="FFFFFF"/>
              <w:tabs>
                <w:tab w:val="left" w:pos="567"/>
              </w:tabs>
              <w:ind w:right="605"/>
              <w:rPr>
                <w:i/>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A06F90" w:rsidRPr="00DC3AD0" w:rsidRDefault="00A06F90" w:rsidP="008877D7">
            <w:pPr>
              <w:shd w:val="clear" w:color="auto" w:fill="FFFFFF"/>
              <w:tabs>
                <w:tab w:val="left" w:pos="567"/>
              </w:tabs>
              <w:ind w:right="605"/>
              <w:rPr>
                <w:i/>
              </w:rPr>
            </w:pPr>
          </w:p>
        </w:tc>
      </w:tr>
      <w:tr w:rsidR="00A06F90" w:rsidRPr="00FB065A" w:rsidTr="008877D7">
        <w:trPr>
          <w:trHeight w:hRule="exact" w:val="259"/>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left="54" w:right="605"/>
            </w:pPr>
            <w:r w:rsidRPr="00FB065A">
              <w:rPr>
                <w:color w:val="000000"/>
                <w:spacing w:val="1"/>
              </w:rPr>
              <w:t xml:space="preserve">Febril </w:t>
            </w:r>
            <w:proofErr w:type="spellStart"/>
            <w:r w:rsidRPr="00FB065A">
              <w:rPr>
                <w:color w:val="000000"/>
                <w:spacing w:val="1"/>
              </w:rPr>
              <w:t>neutropeni</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rPr>
              <w:t>3 (1,2)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rPr>
              <w:t>0</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spacing w:val="-2"/>
              </w:rPr>
              <w:t>12 (4,6)</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spacing w:val="-3"/>
              </w:rPr>
              <w:t>1 (0,4)</w:t>
            </w:r>
          </w:p>
        </w:tc>
      </w:tr>
      <w:tr w:rsidR="00A06F90" w:rsidRPr="00FB065A" w:rsidTr="008877D7">
        <w:trPr>
          <w:trHeight w:hRule="exact" w:val="259"/>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left="54" w:right="605"/>
            </w:pPr>
            <w:r w:rsidRPr="00FB065A">
              <w:rPr>
                <w:color w:val="000000"/>
                <w:spacing w:val="1"/>
              </w:rPr>
              <w:t>Træthed</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rPr>
              <w:t>3 (1,2)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spacing w:val="-3"/>
              </w:rPr>
              <w:t>1 (0,4)</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spacing w:val="-3"/>
              </w:rPr>
              <w:t>15 (5,7)</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rPr>
              <w:t>2 (0,8)</w:t>
            </w:r>
          </w:p>
        </w:tc>
      </w:tr>
      <w:tr w:rsidR="00A06F90" w:rsidRPr="00FB065A" w:rsidTr="008877D7">
        <w:trPr>
          <w:trHeight w:hRule="exact" w:val="269"/>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left="54" w:right="605"/>
            </w:pPr>
            <w:r w:rsidRPr="00FB065A">
              <w:rPr>
                <w:color w:val="000000"/>
              </w:rPr>
              <w:t>Diarré</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rPr>
              <w:t>5 (1,9)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rPr>
              <w:t>0</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spacing w:val="7"/>
              </w:rPr>
              <w:t>8 (3,1)</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rPr>
              <w:t>0</w:t>
            </w:r>
          </w:p>
        </w:tc>
      </w:tr>
      <w:tr w:rsidR="00A06F90" w:rsidRPr="00FB065A" w:rsidTr="008877D7">
        <w:trPr>
          <w:trHeight w:hRule="exact" w:val="259"/>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left="54" w:right="605"/>
            </w:pPr>
            <w:r w:rsidRPr="00FB065A">
              <w:rPr>
                <w:color w:val="000000"/>
                <w:spacing w:val="2"/>
              </w:rPr>
              <w:t xml:space="preserve">Motorisk </w:t>
            </w:r>
            <w:proofErr w:type="spellStart"/>
            <w:r w:rsidRPr="00FB065A">
              <w:rPr>
                <w:color w:val="000000"/>
                <w:spacing w:val="2"/>
              </w:rPr>
              <w:t>neuropati</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rPr>
              <w:t>2 (0,8)</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rPr>
              <w:t>0</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rPr>
              <w:t>6 (2,3)</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spacing w:val="-3"/>
              </w:rPr>
              <w:t>1 (0,4)</w:t>
            </w:r>
          </w:p>
        </w:tc>
      </w:tr>
      <w:tr w:rsidR="00A06F90" w:rsidRPr="00FB065A" w:rsidTr="008877D7">
        <w:trPr>
          <w:trHeight w:hRule="exact" w:val="608"/>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left="54" w:right="605"/>
            </w:pPr>
            <w:r w:rsidRPr="00FB065A">
              <w:rPr>
                <w:color w:val="000000"/>
                <w:spacing w:val="1"/>
              </w:rPr>
              <w:t xml:space="preserve">Sensorisk </w:t>
            </w:r>
            <w:proofErr w:type="spellStart"/>
            <w:r w:rsidRPr="00FB065A">
              <w:rPr>
                <w:color w:val="000000"/>
                <w:spacing w:val="1"/>
              </w:rPr>
              <w:t>neuropati</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rPr>
              <w:t>9 (3,5)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rPr>
              <w:t>0</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spacing w:val="5"/>
              </w:rPr>
              <w:t>14(5,3)</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spacing w:val="-3"/>
              </w:rPr>
              <w:t>1 (0,4)</w:t>
            </w:r>
          </w:p>
        </w:tc>
      </w:tr>
    </w:tbl>
    <w:p w:rsidR="00A06F90" w:rsidRDefault="00A06F90" w:rsidP="00A06F90">
      <w:pPr>
        <w:shd w:val="clear" w:color="auto" w:fill="FFFFFF"/>
        <w:tabs>
          <w:tab w:val="left" w:pos="851"/>
        </w:tabs>
        <w:spacing w:line="254" w:lineRule="exact"/>
        <w:ind w:left="851" w:right="605" w:hanging="851"/>
        <w:rPr>
          <w:color w:val="000000"/>
          <w:spacing w:val="3"/>
        </w:rPr>
      </w:pPr>
      <w:r>
        <w:rPr>
          <w:color w:val="000000"/>
          <w:spacing w:val="-3"/>
        </w:rPr>
        <w:tab/>
      </w:r>
      <w:r w:rsidRPr="00FB065A">
        <w:rPr>
          <w:color w:val="000000"/>
          <w:spacing w:val="-3"/>
        </w:rPr>
        <w:t>*</w:t>
      </w:r>
      <w:r w:rsidRPr="00FB065A">
        <w:rPr>
          <w:color w:val="000000"/>
          <w:spacing w:val="2"/>
        </w:rPr>
        <w:t xml:space="preserve">Grad 4 </w:t>
      </w:r>
      <w:proofErr w:type="spellStart"/>
      <w:r w:rsidRPr="00FB065A">
        <w:rPr>
          <w:color w:val="000000"/>
          <w:spacing w:val="2"/>
        </w:rPr>
        <w:t>neutropeni</w:t>
      </w:r>
      <w:proofErr w:type="spellEnd"/>
      <w:r w:rsidRPr="00FB065A">
        <w:rPr>
          <w:color w:val="000000"/>
          <w:spacing w:val="2"/>
        </w:rPr>
        <w:t>, som varer mere end 7 dage, forekom hos 12,6</w:t>
      </w:r>
      <w:r>
        <w:rPr>
          <w:color w:val="000000"/>
          <w:spacing w:val="2"/>
        </w:rPr>
        <w:t xml:space="preserve"> </w:t>
      </w:r>
      <w:r w:rsidRPr="00FB065A">
        <w:rPr>
          <w:color w:val="000000"/>
          <w:spacing w:val="2"/>
        </w:rPr>
        <w:t xml:space="preserve">% af patienterne i </w:t>
      </w:r>
      <w:r w:rsidRPr="00FB065A">
        <w:rPr>
          <w:color w:val="000000"/>
          <w:spacing w:val="3"/>
        </w:rPr>
        <w:t>kombinationsarmen og hos 5,0</w:t>
      </w:r>
      <w:r>
        <w:rPr>
          <w:color w:val="000000"/>
          <w:spacing w:val="3"/>
        </w:rPr>
        <w:t xml:space="preserve"> </w:t>
      </w:r>
      <w:r w:rsidRPr="00FB065A">
        <w:rPr>
          <w:color w:val="000000"/>
          <w:spacing w:val="3"/>
        </w:rPr>
        <w:t xml:space="preserve">% af patienterne i </w:t>
      </w:r>
      <w:proofErr w:type="spellStart"/>
      <w:r w:rsidRPr="00FB065A">
        <w:rPr>
          <w:color w:val="000000"/>
          <w:spacing w:val="3"/>
        </w:rPr>
        <w:t>paclitaxelarmen</w:t>
      </w:r>
      <w:proofErr w:type="spellEnd"/>
      <w:r w:rsidRPr="00FB065A">
        <w:rPr>
          <w:color w:val="000000"/>
          <w:spacing w:val="3"/>
        </w:rPr>
        <w:t>.</w:t>
      </w:r>
    </w:p>
    <w:p w:rsidR="00A06F90" w:rsidRDefault="00A06F90" w:rsidP="00A06F90">
      <w:pPr>
        <w:shd w:val="clear" w:color="auto" w:fill="FFFFFF"/>
        <w:tabs>
          <w:tab w:val="left" w:pos="851"/>
        </w:tabs>
        <w:spacing w:line="254" w:lineRule="exact"/>
        <w:ind w:left="851" w:right="605" w:hanging="851"/>
        <w:rPr>
          <w:color w:val="000000"/>
          <w:spacing w:val="3"/>
        </w:rPr>
      </w:pPr>
    </w:p>
    <w:p w:rsidR="00A06F90" w:rsidRPr="00E809BF" w:rsidRDefault="00A06F90" w:rsidP="00A06F90">
      <w:pPr>
        <w:keepNext/>
        <w:shd w:val="clear" w:color="auto" w:fill="FFFFFF"/>
        <w:tabs>
          <w:tab w:val="left" w:pos="851"/>
        </w:tabs>
        <w:spacing w:line="254" w:lineRule="exact"/>
        <w:ind w:left="851" w:right="607"/>
        <w:rPr>
          <w:color w:val="000000"/>
          <w:spacing w:val="3"/>
          <w:u w:val="single"/>
        </w:rPr>
      </w:pPr>
      <w:r>
        <w:rPr>
          <w:color w:val="000000"/>
          <w:spacing w:val="3"/>
          <w:u w:val="single"/>
        </w:rPr>
        <w:lastRenderedPageBreak/>
        <w:t>Kombinationsbehandling ved blærecancer</w:t>
      </w:r>
    </w:p>
    <w:p w:rsidR="00A06F90" w:rsidRDefault="00A06F90" w:rsidP="00A06F90">
      <w:pPr>
        <w:keepNext/>
        <w:shd w:val="clear" w:color="auto" w:fill="FFFFFF"/>
        <w:tabs>
          <w:tab w:val="left" w:pos="851"/>
        </w:tabs>
        <w:spacing w:line="254" w:lineRule="exact"/>
        <w:ind w:left="851" w:right="607" w:hanging="851"/>
        <w:rPr>
          <w:color w:val="000000"/>
          <w:spacing w:val="3"/>
        </w:rPr>
      </w:pPr>
    </w:p>
    <w:tbl>
      <w:tblPr>
        <w:tblW w:w="9784" w:type="dxa"/>
        <w:tblInd w:w="40" w:type="dxa"/>
        <w:tblLayout w:type="fixed"/>
        <w:tblCellMar>
          <w:left w:w="40" w:type="dxa"/>
          <w:right w:w="40" w:type="dxa"/>
        </w:tblCellMar>
        <w:tblLook w:val="0000" w:firstRow="0" w:lastRow="0" w:firstColumn="0" w:lastColumn="0" w:noHBand="0" w:noVBand="0"/>
      </w:tblPr>
      <w:tblGrid>
        <w:gridCol w:w="2504"/>
        <w:gridCol w:w="382"/>
        <w:gridCol w:w="1231"/>
        <w:gridCol w:w="186"/>
        <w:gridCol w:w="1676"/>
        <w:gridCol w:w="1862"/>
        <w:gridCol w:w="1943"/>
      </w:tblGrid>
      <w:tr w:rsidR="00A06F90" w:rsidRPr="00FB065A" w:rsidTr="008877D7">
        <w:trPr>
          <w:trHeight w:hRule="exact" w:val="586"/>
        </w:trPr>
        <w:tc>
          <w:tcPr>
            <w:tcW w:w="9784" w:type="dxa"/>
            <w:gridSpan w:val="7"/>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keepNext/>
              <w:tabs>
                <w:tab w:val="left" w:pos="567"/>
              </w:tabs>
              <w:ind w:right="607"/>
              <w:jc w:val="center"/>
            </w:pPr>
            <w:r w:rsidRPr="00FB065A">
              <w:t>Grad 3 og 4 bivirkninger</w:t>
            </w:r>
          </w:p>
          <w:p w:rsidR="00A06F90" w:rsidRPr="00FB065A" w:rsidRDefault="00A06F90" w:rsidP="008877D7">
            <w:pPr>
              <w:keepNext/>
              <w:tabs>
                <w:tab w:val="left" w:pos="567"/>
              </w:tabs>
              <w:ind w:right="607"/>
              <w:jc w:val="center"/>
            </w:pPr>
            <w:r w:rsidRPr="00FB065A">
              <w:t xml:space="preserve">MVAC versus </w:t>
            </w:r>
            <w:proofErr w:type="spellStart"/>
            <w:r w:rsidRPr="00FB065A">
              <w:t>gemcitabin</w:t>
            </w:r>
            <w:proofErr w:type="spellEnd"/>
            <w:r w:rsidRPr="00FB065A">
              <w:t xml:space="preserve"> plus </w:t>
            </w:r>
            <w:proofErr w:type="spellStart"/>
            <w:r w:rsidRPr="00FB065A">
              <w:t>cisplatin</w:t>
            </w:r>
            <w:proofErr w:type="spellEnd"/>
          </w:p>
        </w:tc>
      </w:tr>
      <w:tr w:rsidR="00A06F90" w:rsidRPr="00FB065A" w:rsidTr="008877D7">
        <w:trPr>
          <w:trHeight w:hRule="exact" w:val="259"/>
        </w:trPr>
        <w:tc>
          <w:tcPr>
            <w:tcW w:w="2886" w:type="dxa"/>
            <w:gridSpan w:val="2"/>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keepNext/>
              <w:shd w:val="clear" w:color="auto" w:fill="FFFFFF"/>
              <w:tabs>
                <w:tab w:val="left" w:pos="567"/>
              </w:tabs>
              <w:ind w:right="607"/>
            </w:pPr>
          </w:p>
        </w:tc>
        <w:tc>
          <w:tcPr>
            <w:tcW w:w="6898" w:type="dxa"/>
            <w:gridSpan w:val="5"/>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keepNext/>
              <w:shd w:val="clear" w:color="auto" w:fill="FFFFFF"/>
              <w:tabs>
                <w:tab w:val="left" w:pos="567"/>
              </w:tabs>
              <w:ind w:right="607"/>
              <w:jc w:val="center"/>
            </w:pPr>
            <w:r w:rsidRPr="00FB065A">
              <w:rPr>
                <w:color w:val="000000"/>
                <w:spacing w:val="2"/>
              </w:rPr>
              <w:t>Antal (%) patienter</w:t>
            </w:r>
          </w:p>
        </w:tc>
      </w:tr>
      <w:tr w:rsidR="00A06F90" w:rsidRPr="00A06F90" w:rsidTr="008877D7">
        <w:trPr>
          <w:trHeight w:hRule="exact" w:val="1115"/>
        </w:trPr>
        <w:tc>
          <w:tcPr>
            <w:tcW w:w="2886" w:type="dxa"/>
            <w:gridSpan w:val="2"/>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pPr>
          </w:p>
        </w:tc>
        <w:tc>
          <w:tcPr>
            <w:tcW w:w="3093" w:type="dxa"/>
            <w:gridSpan w:val="3"/>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tabs>
                <w:tab w:val="left" w:pos="567"/>
              </w:tabs>
              <w:ind w:right="605"/>
              <w:jc w:val="center"/>
            </w:pPr>
            <w:r w:rsidRPr="00FB065A">
              <w:t>MVAC (</w:t>
            </w:r>
            <w:proofErr w:type="spellStart"/>
            <w:r w:rsidRPr="00FB065A">
              <w:t>methotrexat</w:t>
            </w:r>
            <w:proofErr w:type="spellEnd"/>
            <w:r w:rsidRPr="00FB065A">
              <w:t xml:space="preserve">, </w:t>
            </w:r>
            <w:proofErr w:type="spellStart"/>
            <w:r w:rsidRPr="00FB065A">
              <w:t>vinblastin</w:t>
            </w:r>
            <w:proofErr w:type="spellEnd"/>
            <w:r w:rsidRPr="00FB065A">
              <w:t xml:space="preserve">, </w:t>
            </w:r>
            <w:proofErr w:type="spellStart"/>
            <w:r w:rsidRPr="00FB065A">
              <w:t>doxorubicin</w:t>
            </w:r>
            <w:proofErr w:type="spellEnd"/>
            <w:r w:rsidRPr="00FB065A">
              <w:t xml:space="preserve"> og </w:t>
            </w:r>
            <w:proofErr w:type="spellStart"/>
            <w:r w:rsidRPr="00FB065A">
              <w:t>cisplatin</w:t>
            </w:r>
            <w:proofErr w:type="spellEnd"/>
            <w:r w:rsidRPr="00FB065A">
              <w:t>) arm (N=196)</w:t>
            </w:r>
          </w:p>
        </w:tc>
        <w:tc>
          <w:tcPr>
            <w:tcW w:w="3805" w:type="dxa"/>
            <w:gridSpan w:val="2"/>
            <w:tcBorders>
              <w:top w:val="single" w:sz="6" w:space="0" w:color="auto"/>
              <w:left w:val="single" w:sz="6" w:space="0" w:color="auto"/>
              <w:bottom w:val="single" w:sz="6" w:space="0" w:color="auto"/>
              <w:right w:val="single" w:sz="6" w:space="0" w:color="auto"/>
            </w:tcBorders>
            <w:shd w:val="clear" w:color="auto" w:fill="FFFFFF"/>
          </w:tcPr>
          <w:p w:rsidR="00A06F90" w:rsidRPr="00E70C4E" w:rsidRDefault="00A06F90" w:rsidP="008877D7">
            <w:pPr>
              <w:tabs>
                <w:tab w:val="left" w:pos="567"/>
              </w:tabs>
              <w:ind w:right="605"/>
              <w:jc w:val="center"/>
              <w:rPr>
                <w:lang w:val="en-US"/>
              </w:rPr>
            </w:pPr>
            <w:proofErr w:type="spellStart"/>
            <w:r w:rsidRPr="00E70C4E">
              <w:rPr>
                <w:lang w:val="en-US"/>
              </w:rPr>
              <w:t>Gemcitabin</w:t>
            </w:r>
            <w:proofErr w:type="spellEnd"/>
            <w:r w:rsidRPr="00E70C4E">
              <w:rPr>
                <w:lang w:val="en-US"/>
              </w:rPr>
              <w:t xml:space="preserve"> plus cisplatin arm</w:t>
            </w:r>
          </w:p>
          <w:p w:rsidR="00A06F90" w:rsidRPr="00E70C4E" w:rsidRDefault="00A06F90" w:rsidP="008877D7">
            <w:pPr>
              <w:tabs>
                <w:tab w:val="left" w:pos="567"/>
              </w:tabs>
              <w:ind w:right="605"/>
              <w:jc w:val="center"/>
              <w:rPr>
                <w:lang w:val="en-US"/>
              </w:rPr>
            </w:pPr>
            <w:r w:rsidRPr="00E70C4E">
              <w:rPr>
                <w:lang w:val="en-US"/>
              </w:rPr>
              <w:t>(N=200)</w:t>
            </w:r>
          </w:p>
        </w:tc>
      </w:tr>
      <w:tr w:rsidR="00A06F90" w:rsidRPr="00FB065A" w:rsidTr="008877D7">
        <w:trPr>
          <w:trHeight w:hRule="exact" w:val="269"/>
        </w:trPr>
        <w:tc>
          <w:tcPr>
            <w:tcW w:w="2886" w:type="dxa"/>
            <w:gridSpan w:val="2"/>
            <w:tcBorders>
              <w:top w:val="single" w:sz="6" w:space="0" w:color="auto"/>
              <w:left w:val="single" w:sz="6" w:space="0" w:color="auto"/>
              <w:bottom w:val="single" w:sz="6" w:space="0" w:color="auto"/>
              <w:right w:val="single" w:sz="6" w:space="0" w:color="auto"/>
            </w:tcBorders>
            <w:shd w:val="clear" w:color="auto" w:fill="FFFFFF"/>
          </w:tcPr>
          <w:p w:rsidR="00A06F90" w:rsidRPr="00E70C4E" w:rsidRDefault="00A06F90" w:rsidP="008877D7">
            <w:pPr>
              <w:shd w:val="clear" w:color="auto" w:fill="FFFFFF"/>
              <w:tabs>
                <w:tab w:val="left" w:pos="567"/>
              </w:tabs>
              <w:ind w:right="605"/>
              <w:rPr>
                <w:lang w:val="en-US"/>
              </w:rPr>
            </w:pP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spacing w:val="-1"/>
              </w:rPr>
              <w:t>Grad 3</w:t>
            </w:r>
          </w:p>
        </w:tc>
        <w:tc>
          <w:tcPr>
            <w:tcW w:w="1676"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spacing w:val="1"/>
              </w:rPr>
              <w:t>Grad 4</w:t>
            </w: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spacing w:val="-1"/>
              </w:rPr>
              <w:t>Grad 3</w:t>
            </w:r>
          </w:p>
        </w:tc>
        <w:tc>
          <w:tcPr>
            <w:tcW w:w="1943"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rPr>
              <w:t>Grad 4</w:t>
            </w:r>
          </w:p>
        </w:tc>
      </w:tr>
      <w:tr w:rsidR="00A06F90" w:rsidRPr="00DC3AD0" w:rsidTr="008877D7">
        <w:trPr>
          <w:trHeight w:hRule="exact" w:val="259"/>
        </w:trPr>
        <w:tc>
          <w:tcPr>
            <w:tcW w:w="2886" w:type="dxa"/>
            <w:gridSpan w:val="2"/>
            <w:tcBorders>
              <w:top w:val="single" w:sz="6" w:space="0" w:color="auto"/>
              <w:left w:val="single" w:sz="6" w:space="0" w:color="auto"/>
              <w:bottom w:val="single" w:sz="6" w:space="0" w:color="auto"/>
              <w:right w:val="single" w:sz="6" w:space="0" w:color="auto"/>
            </w:tcBorders>
            <w:shd w:val="clear" w:color="auto" w:fill="FFFFFF"/>
          </w:tcPr>
          <w:p w:rsidR="00A06F90" w:rsidRPr="00DC3AD0" w:rsidRDefault="00A06F90" w:rsidP="008877D7">
            <w:pPr>
              <w:tabs>
                <w:tab w:val="left" w:pos="567"/>
              </w:tabs>
              <w:ind w:left="54" w:right="605"/>
              <w:rPr>
                <w:i/>
              </w:rPr>
            </w:pPr>
            <w:r w:rsidRPr="00DC3AD0">
              <w:rPr>
                <w:i/>
              </w:rPr>
              <w:t>Laboratorieværdier</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A06F90" w:rsidRPr="00DC3AD0" w:rsidRDefault="00A06F90" w:rsidP="008877D7">
            <w:pPr>
              <w:shd w:val="clear" w:color="auto" w:fill="FFFFFF"/>
              <w:tabs>
                <w:tab w:val="left" w:pos="567"/>
              </w:tabs>
              <w:ind w:right="605"/>
              <w:rPr>
                <w:i/>
              </w:rPr>
            </w:pPr>
          </w:p>
        </w:tc>
        <w:tc>
          <w:tcPr>
            <w:tcW w:w="1676" w:type="dxa"/>
            <w:tcBorders>
              <w:top w:val="single" w:sz="6" w:space="0" w:color="auto"/>
              <w:left w:val="single" w:sz="6" w:space="0" w:color="auto"/>
              <w:bottom w:val="single" w:sz="6" w:space="0" w:color="auto"/>
              <w:right w:val="single" w:sz="6" w:space="0" w:color="auto"/>
            </w:tcBorders>
            <w:shd w:val="clear" w:color="auto" w:fill="FFFFFF"/>
          </w:tcPr>
          <w:p w:rsidR="00A06F90" w:rsidRPr="00DC3AD0" w:rsidRDefault="00A06F90" w:rsidP="008877D7">
            <w:pPr>
              <w:shd w:val="clear" w:color="auto" w:fill="FFFFFF"/>
              <w:tabs>
                <w:tab w:val="left" w:pos="567"/>
              </w:tabs>
              <w:ind w:right="605"/>
              <w:rPr>
                <w:i/>
              </w:rPr>
            </w:pP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A06F90" w:rsidRPr="00DC3AD0" w:rsidRDefault="00A06F90" w:rsidP="008877D7">
            <w:pPr>
              <w:shd w:val="clear" w:color="auto" w:fill="FFFFFF"/>
              <w:tabs>
                <w:tab w:val="left" w:pos="567"/>
              </w:tabs>
              <w:ind w:right="605"/>
              <w:rPr>
                <w:i/>
              </w:rPr>
            </w:pPr>
          </w:p>
        </w:tc>
        <w:tc>
          <w:tcPr>
            <w:tcW w:w="1943" w:type="dxa"/>
            <w:tcBorders>
              <w:top w:val="single" w:sz="6" w:space="0" w:color="auto"/>
              <w:left w:val="single" w:sz="6" w:space="0" w:color="auto"/>
              <w:bottom w:val="single" w:sz="6" w:space="0" w:color="auto"/>
              <w:right w:val="single" w:sz="6" w:space="0" w:color="auto"/>
            </w:tcBorders>
            <w:shd w:val="clear" w:color="auto" w:fill="FFFFFF"/>
          </w:tcPr>
          <w:p w:rsidR="00A06F90" w:rsidRPr="00DC3AD0" w:rsidRDefault="00A06F90" w:rsidP="008877D7">
            <w:pPr>
              <w:shd w:val="clear" w:color="auto" w:fill="FFFFFF"/>
              <w:tabs>
                <w:tab w:val="left" w:pos="567"/>
              </w:tabs>
              <w:ind w:right="605"/>
              <w:rPr>
                <w:i/>
              </w:rPr>
            </w:pPr>
          </w:p>
        </w:tc>
      </w:tr>
      <w:tr w:rsidR="00A06F90" w:rsidRPr="00FB065A" w:rsidTr="008877D7">
        <w:trPr>
          <w:trHeight w:hRule="exact" w:val="259"/>
        </w:trPr>
        <w:tc>
          <w:tcPr>
            <w:tcW w:w="2886" w:type="dxa"/>
            <w:gridSpan w:val="2"/>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tabs>
                <w:tab w:val="left" w:pos="567"/>
              </w:tabs>
              <w:ind w:left="54" w:right="605"/>
            </w:pPr>
            <w:r w:rsidRPr="00FB065A">
              <w:t>Anæmi</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rPr>
              <w:t>30 (16)</w:t>
            </w:r>
          </w:p>
        </w:tc>
        <w:tc>
          <w:tcPr>
            <w:tcW w:w="1676"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rPr>
              <w:t>4 (2)</w:t>
            </w: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spacing w:val="1"/>
              </w:rPr>
              <w:t>47 (24)</w:t>
            </w:r>
          </w:p>
        </w:tc>
        <w:tc>
          <w:tcPr>
            <w:tcW w:w="1943"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spacing w:val="-1"/>
              </w:rPr>
              <w:t>7 (4)</w:t>
            </w:r>
          </w:p>
        </w:tc>
      </w:tr>
      <w:tr w:rsidR="00A06F90" w:rsidRPr="00FB065A" w:rsidTr="008877D7">
        <w:trPr>
          <w:trHeight w:hRule="exact" w:val="269"/>
        </w:trPr>
        <w:tc>
          <w:tcPr>
            <w:tcW w:w="2886" w:type="dxa"/>
            <w:gridSpan w:val="2"/>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tabs>
                <w:tab w:val="left" w:pos="567"/>
              </w:tabs>
              <w:ind w:left="54" w:right="605"/>
            </w:pPr>
            <w:proofErr w:type="spellStart"/>
            <w:r w:rsidRPr="00FB065A">
              <w:t>Trombocytopeni</w:t>
            </w:r>
            <w:proofErr w:type="spellEnd"/>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spacing w:val="-5"/>
              </w:rPr>
              <w:t>15 (8)</w:t>
            </w:r>
          </w:p>
        </w:tc>
        <w:tc>
          <w:tcPr>
            <w:tcW w:w="1676"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spacing w:val="1"/>
              </w:rPr>
              <w:t>25 (13)</w:t>
            </w: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rPr>
              <w:t>57 (29)</w:t>
            </w:r>
          </w:p>
        </w:tc>
        <w:tc>
          <w:tcPr>
            <w:tcW w:w="1943"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spacing w:val="1"/>
              </w:rPr>
              <w:t>57 (29)</w:t>
            </w:r>
          </w:p>
        </w:tc>
      </w:tr>
      <w:tr w:rsidR="00A06F90" w:rsidRPr="00DC3AD0" w:rsidTr="008877D7">
        <w:trPr>
          <w:trHeight w:hRule="exact" w:val="509"/>
        </w:trPr>
        <w:tc>
          <w:tcPr>
            <w:tcW w:w="2886" w:type="dxa"/>
            <w:gridSpan w:val="2"/>
            <w:tcBorders>
              <w:top w:val="single" w:sz="6" w:space="0" w:color="auto"/>
              <w:left w:val="single" w:sz="6" w:space="0" w:color="auto"/>
              <w:bottom w:val="single" w:sz="6" w:space="0" w:color="auto"/>
              <w:right w:val="single" w:sz="6" w:space="0" w:color="auto"/>
            </w:tcBorders>
            <w:shd w:val="clear" w:color="auto" w:fill="FFFFFF"/>
          </w:tcPr>
          <w:p w:rsidR="00A06F90" w:rsidRPr="00DC3AD0" w:rsidRDefault="00A06F90" w:rsidP="008877D7">
            <w:pPr>
              <w:tabs>
                <w:tab w:val="left" w:pos="567"/>
              </w:tabs>
              <w:ind w:left="54" w:right="605"/>
              <w:rPr>
                <w:i/>
              </w:rPr>
            </w:pPr>
            <w:r w:rsidRPr="00DC3AD0">
              <w:rPr>
                <w:i/>
              </w:rPr>
              <w:t>Ikke-laboratorieværdier</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A06F90" w:rsidRPr="00DC3AD0" w:rsidRDefault="00A06F90" w:rsidP="008877D7">
            <w:pPr>
              <w:shd w:val="clear" w:color="auto" w:fill="FFFFFF"/>
              <w:tabs>
                <w:tab w:val="left" w:pos="567"/>
              </w:tabs>
              <w:ind w:right="605"/>
              <w:rPr>
                <w:i/>
              </w:rPr>
            </w:pPr>
          </w:p>
        </w:tc>
        <w:tc>
          <w:tcPr>
            <w:tcW w:w="1676" w:type="dxa"/>
            <w:tcBorders>
              <w:top w:val="single" w:sz="6" w:space="0" w:color="auto"/>
              <w:left w:val="single" w:sz="6" w:space="0" w:color="auto"/>
              <w:bottom w:val="single" w:sz="6" w:space="0" w:color="auto"/>
              <w:right w:val="single" w:sz="6" w:space="0" w:color="auto"/>
            </w:tcBorders>
            <w:shd w:val="clear" w:color="auto" w:fill="FFFFFF"/>
          </w:tcPr>
          <w:p w:rsidR="00A06F90" w:rsidRPr="00DC3AD0" w:rsidRDefault="00A06F90" w:rsidP="008877D7">
            <w:pPr>
              <w:shd w:val="clear" w:color="auto" w:fill="FFFFFF"/>
              <w:tabs>
                <w:tab w:val="left" w:pos="567"/>
              </w:tabs>
              <w:ind w:right="605"/>
              <w:rPr>
                <w:i/>
              </w:rPr>
            </w:pP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A06F90" w:rsidRPr="00DC3AD0" w:rsidRDefault="00A06F90" w:rsidP="008877D7">
            <w:pPr>
              <w:shd w:val="clear" w:color="auto" w:fill="FFFFFF"/>
              <w:tabs>
                <w:tab w:val="left" w:pos="567"/>
              </w:tabs>
              <w:ind w:right="605"/>
              <w:rPr>
                <w:i/>
              </w:rPr>
            </w:pPr>
          </w:p>
        </w:tc>
        <w:tc>
          <w:tcPr>
            <w:tcW w:w="1943" w:type="dxa"/>
            <w:tcBorders>
              <w:top w:val="single" w:sz="6" w:space="0" w:color="auto"/>
              <w:left w:val="single" w:sz="6" w:space="0" w:color="auto"/>
              <w:bottom w:val="single" w:sz="6" w:space="0" w:color="auto"/>
              <w:right w:val="single" w:sz="6" w:space="0" w:color="auto"/>
            </w:tcBorders>
            <w:shd w:val="clear" w:color="auto" w:fill="FFFFFF"/>
          </w:tcPr>
          <w:p w:rsidR="00A06F90" w:rsidRPr="00DC3AD0" w:rsidRDefault="00A06F90" w:rsidP="008877D7">
            <w:pPr>
              <w:shd w:val="clear" w:color="auto" w:fill="FFFFFF"/>
              <w:tabs>
                <w:tab w:val="left" w:pos="567"/>
              </w:tabs>
              <w:ind w:right="605"/>
              <w:rPr>
                <w:i/>
              </w:rPr>
            </w:pPr>
          </w:p>
        </w:tc>
      </w:tr>
      <w:tr w:rsidR="00A06F90" w:rsidRPr="00FB065A" w:rsidTr="008877D7">
        <w:trPr>
          <w:trHeight w:hRule="exact" w:val="336"/>
        </w:trPr>
        <w:tc>
          <w:tcPr>
            <w:tcW w:w="2886" w:type="dxa"/>
            <w:gridSpan w:val="2"/>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tabs>
                <w:tab w:val="left" w:pos="567"/>
              </w:tabs>
              <w:ind w:left="54" w:right="150"/>
            </w:pPr>
            <w:r w:rsidRPr="00FB065A">
              <w:t>Kvalme</w:t>
            </w:r>
            <w:r>
              <w:t xml:space="preserve"> og o</w:t>
            </w:r>
            <w:r w:rsidRPr="00FB065A">
              <w:t>pkastning</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rPr>
              <w:t>37 (19)</w:t>
            </w:r>
          </w:p>
        </w:tc>
        <w:tc>
          <w:tcPr>
            <w:tcW w:w="1676"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spacing w:val="-1"/>
              </w:rPr>
              <w:t>3 (2)</w:t>
            </w: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spacing w:val="1"/>
              </w:rPr>
              <w:t>44 (22)</w:t>
            </w:r>
          </w:p>
        </w:tc>
        <w:tc>
          <w:tcPr>
            <w:tcW w:w="1943"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spacing w:val="-1"/>
              </w:rPr>
              <w:t>0 (0)</w:t>
            </w:r>
          </w:p>
        </w:tc>
      </w:tr>
      <w:tr w:rsidR="00A06F90" w:rsidRPr="00FB065A" w:rsidTr="008877D7">
        <w:trPr>
          <w:trHeight w:hRule="exact" w:val="269"/>
        </w:trPr>
        <w:tc>
          <w:tcPr>
            <w:tcW w:w="2886" w:type="dxa"/>
            <w:gridSpan w:val="2"/>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tabs>
                <w:tab w:val="left" w:pos="567"/>
              </w:tabs>
              <w:ind w:left="54" w:right="605"/>
            </w:pPr>
            <w:r w:rsidRPr="00FB065A">
              <w:t>Diarré</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spacing w:val="-4"/>
              </w:rPr>
              <w:t>15 (8)</w:t>
            </w:r>
          </w:p>
        </w:tc>
        <w:tc>
          <w:tcPr>
            <w:tcW w:w="1676"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spacing w:val="-6"/>
              </w:rPr>
              <w:t>1 (1)</w:t>
            </w: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spacing w:val="-1"/>
              </w:rPr>
              <w:t>6 (3)</w:t>
            </w:r>
          </w:p>
        </w:tc>
        <w:tc>
          <w:tcPr>
            <w:tcW w:w="1943"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spacing w:val="-1"/>
              </w:rPr>
              <w:t>0 (0)</w:t>
            </w:r>
          </w:p>
        </w:tc>
      </w:tr>
      <w:tr w:rsidR="00A06F90" w:rsidRPr="00FB065A" w:rsidTr="008877D7">
        <w:trPr>
          <w:trHeight w:hRule="exact" w:val="259"/>
        </w:trPr>
        <w:tc>
          <w:tcPr>
            <w:tcW w:w="2886" w:type="dxa"/>
            <w:gridSpan w:val="2"/>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tabs>
                <w:tab w:val="left" w:pos="567"/>
              </w:tabs>
              <w:ind w:left="54" w:right="605"/>
            </w:pPr>
            <w:r w:rsidRPr="00FB065A">
              <w:t>Infektion</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spacing w:val="-3"/>
              </w:rPr>
              <w:t>19 (10)</w:t>
            </w:r>
          </w:p>
        </w:tc>
        <w:tc>
          <w:tcPr>
            <w:tcW w:w="1676"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spacing w:val="-4"/>
              </w:rPr>
              <w:t>10 (5)</w:t>
            </w: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rPr>
              <w:t>4 (2)</w:t>
            </w:r>
          </w:p>
        </w:tc>
        <w:tc>
          <w:tcPr>
            <w:tcW w:w="1943"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spacing w:val="-6"/>
              </w:rPr>
              <w:t>1 (1)</w:t>
            </w:r>
          </w:p>
        </w:tc>
      </w:tr>
      <w:tr w:rsidR="00A06F90" w:rsidRPr="00FB065A" w:rsidTr="008877D7">
        <w:trPr>
          <w:trHeight w:hRule="exact" w:val="259"/>
        </w:trPr>
        <w:tc>
          <w:tcPr>
            <w:tcW w:w="2886" w:type="dxa"/>
            <w:gridSpan w:val="2"/>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tabs>
                <w:tab w:val="left" w:pos="567"/>
              </w:tabs>
              <w:ind w:left="54" w:right="605"/>
            </w:pPr>
            <w:proofErr w:type="spellStart"/>
            <w:r w:rsidRPr="00FB065A">
              <w:t>Stomatitis</w:t>
            </w:r>
            <w:proofErr w:type="spellEnd"/>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rPr>
              <w:t>34 (18)</w:t>
            </w:r>
          </w:p>
        </w:tc>
        <w:tc>
          <w:tcPr>
            <w:tcW w:w="1676"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spacing w:val="-3"/>
              </w:rPr>
              <w:t>8 (4)</w:t>
            </w: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rPr>
              <w:t>2 (1)</w:t>
            </w:r>
          </w:p>
        </w:tc>
        <w:tc>
          <w:tcPr>
            <w:tcW w:w="1943"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spacing w:val="-1"/>
              </w:rPr>
              <w:t>0 (0)</w:t>
            </w:r>
          </w:p>
        </w:tc>
      </w:tr>
      <w:tr w:rsidR="00A06F90" w:rsidRPr="00FB065A" w:rsidTr="008877D7">
        <w:trPr>
          <w:trHeight w:hRule="exact" w:val="768"/>
        </w:trPr>
        <w:tc>
          <w:tcPr>
            <w:tcW w:w="9784" w:type="dxa"/>
            <w:gridSpan w:val="7"/>
            <w:tcBorders>
              <w:top w:val="single" w:sz="6" w:space="0" w:color="auto"/>
              <w:left w:val="nil"/>
              <w:bottom w:val="single" w:sz="6" w:space="0" w:color="auto"/>
              <w:right w:val="nil"/>
            </w:tcBorders>
            <w:shd w:val="clear" w:color="auto" w:fill="FFFFFF"/>
          </w:tcPr>
          <w:p w:rsidR="00A06F90" w:rsidRPr="00FB065A" w:rsidRDefault="00A06F90" w:rsidP="008877D7">
            <w:pPr>
              <w:shd w:val="clear" w:color="auto" w:fill="FFFFFF"/>
              <w:tabs>
                <w:tab w:val="left" w:pos="567"/>
              </w:tabs>
              <w:ind w:right="605"/>
              <w:rPr>
                <w:iCs/>
                <w:color w:val="000000"/>
                <w:spacing w:val="3"/>
              </w:rPr>
            </w:pPr>
          </w:p>
          <w:p w:rsidR="00A06F90" w:rsidRPr="00FB6A3D" w:rsidRDefault="00A06F90" w:rsidP="008877D7">
            <w:pPr>
              <w:shd w:val="clear" w:color="auto" w:fill="FFFFFF"/>
              <w:tabs>
                <w:tab w:val="left" w:pos="811"/>
              </w:tabs>
              <w:ind w:right="605"/>
              <w:rPr>
                <w:u w:val="single"/>
              </w:rPr>
            </w:pPr>
            <w:r>
              <w:rPr>
                <w:i/>
                <w:iCs/>
                <w:color w:val="000000"/>
                <w:spacing w:val="3"/>
              </w:rPr>
              <w:tab/>
            </w:r>
            <w:r w:rsidRPr="00FB6A3D">
              <w:rPr>
                <w:iCs/>
                <w:color w:val="000000"/>
                <w:spacing w:val="3"/>
                <w:u w:val="single"/>
              </w:rPr>
              <w:t>Kombinationsbehandling ved ovariecancer</w:t>
            </w:r>
          </w:p>
        </w:tc>
      </w:tr>
      <w:tr w:rsidR="00A06F90" w:rsidRPr="00FB065A" w:rsidTr="008877D7">
        <w:trPr>
          <w:trHeight w:hRule="exact" w:val="605"/>
        </w:trPr>
        <w:tc>
          <w:tcPr>
            <w:tcW w:w="9784" w:type="dxa"/>
            <w:gridSpan w:val="7"/>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spacing w:line="250" w:lineRule="exact"/>
              <w:ind w:left="2626" w:right="605"/>
              <w:jc w:val="center"/>
              <w:rPr>
                <w:color w:val="000000"/>
                <w:spacing w:val="3"/>
              </w:rPr>
            </w:pPr>
            <w:r w:rsidRPr="00FB065A">
              <w:rPr>
                <w:color w:val="000000"/>
                <w:spacing w:val="3"/>
              </w:rPr>
              <w:t>Grad 3 og 4 bivirkninger</w:t>
            </w:r>
          </w:p>
          <w:p w:rsidR="00A06F90" w:rsidRPr="00FB065A" w:rsidRDefault="00A06F90" w:rsidP="008877D7">
            <w:pPr>
              <w:shd w:val="clear" w:color="auto" w:fill="FFFFFF"/>
              <w:tabs>
                <w:tab w:val="left" w:pos="567"/>
              </w:tabs>
              <w:spacing w:line="250" w:lineRule="exact"/>
              <w:ind w:left="2626" w:right="605"/>
              <w:jc w:val="center"/>
            </w:pPr>
            <w:proofErr w:type="spellStart"/>
            <w:r w:rsidRPr="00FB065A">
              <w:rPr>
                <w:color w:val="000000"/>
                <w:spacing w:val="2"/>
              </w:rPr>
              <w:t>Carboplatin</w:t>
            </w:r>
            <w:proofErr w:type="spellEnd"/>
            <w:r w:rsidRPr="00FB065A">
              <w:rPr>
                <w:color w:val="000000"/>
                <w:spacing w:val="2"/>
              </w:rPr>
              <w:t xml:space="preserve"> versus </w:t>
            </w:r>
            <w:proofErr w:type="spellStart"/>
            <w:r w:rsidRPr="00FB065A">
              <w:rPr>
                <w:color w:val="000000"/>
                <w:spacing w:val="2"/>
              </w:rPr>
              <w:t>gemcitabin</w:t>
            </w:r>
            <w:proofErr w:type="spellEnd"/>
            <w:r w:rsidRPr="00FB065A">
              <w:rPr>
                <w:color w:val="000000"/>
                <w:spacing w:val="2"/>
              </w:rPr>
              <w:t xml:space="preserve"> plus </w:t>
            </w:r>
            <w:proofErr w:type="spellStart"/>
            <w:r w:rsidRPr="00FB065A">
              <w:rPr>
                <w:color w:val="000000"/>
                <w:spacing w:val="2"/>
              </w:rPr>
              <w:t>carboplatin</w:t>
            </w:r>
            <w:proofErr w:type="spellEnd"/>
          </w:p>
        </w:tc>
      </w:tr>
      <w:tr w:rsidR="00A06F90" w:rsidRPr="00FB065A" w:rsidTr="008877D7">
        <w:trPr>
          <w:trHeight w:hRule="exact" w:val="259"/>
        </w:trPr>
        <w:tc>
          <w:tcPr>
            <w:tcW w:w="2504"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pPr>
          </w:p>
        </w:tc>
        <w:tc>
          <w:tcPr>
            <w:tcW w:w="7280" w:type="dxa"/>
            <w:gridSpan w:val="6"/>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spacing w:val="5"/>
              </w:rPr>
              <w:t>Antal (%) patienter</w:t>
            </w:r>
          </w:p>
        </w:tc>
      </w:tr>
      <w:tr w:rsidR="00A06F90" w:rsidRPr="009D7439" w:rsidTr="008877D7">
        <w:trPr>
          <w:trHeight w:hRule="exact" w:val="518"/>
        </w:trPr>
        <w:tc>
          <w:tcPr>
            <w:tcW w:w="2504"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pPr>
          </w:p>
        </w:tc>
        <w:tc>
          <w:tcPr>
            <w:tcW w:w="3475" w:type="dxa"/>
            <w:gridSpan w:val="4"/>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proofErr w:type="spellStart"/>
            <w:r w:rsidRPr="00FB065A">
              <w:rPr>
                <w:color w:val="000000"/>
                <w:spacing w:val="2"/>
              </w:rPr>
              <w:t>Carboplatin</w:t>
            </w:r>
            <w:proofErr w:type="spellEnd"/>
            <w:r w:rsidRPr="00FB065A">
              <w:rPr>
                <w:color w:val="000000"/>
                <w:spacing w:val="2"/>
              </w:rPr>
              <w:t xml:space="preserve"> arm</w:t>
            </w:r>
          </w:p>
          <w:p w:rsidR="00A06F90" w:rsidRPr="00FB065A" w:rsidRDefault="00A06F90" w:rsidP="008877D7">
            <w:pPr>
              <w:shd w:val="clear" w:color="auto" w:fill="FFFFFF"/>
              <w:tabs>
                <w:tab w:val="left" w:pos="567"/>
              </w:tabs>
              <w:ind w:right="605"/>
              <w:jc w:val="center"/>
            </w:pPr>
            <w:r w:rsidRPr="00FB065A">
              <w:rPr>
                <w:color w:val="000000"/>
                <w:spacing w:val="1"/>
              </w:rPr>
              <w:t>(N=174)</w:t>
            </w:r>
          </w:p>
        </w:tc>
        <w:tc>
          <w:tcPr>
            <w:tcW w:w="3805" w:type="dxa"/>
            <w:gridSpan w:val="2"/>
            <w:tcBorders>
              <w:top w:val="single" w:sz="6" w:space="0" w:color="auto"/>
              <w:left w:val="single" w:sz="6" w:space="0" w:color="auto"/>
              <w:bottom w:val="single" w:sz="6" w:space="0" w:color="auto"/>
              <w:right w:val="single" w:sz="6" w:space="0" w:color="auto"/>
            </w:tcBorders>
            <w:shd w:val="clear" w:color="auto" w:fill="FFFFFF"/>
          </w:tcPr>
          <w:p w:rsidR="00A06F90" w:rsidRDefault="00A06F90" w:rsidP="008877D7">
            <w:pPr>
              <w:shd w:val="clear" w:color="auto" w:fill="FFFFFF"/>
              <w:tabs>
                <w:tab w:val="left" w:pos="567"/>
              </w:tabs>
              <w:ind w:right="605"/>
              <w:jc w:val="center"/>
              <w:rPr>
                <w:color w:val="000000"/>
                <w:spacing w:val="2"/>
                <w:lang w:val="en-US"/>
              </w:rPr>
            </w:pPr>
            <w:proofErr w:type="spellStart"/>
            <w:r w:rsidRPr="00142CD7">
              <w:rPr>
                <w:color w:val="000000"/>
                <w:spacing w:val="2"/>
                <w:lang w:val="en-US"/>
              </w:rPr>
              <w:t>Gemcitabin</w:t>
            </w:r>
            <w:proofErr w:type="spellEnd"/>
            <w:r w:rsidRPr="00142CD7">
              <w:rPr>
                <w:color w:val="000000"/>
                <w:spacing w:val="2"/>
                <w:lang w:val="en-US"/>
              </w:rPr>
              <w:t xml:space="preserve"> plus carboplatin arm</w:t>
            </w:r>
          </w:p>
          <w:p w:rsidR="00A06F90" w:rsidRDefault="00A06F90" w:rsidP="008877D7">
            <w:pPr>
              <w:shd w:val="clear" w:color="auto" w:fill="FFFFFF"/>
              <w:tabs>
                <w:tab w:val="left" w:pos="567"/>
              </w:tabs>
              <w:ind w:right="605"/>
              <w:jc w:val="center"/>
              <w:rPr>
                <w:color w:val="000000"/>
                <w:spacing w:val="2"/>
                <w:lang w:val="en-US"/>
              </w:rPr>
            </w:pPr>
            <w:r>
              <w:rPr>
                <w:color w:val="000000"/>
                <w:spacing w:val="2"/>
                <w:lang w:val="en-US"/>
              </w:rPr>
              <w:t>(N=175)</w:t>
            </w:r>
          </w:p>
          <w:p w:rsidR="00A06F90" w:rsidRPr="00142CD7" w:rsidRDefault="00A06F90" w:rsidP="008877D7">
            <w:pPr>
              <w:shd w:val="clear" w:color="auto" w:fill="FFFFFF"/>
              <w:tabs>
                <w:tab w:val="left" w:pos="567"/>
              </w:tabs>
              <w:ind w:right="605"/>
              <w:rPr>
                <w:lang w:val="en-US"/>
              </w:rPr>
            </w:pPr>
          </w:p>
          <w:p w:rsidR="00A06F90" w:rsidRPr="00E70C4E" w:rsidRDefault="00A06F90" w:rsidP="008877D7">
            <w:pPr>
              <w:shd w:val="clear" w:color="auto" w:fill="FFFFFF"/>
              <w:tabs>
                <w:tab w:val="left" w:pos="567"/>
              </w:tabs>
              <w:ind w:right="605"/>
              <w:jc w:val="center"/>
              <w:rPr>
                <w:lang w:val="en-US"/>
              </w:rPr>
            </w:pPr>
            <w:r w:rsidRPr="00E70C4E">
              <w:rPr>
                <w:color w:val="000000"/>
                <w:spacing w:val="2"/>
                <w:lang w:val="en-US"/>
              </w:rPr>
              <w:t>(N=175)</w:t>
            </w:r>
          </w:p>
        </w:tc>
      </w:tr>
      <w:tr w:rsidR="00A06F90" w:rsidRPr="00FB065A" w:rsidTr="008877D7">
        <w:trPr>
          <w:trHeight w:hRule="exact" w:val="269"/>
        </w:trPr>
        <w:tc>
          <w:tcPr>
            <w:tcW w:w="2504" w:type="dxa"/>
            <w:tcBorders>
              <w:top w:val="single" w:sz="6" w:space="0" w:color="auto"/>
              <w:left w:val="single" w:sz="6" w:space="0" w:color="auto"/>
              <w:bottom w:val="single" w:sz="6" w:space="0" w:color="auto"/>
              <w:right w:val="single" w:sz="6" w:space="0" w:color="auto"/>
            </w:tcBorders>
            <w:shd w:val="clear" w:color="auto" w:fill="FFFFFF"/>
          </w:tcPr>
          <w:p w:rsidR="00A06F90" w:rsidRPr="00E70C4E" w:rsidRDefault="00A06F90" w:rsidP="008877D7">
            <w:pPr>
              <w:shd w:val="clear" w:color="auto" w:fill="FFFFFF"/>
              <w:tabs>
                <w:tab w:val="left" w:pos="567"/>
              </w:tabs>
              <w:ind w:right="605"/>
              <w:rPr>
                <w:lang w:val="en-US"/>
              </w:rPr>
            </w:pPr>
          </w:p>
        </w:tc>
        <w:tc>
          <w:tcPr>
            <w:tcW w:w="1613" w:type="dxa"/>
            <w:gridSpan w:val="2"/>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spacing w:val="-1"/>
              </w:rPr>
              <w:t>Grad 3</w:t>
            </w:r>
          </w:p>
        </w:tc>
        <w:tc>
          <w:tcPr>
            <w:tcW w:w="1862" w:type="dxa"/>
            <w:gridSpan w:val="2"/>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spacing w:val="1"/>
              </w:rPr>
              <w:t>Grad 4</w:t>
            </w: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spacing w:val="-1"/>
              </w:rPr>
              <w:t>Grad 3</w:t>
            </w:r>
          </w:p>
        </w:tc>
        <w:tc>
          <w:tcPr>
            <w:tcW w:w="1943"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rPr>
              <w:t>Grad 4</w:t>
            </w:r>
          </w:p>
        </w:tc>
      </w:tr>
      <w:tr w:rsidR="00A06F90" w:rsidRPr="00527A61" w:rsidTr="008877D7">
        <w:trPr>
          <w:trHeight w:hRule="exact" w:val="259"/>
        </w:trPr>
        <w:tc>
          <w:tcPr>
            <w:tcW w:w="2504" w:type="dxa"/>
            <w:tcBorders>
              <w:top w:val="single" w:sz="6" w:space="0" w:color="auto"/>
              <w:left w:val="single" w:sz="6" w:space="0" w:color="auto"/>
              <w:bottom w:val="single" w:sz="6" w:space="0" w:color="auto"/>
              <w:right w:val="single" w:sz="6" w:space="0" w:color="auto"/>
            </w:tcBorders>
            <w:shd w:val="clear" w:color="auto" w:fill="FFFFFF"/>
          </w:tcPr>
          <w:p w:rsidR="00A06F90" w:rsidRPr="00527A61" w:rsidRDefault="00A06F90" w:rsidP="008877D7">
            <w:pPr>
              <w:tabs>
                <w:tab w:val="left" w:pos="567"/>
              </w:tabs>
              <w:ind w:right="102"/>
              <w:rPr>
                <w:i/>
              </w:rPr>
            </w:pPr>
            <w:r w:rsidRPr="00527A61">
              <w:rPr>
                <w:i/>
              </w:rPr>
              <w:t>Laboratorieværdie</w:t>
            </w:r>
            <w:r>
              <w:rPr>
                <w:i/>
              </w:rPr>
              <w:t>r</w:t>
            </w:r>
          </w:p>
        </w:tc>
        <w:tc>
          <w:tcPr>
            <w:tcW w:w="1613" w:type="dxa"/>
            <w:gridSpan w:val="2"/>
            <w:tcBorders>
              <w:top w:val="single" w:sz="6" w:space="0" w:color="auto"/>
              <w:left w:val="single" w:sz="6" w:space="0" w:color="auto"/>
              <w:bottom w:val="single" w:sz="6" w:space="0" w:color="auto"/>
              <w:right w:val="single" w:sz="6" w:space="0" w:color="auto"/>
            </w:tcBorders>
            <w:shd w:val="clear" w:color="auto" w:fill="FFFFFF"/>
          </w:tcPr>
          <w:p w:rsidR="00A06F90" w:rsidRPr="00527A61" w:rsidRDefault="00A06F90" w:rsidP="008877D7">
            <w:pPr>
              <w:shd w:val="clear" w:color="auto" w:fill="FFFFFF"/>
              <w:tabs>
                <w:tab w:val="left" w:pos="567"/>
              </w:tabs>
              <w:ind w:right="605"/>
              <w:rPr>
                <w:i/>
              </w:rPr>
            </w:pPr>
          </w:p>
        </w:tc>
        <w:tc>
          <w:tcPr>
            <w:tcW w:w="1862" w:type="dxa"/>
            <w:gridSpan w:val="2"/>
            <w:tcBorders>
              <w:top w:val="single" w:sz="6" w:space="0" w:color="auto"/>
              <w:left w:val="single" w:sz="6" w:space="0" w:color="auto"/>
              <w:bottom w:val="single" w:sz="6" w:space="0" w:color="auto"/>
              <w:right w:val="single" w:sz="6" w:space="0" w:color="auto"/>
            </w:tcBorders>
            <w:shd w:val="clear" w:color="auto" w:fill="FFFFFF"/>
          </w:tcPr>
          <w:p w:rsidR="00A06F90" w:rsidRPr="00527A61" w:rsidRDefault="00A06F90" w:rsidP="008877D7">
            <w:pPr>
              <w:shd w:val="clear" w:color="auto" w:fill="FFFFFF"/>
              <w:tabs>
                <w:tab w:val="left" w:pos="567"/>
              </w:tabs>
              <w:ind w:right="605"/>
              <w:rPr>
                <w:i/>
              </w:rPr>
            </w:pP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A06F90" w:rsidRPr="00527A61" w:rsidRDefault="00A06F90" w:rsidP="008877D7">
            <w:pPr>
              <w:shd w:val="clear" w:color="auto" w:fill="FFFFFF"/>
              <w:tabs>
                <w:tab w:val="left" w:pos="567"/>
              </w:tabs>
              <w:ind w:right="605"/>
              <w:rPr>
                <w:i/>
              </w:rPr>
            </w:pPr>
          </w:p>
        </w:tc>
        <w:tc>
          <w:tcPr>
            <w:tcW w:w="1943" w:type="dxa"/>
            <w:tcBorders>
              <w:top w:val="single" w:sz="6" w:space="0" w:color="auto"/>
              <w:left w:val="single" w:sz="6" w:space="0" w:color="auto"/>
              <w:bottom w:val="single" w:sz="6" w:space="0" w:color="auto"/>
              <w:right w:val="single" w:sz="6" w:space="0" w:color="auto"/>
            </w:tcBorders>
            <w:shd w:val="clear" w:color="auto" w:fill="FFFFFF"/>
          </w:tcPr>
          <w:p w:rsidR="00A06F90" w:rsidRPr="00527A61" w:rsidRDefault="00A06F90" w:rsidP="008877D7">
            <w:pPr>
              <w:shd w:val="clear" w:color="auto" w:fill="FFFFFF"/>
              <w:tabs>
                <w:tab w:val="left" w:pos="567"/>
              </w:tabs>
              <w:ind w:right="605"/>
              <w:rPr>
                <w:i/>
              </w:rPr>
            </w:pPr>
          </w:p>
        </w:tc>
      </w:tr>
      <w:tr w:rsidR="00A06F90" w:rsidRPr="00FB065A" w:rsidTr="008877D7">
        <w:trPr>
          <w:trHeight w:hRule="exact" w:val="269"/>
        </w:trPr>
        <w:tc>
          <w:tcPr>
            <w:tcW w:w="2504"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tabs>
                <w:tab w:val="left" w:pos="567"/>
              </w:tabs>
              <w:ind w:right="605"/>
            </w:pPr>
            <w:r w:rsidRPr="00FB065A">
              <w:t>Anæmi</w:t>
            </w:r>
          </w:p>
        </w:tc>
        <w:tc>
          <w:tcPr>
            <w:tcW w:w="1613" w:type="dxa"/>
            <w:gridSpan w:val="2"/>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spacing w:val="-3"/>
              </w:rPr>
              <w:t>10 (5,7)</w:t>
            </w:r>
          </w:p>
        </w:tc>
        <w:tc>
          <w:tcPr>
            <w:tcW w:w="1862" w:type="dxa"/>
            <w:gridSpan w:val="2"/>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spacing w:val="1"/>
              </w:rPr>
              <w:t>4 (2,3)</w:t>
            </w: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rPr>
              <w:t>39 (22,3)</w:t>
            </w:r>
          </w:p>
        </w:tc>
        <w:tc>
          <w:tcPr>
            <w:tcW w:w="1943"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rPr>
              <w:t>9 (5,1)</w:t>
            </w:r>
          </w:p>
        </w:tc>
      </w:tr>
      <w:tr w:rsidR="00A06F90" w:rsidRPr="00FB065A" w:rsidTr="008877D7">
        <w:trPr>
          <w:trHeight w:hRule="exact" w:val="259"/>
        </w:trPr>
        <w:tc>
          <w:tcPr>
            <w:tcW w:w="2504"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tabs>
                <w:tab w:val="left" w:pos="567"/>
              </w:tabs>
              <w:ind w:right="605"/>
            </w:pPr>
            <w:proofErr w:type="spellStart"/>
            <w:r w:rsidRPr="00FB065A">
              <w:t>Neutropeni</w:t>
            </w:r>
            <w:proofErr w:type="spellEnd"/>
          </w:p>
        </w:tc>
        <w:tc>
          <w:tcPr>
            <w:tcW w:w="1613" w:type="dxa"/>
            <w:gridSpan w:val="2"/>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spacing w:val="4"/>
              </w:rPr>
              <w:t>19 (10,9)</w:t>
            </w:r>
          </w:p>
        </w:tc>
        <w:tc>
          <w:tcPr>
            <w:tcW w:w="1862" w:type="dxa"/>
            <w:gridSpan w:val="2"/>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rPr>
              <w:t>2 (1,1)</w:t>
            </w: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rPr>
              <w:t>73 (41,7)</w:t>
            </w:r>
          </w:p>
        </w:tc>
        <w:tc>
          <w:tcPr>
            <w:tcW w:w="1943"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rPr>
              <w:t>50 (28,6)</w:t>
            </w:r>
          </w:p>
        </w:tc>
      </w:tr>
      <w:tr w:rsidR="00A06F90" w:rsidRPr="00FB065A" w:rsidTr="008877D7">
        <w:trPr>
          <w:trHeight w:hRule="exact" w:val="259"/>
        </w:trPr>
        <w:tc>
          <w:tcPr>
            <w:tcW w:w="2504"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tabs>
                <w:tab w:val="left" w:pos="567"/>
              </w:tabs>
              <w:ind w:right="605"/>
            </w:pPr>
            <w:proofErr w:type="spellStart"/>
            <w:r w:rsidRPr="00FB065A">
              <w:t>Thrombocytopeni</w:t>
            </w:r>
            <w:proofErr w:type="spellEnd"/>
          </w:p>
        </w:tc>
        <w:tc>
          <w:tcPr>
            <w:tcW w:w="1613" w:type="dxa"/>
            <w:gridSpan w:val="2"/>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spacing w:val="-2"/>
              </w:rPr>
              <w:t>18 (10,3)</w:t>
            </w:r>
          </w:p>
        </w:tc>
        <w:tc>
          <w:tcPr>
            <w:tcW w:w="1862" w:type="dxa"/>
            <w:gridSpan w:val="2"/>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rPr>
              <w:t>2 (1,1)</w:t>
            </w: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spacing w:val="-1"/>
              </w:rPr>
              <w:t>53 (30,3)</w:t>
            </w:r>
          </w:p>
        </w:tc>
        <w:tc>
          <w:tcPr>
            <w:tcW w:w="1943"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spacing w:val="-2"/>
              </w:rPr>
              <w:t>8 (4,6)</w:t>
            </w:r>
          </w:p>
        </w:tc>
      </w:tr>
      <w:tr w:rsidR="00A06F90" w:rsidRPr="00FB065A" w:rsidTr="008877D7">
        <w:trPr>
          <w:trHeight w:hRule="exact" w:val="269"/>
        </w:trPr>
        <w:tc>
          <w:tcPr>
            <w:tcW w:w="2504"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tabs>
                <w:tab w:val="left" w:pos="567"/>
              </w:tabs>
              <w:ind w:right="605"/>
            </w:pPr>
            <w:proofErr w:type="spellStart"/>
            <w:r w:rsidRPr="00FB065A">
              <w:t>Leukopeni</w:t>
            </w:r>
            <w:proofErr w:type="spellEnd"/>
          </w:p>
        </w:tc>
        <w:tc>
          <w:tcPr>
            <w:tcW w:w="1613" w:type="dxa"/>
            <w:gridSpan w:val="2"/>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spacing w:val="-3"/>
              </w:rPr>
              <w:t>11 (6,3)</w:t>
            </w:r>
          </w:p>
        </w:tc>
        <w:tc>
          <w:tcPr>
            <w:tcW w:w="1862" w:type="dxa"/>
            <w:gridSpan w:val="2"/>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spacing w:val="-4"/>
              </w:rPr>
              <w:t>1 (0,6)</w:t>
            </w: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spacing w:val="-1"/>
              </w:rPr>
              <w:t>84 (48,0)</w:t>
            </w:r>
          </w:p>
        </w:tc>
        <w:tc>
          <w:tcPr>
            <w:tcW w:w="1943"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spacing w:val="-1"/>
              </w:rPr>
              <w:t>9 (5,1)</w:t>
            </w:r>
          </w:p>
        </w:tc>
      </w:tr>
      <w:tr w:rsidR="00A06F90" w:rsidRPr="00527A61" w:rsidTr="008877D7">
        <w:trPr>
          <w:trHeight w:hRule="exact" w:val="555"/>
        </w:trPr>
        <w:tc>
          <w:tcPr>
            <w:tcW w:w="2504" w:type="dxa"/>
            <w:tcBorders>
              <w:top w:val="single" w:sz="6" w:space="0" w:color="auto"/>
              <w:left w:val="single" w:sz="6" w:space="0" w:color="auto"/>
              <w:bottom w:val="single" w:sz="6" w:space="0" w:color="auto"/>
              <w:right w:val="single" w:sz="6" w:space="0" w:color="auto"/>
            </w:tcBorders>
            <w:shd w:val="clear" w:color="auto" w:fill="FFFFFF"/>
          </w:tcPr>
          <w:p w:rsidR="00A06F90" w:rsidRPr="00527A61" w:rsidRDefault="00A06F90" w:rsidP="008877D7">
            <w:pPr>
              <w:tabs>
                <w:tab w:val="left" w:pos="567"/>
              </w:tabs>
              <w:ind w:right="605"/>
              <w:rPr>
                <w:i/>
              </w:rPr>
            </w:pPr>
            <w:r w:rsidRPr="00527A61">
              <w:rPr>
                <w:i/>
              </w:rPr>
              <w:t>Ikke-laboratorieværdier</w:t>
            </w:r>
          </w:p>
        </w:tc>
        <w:tc>
          <w:tcPr>
            <w:tcW w:w="1613" w:type="dxa"/>
            <w:gridSpan w:val="2"/>
            <w:tcBorders>
              <w:top w:val="single" w:sz="6" w:space="0" w:color="auto"/>
              <w:left w:val="single" w:sz="6" w:space="0" w:color="auto"/>
              <w:bottom w:val="single" w:sz="6" w:space="0" w:color="auto"/>
              <w:right w:val="single" w:sz="6" w:space="0" w:color="auto"/>
            </w:tcBorders>
            <w:shd w:val="clear" w:color="auto" w:fill="FFFFFF"/>
          </w:tcPr>
          <w:p w:rsidR="00A06F90" w:rsidRPr="00527A61" w:rsidRDefault="00A06F90" w:rsidP="008877D7">
            <w:pPr>
              <w:shd w:val="clear" w:color="auto" w:fill="FFFFFF"/>
              <w:tabs>
                <w:tab w:val="left" w:pos="567"/>
              </w:tabs>
              <w:ind w:right="605"/>
              <w:rPr>
                <w:i/>
              </w:rPr>
            </w:pPr>
          </w:p>
        </w:tc>
        <w:tc>
          <w:tcPr>
            <w:tcW w:w="1862" w:type="dxa"/>
            <w:gridSpan w:val="2"/>
            <w:tcBorders>
              <w:top w:val="single" w:sz="6" w:space="0" w:color="auto"/>
              <w:left w:val="single" w:sz="6" w:space="0" w:color="auto"/>
              <w:bottom w:val="single" w:sz="6" w:space="0" w:color="auto"/>
              <w:right w:val="single" w:sz="6" w:space="0" w:color="auto"/>
            </w:tcBorders>
            <w:shd w:val="clear" w:color="auto" w:fill="FFFFFF"/>
          </w:tcPr>
          <w:p w:rsidR="00A06F90" w:rsidRPr="00527A61" w:rsidRDefault="00A06F90" w:rsidP="008877D7">
            <w:pPr>
              <w:shd w:val="clear" w:color="auto" w:fill="FFFFFF"/>
              <w:tabs>
                <w:tab w:val="left" w:pos="567"/>
              </w:tabs>
              <w:ind w:right="605"/>
              <w:rPr>
                <w:i/>
              </w:rPr>
            </w:pP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A06F90" w:rsidRPr="00527A61" w:rsidRDefault="00A06F90" w:rsidP="008877D7">
            <w:pPr>
              <w:shd w:val="clear" w:color="auto" w:fill="FFFFFF"/>
              <w:tabs>
                <w:tab w:val="left" w:pos="567"/>
              </w:tabs>
              <w:ind w:right="605"/>
              <w:rPr>
                <w:i/>
              </w:rPr>
            </w:pPr>
          </w:p>
        </w:tc>
        <w:tc>
          <w:tcPr>
            <w:tcW w:w="1943" w:type="dxa"/>
            <w:tcBorders>
              <w:top w:val="single" w:sz="6" w:space="0" w:color="auto"/>
              <w:left w:val="single" w:sz="6" w:space="0" w:color="auto"/>
              <w:bottom w:val="single" w:sz="6" w:space="0" w:color="auto"/>
              <w:right w:val="single" w:sz="6" w:space="0" w:color="auto"/>
            </w:tcBorders>
            <w:shd w:val="clear" w:color="auto" w:fill="FFFFFF"/>
          </w:tcPr>
          <w:p w:rsidR="00A06F90" w:rsidRPr="00527A61" w:rsidRDefault="00A06F90" w:rsidP="008877D7">
            <w:pPr>
              <w:shd w:val="clear" w:color="auto" w:fill="FFFFFF"/>
              <w:tabs>
                <w:tab w:val="left" w:pos="567"/>
              </w:tabs>
              <w:ind w:right="605"/>
              <w:rPr>
                <w:i/>
              </w:rPr>
            </w:pPr>
          </w:p>
        </w:tc>
      </w:tr>
      <w:tr w:rsidR="00A06F90" w:rsidRPr="00FB065A" w:rsidTr="008877D7">
        <w:trPr>
          <w:trHeight w:hRule="exact" w:val="269"/>
        </w:trPr>
        <w:tc>
          <w:tcPr>
            <w:tcW w:w="2504"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tabs>
                <w:tab w:val="left" w:pos="567"/>
              </w:tabs>
              <w:ind w:right="605"/>
            </w:pPr>
            <w:r w:rsidRPr="00FB065A">
              <w:t>Blødning</w:t>
            </w:r>
          </w:p>
        </w:tc>
        <w:tc>
          <w:tcPr>
            <w:tcW w:w="1613" w:type="dxa"/>
            <w:gridSpan w:val="2"/>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rPr>
              <w:t>0 (0,0)</w:t>
            </w:r>
          </w:p>
        </w:tc>
        <w:tc>
          <w:tcPr>
            <w:tcW w:w="1862" w:type="dxa"/>
            <w:gridSpan w:val="2"/>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spacing w:val="-1"/>
              </w:rPr>
              <w:t>0 (0,0)</w:t>
            </w: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spacing w:val="-1"/>
              </w:rPr>
              <w:t>3 (1,8)</w:t>
            </w:r>
          </w:p>
        </w:tc>
        <w:tc>
          <w:tcPr>
            <w:tcW w:w="1943"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spacing w:val="-2"/>
              </w:rPr>
              <w:t>(0,0)</w:t>
            </w:r>
          </w:p>
        </w:tc>
      </w:tr>
      <w:tr w:rsidR="00A06F90" w:rsidRPr="00FB065A" w:rsidTr="008877D7">
        <w:trPr>
          <w:trHeight w:hRule="exact" w:val="259"/>
        </w:trPr>
        <w:tc>
          <w:tcPr>
            <w:tcW w:w="2504"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tabs>
                <w:tab w:val="left" w:pos="567"/>
              </w:tabs>
              <w:ind w:right="605"/>
            </w:pPr>
            <w:r w:rsidRPr="00FB065A">
              <w:t xml:space="preserve">Febril </w:t>
            </w:r>
            <w:proofErr w:type="spellStart"/>
            <w:r w:rsidRPr="00FB065A">
              <w:t>neutropeni</w:t>
            </w:r>
            <w:proofErr w:type="spellEnd"/>
          </w:p>
        </w:tc>
        <w:tc>
          <w:tcPr>
            <w:tcW w:w="1613" w:type="dxa"/>
            <w:gridSpan w:val="2"/>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rPr>
              <w:t>0 (0,0)</w:t>
            </w:r>
          </w:p>
        </w:tc>
        <w:tc>
          <w:tcPr>
            <w:tcW w:w="1862" w:type="dxa"/>
            <w:gridSpan w:val="2"/>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spacing w:val="-1"/>
              </w:rPr>
              <w:t>0 (0,0)</w:t>
            </w: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rPr>
              <w:t>2 (1,1)</w:t>
            </w:r>
          </w:p>
        </w:tc>
        <w:tc>
          <w:tcPr>
            <w:tcW w:w="1943"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spacing w:val="-2"/>
              </w:rPr>
              <w:t>(0,0)</w:t>
            </w:r>
          </w:p>
        </w:tc>
      </w:tr>
      <w:tr w:rsidR="00A06F90" w:rsidRPr="00FB065A" w:rsidTr="008877D7">
        <w:trPr>
          <w:trHeight w:hRule="exact" w:val="528"/>
        </w:trPr>
        <w:tc>
          <w:tcPr>
            <w:tcW w:w="2504"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tabs>
                <w:tab w:val="left" w:pos="567"/>
              </w:tabs>
              <w:ind w:right="605"/>
            </w:pPr>
            <w:r w:rsidRPr="00FB065A">
              <w:t xml:space="preserve">Infektion uden </w:t>
            </w:r>
            <w:proofErr w:type="spellStart"/>
            <w:r w:rsidRPr="00FB065A">
              <w:t>neutropeni</w:t>
            </w:r>
            <w:proofErr w:type="spellEnd"/>
          </w:p>
        </w:tc>
        <w:tc>
          <w:tcPr>
            <w:tcW w:w="1613" w:type="dxa"/>
            <w:gridSpan w:val="2"/>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spacing w:val="-3"/>
              </w:rPr>
              <w:t>0 (0)</w:t>
            </w:r>
          </w:p>
        </w:tc>
        <w:tc>
          <w:tcPr>
            <w:tcW w:w="1862" w:type="dxa"/>
            <w:gridSpan w:val="2"/>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spacing w:val="-1"/>
              </w:rPr>
              <w:t>0 (0,0)</w:t>
            </w: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spacing w:val="-2"/>
              </w:rPr>
              <w:t>(0,0)</w:t>
            </w:r>
          </w:p>
        </w:tc>
        <w:tc>
          <w:tcPr>
            <w:tcW w:w="1943" w:type="dxa"/>
            <w:tcBorders>
              <w:top w:val="single" w:sz="6" w:space="0" w:color="auto"/>
              <w:left w:val="single" w:sz="6" w:space="0" w:color="auto"/>
              <w:bottom w:val="single" w:sz="6" w:space="0" w:color="auto"/>
              <w:right w:val="single" w:sz="6" w:space="0" w:color="auto"/>
            </w:tcBorders>
            <w:shd w:val="clear" w:color="auto" w:fill="FFFFFF"/>
          </w:tcPr>
          <w:p w:rsidR="00A06F90" w:rsidRPr="00FB065A" w:rsidRDefault="00A06F90" w:rsidP="008877D7">
            <w:pPr>
              <w:shd w:val="clear" w:color="auto" w:fill="FFFFFF"/>
              <w:tabs>
                <w:tab w:val="left" w:pos="567"/>
              </w:tabs>
              <w:ind w:right="605"/>
              <w:jc w:val="center"/>
            </w:pPr>
            <w:r w:rsidRPr="00FB065A">
              <w:rPr>
                <w:color w:val="000000"/>
                <w:spacing w:val="-4"/>
              </w:rPr>
              <w:t>1 (0,6)</w:t>
            </w:r>
          </w:p>
        </w:tc>
      </w:tr>
    </w:tbl>
    <w:p w:rsidR="00A06F90" w:rsidRPr="00ED3741" w:rsidRDefault="00A06F90" w:rsidP="00A06F90">
      <w:pPr>
        <w:shd w:val="clear" w:color="auto" w:fill="FFFFFF"/>
        <w:tabs>
          <w:tab w:val="left" w:pos="851"/>
        </w:tabs>
        <w:ind w:left="851" w:right="605"/>
        <w:rPr>
          <w:bCs/>
          <w:color w:val="000000"/>
          <w:spacing w:val="7"/>
        </w:rPr>
      </w:pPr>
      <w:r w:rsidRPr="00FB065A">
        <w:rPr>
          <w:color w:val="000000"/>
          <w:spacing w:val="2"/>
        </w:rPr>
        <w:t xml:space="preserve">Sensorisk </w:t>
      </w:r>
      <w:proofErr w:type="spellStart"/>
      <w:r w:rsidRPr="00FB065A">
        <w:rPr>
          <w:color w:val="000000"/>
          <w:spacing w:val="2"/>
        </w:rPr>
        <w:t>neuropati</w:t>
      </w:r>
      <w:proofErr w:type="spellEnd"/>
      <w:r w:rsidRPr="00FB065A">
        <w:rPr>
          <w:color w:val="000000"/>
          <w:spacing w:val="2"/>
        </w:rPr>
        <w:t xml:space="preserve"> var også mere hyppigt forekommende </w:t>
      </w:r>
      <w:r>
        <w:rPr>
          <w:color w:val="000000"/>
          <w:spacing w:val="2"/>
        </w:rPr>
        <w:t>i</w:t>
      </w:r>
      <w:r w:rsidRPr="00FB065A">
        <w:rPr>
          <w:color w:val="000000"/>
          <w:spacing w:val="2"/>
        </w:rPr>
        <w:t xml:space="preserve"> kombinations</w:t>
      </w:r>
      <w:r>
        <w:rPr>
          <w:color w:val="000000"/>
          <w:spacing w:val="2"/>
        </w:rPr>
        <w:t>armen</w:t>
      </w:r>
      <w:r w:rsidRPr="00FB065A">
        <w:rPr>
          <w:color w:val="000000"/>
          <w:spacing w:val="2"/>
        </w:rPr>
        <w:t xml:space="preserve"> end ved behandling med </w:t>
      </w:r>
      <w:proofErr w:type="spellStart"/>
      <w:r w:rsidRPr="00FB065A">
        <w:rPr>
          <w:color w:val="000000"/>
          <w:spacing w:val="2"/>
        </w:rPr>
        <w:t>carboplatin</w:t>
      </w:r>
      <w:proofErr w:type="spellEnd"/>
      <w:r w:rsidRPr="00FB065A">
        <w:rPr>
          <w:color w:val="000000"/>
          <w:spacing w:val="2"/>
        </w:rPr>
        <w:t xml:space="preserve"> alene.</w:t>
      </w:r>
    </w:p>
    <w:p w:rsidR="00A06F90" w:rsidRDefault="00A06F90" w:rsidP="00A06F90">
      <w:pPr>
        <w:rPr>
          <w:sz w:val="24"/>
          <w:szCs w:val="24"/>
          <w:u w:val="single"/>
          <w:lang w:eastAsia="da-DK"/>
        </w:rPr>
      </w:pPr>
    </w:p>
    <w:p w:rsidR="00A06F90" w:rsidRPr="008F49E1" w:rsidRDefault="00A06F90" w:rsidP="00A06F90">
      <w:pPr>
        <w:autoSpaceDE w:val="0"/>
        <w:autoSpaceDN w:val="0"/>
        <w:ind w:left="851"/>
        <w:rPr>
          <w:sz w:val="24"/>
          <w:szCs w:val="24"/>
          <w:u w:val="single"/>
          <w:lang w:eastAsia="da-DK"/>
        </w:rPr>
      </w:pPr>
      <w:r w:rsidRPr="008F49E1">
        <w:rPr>
          <w:sz w:val="24"/>
          <w:szCs w:val="24"/>
          <w:u w:val="single"/>
          <w:lang w:eastAsia="da-DK"/>
        </w:rPr>
        <w:t>Indberetning af formodede bivirkninger</w:t>
      </w:r>
    </w:p>
    <w:p w:rsidR="00A06F90" w:rsidRPr="008F49E1" w:rsidRDefault="00A06F90" w:rsidP="00A06F90">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Pr>
          <w:rFonts w:cs="Arial"/>
        </w:rPr>
        <w:t>Sundhedspersoner</w:t>
      </w:r>
      <w:r w:rsidRPr="008F49E1">
        <w:rPr>
          <w:sz w:val="24"/>
          <w:szCs w:val="24"/>
          <w:lang w:eastAsia="da-DK"/>
        </w:rPr>
        <w:t xml:space="preserve"> anmodes om at indberette alle formodede bivirkninger via:</w:t>
      </w:r>
    </w:p>
    <w:p w:rsidR="00A06F90" w:rsidRPr="008F49E1" w:rsidRDefault="00A06F90" w:rsidP="00A06F90">
      <w:pPr>
        <w:ind w:left="851"/>
        <w:rPr>
          <w:sz w:val="24"/>
          <w:szCs w:val="24"/>
          <w:lang w:eastAsia="da-DK"/>
        </w:rPr>
      </w:pPr>
    </w:p>
    <w:p w:rsidR="00A06F90" w:rsidRPr="007A276A" w:rsidRDefault="00A06F90" w:rsidP="00A06F90">
      <w:pPr>
        <w:ind w:left="851"/>
        <w:rPr>
          <w:sz w:val="24"/>
          <w:szCs w:val="24"/>
          <w:lang w:eastAsia="da-DK"/>
        </w:rPr>
      </w:pPr>
      <w:r w:rsidRPr="007A276A">
        <w:rPr>
          <w:sz w:val="24"/>
          <w:szCs w:val="24"/>
          <w:lang w:eastAsia="da-DK"/>
        </w:rPr>
        <w:t>Lægemiddelstyrelsen</w:t>
      </w:r>
    </w:p>
    <w:p w:rsidR="00A06F90" w:rsidRPr="007A276A" w:rsidRDefault="00A06F90" w:rsidP="00A06F90">
      <w:pPr>
        <w:ind w:left="851"/>
        <w:rPr>
          <w:sz w:val="24"/>
          <w:szCs w:val="24"/>
          <w:lang w:eastAsia="da-DK"/>
        </w:rPr>
      </w:pPr>
      <w:r w:rsidRPr="007A276A">
        <w:rPr>
          <w:sz w:val="24"/>
          <w:szCs w:val="24"/>
          <w:lang w:eastAsia="da-DK"/>
        </w:rPr>
        <w:t>Axel Heides Gade 1</w:t>
      </w:r>
    </w:p>
    <w:p w:rsidR="00A06F90" w:rsidRPr="007A276A" w:rsidRDefault="00A06F90" w:rsidP="00A06F90">
      <w:pPr>
        <w:ind w:left="851"/>
        <w:rPr>
          <w:sz w:val="24"/>
          <w:szCs w:val="24"/>
          <w:lang w:eastAsia="da-DK"/>
        </w:rPr>
      </w:pPr>
      <w:r w:rsidRPr="007A276A">
        <w:rPr>
          <w:sz w:val="24"/>
          <w:szCs w:val="24"/>
          <w:lang w:eastAsia="da-DK"/>
        </w:rPr>
        <w:t>DK-2300 København S</w:t>
      </w:r>
    </w:p>
    <w:p w:rsidR="00A06F90" w:rsidRPr="008877D7" w:rsidRDefault="00A06F90" w:rsidP="00A06F90">
      <w:pPr>
        <w:ind w:left="851"/>
        <w:rPr>
          <w:sz w:val="24"/>
          <w:szCs w:val="24"/>
          <w:lang w:eastAsia="da-DK"/>
        </w:rPr>
      </w:pPr>
      <w:r w:rsidRPr="008877D7">
        <w:rPr>
          <w:sz w:val="24"/>
          <w:szCs w:val="24"/>
          <w:lang w:eastAsia="da-DK"/>
        </w:rPr>
        <w:t xml:space="preserve">Websted: </w:t>
      </w:r>
      <w:hyperlink r:id="rId8" w:history="1">
        <w:r w:rsidRPr="008877D7">
          <w:rPr>
            <w:color w:val="0000FF"/>
            <w:sz w:val="24"/>
            <w:u w:val="single"/>
            <w:lang w:eastAsia="da-DK"/>
          </w:rPr>
          <w:t>www.meldenbivirkning.dk</w:t>
        </w:r>
      </w:hyperlink>
    </w:p>
    <w:p w:rsidR="007B43B6" w:rsidRPr="00D06B18" w:rsidRDefault="007B43B6" w:rsidP="00A06F90">
      <w:pPr>
        <w:tabs>
          <w:tab w:val="left" w:pos="851"/>
        </w:tabs>
        <w:ind w:left="851" w:hanging="851"/>
      </w:pPr>
    </w:p>
    <w:p w:rsidR="007B43B6" w:rsidRPr="00C84483" w:rsidRDefault="007B43B6" w:rsidP="007B43B6">
      <w:pPr>
        <w:tabs>
          <w:tab w:val="left" w:pos="851"/>
        </w:tabs>
        <w:ind w:left="851" w:hanging="851"/>
        <w:rPr>
          <w:b/>
          <w:sz w:val="24"/>
          <w:szCs w:val="24"/>
        </w:rPr>
      </w:pPr>
      <w:r w:rsidRPr="00C84483">
        <w:rPr>
          <w:b/>
          <w:sz w:val="24"/>
          <w:szCs w:val="24"/>
        </w:rPr>
        <w:lastRenderedPageBreak/>
        <w:t>4.9</w:t>
      </w:r>
      <w:r w:rsidRPr="00C84483">
        <w:rPr>
          <w:b/>
          <w:sz w:val="24"/>
          <w:szCs w:val="24"/>
        </w:rPr>
        <w:tab/>
        <w:t>Overdosering</w:t>
      </w:r>
    </w:p>
    <w:p w:rsidR="007B43B6" w:rsidRPr="007B7B33" w:rsidRDefault="007B43B6" w:rsidP="007B43B6">
      <w:pPr>
        <w:shd w:val="clear" w:color="auto" w:fill="FFFFFF"/>
        <w:tabs>
          <w:tab w:val="left" w:pos="851"/>
        </w:tabs>
        <w:ind w:left="851" w:right="605" w:hanging="851"/>
      </w:pPr>
      <w:r>
        <w:tab/>
      </w:r>
      <w:r w:rsidRPr="00FB065A">
        <w:t xml:space="preserve">Der findes ingen kendt </w:t>
      </w:r>
      <w:proofErr w:type="spellStart"/>
      <w:r w:rsidRPr="00FB065A">
        <w:t>antidot</w:t>
      </w:r>
      <w:proofErr w:type="spellEnd"/>
      <w:r w:rsidRPr="00FB065A">
        <w:t xml:space="preserve"> mod </w:t>
      </w:r>
      <w:proofErr w:type="spellStart"/>
      <w:r w:rsidRPr="00FB065A">
        <w:t>gemcitabin</w:t>
      </w:r>
      <w:proofErr w:type="spellEnd"/>
      <w:r w:rsidRPr="00FB065A">
        <w:t xml:space="preserve"> ved overdosering. Enkeltdoser op til 5700 mg/m</w:t>
      </w:r>
      <w:r w:rsidRPr="003D35B8">
        <w:rPr>
          <w:vertAlign w:val="superscript"/>
        </w:rPr>
        <w:t>2</w:t>
      </w:r>
      <w:r w:rsidRPr="00FB065A">
        <w:t xml:space="preserve"> er blevet givet ved intravenøs infusion over 30 minutter, hver 2. uge, med klinisk acceptabel toksicitet. Ved mistanke om overdosering bør patienten monitoreres med relevante laboratorieprøver og behandles efter behov.</w:t>
      </w:r>
    </w:p>
    <w:p w:rsidR="007B43B6" w:rsidRPr="00C84483" w:rsidRDefault="007B43B6" w:rsidP="007B43B6">
      <w:pPr>
        <w:tabs>
          <w:tab w:val="left" w:pos="851"/>
        </w:tabs>
        <w:ind w:left="851"/>
        <w:rPr>
          <w:sz w:val="24"/>
          <w:szCs w:val="24"/>
        </w:rPr>
      </w:pPr>
    </w:p>
    <w:p w:rsidR="007B43B6" w:rsidRPr="00C84483" w:rsidRDefault="007B43B6" w:rsidP="007B43B6">
      <w:pPr>
        <w:tabs>
          <w:tab w:val="left" w:pos="851"/>
        </w:tabs>
        <w:ind w:left="851" w:hanging="851"/>
        <w:rPr>
          <w:b/>
          <w:sz w:val="24"/>
          <w:szCs w:val="24"/>
        </w:rPr>
      </w:pPr>
      <w:r w:rsidRPr="00C84483">
        <w:rPr>
          <w:b/>
          <w:sz w:val="24"/>
          <w:szCs w:val="24"/>
        </w:rPr>
        <w:t>4.10</w:t>
      </w:r>
      <w:r w:rsidRPr="00C84483">
        <w:rPr>
          <w:b/>
          <w:sz w:val="24"/>
          <w:szCs w:val="24"/>
        </w:rPr>
        <w:tab/>
        <w:t>Udlevering</w:t>
      </w:r>
    </w:p>
    <w:p w:rsidR="007B43B6" w:rsidRPr="00C84483" w:rsidRDefault="007B43B6" w:rsidP="007B43B6">
      <w:pPr>
        <w:tabs>
          <w:tab w:val="left" w:pos="851"/>
        </w:tabs>
        <w:ind w:left="851"/>
        <w:rPr>
          <w:sz w:val="24"/>
          <w:szCs w:val="24"/>
        </w:rPr>
      </w:pPr>
      <w:r>
        <w:rPr>
          <w:sz w:val="24"/>
          <w:szCs w:val="24"/>
        </w:rPr>
        <w:t>BEGR (kun til sygehuse)</w:t>
      </w:r>
    </w:p>
    <w:p w:rsidR="007B43B6" w:rsidRPr="00C84483" w:rsidRDefault="007B43B6" w:rsidP="007B43B6">
      <w:pPr>
        <w:tabs>
          <w:tab w:val="left" w:pos="851"/>
        </w:tabs>
        <w:ind w:left="851"/>
        <w:rPr>
          <w:sz w:val="24"/>
          <w:szCs w:val="24"/>
        </w:rPr>
      </w:pPr>
    </w:p>
    <w:p w:rsidR="007B43B6" w:rsidRPr="00C84483" w:rsidRDefault="007B43B6" w:rsidP="007B43B6">
      <w:pPr>
        <w:tabs>
          <w:tab w:val="left" w:pos="851"/>
        </w:tabs>
        <w:ind w:left="851"/>
        <w:rPr>
          <w:sz w:val="24"/>
          <w:szCs w:val="24"/>
        </w:rPr>
      </w:pPr>
    </w:p>
    <w:p w:rsidR="007B43B6" w:rsidRDefault="007B43B6" w:rsidP="00A06F90">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A06F90" w:rsidRPr="00A06F90" w:rsidRDefault="00A06F90" w:rsidP="00A06F90">
      <w:pPr>
        <w:tabs>
          <w:tab w:val="left" w:pos="851"/>
        </w:tabs>
        <w:ind w:left="851" w:hanging="851"/>
        <w:rPr>
          <w:b/>
          <w:sz w:val="24"/>
          <w:szCs w:val="24"/>
        </w:rPr>
      </w:pPr>
    </w:p>
    <w:p w:rsidR="007B43B6" w:rsidRPr="00C84483" w:rsidRDefault="007B43B6" w:rsidP="007B43B6">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7B43B6" w:rsidRDefault="007B43B6" w:rsidP="007B43B6">
      <w:pPr>
        <w:tabs>
          <w:tab w:val="left" w:pos="851"/>
        </w:tabs>
        <w:ind w:left="851" w:right="605" w:hanging="851"/>
      </w:pPr>
      <w:r>
        <w:tab/>
      </w:r>
      <w:proofErr w:type="spellStart"/>
      <w:r w:rsidR="00A06F90" w:rsidRPr="00C922B2">
        <w:rPr>
          <w:sz w:val="24"/>
          <w:szCs w:val="24"/>
        </w:rPr>
        <w:t>Farmakoterapeutisk</w:t>
      </w:r>
      <w:proofErr w:type="spellEnd"/>
      <w:r w:rsidR="00A06F90" w:rsidRPr="00C922B2">
        <w:rPr>
          <w:sz w:val="24"/>
          <w:szCs w:val="24"/>
        </w:rPr>
        <w:t xml:space="preserve"> klassifikation:</w:t>
      </w:r>
      <w:r w:rsidR="00A06F90">
        <w:rPr>
          <w:sz w:val="24"/>
          <w:szCs w:val="24"/>
        </w:rPr>
        <w:t xml:space="preserve"> </w:t>
      </w:r>
      <w:proofErr w:type="spellStart"/>
      <w:r w:rsidR="00A06F90">
        <w:t>P</w:t>
      </w:r>
      <w:r w:rsidR="00A06F90" w:rsidRPr="00FB065A">
        <w:t>yrimidin</w:t>
      </w:r>
      <w:proofErr w:type="spellEnd"/>
      <w:r w:rsidR="00A06F90" w:rsidRPr="00FB065A">
        <w:t xml:space="preserve"> </w:t>
      </w:r>
      <w:proofErr w:type="spellStart"/>
      <w:r w:rsidR="00A06F90" w:rsidRPr="00FB065A">
        <w:t>analoger</w:t>
      </w:r>
      <w:proofErr w:type="spellEnd"/>
      <w:r w:rsidR="00A06F90">
        <w:t>.</w:t>
      </w:r>
      <w:r w:rsidR="00A06F90">
        <w:t xml:space="preserve"> </w:t>
      </w:r>
      <w:r w:rsidR="00A06F90" w:rsidRPr="00FB065A">
        <w:t>ATC-kode: L 01 BC 05</w:t>
      </w:r>
      <w:r w:rsidR="00A06F90">
        <w:t>.</w:t>
      </w:r>
    </w:p>
    <w:p w:rsidR="00A06F90" w:rsidRDefault="00A06F90" w:rsidP="007B43B6">
      <w:pPr>
        <w:tabs>
          <w:tab w:val="left" w:pos="851"/>
        </w:tabs>
        <w:ind w:left="851" w:right="605" w:hanging="851"/>
      </w:pPr>
    </w:p>
    <w:p w:rsidR="007B43B6" w:rsidRPr="00FB065A" w:rsidRDefault="007B43B6" w:rsidP="007B43B6">
      <w:pPr>
        <w:tabs>
          <w:tab w:val="left" w:pos="851"/>
        </w:tabs>
        <w:ind w:left="851" w:right="605" w:hanging="851"/>
        <w:rPr>
          <w:u w:val="single"/>
        </w:rPr>
      </w:pPr>
      <w:r>
        <w:tab/>
      </w:r>
      <w:proofErr w:type="spellStart"/>
      <w:r w:rsidRPr="00FB065A">
        <w:rPr>
          <w:u w:val="single"/>
        </w:rPr>
        <w:t>Cytotoksisk</w:t>
      </w:r>
      <w:proofErr w:type="spellEnd"/>
      <w:r w:rsidRPr="00FB065A">
        <w:rPr>
          <w:u w:val="single"/>
        </w:rPr>
        <w:t xml:space="preserve"> aktivitet i cellekulturer</w:t>
      </w:r>
    </w:p>
    <w:p w:rsidR="007B43B6" w:rsidRPr="00FB065A" w:rsidRDefault="007B43B6" w:rsidP="007B43B6">
      <w:pPr>
        <w:tabs>
          <w:tab w:val="left" w:pos="851"/>
        </w:tabs>
        <w:ind w:left="851" w:right="605" w:hanging="851"/>
      </w:pPr>
      <w:r>
        <w:tab/>
      </w:r>
      <w:proofErr w:type="spellStart"/>
      <w:r w:rsidRPr="00FB065A">
        <w:t>Gemcitabin</w:t>
      </w:r>
      <w:proofErr w:type="spellEnd"/>
      <w:r w:rsidRPr="00FB065A">
        <w:t xml:space="preserve"> udviser betydelig </w:t>
      </w:r>
      <w:proofErr w:type="spellStart"/>
      <w:r w:rsidRPr="00FB065A">
        <w:t>cytotoksicitet</w:t>
      </w:r>
      <w:proofErr w:type="spellEnd"/>
      <w:r w:rsidRPr="00FB065A">
        <w:t xml:space="preserve"> overfor en række forskellige </w:t>
      </w:r>
      <w:proofErr w:type="spellStart"/>
      <w:r w:rsidRPr="00FB065A">
        <w:t>murine</w:t>
      </w:r>
      <w:proofErr w:type="spellEnd"/>
      <w:r w:rsidRPr="00FB065A">
        <w:t xml:space="preserve"> og humane tumorceller </w:t>
      </w:r>
      <w:r>
        <w:t>i</w:t>
      </w:r>
      <w:r w:rsidRPr="00FB065A">
        <w:t xml:space="preserve"> cellekultur. Virkningen er fasespecifik, idet </w:t>
      </w:r>
      <w:proofErr w:type="spellStart"/>
      <w:r w:rsidRPr="00FB065A">
        <w:t>gemcitabin</w:t>
      </w:r>
      <w:proofErr w:type="spellEnd"/>
      <w:r w:rsidRPr="00FB065A">
        <w:t xml:space="preserve"> primært dræber celle</w:t>
      </w:r>
      <w:r>
        <w:t>r, der undergår DNA-syntese (S-</w:t>
      </w:r>
      <w:r w:rsidRPr="00FB065A">
        <w:t xml:space="preserve">fase) og under visse forhold blokerer cellecyklus på grænsen mellem G1 og S-fasen. In </w:t>
      </w:r>
      <w:proofErr w:type="spellStart"/>
      <w:r w:rsidRPr="00FB065A">
        <w:t>vitro</w:t>
      </w:r>
      <w:proofErr w:type="spellEnd"/>
      <w:r w:rsidRPr="00FB065A">
        <w:t xml:space="preserve"> er den </w:t>
      </w:r>
      <w:proofErr w:type="spellStart"/>
      <w:r w:rsidRPr="00FB065A">
        <w:t>cytotoksiske</w:t>
      </w:r>
      <w:proofErr w:type="spellEnd"/>
      <w:r w:rsidRPr="00FB065A">
        <w:t xml:space="preserve"> effekt af </w:t>
      </w:r>
      <w:proofErr w:type="spellStart"/>
      <w:r w:rsidRPr="00FB065A">
        <w:t>gemcitabin</w:t>
      </w:r>
      <w:proofErr w:type="spellEnd"/>
      <w:r w:rsidRPr="00FB065A">
        <w:t xml:space="preserve"> både koncentrations- og tidsafhængig.</w:t>
      </w:r>
    </w:p>
    <w:p w:rsidR="007B43B6" w:rsidRPr="00FB065A" w:rsidRDefault="007B43B6" w:rsidP="007B43B6">
      <w:pPr>
        <w:tabs>
          <w:tab w:val="left" w:pos="851"/>
        </w:tabs>
        <w:ind w:left="851" w:right="605" w:hanging="851"/>
      </w:pPr>
    </w:p>
    <w:p w:rsidR="007B43B6" w:rsidRPr="00FB065A" w:rsidRDefault="007B43B6" w:rsidP="007B43B6">
      <w:pPr>
        <w:tabs>
          <w:tab w:val="left" w:pos="851"/>
        </w:tabs>
        <w:ind w:left="851" w:right="605" w:hanging="851"/>
        <w:rPr>
          <w:u w:val="single"/>
        </w:rPr>
      </w:pPr>
      <w:r w:rsidRPr="003D35B8">
        <w:tab/>
      </w:r>
      <w:proofErr w:type="spellStart"/>
      <w:r w:rsidRPr="00FB065A">
        <w:rPr>
          <w:u w:val="single"/>
        </w:rPr>
        <w:t>Anti</w:t>
      </w:r>
      <w:proofErr w:type="spellEnd"/>
      <w:r>
        <w:rPr>
          <w:u w:val="single"/>
        </w:rPr>
        <w:t>-</w:t>
      </w:r>
      <w:r w:rsidRPr="00FB065A">
        <w:rPr>
          <w:u w:val="single"/>
        </w:rPr>
        <w:t>tumoraktivitet i prækliniske modeller</w:t>
      </w:r>
    </w:p>
    <w:p w:rsidR="007B43B6" w:rsidRPr="00FB065A" w:rsidRDefault="007B43B6" w:rsidP="007B43B6">
      <w:pPr>
        <w:tabs>
          <w:tab w:val="left" w:pos="851"/>
        </w:tabs>
        <w:ind w:left="851" w:right="605" w:hanging="851"/>
      </w:pPr>
      <w:r>
        <w:tab/>
      </w:r>
      <w:r w:rsidRPr="00FB065A">
        <w:t xml:space="preserve">I dyremodeller er </w:t>
      </w:r>
      <w:proofErr w:type="spellStart"/>
      <w:r w:rsidRPr="00FB065A">
        <w:t>gemcitabins</w:t>
      </w:r>
      <w:proofErr w:type="spellEnd"/>
      <w:r w:rsidRPr="00FB065A">
        <w:t xml:space="preserve"> </w:t>
      </w:r>
      <w:proofErr w:type="spellStart"/>
      <w:r w:rsidRPr="00FB065A">
        <w:t>antitumoraktivitet</w:t>
      </w:r>
      <w:proofErr w:type="spellEnd"/>
      <w:r w:rsidRPr="00FB065A">
        <w:t xml:space="preserve"> afhængig af administrationsfrekvensen. Gives </w:t>
      </w:r>
      <w:proofErr w:type="spellStart"/>
      <w:r w:rsidRPr="00FB065A">
        <w:t>gemcitabin</w:t>
      </w:r>
      <w:proofErr w:type="spellEnd"/>
      <w:r w:rsidRPr="00FB065A">
        <w:t xml:space="preserve"> daglig, ses høj </w:t>
      </w:r>
      <w:proofErr w:type="spellStart"/>
      <w:r w:rsidRPr="00FB065A">
        <w:t>letalitet</w:t>
      </w:r>
      <w:proofErr w:type="spellEnd"/>
      <w:r w:rsidRPr="00FB065A">
        <w:t xml:space="preserve"> og ringe </w:t>
      </w:r>
      <w:proofErr w:type="spellStart"/>
      <w:r>
        <w:t>anti</w:t>
      </w:r>
      <w:proofErr w:type="spellEnd"/>
      <w:r>
        <w:t>-</w:t>
      </w:r>
      <w:r w:rsidRPr="00FB065A">
        <w:t xml:space="preserve">tumoraktivitet. Gives </w:t>
      </w:r>
      <w:proofErr w:type="spellStart"/>
      <w:r w:rsidRPr="00FB065A">
        <w:t>gemcitabin</w:t>
      </w:r>
      <w:proofErr w:type="spellEnd"/>
      <w:r w:rsidRPr="00FB065A">
        <w:t xml:space="preserve"> derimod hver 3. eller 4. dag, kan det gives i ikke-letale doser, med betydelig </w:t>
      </w:r>
      <w:proofErr w:type="spellStart"/>
      <w:r w:rsidRPr="00FB065A">
        <w:t>anti</w:t>
      </w:r>
      <w:proofErr w:type="spellEnd"/>
      <w:r>
        <w:t>-</w:t>
      </w:r>
      <w:r w:rsidRPr="00FB065A">
        <w:t>tumoraktivitet mod et bredt spektrum af musetumorer.</w:t>
      </w:r>
    </w:p>
    <w:p w:rsidR="007B43B6" w:rsidRPr="00FB065A" w:rsidRDefault="007B43B6" w:rsidP="007B43B6">
      <w:pPr>
        <w:tabs>
          <w:tab w:val="left" w:pos="851"/>
        </w:tabs>
        <w:ind w:left="851" w:right="605" w:hanging="851"/>
      </w:pPr>
    </w:p>
    <w:p w:rsidR="007B43B6" w:rsidRPr="00FB065A" w:rsidRDefault="007B43B6" w:rsidP="007B43B6">
      <w:pPr>
        <w:tabs>
          <w:tab w:val="left" w:pos="851"/>
        </w:tabs>
        <w:ind w:left="851" w:right="605" w:hanging="851"/>
        <w:rPr>
          <w:u w:val="single"/>
        </w:rPr>
      </w:pPr>
      <w:r>
        <w:tab/>
      </w:r>
      <w:r w:rsidRPr="00FB065A">
        <w:rPr>
          <w:u w:val="single"/>
        </w:rPr>
        <w:t>Virkningsmekanisme</w:t>
      </w:r>
    </w:p>
    <w:p w:rsidR="007B43B6" w:rsidRPr="00FB065A" w:rsidRDefault="007B43B6" w:rsidP="007B43B6">
      <w:pPr>
        <w:tabs>
          <w:tab w:val="left" w:pos="851"/>
        </w:tabs>
        <w:ind w:left="851" w:right="605" w:hanging="851"/>
      </w:pPr>
      <w:r>
        <w:tab/>
      </w:r>
      <w:r w:rsidRPr="00FB065A">
        <w:t>Cellulær metabolisme og virkningsmekanisme</w:t>
      </w:r>
      <w:r>
        <w:t>:</w:t>
      </w:r>
      <w:r w:rsidRPr="00FB065A">
        <w:t xml:space="preserve"> </w:t>
      </w:r>
      <w:proofErr w:type="spellStart"/>
      <w:r w:rsidRPr="00FB065A">
        <w:t>Gemcitabin</w:t>
      </w:r>
      <w:proofErr w:type="spellEnd"/>
      <w:r w:rsidRPr="00FB065A">
        <w:t xml:space="preserve"> (</w:t>
      </w:r>
      <w:proofErr w:type="spellStart"/>
      <w:r>
        <w:t>dFdC</w:t>
      </w:r>
      <w:proofErr w:type="spellEnd"/>
      <w:r>
        <w:t>)</w:t>
      </w:r>
      <w:r w:rsidRPr="00FB065A">
        <w:t xml:space="preserve">, som er en </w:t>
      </w:r>
      <w:proofErr w:type="spellStart"/>
      <w:r w:rsidRPr="00FB065A">
        <w:t>pyrimidin</w:t>
      </w:r>
      <w:proofErr w:type="spellEnd"/>
      <w:r w:rsidRPr="00FB065A">
        <w:t xml:space="preserve"> antimetabolit, </w:t>
      </w:r>
      <w:proofErr w:type="spellStart"/>
      <w:r w:rsidRPr="00FB065A">
        <w:t>metaboliseres</w:t>
      </w:r>
      <w:proofErr w:type="spellEnd"/>
      <w:r w:rsidRPr="00FB065A">
        <w:t xml:space="preserve"> intracellulært af </w:t>
      </w:r>
      <w:proofErr w:type="spellStart"/>
      <w:r w:rsidRPr="00FB065A">
        <w:t>nukleosid-kinaser</w:t>
      </w:r>
      <w:proofErr w:type="spellEnd"/>
      <w:r w:rsidRPr="00FB065A">
        <w:t xml:space="preserve"> til de </w:t>
      </w:r>
      <w:proofErr w:type="spellStart"/>
      <w:r w:rsidRPr="00FB065A">
        <w:t>active</w:t>
      </w:r>
      <w:proofErr w:type="spellEnd"/>
      <w:r w:rsidRPr="00FB065A">
        <w:t xml:space="preserve"> </w:t>
      </w:r>
      <w:proofErr w:type="spellStart"/>
      <w:r w:rsidRPr="00FB065A">
        <w:t>difosfat</w:t>
      </w:r>
      <w:proofErr w:type="spellEnd"/>
      <w:r w:rsidRPr="00FB065A">
        <w:t>-(</w:t>
      </w:r>
      <w:proofErr w:type="spellStart"/>
      <w:r w:rsidRPr="00FB065A">
        <w:t>dFdCDP</w:t>
      </w:r>
      <w:proofErr w:type="spellEnd"/>
      <w:r w:rsidRPr="00FB065A">
        <w:t>) og trifosfat-(</w:t>
      </w:r>
      <w:proofErr w:type="spellStart"/>
      <w:r w:rsidRPr="00FB065A">
        <w:t>dFdCTP</w:t>
      </w:r>
      <w:proofErr w:type="spellEnd"/>
      <w:r w:rsidRPr="00FB065A">
        <w:t xml:space="preserve">) </w:t>
      </w:r>
      <w:proofErr w:type="spellStart"/>
      <w:r w:rsidRPr="00FB065A">
        <w:t>nukleosider</w:t>
      </w:r>
      <w:proofErr w:type="spellEnd"/>
      <w:r w:rsidRPr="00FB065A">
        <w:t xml:space="preserve">. Den </w:t>
      </w:r>
      <w:proofErr w:type="spellStart"/>
      <w:r w:rsidRPr="00FB065A">
        <w:t>cytotoksiske</w:t>
      </w:r>
      <w:proofErr w:type="spellEnd"/>
      <w:r w:rsidRPr="00FB065A">
        <w:t xml:space="preserve"> effekt af </w:t>
      </w:r>
      <w:proofErr w:type="spellStart"/>
      <w:r w:rsidRPr="00FB065A">
        <w:t>gemcitabin</w:t>
      </w:r>
      <w:proofErr w:type="spellEnd"/>
      <w:r w:rsidRPr="00FB065A">
        <w:t xml:space="preserve"> skyldes en hæmning af DNA-syntesen ved hjælp af to virkningsmekanismer af </w:t>
      </w:r>
      <w:proofErr w:type="spellStart"/>
      <w:r w:rsidRPr="00FB065A">
        <w:t>dFdCDP</w:t>
      </w:r>
      <w:proofErr w:type="spellEnd"/>
      <w:r w:rsidRPr="00FB065A">
        <w:t xml:space="preserve"> og </w:t>
      </w:r>
      <w:proofErr w:type="spellStart"/>
      <w:r w:rsidRPr="00FB065A">
        <w:t>dFdCTP</w:t>
      </w:r>
      <w:proofErr w:type="spellEnd"/>
      <w:r w:rsidRPr="00FB065A">
        <w:t xml:space="preserve">. For det første hæmmer </w:t>
      </w:r>
      <w:proofErr w:type="spellStart"/>
      <w:r w:rsidRPr="00FB065A">
        <w:t>dFdCDP</w:t>
      </w:r>
      <w:proofErr w:type="spellEnd"/>
      <w:r w:rsidRPr="00FB065A">
        <w:t xml:space="preserve"> </w:t>
      </w:r>
      <w:proofErr w:type="spellStart"/>
      <w:r w:rsidRPr="00FB065A">
        <w:t>ribonukleotid-reduktase</w:t>
      </w:r>
      <w:proofErr w:type="spellEnd"/>
      <w:r w:rsidRPr="00FB065A">
        <w:t xml:space="preserve">, som er den eneste katalysator for produktionen af </w:t>
      </w:r>
      <w:proofErr w:type="spellStart"/>
      <w:r w:rsidRPr="00FB065A">
        <w:t>deoxynukleosid</w:t>
      </w:r>
      <w:proofErr w:type="spellEnd"/>
      <w:r w:rsidRPr="00FB065A">
        <w:t xml:space="preserve">-trifosfater til DNA-syntesen. Hæmning af dette enzym med </w:t>
      </w:r>
      <w:proofErr w:type="spellStart"/>
      <w:r w:rsidRPr="00FB065A">
        <w:t>dFdCDP</w:t>
      </w:r>
      <w:proofErr w:type="spellEnd"/>
      <w:r w:rsidRPr="00FB065A">
        <w:t xml:space="preserve"> giver en reduktion i koncentrationen af </w:t>
      </w:r>
      <w:proofErr w:type="spellStart"/>
      <w:r w:rsidRPr="00FB065A">
        <w:t>deoxynukleosider</w:t>
      </w:r>
      <w:proofErr w:type="spellEnd"/>
      <w:r w:rsidRPr="00FB065A">
        <w:t xml:space="preserve"> generelt og specielt </w:t>
      </w:r>
      <w:proofErr w:type="spellStart"/>
      <w:r w:rsidRPr="00FB065A">
        <w:t>dCTP</w:t>
      </w:r>
      <w:proofErr w:type="spellEnd"/>
      <w:r w:rsidRPr="00FB065A">
        <w:t xml:space="preserve">. For det andet konkurrerer </w:t>
      </w:r>
      <w:proofErr w:type="spellStart"/>
      <w:r w:rsidRPr="00FB065A">
        <w:t>dFdCTP</w:t>
      </w:r>
      <w:proofErr w:type="spellEnd"/>
      <w:r w:rsidRPr="00FB065A">
        <w:t xml:space="preserve"> med </w:t>
      </w:r>
      <w:proofErr w:type="spellStart"/>
      <w:r w:rsidRPr="00FB065A">
        <w:t>dCTP</w:t>
      </w:r>
      <w:proofErr w:type="spellEnd"/>
      <w:r w:rsidRPr="00FB065A">
        <w:t xml:space="preserve"> om optagelsen i DNA (selvforstærkende).</w:t>
      </w:r>
    </w:p>
    <w:p w:rsidR="007B43B6" w:rsidRPr="00FB065A" w:rsidRDefault="007B43B6" w:rsidP="007B43B6">
      <w:pPr>
        <w:tabs>
          <w:tab w:val="left" w:pos="851"/>
        </w:tabs>
        <w:ind w:left="851" w:right="605" w:hanging="851"/>
      </w:pPr>
    </w:p>
    <w:p w:rsidR="007B43B6" w:rsidRPr="00FB065A" w:rsidRDefault="007B43B6" w:rsidP="007B43B6">
      <w:pPr>
        <w:tabs>
          <w:tab w:val="left" w:pos="851"/>
        </w:tabs>
        <w:ind w:left="851" w:right="605" w:hanging="851"/>
      </w:pPr>
      <w:r>
        <w:tab/>
      </w:r>
      <w:r w:rsidRPr="00FB065A">
        <w:t xml:space="preserve">Ligeledes kan en lille mængde </w:t>
      </w:r>
      <w:proofErr w:type="spellStart"/>
      <w:r w:rsidRPr="00FB065A">
        <w:t>gemcitabin</w:t>
      </w:r>
      <w:proofErr w:type="spellEnd"/>
      <w:r w:rsidRPr="00FB065A">
        <w:t xml:space="preserve"> også blive optaget i RNA. Således forstærker reduktionen </w:t>
      </w:r>
      <w:r>
        <w:t>i</w:t>
      </w:r>
      <w:r w:rsidRPr="00FB065A">
        <w:t xml:space="preserve"> den intracellulære koncentration af </w:t>
      </w:r>
      <w:proofErr w:type="spellStart"/>
      <w:r w:rsidRPr="00FB065A">
        <w:t>dCTP</w:t>
      </w:r>
      <w:proofErr w:type="spellEnd"/>
      <w:r w:rsidRPr="00FB065A">
        <w:t xml:space="preserve"> optagelsen af </w:t>
      </w:r>
      <w:proofErr w:type="spellStart"/>
      <w:r w:rsidRPr="00FB065A">
        <w:t>dFdCTP</w:t>
      </w:r>
      <w:proofErr w:type="spellEnd"/>
      <w:r w:rsidRPr="00FB065A">
        <w:t xml:space="preserve"> i DNA. DNA polymerase er ikke </w:t>
      </w:r>
      <w:r>
        <w:t>i</w:t>
      </w:r>
      <w:r w:rsidRPr="00FB065A">
        <w:t xml:space="preserve"> stand til at fjerne </w:t>
      </w:r>
      <w:proofErr w:type="spellStart"/>
      <w:r w:rsidRPr="00FB065A">
        <w:t>gemcitabin</w:t>
      </w:r>
      <w:proofErr w:type="spellEnd"/>
      <w:r w:rsidRPr="00FB065A">
        <w:t xml:space="preserve"> og reparere de voksende DNA-strenge. Efter </w:t>
      </w:r>
      <w:proofErr w:type="spellStart"/>
      <w:r w:rsidRPr="00FB065A">
        <w:t>gemcitabin</w:t>
      </w:r>
      <w:proofErr w:type="spellEnd"/>
      <w:r w:rsidRPr="00FB065A">
        <w:t xml:space="preserve"> er optaget i DNA</w:t>
      </w:r>
      <w:r>
        <w:t>,</w:t>
      </w:r>
      <w:r w:rsidRPr="00FB065A">
        <w:t xml:space="preserve"> øges de voksende DNA-strenge med et ekstra nukleotid. Denne nukleotidforøgelse betyder i princippet en fuldstændig hæmning af den fortsatte DNA-syntese (maskeret </w:t>
      </w:r>
      <w:proofErr w:type="spellStart"/>
      <w:r w:rsidRPr="00FB065A">
        <w:t>kædeterminering</w:t>
      </w:r>
      <w:proofErr w:type="spellEnd"/>
      <w:r w:rsidRPr="00FB065A">
        <w:t xml:space="preserve">). Efter optagelse </w:t>
      </w:r>
      <w:r>
        <w:t>i</w:t>
      </w:r>
      <w:r w:rsidRPr="00FB065A">
        <w:t xml:space="preserve"> DNA synes </w:t>
      </w:r>
      <w:proofErr w:type="spellStart"/>
      <w:r w:rsidRPr="00FB065A">
        <w:t>gemcitabin</w:t>
      </w:r>
      <w:proofErr w:type="spellEnd"/>
      <w:r w:rsidRPr="00FB065A">
        <w:t xml:space="preserve"> at inducere den programmerede proces for </w:t>
      </w:r>
      <w:proofErr w:type="spellStart"/>
      <w:r w:rsidRPr="00FB065A">
        <w:t>celledød</w:t>
      </w:r>
      <w:proofErr w:type="spellEnd"/>
      <w:r w:rsidRPr="00FB065A">
        <w:t xml:space="preserve"> kendt som </w:t>
      </w:r>
      <w:proofErr w:type="spellStart"/>
      <w:r w:rsidRPr="00FB065A">
        <w:t>apoptose</w:t>
      </w:r>
      <w:proofErr w:type="spellEnd"/>
      <w:r w:rsidRPr="00FB065A">
        <w:t>.</w:t>
      </w:r>
    </w:p>
    <w:p w:rsidR="007B43B6" w:rsidRPr="00FB065A" w:rsidRDefault="007B43B6" w:rsidP="007B43B6">
      <w:pPr>
        <w:tabs>
          <w:tab w:val="left" w:pos="851"/>
        </w:tabs>
        <w:ind w:left="851" w:right="605" w:hanging="851"/>
      </w:pPr>
    </w:p>
    <w:p w:rsidR="007B43B6" w:rsidRPr="00FB065A" w:rsidRDefault="007B43B6" w:rsidP="007B43B6">
      <w:pPr>
        <w:keepNext/>
        <w:tabs>
          <w:tab w:val="left" w:pos="851"/>
        </w:tabs>
        <w:ind w:left="851" w:right="607" w:hanging="851"/>
        <w:rPr>
          <w:u w:val="single"/>
        </w:rPr>
      </w:pPr>
      <w:r>
        <w:tab/>
      </w:r>
      <w:r w:rsidRPr="00FB065A">
        <w:rPr>
          <w:u w:val="single"/>
        </w:rPr>
        <w:t>Kliniske data</w:t>
      </w:r>
    </w:p>
    <w:p w:rsidR="007B43B6" w:rsidRDefault="007B43B6" w:rsidP="007B43B6">
      <w:pPr>
        <w:keepNext/>
        <w:tabs>
          <w:tab w:val="left" w:pos="851"/>
        </w:tabs>
        <w:ind w:left="851" w:right="607" w:hanging="851"/>
      </w:pPr>
      <w:r>
        <w:tab/>
      </w:r>
    </w:p>
    <w:p w:rsidR="007B43B6" w:rsidRPr="00E435CD" w:rsidRDefault="007B43B6" w:rsidP="007B43B6">
      <w:pPr>
        <w:keepNext/>
        <w:tabs>
          <w:tab w:val="left" w:pos="851"/>
        </w:tabs>
        <w:ind w:left="851" w:right="607" w:hanging="851"/>
        <w:rPr>
          <w:i/>
        </w:rPr>
      </w:pPr>
      <w:r w:rsidRPr="00E435CD">
        <w:tab/>
      </w:r>
      <w:r w:rsidRPr="00E435CD">
        <w:rPr>
          <w:i/>
        </w:rPr>
        <w:t>Blærecancer</w:t>
      </w:r>
    </w:p>
    <w:p w:rsidR="007B43B6" w:rsidRPr="00FB065A" w:rsidRDefault="007B43B6" w:rsidP="007B43B6">
      <w:pPr>
        <w:tabs>
          <w:tab w:val="left" w:pos="851"/>
        </w:tabs>
        <w:ind w:left="851" w:right="605" w:hanging="851"/>
      </w:pPr>
      <w:r>
        <w:tab/>
      </w:r>
      <w:r w:rsidRPr="00FB065A">
        <w:t xml:space="preserve">En randomiseret fase III undersøgelse med 405 patienter med fremskreden eller metastatisk </w:t>
      </w:r>
      <w:proofErr w:type="spellStart"/>
      <w:r w:rsidRPr="00FB065A">
        <w:t>urothelialt</w:t>
      </w:r>
      <w:proofErr w:type="spellEnd"/>
      <w:r w:rsidRPr="00FB065A">
        <w:t xml:space="preserve"> </w:t>
      </w:r>
      <w:proofErr w:type="spellStart"/>
      <w:r w:rsidRPr="00FB065A">
        <w:t>transitiocellulært</w:t>
      </w:r>
      <w:proofErr w:type="spellEnd"/>
      <w:r w:rsidRPr="00FB065A">
        <w:t xml:space="preserve"> karcinom, sås ingen forskel mellem de to behandlingsarme, </w:t>
      </w:r>
      <w:proofErr w:type="spellStart"/>
      <w:r w:rsidRPr="00FB065A">
        <w:t>gemcitabin</w:t>
      </w:r>
      <w:proofErr w:type="spellEnd"/>
      <w:r w:rsidRPr="00FB065A">
        <w:t>/</w:t>
      </w:r>
      <w:proofErr w:type="spellStart"/>
      <w:r w:rsidRPr="00FB065A">
        <w:t>cisplatin</w:t>
      </w:r>
      <w:proofErr w:type="spellEnd"/>
      <w:r w:rsidRPr="00FB065A">
        <w:t xml:space="preserve"> versus </w:t>
      </w:r>
      <w:proofErr w:type="spellStart"/>
      <w:r w:rsidRPr="00FB065A">
        <w:lastRenderedPageBreak/>
        <w:t>methotrexat</w:t>
      </w:r>
      <w:proofErr w:type="spellEnd"/>
      <w:r w:rsidRPr="00FB065A">
        <w:t>/</w:t>
      </w:r>
      <w:proofErr w:type="spellStart"/>
      <w:r w:rsidRPr="00FB065A">
        <w:t>vinblastin</w:t>
      </w:r>
      <w:proofErr w:type="spellEnd"/>
      <w:r w:rsidRPr="00FB065A">
        <w:t>/</w:t>
      </w:r>
      <w:proofErr w:type="spellStart"/>
      <w:r w:rsidRPr="00FB065A">
        <w:t>adriamycin</w:t>
      </w:r>
      <w:proofErr w:type="spellEnd"/>
      <w:r w:rsidRPr="00FB065A">
        <w:t>/</w:t>
      </w:r>
      <w:proofErr w:type="spellStart"/>
      <w:r w:rsidRPr="00FB065A">
        <w:t>cisplatin</w:t>
      </w:r>
      <w:proofErr w:type="spellEnd"/>
      <w:r w:rsidRPr="00FB065A">
        <w:t xml:space="preserve"> (MVAC), hvad angår median overlevelse (henholdsvis 12,8 måneder og 14,8 måneder, p=0,547), tid til progression i sygdommen (henholdsvis 7,4 måneder og 7,6 måneder, p=0,842) og responsrate (henholdsvis 49,4</w:t>
      </w:r>
      <w:r>
        <w:t xml:space="preserve"> </w:t>
      </w:r>
      <w:r w:rsidRPr="00FB065A">
        <w:t>% og 45,7</w:t>
      </w:r>
      <w:r>
        <w:t xml:space="preserve"> </w:t>
      </w:r>
      <w:r w:rsidRPr="00FB065A">
        <w:t xml:space="preserve">%, p=0,512). Kombinationen af </w:t>
      </w:r>
      <w:proofErr w:type="spellStart"/>
      <w:r w:rsidRPr="00FB065A">
        <w:t>gemcitabin</w:t>
      </w:r>
      <w:proofErr w:type="spellEnd"/>
      <w:r w:rsidRPr="00FB065A">
        <w:t xml:space="preserve"> og </w:t>
      </w:r>
      <w:proofErr w:type="spellStart"/>
      <w:r w:rsidRPr="00FB065A">
        <w:t>cisplatin</w:t>
      </w:r>
      <w:proofErr w:type="spellEnd"/>
      <w:r w:rsidRPr="00FB065A">
        <w:t xml:space="preserve"> havde dog en bedre toksicitetsprofil end MVAC.</w:t>
      </w:r>
    </w:p>
    <w:p w:rsidR="007B43B6" w:rsidRPr="00FB065A" w:rsidRDefault="007B43B6" w:rsidP="007B43B6">
      <w:pPr>
        <w:tabs>
          <w:tab w:val="left" w:pos="851"/>
        </w:tabs>
        <w:ind w:left="851" w:right="605" w:hanging="851"/>
      </w:pPr>
    </w:p>
    <w:p w:rsidR="00A06F90" w:rsidRPr="00E435CD" w:rsidRDefault="007B43B6" w:rsidP="00A06F90">
      <w:pPr>
        <w:keepNext/>
        <w:tabs>
          <w:tab w:val="left" w:pos="851"/>
        </w:tabs>
        <w:ind w:left="851" w:right="607" w:hanging="851"/>
        <w:rPr>
          <w:i/>
        </w:rPr>
      </w:pPr>
      <w:r w:rsidRPr="00E435CD">
        <w:tab/>
      </w:r>
      <w:r w:rsidR="00A06F90" w:rsidRPr="00E435CD">
        <w:rPr>
          <w:i/>
        </w:rPr>
        <w:t>Pancreascancer</w:t>
      </w:r>
    </w:p>
    <w:p w:rsidR="00A06F90" w:rsidRPr="00FB065A" w:rsidRDefault="00A06F90" w:rsidP="00A06F90">
      <w:pPr>
        <w:keepNext/>
        <w:tabs>
          <w:tab w:val="left" w:pos="851"/>
        </w:tabs>
        <w:ind w:left="851" w:right="607" w:hanging="851"/>
        <w:rPr>
          <w:color w:val="000000"/>
          <w:spacing w:val="2"/>
        </w:rPr>
      </w:pPr>
      <w:r>
        <w:tab/>
      </w:r>
      <w:r w:rsidRPr="00FB065A">
        <w:t xml:space="preserve">I en randomiseret fase III undersøgelse af 126 patienter med fremskreden eller metastatisk pancreascancer viste </w:t>
      </w:r>
      <w:proofErr w:type="spellStart"/>
      <w:r w:rsidRPr="00FB065A">
        <w:t>gemcitabin</w:t>
      </w:r>
      <w:proofErr w:type="spellEnd"/>
      <w:r w:rsidRPr="00FB065A">
        <w:t xml:space="preserve"> en statistisk signifikant høj </w:t>
      </w:r>
      <w:proofErr w:type="spellStart"/>
      <w:r w:rsidRPr="00FB065A">
        <w:t>ere</w:t>
      </w:r>
      <w:proofErr w:type="spellEnd"/>
      <w:r w:rsidRPr="00FB065A">
        <w:t xml:space="preserve"> responsrate end 5-fluorouracil udtrykt ved klinisk forbedring (henholdsvis 23,8</w:t>
      </w:r>
      <w:r>
        <w:t xml:space="preserve"> </w:t>
      </w:r>
      <w:r w:rsidRPr="00FB065A">
        <w:t>% og 4,8</w:t>
      </w:r>
      <w:r>
        <w:t xml:space="preserve"> </w:t>
      </w:r>
      <w:r w:rsidRPr="00FB065A">
        <w:t>%; p=0,0022). Desuden sås en statistisk signifikant forlængelse af tiden til progression fra 0,9 til 2,3 måneder (log-rank p&lt;0,0002) og en statistisk signifikant forlængelse af median</w:t>
      </w:r>
      <w:r w:rsidRPr="00FB065A">
        <w:rPr>
          <w:color w:val="000000"/>
          <w:spacing w:val="2"/>
        </w:rPr>
        <w:t xml:space="preserve">overlevelse fra 4,4 til 5,7 måneder (log-rank p&lt;0,0024) blev observeret hos </w:t>
      </w:r>
      <w:proofErr w:type="spellStart"/>
      <w:r w:rsidRPr="00FB065A">
        <w:rPr>
          <w:color w:val="000000"/>
          <w:spacing w:val="2"/>
        </w:rPr>
        <w:t>gemcitabinbehandlede</w:t>
      </w:r>
      <w:proofErr w:type="spellEnd"/>
      <w:r w:rsidRPr="00FB065A">
        <w:rPr>
          <w:color w:val="000000"/>
          <w:spacing w:val="2"/>
        </w:rPr>
        <w:t xml:space="preserve"> patienter </w:t>
      </w:r>
      <w:r>
        <w:rPr>
          <w:color w:val="000000"/>
          <w:spacing w:val="2"/>
        </w:rPr>
        <w:t>i</w:t>
      </w:r>
      <w:r w:rsidRPr="00FB065A">
        <w:rPr>
          <w:color w:val="000000"/>
          <w:spacing w:val="2"/>
        </w:rPr>
        <w:t xml:space="preserve"> forhold til patienter behandlet med 5-fluorouracil.</w:t>
      </w:r>
    </w:p>
    <w:p w:rsidR="007B43B6" w:rsidRPr="00FB065A" w:rsidRDefault="007B43B6" w:rsidP="00A06F90">
      <w:pPr>
        <w:tabs>
          <w:tab w:val="left" w:pos="851"/>
        </w:tabs>
        <w:ind w:left="851" w:right="605" w:hanging="851"/>
      </w:pPr>
    </w:p>
    <w:p w:rsidR="007B43B6" w:rsidRPr="00E435CD" w:rsidRDefault="007B43B6" w:rsidP="007B43B6">
      <w:pPr>
        <w:tabs>
          <w:tab w:val="left" w:pos="851"/>
        </w:tabs>
        <w:ind w:left="851" w:right="605" w:hanging="851"/>
        <w:rPr>
          <w:i/>
        </w:rPr>
      </w:pPr>
      <w:r w:rsidRPr="00E435CD">
        <w:tab/>
      </w:r>
      <w:r w:rsidRPr="00E435CD">
        <w:rPr>
          <w:i/>
        </w:rPr>
        <w:t>Ikke-småcellet lungecancer</w:t>
      </w:r>
    </w:p>
    <w:p w:rsidR="007B43B6" w:rsidRPr="00FB065A" w:rsidRDefault="007B43B6" w:rsidP="007B43B6">
      <w:pPr>
        <w:tabs>
          <w:tab w:val="left" w:pos="851"/>
        </w:tabs>
        <w:ind w:left="851" w:right="605" w:hanging="851"/>
      </w:pPr>
      <w:r>
        <w:tab/>
      </w:r>
      <w:r w:rsidRPr="00FB065A">
        <w:t xml:space="preserve">I en randomiseret fase III undersøgelse af 522 patienter med inoperabel, lokalt fremskreden eller metastatisk ikke-småcellet lungecancer viste </w:t>
      </w:r>
      <w:proofErr w:type="spellStart"/>
      <w:r w:rsidRPr="00FB065A">
        <w:t>gemcitabin</w:t>
      </w:r>
      <w:proofErr w:type="spellEnd"/>
      <w:r w:rsidRPr="00FB065A">
        <w:t xml:space="preserve"> i kombination med </w:t>
      </w:r>
      <w:proofErr w:type="spellStart"/>
      <w:r w:rsidRPr="00FB065A">
        <w:t>cisplatin</w:t>
      </w:r>
      <w:proofErr w:type="spellEnd"/>
      <w:r w:rsidRPr="00FB065A">
        <w:t xml:space="preserve"> en statistisk signifikant højere responsrate end </w:t>
      </w:r>
      <w:proofErr w:type="spellStart"/>
      <w:r w:rsidRPr="00FB065A">
        <w:t>cisplatin</w:t>
      </w:r>
      <w:proofErr w:type="spellEnd"/>
      <w:r w:rsidRPr="00FB065A">
        <w:t xml:space="preserve"> alene (henholdsvis 31,0</w:t>
      </w:r>
      <w:r>
        <w:t xml:space="preserve"> </w:t>
      </w:r>
      <w:r w:rsidRPr="00FB065A">
        <w:t>% og 12,0</w:t>
      </w:r>
      <w:r>
        <w:t xml:space="preserve"> </w:t>
      </w:r>
      <w:r w:rsidRPr="00FB065A">
        <w:t xml:space="preserve">%; p&lt;0,0001). En statistisk signifikant forlængelse af tiden til progression i sygdommen fra 3,7 til 5,6 måneder (log-rank p&lt;0,0012) samt en statistisk </w:t>
      </w:r>
      <w:proofErr w:type="spellStart"/>
      <w:r w:rsidRPr="00FB065A">
        <w:t>significant</w:t>
      </w:r>
      <w:proofErr w:type="spellEnd"/>
      <w:r w:rsidRPr="00FB065A">
        <w:t xml:space="preserve"> forlængelse af median overlevelse fra 7,6 til 9,1 måneder (log-rank p&lt;0,004) blev observeret hos patienter behandlet med </w:t>
      </w:r>
      <w:proofErr w:type="spellStart"/>
      <w:r w:rsidRPr="00FB065A">
        <w:t>gemcitabin</w:t>
      </w:r>
      <w:proofErr w:type="spellEnd"/>
      <w:r w:rsidRPr="00FB065A">
        <w:t>/</w:t>
      </w:r>
      <w:proofErr w:type="spellStart"/>
      <w:r w:rsidRPr="00FB065A">
        <w:t>cisplatin</w:t>
      </w:r>
      <w:proofErr w:type="spellEnd"/>
      <w:r w:rsidRPr="00FB065A">
        <w:t xml:space="preserve"> i forhold til </w:t>
      </w:r>
      <w:proofErr w:type="spellStart"/>
      <w:r w:rsidRPr="00FB065A">
        <w:t>cisplatinbehandlede</w:t>
      </w:r>
      <w:proofErr w:type="spellEnd"/>
      <w:r w:rsidRPr="00FB065A">
        <w:t xml:space="preserve"> patienter.</w:t>
      </w:r>
    </w:p>
    <w:p w:rsidR="007B43B6" w:rsidRPr="00FB065A" w:rsidRDefault="007B43B6" w:rsidP="007B43B6">
      <w:pPr>
        <w:tabs>
          <w:tab w:val="left" w:pos="851"/>
        </w:tabs>
        <w:ind w:left="851" w:right="605" w:hanging="851"/>
      </w:pPr>
      <w:r>
        <w:tab/>
      </w:r>
      <w:r w:rsidRPr="00FB065A">
        <w:t>I en anden randomiseret fase III undersøgelse af 135 patienter med ikke-småcellet lungecancer stadi</w:t>
      </w:r>
      <w:r>
        <w:t>e</w:t>
      </w:r>
      <w:r w:rsidRPr="00FB065A">
        <w:t xml:space="preserve"> IIIB eller IV havde en kombination af </w:t>
      </w:r>
      <w:proofErr w:type="spellStart"/>
      <w:r w:rsidRPr="00FB065A">
        <w:t>gemcitabin</w:t>
      </w:r>
      <w:proofErr w:type="spellEnd"/>
      <w:r w:rsidRPr="00FB065A">
        <w:t xml:space="preserve"> og </w:t>
      </w:r>
      <w:proofErr w:type="spellStart"/>
      <w:r w:rsidRPr="00FB065A">
        <w:t>cisplatin</w:t>
      </w:r>
      <w:proofErr w:type="spellEnd"/>
      <w:r w:rsidRPr="00FB065A">
        <w:t xml:space="preserve"> en statistisk signifikant højere responsrate end en kombination af </w:t>
      </w:r>
      <w:proofErr w:type="spellStart"/>
      <w:r w:rsidRPr="00FB065A">
        <w:t>cisplatin</w:t>
      </w:r>
      <w:proofErr w:type="spellEnd"/>
      <w:r w:rsidRPr="00FB065A">
        <w:t xml:space="preserve"> og </w:t>
      </w:r>
      <w:proofErr w:type="spellStart"/>
      <w:r w:rsidRPr="00FB065A">
        <w:t>etoposid</w:t>
      </w:r>
      <w:proofErr w:type="spellEnd"/>
      <w:r w:rsidRPr="00FB065A">
        <w:t xml:space="preserve"> (henholdsvis 40</w:t>
      </w:r>
      <w:r>
        <w:t>,</w:t>
      </w:r>
      <w:r w:rsidRPr="00FB065A">
        <w:t>6</w:t>
      </w:r>
      <w:r>
        <w:t xml:space="preserve"> </w:t>
      </w:r>
      <w:r w:rsidRPr="00FB065A">
        <w:t>% og 21,2</w:t>
      </w:r>
      <w:r>
        <w:t xml:space="preserve"> </w:t>
      </w:r>
      <w:r w:rsidRPr="00FB065A">
        <w:t xml:space="preserve">%; p=0,025). En statistisk </w:t>
      </w:r>
      <w:proofErr w:type="spellStart"/>
      <w:r w:rsidRPr="00FB065A">
        <w:t>significant</w:t>
      </w:r>
      <w:proofErr w:type="spellEnd"/>
      <w:r w:rsidRPr="00FB065A">
        <w:t xml:space="preserve"> forlængelse af tiden til progression fra 4,3 måneder med </w:t>
      </w:r>
      <w:proofErr w:type="spellStart"/>
      <w:r w:rsidRPr="00FB065A">
        <w:t>etoposid</w:t>
      </w:r>
      <w:proofErr w:type="spellEnd"/>
      <w:r w:rsidRPr="00FB065A">
        <w:t>/</w:t>
      </w:r>
      <w:proofErr w:type="spellStart"/>
      <w:r w:rsidRPr="00FB065A">
        <w:t>cisplatin</w:t>
      </w:r>
      <w:proofErr w:type="spellEnd"/>
      <w:r w:rsidRPr="00FB065A">
        <w:t xml:space="preserve"> til 6,9 måneder med </w:t>
      </w:r>
      <w:proofErr w:type="spellStart"/>
      <w:r w:rsidRPr="00FB065A">
        <w:t>gemcitabin</w:t>
      </w:r>
      <w:proofErr w:type="spellEnd"/>
      <w:r w:rsidRPr="00FB065A">
        <w:t>/</w:t>
      </w:r>
      <w:proofErr w:type="spellStart"/>
      <w:r w:rsidRPr="00FB065A">
        <w:t>cisplatin</w:t>
      </w:r>
      <w:proofErr w:type="spellEnd"/>
      <w:r w:rsidRPr="00FB065A">
        <w:t xml:space="preserve"> (p=0,014).</w:t>
      </w:r>
    </w:p>
    <w:p w:rsidR="007B43B6" w:rsidRPr="00FB065A" w:rsidRDefault="007B43B6" w:rsidP="007B43B6">
      <w:pPr>
        <w:tabs>
          <w:tab w:val="left" w:pos="851"/>
        </w:tabs>
        <w:ind w:left="851" w:right="605" w:hanging="851"/>
      </w:pPr>
      <w:r>
        <w:tab/>
      </w:r>
      <w:r w:rsidRPr="00FB065A">
        <w:t xml:space="preserve">For begge undersøgelser gælder, at </w:t>
      </w:r>
      <w:proofErr w:type="spellStart"/>
      <w:r w:rsidRPr="00FB065A">
        <w:t>tolerabiliteten</w:t>
      </w:r>
      <w:proofErr w:type="spellEnd"/>
      <w:r w:rsidRPr="00FB065A">
        <w:t xml:space="preserve"> i de to behandlingsarme var ens.</w:t>
      </w:r>
    </w:p>
    <w:p w:rsidR="007B43B6" w:rsidRPr="00FB065A" w:rsidRDefault="007B43B6" w:rsidP="007B43B6">
      <w:pPr>
        <w:tabs>
          <w:tab w:val="left" w:pos="851"/>
        </w:tabs>
        <w:ind w:left="851" w:right="605" w:hanging="851"/>
      </w:pPr>
    </w:p>
    <w:p w:rsidR="007B43B6" w:rsidRPr="00E435CD" w:rsidRDefault="007B43B6" w:rsidP="007B43B6">
      <w:pPr>
        <w:tabs>
          <w:tab w:val="left" w:pos="851"/>
        </w:tabs>
        <w:ind w:left="851" w:right="605" w:hanging="851"/>
        <w:rPr>
          <w:i/>
        </w:rPr>
      </w:pPr>
      <w:r w:rsidRPr="00E435CD">
        <w:tab/>
      </w:r>
      <w:r w:rsidRPr="00E435CD">
        <w:rPr>
          <w:i/>
        </w:rPr>
        <w:t>Ovariekarcinom</w:t>
      </w:r>
    </w:p>
    <w:p w:rsidR="007B43B6" w:rsidRPr="00FB065A" w:rsidRDefault="007B43B6" w:rsidP="007B43B6">
      <w:pPr>
        <w:tabs>
          <w:tab w:val="left" w:pos="851"/>
        </w:tabs>
        <w:ind w:left="851" w:right="605" w:hanging="851"/>
      </w:pPr>
      <w:r>
        <w:tab/>
      </w:r>
      <w:r w:rsidRPr="00FB065A">
        <w:t xml:space="preserve">I en randomiseret fase III undersøgelse blev 356 patienter med fremskreden </w:t>
      </w:r>
      <w:proofErr w:type="spellStart"/>
      <w:r w:rsidRPr="00FB065A">
        <w:t>epitelial</w:t>
      </w:r>
      <w:proofErr w:type="spellEnd"/>
      <w:r w:rsidRPr="00FB065A">
        <w:t xml:space="preserve"> ovariekarcinom med tilbagefald</w:t>
      </w:r>
      <w:r>
        <w:t>,</w:t>
      </w:r>
      <w:r w:rsidRPr="00FB065A">
        <w:t xml:space="preserve"> mindst 6 måneder efter at have afsluttet platinbaseret behandling</w:t>
      </w:r>
      <w:r>
        <w:t>,</w:t>
      </w:r>
      <w:r w:rsidRPr="00FB065A">
        <w:t xml:space="preserve"> randomiseret til behandling med </w:t>
      </w:r>
      <w:proofErr w:type="spellStart"/>
      <w:r w:rsidRPr="00FB065A">
        <w:t>gemcitabin</w:t>
      </w:r>
      <w:proofErr w:type="spellEnd"/>
      <w:r w:rsidRPr="00FB065A">
        <w:t xml:space="preserve"> og </w:t>
      </w:r>
      <w:proofErr w:type="spellStart"/>
      <w:r w:rsidRPr="00FB065A">
        <w:t>carboplatin</w:t>
      </w:r>
      <w:proofErr w:type="spellEnd"/>
      <w:r w:rsidRPr="00FB065A">
        <w:t xml:space="preserve"> (</w:t>
      </w:r>
      <w:proofErr w:type="spellStart"/>
      <w:r w:rsidRPr="00FB065A">
        <w:t>GCb</w:t>
      </w:r>
      <w:proofErr w:type="spellEnd"/>
      <w:r w:rsidRPr="00FB065A">
        <w:t xml:space="preserve">), eller </w:t>
      </w:r>
      <w:proofErr w:type="spellStart"/>
      <w:r w:rsidRPr="00FB065A">
        <w:t>carboplatin</w:t>
      </w:r>
      <w:proofErr w:type="spellEnd"/>
      <w:r w:rsidRPr="00FB065A">
        <w:t xml:space="preserve"> (</w:t>
      </w:r>
      <w:proofErr w:type="spellStart"/>
      <w:r w:rsidRPr="00FB065A">
        <w:t>Cb</w:t>
      </w:r>
      <w:proofErr w:type="spellEnd"/>
      <w:r w:rsidRPr="00FB065A">
        <w:t xml:space="preserve">). En statistisk signifikant forlængelse af tiden til progression af sygdommen, fra 5,8 til 8,6 måneder (log rank p=0,0038) blev observeret hos patienter behandlet med </w:t>
      </w:r>
      <w:proofErr w:type="spellStart"/>
      <w:r w:rsidRPr="00FB065A">
        <w:t>GCb</w:t>
      </w:r>
      <w:proofErr w:type="spellEnd"/>
      <w:r w:rsidRPr="00FB065A">
        <w:t xml:space="preserve"> i forhold til patienter behandlet med </w:t>
      </w:r>
      <w:proofErr w:type="spellStart"/>
      <w:r w:rsidRPr="00FB065A">
        <w:t>Cb</w:t>
      </w:r>
      <w:proofErr w:type="spellEnd"/>
      <w:r w:rsidRPr="00FB065A">
        <w:t>. Forskelle i responsrate, 47,2</w:t>
      </w:r>
      <w:r>
        <w:t xml:space="preserve"> </w:t>
      </w:r>
      <w:r w:rsidRPr="00FB065A">
        <w:t xml:space="preserve">% i </w:t>
      </w:r>
      <w:proofErr w:type="spellStart"/>
      <w:r w:rsidRPr="00FB065A">
        <w:t>GCb</w:t>
      </w:r>
      <w:proofErr w:type="spellEnd"/>
      <w:r w:rsidRPr="00FB065A">
        <w:t xml:space="preserve"> armen versus 30,9% i </w:t>
      </w:r>
      <w:proofErr w:type="spellStart"/>
      <w:r w:rsidRPr="00FB065A">
        <w:t>Cb</w:t>
      </w:r>
      <w:proofErr w:type="spellEnd"/>
      <w:r w:rsidRPr="00FB065A">
        <w:t xml:space="preserve"> armen (p=0,0016), og i median overlevelsestid, 18 måneder (</w:t>
      </w:r>
      <w:proofErr w:type="spellStart"/>
      <w:r w:rsidRPr="00FB065A">
        <w:t>GCb</w:t>
      </w:r>
      <w:proofErr w:type="spellEnd"/>
      <w:r w:rsidRPr="00FB065A">
        <w:t>) versus 17,3 måneder (</w:t>
      </w:r>
      <w:proofErr w:type="spellStart"/>
      <w:r w:rsidRPr="00FB065A">
        <w:t>Cb</w:t>
      </w:r>
      <w:proofErr w:type="spellEnd"/>
      <w:r w:rsidRPr="00FB065A">
        <w:t xml:space="preserve">) (p=0,73) favoriserede </w:t>
      </w:r>
      <w:proofErr w:type="spellStart"/>
      <w:r w:rsidRPr="00FB065A">
        <w:t>GCb</w:t>
      </w:r>
      <w:proofErr w:type="spellEnd"/>
      <w:r w:rsidRPr="00FB065A">
        <w:t xml:space="preserve"> armen.</w:t>
      </w:r>
    </w:p>
    <w:p w:rsidR="007B43B6" w:rsidRPr="00FB065A" w:rsidRDefault="007B43B6" w:rsidP="007B43B6">
      <w:pPr>
        <w:tabs>
          <w:tab w:val="left" w:pos="851"/>
        </w:tabs>
        <w:ind w:left="851" w:right="605" w:hanging="851"/>
      </w:pPr>
    </w:p>
    <w:p w:rsidR="007B43B6" w:rsidRPr="00E435CD" w:rsidRDefault="007B43B6" w:rsidP="007B43B6">
      <w:pPr>
        <w:tabs>
          <w:tab w:val="left" w:pos="851"/>
        </w:tabs>
        <w:ind w:left="851" w:right="605" w:hanging="851"/>
        <w:rPr>
          <w:i/>
        </w:rPr>
      </w:pPr>
      <w:r w:rsidRPr="00E435CD">
        <w:tab/>
      </w:r>
      <w:r w:rsidRPr="00E435CD">
        <w:rPr>
          <w:i/>
        </w:rPr>
        <w:t>Brystcancer</w:t>
      </w:r>
    </w:p>
    <w:p w:rsidR="007B43B6" w:rsidRPr="00E435CD" w:rsidRDefault="007B43B6" w:rsidP="007B43B6">
      <w:pPr>
        <w:tabs>
          <w:tab w:val="left" w:pos="851"/>
        </w:tabs>
        <w:ind w:left="851" w:right="605" w:hanging="851"/>
      </w:pPr>
      <w:r>
        <w:tab/>
      </w:r>
      <w:r w:rsidRPr="00FB065A">
        <w:t xml:space="preserve">I en randomiseret fase III undersøgelse af 529 patienter med inoperabel, lokalt recidiverende eller metastatisk brystcancer, som havde fået genvækst efter </w:t>
      </w:r>
      <w:proofErr w:type="spellStart"/>
      <w:r w:rsidRPr="00FB065A">
        <w:t>adjuverende</w:t>
      </w:r>
      <w:proofErr w:type="spellEnd"/>
      <w:r w:rsidRPr="00FB065A">
        <w:t>/</w:t>
      </w:r>
      <w:proofErr w:type="spellStart"/>
      <w:r w:rsidRPr="00FB065A">
        <w:t>neoadjuverende</w:t>
      </w:r>
      <w:proofErr w:type="spellEnd"/>
      <w:r w:rsidRPr="00FB065A">
        <w:t xml:space="preserve"> kemoterapi, havde patienter behandlet med </w:t>
      </w:r>
      <w:proofErr w:type="spellStart"/>
      <w:r w:rsidRPr="00FB065A">
        <w:t>gemcitabin</w:t>
      </w:r>
      <w:proofErr w:type="spellEnd"/>
      <w:r w:rsidRPr="00FB065A">
        <w:t>/</w:t>
      </w:r>
      <w:proofErr w:type="spellStart"/>
      <w:r w:rsidRPr="00FB065A">
        <w:t>paclitaxel</w:t>
      </w:r>
      <w:proofErr w:type="spellEnd"/>
      <w:r w:rsidRPr="00FB065A">
        <w:t xml:space="preserve"> en statistisk signifikant forlængelse af tiden til dokumenteret progression i sygdommen fra 3,98 måneder til 6,14 måneder (log-rank p=0,0002) i forhold til </w:t>
      </w:r>
      <w:proofErr w:type="spellStart"/>
      <w:r w:rsidRPr="00FB065A">
        <w:t>paclitaxel</w:t>
      </w:r>
      <w:proofErr w:type="spellEnd"/>
      <w:r w:rsidRPr="00FB065A">
        <w:t xml:space="preserve">-behandlede patienter. Efter 377 dødsfald var den totale overlevelsestid 18,6 måneder hos patienter behandlet med </w:t>
      </w:r>
      <w:proofErr w:type="spellStart"/>
      <w:r w:rsidRPr="00FB065A">
        <w:t>gemcitabin</w:t>
      </w:r>
      <w:proofErr w:type="spellEnd"/>
      <w:r w:rsidRPr="00FB065A">
        <w:t>/</w:t>
      </w:r>
      <w:proofErr w:type="spellStart"/>
      <w:r w:rsidRPr="00FB065A">
        <w:t>paclitaxel</w:t>
      </w:r>
      <w:proofErr w:type="spellEnd"/>
      <w:r w:rsidRPr="00FB065A">
        <w:t xml:space="preserve"> i forhold til 15,8 måneder (log rank p=0,0489, HR 0,82) hos patienter behandlet med </w:t>
      </w:r>
      <w:proofErr w:type="spellStart"/>
      <w:r w:rsidRPr="00FB065A">
        <w:t>gemcitabin</w:t>
      </w:r>
      <w:proofErr w:type="spellEnd"/>
      <w:r w:rsidRPr="00FB065A">
        <w:t>/</w:t>
      </w:r>
      <w:proofErr w:type="spellStart"/>
      <w:r w:rsidRPr="00FB065A">
        <w:t>paclitaxel</w:t>
      </w:r>
      <w:proofErr w:type="spellEnd"/>
      <w:r w:rsidRPr="00FB065A">
        <w:t xml:space="preserve"> sammenlignet med patienter behandlet med </w:t>
      </w:r>
      <w:proofErr w:type="spellStart"/>
      <w:r w:rsidRPr="00FB065A">
        <w:t>paclitaxel</w:t>
      </w:r>
      <w:proofErr w:type="spellEnd"/>
      <w:r w:rsidRPr="00FB065A">
        <w:t>, og den totale responsrate var henholdsvis 41,4</w:t>
      </w:r>
      <w:r>
        <w:t xml:space="preserve"> </w:t>
      </w:r>
      <w:r w:rsidRPr="00FB065A">
        <w:t>% og 26,2</w:t>
      </w:r>
      <w:r>
        <w:t xml:space="preserve"> </w:t>
      </w:r>
      <w:r w:rsidRPr="00FB065A">
        <w:t>% (p= 0,0002).</w:t>
      </w:r>
    </w:p>
    <w:p w:rsidR="007B43B6" w:rsidRPr="00C84483" w:rsidRDefault="007B43B6" w:rsidP="007B43B6">
      <w:pPr>
        <w:tabs>
          <w:tab w:val="left" w:pos="851"/>
        </w:tabs>
        <w:ind w:left="851"/>
        <w:rPr>
          <w:sz w:val="24"/>
          <w:szCs w:val="24"/>
        </w:rPr>
      </w:pPr>
    </w:p>
    <w:p w:rsidR="007B43B6" w:rsidRPr="00C84483" w:rsidRDefault="007B43B6" w:rsidP="007B43B6">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7B43B6" w:rsidRPr="00FB065A" w:rsidRDefault="007B43B6" w:rsidP="007B43B6">
      <w:pPr>
        <w:tabs>
          <w:tab w:val="left" w:pos="851"/>
        </w:tabs>
        <w:ind w:left="851" w:right="605" w:hanging="851"/>
      </w:pPr>
      <w:r>
        <w:tab/>
      </w:r>
      <w:proofErr w:type="spellStart"/>
      <w:r w:rsidRPr="00FB065A">
        <w:t>Gemcitabins</w:t>
      </w:r>
      <w:proofErr w:type="spellEnd"/>
      <w:r w:rsidRPr="00FB065A">
        <w:t xml:space="preserve"> farmakokinetik er blevet undersøgt i 353 patienter i syv undersøgelser. De 121 kvinder og 232 mænd var i alderen 29 til 79 år. Ud af disse patienter havde ca. 45</w:t>
      </w:r>
      <w:r>
        <w:t xml:space="preserve"> </w:t>
      </w:r>
      <w:r w:rsidRPr="00FB065A">
        <w:t>% ikke-småcellet lungecancer og 35</w:t>
      </w:r>
      <w:r>
        <w:t xml:space="preserve"> </w:t>
      </w:r>
      <w:r w:rsidRPr="00FB065A">
        <w:t xml:space="preserve">% havde fået diagnosen pancreascancer. Følgende </w:t>
      </w:r>
      <w:proofErr w:type="spellStart"/>
      <w:r w:rsidRPr="00FB065A">
        <w:t>pharmakokinetiske</w:t>
      </w:r>
      <w:proofErr w:type="spellEnd"/>
      <w:r w:rsidRPr="00FB065A">
        <w:t xml:space="preserve"> parametre var </w:t>
      </w:r>
      <w:r>
        <w:t>nået for doser mellem 500 til 2.</w:t>
      </w:r>
      <w:r w:rsidRPr="00FB065A">
        <w:t>592 mg/m</w:t>
      </w:r>
      <w:r w:rsidRPr="00FB065A">
        <w:rPr>
          <w:vertAlign w:val="superscript"/>
        </w:rPr>
        <w:t>2</w:t>
      </w:r>
      <w:r w:rsidRPr="00FB065A">
        <w:t>, som blev indgivet fra 0,4 til 1,2 timer.</w:t>
      </w:r>
    </w:p>
    <w:p w:rsidR="007B43B6" w:rsidRPr="00FB065A" w:rsidRDefault="007B43B6" w:rsidP="007B43B6">
      <w:pPr>
        <w:tabs>
          <w:tab w:val="left" w:pos="851"/>
        </w:tabs>
        <w:ind w:left="851" w:right="605" w:hanging="851"/>
      </w:pPr>
    </w:p>
    <w:p w:rsidR="007B43B6" w:rsidRPr="00FB065A" w:rsidRDefault="007B43B6" w:rsidP="007B43B6">
      <w:pPr>
        <w:tabs>
          <w:tab w:val="left" w:pos="851"/>
        </w:tabs>
        <w:ind w:left="851" w:right="605" w:hanging="851"/>
      </w:pPr>
      <w:r>
        <w:tab/>
      </w:r>
      <w:r w:rsidRPr="00FB065A">
        <w:t>Maksimale plasmakoncentrationer</w:t>
      </w:r>
      <w:r>
        <w:t xml:space="preserve"> </w:t>
      </w:r>
      <w:r w:rsidRPr="00FB065A">
        <w:t>(nået inden for 5 minutter efter afslutning på infusionen) var 3,2 til 45,5 µg/ml. Plasmakoncentrationer af modersubstansen efter en</w:t>
      </w:r>
      <w:r>
        <w:t xml:space="preserve"> dosis på 1.000 mg/</w:t>
      </w:r>
      <w:r w:rsidRPr="00FB065A">
        <w:t>m</w:t>
      </w:r>
      <w:r w:rsidRPr="00FB065A">
        <w:rPr>
          <w:vertAlign w:val="superscript"/>
        </w:rPr>
        <w:t>2</w:t>
      </w:r>
      <w:r w:rsidRPr="00FB065A">
        <w:t>/30 minutter er større end 5 µg/ml i ca. 30 minutter efter afslutning af infusionen og større end 0,4 µg/ml i endnu en time.</w:t>
      </w:r>
    </w:p>
    <w:p w:rsidR="007B43B6" w:rsidRPr="00FB065A" w:rsidRDefault="007B43B6" w:rsidP="007B43B6">
      <w:pPr>
        <w:tabs>
          <w:tab w:val="left" w:pos="851"/>
        </w:tabs>
        <w:ind w:left="851" w:right="605" w:hanging="851"/>
      </w:pPr>
    </w:p>
    <w:p w:rsidR="007B43B6" w:rsidRPr="00FB065A" w:rsidRDefault="007B43B6" w:rsidP="007B43B6">
      <w:pPr>
        <w:tabs>
          <w:tab w:val="left" w:pos="851"/>
        </w:tabs>
        <w:ind w:left="851" w:right="605" w:hanging="851"/>
        <w:rPr>
          <w:u w:val="single"/>
        </w:rPr>
      </w:pPr>
      <w:r>
        <w:tab/>
      </w:r>
      <w:r>
        <w:rPr>
          <w:u w:val="single"/>
        </w:rPr>
        <w:t>Fordeling</w:t>
      </w:r>
    </w:p>
    <w:p w:rsidR="007B43B6" w:rsidRPr="00FB065A" w:rsidRDefault="007B43B6" w:rsidP="007B43B6">
      <w:pPr>
        <w:tabs>
          <w:tab w:val="left" w:pos="851"/>
        </w:tabs>
        <w:ind w:left="851" w:right="605" w:hanging="851"/>
      </w:pPr>
      <w:r>
        <w:tab/>
      </w:r>
      <w:r w:rsidRPr="00FB065A">
        <w:t>Fordelingsvolumen i det centrale fordelingsrum var 12,4 l/ m</w:t>
      </w:r>
      <w:r w:rsidRPr="00FB065A">
        <w:rPr>
          <w:vertAlign w:val="superscript"/>
        </w:rPr>
        <w:t>2</w:t>
      </w:r>
      <w:r w:rsidRPr="00FB065A">
        <w:t xml:space="preserve"> for kvinder og 17,5 l/ m</w:t>
      </w:r>
      <w:r w:rsidRPr="00FB065A">
        <w:rPr>
          <w:vertAlign w:val="superscript"/>
        </w:rPr>
        <w:t>2</w:t>
      </w:r>
      <w:r w:rsidRPr="00FB065A">
        <w:t xml:space="preserve"> for mænd (</w:t>
      </w:r>
      <w:proofErr w:type="spellStart"/>
      <w:r w:rsidRPr="00FB065A">
        <w:t>interindividuel</w:t>
      </w:r>
      <w:proofErr w:type="spellEnd"/>
      <w:r w:rsidRPr="00FB065A">
        <w:t xml:space="preserve"> variabilitet var 91,9</w:t>
      </w:r>
      <w:r>
        <w:t xml:space="preserve"> </w:t>
      </w:r>
      <w:r w:rsidRPr="00FB065A">
        <w:t>%). Fordelingsvolumen af det perifere fordelingsrum var 47,4 l/ m</w:t>
      </w:r>
      <w:r w:rsidRPr="00FB065A">
        <w:rPr>
          <w:vertAlign w:val="superscript"/>
        </w:rPr>
        <w:t>2</w:t>
      </w:r>
      <w:r w:rsidRPr="00FB065A">
        <w:t>.</w:t>
      </w:r>
      <w:r>
        <w:t xml:space="preserve"> </w:t>
      </w:r>
      <w:proofErr w:type="spellStart"/>
      <w:r w:rsidRPr="00FB065A">
        <w:t>Volumet</w:t>
      </w:r>
      <w:proofErr w:type="spellEnd"/>
      <w:r w:rsidRPr="00FB065A">
        <w:t xml:space="preserve"> for det perifere fordelingsrum var ikke afhængig af køn.</w:t>
      </w:r>
    </w:p>
    <w:p w:rsidR="007B43B6" w:rsidRPr="00FB065A" w:rsidRDefault="007B43B6" w:rsidP="007B43B6">
      <w:pPr>
        <w:tabs>
          <w:tab w:val="left" w:pos="851"/>
        </w:tabs>
        <w:ind w:left="851" w:right="605" w:hanging="851"/>
      </w:pPr>
      <w:r>
        <w:tab/>
      </w:r>
      <w:r w:rsidRPr="00FB065A">
        <w:t>Plasmaproteinbinding blev betragtet som værende ubetydelig.</w:t>
      </w:r>
    </w:p>
    <w:p w:rsidR="007B43B6" w:rsidRPr="00FB065A" w:rsidRDefault="007B43B6" w:rsidP="007B43B6">
      <w:pPr>
        <w:tabs>
          <w:tab w:val="left" w:pos="851"/>
        </w:tabs>
        <w:ind w:left="851" w:right="605" w:hanging="851"/>
      </w:pPr>
      <w:r>
        <w:tab/>
      </w:r>
      <w:r w:rsidRPr="00FB065A">
        <w:t xml:space="preserve">Halveringstid: Fra 42 til 94 minutter afhængig af alder og køn. For det anbefalede dosisregime skulle udskillelse af </w:t>
      </w:r>
      <w:proofErr w:type="spellStart"/>
      <w:r w:rsidRPr="00FB065A">
        <w:t>gemcitabin</w:t>
      </w:r>
      <w:proofErr w:type="spellEnd"/>
      <w:r w:rsidRPr="00FB065A">
        <w:t xml:space="preserve"> i realiteten være afsluttet i løbet af 5 til 11 timer fra start af infusionen. </w:t>
      </w:r>
      <w:proofErr w:type="spellStart"/>
      <w:r w:rsidRPr="00FB065A">
        <w:t>Gemcitabin</w:t>
      </w:r>
      <w:proofErr w:type="spellEnd"/>
      <w:r w:rsidRPr="00FB065A">
        <w:t xml:space="preserve"> akkumuleres ikke, når det gives en gang ugentligt.</w:t>
      </w:r>
    </w:p>
    <w:p w:rsidR="007B43B6" w:rsidRPr="00FB065A" w:rsidRDefault="007B43B6" w:rsidP="007B43B6">
      <w:pPr>
        <w:tabs>
          <w:tab w:val="left" w:pos="851"/>
        </w:tabs>
        <w:ind w:left="851" w:right="605" w:hanging="851"/>
      </w:pPr>
    </w:p>
    <w:p w:rsidR="007B43B6" w:rsidRPr="00FB065A" w:rsidRDefault="007B43B6" w:rsidP="007B43B6">
      <w:pPr>
        <w:tabs>
          <w:tab w:val="left" w:pos="851"/>
        </w:tabs>
        <w:ind w:left="851" w:right="605" w:hanging="851"/>
        <w:rPr>
          <w:u w:val="single"/>
        </w:rPr>
      </w:pPr>
      <w:r>
        <w:tab/>
      </w:r>
      <w:r w:rsidRPr="00FB065A">
        <w:rPr>
          <w:u w:val="single"/>
        </w:rPr>
        <w:t>Metabolisme</w:t>
      </w:r>
    </w:p>
    <w:p w:rsidR="007B43B6" w:rsidRPr="00FB065A" w:rsidRDefault="007B43B6" w:rsidP="007B43B6">
      <w:pPr>
        <w:tabs>
          <w:tab w:val="left" w:pos="851"/>
        </w:tabs>
        <w:ind w:left="851" w:right="605" w:hanging="851"/>
      </w:pPr>
      <w:r>
        <w:tab/>
      </w:r>
      <w:proofErr w:type="spellStart"/>
      <w:r w:rsidRPr="00FB065A">
        <w:t>Gemcitabin</w:t>
      </w:r>
      <w:proofErr w:type="spellEnd"/>
      <w:r w:rsidRPr="00FB065A">
        <w:t xml:space="preserve"> </w:t>
      </w:r>
      <w:proofErr w:type="spellStart"/>
      <w:r w:rsidRPr="00FB065A">
        <w:t>metaboliseres</w:t>
      </w:r>
      <w:proofErr w:type="spellEnd"/>
      <w:r w:rsidRPr="00FB065A">
        <w:t xml:space="preserve"> hurtigt af </w:t>
      </w:r>
      <w:proofErr w:type="spellStart"/>
      <w:r w:rsidRPr="00FB065A">
        <w:t>cytidin-deaminase</w:t>
      </w:r>
      <w:proofErr w:type="spellEnd"/>
      <w:r w:rsidRPr="00FB065A">
        <w:t xml:space="preserve"> i lever, nyre, blod og andet væv. Den intracellulære metabolisme af </w:t>
      </w:r>
      <w:proofErr w:type="spellStart"/>
      <w:r w:rsidRPr="00FB065A">
        <w:t>gemcitabin</w:t>
      </w:r>
      <w:proofErr w:type="spellEnd"/>
      <w:r w:rsidRPr="00FB065A">
        <w:t xml:space="preserve"> danner </w:t>
      </w:r>
      <w:proofErr w:type="spellStart"/>
      <w:r w:rsidRPr="00FB065A">
        <w:t>gemcitabin</w:t>
      </w:r>
      <w:proofErr w:type="spellEnd"/>
      <w:r w:rsidRPr="00FB065A">
        <w:t xml:space="preserve"> mono-, di- og trifosfater (</w:t>
      </w:r>
      <w:proofErr w:type="spellStart"/>
      <w:r w:rsidRPr="00FB065A">
        <w:t>dFdCMP</w:t>
      </w:r>
      <w:proofErr w:type="spellEnd"/>
      <w:r w:rsidRPr="00FB065A">
        <w:t xml:space="preserve">, </w:t>
      </w:r>
      <w:proofErr w:type="spellStart"/>
      <w:r w:rsidRPr="00FB065A">
        <w:t>dFdCDP</w:t>
      </w:r>
      <w:proofErr w:type="spellEnd"/>
      <w:r w:rsidRPr="00FB065A">
        <w:t xml:space="preserve"> og </w:t>
      </w:r>
      <w:proofErr w:type="spellStart"/>
      <w:r w:rsidRPr="00FB065A">
        <w:t>dFdCTP</w:t>
      </w:r>
      <w:proofErr w:type="spellEnd"/>
      <w:r w:rsidRPr="00FB065A">
        <w:t xml:space="preserve">), hvoraf </w:t>
      </w:r>
      <w:proofErr w:type="spellStart"/>
      <w:r w:rsidRPr="00FB065A">
        <w:t>dFdCDP</w:t>
      </w:r>
      <w:proofErr w:type="spellEnd"/>
      <w:r w:rsidRPr="00FB065A">
        <w:t xml:space="preserve"> og </w:t>
      </w:r>
      <w:proofErr w:type="spellStart"/>
      <w:r w:rsidRPr="00FB065A">
        <w:t>dFdCTP</w:t>
      </w:r>
      <w:proofErr w:type="spellEnd"/>
      <w:r w:rsidRPr="00FB065A">
        <w:t xml:space="preserve"> anses for aktive. Disse intracellulære metabolitter er ikke fundet i plasma eller urin. Den primære metabolit 2'-deoxy-2',2'-difluoruridine (</w:t>
      </w:r>
      <w:proofErr w:type="spellStart"/>
      <w:r w:rsidRPr="00FB065A">
        <w:t>dFdU</w:t>
      </w:r>
      <w:proofErr w:type="spellEnd"/>
      <w:r w:rsidRPr="00FB065A">
        <w:t>) er inaktiv og findes i plasma og urin.</w:t>
      </w:r>
    </w:p>
    <w:p w:rsidR="007B43B6" w:rsidRPr="00FB065A" w:rsidRDefault="007B43B6" w:rsidP="007B43B6">
      <w:pPr>
        <w:tabs>
          <w:tab w:val="left" w:pos="851"/>
        </w:tabs>
        <w:ind w:left="851" w:right="605" w:hanging="851"/>
      </w:pPr>
    </w:p>
    <w:p w:rsidR="007B43B6" w:rsidRPr="00FB065A" w:rsidRDefault="007B43B6" w:rsidP="007B43B6">
      <w:pPr>
        <w:tabs>
          <w:tab w:val="left" w:pos="851"/>
        </w:tabs>
        <w:ind w:left="851" w:right="605" w:hanging="851"/>
        <w:rPr>
          <w:u w:val="single"/>
        </w:rPr>
      </w:pPr>
      <w:r>
        <w:tab/>
      </w:r>
      <w:r w:rsidRPr="00FB065A">
        <w:rPr>
          <w:u w:val="single"/>
        </w:rPr>
        <w:t>Elimination</w:t>
      </w:r>
    </w:p>
    <w:p w:rsidR="007B43B6" w:rsidRPr="00FB065A" w:rsidRDefault="007B43B6" w:rsidP="007B43B6">
      <w:pPr>
        <w:tabs>
          <w:tab w:val="left" w:pos="851"/>
        </w:tabs>
        <w:ind w:left="851" w:right="605" w:hanging="851"/>
      </w:pPr>
      <w:r>
        <w:tab/>
      </w:r>
      <w:r w:rsidRPr="00FB065A">
        <w:t xml:space="preserve">Systemisk </w:t>
      </w:r>
      <w:proofErr w:type="spellStart"/>
      <w:r w:rsidRPr="00FB065A">
        <w:t>clearance</w:t>
      </w:r>
      <w:proofErr w:type="spellEnd"/>
      <w:r w:rsidRPr="00FB065A">
        <w:t>: Fra 29,2 l/t/m</w:t>
      </w:r>
      <w:r w:rsidRPr="00FB065A">
        <w:rPr>
          <w:vertAlign w:val="superscript"/>
        </w:rPr>
        <w:t>2</w:t>
      </w:r>
      <w:r w:rsidRPr="00FB065A">
        <w:t xml:space="preserve"> til 92,2 l/t/m</w:t>
      </w:r>
      <w:r w:rsidRPr="00FB065A">
        <w:rPr>
          <w:vertAlign w:val="superscript"/>
        </w:rPr>
        <w:t>2</w:t>
      </w:r>
      <w:r w:rsidRPr="00FB065A">
        <w:t xml:space="preserve"> afhængig af køn og alder (</w:t>
      </w:r>
      <w:proofErr w:type="spellStart"/>
      <w:r w:rsidRPr="00FB065A">
        <w:t>interindividuel</w:t>
      </w:r>
      <w:proofErr w:type="spellEnd"/>
      <w:r w:rsidRPr="00FB065A">
        <w:t xml:space="preserve"> variabilitet var 52,2</w:t>
      </w:r>
      <w:r>
        <w:t xml:space="preserve"> </w:t>
      </w:r>
      <w:r w:rsidRPr="00FB065A">
        <w:t xml:space="preserve">%). </w:t>
      </w:r>
      <w:proofErr w:type="spellStart"/>
      <w:r w:rsidRPr="00FB065A">
        <w:t>Clearance</w:t>
      </w:r>
      <w:proofErr w:type="spellEnd"/>
      <w:r w:rsidRPr="00FB065A">
        <w:t xml:space="preserve"> hos kvinder er ca. 25</w:t>
      </w:r>
      <w:r>
        <w:t xml:space="preserve"> </w:t>
      </w:r>
      <w:r w:rsidRPr="00FB065A">
        <w:t xml:space="preserve">% lavere end værdierne hos mænd. Selvom </w:t>
      </w:r>
      <w:proofErr w:type="spellStart"/>
      <w:r w:rsidRPr="00FB065A">
        <w:t>clearance</w:t>
      </w:r>
      <w:proofErr w:type="spellEnd"/>
      <w:r w:rsidRPr="00FB065A">
        <w:t xml:space="preserve"> er hurtig, synes den at falde hos både mænd og kvinder med alderen. For den anbefalede </w:t>
      </w:r>
      <w:proofErr w:type="spellStart"/>
      <w:r w:rsidRPr="00FB065A">
        <w:t>gemcitabin</w:t>
      </w:r>
      <w:proofErr w:type="spellEnd"/>
      <w:r w:rsidRPr="00FB065A">
        <w:t xml:space="preserve"> dosis på 1000 </w:t>
      </w:r>
      <w:r>
        <w:t>mg/</w:t>
      </w:r>
      <w:r w:rsidRPr="00FB065A">
        <w:t>m</w:t>
      </w:r>
      <w:r w:rsidRPr="00FB065A">
        <w:rPr>
          <w:vertAlign w:val="superscript"/>
        </w:rPr>
        <w:t>2</w:t>
      </w:r>
      <w:r w:rsidRPr="00FB065A">
        <w:t xml:space="preserve"> givet som </w:t>
      </w:r>
      <w:r>
        <w:t>en 30 minutters infusion</w:t>
      </w:r>
      <w:r w:rsidRPr="00FB065A">
        <w:t xml:space="preserve"> bør lavere </w:t>
      </w:r>
      <w:proofErr w:type="spellStart"/>
      <w:r w:rsidRPr="00FB065A">
        <w:t>clearance</w:t>
      </w:r>
      <w:proofErr w:type="spellEnd"/>
      <w:r w:rsidRPr="00FB065A">
        <w:t xml:space="preserve"> værdier for både mænd og kvinder ikke nødvendiggøre, at </w:t>
      </w:r>
      <w:proofErr w:type="spellStart"/>
      <w:r w:rsidRPr="00FB065A">
        <w:t>gemcitabin</w:t>
      </w:r>
      <w:proofErr w:type="spellEnd"/>
      <w:r w:rsidRPr="00FB065A">
        <w:t xml:space="preserve"> dosis nedsættes.</w:t>
      </w:r>
    </w:p>
    <w:p w:rsidR="007B43B6" w:rsidRPr="00FB065A" w:rsidRDefault="007B43B6" w:rsidP="007B43B6">
      <w:pPr>
        <w:tabs>
          <w:tab w:val="left" w:pos="851"/>
        </w:tabs>
        <w:ind w:left="851" w:right="605" w:hanging="851"/>
      </w:pPr>
      <w:r>
        <w:tab/>
      </w:r>
      <w:r w:rsidRPr="00FB065A">
        <w:t>Urinudskillelse: Mindre end 10% udskilles som uændret lægemiddel.</w:t>
      </w:r>
    </w:p>
    <w:p w:rsidR="007B43B6" w:rsidRPr="00E70C4E" w:rsidRDefault="007B43B6" w:rsidP="007B43B6">
      <w:pPr>
        <w:tabs>
          <w:tab w:val="left" w:pos="851"/>
        </w:tabs>
        <w:ind w:left="851" w:right="605" w:hanging="851"/>
        <w:rPr>
          <w:lang w:val="en-US"/>
        </w:rPr>
      </w:pPr>
      <w:r>
        <w:tab/>
      </w:r>
      <w:r w:rsidRPr="00E70C4E">
        <w:rPr>
          <w:lang w:val="en-US"/>
        </w:rPr>
        <w:t>Renal clearance: 2 til 7 l/t/m</w:t>
      </w:r>
      <w:r w:rsidRPr="00E70C4E">
        <w:rPr>
          <w:vertAlign w:val="superscript"/>
          <w:lang w:val="en-US"/>
        </w:rPr>
        <w:t>2</w:t>
      </w:r>
      <w:r w:rsidRPr="00E70C4E">
        <w:rPr>
          <w:lang w:val="en-US"/>
        </w:rPr>
        <w:t>.</w:t>
      </w:r>
    </w:p>
    <w:p w:rsidR="007B43B6" w:rsidRPr="00E70C4E" w:rsidRDefault="007B43B6" w:rsidP="007B43B6">
      <w:pPr>
        <w:tabs>
          <w:tab w:val="left" w:pos="851"/>
        </w:tabs>
        <w:ind w:left="851" w:right="605" w:hanging="851"/>
        <w:rPr>
          <w:lang w:val="en-US"/>
        </w:rPr>
      </w:pPr>
    </w:p>
    <w:p w:rsidR="007B43B6" w:rsidRPr="00FB065A" w:rsidRDefault="007B43B6" w:rsidP="007B43B6">
      <w:pPr>
        <w:tabs>
          <w:tab w:val="left" w:pos="851"/>
        </w:tabs>
        <w:ind w:left="851" w:right="605" w:hanging="851"/>
      </w:pPr>
      <w:r w:rsidRPr="00E70C4E">
        <w:rPr>
          <w:lang w:val="en-US"/>
        </w:rPr>
        <w:tab/>
      </w:r>
      <w:r w:rsidRPr="00FB065A">
        <w:t xml:space="preserve">I løbet af ugen efter infusionen </w:t>
      </w:r>
      <w:proofErr w:type="spellStart"/>
      <w:r>
        <w:t>genfandtes</w:t>
      </w:r>
      <w:proofErr w:type="spellEnd"/>
      <w:r w:rsidRPr="00FB065A">
        <w:t xml:space="preserve"> 92</w:t>
      </w:r>
      <w:r>
        <w:t>-</w:t>
      </w:r>
      <w:r w:rsidRPr="00FB065A">
        <w:t>98</w:t>
      </w:r>
      <w:r>
        <w:t xml:space="preserve"> </w:t>
      </w:r>
      <w:r w:rsidRPr="00FB065A">
        <w:t xml:space="preserve">% af </w:t>
      </w:r>
      <w:proofErr w:type="spellStart"/>
      <w:r w:rsidRPr="00FB065A">
        <w:t>gemcitabin</w:t>
      </w:r>
      <w:proofErr w:type="spellEnd"/>
      <w:r w:rsidRPr="00FB065A">
        <w:t>, heraf 99</w:t>
      </w:r>
      <w:r>
        <w:t xml:space="preserve"> </w:t>
      </w:r>
      <w:r w:rsidRPr="00FB065A">
        <w:t>% i urinen</w:t>
      </w:r>
      <w:r>
        <w:t xml:space="preserve"> (</w:t>
      </w:r>
      <w:r w:rsidRPr="00FB065A">
        <w:t>hovedsageligt</w:t>
      </w:r>
      <w:r>
        <w:t xml:space="preserve"> i form af </w:t>
      </w:r>
      <w:proofErr w:type="spellStart"/>
      <w:r>
        <w:t>dFdU</w:t>
      </w:r>
      <w:proofErr w:type="spellEnd"/>
      <w:r>
        <w:t xml:space="preserve">), </w:t>
      </w:r>
      <w:r w:rsidRPr="00FB065A">
        <w:t>og 1</w:t>
      </w:r>
      <w:r>
        <w:t xml:space="preserve"> </w:t>
      </w:r>
      <w:r w:rsidRPr="00FB065A">
        <w:t>% af dosis udskilles i fæces.</w:t>
      </w:r>
    </w:p>
    <w:p w:rsidR="007B43B6" w:rsidRPr="00FB065A" w:rsidRDefault="007B43B6" w:rsidP="007B43B6">
      <w:pPr>
        <w:tabs>
          <w:tab w:val="left" w:pos="851"/>
        </w:tabs>
        <w:ind w:left="851" w:right="605" w:hanging="851"/>
      </w:pPr>
    </w:p>
    <w:p w:rsidR="007B43B6" w:rsidRPr="00FB065A" w:rsidRDefault="007B43B6" w:rsidP="007B43B6">
      <w:pPr>
        <w:tabs>
          <w:tab w:val="left" w:pos="851"/>
        </w:tabs>
        <w:ind w:left="851" w:right="605" w:hanging="851"/>
        <w:rPr>
          <w:u w:val="single"/>
        </w:rPr>
      </w:pPr>
      <w:r>
        <w:tab/>
      </w:r>
      <w:proofErr w:type="spellStart"/>
      <w:r w:rsidRPr="00FB065A">
        <w:rPr>
          <w:u w:val="single"/>
        </w:rPr>
        <w:t>dFdCTP</w:t>
      </w:r>
      <w:proofErr w:type="spellEnd"/>
      <w:r w:rsidRPr="00FB065A">
        <w:rPr>
          <w:u w:val="single"/>
        </w:rPr>
        <w:t>-kinetik</w:t>
      </w:r>
    </w:p>
    <w:p w:rsidR="007B43B6" w:rsidRPr="00FB065A" w:rsidRDefault="007B43B6" w:rsidP="007B43B6">
      <w:pPr>
        <w:tabs>
          <w:tab w:val="left" w:pos="851"/>
        </w:tabs>
        <w:ind w:left="851" w:right="605" w:hanging="851"/>
      </w:pPr>
      <w:r>
        <w:tab/>
      </w:r>
      <w:r w:rsidRPr="00FB065A">
        <w:t xml:space="preserve">Denne metabolit findes i de perifere </w:t>
      </w:r>
      <w:proofErr w:type="spellStart"/>
      <w:r w:rsidRPr="00FB065A">
        <w:t>mononukleære</w:t>
      </w:r>
      <w:proofErr w:type="spellEnd"/>
      <w:r w:rsidRPr="00FB065A">
        <w:t xml:space="preserve"> celler i blodet og nedenstående oplysninger refererer til disse celler. Intracellulære koncentrationer øges proportionalt med </w:t>
      </w:r>
      <w:proofErr w:type="spellStart"/>
      <w:r w:rsidRPr="00FB065A">
        <w:t>gemcitabin</w:t>
      </w:r>
      <w:proofErr w:type="spellEnd"/>
      <w:r w:rsidRPr="00FB065A">
        <w:t>-doser på 35-350 mg/m</w:t>
      </w:r>
      <w:r w:rsidRPr="00FB065A">
        <w:rPr>
          <w:vertAlign w:val="superscript"/>
        </w:rPr>
        <w:t>2</w:t>
      </w:r>
      <w:r w:rsidRPr="00FB065A">
        <w:t xml:space="preserve">/30 minutter, hvilket giver </w:t>
      </w:r>
      <w:proofErr w:type="spellStart"/>
      <w:r w:rsidRPr="00FB065A">
        <w:t>steady-state</w:t>
      </w:r>
      <w:proofErr w:type="spellEnd"/>
      <w:r w:rsidRPr="00FB065A">
        <w:t xml:space="preserve"> koncentrationer på 0,4-5 µg/ml. Ved </w:t>
      </w:r>
      <w:proofErr w:type="spellStart"/>
      <w:r w:rsidRPr="00FB065A">
        <w:t>gemcitabin</w:t>
      </w:r>
      <w:proofErr w:type="spellEnd"/>
      <w:r w:rsidRPr="00FB065A">
        <w:t xml:space="preserve">- plasmakoncentrationer over 5 µg/ml øges koncentrationen af </w:t>
      </w:r>
      <w:proofErr w:type="spellStart"/>
      <w:r w:rsidRPr="00FB065A">
        <w:t>dFdCTP</w:t>
      </w:r>
      <w:proofErr w:type="spellEnd"/>
      <w:r w:rsidRPr="00FB065A">
        <w:t xml:space="preserve"> ikke, hvilket indikerer, at mætning opnås i disse celler.</w:t>
      </w:r>
    </w:p>
    <w:p w:rsidR="007B43B6" w:rsidRPr="00FB065A" w:rsidRDefault="007B43B6" w:rsidP="007B43B6">
      <w:pPr>
        <w:tabs>
          <w:tab w:val="left" w:pos="851"/>
        </w:tabs>
        <w:ind w:left="851" w:right="605" w:hanging="851"/>
      </w:pPr>
      <w:r>
        <w:tab/>
      </w:r>
      <w:r w:rsidRPr="00FB065A">
        <w:t>Terminal halveringstid: 0,7-12 timer.</w:t>
      </w:r>
    </w:p>
    <w:p w:rsidR="007B43B6" w:rsidRPr="00FB065A" w:rsidRDefault="007B43B6" w:rsidP="007B43B6">
      <w:pPr>
        <w:tabs>
          <w:tab w:val="left" w:pos="851"/>
        </w:tabs>
        <w:ind w:left="851" w:right="605" w:hanging="851"/>
      </w:pPr>
    </w:p>
    <w:p w:rsidR="007B43B6" w:rsidRPr="00FB065A" w:rsidRDefault="007B43B6" w:rsidP="007B43B6">
      <w:pPr>
        <w:tabs>
          <w:tab w:val="left" w:pos="851"/>
        </w:tabs>
        <w:ind w:left="851" w:right="605" w:hanging="851"/>
        <w:rPr>
          <w:u w:val="single"/>
        </w:rPr>
      </w:pPr>
      <w:r>
        <w:tab/>
      </w:r>
      <w:proofErr w:type="spellStart"/>
      <w:r w:rsidRPr="00FB065A">
        <w:rPr>
          <w:u w:val="single"/>
        </w:rPr>
        <w:t>dFdU</w:t>
      </w:r>
      <w:proofErr w:type="spellEnd"/>
      <w:r w:rsidRPr="00FB065A">
        <w:rPr>
          <w:u w:val="single"/>
        </w:rPr>
        <w:t>-kinetik</w:t>
      </w:r>
    </w:p>
    <w:p w:rsidR="007B43B6" w:rsidRPr="00FB065A" w:rsidRDefault="007B43B6" w:rsidP="007B43B6">
      <w:pPr>
        <w:tabs>
          <w:tab w:val="left" w:pos="851"/>
        </w:tabs>
        <w:ind w:left="851" w:right="605" w:hanging="851"/>
      </w:pPr>
      <w:r>
        <w:lastRenderedPageBreak/>
        <w:tab/>
      </w:r>
      <w:r w:rsidRPr="00FB065A">
        <w:t>Maksimale plasmakoncentrationer (3-15 minutter efter afslutningen af 30 minutters infusion 1000 mg/m</w:t>
      </w:r>
      <w:r w:rsidRPr="00FB065A">
        <w:rPr>
          <w:vertAlign w:val="superscript"/>
        </w:rPr>
        <w:t>2</w:t>
      </w:r>
      <w:r w:rsidRPr="00FB065A">
        <w:t>): 28-52 µg/ml.</w:t>
      </w:r>
    </w:p>
    <w:p w:rsidR="007B43B6" w:rsidRPr="00FB065A" w:rsidRDefault="007B43B6" w:rsidP="007B43B6">
      <w:pPr>
        <w:tabs>
          <w:tab w:val="left" w:pos="851"/>
        </w:tabs>
        <w:ind w:left="851" w:right="605" w:hanging="851"/>
      </w:pPr>
      <w:r>
        <w:tab/>
      </w:r>
      <w:proofErr w:type="spellStart"/>
      <w:r w:rsidRPr="00FB065A">
        <w:t>Steady-state</w:t>
      </w:r>
      <w:proofErr w:type="spellEnd"/>
      <w:r w:rsidRPr="00FB065A">
        <w:t xml:space="preserve"> koncentration efter dosering én gang ugentlig: 0,07-1,12 µg/ml uden synlig akkumulation.</w:t>
      </w:r>
    </w:p>
    <w:p w:rsidR="007B43B6" w:rsidRPr="00FB065A" w:rsidRDefault="007B43B6" w:rsidP="007B43B6">
      <w:pPr>
        <w:tabs>
          <w:tab w:val="left" w:pos="851"/>
        </w:tabs>
        <w:ind w:left="851" w:right="605" w:hanging="851"/>
      </w:pPr>
      <w:r>
        <w:tab/>
      </w:r>
      <w:r w:rsidRPr="00FB065A">
        <w:t xml:space="preserve">I en </w:t>
      </w:r>
      <w:proofErr w:type="spellStart"/>
      <w:r w:rsidRPr="00FB065A">
        <w:t>trifasisk</w:t>
      </w:r>
      <w:proofErr w:type="spellEnd"/>
      <w:r w:rsidRPr="00FB065A">
        <w:t xml:space="preserve"> plasmakoncentrations-tidskurve er den gennemsnitlige terminale halveringstid 65 timer (33-84 timer).</w:t>
      </w:r>
    </w:p>
    <w:p w:rsidR="007B43B6" w:rsidRPr="00FB065A" w:rsidRDefault="007B43B6" w:rsidP="007B43B6">
      <w:pPr>
        <w:tabs>
          <w:tab w:val="left" w:pos="851"/>
        </w:tabs>
        <w:ind w:left="851" w:right="605" w:hanging="851"/>
      </w:pPr>
      <w:r>
        <w:tab/>
      </w:r>
      <w:r w:rsidRPr="00FB065A">
        <w:t xml:space="preserve">Dannelse af </w:t>
      </w:r>
      <w:proofErr w:type="spellStart"/>
      <w:r w:rsidRPr="00FB065A">
        <w:t>dFdU</w:t>
      </w:r>
      <w:proofErr w:type="spellEnd"/>
      <w:r w:rsidRPr="00FB065A">
        <w:t xml:space="preserve"> fra modersubstansen: 91-98%.</w:t>
      </w:r>
    </w:p>
    <w:p w:rsidR="007B43B6" w:rsidRPr="00FB065A" w:rsidRDefault="007B43B6" w:rsidP="007B43B6">
      <w:pPr>
        <w:tabs>
          <w:tab w:val="left" w:pos="851"/>
        </w:tabs>
        <w:ind w:left="851" w:right="605" w:hanging="851"/>
      </w:pPr>
      <w:r>
        <w:tab/>
      </w:r>
      <w:r w:rsidRPr="00FB065A">
        <w:t>Gennemsnitligt fordelingsvolumen i det centrale fordelingsrum: 18 l/m</w:t>
      </w:r>
      <w:r w:rsidRPr="00FB065A">
        <w:rPr>
          <w:vertAlign w:val="superscript"/>
        </w:rPr>
        <w:t>2</w:t>
      </w:r>
      <w:r w:rsidRPr="00FB065A">
        <w:t xml:space="preserve"> (11-22</w:t>
      </w:r>
      <w:r>
        <w:t> </w:t>
      </w:r>
      <w:r w:rsidRPr="00FB065A">
        <w:t>l/m</w:t>
      </w:r>
      <w:r w:rsidRPr="00FB065A">
        <w:rPr>
          <w:vertAlign w:val="superscript"/>
        </w:rPr>
        <w:t>2</w:t>
      </w:r>
      <w:r w:rsidRPr="00FB065A">
        <w:t>).</w:t>
      </w:r>
    </w:p>
    <w:p w:rsidR="007B43B6" w:rsidRPr="00FB065A" w:rsidRDefault="007B43B6" w:rsidP="007B43B6">
      <w:pPr>
        <w:tabs>
          <w:tab w:val="left" w:pos="851"/>
        </w:tabs>
        <w:ind w:left="851" w:right="605" w:hanging="851"/>
      </w:pPr>
      <w:r>
        <w:tab/>
      </w:r>
      <w:r w:rsidRPr="00FB065A">
        <w:t xml:space="preserve">Gennemsnitlig </w:t>
      </w:r>
      <w:proofErr w:type="spellStart"/>
      <w:r w:rsidRPr="00FB065A">
        <w:t>steady-state</w:t>
      </w:r>
      <w:proofErr w:type="spellEnd"/>
      <w:r w:rsidRPr="00FB065A">
        <w:t xml:space="preserve"> fordelingsvolumen (V</w:t>
      </w:r>
      <w:r w:rsidRPr="00FB065A">
        <w:rPr>
          <w:vertAlign w:val="subscript"/>
        </w:rPr>
        <w:t>SS</w:t>
      </w:r>
      <w:r w:rsidRPr="00FB065A">
        <w:t>): 150 l/m</w:t>
      </w:r>
      <w:r w:rsidRPr="00FB065A">
        <w:rPr>
          <w:vertAlign w:val="superscript"/>
        </w:rPr>
        <w:t>2</w:t>
      </w:r>
      <w:r w:rsidRPr="00FB065A">
        <w:t xml:space="preserve"> (96-228 l/m</w:t>
      </w:r>
      <w:r w:rsidRPr="00FB065A">
        <w:rPr>
          <w:vertAlign w:val="superscript"/>
        </w:rPr>
        <w:t>2</w:t>
      </w:r>
      <w:r w:rsidRPr="00FB065A">
        <w:t>).</w:t>
      </w:r>
    </w:p>
    <w:p w:rsidR="007B43B6" w:rsidRPr="00FB065A" w:rsidRDefault="007B43B6" w:rsidP="007B43B6">
      <w:pPr>
        <w:tabs>
          <w:tab w:val="left" w:pos="851"/>
        </w:tabs>
        <w:ind w:left="851" w:right="605" w:hanging="851"/>
      </w:pPr>
      <w:r>
        <w:tab/>
      </w:r>
      <w:r w:rsidRPr="00FB065A">
        <w:t>Vævsfordeling: Udtalt.</w:t>
      </w:r>
    </w:p>
    <w:p w:rsidR="007B43B6" w:rsidRPr="00FB065A" w:rsidRDefault="007B43B6" w:rsidP="007B43B6">
      <w:pPr>
        <w:tabs>
          <w:tab w:val="left" w:pos="851"/>
        </w:tabs>
        <w:ind w:left="851" w:right="605" w:hanging="851"/>
      </w:pPr>
      <w:r>
        <w:tab/>
      </w:r>
      <w:r w:rsidRPr="00FB065A">
        <w:t xml:space="preserve">Gennemsnitlig påviselig </w:t>
      </w:r>
      <w:proofErr w:type="spellStart"/>
      <w:r w:rsidRPr="00FB065A">
        <w:t>clearance</w:t>
      </w:r>
      <w:proofErr w:type="spellEnd"/>
      <w:r w:rsidRPr="00FB065A">
        <w:t>: 2,5 l/t/m</w:t>
      </w:r>
      <w:r w:rsidRPr="00FB065A">
        <w:rPr>
          <w:vertAlign w:val="superscript"/>
        </w:rPr>
        <w:t>2</w:t>
      </w:r>
      <w:r w:rsidRPr="00FB065A">
        <w:t xml:space="preserve"> (1-4 l/t/m</w:t>
      </w:r>
      <w:r w:rsidRPr="00FB065A">
        <w:rPr>
          <w:vertAlign w:val="superscript"/>
        </w:rPr>
        <w:t>2</w:t>
      </w:r>
      <w:r w:rsidRPr="00FB065A">
        <w:t>).</w:t>
      </w:r>
    </w:p>
    <w:p w:rsidR="007B43B6" w:rsidRPr="00FB065A" w:rsidRDefault="007B43B6" w:rsidP="007B43B6">
      <w:pPr>
        <w:tabs>
          <w:tab w:val="left" w:pos="851"/>
        </w:tabs>
        <w:ind w:left="851" w:right="605" w:hanging="851"/>
      </w:pPr>
      <w:r>
        <w:tab/>
      </w:r>
      <w:r w:rsidRPr="00FB065A">
        <w:t>Urinudskillelse: Fuldstændig.</w:t>
      </w:r>
    </w:p>
    <w:p w:rsidR="007B43B6" w:rsidRPr="00FB065A" w:rsidRDefault="007B43B6" w:rsidP="007B43B6">
      <w:pPr>
        <w:tabs>
          <w:tab w:val="left" w:pos="851"/>
        </w:tabs>
        <w:ind w:left="851" w:right="605" w:hanging="851"/>
      </w:pPr>
    </w:p>
    <w:p w:rsidR="007B43B6" w:rsidRPr="00FB065A" w:rsidRDefault="007B43B6" w:rsidP="007B43B6">
      <w:pPr>
        <w:tabs>
          <w:tab w:val="left" w:pos="851"/>
        </w:tabs>
        <w:ind w:left="851" w:right="605" w:hanging="851"/>
        <w:rPr>
          <w:u w:val="single"/>
        </w:rPr>
      </w:pPr>
      <w:r>
        <w:tab/>
      </w:r>
      <w:r w:rsidRPr="00FB065A">
        <w:rPr>
          <w:u w:val="single"/>
        </w:rPr>
        <w:t xml:space="preserve">Kombinationsbehandling med </w:t>
      </w:r>
      <w:proofErr w:type="spellStart"/>
      <w:r w:rsidRPr="00FB065A">
        <w:rPr>
          <w:u w:val="single"/>
        </w:rPr>
        <w:t>gemcitabin</w:t>
      </w:r>
      <w:proofErr w:type="spellEnd"/>
      <w:r w:rsidRPr="00FB065A">
        <w:rPr>
          <w:u w:val="single"/>
        </w:rPr>
        <w:t xml:space="preserve"> og </w:t>
      </w:r>
      <w:proofErr w:type="spellStart"/>
      <w:r w:rsidRPr="00FB065A">
        <w:rPr>
          <w:u w:val="single"/>
        </w:rPr>
        <w:t>paclitaxel</w:t>
      </w:r>
      <w:proofErr w:type="spellEnd"/>
    </w:p>
    <w:p w:rsidR="007B43B6" w:rsidRPr="00FB065A" w:rsidRDefault="007B43B6" w:rsidP="007B43B6">
      <w:pPr>
        <w:tabs>
          <w:tab w:val="left" w:pos="851"/>
        </w:tabs>
        <w:ind w:left="851" w:right="605" w:hanging="851"/>
      </w:pPr>
      <w:r>
        <w:tab/>
      </w:r>
      <w:r w:rsidRPr="00FB065A">
        <w:t xml:space="preserve">Kombinationsbehandling ændrer ikke farmakokinetikken af hverken </w:t>
      </w:r>
      <w:proofErr w:type="spellStart"/>
      <w:r w:rsidRPr="00FB065A">
        <w:t>gemcitabin</w:t>
      </w:r>
      <w:proofErr w:type="spellEnd"/>
      <w:r w:rsidRPr="00FB065A">
        <w:t xml:space="preserve"> eller </w:t>
      </w:r>
      <w:proofErr w:type="spellStart"/>
      <w:r w:rsidRPr="00FB065A">
        <w:t>paclitaxel</w:t>
      </w:r>
      <w:proofErr w:type="spellEnd"/>
      <w:r w:rsidRPr="00FB065A">
        <w:t>.</w:t>
      </w:r>
    </w:p>
    <w:p w:rsidR="007B43B6" w:rsidRPr="00FB065A" w:rsidRDefault="007B43B6" w:rsidP="007B43B6">
      <w:pPr>
        <w:tabs>
          <w:tab w:val="left" w:pos="851"/>
        </w:tabs>
        <w:ind w:left="851" w:right="605" w:hanging="851"/>
      </w:pPr>
    </w:p>
    <w:p w:rsidR="007B43B6" w:rsidRPr="00FB065A" w:rsidRDefault="007B43B6" w:rsidP="007B43B6">
      <w:pPr>
        <w:tabs>
          <w:tab w:val="left" w:pos="851"/>
        </w:tabs>
        <w:ind w:left="851" w:right="605" w:hanging="851"/>
        <w:rPr>
          <w:u w:val="single"/>
        </w:rPr>
      </w:pPr>
      <w:r>
        <w:tab/>
      </w:r>
      <w:r w:rsidRPr="00FB065A">
        <w:rPr>
          <w:u w:val="single"/>
        </w:rPr>
        <w:t xml:space="preserve">Kombinationsbehandling med </w:t>
      </w:r>
      <w:proofErr w:type="spellStart"/>
      <w:r w:rsidRPr="00FB065A">
        <w:rPr>
          <w:u w:val="single"/>
        </w:rPr>
        <w:t>gemcitabin</w:t>
      </w:r>
      <w:proofErr w:type="spellEnd"/>
      <w:r w:rsidRPr="00FB065A">
        <w:rPr>
          <w:u w:val="single"/>
        </w:rPr>
        <w:t xml:space="preserve"> og </w:t>
      </w:r>
      <w:proofErr w:type="spellStart"/>
      <w:r w:rsidRPr="00FB065A">
        <w:rPr>
          <w:u w:val="single"/>
        </w:rPr>
        <w:t>carboplatin</w:t>
      </w:r>
      <w:proofErr w:type="spellEnd"/>
    </w:p>
    <w:p w:rsidR="007B43B6" w:rsidRPr="00FB065A" w:rsidRDefault="007B43B6" w:rsidP="007B43B6">
      <w:pPr>
        <w:tabs>
          <w:tab w:val="left" w:pos="851"/>
        </w:tabs>
        <w:ind w:left="851" w:right="605" w:hanging="851"/>
      </w:pPr>
      <w:r>
        <w:tab/>
      </w:r>
      <w:proofErr w:type="spellStart"/>
      <w:r w:rsidRPr="00FB065A">
        <w:t>Pharmakokinetikken</w:t>
      </w:r>
      <w:proofErr w:type="spellEnd"/>
      <w:r w:rsidRPr="00FB065A">
        <w:t xml:space="preserve"> for </w:t>
      </w:r>
      <w:proofErr w:type="spellStart"/>
      <w:r w:rsidRPr="00FB065A">
        <w:t>gemcitabin</w:t>
      </w:r>
      <w:proofErr w:type="spellEnd"/>
      <w:r w:rsidRPr="00FB065A">
        <w:t xml:space="preserve"> ændres ikke, når det gives i kombination med </w:t>
      </w:r>
      <w:proofErr w:type="spellStart"/>
      <w:r w:rsidRPr="00FB065A">
        <w:t>carboplatin</w:t>
      </w:r>
      <w:proofErr w:type="spellEnd"/>
      <w:r w:rsidRPr="00FB065A">
        <w:t>.</w:t>
      </w:r>
    </w:p>
    <w:p w:rsidR="007B43B6" w:rsidRPr="00FB065A" w:rsidRDefault="007B43B6" w:rsidP="007B43B6">
      <w:pPr>
        <w:tabs>
          <w:tab w:val="left" w:pos="851"/>
        </w:tabs>
        <w:ind w:left="851" w:right="605" w:hanging="851"/>
        <w:rPr>
          <w:u w:val="single"/>
        </w:rPr>
      </w:pPr>
    </w:p>
    <w:p w:rsidR="007B43B6" w:rsidRPr="00FB065A" w:rsidRDefault="007B43B6" w:rsidP="007B43B6">
      <w:pPr>
        <w:tabs>
          <w:tab w:val="left" w:pos="851"/>
        </w:tabs>
        <w:ind w:left="851" w:right="605" w:hanging="851"/>
        <w:rPr>
          <w:u w:val="single"/>
        </w:rPr>
      </w:pPr>
      <w:r>
        <w:tab/>
      </w:r>
      <w:r w:rsidRPr="00FB065A">
        <w:rPr>
          <w:u w:val="single"/>
        </w:rPr>
        <w:t>Nyreinsufficiens</w:t>
      </w:r>
    </w:p>
    <w:p w:rsidR="007B43B6" w:rsidRPr="00197EDA" w:rsidRDefault="007B43B6" w:rsidP="007B43B6">
      <w:pPr>
        <w:tabs>
          <w:tab w:val="left" w:pos="851"/>
        </w:tabs>
        <w:ind w:left="851" w:right="605" w:hanging="851"/>
      </w:pPr>
      <w:r>
        <w:tab/>
      </w:r>
      <w:r w:rsidRPr="00FB065A">
        <w:t xml:space="preserve">Mild til moderat nyreinsufficiens (GFR fra 30 ml/min til 80 ml/min) har ingen konsistent, </w:t>
      </w:r>
      <w:proofErr w:type="spellStart"/>
      <w:r w:rsidRPr="00FB065A">
        <w:t>significant</w:t>
      </w:r>
      <w:proofErr w:type="spellEnd"/>
      <w:r w:rsidRPr="00FB065A">
        <w:t xml:space="preserve"> effekt på </w:t>
      </w:r>
      <w:proofErr w:type="spellStart"/>
      <w:r w:rsidRPr="00FB065A">
        <w:t>gemcitabins</w:t>
      </w:r>
      <w:proofErr w:type="spellEnd"/>
      <w:r w:rsidRPr="00FB065A">
        <w:t xml:space="preserve"> farmakokinetik.</w:t>
      </w:r>
    </w:p>
    <w:p w:rsidR="007B43B6" w:rsidRPr="00C84483" w:rsidRDefault="007B43B6" w:rsidP="007B43B6">
      <w:pPr>
        <w:tabs>
          <w:tab w:val="left" w:pos="851"/>
        </w:tabs>
        <w:ind w:left="851"/>
        <w:rPr>
          <w:sz w:val="24"/>
          <w:szCs w:val="24"/>
        </w:rPr>
      </w:pPr>
    </w:p>
    <w:p w:rsidR="007B43B6" w:rsidRPr="00C84483" w:rsidRDefault="007B43B6" w:rsidP="007B43B6">
      <w:pPr>
        <w:tabs>
          <w:tab w:val="left" w:pos="851"/>
        </w:tabs>
        <w:ind w:left="851" w:hanging="851"/>
        <w:rPr>
          <w:b/>
          <w:sz w:val="24"/>
          <w:szCs w:val="24"/>
        </w:rPr>
      </w:pPr>
      <w:r w:rsidRPr="00C84483">
        <w:rPr>
          <w:b/>
          <w:sz w:val="24"/>
          <w:szCs w:val="24"/>
        </w:rPr>
        <w:t>5.3</w:t>
      </w:r>
      <w:r w:rsidRPr="00C84483">
        <w:rPr>
          <w:b/>
          <w:sz w:val="24"/>
          <w:szCs w:val="24"/>
        </w:rPr>
        <w:tab/>
      </w:r>
      <w:r w:rsidR="00A06F90">
        <w:rPr>
          <w:b/>
          <w:sz w:val="24"/>
          <w:szCs w:val="24"/>
        </w:rPr>
        <w:t>Non-</w:t>
      </w:r>
      <w:r w:rsidRPr="00C84483">
        <w:rPr>
          <w:b/>
          <w:sz w:val="24"/>
          <w:szCs w:val="24"/>
        </w:rPr>
        <w:t>kliniske sikkerhedsdata</w:t>
      </w:r>
    </w:p>
    <w:p w:rsidR="007B43B6" w:rsidRPr="00FB065A" w:rsidRDefault="007B43B6" w:rsidP="007B43B6">
      <w:pPr>
        <w:tabs>
          <w:tab w:val="left" w:pos="851"/>
        </w:tabs>
        <w:ind w:left="851" w:right="605" w:hanging="851"/>
      </w:pPr>
      <w:r>
        <w:tab/>
      </w:r>
      <w:r w:rsidRPr="00FB065A">
        <w:t xml:space="preserve">I undersøgelser af op til 6 måneders varighed med gentagne doser på mus og hunde var hovedfundet </w:t>
      </w:r>
      <w:proofErr w:type="spellStart"/>
      <w:r w:rsidRPr="00FB065A">
        <w:t>regime</w:t>
      </w:r>
      <w:r>
        <w:t>n</w:t>
      </w:r>
      <w:proofErr w:type="spellEnd"/>
      <w:r w:rsidRPr="00FB065A">
        <w:t xml:space="preserve"> og dosisafhængig </w:t>
      </w:r>
      <w:proofErr w:type="spellStart"/>
      <w:r w:rsidRPr="00FB065A">
        <w:t>hæmatopoietisk</w:t>
      </w:r>
      <w:proofErr w:type="spellEnd"/>
      <w:r w:rsidRPr="00FB065A">
        <w:t xml:space="preserve"> påvirkning, som var reversibel.</w:t>
      </w:r>
    </w:p>
    <w:p w:rsidR="007B43B6" w:rsidRPr="00FB065A" w:rsidRDefault="007B43B6" w:rsidP="007B43B6">
      <w:pPr>
        <w:tabs>
          <w:tab w:val="left" w:pos="851"/>
        </w:tabs>
        <w:ind w:left="851" w:right="605" w:hanging="851"/>
      </w:pPr>
    </w:p>
    <w:p w:rsidR="007B43B6" w:rsidRPr="00FB065A" w:rsidRDefault="007B43B6" w:rsidP="007B43B6">
      <w:pPr>
        <w:tabs>
          <w:tab w:val="left" w:pos="851"/>
        </w:tabs>
        <w:ind w:left="851" w:right="605" w:hanging="851"/>
      </w:pPr>
      <w:r>
        <w:tab/>
      </w:r>
      <w:proofErr w:type="spellStart"/>
      <w:r w:rsidRPr="00FB065A">
        <w:t>Gemcitabin</w:t>
      </w:r>
      <w:proofErr w:type="spellEnd"/>
      <w:r w:rsidRPr="00FB065A">
        <w:t xml:space="preserve"> er mutagen i en in </w:t>
      </w:r>
      <w:proofErr w:type="spellStart"/>
      <w:r w:rsidRPr="00FB065A">
        <w:t>vitro</w:t>
      </w:r>
      <w:proofErr w:type="spellEnd"/>
      <w:r w:rsidRPr="00FB065A">
        <w:t xml:space="preserve"> mutationstest og en in </w:t>
      </w:r>
      <w:proofErr w:type="spellStart"/>
      <w:r w:rsidRPr="00FB065A">
        <w:t>vivo</w:t>
      </w:r>
      <w:proofErr w:type="spellEnd"/>
      <w:r w:rsidRPr="00FB065A">
        <w:t xml:space="preserve"> </w:t>
      </w:r>
      <w:proofErr w:type="spellStart"/>
      <w:r w:rsidRPr="00FB065A">
        <w:t>knovlemarvs</w:t>
      </w:r>
      <w:proofErr w:type="spellEnd"/>
      <w:r w:rsidRPr="00FB065A">
        <w:t xml:space="preserve"> </w:t>
      </w:r>
      <w:proofErr w:type="spellStart"/>
      <w:r w:rsidRPr="00FB065A">
        <w:t>mikronukleustest</w:t>
      </w:r>
      <w:proofErr w:type="spellEnd"/>
      <w:r w:rsidRPr="00FB065A">
        <w:t>. Der er ikke blevet udført langtidsstudier på dyr som evaluerer p</w:t>
      </w:r>
      <w:r>
        <w:t xml:space="preserve">otentialet for </w:t>
      </w:r>
      <w:proofErr w:type="spellStart"/>
      <w:r>
        <w:t>carcinogenicitet</w:t>
      </w:r>
      <w:proofErr w:type="spellEnd"/>
      <w:r>
        <w:t>.</w:t>
      </w:r>
    </w:p>
    <w:p w:rsidR="007B43B6" w:rsidRPr="00FB065A" w:rsidRDefault="007B43B6" w:rsidP="007B43B6">
      <w:pPr>
        <w:tabs>
          <w:tab w:val="left" w:pos="851"/>
        </w:tabs>
        <w:ind w:left="851" w:right="605" w:hanging="851"/>
      </w:pPr>
    </w:p>
    <w:p w:rsidR="007B43B6" w:rsidRPr="00FB065A" w:rsidRDefault="007B43B6" w:rsidP="007B43B6">
      <w:pPr>
        <w:tabs>
          <w:tab w:val="left" w:pos="851"/>
        </w:tabs>
        <w:ind w:left="851" w:right="605" w:hanging="851"/>
      </w:pPr>
      <w:r>
        <w:tab/>
      </w:r>
      <w:r w:rsidRPr="00FB065A">
        <w:t xml:space="preserve">I fertilitetsstudier har </w:t>
      </w:r>
      <w:proofErr w:type="spellStart"/>
      <w:r w:rsidRPr="00FB065A">
        <w:t>gemcitabin</w:t>
      </w:r>
      <w:proofErr w:type="spellEnd"/>
      <w:r w:rsidRPr="00FB065A">
        <w:t xml:space="preserve"> forårsaget reversibel </w:t>
      </w:r>
      <w:proofErr w:type="spellStart"/>
      <w:r w:rsidRPr="00FB065A">
        <w:t>hypospermatogenese</w:t>
      </w:r>
      <w:proofErr w:type="spellEnd"/>
      <w:r w:rsidRPr="00FB065A">
        <w:t xml:space="preserve"> i </w:t>
      </w:r>
      <w:proofErr w:type="spellStart"/>
      <w:r w:rsidRPr="00FB065A">
        <w:t>hanmus</w:t>
      </w:r>
      <w:proofErr w:type="spellEnd"/>
      <w:r w:rsidRPr="00FB065A">
        <w:t xml:space="preserve">. Der er ikke påvist nogen effekt på fertiliteten hos </w:t>
      </w:r>
      <w:proofErr w:type="spellStart"/>
      <w:r w:rsidRPr="00FB065A">
        <w:t>hunmus</w:t>
      </w:r>
      <w:proofErr w:type="spellEnd"/>
      <w:r w:rsidRPr="00FB065A">
        <w:t>.</w:t>
      </w:r>
    </w:p>
    <w:p w:rsidR="007B43B6" w:rsidRPr="00FB065A" w:rsidRDefault="007B43B6" w:rsidP="007B43B6">
      <w:pPr>
        <w:tabs>
          <w:tab w:val="left" w:pos="851"/>
        </w:tabs>
        <w:ind w:left="851" w:right="605" w:hanging="851"/>
      </w:pPr>
    </w:p>
    <w:p w:rsidR="004E407E" w:rsidRDefault="007B43B6" w:rsidP="00A06F90">
      <w:pPr>
        <w:tabs>
          <w:tab w:val="left" w:pos="851"/>
        </w:tabs>
        <w:ind w:left="851" w:right="605" w:hanging="851"/>
      </w:pPr>
      <w:r>
        <w:tab/>
      </w:r>
      <w:r w:rsidRPr="00FB065A">
        <w:t xml:space="preserve">Evalueringen af </w:t>
      </w:r>
      <w:proofErr w:type="spellStart"/>
      <w:r w:rsidRPr="00FB065A">
        <w:t>eksperimentielle</w:t>
      </w:r>
      <w:proofErr w:type="spellEnd"/>
      <w:r w:rsidRPr="00FB065A">
        <w:t xml:space="preserve"> dyrestudier </w:t>
      </w:r>
      <w:r>
        <w:t>har vist reproduktiv toksicitet så</w:t>
      </w:r>
      <w:r w:rsidRPr="00FB065A">
        <w:t xml:space="preserve"> som fødselsdefekter og andre effekter på udviklingen af embryo og foster, svangerskabsforløbet eller peri- og </w:t>
      </w:r>
      <w:proofErr w:type="spellStart"/>
      <w:r w:rsidRPr="00FB065A">
        <w:t>postnatal</w:t>
      </w:r>
      <w:proofErr w:type="spellEnd"/>
      <w:r w:rsidRPr="00FB065A">
        <w:t xml:space="preserve"> udvikling.</w:t>
      </w:r>
    </w:p>
    <w:p w:rsidR="00A06F90" w:rsidRPr="00A06F90" w:rsidRDefault="00A06F90" w:rsidP="00A06F90">
      <w:pPr>
        <w:tabs>
          <w:tab w:val="left" w:pos="851"/>
        </w:tabs>
        <w:ind w:left="851" w:right="605" w:hanging="851"/>
      </w:pPr>
    </w:p>
    <w:p w:rsidR="007B43B6" w:rsidRPr="00C84483" w:rsidRDefault="007B43B6" w:rsidP="007B43B6">
      <w:pPr>
        <w:tabs>
          <w:tab w:val="left" w:pos="851"/>
        </w:tabs>
        <w:ind w:left="851"/>
        <w:rPr>
          <w:sz w:val="24"/>
          <w:szCs w:val="24"/>
        </w:rPr>
      </w:pPr>
    </w:p>
    <w:p w:rsidR="007B43B6" w:rsidRPr="00C84483" w:rsidRDefault="007B43B6" w:rsidP="007B43B6">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7B43B6" w:rsidRPr="00BA09F1" w:rsidRDefault="007B43B6" w:rsidP="007B43B6">
      <w:pPr>
        <w:tabs>
          <w:tab w:val="left" w:pos="851"/>
        </w:tabs>
        <w:ind w:left="851"/>
        <w:rPr>
          <w:sz w:val="24"/>
          <w:szCs w:val="24"/>
        </w:rPr>
      </w:pPr>
    </w:p>
    <w:p w:rsidR="007B43B6" w:rsidRPr="00C84483" w:rsidRDefault="007B43B6" w:rsidP="007B43B6">
      <w:pPr>
        <w:tabs>
          <w:tab w:val="left" w:pos="851"/>
        </w:tabs>
        <w:ind w:left="851" w:hanging="851"/>
        <w:rPr>
          <w:b/>
          <w:sz w:val="24"/>
          <w:szCs w:val="24"/>
        </w:rPr>
      </w:pPr>
      <w:r w:rsidRPr="00C84483">
        <w:rPr>
          <w:b/>
          <w:sz w:val="24"/>
          <w:szCs w:val="24"/>
        </w:rPr>
        <w:t>6.1</w:t>
      </w:r>
      <w:r w:rsidRPr="00C84483">
        <w:rPr>
          <w:b/>
          <w:sz w:val="24"/>
          <w:szCs w:val="24"/>
        </w:rPr>
        <w:tab/>
        <w:t>Hjælpestoffer</w:t>
      </w:r>
    </w:p>
    <w:p w:rsidR="007B43B6" w:rsidRDefault="007B43B6" w:rsidP="007B43B6">
      <w:pPr>
        <w:tabs>
          <w:tab w:val="left" w:pos="851"/>
        </w:tabs>
        <w:ind w:left="851" w:hanging="851"/>
        <w:rPr>
          <w:szCs w:val="22"/>
          <w:lang w:val="da"/>
        </w:rPr>
      </w:pPr>
      <w:r>
        <w:tab/>
        <w:t>N</w:t>
      </w:r>
      <w:proofErr w:type="spellStart"/>
      <w:r w:rsidRPr="00100077">
        <w:rPr>
          <w:szCs w:val="22"/>
          <w:lang w:val="da"/>
        </w:rPr>
        <w:t>atriumchlorid</w:t>
      </w:r>
      <w:proofErr w:type="spellEnd"/>
    </w:p>
    <w:p w:rsidR="007B43B6" w:rsidRDefault="007B43B6" w:rsidP="007B43B6">
      <w:pPr>
        <w:tabs>
          <w:tab w:val="left" w:pos="851"/>
        </w:tabs>
        <w:ind w:left="851" w:hanging="851"/>
        <w:rPr>
          <w:szCs w:val="22"/>
          <w:lang w:val="da"/>
        </w:rPr>
      </w:pPr>
      <w:r>
        <w:rPr>
          <w:szCs w:val="22"/>
          <w:lang w:val="da"/>
        </w:rPr>
        <w:tab/>
        <w:t>N</w:t>
      </w:r>
      <w:r w:rsidRPr="00100077">
        <w:rPr>
          <w:szCs w:val="22"/>
          <w:lang w:val="da"/>
        </w:rPr>
        <w:t>atriumhydroxid (til pH-justering)</w:t>
      </w:r>
    </w:p>
    <w:p w:rsidR="007B43B6" w:rsidRDefault="007B43B6" w:rsidP="007B43B6">
      <w:pPr>
        <w:tabs>
          <w:tab w:val="left" w:pos="851"/>
        </w:tabs>
        <w:ind w:left="851" w:hanging="851"/>
        <w:rPr>
          <w:szCs w:val="22"/>
          <w:lang w:val="da"/>
        </w:rPr>
      </w:pPr>
      <w:r>
        <w:rPr>
          <w:szCs w:val="22"/>
          <w:lang w:val="da"/>
        </w:rPr>
        <w:tab/>
        <w:t>S</w:t>
      </w:r>
      <w:r w:rsidRPr="00100077">
        <w:rPr>
          <w:szCs w:val="22"/>
          <w:lang w:val="da"/>
        </w:rPr>
        <w:t>altsyre</w:t>
      </w:r>
      <w:r>
        <w:rPr>
          <w:szCs w:val="22"/>
          <w:lang w:val="da"/>
        </w:rPr>
        <w:t xml:space="preserve"> </w:t>
      </w:r>
      <w:r w:rsidRPr="00100077">
        <w:rPr>
          <w:szCs w:val="22"/>
          <w:lang w:val="da"/>
        </w:rPr>
        <w:t>(til pH-justering)</w:t>
      </w:r>
    </w:p>
    <w:p w:rsidR="007B43B6" w:rsidRPr="006373AE" w:rsidRDefault="007B43B6" w:rsidP="007B43B6">
      <w:pPr>
        <w:tabs>
          <w:tab w:val="left" w:pos="851"/>
        </w:tabs>
        <w:ind w:left="851" w:hanging="851"/>
      </w:pPr>
      <w:r>
        <w:rPr>
          <w:szCs w:val="22"/>
          <w:lang w:val="da"/>
        </w:rPr>
        <w:tab/>
        <w:t>V</w:t>
      </w:r>
      <w:r w:rsidRPr="00100077">
        <w:rPr>
          <w:szCs w:val="22"/>
        </w:rPr>
        <w:t>and til injektionsvæske</w:t>
      </w:r>
      <w:r>
        <w:rPr>
          <w:szCs w:val="22"/>
        </w:rPr>
        <w:t>r</w:t>
      </w:r>
    </w:p>
    <w:p w:rsidR="007B43B6" w:rsidRPr="00C84483" w:rsidRDefault="007B43B6" w:rsidP="007B43B6">
      <w:pPr>
        <w:tabs>
          <w:tab w:val="left" w:pos="851"/>
        </w:tabs>
        <w:ind w:left="851"/>
        <w:rPr>
          <w:sz w:val="24"/>
          <w:szCs w:val="24"/>
        </w:rPr>
      </w:pPr>
    </w:p>
    <w:p w:rsidR="007B43B6" w:rsidRPr="00C84483" w:rsidRDefault="007B43B6" w:rsidP="007B43B6">
      <w:pPr>
        <w:tabs>
          <w:tab w:val="left" w:pos="851"/>
        </w:tabs>
        <w:ind w:left="851" w:hanging="851"/>
        <w:rPr>
          <w:b/>
          <w:sz w:val="24"/>
          <w:szCs w:val="24"/>
        </w:rPr>
      </w:pPr>
      <w:r w:rsidRPr="00C84483">
        <w:rPr>
          <w:b/>
          <w:sz w:val="24"/>
          <w:szCs w:val="24"/>
        </w:rPr>
        <w:t>6.2</w:t>
      </w:r>
      <w:r w:rsidRPr="00C84483">
        <w:rPr>
          <w:b/>
          <w:sz w:val="24"/>
          <w:szCs w:val="24"/>
        </w:rPr>
        <w:tab/>
        <w:t>Uforligeligheder</w:t>
      </w:r>
    </w:p>
    <w:p w:rsidR="007B43B6" w:rsidRDefault="007B43B6" w:rsidP="007B43B6">
      <w:pPr>
        <w:tabs>
          <w:tab w:val="left" w:pos="851"/>
        </w:tabs>
        <w:ind w:left="851" w:hanging="851"/>
      </w:pPr>
      <w:r>
        <w:tab/>
      </w:r>
      <w:r w:rsidRPr="003D35B8">
        <w:rPr>
          <w:lang w:val="da"/>
        </w:rPr>
        <w:t>De</w:t>
      </w:r>
      <w:r>
        <w:rPr>
          <w:lang w:val="da"/>
        </w:rPr>
        <w:t>tte lægemiddel er klar til brug</w:t>
      </w:r>
      <w:r w:rsidRPr="003D35B8">
        <w:rPr>
          <w:lang w:val="da"/>
        </w:rPr>
        <w:t xml:space="preserve"> og må ikke blandes med andre lægemidler.</w:t>
      </w:r>
    </w:p>
    <w:p w:rsidR="007B43B6" w:rsidRDefault="007B43B6" w:rsidP="007B43B6">
      <w:pPr>
        <w:tabs>
          <w:tab w:val="left" w:pos="851"/>
        </w:tabs>
        <w:ind w:left="851"/>
        <w:rPr>
          <w:sz w:val="24"/>
          <w:szCs w:val="24"/>
        </w:rPr>
      </w:pPr>
    </w:p>
    <w:p w:rsidR="00A06F90" w:rsidRPr="00C84483" w:rsidRDefault="00A06F90" w:rsidP="007B43B6">
      <w:pPr>
        <w:tabs>
          <w:tab w:val="left" w:pos="851"/>
        </w:tabs>
        <w:ind w:left="851"/>
        <w:rPr>
          <w:sz w:val="24"/>
          <w:szCs w:val="24"/>
        </w:rPr>
      </w:pPr>
    </w:p>
    <w:p w:rsidR="007B43B6" w:rsidRPr="00C84483" w:rsidRDefault="007B43B6" w:rsidP="007B43B6">
      <w:pPr>
        <w:tabs>
          <w:tab w:val="left" w:pos="851"/>
        </w:tabs>
        <w:ind w:left="851" w:hanging="851"/>
        <w:rPr>
          <w:b/>
          <w:sz w:val="24"/>
          <w:szCs w:val="24"/>
        </w:rPr>
      </w:pPr>
      <w:r w:rsidRPr="00C84483">
        <w:rPr>
          <w:b/>
          <w:sz w:val="24"/>
          <w:szCs w:val="24"/>
        </w:rPr>
        <w:lastRenderedPageBreak/>
        <w:t>6.3</w:t>
      </w:r>
      <w:r w:rsidRPr="00C84483">
        <w:rPr>
          <w:b/>
          <w:sz w:val="24"/>
          <w:szCs w:val="24"/>
        </w:rPr>
        <w:tab/>
        <w:t>Opbevaringstid</w:t>
      </w:r>
    </w:p>
    <w:p w:rsidR="007B43B6" w:rsidRDefault="007B43B6" w:rsidP="007B43B6">
      <w:pPr>
        <w:tabs>
          <w:tab w:val="left" w:pos="851"/>
        </w:tabs>
        <w:ind w:left="851" w:hanging="851"/>
      </w:pPr>
      <w:r>
        <w:tab/>
      </w:r>
      <w:r w:rsidRPr="00B316F0">
        <w:t>2 år</w:t>
      </w:r>
      <w:r>
        <w:t>.</w:t>
      </w:r>
    </w:p>
    <w:p w:rsidR="007B43B6" w:rsidRDefault="007B43B6" w:rsidP="007B43B6">
      <w:pPr>
        <w:tabs>
          <w:tab w:val="left" w:pos="851"/>
        </w:tabs>
        <w:ind w:left="851" w:hanging="851"/>
      </w:pPr>
    </w:p>
    <w:p w:rsidR="007B43B6" w:rsidRPr="00757D2E" w:rsidRDefault="007B43B6" w:rsidP="007B43B6">
      <w:pPr>
        <w:tabs>
          <w:tab w:val="left" w:pos="851"/>
        </w:tabs>
        <w:ind w:left="851" w:hanging="851"/>
        <w:rPr>
          <w:szCs w:val="22"/>
          <w:u w:val="single"/>
          <w:lang w:val="da"/>
        </w:rPr>
      </w:pPr>
      <w:r w:rsidRPr="00757D2E">
        <w:tab/>
      </w:r>
      <w:r>
        <w:rPr>
          <w:iCs/>
          <w:szCs w:val="22"/>
          <w:u w:val="single"/>
          <w:lang w:val="da"/>
        </w:rPr>
        <w:t>Efter åbning af infusionsposen</w:t>
      </w:r>
    </w:p>
    <w:p w:rsidR="007B43B6" w:rsidRPr="004C6268" w:rsidRDefault="007B43B6" w:rsidP="007B43B6">
      <w:pPr>
        <w:tabs>
          <w:tab w:val="left" w:pos="851"/>
        </w:tabs>
        <w:ind w:left="851" w:hanging="851"/>
        <w:rPr>
          <w:szCs w:val="22"/>
        </w:rPr>
      </w:pPr>
      <w:r>
        <w:rPr>
          <w:szCs w:val="22"/>
        </w:rPr>
        <w:tab/>
      </w:r>
      <w:r w:rsidRPr="00E8499C">
        <w:rPr>
          <w:szCs w:val="22"/>
        </w:rPr>
        <w:t xml:space="preserve">Ud fra et mikrobiologisk synspunkt bør </w:t>
      </w:r>
      <w:r>
        <w:rPr>
          <w:szCs w:val="22"/>
        </w:rPr>
        <w:t>denne infusionsvæske, opløsning</w:t>
      </w:r>
      <w:r w:rsidRPr="00E8499C">
        <w:rPr>
          <w:szCs w:val="22"/>
        </w:rPr>
        <w:t xml:space="preserve"> anvendes straks. Hvis de</w:t>
      </w:r>
      <w:r>
        <w:rPr>
          <w:szCs w:val="22"/>
        </w:rPr>
        <w:t>n</w:t>
      </w:r>
      <w:r w:rsidRPr="00E8499C">
        <w:rPr>
          <w:szCs w:val="22"/>
        </w:rPr>
        <w:t xml:space="preserve"> ikke anvendes straks, er opbevaringstiden og opbevaringsforholdene før anvendelse brugerens ansvar.</w:t>
      </w:r>
    </w:p>
    <w:p w:rsidR="007B43B6" w:rsidRPr="00C84483" w:rsidRDefault="007B43B6" w:rsidP="007B43B6">
      <w:pPr>
        <w:tabs>
          <w:tab w:val="left" w:pos="851"/>
        </w:tabs>
        <w:ind w:left="851"/>
        <w:rPr>
          <w:sz w:val="24"/>
          <w:szCs w:val="24"/>
        </w:rPr>
      </w:pPr>
    </w:p>
    <w:p w:rsidR="007B43B6" w:rsidRPr="00C84483" w:rsidRDefault="007B43B6" w:rsidP="007B43B6">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7B43B6" w:rsidRPr="00986A5A" w:rsidRDefault="007B43B6" w:rsidP="007B43B6">
      <w:pPr>
        <w:tabs>
          <w:tab w:val="left" w:pos="851"/>
        </w:tabs>
        <w:ind w:left="851" w:hanging="851"/>
        <w:rPr>
          <w:lang w:val="da"/>
        </w:rPr>
      </w:pPr>
      <w:r>
        <w:tab/>
      </w:r>
      <w:r w:rsidRPr="00B316F0">
        <w:rPr>
          <w:lang w:val="da"/>
        </w:rPr>
        <w:t>Må ikke opbevares i køleskab eller nedfryses.</w:t>
      </w:r>
    </w:p>
    <w:p w:rsidR="007B43B6" w:rsidRPr="00C84483" w:rsidRDefault="007B43B6" w:rsidP="007B43B6">
      <w:pPr>
        <w:tabs>
          <w:tab w:val="left" w:pos="851"/>
        </w:tabs>
        <w:ind w:left="851"/>
        <w:rPr>
          <w:sz w:val="24"/>
          <w:szCs w:val="24"/>
        </w:rPr>
      </w:pPr>
    </w:p>
    <w:p w:rsidR="007B43B6" w:rsidRPr="00C84483" w:rsidRDefault="007B43B6" w:rsidP="007B43B6">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7B43B6" w:rsidRDefault="007B43B6" w:rsidP="007B43B6">
      <w:pPr>
        <w:tabs>
          <w:tab w:val="left" w:pos="851"/>
        </w:tabs>
        <w:ind w:left="851" w:hanging="851"/>
        <w:rPr>
          <w:lang w:val="da"/>
        </w:rPr>
      </w:pPr>
      <w:r>
        <w:rPr>
          <w:lang w:val="da"/>
        </w:rPr>
        <w:tab/>
        <w:t xml:space="preserve">Steril, </w:t>
      </w:r>
      <w:r w:rsidRPr="00B316F0">
        <w:rPr>
          <w:lang w:val="da"/>
        </w:rPr>
        <w:t>fleksibe</w:t>
      </w:r>
      <w:r>
        <w:rPr>
          <w:lang w:val="da"/>
        </w:rPr>
        <w:t>l</w:t>
      </w:r>
      <w:r w:rsidRPr="00B316F0">
        <w:rPr>
          <w:lang w:val="da"/>
        </w:rPr>
        <w:t xml:space="preserve"> flerlage</w:t>
      </w:r>
      <w:r>
        <w:rPr>
          <w:lang w:val="da"/>
        </w:rPr>
        <w:t>t</w:t>
      </w:r>
      <w:r w:rsidRPr="00B316F0">
        <w:rPr>
          <w:lang w:val="da"/>
        </w:rPr>
        <w:t xml:space="preserve"> M3</w:t>
      </w:r>
      <w:r>
        <w:rPr>
          <w:lang w:val="da"/>
        </w:rPr>
        <w:t xml:space="preserve">12-plastinfusionspose, der er </w:t>
      </w:r>
      <w:r w:rsidRPr="00B316F0">
        <w:rPr>
          <w:lang w:val="da"/>
        </w:rPr>
        <w:t xml:space="preserve">pakket </w:t>
      </w:r>
      <w:r>
        <w:rPr>
          <w:lang w:val="da"/>
        </w:rPr>
        <w:t>i</w:t>
      </w:r>
      <w:r w:rsidRPr="00B316F0">
        <w:rPr>
          <w:lang w:val="da"/>
        </w:rPr>
        <w:t xml:space="preserve"> en aluminiumspose. </w:t>
      </w:r>
      <w:proofErr w:type="spellStart"/>
      <w:r w:rsidRPr="00B316F0">
        <w:rPr>
          <w:lang w:val="da"/>
        </w:rPr>
        <w:t>Minitulipe</w:t>
      </w:r>
      <w:proofErr w:type="spellEnd"/>
      <w:r w:rsidRPr="00B316F0">
        <w:rPr>
          <w:lang w:val="da"/>
        </w:rPr>
        <w:t xml:space="preserve">-infusionsposeproppen består af en spikeport med en </w:t>
      </w:r>
      <w:proofErr w:type="spellStart"/>
      <w:r w:rsidRPr="00B316F0">
        <w:rPr>
          <w:lang w:val="da"/>
        </w:rPr>
        <w:t>chlorbutyl</w:t>
      </w:r>
      <w:proofErr w:type="spellEnd"/>
      <w:r w:rsidRPr="00B316F0">
        <w:rPr>
          <w:lang w:val="da"/>
        </w:rPr>
        <w:t xml:space="preserve"> (latexfri) forbindelse, og en </w:t>
      </w:r>
      <w:proofErr w:type="spellStart"/>
      <w:r w:rsidRPr="00B316F0">
        <w:rPr>
          <w:lang w:val="da"/>
        </w:rPr>
        <w:t>polyolefin</w:t>
      </w:r>
      <w:proofErr w:type="spellEnd"/>
      <w:r w:rsidRPr="00B316F0">
        <w:rPr>
          <w:lang w:val="da"/>
        </w:rPr>
        <w:t>-tilslutningsslange anvendes.</w:t>
      </w:r>
    </w:p>
    <w:p w:rsidR="007B43B6" w:rsidRDefault="007B43B6" w:rsidP="007B43B6">
      <w:pPr>
        <w:tabs>
          <w:tab w:val="left" w:pos="851"/>
        </w:tabs>
        <w:ind w:left="851" w:hanging="851"/>
        <w:rPr>
          <w:lang w:val="da"/>
        </w:rPr>
      </w:pPr>
    </w:p>
    <w:p w:rsidR="007B43B6" w:rsidRPr="0098250B" w:rsidRDefault="007B43B6" w:rsidP="007B43B6">
      <w:pPr>
        <w:tabs>
          <w:tab w:val="left" w:pos="851"/>
        </w:tabs>
        <w:ind w:left="851" w:hanging="851"/>
        <w:rPr>
          <w:u w:val="single"/>
          <w:lang w:val="da"/>
        </w:rPr>
      </w:pPr>
      <w:r>
        <w:rPr>
          <w:lang w:val="da"/>
        </w:rPr>
        <w:tab/>
      </w:r>
      <w:r w:rsidRPr="0098250B">
        <w:rPr>
          <w:u w:val="single"/>
          <w:lang w:val="da"/>
        </w:rPr>
        <w:t>Pakningsstørrelser</w:t>
      </w:r>
    </w:p>
    <w:p w:rsidR="007B43B6" w:rsidRPr="00B316F0" w:rsidRDefault="007B43B6" w:rsidP="007B43B6">
      <w:pPr>
        <w:tabs>
          <w:tab w:val="left" w:pos="851"/>
        </w:tabs>
        <w:ind w:left="851" w:hanging="851"/>
        <w:rPr>
          <w:lang w:val="da"/>
        </w:rPr>
      </w:pPr>
      <w:r>
        <w:rPr>
          <w:lang w:val="da"/>
        </w:rPr>
        <w:tab/>
        <w:t>P</w:t>
      </w:r>
      <w:r w:rsidRPr="00B316F0">
        <w:rPr>
          <w:lang w:val="da"/>
        </w:rPr>
        <w:t>apæsker</w:t>
      </w:r>
      <w:r>
        <w:rPr>
          <w:lang w:val="da"/>
        </w:rPr>
        <w:t xml:space="preserve"> med</w:t>
      </w:r>
      <w:r w:rsidRPr="00B316F0">
        <w:rPr>
          <w:lang w:val="da"/>
        </w:rPr>
        <w:t xml:space="preserve"> 1, 5 eller 10 infusionsposer med enkeltdos</w:t>
      </w:r>
      <w:r>
        <w:rPr>
          <w:lang w:val="da"/>
        </w:rPr>
        <w:t>er</w:t>
      </w:r>
      <w:r w:rsidRPr="00B316F0">
        <w:rPr>
          <w:lang w:val="da"/>
        </w:rPr>
        <w:t xml:space="preserve"> af 120 ml, </w:t>
      </w:r>
      <w:r w:rsidR="0028754E">
        <w:rPr>
          <w:lang w:val="da"/>
        </w:rPr>
        <w:t xml:space="preserve">130 ml, </w:t>
      </w:r>
      <w:r>
        <w:rPr>
          <w:lang w:val="da"/>
        </w:rPr>
        <w:t xml:space="preserve">140 ml, </w:t>
      </w:r>
      <w:r w:rsidR="0028754E">
        <w:rPr>
          <w:lang w:val="da"/>
        </w:rPr>
        <w:t xml:space="preserve">150 ml, </w:t>
      </w:r>
      <w:r w:rsidRPr="00B316F0">
        <w:rPr>
          <w:lang w:val="da"/>
        </w:rPr>
        <w:t>160 ml, 170 ml, 180 ml, 200 ml eller 220 ml.</w:t>
      </w:r>
    </w:p>
    <w:p w:rsidR="007B43B6" w:rsidRPr="00B316F0" w:rsidRDefault="007B43B6" w:rsidP="007B43B6">
      <w:pPr>
        <w:tabs>
          <w:tab w:val="left" w:pos="851"/>
        </w:tabs>
        <w:ind w:left="851" w:hanging="851"/>
        <w:rPr>
          <w:u w:val="single"/>
          <w:lang w:val="da"/>
        </w:rPr>
      </w:pPr>
    </w:p>
    <w:p w:rsidR="007B43B6" w:rsidRPr="0098250B" w:rsidRDefault="007B43B6" w:rsidP="007B43B6">
      <w:pPr>
        <w:tabs>
          <w:tab w:val="left" w:pos="851"/>
        </w:tabs>
        <w:ind w:left="851" w:hanging="851"/>
        <w:rPr>
          <w:lang w:val="nl-NL"/>
        </w:rPr>
      </w:pPr>
      <w:r>
        <w:rPr>
          <w:lang w:val="da"/>
        </w:rPr>
        <w:tab/>
      </w:r>
      <w:r w:rsidRPr="00B316F0">
        <w:rPr>
          <w:lang w:val="da"/>
        </w:rPr>
        <w:t>Ikke alle pakningsstørrelser er nødvendigvis markedsført.</w:t>
      </w:r>
    </w:p>
    <w:p w:rsidR="007B43B6" w:rsidRPr="00C84483" w:rsidRDefault="007B43B6" w:rsidP="007B43B6">
      <w:pPr>
        <w:tabs>
          <w:tab w:val="left" w:pos="851"/>
        </w:tabs>
        <w:ind w:left="851"/>
        <w:rPr>
          <w:sz w:val="24"/>
          <w:szCs w:val="24"/>
        </w:rPr>
      </w:pPr>
    </w:p>
    <w:p w:rsidR="007B43B6" w:rsidRPr="00C84483" w:rsidRDefault="007B43B6" w:rsidP="007B43B6">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A06F90">
        <w:rPr>
          <w:b/>
          <w:sz w:val="24"/>
          <w:szCs w:val="24"/>
        </w:rPr>
        <w:t>bortskaffelse</w:t>
      </w:r>
      <w:r w:rsidRPr="00C84483">
        <w:rPr>
          <w:b/>
          <w:sz w:val="24"/>
          <w:szCs w:val="24"/>
        </w:rPr>
        <w:t xml:space="preserve"> og anden håndtering</w:t>
      </w:r>
    </w:p>
    <w:p w:rsidR="007B43B6" w:rsidRDefault="007B43B6" w:rsidP="007B43B6">
      <w:pPr>
        <w:shd w:val="clear" w:color="auto" w:fill="FFFFFF"/>
        <w:tabs>
          <w:tab w:val="left" w:pos="851"/>
        </w:tabs>
        <w:ind w:left="851" w:right="1030" w:hanging="846"/>
      </w:pPr>
      <w:r>
        <w:tab/>
      </w:r>
    </w:p>
    <w:p w:rsidR="007B43B6" w:rsidRDefault="007B43B6" w:rsidP="007B43B6">
      <w:pPr>
        <w:shd w:val="clear" w:color="auto" w:fill="FFFFFF"/>
        <w:tabs>
          <w:tab w:val="left" w:pos="851"/>
        </w:tabs>
        <w:ind w:left="851" w:right="1030" w:hanging="846"/>
        <w:rPr>
          <w:bCs/>
          <w:color w:val="000000"/>
          <w:spacing w:val="-3"/>
          <w:szCs w:val="22"/>
          <w:u w:val="single"/>
        </w:rPr>
      </w:pPr>
      <w:r>
        <w:tab/>
      </w:r>
      <w:r w:rsidRPr="000E756F">
        <w:rPr>
          <w:bCs/>
          <w:color w:val="000000"/>
          <w:spacing w:val="-3"/>
          <w:szCs w:val="22"/>
          <w:u w:val="single"/>
        </w:rPr>
        <w:t>Håndtering</w:t>
      </w:r>
    </w:p>
    <w:p w:rsidR="007B43B6" w:rsidRPr="005F5A29" w:rsidRDefault="007B43B6" w:rsidP="007B43B6">
      <w:pPr>
        <w:widowControl w:val="0"/>
        <w:numPr>
          <w:ilvl w:val="0"/>
          <w:numId w:val="10"/>
        </w:numPr>
        <w:shd w:val="clear" w:color="auto" w:fill="FFFFFF"/>
        <w:tabs>
          <w:tab w:val="left" w:pos="1134"/>
        </w:tabs>
        <w:autoSpaceDE w:val="0"/>
        <w:autoSpaceDN w:val="0"/>
        <w:adjustRightInd w:val="0"/>
        <w:ind w:left="1134" w:hanging="283"/>
        <w:rPr>
          <w:color w:val="000000"/>
          <w:spacing w:val="-9"/>
          <w:szCs w:val="22"/>
          <w:lang w:val="nl-NL"/>
        </w:rPr>
      </w:pPr>
      <w:r>
        <w:rPr>
          <w:color w:val="000000"/>
          <w:szCs w:val="22"/>
          <w:lang w:val="da"/>
        </w:rPr>
        <w:t>Beregn den nødvendige dosis</w:t>
      </w:r>
      <w:r w:rsidRPr="005F5A29">
        <w:rPr>
          <w:color w:val="000000"/>
          <w:szCs w:val="22"/>
          <w:lang w:val="da"/>
        </w:rPr>
        <w:t xml:space="preserve"> og afgør hvilken størrelse infusionspose, der er nødvendig.</w:t>
      </w:r>
    </w:p>
    <w:p w:rsidR="007B43B6" w:rsidRPr="00F94E55" w:rsidRDefault="007B43B6" w:rsidP="007B43B6">
      <w:pPr>
        <w:widowControl w:val="0"/>
        <w:numPr>
          <w:ilvl w:val="0"/>
          <w:numId w:val="10"/>
        </w:numPr>
        <w:shd w:val="clear" w:color="auto" w:fill="FFFFFF"/>
        <w:tabs>
          <w:tab w:val="left" w:pos="1134"/>
        </w:tabs>
        <w:autoSpaceDE w:val="0"/>
        <w:autoSpaceDN w:val="0"/>
        <w:adjustRightInd w:val="0"/>
        <w:ind w:left="1134" w:hanging="283"/>
        <w:rPr>
          <w:color w:val="000000"/>
          <w:szCs w:val="22"/>
          <w:lang w:val="da"/>
        </w:rPr>
      </w:pPr>
      <w:r w:rsidRPr="005F5A29">
        <w:rPr>
          <w:color w:val="000000"/>
          <w:szCs w:val="22"/>
          <w:lang w:val="da"/>
        </w:rPr>
        <w:t>Undersøg produktpakken for eventuelle skader. Må ikke anvendes, hvis der er tegn på, at der er pillet ved den.</w:t>
      </w:r>
    </w:p>
    <w:p w:rsidR="007B43B6" w:rsidRPr="00F94E55" w:rsidRDefault="007B43B6" w:rsidP="007B43B6">
      <w:pPr>
        <w:widowControl w:val="0"/>
        <w:numPr>
          <w:ilvl w:val="0"/>
          <w:numId w:val="10"/>
        </w:numPr>
        <w:shd w:val="clear" w:color="auto" w:fill="FFFFFF"/>
        <w:tabs>
          <w:tab w:val="left" w:pos="1134"/>
        </w:tabs>
        <w:autoSpaceDE w:val="0"/>
        <w:autoSpaceDN w:val="0"/>
        <w:adjustRightInd w:val="0"/>
        <w:ind w:left="1134" w:hanging="283"/>
        <w:rPr>
          <w:color w:val="000000"/>
          <w:szCs w:val="22"/>
          <w:lang w:val="da"/>
        </w:rPr>
      </w:pPr>
      <w:r w:rsidRPr="005F5A29">
        <w:rPr>
          <w:color w:val="000000"/>
          <w:szCs w:val="22"/>
          <w:lang w:val="da"/>
        </w:rPr>
        <w:t>Sæt patientspecifik etiket på indpakningen.</w:t>
      </w:r>
    </w:p>
    <w:p w:rsidR="007B43B6" w:rsidRPr="005F5A29" w:rsidRDefault="007B43B6" w:rsidP="007B43B6">
      <w:pPr>
        <w:shd w:val="clear" w:color="auto" w:fill="FFFFFF"/>
        <w:tabs>
          <w:tab w:val="left" w:pos="851"/>
        </w:tabs>
        <w:ind w:left="851" w:right="1030" w:hanging="846"/>
        <w:rPr>
          <w:bCs/>
          <w:color w:val="000000"/>
          <w:spacing w:val="-3"/>
          <w:szCs w:val="22"/>
          <w:u w:val="single"/>
          <w:lang w:val="nl-NL"/>
        </w:rPr>
      </w:pPr>
    </w:p>
    <w:p w:rsidR="007B43B6" w:rsidRPr="00F62281" w:rsidRDefault="007B43B6" w:rsidP="007B43B6">
      <w:pPr>
        <w:widowControl w:val="0"/>
        <w:shd w:val="clear" w:color="auto" w:fill="FFFFFF"/>
        <w:tabs>
          <w:tab w:val="left" w:pos="851"/>
        </w:tabs>
        <w:autoSpaceDE w:val="0"/>
        <w:autoSpaceDN w:val="0"/>
        <w:adjustRightInd w:val="0"/>
        <w:ind w:left="851" w:hanging="846"/>
        <w:rPr>
          <w:bCs/>
          <w:i/>
          <w:color w:val="000000"/>
          <w:szCs w:val="22"/>
        </w:rPr>
      </w:pPr>
      <w:r w:rsidRPr="00F62281">
        <w:rPr>
          <w:iCs/>
          <w:color w:val="000000"/>
          <w:szCs w:val="22"/>
          <w:lang w:val="da"/>
        </w:rPr>
        <w:tab/>
      </w:r>
      <w:r w:rsidRPr="00F62281">
        <w:rPr>
          <w:i/>
          <w:iCs/>
          <w:color w:val="000000"/>
          <w:szCs w:val="22"/>
          <w:lang w:val="da"/>
        </w:rPr>
        <w:t xml:space="preserve">Fjernelse af infusionspose fra indpakningen </w:t>
      </w:r>
      <w:r>
        <w:rPr>
          <w:i/>
          <w:iCs/>
          <w:color w:val="000000"/>
          <w:szCs w:val="22"/>
          <w:lang w:val="da"/>
        </w:rPr>
        <w:t>samt</w:t>
      </w:r>
      <w:r w:rsidRPr="00F62281">
        <w:rPr>
          <w:i/>
          <w:iCs/>
          <w:color w:val="000000"/>
          <w:szCs w:val="22"/>
          <w:lang w:val="da"/>
        </w:rPr>
        <w:t xml:space="preserve"> inspektion af infusionspose</w:t>
      </w:r>
    </w:p>
    <w:p w:rsidR="007B43B6" w:rsidRPr="00F94E55" w:rsidRDefault="007B43B6" w:rsidP="007B43B6">
      <w:pPr>
        <w:widowControl w:val="0"/>
        <w:numPr>
          <w:ilvl w:val="0"/>
          <w:numId w:val="10"/>
        </w:numPr>
        <w:shd w:val="clear" w:color="auto" w:fill="FFFFFF"/>
        <w:tabs>
          <w:tab w:val="left" w:pos="1134"/>
        </w:tabs>
        <w:autoSpaceDE w:val="0"/>
        <w:autoSpaceDN w:val="0"/>
        <w:adjustRightInd w:val="0"/>
        <w:ind w:left="1134" w:hanging="283"/>
        <w:rPr>
          <w:color w:val="000000"/>
          <w:szCs w:val="22"/>
          <w:lang w:val="da"/>
        </w:rPr>
      </w:pPr>
      <w:r w:rsidRPr="005F5A29">
        <w:rPr>
          <w:color w:val="000000"/>
          <w:szCs w:val="22"/>
          <w:lang w:val="da"/>
        </w:rPr>
        <w:t xml:space="preserve">Åbn indpakningen ved at rive i slidsen. </w:t>
      </w:r>
      <w:r w:rsidRPr="00F94E55">
        <w:rPr>
          <w:color w:val="000000"/>
          <w:szCs w:val="22"/>
          <w:lang w:val="da"/>
        </w:rPr>
        <w:t>Må ikke anvendes, hvis indpakningen tidligere har været åbnet eller er beskadiget.</w:t>
      </w:r>
    </w:p>
    <w:p w:rsidR="007B43B6" w:rsidRPr="00F94E55" w:rsidRDefault="007B43B6" w:rsidP="007B43B6">
      <w:pPr>
        <w:widowControl w:val="0"/>
        <w:numPr>
          <w:ilvl w:val="0"/>
          <w:numId w:val="10"/>
        </w:numPr>
        <w:shd w:val="clear" w:color="auto" w:fill="FFFFFF"/>
        <w:tabs>
          <w:tab w:val="left" w:pos="1134"/>
        </w:tabs>
        <w:autoSpaceDE w:val="0"/>
        <w:autoSpaceDN w:val="0"/>
        <w:adjustRightInd w:val="0"/>
        <w:ind w:left="1134" w:hanging="283"/>
        <w:rPr>
          <w:color w:val="000000"/>
          <w:szCs w:val="22"/>
          <w:lang w:val="da"/>
        </w:rPr>
      </w:pPr>
      <w:r w:rsidRPr="005F5A29">
        <w:rPr>
          <w:color w:val="000000"/>
          <w:szCs w:val="22"/>
          <w:lang w:val="da"/>
        </w:rPr>
        <w:t>Fjern infusionsposen fra indpakningen.</w:t>
      </w:r>
    </w:p>
    <w:p w:rsidR="007B43B6" w:rsidRPr="00F94E55" w:rsidRDefault="007B43B6" w:rsidP="007B43B6">
      <w:pPr>
        <w:widowControl w:val="0"/>
        <w:numPr>
          <w:ilvl w:val="0"/>
          <w:numId w:val="10"/>
        </w:numPr>
        <w:shd w:val="clear" w:color="auto" w:fill="FFFFFF"/>
        <w:tabs>
          <w:tab w:val="left" w:pos="1134"/>
        </w:tabs>
        <w:autoSpaceDE w:val="0"/>
        <w:autoSpaceDN w:val="0"/>
        <w:adjustRightInd w:val="0"/>
        <w:ind w:left="1134" w:hanging="283"/>
        <w:rPr>
          <w:color w:val="000000"/>
          <w:szCs w:val="22"/>
          <w:lang w:val="da"/>
        </w:rPr>
      </w:pPr>
      <w:r w:rsidRPr="005F5A29">
        <w:rPr>
          <w:color w:val="000000"/>
          <w:szCs w:val="22"/>
          <w:lang w:val="da"/>
        </w:rPr>
        <w:t xml:space="preserve">Må kun anvendes, hvis infusionspose og forsegling er intakt. </w:t>
      </w:r>
      <w:r w:rsidRPr="00F94E55">
        <w:rPr>
          <w:color w:val="000000"/>
          <w:szCs w:val="22"/>
          <w:lang w:val="da"/>
        </w:rPr>
        <w:t xml:space="preserve">Tjek, før administration, for små utætheder ved at klemme fast på posen. </w:t>
      </w:r>
      <w:r w:rsidRPr="00285758">
        <w:rPr>
          <w:color w:val="000000"/>
          <w:szCs w:val="22"/>
          <w:lang w:val="da"/>
        </w:rPr>
        <w:t>Hvis der konstateres utætheder</w:t>
      </w:r>
      <w:r>
        <w:rPr>
          <w:color w:val="000000"/>
          <w:szCs w:val="22"/>
          <w:lang w:val="da"/>
        </w:rPr>
        <w:t xml:space="preserve">, </w:t>
      </w:r>
      <w:r>
        <w:rPr>
          <w:rStyle w:val="hps"/>
        </w:rPr>
        <w:t>skal</w:t>
      </w:r>
      <w:r>
        <w:rPr>
          <w:rStyle w:val="shorttext"/>
        </w:rPr>
        <w:t xml:space="preserve"> </w:t>
      </w:r>
      <w:r>
        <w:rPr>
          <w:rStyle w:val="hps"/>
        </w:rPr>
        <w:t>pose og</w:t>
      </w:r>
      <w:r>
        <w:rPr>
          <w:rStyle w:val="shorttext"/>
        </w:rPr>
        <w:t xml:space="preserve"> </w:t>
      </w:r>
      <w:r>
        <w:rPr>
          <w:rStyle w:val="hps"/>
        </w:rPr>
        <w:t>opløsning</w:t>
      </w:r>
      <w:r w:rsidRPr="00F94E55" w:rsidDel="00285758">
        <w:rPr>
          <w:color w:val="000000"/>
          <w:szCs w:val="22"/>
          <w:lang w:val="da"/>
        </w:rPr>
        <w:t xml:space="preserve"> </w:t>
      </w:r>
      <w:r>
        <w:rPr>
          <w:color w:val="000000"/>
          <w:szCs w:val="22"/>
          <w:lang w:val="da"/>
        </w:rPr>
        <w:t xml:space="preserve">kasseres, </w:t>
      </w:r>
      <w:r w:rsidRPr="00285758">
        <w:rPr>
          <w:color w:val="000000"/>
          <w:szCs w:val="22"/>
          <w:lang w:val="da"/>
        </w:rPr>
        <w:t>da sterilitet</w:t>
      </w:r>
      <w:r>
        <w:rPr>
          <w:color w:val="000000"/>
          <w:szCs w:val="22"/>
          <w:lang w:val="da"/>
        </w:rPr>
        <w:t>en</w:t>
      </w:r>
      <w:r w:rsidRPr="00285758">
        <w:rPr>
          <w:color w:val="000000"/>
          <w:szCs w:val="22"/>
          <w:lang w:val="da"/>
        </w:rPr>
        <w:t xml:space="preserve"> kan være forringet</w:t>
      </w:r>
      <w:r>
        <w:rPr>
          <w:color w:val="000000"/>
          <w:szCs w:val="22"/>
          <w:lang w:val="da"/>
        </w:rPr>
        <w:t>.</w:t>
      </w:r>
    </w:p>
    <w:p w:rsidR="007B43B6" w:rsidRPr="00F94E55" w:rsidRDefault="007B43B6" w:rsidP="007B43B6">
      <w:pPr>
        <w:widowControl w:val="0"/>
        <w:numPr>
          <w:ilvl w:val="0"/>
          <w:numId w:val="10"/>
        </w:numPr>
        <w:shd w:val="clear" w:color="auto" w:fill="FFFFFF"/>
        <w:tabs>
          <w:tab w:val="left" w:pos="1134"/>
        </w:tabs>
        <w:autoSpaceDE w:val="0"/>
        <w:autoSpaceDN w:val="0"/>
        <w:adjustRightInd w:val="0"/>
        <w:ind w:left="1134" w:hanging="283"/>
        <w:rPr>
          <w:color w:val="000000"/>
          <w:szCs w:val="22"/>
          <w:lang w:val="da"/>
        </w:rPr>
      </w:pPr>
      <w:r w:rsidRPr="005F5A29">
        <w:rPr>
          <w:color w:val="000000"/>
          <w:szCs w:val="22"/>
          <w:lang w:val="da"/>
        </w:rPr>
        <w:t>Parenterale lægemidler bør inspiceres visuelt for partikler og misfarvning før administration. Hvis der observeres partikler, må de ikke anvendes.</w:t>
      </w:r>
    </w:p>
    <w:p w:rsidR="007B43B6" w:rsidRDefault="007B43B6" w:rsidP="007B43B6">
      <w:pPr>
        <w:widowControl w:val="0"/>
        <w:shd w:val="clear" w:color="auto" w:fill="FFFFFF"/>
        <w:tabs>
          <w:tab w:val="left" w:pos="851"/>
        </w:tabs>
        <w:autoSpaceDE w:val="0"/>
        <w:autoSpaceDN w:val="0"/>
        <w:adjustRightInd w:val="0"/>
        <w:ind w:left="851" w:right="1030" w:hanging="846"/>
        <w:rPr>
          <w:color w:val="000000"/>
          <w:spacing w:val="-15"/>
          <w:szCs w:val="22"/>
        </w:rPr>
      </w:pPr>
    </w:p>
    <w:p w:rsidR="004E407E" w:rsidRDefault="007B43B6" w:rsidP="007B43B6">
      <w:pPr>
        <w:widowControl w:val="0"/>
        <w:shd w:val="clear" w:color="auto" w:fill="FFFFFF"/>
        <w:tabs>
          <w:tab w:val="left" w:pos="851"/>
        </w:tabs>
        <w:autoSpaceDE w:val="0"/>
        <w:autoSpaceDN w:val="0"/>
        <w:adjustRightInd w:val="0"/>
        <w:ind w:left="851" w:hanging="846"/>
        <w:rPr>
          <w:iCs/>
          <w:color w:val="000000"/>
          <w:szCs w:val="22"/>
          <w:lang w:val="da"/>
        </w:rPr>
      </w:pPr>
      <w:r w:rsidRPr="0061104E">
        <w:rPr>
          <w:iCs/>
          <w:color w:val="000000"/>
          <w:szCs w:val="22"/>
          <w:lang w:val="da"/>
        </w:rPr>
        <w:tab/>
      </w:r>
    </w:p>
    <w:p w:rsidR="007B43B6" w:rsidRPr="0061104E" w:rsidRDefault="004E407E" w:rsidP="007B43B6">
      <w:pPr>
        <w:widowControl w:val="0"/>
        <w:shd w:val="clear" w:color="auto" w:fill="FFFFFF"/>
        <w:tabs>
          <w:tab w:val="left" w:pos="851"/>
        </w:tabs>
        <w:autoSpaceDE w:val="0"/>
        <w:autoSpaceDN w:val="0"/>
        <w:adjustRightInd w:val="0"/>
        <w:ind w:left="851" w:hanging="846"/>
        <w:rPr>
          <w:bCs/>
          <w:i/>
          <w:sz w:val="19"/>
          <w:szCs w:val="19"/>
        </w:rPr>
      </w:pPr>
      <w:r>
        <w:rPr>
          <w:i/>
          <w:iCs/>
          <w:color w:val="000000"/>
          <w:szCs w:val="22"/>
          <w:lang w:val="da"/>
        </w:rPr>
        <w:tab/>
      </w:r>
      <w:r w:rsidR="007B43B6" w:rsidRPr="0061104E">
        <w:rPr>
          <w:i/>
          <w:iCs/>
          <w:color w:val="000000"/>
          <w:szCs w:val="22"/>
          <w:lang w:val="da"/>
        </w:rPr>
        <w:t>Administration</w:t>
      </w:r>
    </w:p>
    <w:p w:rsidR="007B43B6" w:rsidRPr="00F94E55" w:rsidRDefault="007B43B6" w:rsidP="007B43B6">
      <w:pPr>
        <w:widowControl w:val="0"/>
        <w:numPr>
          <w:ilvl w:val="0"/>
          <w:numId w:val="10"/>
        </w:numPr>
        <w:shd w:val="clear" w:color="auto" w:fill="FFFFFF"/>
        <w:tabs>
          <w:tab w:val="left" w:pos="1134"/>
        </w:tabs>
        <w:autoSpaceDE w:val="0"/>
        <w:autoSpaceDN w:val="0"/>
        <w:adjustRightInd w:val="0"/>
        <w:ind w:left="1134" w:hanging="283"/>
        <w:rPr>
          <w:color w:val="000000"/>
          <w:szCs w:val="22"/>
          <w:lang w:val="da"/>
        </w:rPr>
      </w:pPr>
      <w:r w:rsidRPr="005F5A29">
        <w:rPr>
          <w:color w:val="000000"/>
          <w:szCs w:val="22"/>
          <w:lang w:val="da"/>
        </w:rPr>
        <w:t xml:space="preserve">Bryd </w:t>
      </w:r>
      <w:proofErr w:type="spellStart"/>
      <w:r w:rsidRPr="005F5A29">
        <w:rPr>
          <w:color w:val="000000"/>
          <w:szCs w:val="22"/>
          <w:lang w:val="da"/>
        </w:rPr>
        <w:t>Minitulipe-propforseglingen</w:t>
      </w:r>
      <w:proofErr w:type="spellEnd"/>
      <w:r w:rsidRPr="005F5A29">
        <w:rPr>
          <w:color w:val="000000"/>
          <w:szCs w:val="22"/>
          <w:lang w:val="da"/>
        </w:rPr>
        <w:t xml:space="preserve"> ved at lægge pres på den ene side med hånden.</w:t>
      </w:r>
    </w:p>
    <w:p w:rsidR="007B43B6" w:rsidRPr="00F94E55" w:rsidRDefault="007B43B6" w:rsidP="007B43B6">
      <w:pPr>
        <w:widowControl w:val="0"/>
        <w:numPr>
          <w:ilvl w:val="0"/>
          <w:numId w:val="10"/>
        </w:numPr>
        <w:shd w:val="clear" w:color="auto" w:fill="FFFFFF"/>
        <w:tabs>
          <w:tab w:val="left" w:pos="1134"/>
        </w:tabs>
        <w:autoSpaceDE w:val="0"/>
        <w:autoSpaceDN w:val="0"/>
        <w:adjustRightInd w:val="0"/>
        <w:ind w:left="1134" w:hanging="283"/>
        <w:rPr>
          <w:color w:val="000000"/>
          <w:szCs w:val="22"/>
          <w:lang w:val="da"/>
        </w:rPr>
      </w:pPr>
      <w:r w:rsidRPr="005F5A29">
        <w:rPr>
          <w:color w:val="000000"/>
          <w:szCs w:val="22"/>
          <w:lang w:val="da"/>
        </w:rPr>
        <w:t>Påsæt sterilt administrationssæt ved hjælp af aseptisk teknik.</w:t>
      </w:r>
    </w:p>
    <w:p w:rsidR="007B43B6" w:rsidRPr="00F94E55" w:rsidRDefault="007B43B6" w:rsidP="007B43B6">
      <w:pPr>
        <w:widowControl w:val="0"/>
        <w:numPr>
          <w:ilvl w:val="0"/>
          <w:numId w:val="10"/>
        </w:numPr>
        <w:shd w:val="clear" w:color="auto" w:fill="FFFFFF"/>
        <w:tabs>
          <w:tab w:val="left" w:pos="1134"/>
        </w:tabs>
        <w:autoSpaceDE w:val="0"/>
        <w:autoSpaceDN w:val="0"/>
        <w:adjustRightInd w:val="0"/>
        <w:ind w:left="1134" w:hanging="283"/>
        <w:rPr>
          <w:color w:val="000000"/>
          <w:szCs w:val="22"/>
          <w:lang w:val="da"/>
        </w:rPr>
      </w:pPr>
      <w:r w:rsidRPr="005F5A29">
        <w:rPr>
          <w:color w:val="000000"/>
          <w:szCs w:val="22"/>
          <w:lang w:val="da"/>
        </w:rPr>
        <w:t>Se brugsanvisningen, der følger med administrationssættet.</w:t>
      </w:r>
    </w:p>
    <w:p w:rsidR="007B43B6" w:rsidRDefault="007B43B6" w:rsidP="007B43B6">
      <w:pPr>
        <w:widowControl w:val="0"/>
        <w:shd w:val="clear" w:color="auto" w:fill="FFFFFF"/>
        <w:tabs>
          <w:tab w:val="left" w:pos="851"/>
        </w:tabs>
        <w:autoSpaceDE w:val="0"/>
        <w:autoSpaceDN w:val="0"/>
        <w:adjustRightInd w:val="0"/>
        <w:ind w:left="851" w:hanging="846"/>
        <w:rPr>
          <w:i/>
          <w:iCs/>
          <w:color w:val="000000"/>
          <w:szCs w:val="22"/>
          <w:highlight w:val="yellow"/>
          <w:u w:val="single"/>
          <w:lang w:val="da"/>
        </w:rPr>
      </w:pPr>
    </w:p>
    <w:p w:rsidR="007B43B6" w:rsidRPr="00CC45FC" w:rsidRDefault="007B43B6" w:rsidP="007B43B6">
      <w:pPr>
        <w:keepNext/>
        <w:widowControl w:val="0"/>
        <w:shd w:val="clear" w:color="auto" w:fill="FFFFFF"/>
        <w:tabs>
          <w:tab w:val="left" w:pos="851"/>
        </w:tabs>
        <w:autoSpaceDE w:val="0"/>
        <w:autoSpaceDN w:val="0"/>
        <w:adjustRightInd w:val="0"/>
        <w:ind w:left="851" w:hanging="846"/>
        <w:rPr>
          <w:bCs/>
          <w:i/>
          <w:color w:val="000000"/>
          <w:szCs w:val="22"/>
        </w:rPr>
      </w:pPr>
      <w:r w:rsidRPr="00CC45FC">
        <w:rPr>
          <w:iCs/>
          <w:color w:val="000000"/>
          <w:szCs w:val="22"/>
          <w:lang w:val="da"/>
        </w:rPr>
        <w:tab/>
      </w:r>
      <w:r w:rsidRPr="00CC45FC">
        <w:rPr>
          <w:i/>
          <w:iCs/>
          <w:color w:val="000000"/>
          <w:szCs w:val="22"/>
          <w:lang w:val="da"/>
        </w:rPr>
        <w:t>Forholdsregler</w:t>
      </w:r>
    </w:p>
    <w:p w:rsidR="007B43B6" w:rsidRPr="00F94E55" w:rsidRDefault="007B43B6" w:rsidP="007B43B6">
      <w:pPr>
        <w:keepNext/>
        <w:widowControl w:val="0"/>
        <w:numPr>
          <w:ilvl w:val="0"/>
          <w:numId w:val="10"/>
        </w:numPr>
        <w:shd w:val="clear" w:color="auto" w:fill="FFFFFF"/>
        <w:tabs>
          <w:tab w:val="left" w:pos="1134"/>
        </w:tabs>
        <w:autoSpaceDE w:val="0"/>
        <w:autoSpaceDN w:val="0"/>
        <w:adjustRightInd w:val="0"/>
        <w:ind w:left="1134" w:hanging="283"/>
        <w:rPr>
          <w:color w:val="000000"/>
          <w:szCs w:val="22"/>
          <w:lang w:val="da"/>
        </w:rPr>
      </w:pPr>
      <w:r w:rsidRPr="005F5A29">
        <w:rPr>
          <w:color w:val="000000"/>
          <w:szCs w:val="22"/>
          <w:lang w:val="da"/>
        </w:rPr>
        <w:t>Må ikke anvendes i serieforbindelse.</w:t>
      </w:r>
    </w:p>
    <w:p w:rsidR="007B43B6" w:rsidRPr="00F94E55" w:rsidRDefault="007B43B6" w:rsidP="007B43B6">
      <w:pPr>
        <w:widowControl w:val="0"/>
        <w:numPr>
          <w:ilvl w:val="0"/>
          <w:numId w:val="10"/>
        </w:numPr>
        <w:shd w:val="clear" w:color="auto" w:fill="FFFFFF"/>
        <w:tabs>
          <w:tab w:val="left" w:pos="1134"/>
        </w:tabs>
        <w:autoSpaceDE w:val="0"/>
        <w:autoSpaceDN w:val="0"/>
        <w:adjustRightInd w:val="0"/>
        <w:ind w:left="1134" w:hanging="283"/>
        <w:rPr>
          <w:color w:val="000000"/>
          <w:szCs w:val="22"/>
          <w:lang w:val="da"/>
        </w:rPr>
      </w:pPr>
      <w:r w:rsidRPr="005F5A29">
        <w:rPr>
          <w:color w:val="000000"/>
          <w:szCs w:val="22"/>
          <w:lang w:val="da"/>
        </w:rPr>
        <w:t>Der må ikke indføres additiver i infusionsposen.</w:t>
      </w:r>
    </w:p>
    <w:p w:rsidR="007B43B6" w:rsidRPr="00F94E55" w:rsidRDefault="007B43B6" w:rsidP="007B43B6">
      <w:pPr>
        <w:widowControl w:val="0"/>
        <w:numPr>
          <w:ilvl w:val="0"/>
          <w:numId w:val="10"/>
        </w:numPr>
        <w:shd w:val="clear" w:color="auto" w:fill="FFFFFF"/>
        <w:tabs>
          <w:tab w:val="left" w:pos="1134"/>
        </w:tabs>
        <w:autoSpaceDE w:val="0"/>
        <w:autoSpaceDN w:val="0"/>
        <w:adjustRightInd w:val="0"/>
        <w:ind w:left="1134" w:hanging="283"/>
        <w:rPr>
          <w:color w:val="000000"/>
          <w:szCs w:val="22"/>
          <w:lang w:val="da"/>
        </w:rPr>
      </w:pPr>
      <w:r w:rsidRPr="00F94E55">
        <w:rPr>
          <w:color w:val="000000"/>
          <w:szCs w:val="22"/>
          <w:lang w:val="da"/>
        </w:rPr>
        <w:t>Infusionsvæsken er klar til brug og må ikke blandes med andre lægemidler.</w:t>
      </w:r>
    </w:p>
    <w:p w:rsidR="007B43B6" w:rsidRDefault="007B43B6" w:rsidP="007B43B6">
      <w:pPr>
        <w:widowControl w:val="0"/>
        <w:shd w:val="clear" w:color="auto" w:fill="FFFFFF"/>
        <w:tabs>
          <w:tab w:val="left" w:pos="1134"/>
        </w:tabs>
        <w:autoSpaceDE w:val="0"/>
        <w:autoSpaceDN w:val="0"/>
        <w:adjustRightInd w:val="0"/>
        <w:ind w:left="1134" w:hanging="283"/>
        <w:rPr>
          <w:iCs/>
          <w:szCs w:val="22"/>
          <w:u w:val="single"/>
          <w:lang w:val="da"/>
        </w:rPr>
      </w:pPr>
    </w:p>
    <w:p w:rsidR="007B43B6" w:rsidRPr="00D01387" w:rsidRDefault="007B43B6" w:rsidP="007B43B6">
      <w:pPr>
        <w:widowControl w:val="0"/>
        <w:shd w:val="clear" w:color="auto" w:fill="FFFFFF"/>
        <w:tabs>
          <w:tab w:val="left" w:pos="1134"/>
        </w:tabs>
        <w:autoSpaceDE w:val="0"/>
        <w:autoSpaceDN w:val="0"/>
        <w:adjustRightInd w:val="0"/>
        <w:ind w:left="1134" w:hanging="283"/>
        <w:rPr>
          <w:iCs/>
          <w:szCs w:val="22"/>
          <w:u w:val="single"/>
          <w:lang w:val="da"/>
        </w:rPr>
      </w:pPr>
      <w:r w:rsidRPr="00D01387">
        <w:rPr>
          <w:iCs/>
          <w:szCs w:val="22"/>
          <w:u w:val="single"/>
          <w:lang w:val="da"/>
        </w:rPr>
        <w:t>Efter åbning af infusionsposen</w:t>
      </w:r>
    </w:p>
    <w:p w:rsidR="00A06F90" w:rsidRDefault="007B43B6" w:rsidP="007B43B6">
      <w:pPr>
        <w:widowControl w:val="0"/>
        <w:shd w:val="clear" w:color="auto" w:fill="FFFFFF"/>
        <w:tabs>
          <w:tab w:val="left" w:pos="1134"/>
        </w:tabs>
        <w:autoSpaceDE w:val="0"/>
        <w:autoSpaceDN w:val="0"/>
        <w:adjustRightInd w:val="0"/>
        <w:ind w:left="1134" w:hanging="283"/>
        <w:rPr>
          <w:szCs w:val="22"/>
          <w:lang w:val="da"/>
        </w:rPr>
      </w:pPr>
      <w:r>
        <w:rPr>
          <w:szCs w:val="22"/>
          <w:lang w:val="da"/>
        </w:rPr>
        <w:t>-</w:t>
      </w:r>
      <w:r>
        <w:rPr>
          <w:szCs w:val="22"/>
          <w:lang w:val="da"/>
        </w:rPr>
        <w:tab/>
      </w:r>
      <w:r w:rsidRPr="005F5A29">
        <w:rPr>
          <w:szCs w:val="22"/>
          <w:lang w:val="da"/>
        </w:rPr>
        <w:t xml:space="preserve">Ud fra et mikrobiologisk synspunkt bør opløsningen til infusion anvendes straks. </w:t>
      </w:r>
    </w:p>
    <w:p w:rsidR="007B43B6" w:rsidRPr="005F5A29" w:rsidRDefault="00A06F90" w:rsidP="007B43B6">
      <w:pPr>
        <w:widowControl w:val="0"/>
        <w:shd w:val="clear" w:color="auto" w:fill="FFFFFF"/>
        <w:tabs>
          <w:tab w:val="left" w:pos="1134"/>
        </w:tabs>
        <w:autoSpaceDE w:val="0"/>
        <w:autoSpaceDN w:val="0"/>
        <w:adjustRightInd w:val="0"/>
        <w:ind w:left="1134" w:hanging="283"/>
        <w:rPr>
          <w:szCs w:val="22"/>
          <w:lang w:val="da"/>
        </w:rPr>
      </w:pPr>
      <w:r>
        <w:rPr>
          <w:szCs w:val="22"/>
          <w:lang w:val="da"/>
        </w:rPr>
        <w:lastRenderedPageBreak/>
        <w:tab/>
      </w:r>
      <w:r w:rsidR="007B43B6" w:rsidRPr="005F5A29">
        <w:rPr>
          <w:szCs w:val="22"/>
          <w:lang w:val="da"/>
        </w:rPr>
        <w:t>Hvis den ikke anvendes straks, er opbevaringstiden og opbevaringsforholdene før anvendelse brugerens ansvar.</w:t>
      </w:r>
    </w:p>
    <w:p w:rsidR="007B43B6" w:rsidRPr="005F5A29" w:rsidRDefault="007B43B6" w:rsidP="007B43B6">
      <w:pPr>
        <w:widowControl w:val="0"/>
        <w:numPr>
          <w:ilvl w:val="0"/>
          <w:numId w:val="10"/>
        </w:numPr>
        <w:shd w:val="clear" w:color="auto" w:fill="FFFFFF"/>
        <w:tabs>
          <w:tab w:val="left" w:pos="1134"/>
        </w:tabs>
        <w:autoSpaceDE w:val="0"/>
        <w:autoSpaceDN w:val="0"/>
        <w:adjustRightInd w:val="0"/>
        <w:ind w:left="1134" w:hanging="283"/>
        <w:rPr>
          <w:color w:val="000000"/>
          <w:spacing w:val="-15"/>
          <w:szCs w:val="22"/>
        </w:rPr>
      </w:pPr>
      <w:proofErr w:type="spellStart"/>
      <w:r w:rsidRPr="00E8499C">
        <w:rPr>
          <w:color w:val="000000"/>
          <w:spacing w:val="-4"/>
          <w:szCs w:val="22"/>
        </w:rPr>
        <w:t>Gemcitabin</w:t>
      </w:r>
      <w:proofErr w:type="spellEnd"/>
      <w:r>
        <w:rPr>
          <w:color w:val="000000"/>
          <w:spacing w:val="-4"/>
          <w:szCs w:val="22"/>
        </w:rPr>
        <w:t xml:space="preserve"> </w:t>
      </w:r>
      <w:r w:rsidRPr="00E77D63">
        <w:rPr>
          <w:szCs w:val="22"/>
        </w:rPr>
        <w:t>infusionsvæske, opløsning</w:t>
      </w:r>
      <w:r w:rsidRPr="00E8499C">
        <w:rPr>
          <w:color w:val="000000"/>
          <w:spacing w:val="-4"/>
          <w:szCs w:val="22"/>
        </w:rPr>
        <w:t xml:space="preserve"> er kun beregnet til engangsbrug.</w:t>
      </w:r>
    </w:p>
    <w:p w:rsidR="007B43B6" w:rsidRPr="00E8499C" w:rsidRDefault="007B43B6" w:rsidP="007B43B6">
      <w:pPr>
        <w:widowControl w:val="0"/>
        <w:shd w:val="clear" w:color="auto" w:fill="FFFFFF"/>
        <w:tabs>
          <w:tab w:val="left" w:pos="851"/>
        </w:tabs>
        <w:autoSpaceDE w:val="0"/>
        <w:autoSpaceDN w:val="0"/>
        <w:adjustRightInd w:val="0"/>
        <w:ind w:left="851" w:right="-7" w:hanging="846"/>
        <w:rPr>
          <w:color w:val="000000"/>
          <w:spacing w:val="-15"/>
          <w:szCs w:val="22"/>
        </w:rPr>
      </w:pPr>
    </w:p>
    <w:p w:rsidR="007B43B6" w:rsidRPr="005F5A29" w:rsidRDefault="007B43B6" w:rsidP="007B43B6">
      <w:pPr>
        <w:shd w:val="clear" w:color="auto" w:fill="FFFFFF"/>
        <w:tabs>
          <w:tab w:val="left" w:pos="851"/>
        </w:tabs>
        <w:ind w:left="851" w:right="-7" w:hanging="846"/>
        <w:rPr>
          <w:color w:val="000000"/>
          <w:spacing w:val="-2"/>
          <w:szCs w:val="22"/>
        </w:rPr>
      </w:pPr>
      <w:r>
        <w:rPr>
          <w:color w:val="000000"/>
          <w:spacing w:val="-2"/>
          <w:szCs w:val="22"/>
        </w:rPr>
        <w:tab/>
      </w:r>
      <w:r w:rsidRPr="005F5A29">
        <w:rPr>
          <w:color w:val="000000"/>
          <w:spacing w:val="-2"/>
          <w:szCs w:val="22"/>
        </w:rPr>
        <w:t>Personale skal være forsynet med passende håndteringsmaterialer, især langærmede kitler, beskyttelsesmasker, hætter, beskyttelsesbriller, sterile engangshandsker, beskyttelsesafdækninger til arbejdsområdet og opsamlingsposer til affald.</w:t>
      </w:r>
    </w:p>
    <w:p w:rsidR="007B43B6" w:rsidRPr="005F5A29" w:rsidRDefault="007B43B6" w:rsidP="007B43B6">
      <w:pPr>
        <w:shd w:val="clear" w:color="auto" w:fill="FFFFFF"/>
        <w:tabs>
          <w:tab w:val="left" w:pos="851"/>
        </w:tabs>
        <w:ind w:left="851" w:right="-7" w:hanging="846"/>
        <w:rPr>
          <w:color w:val="000000"/>
          <w:spacing w:val="-2"/>
          <w:szCs w:val="22"/>
        </w:rPr>
      </w:pPr>
    </w:p>
    <w:p w:rsidR="007B43B6" w:rsidRPr="005F5A29" w:rsidRDefault="007B43B6" w:rsidP="007B43B6">
      <w:pPr>
        <w:shd w:val="clear" w:color="auto" w:fill="FFFFFF"/>
        <w:tabs>
          <w:tab w:val="left" w:pos="851"/>
        </w:tabs>
        <w:ind w:left="851" w:right="-7" w:hanging="846"/>
        <w:rPr>
          <w:color w:val="000000"/>
          <w:spacing w:val="-2"/>
          <w:szCs w:val="22"/>
        </w:rPr>
      </w:pPr>
      <w:r>
        <w:rPr>
          <w:color w:val="000000"/>
          <w:spacing w:val="-2"/>
          <w:szCs w:val="22"/>
        </w:rPr>
        <w:tab/>
      </w:r>
      <w:proofErr w:type="spellStart"/>
      <w:r w:rsidRPr="005F5A29">
        <w:rPr>
          <w:color w:val="000000"/>
          <w:spacing w:val="-2"/>
          <w:szCs w:val="22"/>
        </w:rPr>
        <w:t>Cytotoksiske</w:t>
      </w:r>
      <w:proofErr w:type="spellEnd"/>
      <w:r w:rsidRPr="005F5A29">
        <w:rPr>
          <w:color w:val="000000"/>
          <w:spacing w:val="-2"/>
          <w:szCs w:val="22"/>
        </w:rPr>
        <w:t xml:space="preserve"> </w:t>
      </w:r>
      <w:r>
        <w:rPr>
          <w:color w:val="000000"/>
          <w:spacing w:val="-2"/>
          <w:szCs w:val="22"/>
        </w:rPr>
        <w:t>lægemidler</w:t>
      </w:r>
      <w:r w:rsidRPr="005F5A29">
        <w:rPr>
          <w:color w:val="000000"/>
          <w:spacing w:val="-2"/>
          <w:szCs w:val="22"/>
        </w:rPr>
        <w:t xml:space="preserve"> bør ikke håndteres af gravide medarbejdere.</w:t>
      </w:r>
    </w:p>
    <w:p w:rsidR="007B43B6" w:rsidRDefault="007B43B6" w:rsidP="007B43B6">
      <w:pPr>
        <w:shd w:val="clear" w:color="auto" w:fill="FFFFFF"/>
        <w:tabs>
          <w:tab w:val="left" w:pos="851"/>
        </w:tabs>
        <w:ind w:left="851" w:right="-7" w:hanging="846"/>
        <w:rPr>
          <w:color w:val="000000"/>
          <w:spacing w:val="-2"/>
          <w:szCs w:val="22"/>
        </w:rPr>
      </w:pPr>
    </w:p>
    <w:p w:rsidR="007B43B6" w:rsidRPr="00D20634" w:rsidRDefault="007B43B6" w:rsidP="007B43B6">
      <w:pPr>
        <w:shd w:val="clear" w:color="auto" w:fill="FFFFFF"/>
        <w:tabs>
          <w:tab w:val="left" w:pos="851"/>
        </w:tabs>
        <w:ind w:left="851" w:right="-7" w:hanging="846"/>
        <w:rPr>
          <w:color w:val="000000"/>
          <w:spacing w:val="-3"/>
          <w:szCs w:val="22"/>
          <w:lang w:val="nl-NL"/>
        </w:rPr>
      </w:pPr>
      <w:r>
        <w:rPr>
          <w:color w:val="000000"/>
          <w:spacing w:val="-2"/>
          <w:szCs w:val="22"/>
        </w:rPr>
        <w:tab/>
      </w:r>
      <w:r w:rsidRPr="00E8499C">
        <w:rPr>
          <w:color w:val="000000"/>
          <w:spacing w:val="-2"/>
          <w:szCs w:val="22"/>
        </w:rPr>
        <w:t xml:space="preserve">Kommer præparatet i kontakt med øjnene, kan dette forårsage alvorlig irritation. Øjnene skal straks </w:t>
      </w:r>
      <w:r w:rsidRPr="00E8499C">
        <w:rPr>
          <w:color w:val="000000"/>
          <w:spacing w:val="-3"/>
          <w:szCs w:val="22"/>
        </w:rPr>
        <w:t>skylles grundigt med vand. Hvis irritationen varer ved, bør en læge kontaktes. Hvis opløsningen spildes på huden, skylles grundigt med vand.</w:t>
      </w:r>
      <w:r>
        <w:rPr>
          <w:color w:val="000000"/>
          <w:spacing w:val="-3"/>
          <w:szCs w:val="22"/>
        </w:rPr>
        <w:t xml:space="preserve"> </w:t>
      </w:r>
      <w:proofErr w:type="spellStart"/>
      <w:r w:rsidRPr="00D20634">
        <w:rPr>
          <w:color w:val="000000"/>
          <w:spacing w:val="-3"/>
          <w:szCs w:val="22"/>
          <w:lang w:val="da"/>
        </w:rPr>
        <w:t>Ekskreter</w:t>
      </w:r>
      <w:proofErr w:type="spellEnd"/>
      <w:r w:rsidRPr="00D20634">
        <w:rPr>
          <w:color w:val="000000"/>
          <w:spacing w:val="-3"/>
          <w:szCs w:val="22"/>
          <w:lang w:val="da"/>
        </w:rPr>
        <w:t xml:space="preserve"> og opkast skal håndteres med forsigtighed.</w:t>
      </w:r>
    </w:p>
    <w:p w:rsidR="007B43B6" w:rsidRPr="00D20634" w:rsidRDefault="007B43B6" w:rsidP="007B43B6">
      <w:pPr>
        <w:shd w:val="clear" w:color="auto" w:fill="FFFFFF"/>
        <w:tabs>
          <w:tab w:val="left" w:pos="851"/>
        </w:tabs>
        <w:ind w:left="851" w:right="-7" w:hanging="846"/>
        <w:rPr>
          <w:color w:val="000000"/>
          <w:spacing w:val="-3"/>
          <w:szCs w:val="22"/>
          <w:lang w:val="nl-NL"/>
        </w:rPr>
      </w:pPr>
    </w:p>
    <w:p w:rsidR="007B43B6" w:rsidRPr="00CF1835" w:rsidRDefault="007B43B6" w:rsidP="007B43B6">
      <w:pPr>
        <w:shd w:val="clear" w:color="auto" w:fill="FFFFFF"/>
        <w:tabs>
          <w:tab w:val="left" w:pos="851"/>
        </w:tabs>
        <w:ind w:left="851" w:right="-7" w:hanging="846"/>
        <w:rPr>
          <w:bCs/>
          <w:szCs w:val="22"/>
        </w:rPr>
      </w:pPr>
      <w:r>
        <w:rPr>
          <w:bCs/>
          <w:color w:val="000000"/>
          <w:spacing w:val="-3"/>
          <w:szCs w:val="22"/>
        </w:rPr>
        <w:tab/>
      </w:r>
      <w:r w:rsidRPr="00CF1835">
        <w:rPr>
          <w:bCs/>
          <w:color w:val="000000"/>
          <w:spacing w:val="-3"/>
          <w:szCs w:val="22"/>
          <w:u w:val="single"/>
        </w:rPr>
        <w:t>Bortskaffelse</w:t>
      </w:r>
    </w:p>
    <w:p w:rsidR="007B43B6" w:rsidRPr="004E0960" w:rsidRDefault="007B43B6" w:rsidP="007B43B6">
      <w:pPr>
        <w:tabs>
          <w:tab w:val="left" w:pos="851"/>
          <w:tab w:val="left" w:pos="3870"/>
        </w:tabs>
        <w:ind w:left="851" w:hanging="846"/>
        <w:rPr>
          <w:szCs w:val="22"/>
          <w:lang w:val="da"/>
        </w:rPr>
      </w:pPr>
      <w:r>
        <w:rPr>
          <w:szCs w:val="22"/>
          <w:lang w:val="da"/>
        </w:rPr>
        <w:tab/>
      </w:r>
      <w:r w:rsidRPr="00D20634">
        <w:rPr>
          <w:szCs w:val="22"/>
          <w:lang w:val="da"/>
        </w:rPr>
        <w:t xml:space="preserve">Ikke anvendt lægemiddel eller affald </w:t>
      </w:r>
      <w:r>
        <w:rPr>
          <w:szCs w:val="22"/>
          <w:lang w:val="da"/>
        </w:rPr>
        <w:t xml:space="preserve">heraf </w:t>
      </w:r>
      <w:r w:rsidRPr="00D20634">
        <w:rPr>
          <w:szCs w:val="22"/>
          <w:lang w:val="da"/>
        </w:rPr>
        <w:t xml:space="preserve">skal bortskaffes i overensstemmelse med lokale krav for </w:t>
      </w:r>
      <w:proofErr w:type="spellStart"/>
      <w:r w:rsidRPr="00D20634">
        <w:rPr>
          <w:szCs w:val="22"/>
          <w:lang w:val="da"/>
        </w:rPr>
        <w:t>cytotoksiske</w:t>
      </w:r>
      <w:proofErr w:type="spellEnd"/>
      <w:r w:rsidRPr="00D20634">
        <w:rPr>
          <w:szCs w:val="22"/>
          <w:lang w:val="da"/>
        </w:rPr>
        <w:t xml:space="preserve"> stoffer.</w:t>
      </w:r>
    </w:p>
    <w:p w:rsidR="007B43B6" w:rsidRPr="00C84483" w:rsidRDefault="007B43B6" w:rsidP="007B43B6">
      <w:pPr>
        <w:tabs>
          <w:tab w:val="left" w:pos="851"/>
        </w:tabs>
        <w:ind w:left="851"/>
        <w:jc w:val="both"/>
        <w:rPr>
          <w:sz w:val="24"/>
          <w:szCs w:val="24"/>
        </w:rPr>
      </w:pPr>
    </w:p>
    <w:p w:rsidR="007B43B6" w:rsidRPr="00C84483" w:rsidRDefault="007B43B6" w:rsidP="007B43B6">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7B43B6" w:rsidRPr="00F94E55" w:rsidRDefault="007B43B6" w:rsidP="007B43B6">
      <w:pPr>
        <w:tabs>
          <w:tab w:val="left" w:pos="851"/>
          <w:tab w:val="left" w:pos="3870"/>
        </w:tabs>
        <w:ind w:left="851" w:hanging="846"/>
        <w:rPr>
          <w:szCs w:val="22"/>
          <w:lang w:val="da"/>
        </w:rPr>
      </w:pPr>
      <w:r>
        <w:tab/>
      </w:r>
      <w:r w:rsidRPr="00F94E55">
        <w:rPr>
          <w:szCs w:val="22"/>
          <w:lang w:val="da"/>
        </w:rPr>
        <w:t xml:space="preserve">SUN </w:t>
      </w:r>
      <w:proofErr w:type="spellStart"/>
      <w:r w:rsidRPr="00F94E55">
        <w:rPr>
          <w:szCs w:val="22"/>
          <w:lang w:val="da"/>
        </w:rPr>
        <w:t>Pharmaceutical</w:t>
      </w:r>
      <w:proofErr w:type="spellEnd"/>
      <w:r w:rsidRPr="00F94E55">
        <w:rPr>
          <w:szCs w:val="22"/>
          <w:lang w:val="da"/>
        </w:rPr>
        <w:t xml:space="preserve"> Industries Europe B.V.</w:t>
      </w:r>
    </w:p>
    <w:p w:rsidR="007B43B6" w:rsidRPr="00F94E55" w:rsidRDefault="007B43B6" w:rsidP="007B43B6">
      <w:pPr>
        <w:tabs>
          <w:tab w:val="left" w:pos="851"/>
          <w:tab w:val="left" w:pos="3870"/>
        </w:tabs>
        <w:ind w:left="851" w:hanging="846"/>
        <w:rPr>
          <w:szCs w:val="22"/>
          <w:lang w:val="da"/>
        </w:rPr>
      </w:pPr>
      <w:r>
        <w:rPr>
          <w:szCs w:val="22"/>
          <w:lang w:val="da"/>
        </w:rPr>
        <w:tab/>
      </w:r>
      <w:r w:rsidRPr="00F94E55">
        <w:rPr>
          <w:szCs w:val="22"/>
          <w:lang w:val="da"/>
        </w:rPr>
        <w:t>Polarisavenue 87</w:t>
      </w:r>
    </w:p>
    <w:p w:rsidR="007B43B6" w:rsidRPr="00F94E55" w:rsidRDefault="007B43B6" w:rsidP="007B43B6">
      <w:pPr>
        <w:tabs>
          <w:tab w:val="left" w:pos="851"/>
          <w:tab w:val="left" w:pos="3870"/>
        </w:tabs>
        <w:ind w:left="851" w:hanging="846"/>
        <w:rPr>
          <w:szCs w:val="22"/>
          <w:lang w:val="da"/>
        </w:rPr>
      </w:pPr>
      <w:r>
        <w:rPr>
          <w:szCs w:val="22"/>
          <w:lang w:val="da"/>
        </w:rPr>
        <w:tab/>
      </w:r>
      <w:r w:rsidRPr="00F94E55">
        <w:rPr>
          <w:szCs w:val="22"/>
          <w:lang w:val="da"/>
        </w:rPr>
        <w:t xml:space="preserve">2132 JH </w:t>
      </w:r>
      <w:proofErr w:type="spellStart"/>
      <w:r w:rsidRPr="00F94E55">
        <w:rPr>
          <w:szCs w:val="22"/>
          <w:lang w:val="da"/>
        </w:rPr>
        <w:t>Hoofddorp</w:t>
      </w:r>
      <w:proofErr w:type="spellEnd"/>
    </w:p>
    <w:p w:rsidR="007B43B6" w:rsidRPr="004E0960" w:rsidRDefault="007B43B6" w:rsidP="007B43B6">
      <w:pPr>
        <w:tabs>
          <w:tab w:val="left" w:pos="851"/>
          <w:tab w:val="left" w:pos="3870"/>
        </w:tabs>
        <w:ind w:left="851" w:hanging="846"/>
        <w:rPr>
          <w:szCs w:val="22"/>
          <w:lang w:val="da"/>
        </w:rPr>
      </w:pPr>
      <w:r>
        <w:rPr>
          <w:szCs w:val="22"/>
          <w:lang w:val="da"/>
        </w:rPr>
        <w:tab/>
      </w:r>
      <w:r w:rsidRPr="00F94E55">
        <w:rPr>
          <w:szCs w:val="22"/>
          <w:lang w:val="da"/>
        </w:rPr>
        <w:t>Holland</w:t>
      </w:r>
    </w:p>
    <w:p w:rsidR="007B43B6" w:rsidRPr="00C84483" w:rsidRDefault="007B43B6" w:rsidP="007B43B6">
      <w:pPr>
        <w:tabs>
          <w:tab w:val="left" w:pos="851"/>
        </w:tabs>
        <w:ind w:left="851"/>
        <w:rPr>
          <w:sz w:val="24"/>
          <w:szCs w:val="24"/>
        </w:rPr>
      </w:pPr>
    </w:p>
    <w:p w:rsidR="007B43B6" w:rsidRPr="00C84483" w:rsidRDefault="007B43B6" w:rsidP="007B43B6">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A06F90">
        <w:rPr>
          <w:b/>
          <w:sz w:val="24"/>
          <w:szCs w:val="24"/>
        </w:rPr>
        <w:t>-</w:t>
      </w:r>
      <w:r w:rsidRPr="00C84483">
        <w:rPr>
          <w:b/>
          <w:sz w:val="24"/>
          <w:szCs w:val="24"/>
        </w:rPr>
        <w:t>NUMRE)</w:t>
      </w:r>
    </w:p>
    <w:p w:rsidR="007B43B6" w:rsidRPr="00C84483" w:rsidRDefault="007B43B6" w:rsidP="007B43B6">
      <w:pPr>
        <w:tabs>
          <w:tab w:val="left" w:pos="851"/>
        </w:tabs>
        <w:ind w:left="851"/>
        <w:rPr>
          <w:sz w:val="24"/>
          <w:szCs w:val="24"/>
        </w:rPr>
      </w:pPr>
      <w:r>
        <w:rPr>
          <w:sz w:val="24"/>
          <w:szCs w:val="24"/>
        </w:rPr>
        <w:t>55023</w:t>
      </w:r>
    </w:p>
    <w:p w:rsidR="007B43B6" w:rsidRPr="00C84483" w:rsidRDefault="007B43B6" w:rsidP="007B43B6">
      <w:pPr>
        <w:tabs>
          <w:tab w:val="left" w:pos="851"/>
        </w:tabs>
        <w:ind w:left="851"/>
        <w:jc w:val="both"/>
        <w:rPr>
          <w:sz w:val="24"/>
          <w:szCs w:val="24"/>
        </w:rPr>
      </w:pPr>
    </w:p>
    <w:p w:rsidR="007B43B6" w:rsidRPr="00C84483" w:rsidRDefault="007B43B6" w:rsidP="007B43B6">
      <w:pPr>
        <w:tabs>
          <w:tab w:val="left" w:pos="851"/>
        </w:tabs>
        <w:ind w:left="851" w:hanging="851"/>
        <w:rPr>
          <w:b/>
          <w:sz w:val="24"/>
          <w:szCs w:val="24"/>
        </w:rPr>
      </w:pPr>
      <w:r w:rsidRPr="00C84483">
        <w:rPr>
          <w:b/>
          <w:sz w:val="24"/>
          <w:szCs w:val="24"/>
        </w:rPr>
        <w:t>9.</w:t>
      </w:r>
      <w:r w:rsidRPr="00C84483">
        <w:rPr>
          <w:b/>
          <w:sz w:val="24"/>
          <w:szCs w:val="24"/>
        </w:rPr>
        <w:tab/>
        <w:t>DATO FOR FØRSTE MARKEDSFØRINGSTI</w:t>
      </w:r>
      <w:bookmarkStart w:id="0" w:name="_GoBack"/>
      <w:bookmarkEnd w:id="0"/>
      <w:r w:rsidRPr="00C84483">
        <w:rPr>
          <w:b/>
          <w:sz w:val="24"/>
          <w:szCs w:val="24"/>
        </w:rPr>
        <w:t>LLADELSE</w:t>
      </w:r>
    </w:p>
    <w:p w:rsidR="007B43B6" w:rsidRPr="00C84483" w:rsidRDefault="007B43B6" w:rsidP="007B43B6">
      <w:pPr>
        <w:tabs>
          <w:tab w:val="left" w:pos="851"/>
        </w:tabs>
        <w:ind w:left="851"/>
        <w:rPr>
          <w:sz w:val="24"/>
          <w:szCs w:val="24"/>
        </w:rPr>
      </w:pPr>
      <w:r>
        <w:rPr>
          <w:sz w:val="24"/>
          <w:szCs w:val="24"/>
        </w:rPr>
        <w:t>1. december 2015</w:t>
      </w:r>
    </w:p>
    <w:p w:rsidR="007B43B6" w:rsidRPr="00C84483" w:rsidRDefault="007B43B6" w:rsidP="007B43B6">
      <w:pPr>
        <w:tabs>
          <w:tab w:val="left" w:pos="851"/>
        </w:tabs>
        <w:ind w:left="851"/>
        <w:rPr>
          <w:sz w:val="24"/>
          <w:szCs w:val="24"/>
        </w:rPr>
      </w:pPr>
    </w:p>
    <w:p w:rsidR="007B43B6" w:rsidRPr="00C84483" w:rsidRDefault="007B43B6" w:rsidP="007B43B6">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7B43B6" w:rsidRPr="004133C7" w:rsidRDefault="00A06F90" w:rsidP="007B43B6">
      <w:pPr>
        <w:tabs>
          <w:tab w:val="left" w:pos="851"/>
        </w:tabs>
        <w:ind w:left="851"/>
        <w:rPr>
          <w:sz w:val="24"/>
          <w:szCs w:val="24"/>
        </w:rPr>
      </w:pPr>
      <w:r>
        <w:rPr>
          <w:sz w:val="24"/>
          <w:szCs w:val="24"/>
        </w:rPr>
        <w:t>3. juni 2024</w:t>
      </w:r>
    </w:p>
    <w:p w:rsidR="007B43B6" w:rsidRPr="004C2686" w:rsidRDefault="007B43B6" w:rsidP="007B43B6"/>
    <w:p w:rsidR="007B43B6" w:rsidRPr="00601528" w:rsidRDefault="007B43B6" w:rsidP="007B43B6"/>
    <w:p w:rsidR="009260DE" w:rsidRPr="007B43B6" w:rsidRDefault="009260DE" w:rsidP="007B43B6"/>
    <w:sectPr w:rsidR="009260DE" w:rsidRPr="007B43B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B47" w:rsidRDefault="006F4B47">
      <w:r>
        <w:separator/>
      </w:r>
    </w:p>
  </w:endnote>
  <w:endnote w:type="continuationSeparator" w:id="0">
    <w:p w:rsidR="006F4B47" w:rsidRDefault="006F4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B47" w:rsidRDefault="006F4B47">
    <w:pPr>
      <w:pStyle w:val="Sidefod"/>
      <w:pBdr>
        <w:bottom w:val="single" w:sz="6" w:space="1" w:color="auto"/>
      </w:pBdr>
    </w:pPr>
  </w:p>
  <w:p w:rsidR="006F4B47" w:rsidRDefault="006F4B47" w:rsidP="00C42586">
    <w:pPr>
      <w:pStyle w:val="Sidefod"/>
      <w:tabs>
        <w:tab w:val="clear" w:pos="4819"/>
        <w:tab w:val="left" w:pos="8505"/>
      </w:tabs>
      <w:rPr>
        <w:i/>
        <w:sz w:val="18"/>
        <w:szCs w:val="18"/>
      </w:rPr>
    </w:pPr>
  </w:p>
  <w:p w:rsidR="006F4B47" w:rsidRPr="00B373D7" w:rsidRDefault="006F4B47"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Gemcitabin SUN, infusionsvæske, opløsning 10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B47" w:rsidRDefault="006F4B47">
      <w:r>
        <w:separator/>
      </w:r>
    </w:p>
  </w:footnote>
  <w:footnote w:type="continuationSeparator" w:id="0">
    <w:p w:rsidR="006F4B47" w:rsidRDefault="006F4B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80226"/>
    <w:multiLevelType w:val="hybridMultilevel"/>
    <w:tmpl w:val="32B6D996"/>
    <w:lvl w:ilvl="0" w:tplc="04130001">
      <w:start w:val="1"/>
      <w:numFmt w:val="bullet"/>
      <w:lvlText w:val=""/>
      <w:lvlJc w:val="left"/>
      <w:pPr>
        <w:ind w:left="1211" w:hanging="360"/>
      </w:pPr>
      <w:rPr>
        <w:rFonts w:ascii="Symbol" w:hAnsi="Symbol" w:hint="default"/>
      </w:rPr>
    </w:lvl>
    <w:lvl w:ilvl="1" w:tplc="04130001">
      <w:start w:val="1"/>
      <w:numFmt w:val="bullet"/>
      <w:lvlText w:val=""/>
      <w:lvlJc w:val="left"/>
      <w:pPr>
        <w:ind w:left="1931" w:hanging="360"/>
      </w:pPr>
      <w:rPr>
        <w:rFonts w:ascii="Symbol" w:hAnsi="Symbol" w:hint="default"/>
      </w:rPr>
    </w:lvl>
    <w:lvl w:ilvl="2" w:tplc="04130005" w:tentative="1">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FE754C"/>
    <w:multiLevelType w:val="hybridMultilevel"/>
    <w:tmpl w:val="F0988B34"/>
    <w:lvl w:ilvl="0" w:tplc="52CE118C">
      <w:start w:val="1000"/>
      <w:numFmt w:val="bullet"/>
      <w:lvlText w:val="-"/>
      <w:lvlJc w:val="left"/>
      <w:pPr>
        <w:ind w:left="750" w:hanging="360"/>
      </w:pPr>
      <w:rPr>
        <w:rFonts w:ascii="Times New Roman" w:eastAsia="Times New Roman" w:hAnsi="Times New Roman" w:cs="Times New Roman"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6"/>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3B6"/>
    <w:rsid w:val="000259B9"/>
    <w:rsid w:val="00041491"/>
    <w:rsid w:val="00050D16"/>
    <w:rsid w:val="00074F2A"/>
    <w:rsid w:val="000A1CA8"/>
    <w:rsid w:val="000A466B"/>
    <w:rsid w:val="000B058C"/>
    <w:rsid w:val="000E4EE6"/>
    <w:rsid w:val="001454E2"/>
    <w:rsid w:val="00206CE8"/>
    <w:rsid w:val="0021526C"/>
    <w:rsid w:val="00276176"/>
    <w:rsid w:val="00283A2B"/>
    <w:rsid w:val="0028754E"/>
    <w:rsid w:val="002B30AD"/>
    <w:rsid w:val="002C2C01"/>
    <w:rsid w:val="003A29AE"/>
    <w:rsid w:val="003A32D7"/>
    <w:rsid w:val="003B4074"/>
    <w:rsid w:val="003C769A"/>
    <w:rsid w:val="003F1838"/>
    <w:rsid w:val="004102AB"/>
    <w:rsid w:val="0045746C"/>
    <w:rsid w:val="0049104B"/>
    <w:rsid w:val="004E3B12"/>
    <w:rsid w:val="004E407E"/>
    <w:rsid w:val="00532310"/>
    <w:rsid w:val="00560ECC"/>
    <w:rsid w:val="00565F0F"/>
    <w:rsid w:val="00594A86"/>
    <w:rsid w:val="00596D86"/>
    <w:rsid w:val="00637F5A"/>
    <w:rsid w:val="006560B1"/>
    <w:rsid w:val="006756DD"/>
    <w:rsid w:val="00675F98"/>
    <w:rsid w:val="006F4B47"/>
    <w:rsid w:val="00737275"/>
    <w:rsid w:val="00740EEC"/>
    <w:rsid w:val="0078011A"/>
    <w:rsid w:val="00782AF4"/>
    <w:rsid w:val="00790EE7"/>
    <w:rsid w:val="007B21CE"/>
    <w:rsid w:val="007B43B6"/>
    <w:rsid w:val="007B6649"/>
    <w:rsid w:val="0081546F"/>
    <w:rsid w:val="0082576E"/>
    <w:rsid w:val="00907F75"/>
    <w:rsid w:val="009260DE"/>
    <w:rsid w:val="0093258A"/>
    <w:rsid w:val="00942462"/>
    <w:rsid w:val="00942EF7"/>
    <w:rsid w:val="009B6F75"/>
    <w:rsid w:val="009C7BA3"/>
    <w:rsid w:val="009D1F5A"/>
    <w:rsid w:val="00A06F90"/>
    <w:rsid w:val="00B003BF"/>
    <w:rsid w:val="00B373D7"/>
    <w:rsid w:val="00C36276"/>
    <w:rsid w:val="00C42586"/>
    <w:rsid w:val="00C60CCD"/>
    <w:rsid w:val="00C84483"/>
    <w:rsid w:val="00C95551"/>
    <w:rsid w:val="00CB20D7"/>
    <w:rsid w:val="00D020B0"/>
    <w:rsid w:val="00D06B18"/>
    <w:rsid w:val="00D11748"/>
    <w:rsid w:val="00D366CF"/>
    <w:rsid w:val="00E108AA"/>
    <w:rsid w:val="00E31812"/>
    <w:rsid w:val="00E3749A"/>
    <w:rsid w:val="00E7437F"/>
    <w:rsid w:val="00E865B8"/>
    <w:rsid w:val="00EA6BEF"/>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6078F2"/>
  <w15:chartTrackingRefBased/>
  <w15:docId w15:val="{E1102F5B-401C-4126-A49F-53DA51136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7B43B6"/>
    <w:rPr>
      <w:color w:val="808080"/>
    </w:rPr>
  </w:style>
  <w:style w:type="character" w:customStyle="1" w:styleId="hps">
    <w:name w:val="hps"/>
    <w:rsid w:val="007B43B6"/>
  </w:style>
  <w:style w:type="character" w:styleId="Hyperlink">
    <w:name w:val="Hyperlink"/>
    <w:uiPriority w:val="99"/>
    <w:unhideWhenUsed/>
    <w:rsid w:val="007B43B6"/>
    <w:rPr>
      <w:color w:val="0000FF"/>
      <w:u w:val="single"/>
    </w:rPr>
  </w:style>
  <w:style w:type="character" w:customStyle="1" w:styleId="shorttext">
    <w:name w:val="short_text"/>
    <w:rsid w:val="007B4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9500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443182707">
      <w:bodyDiv w:val="1"/>
      <w:marLeft w:val="0"/>
      <w:marRight w:val="0"/>
      <w:marTop w:val="0"/>
      <w:marBottom w:val="0"/>
      <w:divBdr>
        <w:top w:val="none" w:sz="0" w:space="0" w:color="auto"/>
        <w:left w:val="none" w:sz="0" w:space="0" w:color="auto"/>
        <w:bottom w:val="none" w:sz="0" w:space="0" w:color="auto"/>
        <w:right w:val="none" w:sz="0" w:space="0" w:color="auto"/>
      </w:divBdr>
    </w:div>
    <w:div w:id="186031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Pages>
  <Words>6269</Words>
  <Characters>39728</Characters>
  <Application>Microsoft Office Word</Application>
  <DocSecurity>0</DocSecurity>
  <Lines>331</Lines>
  <Paragraphs>91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Iman El Kadiri</dc:creator>
  <cp:keywords/>
  <dc:description>2024011839_x000d_
SPC pkt. 4.2, 4.4, 4.8, 5.1</dc:description>
  <cp:lastModifiedBy>Iman El Kadiri</cp:lastModifiedBy>
  <cp:revision>3</cp:revision>
  <cp:lastPrinted>2012-08-22T08:53:00Z</cp:lastPrinted>
  <dcterms:created xsi:type="dcterms:W3CDTF">2024-05-29T10:19:00Z</dcterms:created>
  <dcterms:modified xsi:type="dcterms:W3CDTF">2024-05-29T10:25:00Z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