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034C" w14:textId="77777777" w:rsidR="004A3BF4" w:rsidRPr="003378D8" w:rsidRDefault="00056601" w:rsidP="004A3BF4">
      <w:pPr>
        <w:rPr>
          <w:sz w:val="24"/>
          <w:szCs w:val="24"/>
          <w:lang w:val="en-GB"/>
        </w:rPr>
      </w:pPr>
      <w:bookmarkStart w:id="0" w:name="_GoBack"/>
      <w:bookmarkEnd w:id="0"/>
      <w:r w:rsidRPr="003378D8">
        <w:rPr>
          <w:noProof/>
          <w:sz w:val="24"/>
          <w:szCs w:val="24"/>
          <w:lang w:val="en-GB"/>
        </w:rPr>
        <w:drawing>
          <wp:inline distT="0" distB="0" distL="0" distR="0" wp14:anchorId="33BAE53A" wp14:editId="23F8B4C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EBC3EDE" w14:textId="77777777" w:rsidR="006B3847" w:rsidRPr="003378D8" w:rsidRDefault="006B3847" w:rsidP="006B3847">
      <w:pPr>
        <w:rPr>
          <w:sz w:val="24"/>
          <w:szCs w:val="24"/>
          <w:lang w:val="en-GB"/>
        </w:rPr>
      </w:pPr>
    </w:p>
    <w:p w14:paraId="76C4B6B1" w14:textId="371E85F2" w:rsidR="006B3847" w:rsidRPr="003378D8" w:rsidRDefault="006B3847" w:rsidP="006B3847">
      <w:pPr>
        <w:tabs>
          <w:tab w:val="right" w:pos="9356"/>
        </w:tabs>
        <w:rPr>
          <w:b/>
          <w:sz w:val="24"/>
          <w:szCs w:val="24"/>
          <w:lang w:val="en-GB"/>
        </w:rPr>
      </w:pPr>
      <w:r w:rsidRPr="003378D8">
        <w:rPr>
          <w:b/>
          <w:sz w:val="24"/>
          <w:szCs w:val="24"/>
          <w:lang w:val="en-GB"/>
        </w:rPr>
        <w:tab/>
      </w:r>
      <w:r w:rsidR="00962C23">
        <w:rPr>
          <w:b/>
          <w:sz w:val="24"/>
          <w:szCs w:val="24"/>
          <w:lang w:val="en-GB"/>
        </w:rPr>
        <w:t>11 February 2026</w:t>
      </w:r>
    </w:p>
    <w:p w14:paraId="73A1A1A7" w14:textId="77777777" w:rsidR="006B3847" w:rsidRPr="003378D8" w:rsidRDefault="006B3847" w:rsidP="006B3847">
      <w:pPr>
        <w:rPr>
          <w:sz w:val="24"/>
          <w:szCs w:val="24"/>
          <w:lang w:val="en-GB"/>
        </w:rPr>
      </w:pPr>
    </w:p>
    <w:p w14:paraId="1AC37F87" w14:textId="77777777" w:rsidR="007C5D2A" w:rsidRPr="003378D8" w:rsidRDefault="007C5D2A" w:rsidP="007C5D2A">
      <w:pPr>
        <w:rPr>
          <w:sz w:val="24"/>
          <w:szCs w:val="24"/>
          <w:lang w:val="en-GB"/>
        </w:rPr>
      </w:pPr>
    </w:p>
    <w:p w14:paraId="59001B42" w14:textId="77777777" w:rsidR="007C5D2A" w:rsidRPr="003378D8" w:rsidRDefault="007C5D2A" w:rsidP="007C5D2A">
      <w:pPr>
        <w:rPr>
          <w:sz w:val="24"/>
          <w:szCs w:val="24"/>
          <w:lang w:val="en-GB"/>
        </w:rPr>
      </w:pPr>
    </w:p>
    <w:p w14:paraId="74229C2C" w14:textId="77777777" w:rsidR="007C5D2A" w:rsidRPr="003378D8" w:rsidRDefault="007C5D2A" w:rsidP="007C5D2A">
      <w:pPr>
        <w:jc w:val="center"/>
        <w:rPr>
          <w:b/>
          <w:sz w:val="24"/>
          <w:szCs w:val="24"/>
          <w:lang w:val="en-GB"/>
        </w:rPr>
      </w:pPr>
      <w:bookmarkStart w:id="1" w:name="_Hlk49158549"/>
      <w:r w:rsidRPr="003378D8">
        <w:rPr>
          <w:b/>
          <w:sz w:val="24"/>
          <w:szCs w:val="24"/>
          <w:lang w:val="en-GB"/>
        </w:rPr>
        <w:t>SUMMARY OF PRODUCT CHARACTERISTICS</w:t>
      </w:r>
    </w:p>
    <w:bookmarkEnd w:id="1"/>
    <w:p w14:paraId="6ECE4515" w14:textId="77777777" w:rsidR="007C5D2A" w:rsidRPr="003378D8" w:rsidRDefault="007C5D2A" w:rsidP="007C5D2A">
      <w:pPr>
        <w:jc w:val="center"/>
        <w:rPr>
          <w:sz w:val="24"/>
          <w:szCs w:val="24"/>
          <w:lang w:val="en-GB"/>
        </w:rPr>
      </w:pPr>
    </w:p>
    <w:p w14:paraId="7A3D35A1" w14:textId="77777777" w:rsidR="007C5D2A" w:rsidRPr="003378D8" w:rsidRDefault="007C5D2A" w:rsidP="007C5D2A">
      <w:pPr>
        <w:jc w:val="center"/>
        <w:rPr>
          <w:b/>
          <w:sz w:val="24"/>
          <w:szCs w:val="24"/>
          <w:lang w:val="en-GB"/>
        </w:rPr>
      </w:pPr>
      <w:r w:rsidRPr="003378D8">
        <w:rPr>
          <w:b/>
          <w:sz w:val="24"/>
          <w:szCs w:val="24"/>
          <w:lang w:val="en-GB"/>
        </w:rPr>
        <w:t>for</w:t>
      </w:r>
    </w:p>
    <w:p w14:paraId="193F5D33" w14:textId="77777777" w:rsidR="007C5D2A" w:rsidRPr="003378D8" w:rsidRDefault="007C5D2A" w:rsidP="007C5D2A">
      <w:pPr>
        <w:jc w:val="center"/>
        <w:rPr>
          <w:sz w:val="24"/>
          <w:szCs w:val="24"/>
          <w:lang w:val="en-GB"/>
        </w:rPr>
      </w:pPr>
    </w:p>
    <w:p w14:paraId="2EE71CCF" w14:textId="5F3DD964" w:rsidR="007C5D2A" w:rsidRPr="003378D8" w:rsidRDefault="00A56D99" w:rsidP="007C5D2A">
      <w:pPr>
        <w:jc w:val="center"/>
        <w:rPr>
          <w:b/>
          <w:sz w:val="24"/>
          <w:szCs w:val="24"/>
          <w:lang w:val="en-GB"/>
        </w:rPr>
      </w:pPr>
      <w:r w:rsidRPr="003378D8">
        <w:rPr>
          <w:b/>
          <w:sz w:val="24"/>
          <w:szCs w:val="24"/>
          <w:lang w:val="en-GB"/>
        </w:rPr>
        <w:t>Gentamicin "</w:t>
      </w:r>
      <w:proofErr w:type="spellStart"/>
      <w:r w:rsidRPr="003378D8">
        <w:rPr>
          <w:b/>
          <w:sz w:val="24"/>
          <w:szCs w:val="24"/>
          <w:lang w:val="en-GB"/>
        </w:rPr>
        <w:t>Medochemie</w:t>
      </w:r>
      <w:proofErr w:type="spellEnd"/>
      <w:r w:rsidRPr="003378D8">
        <w:rPr>
          <w:b/>
          <w:sz w:val="24"/>
          <w:szCs w:val="24"/>
          <w:lang w:val="en-GB"/>
        </w:rPr>
        <w:t>", solution for injection/infusion</w:t>
      </w:r>
    </w:p>
    <w:p w14:paraId="7348FC46" w14:textId="77777777" w:rsidR="007C5D2A" w:rsidRPr="003378D8" w:rsidRDefault="007C5D2A" w:rsidP="007C5D2A">
      <w:pPr>
        <w:jc w:val="both"/>
        <w:rPr>
          <w:sz w:val="24"/>
          <w:szCs w:val="24"/>
          <w:lang w:val="en-GB"/>
        </w:rPr>
      </w:pPr>
    </w:p>
    <w:p w14:paraId="520309C8" w14:textId="77777777" w:rsidR="0042292D" w:rsidRPr="003378D8" w:rsidRDefault="0042292D" w:rsidP="007C5D2A">
      <w:pPr>
        <w:jc w:val="both"/>
        <w:rPr>
          <w:sz w:val="24"/>
          <w:szCs w:val="24"/>
          <w:lang w:val="en-GB"/>
        </w:rPr>
      </w:pPr>
    </w:p>
    <w:p w14:paraId="599B1D57" w14:textId="77777777" w:rsidR="008F2F8C" w:rsidRPr="003378D8" w:rsidRDefault="008F2F8C" w:rsidP="008F2F8C">
      <w:pPr>
        <w:tabs>
          <w:tab w:val="left" w:pos="8222"/>
        </w:tabs>
        <w:ind w:left="851" w:hanging="851"/>
        <w:rPr>
          <w:b/>
          <w:sz w:val="24"/>
          <w:szCs w:val="24"/>
          <w:lang w:val="en-GB"/>
        </w:rPr>
      </w:pPr>
      <w:r w:rsidRPr="003378D8">
        <w:rPr>
          <w:b/>
          <w:sz w:val="24"/>
          <w:szCs w:val="24"/>
          <w:lang w:val="en-GB"/>
        </w:rPr>
        <w:t>0.</w:t>
      </w:r>
      <w:r w:rsidRPr="003378D8">
        <w:rPr>
          <w:b/>
          <w:sz w:val="24"/>
          <w:szCs w:val="24"/>
          <w:lang w:val="en-GB"/>
        </w:rPr>
        <w:tab/>
      </w:r>
      <w:proofErr w:type="gramStart"/>
      <w:r w:rsidRPr="003378D8">
        <w:rPr>
          <w:b/>
          <w:sz w:val="24"/>
          <w:szCs w:val="24"/>
          <w:lang w:val="en-GB"/>
        </w:rPr>
        <w:t>D.SP.NO</w:t>
      </w:r>
      <w:proofErr w:type="gramEnd"/>
      <w:r w:rsidRPr="003378D8">
        <w:rPr>
          <w:b/>
          <w:sz w:val="24"/>
          <w:szCs w:val="24"/>
          <w:lang w:val="en-GB"/>
        </w:rPr>
        <w:t>.</w:t>
      </w:r>
    </w:p>
    <w:p w14:paraId="2EC16AB9" w14:textId="4354D678" w:rsidR="008F2F8C" w:rsidRPr="003378D8" w:rsidRDefault="00A56D99" w:rsidP="008F2F8C">
      <w:pPr>
        <w:tabs>
          <w:tab w:val="left" w:pos="8222"/>
        </w:tabs>
        <w:ind w:left="851"/>
        <w:rPr>
          <w:sz w:val="24"/>
          <w:szCs w:val="24"/>
          <w:lang w:val="en-GB"/>
        </w:rPr>
      </w:pPr>
      <w:r w:rsidRPr="003378D8">
        <w:rPr>
          <w:sz w:val="24"/>
          <w:szCs w:val="24"/>
          <w:lang w:val="en-GB"/>
        </w:rPr>
        <w:t>33695</w:t>
      </w:r>
    </w:p>
    <w:p w14:paraId="4D28060F" w14:textId="77777777" w:rsidR="007C5D2A" w:rsidRPr="003378D8" w:rsidRDefault="007C5D2A" w:rsidP="007C5D2A">
      <w:pPr>
        <w:tabs>
          <w:tab w:val="left" w:pos="851"/>
        </w:tabs>
        <w:jc w:val="both"/>
        <w:rPr>
          <w:sz w:val="24"/>
          <w:szCs w:val="24"/>
          <w:lang w:val="en-GB"/>
        </w:rPr>
      </w:pPr>
    </w:p>
    <w:p w14:paraId="137D58E6" w14:textId="77777777" w:rsidR="007C5D2A" w:rsidRPr="003378D8" w:rsidRDefault="009925C9" w:rsidP="007C5D2A">
      <w:pPr>
        <w:tabs>
          <w:tab w:val="left" w:pos="851"/>
        </w:tabs>
        <w:ind w:left="851" w:hanging="851"/>
        <w:rPr>
          <w:sz w:val="24"/>
          <w:szCs w:val="24"/>
          <w:lang w:val="en-GB"/>
        </w:rPr>
      </w:pPr>
      <w:r w:rsidRPr="003378D8">
        <w:rPr>
          <w:b/>
          <w:sz w:val="24"/>
          <w:szCs w:val="24"/>
          <w:lang w:val="en-GB"/>
        </w:rPr>
        <w:t>1.</w:t>
      </w:r>
      <w:r w:rsidR="007C5D2A" w:rsidRPr="003378D8">
        <w:rPr>
          <w:b/>
          <w:sz w:val="24"/>
          <w:szCs w:val="24"/>
          <w:lang w:val="en-GB"/>
        </w:rPr>
        <w:tab/>
        <w:t>NAME OF THE MEDICINAL PRODUCT</w:t>
      </w:r>
    </w:p>
    <w:p w14:paraId="4AC8352A" w14:textId="792C7EBB" w:rsidR="007C5D2A" w:rsidRPr="003378D8" w:rsidRDefault="00A56D99" w:rsidP="004A3BF4">
      <w:pPr>
        <w:tabs>
          <w:tab w:val="left" w:pos="851"/>
        </w:tabs>
        <w:ind w:left="851"/>
        <w:rPr>
          <w:sz w:val="24"/>
          <w:szCs w:val="24"/>
          <w:lang w:val="en-GB"/>
        </w:rPr>
      </w:pPr>
      <w:r w:rsidRPr="003378D8">
        <w:rPr>
          <w:sz w:val="24"/>
          <w:szCs w:val="24"/>
          <w:lang w:val="en-GB"/>
        </w:rPr>
        <w:t>Gentamicin "</w:t>
      </w:r>
      <w:proofErr w:type="spellStart"/>
      <w:r w:rsidRPr="003378D8">
        <w:rPr>
          <w:sz w:val="24"/>
          <w:szCs w:val="24"/>
          <w:lang w:val="en-GB"/>
        </w:rPr>
        <w:t>Medochemie</w:t>
      </w:r>
      <w:proofErr w:type="spellEnd"/>
      <w:r w:rsidRPr="003378D8">
        <w:rPr>
          <w:sz w:val="24"/>
          <w:szCs w:val="24"/>
          <w:lang w:val="en-GB"/>
        </w:rPr>
        <w:t>"</w:t>
      </w:r>
    </w:p>
    <w:p w14:paraId="7DAC5C47" w14:textId="77777777" w:rsidR="007C5D2A" w:rsidRPr="003378D8" w:rsidRDefault="007C5D2A" w:rsidP="004A3BF4">
      <w:pPr>
        <w:tabs>
          <w:tab w:val="left" w:pos="851"/>
        </w:tabs>
        <w:ind w:left="851"/>
        <w:rPr>
          <w:sz w:val="24"/>
          <w:szCs w:val="24"/>
          <w:lang w:val="en-GB"/>
        </w:rPr>
      </w:pPr>
    </w:p>
    <w:p w14:paraId="585D0FB2" w14:textId="77777777" w:rsidR="007C5D2A" w:rsidRPr="003378D8" w:rsidRDefault="009925C9" w:rsidP="007C5D2A">
      <w:pPr>
        <w:ind w:left="851" w:hanging="851"/>
        <w:rPr>
          <w:b/>
          <w:sz w:val="24"/>
          <w:szCs w:val="24"/>
          <w:lang w:val="en-GB"/>
        </w:rPr>
      </w:pPr>
      <w:r w:rsidRPr="003378D8">
        <w:rPr>
          <w:b/>
          <w:sz w:val="24"/>
          <w:szCs w:val="24"/>
          <w:lang w:val="en-GB"/>
        </w:rPr>
        <w:t>2.</w:t>
      </w:r>
      <w:r w:rsidR="007C5D2A" w:rsidRPr="003378D8">
        <w:rPr>
          <w:b/>
          <w:sz w:val="24"/>
          <w:szCs w:val="24"/>
          <w:lang w:val="en-GB"/>
        </w:rPr>
        <w:tab/>
        <w:t>QUALITATIVE AND QUANTITATIVE COMPOSITION</w:t>
      </w:r>
    </w:p>
    <w:p w14:paraId="4D4F4665" w14:textId="77777777" w:rsidR="003378D8" w:rsidRDefault="003378D8" w:rsidP="00FD7544">
      <w:pPr>
        <w:ind w:left="851"/>
        <w:rPr>
          <w:noProof/>
          <w:sz w:val="24"/>
          <w:szCs w:val="24"/>
          <w:lang w:val="en-US"/>
        </w:rPr>
      </w:pPr>
    </w:p>
    <w:p w14:paraId="0154D68E" w14:textId="4DE6CCE8" w:rsidR="000175D8" w:rsidRPr="003378D8" w:rsidRDefault="003378D8" w:rsidP="00FD7544">
      <w:pPr>
        <w:ind w:left="851"/>
        <w:rPr>
          <w:sz w:val="24"/>
          <w:szCs w:val="24"/>
          <w:u w:val="single"/>
          <w:lang w:val="en-GB"/>
        </w:rPr>
      </w:pPr>
      <w:r w:rsidRPr="003378D8">
        <w:rPr>
          <w:noProof/>
          <w:sz w:val="24"/>
          <w:szCs w:val="24"/>
          <w:u w:val="single"/>
          <w:lang w:val="en-US"/>
        </w:rPr>
        <w:t>Gentamicin "Medochemie"</w:t>
      </w:r>
      <w:r w:rsidR="000175D8" w:rsidRPr="003378D8">
        <w:rPr>
          <w:noProof/>
          <w:sz w:val="24"/>
          <w:szCs w:val="24"/>
          <w:u w:val="single"/>
          <w:lang w:val="en-US"/>
        </w:rPr>
        <w:t xml:space="preserve"> </w:t>
      </w:r>
      <w:r w:rsidR="000175D8" w:rsidRPr="003378D8">
        <w:rPr>
          <w:sz w:val="24"/>
          <w:szCs w:val="24"/>
          <w:u w:val="single"/>
          <w:lang w:val="en-GB"/>
        </w:rPr>
        <w:t>10 mg/ml solution for injection/infusion:</w:t>
      </w:r>
    </w:p>
    <w:p w14:paraId="2EB7C98C" w14:textId="77777777" w:rsidR="000175D8" w:rsidRPr="003378D8" w:rsidRDefault="000175D8" w:rsidP="00FD7544">
      <w:pPr>
        <w:ind w:left="851"/>
        <w:rPr>
          <w:sz w:val="24"/>
          <w:szCs w:val="24"/>
          <w:lang w:val="en-GB"/>
        </w:rPr>
      </w:pPr>
      <w:r w:rsidRPr="003378D8">
        <w:rPr>
          <w:sz w:val="24"/>
          <w:szCs w:val="24"/>
          <w:lang w:val="en-GB"/>
        </w:rPr>
        <w:t xml:space="preserve">Each ampoule contains gentamicin </w:t>
      </w:r>
      <w:proofErr w:type="spellStart"/>
      <w:r w:rsidRPr="003378D8">
        <w:rPr>
          <w:sz w:val="24"/>
          <w:szCs w:val="24"/>
          <w:lang w:val="en-GB"/>
        </w:rPr>
        <w:t>sulfate</w:t>
      </w:r>
      <w:proofErr w:type="spellEnd"/>
      <w:r w:rsidRPr="003378D8">
        <w:rPr>
          <w:sz w:val="24"/>
          <w:szCs w:val="24"/>
          <w:lang w:val="en-GB"/>
        </w:rPr>
        <w:t xml:space="preserve"> corresponding to 20 mg gentamicin per 2 ml. </w:t>
      </w:r>
      <w:r w:rsidRPr="003378D8">
        <w:rPr>
          <w:sz w:val="24"/>
          <w:szCs w:val="24"/>
          <w:lang w:val="en-US"/>
        </w:rPr>
        <w:t>The gentamicin concentration is 10 mg/ml.</w:t>
      </w:r>
    </w:p>
    <w:p w14:paraId="5BBBD008" w14:textId="77777777" w:rsidR="000175D8" w:rsidRPr="003378D8" w:rsidRDefault="000175D8" w:rsidP="00FD7544">
      <w:pPr>
        <w:ind w:left="851"/>
        <w:rPr>
          <w:sz w:val="24"/>
          <w:szCs w:val="24"/>
          <w:lang w:val="en-GB"/>
        </w:rPr>
      </w:pPr>
    </w:p>
    <w:p w14:paraId="4F28B5E2" w14:textId="504501B1" w:rsidR="000175D8" w:rsidRPr="003378D8" w:rsidRDefault="003378D8" w:rsidP="00FD7544">
      <w:pPr>
        <w:ind w:left="851"/>
        <w:rPr>
          <w:sz w:val="24"/>
          <w:szCs w:val="24"/>
          <w:u w:val="single"/>
          <w:lang w:val="en-GB"/>
        </w:rPr>
      </w:pPr>
      <w:r w:rsidRPr="003378D8">
        <w:rPr>
          <w:noProof/>
          <w:sz w:val="24"/>
          <w:szCs w:val="24"/>
          <w:u w:val="single"/>
          <w:lang w:val="en-US"/>
        </w:rPr>
        <w:t>Gentamicin "Medochemie"</w:t>
      </w:r>
      <w:r w:rsidR="000175D8" w:rsidRPr="003378D8">
        <w:rPr>
          <w:noProof/>
          <w:sz w:val="24"/>
          <w:szCs w:val="24"/>
          <w:u w:val="single"/>
          <w:lang w:val="en-US"/>
        </w:rPr>
        <w:t xml:space="preserve"> </w:t>
      </w:r>
      <w:r w:rsidR="000175D8" w:rsidRPr="003378D8">
        <w:rPr>
          <w:sz w:val="24"/>
          <w:szCs w:val="24"/>
          <w:u w:val="single"/>
          <w:lang w:val="en-GB"/>
        </w:rPr>
        <w:t>20 mg/ml solution for injection/infusion:</w:t>
      </w:r>
    </w:p>
    <w:p w14:paraId="67D681B5" w14:textId="77777777" w:rsidR="000175D8" w:rsidRPr="003378D8" w:rsidRDefault="000175D8" w:rsidP="00FD7544">
      <w:pPr>
        <w:ind w:left="851"/>
        <w:rPr>
          <w:sz w:val="24"/>
          <w:szCs w:val="24"/>
          <w:lang w:val="en-US"/>
        </w:rPr>
      </w:pPr>
      <w:r w:rsidRPr="003378D8">
        <w:rPr>
          <w:sz w:val="24"/>
          <w:szCs w:val="24"/>
          <w:lang w:val="en-GB"/>
        </w:rPr>
        <w:t xml:space="preserve">Each ampoule contains gentamicin </w:t>
      </w:r>
      <w:proofErr w:type="spellStart"/>
      <w:r w:rsidRPr="003378D8">
        <w:rPr>
          <w:sz w:val="24"/>
          <w:szCs w:val="24"/>
          <w:lang w:val="en-GB"/>
        </w:rPr>
        <w:t>sulfate</w:t>
      </w:r>
      <w:proofErr w:type="spellEnd"/>
      <w:r w:rsidRPr="003378D8">
        <w:rPr>
          <w:sz w:val="24"/>
          <w:szCs w:val="24"/>
          <w:lang w:val="en-GB"/>
        </w:rPr>
        <w:t xml:space="preserve"> corresponding to 40 mg gentamicin per 2 ml. </w:t>
      </w:r>
      <w:r w:rsidRPr="003378D8">
        <w:rPr>
          <w:sz w:val="24"/>
          <w:szCs w:val="24"/>
          <w:lang w:val="en-US"/>
        </w:rPr>
        <w:t>The gentamicin concentration is 20 mg/ml.</w:t>
      </w:r>
    </w:p>
    <w:p w14:paraId="2B3AD818" w14:textId="77777777" w:rsidR="000175D8" w:rsidRPr="003378D8" w:rsidRDefault="000175D8" w:rsidP="00FD7544">
      <w:pPr>
        <w:ind w:left="851"/>
        <w:rPr>
          <w:sz w:val="24"/>
          <w:szCs w:val="24"/>
          <w:lang w:val="en-GB"/>
        </w:rPr>
      </w:pPr>
    </w:p>
    <w:p w14:paraId="0B80D44F" w14:textId="33A45BD5" w:rsidR="000175D8" w:rsidRPr="003378D8" w:rsidRDefault="003378D8" w:rsidP="00FD7544">
      <w:pPr>
        <w:ind w:left="851"/>
        <w:rPr>
          <w:sz w:val="24"/>
          <w:szCs w:val="24"/>
          <w:u w:val="single"/>
          <w:lang w:val="en-GB"/>
        </w:rPr>
      </w:pPr>
      <w:r w:rsidRPr="003378D8">
        <w:rPr>
          <w:noProof/>
          <w:sz w:val="24"/>
          <w:szCs w:val="24"/>
          <w:u w:val="single"/>
          <w:lang w:val="en-US"/>
        </w:rPr>
        <w:t>Gentamicin "Medochemie"</w:t>
      </w:r>
      <w:r w:rsidR="000175D8" w:rsidRPr="003378D8">
        <w:rPr>
          <w:noProof/>
          <w:sz w:val="24"/>
          <w:szCs w:val="24"/>
          <w:u w:val="single"/>
          <w:lang w:val="en-US"/>
        </w:rPr>
        <w:t xml:space="preserve"> </w:t>
      </w:r>
      <w:r w:rsidR="000175D8" w:rsidRPr="003378D8">
        <w:rPr>
          <w:sz w:val="24"/>
          <w:szCs w:val="24"/>
          <w:u w:val="single"/>
          <w:lang w:val="en-GB"/>
        </w:rPr>
        <w:t>40 mg/ml solution for injection/infusion:</w:t>
      </w:r>
    </w:p>
    <w:p w14:paraId="685D8807" w14:textId="77777777" w:rsidR="000175D8" w:rsidRPr="003378D8" w:rsidRDefault="000175D8" w:rsidP="00FD7544">
      <w:pPr>
        <w:ind w:left="851"/>
        <w:rPr>
          <w:sz w:val="24"/>
          <w:szCs w:val="24"/>
          <w:lang w:val="en-GB"/>
        </w:rPr>
      </w:pPr>
      <w:r w:rsidRPr="003378D8">
        <w:rPr>
          <w:sz w:val="24"/>
          <w:szCs w:val="24"/>
          <w:lang w:val="en-GB"/>
        </w:rPr>
        <w:t xml:space="preserve">Each ampoule contains gentamicin </w:t>
      </w:r>
      <w:proofErr w:type="spellStart"/>
      <w:r w:rsidRPr="003378D8">
        <w:rPr>
          <w:sz w:val="24"/>
          <w:szCs w:val="24"/>
          <w:lang w:val="en-GB"/>
        </w:rPr>
        <w:t>sulfate</w:t>
      </w:r>
      <w:proofErr w:type="spellEnd"/>
      <w:r w:rsidRPr="003378D8">
        <w:rPr>
          <w:sz w:val="24"/>
          <w:szCs w:val="24"/>
          <w:lang w:val="en-GB"/>
        </w:rPr>
        <w:t xml:space="preserve"> corresponding to 80 mg gentamicin per 2 ml. </w:t>
      </w:r>
      <w:r w:rsidRPr="003378D8">
        <w:rPr>
          <w:sz w:val="24"/>
          <w:szCs w:val="24"/>
          <w:lang w:val="en-US"/>
        </w:rPr>
        <w:t>The gentamicin concentration is 40 mg/ml.</w:t>
      </w:r>
    </w:p>
    <w:p w14:paraId="6738709F" w14:textId="77777777" w:rsidR="000175D8" w:rsidRPr="003378D8" w:rsidRDefault="000175D8" w:rsidP="00FD7544">
      <w:pPr>
        <w:ind w:left="851"/>
        <w:rPr>
          <w:bCs/>
          <w:sz w:val="24"/>
          <w:szCs w:val="24"/>
          <w:lang w:val="en-GB"/>
        </w:rPr>
      </w:pPr>
    </w:p>
    <w:p w14:paraId="7B457C2B" w14:textId="77777777" w:rsidR="000175D8" w:rsidRPr="003378D8" w:rsidRDefault="000175D8" w:rsidP="00FD7544">
      <w:pPr>
        <w:ind w:left="851"/>
        <w:rPr>
          <w:sz w:val="24"/>
          <w:szCs w:val="24"/>
          <w:lang w:val="en-GB"/>
        </w:rPr>
      </w:pPr>
      <w:r w:rsidRPr="003378D8">
        <w:rPr>
          <w:sz w:val="24"/>
          <w:szCs w:val="24"/>
          <w:lang w:val="en-GB"/>
        </w:rPr>
        <w:t>For the full list of excipients, see section 6.1.</w:t>
      </w:r>
    </w:p>
    <w:p w14:paraId="1CDF9766" w14:textId="77777777" w:rsidR="007C5D2A" w:rsidRPr="003378D8" w:rsidRDefault="007C5D2A" w:rsidP="004A3BF4">
      <w:pPr>
        <w:tabs>
          <w:tab w:val="left" w:pos="851"/>
        </w:tabs>
        <w:ind w:left="851"/>
        <w:rPr>
          <w:sz w:val="24"/>
          <w:szCs w:val="24"/>
          <w:lang w:val="en-GB"/>
        </w:rPr>
      </w:pPr>
    </w:p>
    <w:p w14:paraId="48BFECA9"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3.</w:t>
      </w:r>
      <w:r w:rsidRPr="003378D8">
        <w:rPr>
          <w:b/>
          <w:sz w:val="24"/>
          <w:szCs w:val="24"/>
          <w:lang w:val="en-GB"/>
        </w:rPr>
        <w:tab/>
        <w:t>PHARMACEUTICAL FORM</w:t>
      </w:r>
    </w:p>
    <w:p w14:paraId="0E19036A" w14:textId="77777777" w:rsidR="000175D8" w:rsidRPr="003378D8" w:rsidRDefault="000175D8" w:rsidP="00FD7544">
      <w:pPr>
        <w:ind w:left="851"/>
        <w:rPr>
          <w:sz w:val="24"/>
          <w:szCs w:val="24"/>
          <w:lang w:val="en-GB"/>
        </w:rPr>
      </w:pPr>
      <w:r w:rsidRPr="003378D8">
        <w:rPr>
          <w:sz w:val="24"/>
          <w:szCs w:val="24"/>
          <w:lang w:val="en-GB"/>
        </w:rPr>
        <w:t>Solution for injection/infusion</w:t>
      </w:r>
    </w:p>
    <w:p w14:paraId="70A4B4D9" w14:textId="77777777" w:rsidR="000175D8" w:rsidRPr="003378D8" w:rsidRDefault="000175D8" w:rsidP="00FD7544">
      <w:pPr>
        <w:ind w:left="851"/>
        <w:rPr>
          <w:sz w:val="24"/>
          <w:szCs w:val="24"/>
          <w:lang w:val="en-GB"/>
        </w:rPr>
      </w:pPr>
    </w:p>
    <w:p w14:paraId="79BAE3A3" w14:textId="77777777" w:rsidR="000175D8" w:rsidRPr="003378D8" w:rsidRDefault="000175D8" w:rsidP="00FD7544">
      <w:pPr>
        <w:ind w:left="851"/>
        <w:rPr>
          <w:sz w:val="24"/>
          <w:szCs w:val="24"/>
          <w:lang w:val="en-GB"/>
        </w:rPr>
      </w:pPr>
      <w:r w:rsidRPr="003378D8">
        <w:rPr>
          <w:sz w:val="24"/>
          <w:szCs w:val="24"/>
          <w:lang w:val="en-US"/>
        </w:rPr>
        <w:t>Clear, slightly yellow solution</w:t>
      </w:r>
    </w:p>
    <w:p w14:paraId="069CD3D3" w14:textId="77777777" w:rsidR="007C5D2A" w:rsidRPr="003378D8" w:rsidRDefault="007C5D2A" w:rsidP="004A3BF4">
      <w:pPr>
        <w:tabs>
          <w:tab w:val="left" w:pos="851"/>
        </w:tabs>
        <w:ind w:left="851"/>
        <w:rPr>
          <w:sz w:val="24"/>
          <w:szCs w:val="24"/>
          <w:lang w:val="en-GB"/>
        </w:rPr>
      </w:pPr>
    </w:p>
    <w:p w14:paraId="49770A70" w14:textId="77777777" w:rsidR="007C5D2A" w:rsidRPr="003378D8" w:rsidRDefault="007C5D2A" w:rsidP="004A3BF4">
      <w:pPr>
        <w:tabs>
          <w:tab w:val="left" w:pos="851"/>
        </w:tabs>
        <w:ind w:left="851"/>
        <w:rPr>
          <w:sz w:val="24"/>
          <w:szCs w:val="24"/>
          <w:lang w:val="en-GB"/>
        </w:rPr>
      </w:pPr>
    </w:p>
    <w:p w14:paraId="76D83AC8" w14:textId="77777777" w:rsidR="007C5D2A" w:rsidRPr="003378D8" w:rsidRDefault="007C5D2A" w:rsidP="007C5D2A">
      <w:pPr>
        <w:ind w:left="851" w:hanging="851"/>
        <w:rPr>
          <w:b/>
          <w:sz w:val="24"/>
          <w:szCs w:val="24"/>
          <w:lang w:val="en-GB"/>
        </w:rPr>
      </w:pPr>
      <w:r w:rsidRPr="003378D8">
        <w:rPr>
          <w:b/>
          <w:sz w:val="24"/>
          <w:szCs w:val="24"/>
          <w:lang w:val="en-GB"/>
        </w:rPr>
        <w:t>4.</w:t>
      </w:r>
      <w:r w:rsidRPr="003378D8">
        <w:rPr>
          <w:b/>
          <w:sz w:val="24"/>
          <w:szCs w:val="24"/>
          <w:lang w:val="en-GB"/>
        </w:rPr>
        <w:tab/>
        <w:t>CLINICAL PARTICULARS</w:t>
      </w:r>
    </w:p>
    <w:p w14:paraId="60541187" w14:textId="77777777" w:rsidR="007C5D2A" w:rsidRPr="003378D8" w:rsidRDefault="007C5D2A" w:rsidP="004A3BF4">
      <w:pPr>
        <w:tabs>
          <w:tab w:val="left" w:pos="851"/>
        </w:tabs>
        <w:ind w:left="851"/>
        <w:rPr>
          <w:sz w:val="24"/>
          <w:szCs w:val="24"/>
          <w:lang w:val="en-GB"/>
        </w:rPr>
      </w:pPr>
    </w:p>
    <w:p w14:paraId="14314016" w14:textId="77777777" w:rsidR="007C5D2A" w:rsidRPr="003378D8" w:rsidRDefault="007C5D2A" w:rsidP="007C5D2A">
      <w:pPr>
        <w:ind w:left="851" w:hanging="851"/>
        <w:rPr>
          <w:b/>
          <w:sz w:val="24"/>
          <w:szCs w:val="24"/>
          <w:u w:val="single"/>
          <w:lang w:val="en-GB"/>
        </w:rPr>
      </w:pPr>
      <w:r w:rsidRPr="003378D8">
        <w:rPr>
          <w:b/>
          <w:sz w:val="24"/>
          <w:szCs w:val="24"/>
          <w:lang w:val="en-GB"/>
        </w:rPr>
        <w:t>4.1</w:t>
      </w:r>
      <w:r w:rsidRPr="003378D8">
        <w:rPr>
          <w:b/>
          <w:sz w:val="24"/>
          <w:szCs w:val="24"/>
          <w:lang w:val="en-GB"/>
        </w:rPr>
        <w:tab/>
        <w:t>Therapeutic indications</w:t>
      </w:r>
    </w:p>
    <w:p w14:paraId="5DA5EEA8" w14:textId="6791FCDC" w:rsidR="000175D8" w:rsidRPr="003378D8" w:rsidRDefault="003378D8" w:rsidP="00FD7544">
      <w:pPr>
        <w:ind w:left="851"/>
        <w:rPr>
          <w:sz w:val="24"/>
          <w:szCs w:val="24"/>
          <w:lang w:val="en-US" w:eastAsia="ja-JP"/>
        </w:rPr>
      </w:pPr>
      <w:r>
        <w:rPr>
          <w:noProof/>
          <w:sz w:val="24"/>
          <w:szCs w:val="24"/>
          <w:lang w:val="en-US"/>
        </w:rPr>
        <w:t>Gentamicin "Medochemie"</w:t>
      </w:r>
      <w:r w:rsidR="000175D8" w:rsidRPr="003378D8">
        <w:rPr>
          <w:noProof/>
          <w:sz w:val="24"/>
          <w:szCs w:val="24"/>
          <w:lang w:val="en-US"/>
        </w:rPr>
        <w:t xml:space="preserve"> </w:t>
      </w:r>
      <w:r w:rsidR="000175D8" w:rsidRPr="003378D8">
        <w:rPr>
          <w:sz w:val="24"/>
          <w:szCs w:val="24"/>
          <w:lang w:val="en-US" w:eastAsia="ja-JP"/>
        </w:rPr>
        <w:t>is indicated in adults and children from birth in severe life-threatening infections, where less toxic antimicrobial agents are not effective, especially when the etiology is unknown or when septicemia caused by gram-negative bacteria is suspected (see sections 4.2, 4.4 and 5.1).</w:t>
      </w:r>
    </w:p>
    <w:p w14:paraId="41C18C02" w14:textId="77777777" w:rsidR="000175D8" w:rsidRPr="003378D8" w:rsidRDefault="000175D8" w:rsidP="00FD7544">
      <w:pPr>
        <w:ind w:left="851"/>
        <w:rPr>
          <w:sz w:val="24"/>
          <w:szCs w:val="24"/>
          <w:lang w:val="en-US" w:eastAsia="ja-JP"/>
        </w:rPr>
      </w:pPr>
      <w:r w:rsidRPr="003378D8">
        <w:rPr>
          <w:sz w:val="24"/>
          <w:szCs w:val="24"/>
          <w:lang w:val="en-US" w:eastAsia="ja-JP"/>
        </w:rPr>
        <w:lastRenderedPageBreak/>
        <w:t>In general, usage should be based on the results of bacterial cultures and antimicrobial resistance testing.</w:t>
      </w:r>
    </w:p>
    <w:p w14:paraId="3924EE8F" w14:textId="77777777" w:rsidR="000175D8" w:rsidRPr="003378D8" w:rsidRDefault="000175D8" w:rsidP="00FD7544">
      <w:pPr>
        <w:ind w:left="851"/>
        <w:rPr>
          <w:sz w:val="24"/>
          <w:szCs w:val="24"/>
          <w:lang w:val="en-US" w:eastAsia="ja-JP"/>
        </w:rPr>
      </w:pPr>
      <w:r w:rsidRPr="003378D8">
        <w:rPr>
          <w:sz w:val="24"/>
          <w:szCs w:val="24"/>
          <w:lang w:val="en-US" w:eastAsia="ja-JP"/>
        </w:rPr>
        <w:t xml:space="preserve">For severe infections of unknown </w:t>
      </w:r>
      <w:proofErr w:type="spellStart"/>
      <w:r w:rsidRPr="003378D8">
        <w:rPr>
          <w:sz w:val="24"/>
          <w:szCs w:val="24"/>
          <w:lang w:val="en-US" w:eastAsia="ja-JP"/>
        </w:rPr>
        <w:t>aetiology</w:t>
      </w:r>
      <w:proofErr w:type="spellEnd"/>
      <w:r w:rsidRPr="003378D8">
        <w:rPr>
          <w:sz w:val="24"/>
          <w:szCs w:val="24"/>
          <w:lang w:val="en-US" w:eastAsia="ja-JP"/>
        </w:rPr>
        <w:t>, until the results of bacterial cultures and antimicrobial resistance testing are available, gentamicin must be used in combination with other relevant antibiotics (predominantly together with a beta-lactam antibiotic or an antimicrobial agent that is effective against anaerobic bacteria).</w:t>
      </w:r>
    </w:p>
    <w:p w14:paraId="58E0C8E0" w14:textId="77777777" w:rsidR="000175D8" w:rsidRPr="003378D8" w:rsidRDefault="000175D8" w:rsidP="00FD7544">
      <w:pPr>
        <w:ind w:left="851"/>
        <w:rPr>
          <w:sz w:val="24"/>
          <w:szCs w:val="24"/>
          <w:lang w:val="en-US" w:eastAsia="ja-JP"/>
        </w:rPr>
      </w:pPr>
    </w:p>
    <w:p w14:paraId="42872CEA" w14:textId="77777777" w:rsidR="000175D8" w:rsidRPr="003378D8" w:rsidRDefault="000175D8" w:rsidP="00FD7544">
      <w:pPr>
        <w:ind w:left="851"/>
        <w:rPr>
          <w:sz w:val="24"/>
          <w:szCs w:val="24"/>
          <w:lang w:val="en-US" w:eastAsia="ja-JP"/>
        </w:rPr>
      </w:pPr>
      <w:r w:rsidRPr="003378D8">
        <w:rPr>
          <w:sz w:val="24"/>
          <w:szCs w:val="24"/>
          <w:lang w:val="en-US" w:eastAsia="ja-JP"/>
        </w:rPr>
        <w:t>Under these conditions, gentamicin is indicated for the treatment of the following infections:</w:t>
      </w:r>
    </w:p>
    <w:p w14:paraId="56D2EA4B" w14:textId="77777777" w:rsidR="000175D8" w:rsidRPr="003378D8" w:rsidRDefault="000175D8" w:rsidP="003378D8">
      <w:pPr>
        <w:pStyle w:val="Listeafsnit"/>
        <w:numPr>
          <w:ilvl w:val="0"/>
          <w:numId w:val="9"/>
        </w:numPr>
        <w:ind w:left="1276" w:hanging="425"/>
        <w:rPr>
          <w:szCs w:val="24"/>
          <w:lang w:eastAsia="ja-JP"/>
        </w:rPr>
      </w:pPr>
      <w:r w:rsidRPr="003378D8">
        <w:rPr>
          <w:szCs w:val="24"/>
          <w:lang w:eastAsia="ja-JP"/>
        </w:rPr>
        <w:t>Complicated urinary tract infections including acute pyelonephritis.</w:t>
      </w:r>
    </w:p>
    <w:p w14:paraId="74731E8D" w14:textId="77777777" w:rsidR="000175D8" w:rsidRPr="003378D8" w:rsidRDefault="000175D8" w:rsidP="003378D8">
      <w:pPr>
        <w:pStyle w:val="Listeafsnit"/>
        <w:numPr>
          <w:ilvl w:val="0"/>
          <w:numId w:val="9"/>
        </w:numPr>
        <w:ind w:left="1276" w:hanging="425"/>
        <w:rPr>
          <w:szCs w:val="24"/>
          <w:lang w:eastAsia="ja-JP"/>
        </w:rPr>
      </w:pPr>
      <w:r w:rsidRPr="003378D8">
        <w:rPr>
          <w:szCs w:val="24"/>
          <w:lang w:eastAsia="ja-JP"/>
        </w:rPr>
        <w:t>Nosocomial lower respiratory tract infections including severe pneumonia.</w:t>
      </w:r>
    </w:p>
    <w:p w14:paraId="7F680938" w14:textId="77777777" w:rsidR="000175D8" w:rsidRPr="003378D8" w:rsidRDefault="000175D8" w:rsidP="003378D8">
      <w:pPr>
        <w:pStyle w:val="Listeafsnit"/>
        <w:numPr>
          <w:ilvl w:val="0"/>
          <w:numId w:val="9"/>
        </w:numPr>
        <w:ind w:left="1276" w:hanging="425"/>
        <w:rPr>
          <w:szCs w:val="24"/>
          <w:lang w:eastAsia="ja-JP"/>
        </w:rPr>
      </w:pPr>
      <w:r w:rsidRPr="003378D8">
        <w:rPr>
          <w:szCs w:val="24"/>
          <w:lang w:eastAsia="ja-JP"/>
        </w:rPr>
        <w:t>Intra-abdominal infections including peritonitis.</w:t>
      </w:r>
    </w:p>
    <w:p w14:paraId="5536AF3D" w14:textId="77777777" w:rsidR="000175D8" w:rsidRPr="003378D8" w:rsidRDefault="000175D8" w:rsidP="003378D8">
      <w:pPr>
        <w:pStyle w:val="Listeafsnit"/>
        <w:numPr>
          <w:ilvl w:val="0"/>
          <w:numId w:val="9"/>
        </w:numPr>
        <w:ind w:left="1276" w:hanging="425"/>
        <w:rPr>
          <w:szCs w:val="24"/>
          <w:lang w:eastAsia="ja-JP"/>
        </w:rPr>
      </w:pPr>
      <w:r w:rsidRPr="003378D8">
        <w:rPr>
          <w:szCs w:val="24"/>
          <w:lang w:eastAsia="ja-JP"/>
        </w:rPr>
        <w:t>Infections associated with severe burns.</w:t>
      </w:r>
    </w:p>
    <w:p w14:paraId="2DEDA7C7" w14:textId="77777777" w:rsidR="000175D8" w:rsidRPr="003378D8" w:rsidRDefault="000175D8" w:rsidP="003378D8">
      <w:pPr>
        <w:pStyle w:val="Listeafsnit"/>
        <w:numPr>
          <w:ilvl w:val="0"/>
          <w:numId w:val="9"/>
        </w:numPr>
        <w:ind w:left="1276" w:hanging="425"/>
        <w:rPr>
          <w:szCs w:val="24"/>
          <w:lang w:eastAsia="ja-JP"/>
        </w:rPr>
      </w:pPr>
      <w:r w:rsidRPr="003378D8">
        <w:rPr>
          <w:szCs w:val="24"/>
          <w:lang w:eastAsia="ja-JP"/>
        </w:rPr>
        <w:t>Bacterial endocarditis.</w:t>
      </w:r>
    </w:p>
    <w:p w14:paraId="114A575C" w14:textId="77777777" w:rsidR="000175D8" w:rsidRPr="003378D8" w:rsidRDefault="000175D8" w:rsidP="00FD7544">
      <w:pPr>
        <w:ind w:left="851"/>
        <w:rPr>
          <w:sz w:val="24"/>
          <w:szCs w:val="24"/>
          <w:lang w:eastAsia="ja-JP"/>
        </w:rPr>
      </w:pPr>
    </w:p>
    <w:p w14:paraId="6C0624A2" w14:textId="77777777" w:rsidR="000175D8" w:rsidRPr="003378D8" w:rsidRDefault="000175D8" w:rsidP="00FD7544">
      <w:pPr>
        <w:ind w:left="851"/>
        <w:rPr>
          <w:iCs/>
          <w:sz w:val="24"/>
          <w:szCs w:val="24"/>
          <w:lang w:val="en-GB" w:eastAsia="en-US"/>
        </w:rPr>
      </w:pPr>
      <w:r w:rsidRPr="003378D8">
        <w:rPr>
          <w:iCs/>
          <w:sz w:val="24"/>
          <w:szCs w:val="24"/>
          <w:lang w:val="en-GB"/>
        </w:rPr>
        <w:t>Consideration should be given to official guidance on the appropriate use of antibacterial agents.</w:t>
      </w:r>
    </w:p>
    <w:p w14:paraId="492933F1" w14:textId="77777777" w:rsidR="007C5D2A" w:rsidRPr="003378D8" w:rsidRDefault="007C5D2A" w:rsidP="00A85D26">
      <w:pPr>
        <w:tabs>
          <w:tab w:val="left" w:pos="851"/>
        </w:tabs>
        <w:ind w:left="851"/>
        <w:rPr>
          <w:sz w:val="24"/>
          <w:szCs w:val="24"/>
          <w:lang w:val="en-GB"/>
        </w:rPr>
      </w:pPr>
    </w:p>
    <w:p w14:paraId="4CBA9026" w14:textId="77777777" w:rsidR="007C5D2A" w:rsidRPr="003378D8" w:rsidRDefault="009925C9" w:rsidP="007C5D2A">
      <w:pPr>
        <w:tabs>
          <w:tab w:val="left" w:pos="851"/>
        </w:tabs>
        <w:ind w:left="851" w:hanging="851"/>
        <w:rPr>
          <w:sz w:val="24"/>
          <w:szCs w:val="24"/>
          <w:lang w:val="en-GB"/>
        </w:rPr>
      </w:pPr>
      <w:r w:rsidRPr="003378D8">
        <w:rPr>
          <w:b/>
          <w:sz w:val="24"/>
          <w:szCs w:val="24"/>
          <w:lang w:val="en-GB"/>
        </w:rPr>
        <w:t>4.2</w:t>
      </w:r>
      <w:r w:rsidR="007C5D2A" w:rsidRPr="003378D8">
        <w:rPr>
          <w:b/>
          <w:sz w:val="24"/>
          <w:szCs w:val="24"/>
          <w:lang w:val="en-GB"/>
        </w:rPr>
        <w:tab/>
        <w:t>Posology and method of administration</w:t>
      </w:r>
    </w:p>
    <w:p w14:paraId="57F2146F" w14:textId="77777777" w:rsidR="003378D8" w:rsidRDefault="003378D8" w:rsidP="00FD7544">
      <w:pPr>
        <w:ind w:left="851"/>
        <w:rPr>
          <w:sz w:val="24"/>
          <w:szCs w:val="24"/>
          <w:lang w:val="en-US"/>
        </w:rPr>
      </w:pPr>
    </w:p>
    <w:p w14:paraId="274325A2" w14:textId="48113A30" w:rsidR="000175D8" w:rsidRPr="003378D8" w:rsidRDefault="000175D8" w:rsidP="00FD7544">
      <w:pPr>
        <w:ind w:left="851"/>
        <w:rPr>
          <w:sz w:val="24"/>
          <w:szCs w:val="24"/>
          <w:u w:val="single"/>
          <w:lang w:val="en-US"/>
        </w:rPr>
      </w:pPr>
      <w:r w:rsidRPr="003378D8">
        <w:rPr>
          <w:sz w:val="24"/>
          <w:szCs w:val="24"/>
          <w:u w:val="single"/>
          <w:lang w:val="en-US"/>
        </w:rPr>
        <w:t>Posology</w:t>
      </w:r>
    </w:p>
    <w:p w14:paraId="560787F3" w14:textId="77777777" w:rsidR="000175D8" w:rsidRPr="003378D8" w:rsidRDefault="000175D8" w:rsidP="00FD7544">
      <w:pPr>
        <w:ind w:left="851"/>
        <w:rPr>
          <w:i/>
          <w:sz w:val="24"/>
          <w:szCs w:val="24"/>
          <w:lang w:val="en-GB"/>
        </w:rPr>
      </w:pPr>
      <w:r w:rsidRPr="003378D8">
        <w:rPr>
          <w:i/>
          <w:sz w:val="24"/>
          <w:szCs w:val="24"/>
          <w:lang w:val="en-GB"/>
        </w:rPr>
        <w:t>General</w:t>
      </w:r>
    </w:p>
    <w:p w14:paraId="79F755C8" w14:textId="77777777" w:rsidR="000175D8" w:rsidRPr="003378D8" w:rsidRDefault="000175D8" w:rsidP="00FD7544">
      <w:pPr>
        <w:ind w:left="851"/>
        <w:rPr>
          <w:iCs/>
          <w:sz w:val="24"/>
          <w:szCs w:val="24"/>
          <w:lang w:val="en-GB"/>
        </w:rPr>
      </w:pPr>
      <w:r w:rsidRPr="003378D8">
        <w:rPr>
          <w:iCs/>
          <w:sz w:val="24"/>
          <w:szCs w:val="24"/>
          <w:lang w:val="en-GB"/>
        </w:rPr>
        <w:t>Serum drug concentration monitoring is recommended, see “Monitoring of serum gentamicin concentrations”. The patient must be adequately hydrated during the treatment.</w:t>
      </w:r>
    </w:p>
    <w:p w14:paraId="20A2D810" w14:textId="77777777" w:rsidR="000175D8" w:rsidRPr="003378D8" w:rsidRDefault="000175D8" w:rsidP="00FD7544">
      <w:pPr>
        <w:ind w:left="851"/>
        <w:rPr>
          <w:iCs/>
          <w:sz w:val="24"/>
          <w:szCs w:val="24"/>
          <w:lang w:val="en-GB"/>
        </w:rPr>
      </w:pPr>
    </w:p>
    <w:p w14:paraId="2247A1C6" w14:textId="77777777" w:rsidR="000175D8" w:rsidRPr="003378D8" w:rsidRDefault="000175D8" w:rsidP="00FD7544">
      <w:pPr>
        <w:ind w:left="851"/>
        <w:rPr>
          <w:i/>
          <w:sz w:val="24"/>
          <w:szCs w:val="24"/>
          <w:lang w:val="en-GB"/>
        </w:rPr>
      </w:pPr>
      <w:r w:rsidRPr="003378D8">
        <w:rPr>
          <w:i/>
          <w:sz w:val="24"/>
          <w:szCs w:val="24"/>
          <w:lang w:val="en-GB"/>
        </w:rPr>
        <w:t>Adults with normal renal function</w:t>
      </w:r>
    </w:p>
    <w:p w14:paraId="3115F91B" w14:textId="77777777" w:rsidR="000175D8" w:rsidRPr="003378D8" w:rsidRDefault="000175D8" w:rsidP="00FD7544">
      <w:pPr>
        <w:ind w:left="851"/>
        <w:rPr>
          <w:iCs/>
          <w:sz w:val="24"/>
          <w:szCs w:val="24"/>
          <w:lang w:val="en-GB"/>
        </w:rPr>
      </w:pPr>
      <w:r w:rsidRPr="003378D8">
        <w:rPr>
          <w:iCs/>
          <w:sz w:val="24"/>
          <w:szCs w:val="24"/>
          <w:lang w:val="en-GB"/>
        </w:rPr>
        <w:t>The recommended daily dose is 3-6 mg/kg body weight per day as 1 (preferred) up to 2 single doses (see section 4.4). The treatment period is for a maximum duration of 7 days, with discontinuation usually after 48 to 72 hours of treatment (i.e. when results from antimicrobial susceptibility tests become available).</w:t>
      </w:r>
    </w:p>
    <w:p w14:paraId="330241EC" w14:textId="77777777" w:rsidR="000175D8" w:rsidRPr="003378D8" w:rsidRDefault="000175D8" w:rsidP="00FD7544">
      <w:pPr>
        <w:ind w:left="851"/>
        <w:rPr>
          <w:iCs/>
          <w:sz w:val="24"/>
          <w:szCs w:val="24"/>
          <w:lang w:val="en-GB"/>
        </w:rPr>
      </w:pPr>
      <w:r w:rsidRPr="003378D8">
        <w:rPr>
          <w:iCs/>
          <w:sz w:val="24"/>
          <w:szCs w:val="24"/>
          <w:lang w:val="en-GB"/>
        </w:rPr>
        <w:t>The maximum dose of 6 mg/kg/day is recommended at the start of treatment, in severe infections and/or in cases where there is a risk of infection due to a bacterial strain with reduced sensitivity and with an increased minimum inhibitory concentration (MIC) for gentamicin.</w:t>
      </w:r>
    </w:p>
    <w:p w14:paraId="78A7CEA7" w14:textId="77777777" w:rsidR="000175D8" w:rsidRPr="003378D8" w:rsidRDefault="000175D8" w:rsidP="00FD7544">
      <w:pPr>
        <w:ind w:left="851"/>
        <w:rPr>
          <w:iCs/>
          <w:sz w:val="24"/>
          <w:szCs w:val="24"/>
          <w:lang w:val="en-GB"/>
        </w:rPr>
      </w:pPr>
    </w:p>
    <w:p w14:paraId="58AFC74A" w14:textId="77777777" w:rsidR="000175D8" w:rsidRPr="001F3D04" w:rsidRDefault="000175D8" w:rsidP="00FD7544">
      <w:pPr>
        <w:ind w:left="851"/>
        <w:rPr>
          <w:bCs/>
          <w:sz w:val="24"/>
          <w:szCs w:val="24"/>
          <w:u w:val="single"/>
          <w:lang w:val="en-GB"/>
        </w:rPr>
      </w:pPr>
      <w:r w:rsidRPr="001F3D04">
        <w:rPr>
          <w:bCs/>
          <w:sz w:val="24"/>
          <w:szCs w:val="24"/>
          <w:u w:val="single"/>
          <w:lang w:val="en-GB"/>
        </w:rPr>
        <w:t>Special populations</w:t>
      </w:r>
    </w:p>
    <w:p w14:paraId="6A7D4E01" w14:textId="77777777" w:rsidR="000175D8" w:rsidRPr="001F3D04" w:rsidRDefault="000175D8" w:rsidP="00FD7544">
      <w:pPr>
        <w:ind w:left="851"/>
        <w:rPr>
          <w:i/>
          <w:sz w:val="24"/>
          <w:szCs w:val="24"/>
          <w:u w:val="single"/>
          <w:lang w:val="en-GB"/>
        </w:rPr>
      </w:pPr>
      <w:r w:rsidRPr="001F3D04">
        <w:rPr>
          <w:i/>
          <w:sz w:val="24"/>
          <w:szCs w:val="24"/>
          <w:u w:val="single"/>
          <w:lang w:val="en-GB"/>
        </w:rPr>
        <w:t>Renal impairment</w:t>
      </w:r>
    </w:p>
    <w:p w14:paraId="64265A52" w14:textId="77777777" w:rsidR="000175D8" w:rsidRPr="003378D8" w:rsidRDefault="000175D8" w:rsidP="00FD7544">
      <w:pPr>
        <w:ind w:left="851"/>
        <w:rPr>
          <w:iCs/>
          <w:sz w:val="24"/>
          <w:szCs w:val="24"/>
          <w:lang w:val="en-GB"/>
        </w:rPr>
      </w:pPr>
      <w:r w:rsidRPr="003378D8">
        <w:rPr>
          <w:iCs/>
          <w:sz w:val="24"/>
          <w:szCs w:val="24"/>
          <w:lang w:val="en-GB"/>
        </w:rPr>
        <w:t>Renal function must be monitored during on-going treatment with gentamicin as it may fluctuate compared to initial analyses (i.e. due to gentamicin toxicity or septicaemia).</w:t>
      </w:r>
    </w:p>
    <w:p w14:paraId="2E63F373" w14:textId="77777777" w:rsidR="000175D8" w:rsidRPr="003378D8" w:rsidRDefault="000175D8" w:rsidP="00FD7544">
      <w:pPr>
        <w:ind w:left="851"/>
        <w:rPr>
          <w:iCs/>
          <w:sz w:val="24"/>
          <w:szCs w:val="24"/>
          <w:lang w:val="en-GB"/>
        </w:rPr>
      </w:pPr>
    </w:p>
    <w:p w14:paraId="4B7F5FB0" w14:textId="77777777" w:rsidR="000175D8" w:rsidRPr="003378D8" w:rsidRDefault="000175D8" w:rsidP="00FD7544">
      <w:pPr>
        <w:ind w:left="851"/>
        <w:rPr>
          <w:iCs/>
          <w:sz w:val="24"/>
          <w:szCs w:val="24"/>
          <w:lang w:val="en-GB"/>
        </w:rPr>
      </w:pPr>
      <w:r w:rsidRPr="003378D8">
        <w:rPr>
          <w:iCs/>
          <w:sz w:val="24"/>
          <w:szCs w:val="24"/>
          <w:lang w:val="en-GB"/>
        </w:rPr>
        <w:t xml:space="preserve">In adults with renal impairment the dosage interval should be at least 24 hours and may be increased to 36-48 hours. Since gentamicin is mainly eliminated via the kidneys by glomerular filtration, the elimination rate depends on the patient’s renal function and the recommended daily dose should therefore be adapted to the renal function. If the renal function is decreased and the dose is not decreased and/or the dosage interval is not increased, concentrations may become abnormally high and possibly toxic in blood and tissues due to accumulation. The degree of renal impairment should be controlled by determining serum creatinine and creatinine clearance. Since the effect of aminoglycosides is correlated to </w:t>
      </w:r>
      <w:proofErr w:type="spellStart"/>
      <w:r w:rsidRPr="003378D8">
        <w:rPr>
          <w:iCs/>
          <w:sz w:val="24"/>
          <w:szCs w:val="24"/>
          <w:lang w:val="en-GB"/>
        </w:rPr>
        <w:t>C</w:t>
      </w:r>
      <w:r w:rsidRPr="00A559F5">
        <w:rPr>
          <w:iCs/>
          <w:sz w:val="24"/>
          <w:szCs w:val="24"/>
          <w:vertAlign w:val="subscript"/>
          <w:lang w:val="en-GB"/>
        </w:rPr>
        <w:t>max</w:t>
      </w:r>
      <w:proofErr w:type="spellEnd"/>
      <w:r w:rsidRPr="003378D8">
        <w:rPr>
          <w:iCs/>
          <w:sz w:val="24"/>
          <w:szCs w:val="24"/>
          <w:lang w:val="en-GB"/>
        </w:rPr>
        <w:t xml:space="preserve">, all patients should initially receive a normal dose. In patients with mild and moderate renal impairment, the dosage interval should be based on trough levels, see Monitoring of serum gentamicin concentrations. There is no data to support a recommendation regarding </w:t>
      </w:r>
      <w:r w:rsidRPr="003378D8">
        <w:rPr>
          <w:iCs/>
          <w:sz w:val="24"/>
          <w:szCs w:val="24"/>
          <w:lang w:val="en-GB"/>
        </w:rPr>
        <w:lastRenderedPageBreak/>
        <w:t xml:space="preserve">multiple dose use in patients with severe renal impairment, i.e. when adequate trough values are not obtained within 48 hours. Concentrations of gentamicin in serum should be regularly monitored, see </w:t>
      </w:r>
      <w:r w:rsidRPr="003378D8">
        <w:rPr>
          <w:i/>
          <w:sz w:val="24"/>
          <w:szCs w:val="24"/>
          <w:lang w:val="en-GB"/>
        </w:rPr>
        <w:t>Monitoring of serum gentamicin concentrations</w:t>
      </w:r>
      <w:r w:rsidRPr="003378D8">
        <w:rPr>
          <w:iCs/>
          <w:sz w:val="24"/>
          <w:szCs w:val="24"/>
          <w:lang w:val="en-GB"/>
        </w:rPr>
        <w:t xml:space="preserve">, and </w:t>
      </w:r>
      <w:r w:rsidRPr="003378D8">
        <w:rPr>
          <w:i/>
          <w:iCs/>
          <w:sz w:val="24"/>
          <w:szCs w:val="24"/>
          <w:lang w:val="en-US" w:eastAsia="ja-JP"/>
        </w:rPr>
        <w:t>Impaired renal function</w:t>
      </w:r>
      <w:r w:rsidRPr="003378D8">
        <w:rPr>
          <w:sz w:val="24"/>
          <w:szCs w:val="24"/>
          <w:lang w:val="en-US" w:eastAsia="ja-JP"/>
        </w:rPr>
        <w:t xml:space="preserve"> </w:t>
      </w:r>
      <w:r w:rsidRPr="003378D8">
        <w:rPr>
          <w:iCs/>
          <w:sz w:val="24"/>
          <w:szCs w:val="24"/>
          <w:lang w:val="en-GB"/>
        </w:rPr>
        <w:t>in section 4.4.</w:t>
      </w:r>
    </w:p>
    <w:p w14:paraId="7086C5C4" w14:textId="77777777" w:rsidR="000175D8" w:rsidRPr="003378D8" w:rsidRDefault="000175D8" w:rsidP="00FD7544">
      <w:pPr>
        <w:ind w:left="851"/>
        <w:rPr>
          <w:iCs/>
          <w:sz w:val="24"/>
          <w:szCs w:val="24"/>
          <w:lang w:val="en-GB"/>
        </w:rPr>
      </w:pPr>
      <w:r w:rsidRPr="003378D8">
        <w:rPr>
          <w:iCs/>
          <w:sz w:val="24"/>
          <w:szCs w:val="24"/>
          <w:lang w:val="en-GB"/>
        </w:rPr>
        <w:t xml:space="preserve">There is no dose recommendation for paediatric patients with reduced renal function. </w:t>
      </w:r>
    </w:p>
    <w:p w14:paraId="7D5DE071" w14:textId="77777777" w:rsidR="000175D8" w:rsidRPr="003378D8" w:rsidRDefault="000175D8" w:rsidP="00FD7544">
      <w:pPr>
        <w:ind w:left="851"/>
        <w:rPr>
          <w:iCs/>
          <w:sz w:val="24"/>
          <w:szCs w:val="24"/>
          <w:lang w:val="en-GB"/>
        </w:rPr>
      </w:pPr>
    </w:p>
    <w:p w14:paraId="15785327" w14:textId="77777777" w:rsidR="000175D8" w:rsidRPr="003378D8" w:rsidRDefault="000175D8" w:rsidP="00FD7544">
      <w:pPr>
        <w:ind w:left="851"/>
        <w:rPr>
          <w:i/>
          <w:sz w:val="24"/>
          <w:szCs w:val="24"/>
          <w:lang w:val="en-GB"/>
        </w:rPr>
      </w:pPr>
      <w:r w:rsidRPr="003378D8">
        <w:rPr>
          <w:i/>
          <w:sz w:val="24"/>
          <w:szCs w:val="24"/>
          <w:lang w:val="en-GB"/>
        </w:rPr>
        <w:t>Extension of dosage interval at the normal dose:</w:t>
      </w:r>
    </w:p>
    <w:p w14:paraId="441ABBA3" w14:textId="77777777" w:rsidR="000175D8" w:rsidRPr="003378D8" w:rsidRDefault="000175D8" w:rsidP="00FD7544">
      <w:pPr>
        <w:ind w:left="851"/>
        <w:rPr>
          <w:iCs/>
          <w:sz w:val="24"/>
          <w:szCs w:val="24"/>
          <w:lang w:val="en-GB"/>
        </w:rPr>
      </w:pPr>
      <w:r w:rsidRPr="003378D8">
        <w:rPr>
          <w:iCs/>
          <w:sz w:val="24"/>
          <w:szCs w:val="24"/>
          <w:lang w:val="en-GB"/>
        </w:rPr>
        <w:t>The table below can be used as a reference for selecting a dosing interval in the event of renal impairment:</w:t>
      </w:r>
    </w:p>
    <w:tbl>
      <w:tblPr>
        <w:tblStyle w:val="Tabel-Gitter"/>
        <w:tblW w:w="9016" w:type="dxa"/>
        <w:tblInd w:w="846" w:type="dxa"/>
        <w:tblLook w:val="04A0" w:firstRow="1" w:lastRow="0" w:firstColumn="1" w:lastColumn="0" w:noHBand="0" w:noVBand="1"/>
      </w:tblPr>
      <w:tblGrid>
        <w:gridCol w:w="4508"/>
        <w:gridCol w:w="4508"/>
      </w:tblGrid>
      <w:tr w:rsidR="000175D8" w:rsidRPr="00962C23" w14:paraId="0C083929" w14:textId="77777777" w:rsidTr="00FD7544">
        <w:tc>
          <w:tcPr>
            <w:tcW w:w="4508" w:type="dxa"/>
            <w:tcBorders>
              <w:top w:val="single" w:sz="4" w:space="0" w:color="auto"/>
              <w:left w:val="single" w:sz="4" w:space="0" w:color="auto"/>
              <w:bottom w:val="single" w:sz="4" w:space="0" w:color="auto"/>
              <w:right w:val="single" w:sz="4" w:space="0" w:color="auto"/>
            </w:tcBorders>
            <w:hideMark/>
          </w:tcPr>
          <w:p w14:paraId="509D2618" w14:textId="77777777" w:rsidR="000175D8" w:rsidRPr="003378D8" w:rsidRDefault="000175D8">
            <w:pPr>
              <w:rPr>
                <w:i/>
                <w:sz w:val="24"/>
                <w:szCs w:val="24"/>
                <w:lang w:val="en-GB"/>
              </w:rPr>
            </w:pPr>
            <w:r w:rsidRPr="003378D8">
              <w:rPr>
                <w:i/>
                <w:sz w:val="24"/>
                <w:szCs w:val="24"/>
                <w:lang w:val="en-GB"/>
              </w:rPr>
              <w:t>Creatinine clearance, ml/min</w:t>
            </w:r>
          </w:p>
        </w:tc>
        <w:tc>
          <w:tcPr>
            <w:tcW w:w="4508" w:type="dxa"/>
            <w:tcBorders>
              <w:top w:val="single" w:sz="4" w:space="0" w:color="auto"/>
              <w:left w:val="single" w:sz="4" w:space="0" w:color="auto"/>
              <w:bottom w:val="single" w:sz="4" w:space="0" w:color="auto"/>
              <w:right w:val="single" w:sz="4" w:space="0" w:color="auto"/>
            </w:tcBorders>
            <w:hideMark/>
          </w:tcPr>
          <w:p w14:paraId="37CB444E" w14:textId="77777777" w:rsidR="000175D8" w:rsidRPr="003378D8" w:rsidRDefault="000175D8">
            <w:pPr>
              <w:rPr>
                <w:i/>
                <w:sz w:val="24"/>
                <w:szCs w:val="24"/>
                <w:lang w:val="en-GB"/>
              </w:rPr>
            </w:pPr>
            <w:r w:rsidRPr="003378D8">
              <w:rPr>
                <w:i/>
                <w:sz w:val="24"/>
                <w:szCs w:val="24"/>
                <w:lang w:val="en-GB"/>
              </w:rPr>
              <w:t>Example of the dosing interval in hours</w:t>
            </w:r>
          </w:p>
        </w:tc>
      </w:tr>
      <w:tr w:rsidR="000175D8" w:rsidRPr="003378D8" w14:paraId="01079CE6" w14:textId="77777777" w:rsidTr="00FD7544">
        <w:tc>
          <w:tcPr>
            <w:tcW w:w="4508" w:type="dxa"/>
            <w:tcBorders>
              <w:top w:val="single" w:sz="4" w:space="0" w:color="auto"/>
              <w:left w:val="single" w:sz="4" w:space="0" w:color="auto"/>
              <w:bottom w:val="single" w:sz="4" w:space="0" w:color="auto"/>
              <w:right w:val="single" w:sz="4" w:space="0" w:color="auto"/>
            </w:tcBorders>
            <w:hideMark/>
          </w:tcPr>
          <w:p w14:paraId="32857EAF" w14:textId="77777777" w:rsidR="000175D8" w:rsidRPr="003378D8" w:rsidRDefault="000175D8">
            <w:pPr>
              <w:rPr>
                <w:iCs/>
                <w:sz w:val="24"/>
                <w:szCs w:val="24"/>
                <w:lang w:val="en-GB"/>
              </w:rPr>
            </w:pPr>
            <w:r w:rsidRPr="003378D8">
              <w:rPr>
                <w:iCs/>
                <w:sz w:val="24"/>
                <w:szCs w:val="24"/>
                <w:lang w:val="en-GB"/>
              </w:rPr>
              <w:t>≥60 ml/min</w:t>
            </w:r>
          </w:p>
        </w:tc>
        <w:tc>
          <w:tcPr>
            <w:tcW w:w="4508" w:type="dxa"/>
            <w:tcBorders>
              <w:top w:val="single" w:sz="4" w:space="0" w:color="auto"/>
              <w:left w:val="single" w:sz="4" w:space="0" w:color="auto"/>
              <w:bottom w:val="single" w:sz="4" w:space="0" w:color="auto"/>
              <w:right w:val="single" w:sz="4" w:space="0" w:color="auto"/>
            </w:tcBorders>
            <w:hideMark/>
          </w:tcPr>
          <w:p w14:paraId="4659E088" w14:textId="77777777" w:rsidR="000175D8" w:rsidRPr="003378D8" w:rsidRDefault="000175D8">
            <w:pPr>
              <w:rPr>
                <w:iCs/>
                <w:sz w:val="24"/>
                <w:szCs w:val="24"/>
                <w:lang w:val="en-GB"/>
              </w:rPr>
            </w:pPr>
            <w:r w:rsidRPr="003378D8">
              <w:rPr>
                <w:iCs/>
                <w:sz w:val="24"/>
                <w:szCs w:val="24"/>
                <w:lang w:val="en-GB"/>
              </w:rPr>
              <w:t>24</w:t>
            </w:r>
          </w:p>
        </w:tc>
      </w:tr>
      <w:tr w:rsidR="000175D8" w:rsidRPr="003378D8" w14:paraId="7E186BCA" w14:textId="77777777" w:rsidTr="00FD7544">
        <w:tc>
          <w:tcPr>
            <w:tcW w:w="4508" w:type="dxa"/>
            <w:tcBorders>
              <w:top w:val="single" w:sz="4" w:space="0" w:color="auto"/>
              <w:left w:val="single" w:sz="4" w:space="0" w:color="auto"/>
              <w:bottom w:val="single" w:sz="4" w:space="0" w:color="auto"/>
              <w:right w:val="single" w:sz="4" w:space="0" w:color="auto"/>
            </w:tcBorders>
            <w:hideMark/>
          </w:tcPr>
          <w:p w14:paraId="1C1ACEB7" w14:textId="77777777" w:rsidR="000175D8" w:rsidRPr="003378D8" w:rsidRDefault="000175D8">
            <w:pPr>
              <w:rPr>
                <w:iCs/>
                <w:sz w:val="24"/>
                <w:szCs w:val="24"/>
                <w:lang w:val="en-GB"/>
              </w:rPr>
            </w:pPr>
            <w:r w:rsidRPr="003378D8">
              <w:rPr>
                <w:iCs/>
                <w:sz w:val="24"/>
                <w:szCs w:val="24"/>
                <w:lang w:val="en-GB"/>
              </w:rPr>
              <w:t>59-40 ml/min</w:t>
            </w:r>
          </w:p>
        </w:tc>
        <w:tc>
          <w:tcPr>
            <w:tcW w:w="4508" w:type="dxa"/>
            <w:tcBorders>
              <w:top w:val="single" w:sz="4" w:space="0" w:color="auto"/>
              <w:left w:val="single" w:sz="4" w:space="0" w:color="auto"/>
              <w:bottom w:val="single" w:sz="4" w:space="0" w:color="auto"/>
              <w:right w:val="single" w:sz="4" w:space="0" w:color="auto"/>
            </w:tcBorders>
            <w:hideMark/>
          </w:tcPr>
          <w:p w14:paraId="4B790DEF" w14:textId="77777777" w:rsidR="000175D8" w:rsidRPr="003378D8" w:rsidRDefault="000175D8">
            <w:pPr>
              <w:rPr>
                <w:iCs/>
                <w:sz w:val="24"/>
                <w:szCs w:val="24"/>
                <w:lang w:val="en-GB"/>
              </w:rPr>
            </w:pPr>
            <w:r w:rsidRPr="003378D8">
              <w:rPr>
                <w:iCs/>
                <w:sz w:val="24"/>
                <w:szCs w:val="24"/>
                <w:lang w:val="en-GB"/>
              </w:rPr>
              <w:t>36</w:t>
            </w:r>
          </w:p>
        </w:tc>
      </w:tr>
      <w:tr w:rsidR="000175D8" w:rsidRPr="003378D8" w14:paraId="6656C6F9" w14:textId="77777777" w:rsidTr="00FD7544">
        <w:tc>
          <w:tcPr>
            <w:tcW w:w="4508" w:type="dxa"/>
            <w:tcBorders>
              <w:top w:val="single" w:sz="4" w:space="0" w:color="auto"/>
              <w:left w:val="single" w:sz="4" w:space="0" w:color="auto"/>
              <w:bottom w:val="single" w:sz="4" w:space="0" w:color="auto"/>
              <w:right w:val="single" w:sz="4" w:space="0" w:color="auto"/>
            </w:tcBorders>
            <w:hideMark/>
          </w:tcPr>
          <w:p w14:paraId="09EC245D" w14:textId="77777777" w:rsidR="000175D8" w:rsidRPr="003378D8" w:rsidRDefault="000175D8">
            <w:pPr>
              <w:rPr>
                <w:iCs/>
                <w:sz w:val="24"/>
                <w:szCs w:val="24"/>
                <w:lang w:val="en-GB"/>
              </w:rPr>
            </w:pPr>
            <w:r w:rsidRPr="003378D8">
              <w:rPr>
                <w:iCs/>
                <w:sz w:val="24"/>
                <w:szCs w:val="24"/>
                <w:lang w:val="en-GB"/>
              </w:rPr>
              <w:t>30-39 ml/min</w:t>
            </w:r>
          </w:p>
        </w:tc>
        <w:tc>
          <w:tcPr>
            <w:tcW w:w="4508" w:type="dxa"/>
            <w:tcBorders>
              <w:top w:val="single" w:sz="4" w:space="0" w:color="auto"/>
              <w:left w:val="single" w:sz="4" w:space="0" w:color="auto"/>
              <w:bottom w:val="single" w:sz="4" w:space="0" w:color="auto"/>
              <w:right w:val="single" w:sz="4" w:space="0" w:color="auto"/>
            </w:tcBorders>
            <w:hideMark/>
          </w:tcPr>
          <w:p w14:paraId="433BC08D" w14:textId="77777777" w:rsidR="000175D8" w:rsidRPr="003378D8" w:rsidRDefault="000175D8">
            <w:pPr>
              <w:rPr>
                <w:iCs/>
                <w:sz w:val="24"/>
                <w:szCs w:val="24"/>
                <w:lang w:val="en-GB"/>
              </w:rPr>
            </w:pPr>
            <w:r w:rsidRPr="003378D8">
              <w:rPr>
                <w:iCs/>
                <w:sz w:val="24"/>
                <w:szCs w:val="24"/>
                <w:lang w:val="en-GB"/>
              </w:rPr>
              <w:t>48</w:t>
            </w:r>
          </w:p>
        </w:tc>
      </w:tr>
      <w:tr w:rsidR="000175D8" w:rsidRPr="003378D8" w14:paraId="12993328" w14:textId="77777777" w:rsidTr="00FD7544">
        <w:tc>
          <w:tcPr>
            <w:tcW w:w="4508" w:type="dxa"/>
            <w:tcBorders>
              <w:top w:val="single" w:sz="4" w:space="0" w:color="auto"/>
              <w:left w:val="single" w:sz="4" w:space="0" w:color="auto"/>
              <w:bottom w:val="single" w:sz="4" w:space="0" w:color="auto"/>
              <w:right w:val="single" w:sz="4" w:space="0" w:color="auto"/>
            </w:tcBorders>
            <w:hideMark/>
          </w:tcPr>
          <w:p w14:paraId="2A1C31EC" w14:textId="77777777" w:rsidR="000175D8" w:rsidRPr="003378D8" w:rsidRDefault="000175D8">
            <w:pPr>
              <w:rPr>
                <w:iCs/>
                <w:sz w:val="24"/>
                <w:szCs w:val="24"/>
                <w:lang w:val="en-GB"/>
              </w:rPr>
            </w:pPr>
            <w:r w:rsidRPr="003378D8">
              <w:rPr>
                <w:iCs/>
                <w:sz w:val="24"/>
                <w:szCs w:val="24"/>
                <w:lang w:val="en-GB"/>
              </w:rPr>
              <w:t>&lt;30 ml/min</w:t>
            </w:r>
          </w:p>
        </w:tc>
        <w:tc>
          <w:tcPr>
            <w:tcW w:w="4508" w:type="dxa"/>
            <w:tcBorders>
              <w:top w:val="single" w:sz="4" w:space="0" w:color="auto"/>
              <w:left w:val="single" w:sz="4" w:space="0" w:color="auto"/>
              <w:bottom w:val="single" w:sz="4" w:space="0" w:color="auto"/>
              <w:right w:val="single" w:sz="4" w:space="0" w:color="auto"/>
            </w:tcBorders>
            <w:hideMark/>
          </w:tcPr>
          <w:p w14:paraId="16B4010E" w14:textId="77777777" w:rsidR="000175D8" w:rsidRPr="003378D8" w:rsidRDefault="000175D8">
            <w:pPr>
              <w:rPr>
                <w:iCs/>
                <w:sz w:val="24"/>
                <w:szCs w:val="24"/>
                <w:lang w:val="en-GB"/>
              </w:rPr>
            </w:pPr>
            <w:r w:rsidRPr="003378D8">
              <w:rPr>
                <w:iCs/>
                <w:sz w:val="24"/>
                <w:szCs w:val="24"/>
                <w:lang w:val="en-GB"/>
              </w:rPr>
              <w:t>Use is not recommended</w:t>
            </w:r>
          </w:p>
        </w:tc>
      </w:tr>
    </w:tbl>
    <w:p w14:paraId="1A4C3A6F" w14:textId="77777777" w:rsidR="000175D8" w:rsidRPr="003378D8" w:rsidRDefault="000175D8" w:rsidP="00FD7544">
      <w:pPr>
        <w:ind w:left="851"/>
        <w:rPr>
          <w:sz w:val="24"/>
          <w:szCs w:val="24"/>
          <w:lang w:val="en-GB" w:eastAsia="en-US"/>
        </w:rPr>
      </w:pPr>
    </w:p>
    <w:p w14:paraId="796A70F0" w14:textId="77777777" w:rsidR="000175D8" w:rsidRPr="003378D8" w:rsidRDefault="000175D8" w:rsidP="00FD7544">
      <w:pPr>
        <w:ind w:left="851"/>
        <w:rPr>
          <w:i/>
          <w:sz w:val="24"/>
          <w:szCs w:val="24"/>
          <w:lang w:val="en-GB"/>
        </w:rPr>
      </w:pPr>
      <w:r w:rsidRPr="003378D8">
        <w:rPr>
          <w:i/>
          <w:sz w:val="24"/>
          <w:szCs w:val="24"/>
          <w:lang w:val="en-GB"/>
        </w:rPr>
        <w:t>Patients on haemodialysis</w:t>
      </w:r>
    </w:p>
    <w:p w14:paraId="037BA55F" w14:textId="77777777" w:rsidR="000175D8" w:rsidRPr="003378D8" w:rsidRDefault="000175D8" w:rsidP="00FD7544">
      <w:pPr>
        <w:ind w:left="851"/>
        <w:rPr>
          <w:sz w:val="24"/>
          <w:szCs w:val="24"/>
          <w:lang w:val="en-GB"/>
        </w:rPr>
      </w:pPr>
      <w:r w:rsidRPr="003378D8">
        <w:rPr>
          <w:sz w:val="24"/>
          <w:szCs w:val="24"/>
          <w:lang w:val="en-GB"/>
        </w:rPr>
        <w:t>Documentation to support dosage in patients receiving haemodialysis is limited. Usually a dose of 1-1.7 mg/kg is given at the end of each dialysis, depending on the severity of the infection.</w:t>
      </w:r>
      <w:bookmarkStart w:id="2" w:name="_Hlk213446383"/>
    </w:p>
    <w:p w14:paraId="3983DC7E" w14:textId="77777777" w:rsidR="000175D8" w:rsidRPr="003378D8" w:rsidRDefault="000175D8" w:rsidP="00FD7544">
      <w:pPr>
        <w:ind w:left="851"/>
        <w:rPr>
          <w:sz w:val="24"/>
          <w:szCs w:val="24"/>
          <w:lang w:val="en-GB"/>
        </w:rPr>
      </w:pPr>
      <w:r w:rsidRPr="003378D8">
        <w:rPr>
          <w:sz w:val="24"/>
          <w:szCs w:val="24"/>
          <w:lang w:val="en-US"/>
        </w:rPr>
        <w:t>No data supporting the correct dose in children after hemodialysis is available.</w:t>
      </w:r>
    </w:p>
    <w:bookmarkEnd w:id="2"/>
    <w:p w14:paraId="12AEA358" w14:textId="77777777" w:rsidR="000175D8" w:rsidRPr="003378D8" w:rsidRDefault="000175D8" w:rsidP="00FD7544">
      <w:pPr>
        <w:ind w:left="851"/>
        <w:rPr>
          <w:sz w:val="24"/>
          <w:szCs w:val="24"/>
          <w:lang w:val="en-US"/>
        </w:rPr>
      </w:pPr>
    </w:p>
    <w:p w14:paraId="50BD2B14" w14:textId="77777777" w:rsidR="000175D8" w:rsidRPr="003378D8" w:rsidRDefault="000175D8" w:rsidP="00FD7544">
      <w:pPr>
        <w:ind w:left="851"/>
        <w:rPr>
          <w:i/>
          <w:sz w:val="24"/>
          <w:szCs w:val="24"/>
          <w:lang w:val="en-GB"/>
        </w:rPr>
      </w:pPr>
      <w:r w:rsidRPr="003378D8">
        <w:rPr>
          <w:i/>
          <w:sz w:val="24"/>
          <w:szCs w:val="24"/>
          <w:lang w:val="en-GB"/>
        </w:rPr>
        <w:t>Hepatic impairment</w:t>
      </w:r>
    </w:p>
    <w:p w14:paraId="042A7C61" w14:textId="77777777" w:rsidR="000175D8" w:rsidRPr="003378D8" w:rsidRDefault="000175D8" w:rsidP="00FD7544">
      <w:pPr>
        <w:ind w:left="851"/>
        <w:rPr>
          <w:sz w:val="24"/>
          <w:szCs w:val="24"/>
          <w:lang w:val="en-GB"/>
        </w:rPr>
      </w:pPr>
      <w:r w:rsidRPr="003378D8">
        <w:rPr>
          <w:sz w:val="24"/>
          <w:szCs w:val="24"/>
          <w:lang w:val="en-GB"/>
        </w:rPr>
        <w:t>No dose adjustment is necessary.</w:t>
      </w:r>
    </w:p>
    <w:p w14:paraId="6CF24E1B" w14:textId="77777777" w:rsidR="000175D8" w:rsidRPr="003378D8" w:rsidRDefault="000175D8" w:rsidP="00FD7544">
      <w:pPr>
        <w:ind w:left="851"/>
        <w:rPr>
          <w:sz w:val="24"/>
          <w:szCs w:val="24"/>
          <w:lang w:val="en-GB"/>
        </w:rPr>
      </w:pPr>
    </w:p>
    <w:p w14:paraId="26AB5CD8" w14:textId="77777777" w:rsidR="000175D8" w:rsidRPr="003378D8" w:rsidRDefault="000175D8" w:rsidP="00FD7544">
      <w:pPr>
        <w:ind w:left="851"/>
        <w:rPr>
          <w:i/>
          <w:sz w:val="24"/>
          <w:szCs w:val="24"/>
          <w:lang w:val="en-GB"/>
        </w:rPr>
      </w:pPr>
      <w:r w:rsidRPr="003378D8">
        <w:rPr>
          <w:i/>
          <w:sz w:val="24"/>
          <w:szCs w:val="24"/>
          <w:lang w:val="en-GB"/>
        </w:rPr>
        <w:t>Elderly</w:t>
      </w:r>
    </w:p>
    <w:p w14:paraId="171587D6" w14:textId="77777777" w:rsidR="000175D8" w:rsidRPr="003378D8" w:rsidRDefault="000175D8" w:rsidP="00FD7544">
      <w:pPr>
        <w:ind w:left="851"/>
        <w:rPr>
          <w:sz w:val="24"/>
          <w:szCs w:val="24"/>
          <w:lang w:val="en-GB"/>
        </w:rPr>
      </w:pPr>
      <w:r w:rsidRPr="003378D8">
        <w:rPr>
          <w:sz w:val="24"/>
          <w:szCs w:val="24"/>
          <w:lang w:val="en-GB"/>
        </w:rPr>
        <w:t>Elderly patients may be more susceptible to aminoglycoside toxicity whether secondary to previous auditory/vestibular impairment or borderline renal dysfunction. Accordingly, therapy should be closely monitored by frequent determination of gentamicin serum levels, assessment of renal function and signs of ototoxicity.</w:t>
      </w:r>
    </w:p>
    <w:p w14:paraId="3008ED84" w14:textId="77777777" w:rsidR="000175D8" w:rsidRPr="003378D8" w:rsidRDefault="000175D8" w:rsidP="00FD7544">
      <w:pPr>
        <w:ind w:left="851"/>
        <w:rPr>
          <w:sz w:val="24"/>
          <w:szCs w:val="24"/>
          <w:lang w:val="en-GB"/>
        </w:rPr>
      </w:pPr>
      <w:r w:rsidRPr="003378D8">
        <w:rPr>
          <w:sz w:val="24"/>
          <w:szCs w:val="24"/>
          <w:lang w:val="en-GB"/>
        </w:rPr>
        <w:t xml:space="preserve">If renal function is impaired the daily recommended dose or the dosing interval should be adjusted (see </w:t>
      </w:r>
      <w:r w:rsidRPr="003378D8">
        <w:rPr>
          <w:i/>
          <w:sz w:val="24"/>
          <w:szCs w:val="24"/>
          <w:lang w:val="en-GB"/>
        </w:rPr>
        <w:t>Renal impairment</w:t>
      </w:r>
      <w:r w:rsidRPr="003378D8">
        <w:rPr>
          <w:sz w:val="24"/>
          <w:szCs w:val="24"/>
          <w:lang w:val="en-GB"/>
        </w:rPr>
        <w:t>).</w:t>
      </w:r>
    </w:p>
    <w:p w14:paraId="618CB373" w14:textId="77777777" w:rsidR="000175D8" w:rsidRPr="003378D8" w:rsidRDefault="000175D8" w:rsidP="00FD7544">
      <w:pPr>
        <w:ind w:left="851"/>
        <w:rPr>
          <w:i/>
          <w:sz w:val="24"/>
          <w:szCs w:val="24"/>
          <w:lang w:val="en-US" w:eastAsia="ja-JP"/>
        </w:rPr>
      </w:pPr>
      <w:r w:rsidRPr="003378D8">
        <w:rPr>
          <w:sz w:val="24"/>
          <w:szCs w:val="24"/>
          <w:lang w:val="en-GB"/>
        </w:rPr>
        <w:t xml:space="preserve">For more information see also </w:t>
      </w:r>
      <w:r w:rsidRPr="003378D8">
        <w:rPr>
          <w:i/>
          <w:sz w:val="24"/>
          <w:szCs w:val="24"/>
          <w:lang w:val="en-GB"/>
        </w:rPr>
        <w:t>Monitoring of serum gentamicin concentrations</w:t>
      </w:r>
      <w:r w:rsidRPr="003378D8">
        <w:rPr>
          <w:sz w:val="24"/>
          <w:szCs w:val="24"/>
          <w:lang w:val="en-GB"/>
        </w:rPr>
        <w:t xml:space="preserve">, and </w:t>
      </w:r>
      <w:r w:rsidRPr="003378D8">
        <w:rPr>
          <w:i/>
          <w:sz w:val="24"/>
          <w:szCs w:val="24"/>
          <w:lang w:val="en-US" w:eastAsia="ja-JP"/>
        </w:rPr>
        <w:t>Elderly</w:t>
      </w:r>
      <w:r w:rsidRPr="003378D8">
        <w:rPr>
          <w:sz w:val="24"/>
          <w:szCs w:val="24"/>
          <w:lang w:val="en-GB"/>
        </w:rPr>
        <w:t xml:space="preserve"> in section 4.4.</w:t>
      </w:r>
    </w:p>
    <w:p w14:paraId="6DCD1C17" w14:textId="77777777" w:rsidR="000175D8" w:rsidRPr="003378D8" w:rsidRDefault="000175D8" w:rsidP="00FD7544">
      <w:pPr>
        <w:ind w:left="851"/>
        <w:rPr>
          <w:sz w:val="24"/>
          <w:szCs w:val="24"/>
          <w:lang w:val="en-GB" w:eastAsia="en-US"/>
        </w:rPr>
      </w:pPr>
    </w:p>
    <w:p w14:paraId="70BB8BF9" w14:textId="77777777" w:rsidR="000175D8" w:rsidRPr="003378D8" w:rsidRDefault="000175D8" w:rsidP="00FD7544">
      <w:pPr>
        <w:ind w:left="851"/>
        <w:rPr>
          <w:bCs/>
          <w:i/>
          <w:sz w:val="24"/>
          <w:szCs w:val="24"/>
          <w:u w:val="single"/>
          <w:lang w:val="en-GB"/>
        </w:rPr>
      </w:pPr>
      <w:r w:rsidRPr="003378D8">
        <w:rPr>
          <w:bCs/>
          <w:i/>
          <w:sz w:val="24"/>
          <w:szCs w:val="24"/>
          <w:u w:val="single"/>
          <w:lang w:val="en-GB"/>
        </w:rPr>
        <w:t>Paediatric population</w:t>
      </w:r>
    </w:p>
    <w:p w14:paraId="65F5C5C4" w14:textId="77777777" w:rsidR="000175D8" w:rsidRPr="003378D8" w:rsidRDefault="000175D8" w:rsidP="00FD7544">
      <w:pPr>
        <w:ind w:left="851"/>
        <w:rPr>
          <w:i/>
          <w:sz w:val="24"/>
          <w:szCs w:val="24"/>
          <w:lang w:val="en-GB"/>
        </w:rPr>
      </w:pPr>
      <w:r w:rsidRPr="003378D8">
        <w:rPr>
          <w:i/>
          <w:sz w:val="24"/>
          <w:szCs w:val="24"/>
          <w:lang w:val="en-GB"/>
        </w:rPr>
        <w:t>Children</w:t>
      </w:r>
      <w:r w:rsidRPr="003378D8">
        <w:rPr>
          <w:sz w:val="24"/>
          <w:szCs w:val="24"/>
          <w:lang w:val="en-GB"/>
        </w:rPr>
        <w:t xml:space="preserve"> </w:t>
      </w:r>
      <w:r w:rsidRPr="003378D8">
        <w:rPr>
          <w:i/>
          <w:sz w:val="24"/>
          <w:szCs w:val="24"/>
          <w:lang w:val="en-GB"/>
        </w:rPr>
        <w:t>and adolescents</w:t>
      </w:r>
      <w:r w:rsidRPr="003378D8">
        <w:rPr>
          <w:sz w:val="24"/>
          <w:szCs w:val="24"/>
          <w:lang w:val="en-GB"/>
        </w:rPr>
        <w:t xml:space="preserve"> </w:t>
      </w:r>
      <w:r w:rsidRPr="003378D8">
        <w:rPr>
          <w:i/>
          <w:sz w:val="24"/>
          <w:szCs w:val="24"/>
          <w:lang w:val="en-GB"/>
        </w:rPr>
        <w:t xml:space="preserve">with normal renal function </w:t>
      </w:r>
      <w:r w:rsidRPr="003378D8">
        <w:rPr>
          <w:sz w:val="24"/>
          <w:szCs w:val="24"/>
          <w:lang w:val="en-US"/>
        </w:rPr>
        <w:t>(</w:t>
      </w:r>
      <w:r w:rsidRPr="003378D8">
        <w:rPr>
          <w:i/>
          <w:sz w:val="24"/>
          <w:szCs w:val="24"/>
          <w:lang w:val="en-GB"/>
        </w:rPr>
        <w:t>aged 1-18 years)</w:t>
      </w:r>
    </w:p>
    <w:p w14:paraId="20B0E937" w14:textId="77777777" w:rsidR="000175D8" w:rsidRPr="003378D8" w:rsidRDefault="000175D8" w:rsidP="00FD7544">
      <w:pPr>
        <w:ind w:left="851"/>
        <w:rPr>
          <w:sz w:val="24"/>
          <w:szCs w:val="24"/>
          <w:lang w:val="en-GB"/>
        </w:rPr>
      </w:pPr>
      <w:r w:rsidRPr="003378D8">
        <w:rPr>
          <w:sz w:val="24"/>
          <w:szCs w:val="24"/>
          <w:lang w:val="en-GB"/>
        </w:rPr>
        <w:t>The recommended daily dose is 3-6 mg/kg body weight per day as 1 (preferred) up to 2 single doses.</w:t>
      </w:r>
    </w:p>
    <w:p w14:paraId="3DEFA3DE" w14:textId="77777777" w:rsidR="000175D8" w:rsidRPr="003378D8" w:rsidRDefault="000175D8" w:rsidP="00FD7544">
      <w:pPr>
        <w:ind w:left="851"/>
        <w:rPr>
          <w:sz w:val="24"/>
          <w:szCs w:val="24"/>
          <w:lang w:val="en-GB"/>
        </w:rPr>
      </w:pPr>
    </w:p>
    <w:p w14:paraId="2D6E6107" w14:textId="77777777" w:rsidR="000175D8" w:rsidRPr="003378D8" w:rsidRDefault="000175D8" w:rsidP="00FD7544">
      <w:pPr>
        <w:ind w:left="851"/>
        <w:rPr>
          <w:i/>
          <w:sz w:val="24"/>
          <w:szCs w:val="24"/>
          <w:lang w:val="en-GB"/>
        </w:rPr>
      </w:pPr>
      <w:r w:rsidRPr="003378D8">
        <w:rPr>
          <w:i/>
          <w:sz w:val="24"/>
          <w:szCs w:val="24"/>
          <w:lang w:val="en-GB"/>
        </w:rPr>
        <w:t>Infants (aged 1-12 months) and neonates (aged 0-4 weeks old)</w:t>
      </w:r>
    </w:p>
    <w:p w14:paraId="7E8D1A2A" w14:textId="77777777" w:rsidR="000175D8" w:rsidRPr="003378D8" w:rsidRDefault="000175D8" w:rsidP="00FD7544">
      <w:pPr>
        <w:ind w:left="851"/>
        <w:rPr>
          <w:sz w:val="24"/>
          <w:szCs w:val="24"/>
          <w:lang w:val="en-GB"/>
        </w:rPr>
      </w:pPr>
      <w:r w:rsidRPr="003378D8">
        <w:rPr>
          <w:sz w:val="24"/>
          <w:szCs w:val="24"/>
          <w:lang w:val="en-GB"/>
        </w:rPr>
        <w:t>The daily dose in infants after the first month of life is 4.5-7.5 mg/kg body weight per day as 1 (preferred) up to 2 single doses.</w:t>
      </w:r>
    </w:p>
    <w:p w14:paraId="0631A82F" w14:textId="77777777" w:rsidR="000175D8" w:rsidRPr="003378D8" w:rsidRDefault="000175D8" w:rsidP="00FD7544">
      <w:pPr>
        <w:ind w:left="851"/>
        <w:rPr>
          <w:sz w:val="24"/>
          <w:szCs w:val="24"/>
          <w:lang w:val="en-GB"/>
        </w:rPr>
      </w:pPr>
      <w:r w:rsidRPr="003378D8">
        <w:rPr>
          <w:sz w:val="24"/>
          <w:szCs w:val="24"/>
          <w:lang w:val="en-GB"/>
        </w:rPr>
        <w:t>The daily dose in neonates is 4-7 mg/kg body weight per day. Due to the longer half-life, neonates are given the required daily dose in 1 single dose.</w:t>
      </w:r>
    </w:p>
    <w:p w14:paraId="3A0DCE58" w14:textId="77777777" w:rsidR="000175D8" w:rsidRPr="003378D8" w:rsidRDefault="000175D8" w:rsidP="00FD7544">
      <w:pPr>
        <w:ind w:left="851"/>
        <w:rPr>
          <w:sz w:val="24"/>
          <w:szCs w:val="24"/>
          <w:lang w:val="en-GB"/>
        </w:rPr>
      </w:pPr>
    </w:p>
    <w:p w14:paraId="3EB1D372" w14:textId="77777777" w:rsidR="000175D8" w:rsidRPr="003378D8" w:rsidRDefault="000175D8" w:rsidP="00FD7544">
      <w:pPr>
        <w:ind w:left="851"/>
        <w:rPr>
          <w:sz w:val="24"/>
          <w:szCs w:val="24"/>
          <w:lang w:val="en-GB"/>
        </w:rPr>
      </w:pPr>
      <w:r w:rsidRPr="003378D8">
        <w:rPr>
          <w:sz w:val="24"/>
          <w:szCs w:val="24"/>
          <w:lang w:val="en-GB"/>
        </w:rPr>
        <w:t xml:space="preserve">In impaired renal function, the recommended daily dose has to be decreased and adjusted to the renal function. </w:t>
      </w:r>
    </w:p>
    <w:p w14:paraId="47098F36" w14:textId="77777777" w:rsidR="000175D8" w:rsidRPr="003378D8" w:rsidRDefault="000175D8" w:rsidP="00FD7544">
      <w:pPr>
        <w:ind w:left="851"/>
        <w:rPr>
          <w:sz w:val="24"/>
          <w:szCs w:val="24"/>
          <w:lang w:val="en-GB"/>
        </w:rPr>
      </w:pPr>
    </w:p>
    <w:p w14:paraId="54C7D971" w14:textId="77777777" w:rsidR="000175D8" w:rsidRPr="003378D8" w:rsidRDefault="000175D8" w:rsidP="00FD7544">
      <w:pPr>
        <w:ind w:left="851"/>
        <w:rPr>
          <w:i/>
          <w:sz w:val="24"/>
          <w:szCs w:val="24"/>
          <w:lang w:val="en-US" w:eastAsia="ja-JP"/>
        </w:rPr>
      </w:pPr>
      <w:r w:rsidRPr="003378D8">
        <w:rPr>
          <w:sz w:val="24"/>
          <w:szCs w:val="24"/>
          <w:lang w:val="en-GB"/>
        </w:rPr>
        <w:t xml:space="preserve">For more information see also </w:t>
      </w:r>
      <w:r w:rsidRPr="003378D8">
        <w:rPr>
          <w:i/>
          <w:sz w:val="24"/>
          <w:szCs w:val="24"/>
          <w:lang w:val="en-GB"/>
        </w:rPr>
        <w:t>Monitoring of serum gentamicin concentrations</w:t>
      </w:r>
      <w:r w:rsidRPr="003378D8">
        <w:rPr>
          <w:sz w:val="24"/>
          <w:szCs w:val="24"/>
          <w:lang w:val="en-GB"/>
        </w:rPr>
        <w:t>, and sections 4.3, 4.4 and 5.2.</w:t>
      </w:r>
    </w:p>
    <w:p w14:paraId="11EDA131" w14:textId="77777777" w:rsidR="000175D8" w:rsidRPr="003378D8" w:rsidRDefault="000175D8" w:rsidP="00FD7544">
      <w:pPr>
        <w:ind w:left="851"/>
        <w:rPr>
          <w:sz w:val="24"/>
          <w:szCs w:val="24"/>
          <w:lang w:val="en-GB" w:eastAsia="en-US"/>
        </w:rPr>
      </w:pPr>
    </w:p>
    <w:p w14:paraId="644D7FCF" w14:textId="77777777" w:rsidR="000175D8" w:rsidRPr="003378D8" w:rsidRDefault="000175D8" w:rsidP="00FD7544">
      <w:pPr>
        <w:ind w:left="851"/>
        <w:rPr>
          <w:i/>
          <w:sz w:val="24"/>
          <w:szCs w:val="24"/>
          <w:lang w:val="en-GB"/>
        </w:rPr>
      </w:pPr>
      <w:r w:rsidRPr="003378D8">
        <w:rPr>
          <w:i/>
          <w:sz w:val="24"/>
          <w:szCs w:val="24"/>
          <w:lang w:val="en-GB"/>
        </w:rPr>
        <w:lastRenderedPageBreak/>
        <w:t>Obese patients</w:t>
      </w:r>
    </w:p>
    <w:p w14:paraId="0C2D0C15" w14:textId="77777777" w:rsidR="000175D8" w:rsidRPr="003378D8" w:rsidRDefault="000175D8" w:rsidP="00FD7544">
      <w:pPr>
        <w:ind w:left="851"/>
        <w:rPr>
          <w:sz w:val="24"/>
          <w:szCs w:val="24"/>
          <w:lang w:val="en-GB"/>
        </w:rPr>
      </w:pPr>
      <w:r w:rsidRPr="003378D8">
        <w:rPr>
          <w:sz w:val="24"/>
          <w:szCs w:val="24"/>
          <w:lang w:val="en-GB"/>
        </w:rPr>
        <w:t>The initial dose should be based on ideal body weight plus 40% of weight excess.</w:t>
      </w:r>
    </w:p>
    <w:p w14:paraId="373539FA" w14:textId="77777777" w:rsidR="000175D8" w:rsidRPr="003378D8" w:rsidRDefault="000175D8" w:rsidP="00FD7544">
      <w:pPr>
        <w:ind w:left="851"/>
        <w:rPr>
          <w:sz w:val="24"/>
          <w:szCs w:val="24"/>
          <w:lang w:val="en-GB"/>
        </w:rPr>
      </w:pPr>
      <w:r w:rsidRPr="003378D8">
        <w:rPr>
          <w:sz w:val="24"/>
          <w:szCs w:val="24"/>
          <w:lang w:val="en-GB"/>
        </w:rPr>
        <w:t xml:space="preserve">Drug concentrations should be monitored, see also section 4.4 and </w:t>
      </w:r>
      <w:r w:rsidRPr="003378D8">
        <w:rPr>
          <w:i/>
          <w:sz w:val="24"/>
          <w:szCs w:val="24"/>
          <w:lang w:val="en-GB"/>
        </w:rPr>
        <w:t>Monitoring of serum gentamicin concentration</w:t>
      </w:r>
      <w:r w:rsidRPr="003378D8">
        <w:rPr>
          <w:sz w:val="24"/>
          <w:szCs w:val="24"/>
          <w:lang w:val="en-GB"/>
        </w:rPr>
        <w:t>.</w:t>
      </w:r>
    </w:p>
    <w:p w14:paraId="0FFDF614" w14:textId="77777777" w:rsidR="000175D8" w:rsidRPr="003378D8" w:rsidRDefault="000175D8" w:rsidP="00FD7544">
      <w:pPr>
        <w:ind w:left="851"/>
        <w:rPr>
          <w:sz w:val="24"/>
          <w:szCs w:val="24"/>
          <w:lang w:val="en-GB"/>
        </w:rPr>
      </w:pPr>
    </w:p>
    <w:p w14:paraId="1CD610F8" w14:textId="77777777" w:rsidR="000175D8" w:rsidRPr="003378D8" w:rsidRDefault="000175D8" w:rsidP="00FD7544">
      <w:pPr>
        <w:ind w:left="851"/>
        <w:rPr>
          <w:sz w:val="24"/>
          <w:szCs w:val="24"/>
          <w:lang w:val="en-GB"/>
        </w:rPr>
      </w:pPr>
      <w:r w:rsidRPr="003378D8">
        <w:rPr>
          <w:sz w:val="24"/>
          <w:szCs w:val="24"/>
          <w:lang w:val="en-GB"/>
        </w:rPr>
        <w:t>The dose in mg/kg must be calculated according to adjusted body weight:</w:t>
      </w:r>
    </w:p>
    <w:p w14:paraId="5B55BA4E" w14:textId="77777777" w:rsidR="000175D8" w:rsidRPr="003378D8" w:rsidRDefault="000175D8" w:rsidP="00FD7544">
      <w:pPr>
        <w:ind w:left="851"/>
        <w:rPr>
          <w:sz w:val="24"/>
          <w:szCs w:val="24"/>
          <w:lang w:val="en-GB"/>
        </w:rPr>
      </w:pPr>
      <w:r w:rsidRPr="003378D8">
        <w:rPr>
          <w:sz w:val="24"/>
          <w:szCs w:val="24"/>
          <w:lang w:val="en-GB"/>
        </w:rPr>
        <w:t>Adjusted body weight = ideal weight + 0.43 x excess weight</w:t>
      </w:r>
    </w:p>
    <w:p w14:paraId="02D935BB" w14:textId="77777777" w:rsidR="000175D8" w:rsidRPr="003378D8" w:rsidRDefault="000175D8" w:rsidP="00FD7544">
      <w:pPr>
        <w:ind w:left="851"/>
        <w:rPr>
          <w:sz w:val="24"/>
          <w:szCs w:val="24"/>
          <w:lang w:val="en-GB"/>
        </w:rPr>
      </w:pPr>
      <w:r w:rsidRPr="003378D8">
        <w:rPr>
          <w:sz w:val="24"/>
          <w:szCs w:val="24"/>
          <w:lang w:val="en-GB"/>
        </w:rPr>
        <w:t>(Excess weight = total weight - ideal weight)</w:t>
      </w:r>
    </w:p>
    <w:p w14:paraId="61EEEFEB" w14:textId="77777777" w:rsidR="000175D8" w:rsidRPr="003378D8" w:rsidRDefault="000175D8" w:rsidP="00FD7544">
      <w:pPr>
        <w:ind w:left="851"/>
        <w:rPr>
          <w:sz w:val="24"/>
          <w:szCs w:val="24"/>
          <w:lang w:val="en-GB"/>
        </w:rPr>
      </w:pPr>
    </w:p>
    <w:p w14:paraId="2676F1ED" w14:textId="77777777" w:rsidR="000175D8" w:rsidRPr="003378D8" w:rsidRDefault="000175D8" w:rsidP="00FD7544">
      <w:pPr>
        <w:ind w:left="851"/>
        <w:rPr>
          <w:sz w:val="24"/>
          <w:szCs w:val="24"/>
          <w:lang w:val="en-GB"/>
        </w:rPr>
      </w:pPr>
      <w:r w:rsidRPr="003378D8">
        <w:rPr>
          <w:sz w:val="24"/>
          <w:szCs w:val="24"/>
          <w:lang w:val="en-GB"/>
        </w:rPr>
        <w:t>Lorentz formula (ideal weight expressed in kg):</w:t>
      </w:r>
    </w:p>
    <w:p w14:paraId="3C2BDCA0" w14:textId="77777777" w:rsidR="000175D8" w:rsidRPr="003378D8" w:rsidRDefault="000175D8" w:rsidP="00FD7544">
      <w:pPr>
        <w:ind w:left="851"/>
        <w:rPr>
          <w:sz w:val="24"/>
          <w:szCs w:val="24"/>
          <w:lang w:val="en-GB"/>
        </w:rPr>
      </w:pPr>
      <w:r w:rsidRPr="003378D8">
        <w:rPr>
          <w:sz w:val="24"/>
          <w:szCs w:val="24"/>
          <w:lang w:val="en-GB"/>
        </w:rPr>
        <w:t>Women = height (cm) - 100 - [height (cm) - 150] / 2</w:t>
      </w:r>
    </w:p>
    <w:p w14:paraId="79BBC38F" w14:textId="77777777" w:rsidR="000175D8" w:rsidRPr="003378D8" w:rsidRDefault="000175D8" w:rsidP="00FD7544">
      <w:pPr>
        <w:ind w:left="851"/>
        <w:rPr>
          <w:sz w:val="24"/>
          <w:szCs w:val="24"/>
          <w:lang w:val="en-GB"/>
        </w:rPr>
      </w:pPr>
      <w:r w:rsidRPr="003378D8">
        <w:rPr>
          <w:sz w:val="24"/>
          <w:szCs w:val="24"/>
          <w:lang w:val="en-GB"/>
        </w:rPr>
        <w:t>Men = height (cm) - 100 - [height (cm) - 150] / 4</w:t>
      </w:r>
    </w:p>
    <w:p w14:paraId="334A3232" w14:textId="77777777" w:rsidR="000175D8" w:rsidRPr="003378D8" w:rsidRDefault="000175D8" w:rsidP="00FD7544">
      <w:pPr>
        <w:ind w:left="851"/>
        <w:rPr>
          <w:sz w:val="24"/>
          <w:szCs w:val="24"/>
          <w:lang w:val="en-GB"/>
        </w:rPr>
      </w:pPr>
    </w:p>
    <w:p w14:paraId="40747BB6" w14:textId="77777777" w:rsidR="000175D8" w:rsidRPr="003378D8" w:rsidRDefault="000175D8" w:rsidP="00FD7544">
      <w:pPr>
        <w:ind w:left="851"/>
        <w:rPr>
          <w:sz w:val="24"/>
          <w:szCs w:val="24"/>
          <w:lang w:val="en-GB"/>
        </w:rPr>
      </w:pPr>
      <w:r w:rsidRPr="003378D8">
        <w:rPr>
          <w:sz w:val="24"/>
          <w:szCs w:val="24"/>
          <w:lang w:val="en-GB"/>
        </w:rPr>
        <w:t>Conditions for use of this formula:</w:t>
      </w:r>
    </w:p>
    <w:p w14:paraId="4FBABCE6" w14:textId="77777777" w:rsidR="000175D8" w:rsidRPr="001F3D04" w:rsidRDefault="000175D8" w:rsidP="001F3D04">
      <w:pPr>
        <w:pStyle w:val="Listeafsnit"/>
        <w:numPr>
          <w:ilvl w:val="0"/>
          <w:numId w:val="10"/>
        </w:numPr>
        <w:ind w:left="1276" w:hanging="425"/>
        <w:rPr>
          <w:szCs w:val="24"/>
          <w:lang w:val="en-GB"/>
        </w:rPr>
      </w:pPr>
      <w:r w:rsidRPr="001F3D04">
        <w:rPr>
          <w:szCs w:val="24"/>
          <w:lang w:val="en-GB"/>
        </w:rPr>
        <w:t>age over 18 years;</w:t>
      </w:r>
    </w:p>
    <w:p w14:paraId="49ED9DD8" w14:textId="77777777" w:rsidR="000175D8" w:rsidRPr="001F3D04" w:rsidRDefault="000175D8" w:rsidP="001F3D04">
      <w:pPr>
        <w:pStyle w:val="Listeafsnit"/>
        <w:numPr>
          <w:ilvl w:val="0"/>
          <w:numId w:val="10"/>
        </w:numPr>
        <w:ind w:left="1276" w:hanging="425"/>
        <w:rPr>
          <w:szCs w:val="24"/>
          <w:lang w:val="en-GB"/>
        </w:rPr>
      </w:pPr>
      <w:r w:rsidRPr="001F3D04">
        <w:rPr>
          <w:szCs w:val="24"/>
          <w:lang w:val="en-GB"/>
        </w:rPr>
        <w:t>height between 140 and 220 cm.</w:t>
      </w:r>
    </w:p>
    <w:p w14:paraId="3BCD3C96" w14:textId="77777777" w:rsidR="000175D8" w:rsidRPr="003378D8" w:rsidRDefault="000175D8" w:rsidP="00FD7544">
      <w:pPr>
        <w:ind w:left="851"/>
        <w:rPr>
          <w:sz w:val="24"/>
          <w:szCs w:val="24"/>
          <w:lang w:val="en-GB"/>
        </w:rPr>
      </w:pPr>
    </w:p>
    <w:p w14:paraId="4B9A2D85" w14:textId="77777777" w:rsidR="000175D8" w:rsidRPr="003378D8" w:rsidRDefault="000175D8" w:rsidP="00FD7544">
      <w:pPr>
        <w:ind w:left="851"/>
        <w:rPr>
          <w:sz w:val="24"/>
          <w:szCs w:val="24"/>
          <w:u w:val="single"/>
          <w:lang w:val="en-GB"/>
        </w:rPr>
      </w:pPr>
      <w:r w:rsidRPr="003378D8">
        <w:rPr>
          <w:sz w:val="24"/>
          <w:szCs w:val="24"/>
          <w:u w:val="single"/>
          <w:lang w:val="en-GB"/>
        </w:rPr>
        <w:t>Monitoring of serum gentamicin concentration:</w:t>
      </w:r>
    </w:p>
    <w:p w14:paraId="74D117C9" w14:textId="77777777" w:rsidR="000175D8" w:rsidRPr="003378D8" w:rsidRDefault="000175D8" w:rsidP="00FD7544">
      <w:pPr>
        <w:ind w:left="851"/>
        <w:rPr>
          <w:sz w:val="24"/>
          <w:szCs w:val="24"/>
          <w:lang w:val="en-GB"/>
        </w:rPr>
      </w:pPr>
      <w:r w:rsidRPr="003378D8">
        <w:rPr>
          <w:sz w:val="24"/>
          <w:szCs w:val="24"/>
          <w:lang w:val="en-GB"/>
        </w:rPr>
        <w:t>Serum concentration monitoring of gentamicin is recommended, especially in obese patients, patients receiving treatment for more than 3 days, elderly, in neonates and in patients with impaired renal function. Samples are taken at the end of a dosing interval (trough level). The concentration in a sample taken immediately before a new dose (trough concentration) should not exceed 2 microgram/ml when dosing twice daily and 1 microgram/ml when dosing once daily. Pre-dose (“trough level”) monitoring is recommended to ensure that the interval between doses is correct.</w:t>
      </w:r>
    </w:p>
    <w:p w14:paraId="148A7D5F" w14:textId="77777777" w:rsidR="000175D8" w:rsidRPr="003378D8" w:rsidRDefault="000175D8" w:rsidP="00FD7544">
      <w:pPr>
        <w:ind w:left="851"/>
        <w:rPr>
          <w:sz w:val="24"/>
          <w:szCs w:val="24"/>
          <w:lang w:val="en-GB"/>
        </w:rPr>
      </w:pPr>
      <w:r w:rsidRPr="003378D8">
        <w:rPr>
          <w:sz w:val="24"/>
          <w:szCs w:val="24"/>
          <w:lang w:val="en-GB"/>
        </w:rPr>
        <w:t xml:space="preserve">Peak levels, taken one hour after an intravenous bolus or intramuscular bolus dose, or 30 minutes after the end of an infusion, should be at least 4 microgram/ml. </w:t>
      </w:r>
      <w:r w:rsidRPr="003378D8">
        <w:rPr>
          <w:sz w:val="24"/>
          <w:szCs w:val="24"/>
          <w:lang w:val="en-US"/>
        </w:rPr>
        <w:t>Post-dose (“peak level”) monitoring is recommended to check the adequacy of a dose or to ensure that it is not excessive and likely to cause toxicity</w:t>
      </w:r>
      <w:r w:rsidRPr="003378D8">
        <w:rPr>
          <w:sz w:val="24"/>
          <w:szCs w:val="24"/>
          <w:lang w:val="en-GB"/>
        </w:rPr>
        <w:t>.</w:t>
      </w:r>
    </w:p>
    <w:p w14:paraId="1FF86906" w14:textId="77777777" w:rsidR="000175D8" w:rsidRPr="003378D8" w:rsidRDefault="000175D8" w:rsidP="00FD7544">
      <w:pPr>
        <w:ind w:left="851"/>
        <w:rPr>
          <w:sz w:val="24"/>
          <w:szCs w:val="24"/>
          <w:lang w:val="en-GB"/>
        </w:rPr>
      </w:pPr>
      <w:r w:rsidRPr="003378D8">
        <w:rPr>
          <w:sz w:val="24"/>
          <w:szCs w:val="24"/>
          <w:lang w:val="en-GB"/>
        </w:rPr>
        <w:t>In patients with renal impairment peak serum gentamicin concentrations must never exceed 12 micrograms/ml and trough serum gentamicin concentrations must be less than or equal to 1 microgram/ml before a new once-daily dose is administered.</w:t>
      </w:r>
    </w:p>
    <w:p w14:paraId="17E1D7E9" w14:textId="77777777" w:rsidR="000175D8" w:rsidRPr="003378D8" w:rsidRDefault="000175D8" w:rsidP="00FD7544">
      <w:pPr>
        <w:ind w:left="851"/>
        <w:rPr>
          <w:sz w:val="24"/>
          <w:szCs w:val="24"/>
          <w:lang w:val="en-GB"/>
        </w:rPr>
      </w:pPr>
      <w:r w:rsidRPr="003378D8">
        <w:rPr>
          <w:sz w:val="24"/>
          <w:szCs w:val="24"/>
          <w:lang w:val="en-GB"/>
        </w:rPr>
        <w:t>A progressive increase in trough concentration indicates ongoing accumulation and the dosage interval should then be increased. A sample should be taken during the second day of treatment immediately before the next dose (trough concentration). In general, 2–3 concentration determinations per week are recommended.</w:t>
      </w:r>
    </w:p>
    <w:p w14:paraId="4E24B91F" w14:textId="77777777" w:rsidR="000175D8" w:rsidRPr="003378D8" w:rsidRDefault="000175D8" w:rsidP="00FD7544">
      <w:pPr>
        <w:ind w:left="851"/>
        <w:rPr>
          <w:sz w:val="24"/>
          <w:szCs w:val="24"/>
          <w:lang w:val="en-US" w:eastAsia="ja-JP"/>
        </w:rPr>
      </w:pPr>
    </w:p>
    <w:p w14:paraId="71DEABEE" w14:textId="77777777" w:rsidR="000175D8" w:rsidRPr="003378D8" w:rsidRDefault="000175D8" w:rsidP="00FD7544">
      <w:pPr>
        <w:ind w:left="851"/>
        <w:rPr>
          <w:i/>
          <w:sz w:val="24"/>
          <w:szCs w:val="24"/>
          <w:lang w:val="en-US" w:eastAsia="ja-JP"/>
        </w:rPr>
      </w:pPr>
      <w:r w:rsidRPr="003378D8">
        <w:rPr>
          <w:sz w:val="24"/>
          <w:szCs w:val="24"/>
          <w:u w:val="single"/>
          <w:lang w:val="en-US"/>
        </w:rPr>
        <w:t>Method of administration</w:t>
      </w:r>
    </w:p>
    <w:p w14:paraId="0676C938" w14:textId="66853C3B" w:rsidR="000175D8" w:rsidRPr="003378D8" w:rsidRDefault="003378D8" w:rsidP="00FD7544">
      <w:pPr>
        <w:ind w:left="851"/>
        <w:rPr>
          <w:sz w:val="24"/>
          <w:szCs w:val="24"/>
          <w:lang w:val="en-US" w:eastAsia="en-US"/>
        </w:rPr>
      </w:pPr>
      <w:r>
        <w:rPr>
          <w:sz w:val="24"/>
          <w:szCs w:val="24"/>
          <w:lang w:val="en-US"/>
        </w:rPr>
        <w:t>Gentamicin "</w:t>
      </w:r>
      <w:proofErr w:type="spellStart"/>
      <w:r>
        <w:rPr>
          <w:sz w:val="24"/>
          <w:szCs w:val="24"/>
          <w:lang w:val="en-US"/>
        </w:rPr>
        <w:t>Medochemie</w:t>
      </w:r>
      <w:proofErr w:type="spellEnd"/>
      <w:r>
        <w:rPr>
          <w:sz w:val="24"/>
          <w:szCs w:val="24"/>
          <w:lang w:val="en-US"/>
        </w:rPr>
        <w:t>"</w:t>
      </w:r>
      <w:r w:rsidR="000175D8" w:rsidRPr="003378D8">
        <w:rPr>
          <w:sz w:val="24"/>
          <w:szCs w:val="24"/>
          <w:lang w:val="en-US"/>
        </w:rPr>
        <w:t xml:space="preserve"> is recommended as follows:</w:t>
      </w:r>
    </w:p>
    <w:p w14:paraId="16121149" w14:textId="77777777" w:rsidR="000175D8" w:rsidRPr="001F3D04" w:rsidRDefault="000175D8" w:rsidP="001F3D04">
      <w:pPr>
        <w:pStyle w:val="Listeafsnit"/>
        <w:numPr>
          <w:ilvl w:val="0"/>
          <w:numId w:val="11"/>
        </w:numPr>
        <w:ind w:left="1276" w:hanging="425"/>
        <w:rPr>
          <w:rFonts w:eastAsia="Calibri"/>
          <w:snapToGrid w:val="0"/>
          <w:szCs w:val="24"/>
        </w:rPr>
      </w:pPr>
      <w:r w:rsidRPr="001F3D04">
        <w:rPr>
          <w:szCs w:val="24"/>
        </w:rPr>
        <w:t>For IM administration: 40 mg/ml</w:t>
      </w:r>
    </w:p>
    <w:p w14:paraId="4E2DC9E0" w14:textId="77777777" w:rsidR="000175D8" w:rsidRPr="001F3D04" w:rsidRDefault="000175D8" w:rsidP="001F3D04">
      <w:pPr>
        <w:pStyle w:val="Listeafsnit"/>
        <w:numPr>
          <w:ilvl w:val="0"/>
          <w:numId w:val="11"/>
        </w:numPr>
        <w:ind w:left="1276" w:hanging="425"/>
        <w:rPr>
          <w:szCs w:val="24"/>
        </w:rPr>
      </w:pPr>
      <w:r w:rsidRPr="001F3D04">
        <w:rPr>
          <w:rFonts w:eastAsia="Calibri"/>
          <w:snapToGrid w:val="0"/>
          <w:szCs w:val="24"/>
        </w:rPr>
        <w:t>For IV administration (bolus and infusion): 10 mg/ml, 20 mg/ml and 40 mg/ml</w:t>
      </w:r>
    </w:p>
    <w:p w14:paraId="4DA68498" w14:textId="77777777" w:rsidR="000175D8" w:rsidRPr="003378D8" w:rsidRDefault="000175D8" w:rsidP="00FD7544">
      <w:pPr>
        <w:ind w:left="851"/>
        <w:rPr>
          <w:sz w:val="24"/>
          <w:szCs w:val="24"/>
          <w:lang w:val="en-US"/>
        </w:rPr>
      </w:pPr>
    </w:p>
    <w:p w14:paraId="08399C7B" w14:textId="77777777" w:rsidR="000175D8" w:rsidRPr="003378D8" w:rsidRDefault="000175D8" w:rsidP="00FD7544">
      <w:pPr>
        <w:ind w:left="851"/>
        <w:rPr>
          <w:sz w:val="24"/>
          <w:szCs w:val="24"/>
          <w:lang w:val="en-US"/>
        </w:rPr>
      </w:pPr>
      <w:r w:rsidRPr="003378D8">
        <w:rPr>
          <w:sz w:val="24"/>
          <w:szCs w:val="24"/>
          <w:lang w:val="en-US"/>
        </w:rPr>
        <w:t>The dose of gentamicin is the same when given intravenously or intramuscularly. The injection is painless. Intravenous administration is suitable for treating patients with septicemia, septic shock, severe burns, bleeding or reduced muscle mass.</w:t>
      </w:r>
    </w:p>
    <w:p w14:paraId="2534C552" w14:textId="77777777" w:rsidR="000175D8" w:rsidRPr="003378D8" w:rsidRDefault="000175D8" w:rsidP="00FD7544">
      <w:pPr>
        <w:ind w:left="851"/>
        <w:rPr>
          <w:sz w:val="24"/>
          <w:szCs w:val="24"/>
          <w:lang w:val="en-US"/>
        </w:rPr>
      </w:pPr>
      <w:r w:rsidRPr="003378D8">
        <w:rPr>
          <w:sz w:val="24"/>
          <w:szCs w:val="24"/>
          <w:lang w:val="en-US"/>
        </w:rPr>
        <w:t xml:space="preserve">When dosing once a day, gentamicin is administered as an IV infusion over 0.5-1 hour. </w:t>
      </w:r>
    </w:p>
    <w:p w14:paraId="74829BD3" w14:textId="77777777" w:rsidR="000175D8" w:rsidRPr="003378D8" w:rsidRDefault="000175D8" w:rsidP="00FD7544">
      <w:pPr>
        <w:ind w:left="851"/>
        <w:rPr>
          <w:sz w:val="24"/>
          <w:szCs w:val="24"/>
          <w:lang w:val="en-US"/>
        </w:rPr>
      </w:pPr>
      <w:r w:rsidRPr="003378D8">
        <w:rPr>
          <w:sz w:val="24"/>
          <w:szCs w:val="24"/>
          <w:lang w:val="en-US"/>
        </w:rPr>
        <w:t>If the daily dose is divided into several single doses, the dose can be administered intramuscularly (40 mg/ml only), as an IV bolus (10 mg/ml, 20 mg/ml and 40 mg/ml solutions, which must be administered slowly over 2-3 minutes, to avoid potential for acute neurotoxicity) or as an IV infusion. IV bolus or intramuscular administration should not be used for once-daily dosing.</w:t>
      </w:r>
    </w:p>
    <w:p w14:paraId="51A0E0F7" w14:textId="77777777" w:rsidR="000175D8" w:rsidRPr="003378D8" w:rsidRDefault="000175D8" w:rsidP="00FD7544">
      <w:pPr>
        <w:ind w:left="851"/>
        <w:rPr>
          <w:sz w:val="24"/>
          <w:szCs w:val="24"/>
          <w:lang w:val="en-US"/>
        </w:rPr>
      </w:pPr>
      <w:bookmarkStart w:id="3" w:name="_Hlk148605416"/>
      <w:r w:rsidRPr="003378D8">
        <w:rPr>
          <w:sz w:val="24"/>
          <w:szCs w:val="24"/>
          <w:lang w:val="en-US"/>
        </w:rPr>
        <w:lastRenderedPageBreak/>
        <w:t>Gentamicin can be added to the following infusion fluids: Glucose 5% and 10%, Dextran 40 10% in 5% dextrose, Ringer's solution, Ringer's lactate solution and 9 mg/ml natrium chloride solution.</w:t>
      </w:r>
    </w:p>
    <w:bookmarkEnd w:id="3"/>
    <w:p w14:paraId="23E3528D" w14:textId="77777777" w:rsidR="000175D8" w:rsidRPr="003378D8" w:rsidRDefault="000175D8" w:rsidP="00FD7544">
      <w:pPr>
        <w:ind w:left="851"/>
        <w:rPr>
          <w:sz w:val="24"/>
          <w:szCs w:val="24"/>
          <w:lang w:val="en-US"/>
        </w:rPr>
      </w:pPr>
      <w:r w:rsidRPr="003378D8">
        <w:rPr>
          <w:sz w:val="24"/>
          <w:szCs w:val="24"/>
          <w:lang w:val="en-US"/>
        </w:rPr>
        <w:t>The prescribed dose of gentamicin should be dissolved in 100-200 ml in a solution for infusion. The concentration of gentamicin in the solution must not exceed 1 mg/ml (0.1%). Use immediately after dilution. The prepared solution is administered as an IV infusion over approximately 0.5-1 hour.</w:t>
      </w:r>
    </w:p>
    <w:p w14:paraId="62E2B77F" w14:textId="77777777" w:rsidR="000175D8" w:rsidRPr="00962C23" w:rsidRDefault="000175D8" w:rsidP="00FD7544">
      <w:pPr>
        <w:ind w:left="851"/>
        <w:rPr>
          <w:sz w:val="24"/>
          <w:szCs w:val="24"/>
          <w:lang w:val="en-US"/>
        </w:rPr>
      </w:pPr>
      <w:r w:rsidRPr="003378D8">
        <w:rPr>
          <w:sz w:val="24"/>
          <w:szCs w:val="24"/>
          <w:lang w:val="en-US"/>
        </w:rPr>
        <w:t xml:space="preserve">The undiluted solution for injection can also be given as a slow injection (2-3 minutes) directly into a vein. </w:t>
      </w:r>
      <w:r w:rsidRPr="00962C23">
        <w:rPr>
          <w:sz w:val="24"/>
          <w:szCs w:val="24"/>
          <w:lang w:val="en-US"/>
        </w:rPr>
        <w:t>No other antibiotics or medicines may be added.</w:t>
      </w:r>
    </w:p>
    <w:p w14:paraId="1B5DA57B" w14:textId="77777777" w:rsidR="007C5D2A" w:rsidRPr="003378D8" w:rsidRDefault="007C5D2A" w:rsidP="00A85D26">
      <w:pPr>
        <w:tabs>
          <w:tab w:val="left" w:pos="851"/>
        </w:tabs>
        <w:ind w:left="851"/>
        <w:rPr>
          <w:sz w:val="24"/>
          <w:szCs w:val="24"/>
          <w:lang w:val="en-GB"/>
        </w:rPr>
      </w:pPr>
    </w:p>
    <w:p w14:paraId="72A2139B"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4.3</w:t>
      </w:r>
      <w:r w:rsidRPr="003378D8">
        <w:rPr>
          <w:b/>
          <w:sz w:val="24"/>
          <w:szCs w:val="24"/>
          <w:lang w:val="en-GB"/>
        </w:rPr>
        <w:tab/>
        <w:t>Contraindications</w:t>
      </w:r>
    </w:p>
    <w:p w14:paraId="31D16173" w14:textId="77777777" w:rsidR="000175D8" w:rsidRPr="003378D8" w:rsidRDefault="000175D8" w:rsidP="003378D8">
      <w:pPr>
        <w:ind w:left="851"/>
        <w:rPr>
          <w:sz w:val="24"/>
          <w:szCs w:val="24"/>
          <w:lang w:val="en-US" w:eastAsia="ja-JP"/>
        </w:rPr>
      </w:pPr>
      <w:r w:rsidRPr="003378D8">
        <w:rPr>
          <w:sz w:val="24"/>
          <w:szCs w:val="24"/>
          <w:lang w:val="en-US" w:eastAsia="ja-JP"/>
        </w:rPr>
        <w:t xml:space="preserve">Hypersensitivity to </w:t>
      </w:r>
      <w:r w:rsidRPr="003378D8">
        <w:rPr>
          <w:noProof/>
          <w:sz w:val="24"/>
          <w:szCs w:val="24"/>
          <w:lang w:val="en-US"/>
        </w:rPr>
        <w:t>gentamicin</w:t>
      </w:r>
      <w:r w:rsidRPr="003378D8">
        <w:rPr>
          <w:sz w:val="24"/>
          <w:szCs w:val="24"/>
          <w:lang w:val="en-US" w:eastAsia="ja-JP"/>
        </w:rPr>
        <w:t xml:space="preserve">, or to other aminoglycosides or </w:t>
      </w:r>
      <w:r w:rsidRPr="003378D8">
        <w:rPr>
          <w:noProof/>
          <w:sz w:val="24"/>
          <w:szCs w:val="24"/>
          <w:lang w:val="en-US"/>
        </w:rPr>
        <w:t>to any of the excipients listed in section 6.1</w:t>
      </w:r>
      <w:r w:rsidRPr="003378D8">
        <w:rPr>
          <w:sz w:val="24"/>
          <w:szCs w:val="24"/>
          <w:lang w:val="en-US" w:eastAsia="ja-JP"/>
        </w:rPr>
        <w:t>.</w:t>
      </w:r>
    </w:p>
    <w:p w14:paraId="48945743" w14:textId="77777777" w:rsidR="000175D8" w:rsidRPr="003378D8" w:rsidRDefault="000175D8" w:rsidP="003378D8">
      <w:pPr>
        <w:ind w:left="851"/>
        <w:rPr>
          <w:sz w:val="24"/>
          <w:szCs w:val="24"/>
          <w:lang w:val="en-US" w:eastAsia="ja-JP"/>
        </w:rPr>
      </w:pPr>
      <w:r w:rsidRPr="003378D8">
        <w:rPr>
          <w:sz w:val="24"/>
          <w:szCs w:val="24"/>
          <w:lang w:val="en-US" w:eastAsia="ja-JP"/>
        </w:rPr>
        <w:t>Intraventricular administration in neonates and infants under 1 year of age (see section 4.4).</w:t>
      </w:r>
    </w:p>
    <w:p w14:paraId="7DE4810C" w14:textId="77777777" w:rsidR="000175D8" w:rsidRPr="003378D8" w:rsidRDefault="000175D8" w:rsidP="003378D8">
      <w:pPr>
        <w:ind w:left="851"/>
        <w:rPr>
          <w:sz w:val="24"/>
          <w:szCs w:val="24"/>
          <w:lang w:val="en-US" w:eastAsia="ja-JP"/>
        </w:rPr>
      </w:pPr>
      <w:r w:rsidRPr="003378D8">
        <w:rPr>
          <w:sz w:val="24"/>
          <w:szCs w:val="24"/>
          <w:lang w:val="en-US" w:eastAsia="ja-JP"/>
        </w:rPr>
        <w:t>A history of serious toxic reactions to aminoglycosides may contraindicate the use of any aminoglycoside because of the known cross sensitivities of patients to drugs in this class.</w:t>
      </w:r>
    </w:p>
    <w:p w14:paraId="2D785869" w14:textId="77777777" w:rsidR="007C5D2A" w:rsidRPr="003378D8" w:rsidRDefault="007C5D2A" w:rsidP="003E0341">
      <w:pPr>
        <w:tabs>
          <w:tab w:val="left" w:pos="851"/>
        </w:tabs>
        <w:ind w:left="851"/>
        <w:rPr>
          <w:sz w:val="24"/>
          <w:szCs w:val="24"/>
          <w:lang w:val="en-GB"/>
        </w:rPr>
      </w:pPr>
    </w:p>
    <w:p w14:paraId="7CE4849D" w14:textId="77777777" w:rsidR="007C5D2A" w:rsidRPr="003378D8" w:rsidRDefault="007C5D2A" w:rsidP="007C5D2A">
      <w:pPr>
        <w:tabs>
          <w:tab w:val="left" w:pos="851"/>
        </w:tabs>
        <w:rPr>
          <w:b/>
          <w:sz w:val="24"/>
          <w:szCs w:val="24"/>
          <w:lang w:val="en-GB"/>
        </w:rPr>
      </w:pPr>
      <w:r w:rsidRPr="003378D8">
        <w:rPr>
          <w:b/>
          <w:sz w:val="24"/>
          <w:szCs w:val="24"/>
          <w:lang w:val="en-GB"/>
        </w:rPr>
        <w:t>4.4</w:t>
      </w:r>
      <w:r w:rsidRPr="003378D8">
        <w:rPr>
          <w:b/>
          <w:sz w:val="24"/>
          <w:szCs w:val="24"/>
          <w:lang w:val="en-GB"/>
        </w:rPr>
        <w:tab/>
        <w:t>Special warnings and precautions for use</w:t>
      </w:r>
    </w:p>
    <w:p w14:paraId="3D0E0552" w14:textId="77777777" w:rsidR="001F3D04" w:rsidRDefault="001F3D04" w:rsidP="003378D8">
      <w:pPr>
        <w:ind w:left="851"/>
        <w:rPr>
          <w:sz w:val="24"/>
          <w:szCs w:val="24"/>
          <w:lang w:val="en-GB" w:eastAsia="ja-JP"/>
        </w:rPr>
      </w:pPr>
    </w:p>
    <w:p w14:paraId="40F2099D" w14:textId="60B28E68" w:rsidR="000175D8" w:rsidRPr="001F3D04" w:rsidRDefault="000175D8" w:rsidP="003378D8">
      <w:pPr>
        <w:ind w:left="851"/>
        <w:rPr>
          <w:i/>
          <w:sz w:val="24"/>
          <w:szCs w:val="24"/>
          <w:lang w:val="en-US" w:eastAsia="ja-JP"/>
        </w:rPr>
      </w:pPr>
      <w:r w:rsidRPr="001F3D04">
        <w:rPr>
          <w:i/>
          <w:sz w:val="24"/>
          <w:szCs w:val="24"/>
          <w:lang w:val="en-US" w:eastAsia="ja-JP"/>
        </w:rPr>
        <w:t>General</w:t>
      </w:r>
    </w:p>
    <w:p w14:paraId="2067A9C6" w14:textId="77777777" w:rsidR="000175D8" w:rsidRPr="003378D8" w:rsidRDefault="000175D8" w:rsidP="003378D8">
      <w:pPr>
        <w:ind w:left="851"/>
        <w:rPr>
          <w:sz w:val="24"/>
          <w:szCs w:val="24"/>
          <w:lang w:val="en-US" w:eastAsia="ja-JP"/>
        </w:rPr>
      </w:pPr>
      <w:r w:rsidRPr="003378D8">
        <w:rPr>
          <w:sz w:val="24"/>
          <w:szCs w:val="24"/>
          <w:lang w:val="en-US" w:eastAsia="ja-JP"/>
        </w:rPr>
        <w:t>Aminoglycosides must be used within a strict prescribing framework (indications are limited to severe infections or cases involving resistant bacteria, and prescribed administration regimens must be strictly followed) and accompanied by appropriate surveillance.</w:t>
      </w:r>
    </w:p>
    <w:p w14:paraId="43E8CD52" w14:textId="77777777" w:rsidR="000175D8" w:rsidRPr="003378D8" w:rsidRDefault="000175D8" w:rsidP="003378D8">
      <w:pPr>
        <w:ind w:left="851"/>
        <w:rPr>
          <w:sz w:val="24"/>
          <w:szCs w:val="24"/>
          <w:lang w:val="en-US" w:eastAsia="ja-JP"/>
        </w:rPr>
      </w:pPr>
      <w:r w:rsidRPr="003378D8">
        <w:rPr>
          <w:sz w:val="24"/>
          <w:szCs w:val="24"/>
          <w:lang w:val="en-US" w:eastAsia="ja-JP"/>
        </w:rPr>
        <w:t>The likelihood of developing renal and auditory toxicities rises with treatment durations exceeding 5-7 days, even among healthy individuals. This risk is significantly higher in patients with existing renal impairment. However, signs of toxicity may still emerge early, potentially even after the initial doses. See Ototoxicity and Impaired renal function</w:t>
      </w:r>
    </w:p>
    <w:p w14:paraId="5519AC10" w14:textId="77777777" w:rsidR="000175D8" w:rsidRPr="003378D8" w:rsidRDefault="000175D8" w:rsidP="003378D8">
      <w:pPr>
        <w:ind w:left="851"/>
        <w:rPr>
          <w:sz w:val="24"/>
          <w:szCs w:val="24"/>
          <w:lang w:val="en-US" w:eastAsia="ja-JP"/>
        </w:rPr>
      </w:pPr>
      <w:r w:rsidRPr="003378D8">
        <w:rPr>
          <w:sz w:val="24"/>
          <w:szCs w:val="24"/>
          <w:lang w:val="en-US" w:eastAsia="ja-JP"/>
        </w:rPr>
        <w:t>To avoid adverse events, continuous monitoring (before, during and after) of renal function (serum creatinine, creatinine clearance), control of function of vestibule and cochlea as well as hepatic and laboratory parameters is recommended. See section 4.2, Monitoring of serum gentamicin concentration.</w:t>
      </w:r>
    </w:p>
    <w:p w14:paraId="54EAC385" w14:textId="77777777" w:rsidR="000175D8" w:rsidRPr="003378D8" w:rsidRDefault="000175D8" w:rsidP="003378D8">
      <w:pPr>
        <w:ind w:left="851"/>
        <w:rPr>
          <w:sz w:val="24"/>
          <w:szCs w:val="24"/>
          <w:lang w:val="en-US" w:eastAsia="ja-JP"/>
        </w:rPr>
      </w:pPr>
    </w:p>
    <w:p w14:paraId="4D5B99C3" w14:textId="77777777" w:rsidR="000175D8" w:rsidRPr="001F3D04" w:rsidRDefault="000175D8" w:rsidP="003378D8">
      <w:pPr>
        <w:ind w:left="851"/>
        <w:rPr>
          <w:i/>
          <w:sz w:val="24"/>
          <w:szCs w:val="24"/>
          <w:lang w:val="en-US" w:eastAsia="ja-JP"/>
        </w:rPr>
      </w:pPr>
      <w:r w:rsidRPr="001F3D04">
        <w:rPr>
          <w:i/>
          <w:sz w:val="24"/>
          <w:szCs w:val="24"/>
          <w:lang w:val="en-US" w:eastAsia="ja-JP"/>
        </w:rPr>
        <w:t>Ototoxicity</w:t>
      </w:r>
    </w:p>
    <w:p w14:paraId="4E269C84" w14:textId="77777777" w:rsidR="000175D8" w:rsidRPr="003378D8" w:rsidRDefault="000175D8" w:rsidP="003378D8">
      <w:pPr>
        <w:ind w:left="851"/>
        <w:rPr>
          <w:sz w:val="24"/>
          <w:szCs w:val="24"/>
          <w:lang w:val="en-US" w:eastAsia="ja-JP"/>
        </w:rPr>
      </w:pPr>
      <w:r w:rsidRPr="003378D8">
        <w:rPr>
          <w:sz w:val="24"/>
          <w:szCs w:val="24"/>
          <w:lang w:val="en-US" w:eastAsia="ja-JP"/>
        </w:rPr>
        <w:t>Ototoxicity (such as permanent hearing loss) has been reported following the use of aminoglycosides, including gentamicin. The risk is higher in patients with renal impairment, patients receiving high-dose treatment and/or long-term treatment, neonates, infants and the elderly. To avoid adverse effects, continuous monitoring (before, during and after) of renal function (serum creatinine, creatinine clearance), vestibulocochlear function as well as hepatic and laboratory parameters is recommended (see sections 4.2 and 4.8). Caution should be exercised with repeat use.</w:t>
      </w:r>
    </w:p>
    <w:p w14:paraId="3A4F4327" w14:textId="77777777" w:rsidR="000175D8" w:rsidRPr="003378D8" w:rsidRDefault="000175D8" w:rsidP="003378D8">
      <w:pPr>
        <w:ind w:left="851"/>
        <w:rPr>
          <w:sz w:val="24"/>
          <w:szCs w:val="24"/>
          <w:lang w:val="en-US" w:eastAsia="ja-JP"/>
        </w:rPr>
      </w:pPr>
      <w:r w:rsidRPr="003378D8">
        <w:rPr>
          <w:sz w:val="24"/>
          <w:szCs w:val="24"/>
          <w:lang w:val="en-US" w:eastAsia="ja-JP"/>
        </w:rPr>
        <w:t>Concomitant use of medicinal products with intrinsic ototoxicity increases the risk of vestibulocochlear damage (see section 4.5).</w:t>
      </w:r>
    </w:p>
    <w:p w14:paraId="0DD008C9" w14:textId="77777777" w:rsidR="000175D8" w:rsidRPr="003378D8" w:rsidRDefault="000175D8" w:rsidP="003378D8">
      <w:pPr>
        <w:ind w:left="851"/>
        <w:rPr>
          <w:sz w:val="24"/>
          <w:szCs w:val="24"/>
          <w:lang w:val="en-US" w:eastAsia="ja-JP"/>
        </w:rPr>
      </w:pPr>
    </w:p>
    <w:p w14:paraId="00EDC3CA" w14:textId="77777777" w:rsidR="000175D8" w:rsidRPr="001F3D04" w:rsidRDefault="000175D8" w:rsidP="003378D8">
      <w:pPr>
        <w:ind w:left="851"/>
        <w:rPr>
          <w:i/>
          <w:sz w:val="24"/>
          <w:szCs w:val="24"/>
          <w:lang w:val="en-US" w:eastAsia="ja-JP"/>
        </w:rPr>
      </w:pPr>
      <w:r w:rsidRPr="001F3D04">
        <w:rPr>
          <w:i/>
          <w:sz w:val="24"/>
          <w:szCs w:val="24"/>
          <w:lang w:val="en-US" w:eastAsia="ja-JP"/>
        </w:rPr>
        <w:t>Mitochondrial mutations</w:t>
      </w:r>
    </w:p>
    <w:p w14:paraId="3C7CDBC6" w14:textId="77777777" w:rsidR="000175D8" w:rsidRPr="003378D8" w:rsidRDefault="000175D8" w:rsidP="003378D8">
      <w:pPr>
        <w:ind w:left="851"/>
        <w:rPr>
          <w:sz w:val="24"/>
          <w:szCs w:val="24"/>
          <w:lang w:val="en-US" w:eastAsia="ja-JP"/>
        </w:rPr>
      </w:pPr>
      <w:r w:rsidRPr="003378D8">
        <w:rPr>
          <w:sz w:val="24"/>
          <w:szCs w:val="24"/>
          <w:lang w:val="en-US" w:eastAsia="ja-JP"/>
        </w:rPr>
        <w:t>There is an increased risk of ototoxicity in patients with mitochondrial DNA mutations (particularly the nucleotide 1555 A to G substitution in the 12S rRNA gene), even if aminoglycoside serum levels are within the recommended range during treatment. Alternative treatment options should be considered in such patients.</w:t>
      </w:r>
    </w:p>
    <w:p w14:paraId="1D080809" w14:textId="77777777" w:rsidR="000175D8" w:rsidRPr="003378D8" w:rsidRDefault="000175D8" w:rsidP="003378D8">
      <w:pPr>
        <w:ind w:left="851"/>
        <w:rPr>
          <w:sz w:val="24"/>
          <w:szCs w:val="24"/>
          <w:lang w:val="en-US" w:eastAsia="ja-JP"/>
        </w:rPr>
      </w:pPr>
      <w:r w:rsidRPr="003378D8">
        <w:rPr>
          <w:sz w:val="24"/>
          <w:szCs w:val="24"/>
          <w:lang w:val="en-US" w:eastAsia="ja-JP"/>
        </w:rPr>
        <w:t>In patients with a maternal history of relevant mutations or aminoglycoside induced deafness, alternative treatments or genetic testing prior to administration should be considered.</w:t>
      </w:r>
    </w:p>
    <w:p w14:paraId="5828FCB0" w14:textId="77777777" w:rsidR="000175D8" w:rsidRPr="003378D8" w:rsidRDefault="000175D8" w:rsidP="003378D8">
      <w:pPr>
        <w:ind w:left="851"/>
        <w:rPr>
          <w:sz w:val="24"/>
          <w:szCs w:val="24"/>
          <w:lang w:val="en-US" w:eastAsia="ja-JP"/>
        </w:rPr>
      </w:pPr>
    </w:p>
    <w:p w14:paraId="3772C75A" w14:textId="77777777" w:rsidR="000175D8" w:rsidRPr="001F3D04" w:rsidRDefault="000175D8" w:rsidP="003378D8">
      <w:pPr>
        <w:ind w:left="851"/>
        <w:rPr>
          <w:i/>
          <w:sz w:val="24"/>
          <w:szCs w:val="24"/>
          <w:lang w:val="en-US" w:eastAsia="ja-JP"/>
        </w:rPr>
      </w:pPr>
      <w:bookmarkStart w:id="4" w:name="_Hlk213446875"/>
      <w:r w:rsidRPr="001F3D04">
        <w:rPr>
          <w:i/>
          <w:sz w:val="24"/>
          <w:szCs w:val="24"/>
          <w:lang w:val="en-US" w:eastAsia="ja-JP"/>
        </w:rPr>
        <w:t>Concomitant use with muscle relaxants or massive transfusions of citrated blood</w:t>
      </w:r>
    </w:p>
    <w:bookmarkEnd w:id="4"/>
    <w:p w14:paraId="49569240" w14:textId="77777777" w:rsidR="000175D8" w:rsidRPr="003378D8" w:rsidRDefault="000175D8" w:rsidP="003378D8">
      <w:pPr>
        <w:ind w:left="851"/>
        <w:rPr>
          <w:sz w:val="24"/>
          <w:szCs w:val="24"/>
          <w:lang w:val="en-US" w:eastAsia="ja-JP"/>
        </w:rPr>
      </w:pPr>
      <w:r w:rsidRPr="003378D8">
        <w:rPr>
          <w:sz w:val="24"/>
          <w:szCs w:val="24"/>
          <w:lang w:val="en-US" w:eastAsia="ja-JP"/>
        </w:rPr>
        <w:t>Neuromuscular blockade and respiratory paralysis have been reported following administration of aminoglycosides in patients receiving non-depolarizing muscle relaxants during anesthesia. These patients must also be very closely monitored (see sections 4.5 and 4.8).</w:t>
      </w:r>
    </w:p>
    <w:p w14:paraId="193570D4" w14:textId="77777777" w:rsidR="000175D8" w:rsidRPr="003378D8" w:rsidRDefault="000175D8" w:rsidP="003378D8">
      <w:pPr>
        <w:ind w:left="851"/>
        <w:rPr>
          <w:sz w:val="24"/>
          <w:szCs w:val="24"/>
          <w:lang w:val="en-US" w:eastAsia="ja-JP"/>
        </w:rPr>
      </w:pPr>
      <w:r w:rsidRPr="003378D8">
        <w:rPr>
          <w:sz w:val="24"/>
          <w:szCs w:val="24"/>
          <w:lang w:val="en-US" w:eastAsia="ja-JP"/>
        </w:rPr>
        <w:t>The possibility of prolonged or secondary apnea should be considered if the drug is administered to anesthetized patients who are concurrently receiving neuromuscular blocking agents or patients who are receiving massive transfusions of citrated blood. If a blockage occurs, it can be treated with calcium salts (see section 4.5).</w:t>
      </w:r>
    </w:p>
    <w:p w14:paraId="323624BF" w14:textId="77777777" w:rsidR="000175D8" w:rsidRPr="003378D8" w:rsidRDefault="000175D8" w:rsidP="003378D8">
      <w:pPr>
        <w:ind w:left="851"/>
        <w:rPr>
          <w:sz w:val="24"/>
          <w:szCs w:val="24"/>
          <w:lang w:val="en-US" w:eastAsia="ja-JP"/>
        </w:rPr>
      </w:pPr>
    </w:p>
    <w:p w14:paraId="622C81E9" w14:textId="77777777" w:rsidR="000175D8" w:rsidRPr="001F3D04" w:rsidRDefault="000175D8" w:rsidP="003378D8">
      <w:pPr>
        <w:ind w:left="851"/>
        <w:rPr>
          <w:i/>
          <w:sz w:val="24"/>
          <w:szCs w:val="24"/>
          <w:lang w:val="en-US" w:eastAsia="ja-JP"/>
        </w:rPr>
      </w:pPr>
      <w:r w:rsidRPr="001F3D04">
        <w:rPr>
          <w:i/>
          <w:sz w:val="24"/>
          <w:szCs w:val="24"/>
          <w:lang w:val="en-US" w:eastAsia="ja-JP"/>
        </w:rPr>
        <w:t>Myasthenia gravis</w:t>
      </w:r>
    </w:p>
    <w:p w14:paraId="6080AF45" w14:textId="77777777" w:rsidR="000175D8" w:rsidRPr="003378D8" w:rsidRDefault="000175D8" w:rsidP="003378D8">
      <w:pPr>
        <w:ind w:left="851"/>
        <w:rPr>
          <w:sz w:val="24"/>
          <w:szCs w:val="24"/>
          <w:lang w:val="en-US" w:eastAsia="ja-JP"/>
        </w:rPr>
      </w:pPr>
      <w:r w:rsidRPr="003378D8">
        <w:rPr>
          <w:sz w:val="24"/>
          <w:szCs w:val="24"/>
          <w:lang w:val="en-US" w:eastAsia="ja-JP"/>
        </w:rPr>
        <w:t>For patients with myasthenia gravis, gentamicin should only be used in the treatment of severe and life-threatening infections when there are no other possible options. Treatment requires close monitoring.</w:t>
      </w:r>
    </w:p>
    <w:p w14:paraId="43D0CBEC" w14:textId="77777777" w:rsidR="000175D8" w:rsidRPr="003378D8" w:rsidRDefault="000175D8" w:rsidP="003378D8">
      <w:pPr>
        <w:ind w:left="851"/>
        <w:rPr>
          <w:sz w:val="24"/>
          <w:szCs w:val="24"/>
          <w:lang w:val="en-US" w:eastAsia="ja-JP"/>
        </w:rPr>
      </w:pPr>
    </w:p>
    <w:p w14:paraId="3C2BFF1E" w14:textId="77777777" w:rsidR="000175D8" w:rsidRPr="001F3D04" w:rsidRDefault="000175D8" w:rsidP="003378D8">
      <w:pPr>
        <w:ind w:left="851"/>
        <w:rPr>
          <w:i/>
          <w:sz w:val="24"/>
          <w:szCs w:val="24"/>
          <w:lang w:val="en-US" w:eastAsia="ja-JP"/>
        </w:rPr>
      </w:pPr>
      <w:r w:rsidRPr="001F3D04">
        <w:rPr>
          <w:i/>
          <w:sz w:val="24"/>
          <w:szCs w:val="24"/>
          <w:lang w:val="en-US" w:eastAsia="ja-JP"/>
        </w:rPr>
        <w:t>Concurrent use with neurotoxic or nephrotoxic antibiotics</w:t>
      </w:r>
    </w:p>
    <w:p w14:paraId="7EE6E854" w14:textId="77777777" w:rsidR="000175D8" w:rsidRPr="003378D8" w:rsidRDefault="000175D8" w:rsidP="003378D8">
      <w:pPr>
        <w:ind w:left="851"/>
        <w:rPr>
          <w:sz w:val="24"/>
          <w:szCs w:val="24"/>
          <w:lang w:val="en-US" w:eastAsia="ja-JP"/>
        </w:rPr>
      </w:pPr>
      <w:r w:rsidRPr="003378D8">
        <w:rPr>
          <w:sz w:val="24"/>
          <w:szCs w:val="24"/>
          <w:lang w:val="en-US" w:eastAsia="ja-JP"/>
        </w:rPr>
        <w:t>Simultaneous and/or sequential systemic or topical treatment with other potentially neuro- and/or nephrotoxic agents should be avoided, see section 4.5.</w:t>
      </w:r>
    </w:p>
    <w:p w14:paraId="7B6BD4D3" w14:textId="77777777" w:rsidR="000175D8" w:rsidRPr="003378D8" w:rsidRDefault="000175D8" w:rsidP="003378D8">
      <w:pPr>
        <w:ind w:left="851"/>
        <w:rPr>
          <w:sz w:val="24"/>
          <w:szCs w:val="24"/>
          <w:lang w:val="en-US" w:eastAsia="ja-JP"/>
        </w:rPr>
      </w:pPr>
    </w:p>
    <w:p w14:paraId="72D09BA9" w14:textId="77777777" w:rsidR="000175D8" w:rsidRPr="001F3D04" w:rsidRDefault="000175D8" w:rsidP="003378D8">
      <w:pPr>
        <w:ind w:left="851"/>
        <w:rPr>
          <w:i/>
          <w:sz w:val="24"/>
          <w:szCs w:val="24"/>
          <w:lang w:val="en-US" w:eastAsia="ja-JP"/>
        </w:rPr>
      </w:pPr>
      <w:r w:rsidRPr="001F3D04">
        <w:rPr>
          <w:i/>
          <w:sz w:val="24"/>
          <w:szCs w:val="24"/>
          <w:lang w:val="en-US" w:eastAsia="ja-JP"/>
        </w:rPr>
        <w:t>Impaired renal function</w:t>
      </w:r>
    </w:p>
    <w:p w14:paraId="47F089B8" w14:textId="77777777" w:rsidR="000175D8" w:rsidRPr="003378D8" w:rsidRDefault="000175D8" w:rsidP="003378D8">
      <w:pPr>
        <w:ind w:left="851"/>
        <w:rPr>
          <w:sz w:val="24"/>
          <w:szCs w:val="24"/>
          <w:lang w:val="en-US" w:eastAsia="ja-JP"/>
        </w:rPr>
      </w:pPr>
      <w:r w:rsidRPr="003378D8">
        <w:rPr>
          <w:sz w:val="24"/>
          <w:szCs w:val="24"/>
          <w:lang w:val="en-US" w:eastAsia="ja-JP"/>
        </w:rPr>
        <w:t>In the presence of acute or chronic pre-existing renal impairment, aminoglycosides should be used only when absolutely necessary. All possible non-nephrotoxic alternatives should be considered. Dosage adjustments are required in patients with renal impairment (see section 4.2).</w:t>
      </w:r>
    </w:p>
    <w:p w14:paraId="71E04443" w14:textId="77777777" w:rsidR="000175D8" w:rsidRPr="003378D8" w:rsidRDefault="000175D8" w:rsidP="003378D8">
      <w:pPr>
        <w:ind w:left="851"/>
        <w:rPr>
          <w:sz w:val="24"/>
          <w:szCs w:val="24"/>
          <w:lang w:val="en-US" w:eastAsia="ja-JP"/>
        </w:rPr>
      </w:pPr>
      <w:r w:rsidRPr="003378D8">
        <w:rPr>
          <w:sz w:val="24"/>
          <w:szCs w:val="24"/>
          <w:lang w:val="en-US" w:eastAsia="ja-JP"/>
        </w:rPr>
        <w:t>In isolated cases, acute renal failure may occur (see section 4.8).</w:t>
      </w:r>
    </w:p>
    <w:p w14:paraId="43A7B82C" w14:textId="77777777" w:rsidR="000175D8" w:rsidRPr="003378D8" w:rsidRDefault="000175D8" w:rsidP="003378D8">
      <w:pPr>
        <w:ind w:left="851"/>
        <w:rPr>
          <w:sz w:val="24"/>
          <w:szCs w:val="24"/>
          <w:lang w:val="en-US" w:eastAsia="ja-JP"/>
        </w:rPr>
      </w:pPr>
    </w:p>
    <w:p w14:paraId="14515750" w14:textId="77777777" w:rsidR="000175D8" w:rsidRPr="001F3D04" w:rsidRDefault="000175D8" w:rsidP="003378D8">
      <w:pPr>
        <w:ind w:left="851"/>
        <w:rPr>
          <w:i/>
          <w:sz w:val="24"/>
          <w:szCs w:val="24"/>
          <w:lang w:val="en-US" w:eastAsia="ja-JP"/>
        </w:rPr>
      </w:pPr>
      <w:r w:rsidRPr="001F3D04">
        <w:rPr>
          <w:i/>
          <w:sz w:val="24"/>
          <w:szCs w:val="24"/>
          <w:lang w:val="en-US" w:eastAsia="ja-JP"/>
        </w:rPr>
        <w:t>Patients with severe burn injuries</w:t>
      </w:r>
    </w:p>
    <w:p w14:paraId="0F8F5E0C" w14:textId="77777777" w:rsidR="000175D8" w:rsidRPr="003378D8" w:rsidRDefault="000175D8" w:rsidP="003378D8">
      <w:pPr>
        <w:ind w:left="851"/>
        <w:rPr>
          <w:sz w:val="24"/>
          <w:szCs w:val="24"/>
          <w:lang w:eastAsia="ja-JP"/>
        </w:rPr>
      </w:pPr>
      <w:r w:rsidRPr="003378D8">
        <w:rPr>
          <w:sz w:val="24"/>
          <w:szCs w:val="24"/>
          <w:lang w:val="en-US" w:eastAsia="ja-JP"/>
        </w:rPr>
        <w:t xml:space="preserve">Patients with severe burn injuries must be monitored extra carefully due to the altered pharmacokinetics. In burn patients, reduced serum concentrations of gentamicin may lead to diminished efficacy; therefore, monitoring peak plasma levels may be as clinically relevant as trough concentrations. </w:t>
      </w:r>
      <w:r w:rsidRPr="003378D8">
        <w:rPr>
          <w:sz w:val="24"/>
          <w:szCs w:val="24"/>
          <w:lang w:eastAsia="ja-JP"/>
        </w:rPr>
        <w:t xml:space="preserve">See </w:t>
      </w:r>
      <w:proofErr w:type="spellStart"/>
      <w:r w:rsidRPr="003378D8">
        <w:rPr>
          <w:sz w:val="24"/>
          <w:szCs w:val="24"/>
          <w:lang w:eastAsia="ja-JP"/>
        </w:rPr>
        <w:t>also</w:t>
      </w:r>
      <w:proofErr w:type="spellEnd"/>
      <w:r w:rsidRPr="003378D8">
        <w:rPr>
          <w:sz w:val="24"/>
          <w:szCs w:val="24"/>
          <w:lang w:eastAsia="ja-JP"/>
        </w:rPr>
        <w:t xml:space="preserve"> </w:t>
      </w:r>
      <w:proofErr w:type="spellStart"/>
      <w:r w:rsidRPr="003378D8">
        <w:rPr>
          <w:sz w:val="24"/>
          <w:szCs w:val="24"/>
          <w:lang w:eastAsia="ja-JP"/>
        </w:rPr>
        <w:t>section</w:t>
      </w:r>
      <w:proofErr w:type="spellEnd"/>
      <w:r w:rsidRPr="003378D8">
        <w:rPr>
          <w:sz w:val="24"/>
          <w:szCs w:val="24"/>
          <w:lang w:eastAsia="ja-JP"/>
        </w:rPr>
        <w:t xml:space="preserve"> 4.2.</w:t>
      </w:r>
    </w:p>
    <w:p w14:paraId="0A17BEDD" w14:textId="77777777" w:rsidR="000175D8" w:rsidRPr="003378D8" w:rsidRDefault="000175D8" w:rsidP="003378D8">
      <w:pPr>
        <w:ind w:left="851"/>
        <w:rPr>
          <w:sz w:val="24"/>
          <w:szCs w:val="24"/>
          <w:lang w:eastAsia="ja-JP"/>
        </w:rPr>
      </w:pPr>
    </w:p>
    <w:p w14:paraId="4C01E938" w14:textId="77777777" w:rsidR="000175D8" w:rsidRPr="001F3D04" w:rsidRDefault="000175D8" w:rsidP="003378D8">
      <w:pPr>
        <w:ind w:left="851"/>
        <w:rPr>
          <w:i/>
          <w:sz w:val="24"/>
          <w:szCs w:val="24"/>
          <w:lang w:eastAsia="ja-JP"/>
        </w:rPr>
      </w:pPr>
      <w:proofErr w:type="spellStart"/>
      <w:r w:rsidRPr="001F3D04">
        <w:rPr>
          <w:i/>
          <w:sz w:val="24"/>
          <w:szCs w:val="24"/>
          <w:lang w:eastAsia="ja-JP"/>
        </w:rPr>
        <w:t>Neonates</w:t>
      </w:r>
      <w:proofErr w:type="spellEnd"/>
      <w:r w:rsidRPr="001F3D04">
        <w:rPr>
          <w:i/>
          <w:sz w:val="24"/>
          <w:szCs w:val="24"/>
          <w:lang w:eastAsia="ja-JP"/>
        </w:rPr>
        <w:t xml:space="preserve"> and infants</w:t>
      </w:r>
    </w:p>
    <w:p w14:paraId="005CE762" w14:textId="77777777" w:rsidR="000175D8" w:rsidRPr="003378D8" w:rsidRDefault="000175D8" w:rsidP="003378D8">
      <w:pPr>
        <w:ind w:left="851"/>
        <w:rPr>
          <w:sz w:val="24"/>
          <w:szCs w:val="24"/>
          <w:lang w:val="en-US" w:eastAsia="ja-JP"/>
        </w:rPr>
      </w:pPr>
      <w:r w:rsidRPr="003378D8">
        <w:rPr>
          <w:sz w:val="24"/>
          <w:szCs w:val="24"/>
          <w:lang w:val="en-US" w:eastAsia="ja-JP"/>
        </w:rPr>
        <w:t xml:space="preserve">In </w:t>
      </w:r>
      <w:proofErr w:type="gramStart"/>
      <w:r w:rsidRPr="003378D8">
        <w:rPr>
          <w:sz w:val="24"/>
          <w:szCs w:val="24"/>
          <w:lang w:val="en-US" w:eastAsia="ja-JP"/>
        </w:rPr>
        <w:t>neonates</w:t>
      </w:r>
      <w:proofErr w:type="gramEnd"/>
      <w:r w:rsidRPr="003378D8">
        <w:rPr>
          <w:sz w:val="24"/>
          <w:szCs w:val="24"/>
          <w:lang w:val="en-US" w:eastAsia="ja-JP"/>
        </w:rPr>
        <w:t xml:space="preserve"> gentamicin should only be used to treat severe and life-threatening infections.</w:t>
      </w:r>
    </w:p>
    <w:p w14:paraId="07254C82" w14:textId="77777777" w:rsidR="000175D8" w:rsidRPr="003378D8" w:rsidRDefault="000175D8" w:rsidP="003378D8">
      <w:pPr>
        <w:ind w:left="851"/>
        <w:rPr>
          <w:sz w:val="24"/>
          <w:szCs w:val="24"/>
          <w:lang w:val="en-US" w:eastAsia="ja-JP"/>
        </w:rPr>
      </w:pPr>
      <w:r w:rsidRPr="003378D8">
        <w:rPr>
          <w:sz w:val="24"/>
          <w:szCs w:val="24"/>
          <w:lang w:val="en-US" w:eastAsia="ja-JP"/>
        </w:rPr>
        <w:t>An increase in mortality has been observed in neonates and infants less than 1 year of age who have received gentamicin by intraventricular injection. See also sections 4.1, 4.2, 4.3, and 5.2.</w:t>
      </w:r>
    </w:p>
    <w:p w14:paraId="3CF4C9A8" w14:textId="77777777" w:rsidR="000175D8" w:rsidRPr="003378D8" w:rsidRDefault="000175D8" w:rsidP="003378D8">
      <w:pPr>
        <w:ind w:left="851"/>
        <w:rPr>
          <w:sz w:val="24"/>
          <w:szCs w:val="24"/>
          <w:lang w:val="en-US" w:eastAsia="ja-JP"/>
        </w:rPr>
      </w:pPr>
    </w:p>
    <w:p w14:paraId="15E8FD41" w14:textId="77777777" w:rsidR="000175D8" w:rsidRPr="001F3D04" w:rsidRDefault="000175D8" w:rsidP="003378D8">
      <w:pPr>
        <w:ind w:left="851"/>
        <w:rPr>
          <w:i/>
          <w:sz w:val="24"/>
          <w:szCs w:val="24"/>
          <w:lang w:val="en-US" w:eastAsia="ja-JP"/>
        </w:rPr>
      </w:pPr>
      <w:r w:rsidRPr="001F3D04">
        <w:rPr>
          <w:i/>
          <w:sz w:val="24"/>
          <w:szCs w:val="24"/>
          <w:lang w:val="en-US" w:eastAsia="ja-JP"/>
        </w:rPr>
        <w:t>Elderly</w:t>
      </w:r>
    </w:p>
    <w:p w14:paraId="264858E4" w14:textId="77777777" w:rsidR="000175D8" w:rsidRPr="003378D8" w:rsidRDefault="000175D8" w:rsidP="003378D8">
      <w:pPr>
        <w:ind w:left="851"/>
        <w:rPr>
          <w:sz w:val="24"/>
          <w:szCs w:val="24"/>
          <w:lang w:val="en-US" w:eastAsia="ja-JP"/>
        </w:rPr>
      </w:pPr>
      <w:r w:rsidRPr="003378D8">
        <w:rPr>
          <w:sz w:val="24"/>
          <w:szCs w:val="24"/>
          <w:lang w:val="en-US" w:eastAsia="ja-JP"/>
        </w:rPr>
        <w:t>Elderly patients can have impaired renal function that does not show up in routine analyses like Blood Urea Nitrogen (BUN) and serum creatinine. Creatinine clearance determination is more precise, and monitoring renal function is especially important in these patients. See also section 4.2.</w:t>
      </w:r>
    </w:p>
    <w:p w14:paraId="4086F819" w14:textId="77777777" w:rsidR="000175D8" w:rsidRPr="003378D8" w:rsidRDefault="000175D8" w:rsidP="003378D8">
      <w:pPr>
        <w:ind w:left="851"/>
        <w:rPr>
          <w:sz w:val="24"/>
          <w:szCs w:val="24"/>
          <w:lang w:val="en-US" w:eastAsia="ja-JP"/>
        </w:rPr>
      </w:pPr>
    </w:p>
    <w:p w14:paraId="14E8A5AF" w14:textId="77777777" w:rsidR="000175D8" w:rsidRPr="001F3D04" w:rsidRDefault="000175D8" w:rsidP="003378D8">
      <w:pPr>
        <w:ind w:left="851"/>
        <w:rPr>
          <w:i/>
          <w:sz w:val="24"/>
          <w:szCs w:val="24"/>
          <w:lang w:val="en-GB" w:eastAsia="en-US"/>
        </w:rPr>
      </w:pPr>
      <w:r w:rsidRPr="001F3D04">
        <w:rPr>
          <w:i/>
          <w:sz w:val="24"/>
          <w:szCs w:val="24"/>
          <w:lang w:val="en-GB"/>
        </w:rPr>
        <w:t>Obese patients</w:t>
      </w:r>
    </w:p>
    <w:p w14:paraId="3C28F2CE" w14:textId="77777777" w:rsidR="000175D8" w:rsidRPr="003378D8" w:rsidRDefault="000175D8" w:rsidP="003378D8">
      <w:pPr>
        <w:ind w:left="851"/>
        <w:rPr>
          <w:sz w:val="24"/>
          <w:szCs w:val="24"/>
          <w:lang w:val="en-GB"/>
        </w:rPr>
      </w:pPr>
      <w:r w:rsidRPr="003378D8">
        <w:rPr>
          <w:sz w:val="24"/>
          <w:szCs w:val="24"/>
          <w:lang w:val="en-GB"/>
        </w:rPr>
        <w:t>Dose calculations should be based on ideal body weight (see section 4.2). In cases where the BMI is ≥35 kg/m</w:t>
      </w:r>
      <w:r w:rsidRPr="00A559F5">
        <w:rPr>
          <w:sz w:val="24"/>
          <w:szCs w:val="24"/>
          <w:vertAlign w:val="superscript"/>
          <w:lang w:val="en-GB"/>
        </w:rPr>
        <w:t>2</w:t>
      </w:r>
      <w:r w:rsidRPr="003378D8">
        <w:rPr>
          <w:sz w:val="24"/>
          <w:szCs w:val="24"/>
          <w:lang w:val="en-GB"/>
        </w:rPr>
        <w:t>, gentamicin serum concentrations should be closely monitored.</w:t>
      </w:r>
    </w:p>
    <w:p w14:paraId="09F7A693" w14:textId="51DB90D0" w:rsidR="00A559F5" w:rsidRDefault="00A559F5">
      <w:pPr>
        <w:rPr>
          <w:sz w:val="24"/>
          <w:szCs w:val="24"/>
          <w:lang w:val="en-US" w:eastAsia="ja-JP"/>
        </w:rPr>
      </w:pPr>
      <w:r>
        <w:rPr>
          <w:sz w:val="24"/>
          <w:szCs w:val="24"/>
          <w:lang w:val="en-US" w:eastAsia="ja-JP"/>
        </w:rPr>
        <w:br w:type="page"/>
      </w:r>
    </w:p>
    <w:p w14:paraId="6F4F67E8" w14:textId="77777777" w:rsidR="000175D8" w:rsidRPr="003378D8" w:rsidRDefault="000175D8" w:rsidP="003378D8">
      <w:pPr>
        <w:ind w:left="851"/>
        <w:rPr>
          <w:sz w:val="24"/>
          <w:szCs w:val="24"/>
          <w:lang w:val="en-US" w:eastAsia="ja-JP"/>
        </w:rPr>
      </w:pPr>
    </w:p>
    <w:p w14:paraId="7CBE11CB" w14:textId="77777777" w:rsidR="000175D8" w:rsidRPr="001F3D04" w:rsidRDefault="000175D8" w:rsidP="003378D8">
      <w:pPr>
        <w:ind w:left="851"/>
        <w:rPr>
          <w:i/>
          <w:sz w:val="24"/>
          <w:szCs w:val="24"/>
          <w:lang w:val="en-US" w:eastAsia="ja-JP"/>
        </w:rPr>
      </w:pPr>
      <w:r w:rsidRPr="001F3D04">
        <w:rPr>
          <w:i/>
          <w:sz w:val="24"/>
          <w:szCs w:val="24"/>
          <w:lang w:val="en-US" w:eastAsia="ja-JP"/>
        </w:rPr>
        <w:t>Superinfections</w:t>
      </w:r>
    </w:p>
    <w:p w14:paraId="22BD8206" w14:textId="77777777" w:rsidR="000175D8" w:rsidRPr="003378D8" w:rsidRDefault="000175D8" w:rsidP="003378D8">
      <w:pPr>
        <w:ind w:left="851"/>
        <w:rPr>
          <w:sz w:val="24"/>
          <w:szCs w:val="24"/>
          <w:lang w:val="en-US" w:eastAsia="ja-JP"/>
        </w:rPr>
      </w:pPr>
      <w:r w:rsidRPr="003378D8">
        <w:rPr>
          <w:sz w:val="24"/>
          <w:szCs w:val="24"/>
          <w:lang w:val="en-US" w:eastAsia="ja-JP"/>
        </w:rPr>
        <w:t xml:space="preserve">Treatment with gentamicin may produce an excessive growth of drug-resistant microorganisms, </w:t>
      </w:r>
      <w:r w:rsidRPr="003378D8">
        <w:rPr>
          <w:sz w:val="24"/>
          <w:szCs w:val="24"/>
          <w:lang w:val="en-US"/>
        </w:rPr>
        <w:t>therefore, continuous monitoring of the patient’s condition is essential</w:t>
      </w:r>
      <w:r w:rsidRPr="003378D8">
        <w:rPr>
          <w:sz w:val="24"/>
          <w:szCs w:val="24"/>
          <w:lang w:val="en-US" w:eastAsia="ja-JP"/>
        </w:rPr>
        <w:t>. If this happens, an appropriate treatment should be initiated.</w:t>
      </w:r>
    </w:p>
    <w:p w14:paraId="5B31DB99" w14:textId="77777777" w:rsidR="000175D8" w:rsidRPr="003378D8" w:rsidRDefault="000175D8" w:rsidP="003378D8">
      <w:pPr>
        <w:ind w:left="851"/>
        <w:rPr>
          <w:sz w:val="24"/>
          <w:szCs w:val="24"/>
          <w:lang w:val="en-US" w:eastAsia="ja-JP"/>
        </w:rPr>
      </w:pPr>
    </w:p>
    <w:p w14:paraId="22C257FF" w14:textId="77777777" w:rsidR="000175D8" w:rsidRPr="003378D8" w:rsidRDefault="000175D8" w:rsidP="003378D8">
      <w:pPr>
        <w:ind w:left="851"/>
        <w:rPr>
          <w:sz w:val="24"/>
          <w:szCs w:val="24"/>
          <w:lang w:val="en-US" w:eastAsia="ja-JP"/>
        </w:rPr>
      </w:pPr>
      <w:r w:rsidRPr="003378D8">
        <w:rPr>
          <w:sz w:val="24"/>
          <w:szCs w:val="24"/>
          <w:lang w:val="en-US" w:eastAsia="ja-JP"/>
        </w:rPr>
        <w:t>Diarrhea and pseudomembranous colitis have been observed when gentamicin is combined with other antibiotics. These diagnoses should be considered in every patient that develops diarrhea during or immediately after treatment. Gentamicin should be discontinued if the patient suffers severe diarrhea and/or bloody diarrhea during treatment and an appropriate treatment should be initiated. Drugs that inhibit peristalsis should not be administered (see section 4.8).</w:t>
      </w:r>
    </w:p>
    <w:p w14:paraId="14B69C31" w14:textId="77777777" w:rsidR="000175D8" w:rsidRPr="003378D8" w:rsidRDefault="000175D8" w:rsidP="003378D8">
      <w:pPr>
        <w:ind w:left="851"/>
        <w:rPr>
          <w:sz w:val="24"/>
          <w:szCs w:val="24"/>
          <w:lang w:val="en-US" w:eastAsia="en-US"/>
        </w:rPr>
      </w:pPr>
    </w:p>
    <w:p w14:paraId="3C92D360" w14:textId="77777777" w:rsidR="000175D8" w:rsidRPr="003378D8" w:rsidRDefault="000175D8" w:rsidP="003378D8">
      <w:pPr>
        <w:ind w:left="851"/>
        <w:rPr>
          <w:sz w:val="24"/>
          <w:szCs w:val="24"/>
          <w:lang w:val="en-GB"/>
        </w:rPr>
      </w:pPr>
      <w:r w:rsidRPr="003378D8">
        <w:rPr>
          <w:sz w:val="24"/>
          <w:szCs w:val="24"/>
          <w:lang w:val="en-GB"/>
        </w:rPr>
        <w:t>This medicine contains less than 1 mmol sodium (23 mg) per millilitre, that is to say essentially ‘sodium-free’.</w:t>
      </w:r>
    </w:p>
    <w:p w14:paraId="24BD5F7A" w14:textId="77777777" w:rsidR="007C5D2A" w:rsidRPr="003378D8" w:rsidRDefault="007C5D2A" w:rsidP="003E0341">
      <w:pPr>
        <w:tabs>
          <w:tab w:val="left" w:pos="851"/>
        </w:tabs>
        <w:ind w:left="851"/>
        <w:rPr>
          <w:sz w:val="24"/>
          <w:szCs w:val="24"/>
          <w:lang w:val="en-GB"/>
        </w:rPr>
      </w:pPr>
    </w:p>
    <w:p w14:paraId="1004980D" w14:textId="77777777" w:rsidR="007C5D2A" w:rsidRPr="003378D8" w:rsidRDefault="007C5D2A" w:rsidP="007C5D2A">
      <w:pPr>
        <w:ind w:left="851" w:hanging="851"/>
        <w:rPr>
          <w:b/>
          <w:sz w:val="24"/>
          <w:szCs w:val="24"/>
          <w:lang w:val="en-GB"/>
        </w:rPr>
      </w:pPr>
      <w:r w:rsidRPr="003378D8">
        <w:rPr>
          <w:b/>
          <w:sz w:val="24"/>
          <w:szCs w:val="24"/>
          <w:lang w:val="en-GB"/>
        </w:rPr>
        <w:t>4.5</w:t>
      </w:r>
      <w:r w:rsidRPr="003378D8">
        <w:rPr>
          <w:b/>
          <w:sz w:val="24"/>
          <w:szCs w:val="24"/>
          <w:lang w:val="en-GB"/>
        </w:rPr>
        <w:tab/>
        <w:t>Interaction with other medicinal products and other forms of interaction</w:t>
      </w:r>
    </w:p>
    <w:p w14:paraId="175DBBD5" w14:textId="77777777" w:rsidR="000175D8" w:rsidRPr="003378D8" w:rsidRDefault="000175D8" w:rsidP="003378D8">
      <w:pPr>
        <w:ind w:left="851"/>
        <w:rPr>
          <w:sz w:val="24"/>
          <w:szCs w:val="24"/>
          <w:lang w:val="en-US" w:eastAsia="ja-JP"/>
        </w:rPr>
      </w:pPr>
      <w:r w:rsidRPr="003378D8">
        <w:rPr>
          <w:sz w:val="24"/>
          <w:szCs w:val="24"/>
          <w:lang w:val="en-US" w:eastAsia="ja-JP"/>
        </w:rPr>
        <w:t xml:space="preserve">Other aminoglycosides </w:t>
      </w:r>
      <w:bookmarkStart w:id="5" w:name="_Hlk215758444"/>
      <w:r w:rsidRPr="003378D8">
        <w:rPr>
          <w:sz w:val="24"/>
          <w:szCs w:val="24"/>
          <w:lang w:val="en-US" w:eastAsia="ja-JP"/>
        </w:rPr>
        <w:t>(kanamycin, neomycin, streptomycin, tobramycin, netilmicin)</w:t>
      </w:r>
      <w:bookmarkEnd w:id="5"/>
      <w:r w:rsidRPr="003378D8">
        <w:rPr>
          <w:sz w:val="24"/>
          <w:szCs w:val="24"/>
          <w:lang w:val="en-US" w:eastAsia="ja-JP"/>
        </w:rPr>
        <w:t xml:space="preserve"> in concomitant administration with gentamicin are contraindicated due to increased risk of nephrotoxicity and ototoxicity.</w:t>
      </w:r>
    </w:p>
    <w:p w14:paraId="01FBAB02" w14:textId="77777777" w:rsidR="000175D8" w:rsidRPr="003378D8" w:rsidRDefault="000175D8" w:rsidP="003378D8">
      <w:pPr>
        <w:ind w:left="851"/>
        <w:rPr>
          <w:sz w:val="24"/>
          <w:szCs w:val="24"/>
          <w:lang w:val="en-US" w:eastAsia="ja-JP"/>
        </w:rPr>
      </w:pPr>
    </w:p>
    <w:p w14:paraId="2EDC09ED" w14:textId="77777777" w:rsidR="000175D8" w:rsidRPr="003378D8" w:rsidRDefault="000175D8" w:rsidP="003378D8">
      <w:pPr>
        <w:ind w:left="851"/>
        <w:rPr>
          <w:sz w:val="24"/>
          <w:szCs w:val="24"/>
          <w:u w:val="single"/>
          <w:lang w:val="en-US" w:eastAsia="ja-JP"/>
        </w:rPr>
      </w:pPr>
      <w:r w:rsidRPr="003378D8">
        <w:rPr>
          <w:sz w:val="24"/>
          <w:szCs w:val="24"/>
          <w:u w:val="single"/>
          <w:lang w:val="en-US" w:eastAsia="ja-JP"/>
        </w:rPr>
        <w:t>Ototoxic agents</w:t>
      </w:r>
    </w:p>
    <w:p w14:paraId="4A75844B" w14:textId="77777777" w:rsidR="000175D8" w:rsidRPr="003378D8" w:rsidRDefault="000175D8" w:rsidP="003378D8">
      <w:pPr>
        <w:ind w:left="851"/>
        <w:rPr>
          <w:sz w:val="24"/>
          <w:szCs w:val="24"/>
          <w:lang w:val="en-US" w:eastAsia="ja-JP"/>
        </w:rPr>
      </w:pPr>
      <w:r w:rsidRPr="003378D8">
        <w:rPr>
          <w:sz w:val="24"/>
          <w:szCs w:val="24"/>
          <w:lang w:val="en-US" w:eastAsia="ja-JP"/>
        </w:rPr>
        <w:t>Concomitant use of medicinal products with intrinsic ototoxicity should be avoided due to increased risk of vestibulocochlear damage (such as vancomycin, aminoglycosides, cytotoxic agents and diuretics such ethacrynic acid and furosemide). If such a combination is necessary, monitoring of auditory function must be increased (see section 4.4).</w:t>
      </w:r>
    </w:p>
    <w:p w14:paraId="19610EC2" w14:textId="77777777" w:rsidR="000175D8" w:rsidRPr="003378D8" w:rsidRDefault="000175D8" w:rsidP="003378D8">
      <w:pPr>
        <w:ind w:left="851"/>
        <w:rPr>
          <w:iCs/>
          <w:sz w:val="24"/>
          <w:szCs w:val="24"/>
          <w:lang w:val="en-US" w:eastAsia="ja-JP"/>
        </w:rPr>
      </w:pPr>
    </w:p>
    <w:p w14:paraId="3B7FF654" w14:textId="77777777" w:rsidR="000175D8" w:rsidRPr="003378D8" w:rsidRDefault="000175D8" w:rsidP="003378D8">
      <w:pPr>
        <w:ind w:left="851"/>
        <w:rPr>
          <w:sz w:val="24"/>
          <w:szCs w:val="24"/>
          <w:u w:val="single"/>
          <w:lang w:val="en-US" w:eastAsia="ja-JP"/>
        </w:rPr>
      </w:pPr>
      <w:r w:rsidRPr="003378D8">
        <w:rPr>
          <w:sz w:val="24"/>
          <w:szCs w:val="24"/>
          <w:u w:val="single"/>
          <w:lang w:val="en-US" w:eastAsia="ja-JP"/>
        </w:rPr>
        <w:t>Nephrotoxic agents</w:t>
      </w:r>
    </w:p>
    <w:p w14:paraId="3719C3CA" w14:textId="77777777" w:rsidR="000175D8" w:rsidRPr="003378D8" w:rsidRDefault="000175D8" w:rsidP="003378D8">
      <w:pPr>
        <w:ind w:left="851"/>
        <w:rPr>
          <w:sz w:val="24"/>
          <w:szCs w:val="24"/>
          <w:lang w:val="en-US" w:eastAsia="ja-JP"/>
        </w:rPr>
      </w:pPr>
      <w:r w:rsidRPr="003378D8">
        <w:rPr>
          <w:sz w:val="24"/>
          <w:szCs w:val="24"/>
          <w:lang w:val="en-US" w:eastAsia="ja-JP"/>
        </w:rPr>
        <w:t>Concomitant use of medicinal products with intrinsic renal toxicity should be avoided, due to increased risk of nephrotoxicity, such as cephalosporins (especially cephaloridine), cytotoxic agents, amphotericin B, pentamidine, cisplatin, ciclosporin, iodinated contrast media, antiviral drugs, tacrolimus, NSAIDs. If such a combination is necessary, monitoring of renal function must be increased (see section 4.4).</w:t>
      </w:r>
    </w:p>
    <w:p w14:paraId="7278FCF6" w14:textId="77777777" w:rsidR="000175D8" w:rsidRPr="003378D8" w:rsidRDefault="000175D8" w:rsidP="003378D8">
      <w:pPr>
        <w:ind w:left="851"/>
        <w:rPr>
          <w:sz w:val="24"/>
          <w:szCs w:val="24"/>
          <w:u w:val="single"/>
          <w:lang w:val="en-US" w:eastAsia="ja-JP"/>
        </w:rPr>
      </w:pPr>
    </w:p>
    <w:p w14:paraId="268D6EBE" w14:textId="77777777" w:rsidR="000175D8" w:rsidRPr="003378D8" w:rsidRDefault="000175D8" w:rsidP="003378D8">
      <w:pPr>
        <w:ind w:left="851"/>
        <w:rPr>
          <w:sz w:val="24"/>
          <w:szCs w:val="24"/>
          <w:u w:val="single"/>
          <w:lang w:val="en-US" w:eastAsia="ja-JP"/>
        </w:rPr>
      </w:pPr>
      <w:r w:rsidRPr="003378D8">
        <w:rPr>
          <w:sz w:val="24"/>
          <w:szCs w:val="24"/>
          <w:u w:val="single"/>
          <w:lang w:val="en-US" w:eastAsia="ja-JP"/>
        </w:rPr>
        <w:t>Furosemide</w:t>
      </w:r>
    </w:p>
    <w:p w14:paraId="1ADE2ECA" w14:textId="77777777" w:rsidR="000175D8" w:rsidRPr="003378D8" w:rsidRDefault="000175D8" w:rsidP="003378D8">
      <w:pPr>
        <w:ind w:left="851"/>
        <w:rPr>
          <w:sz w:val="24"/>
          <w:szCs w:val="24"/>
          <w:lang w:val="en-US" w:eastAsia="ja-JP"/>
        </w:rPr>
      </w:pPr>
      <w:r w:rsidRPr="003378D8">
        <w:rPr>
          <w:sz w:val="24"/>
          <w:szCs w:val="24"/>
          <w:lang w:val="en-US" w:eastAsia="ja-JP"/>
        </w:rPr>
        <w:t>In case of concomitant IV administration of gentamicin (80 mg) and furosemide (40 mg), gentamicin clearance decreases by approximately 40%, resulting in increased plasma concentrations.</w:t>
      </w:r>
    </w:p>
    <w:p w14:paraId="58B5C4F6" w14:textId="77777777" w:rsidR="000175D8" w:rsidRPr="003378D8" w:rsidRDefault="000175D8" w:rsidP="003378D8">
      <w:pPr>
        <w:ind w:left="851"/>
        <w:rPr>
          <w:sz w:val="24"/>
          <w:szCs w:val="24"/>
          <w:lang w:val="en-US" w:eastAsia="ja-JP"/>
        </w:rPr>
      </w:pPr>
    </w:p>
    <w:p w14:paraId="5051F971" w14:textId="77777777" w:rsidR="000175D8" w:rsidRPr="003378D8" w:rsidRDefault="000175D8" w:rsidP="003378D8">
      <w:pPr>
        <w:ind w:left="851"/>
        <w:rPr>
          <w:sz w:val="24"/>
          <w:szCs w:val="24"/>
          <w:u w:val="single"/>
          <w:lang w:val="en-US" w:eastAsia="ja-JP"/>
        </w:rPr>
      </w:pPr>
      <w:r w:rsidRPr="003378D8">
        <w:rPr>
          <w:sz w:val="24"/>
          <w:szCs w:val="24"/>
          <w:u w:val="single"/>
          <w:lang w:val="en-US" w:eastAsia="ja-JP"/>
        </w:rPr>
        <w:t>Indomethacin</w:t>
      </w:r>
    </w:p>
    <w:p w14:paraId="73DB495A" w14:textId="77777777" w:rsidR="000175D8" w:rsidRPr="003378D8" w:rsidRDefault="000175D8" w:rsidP="003378D8">
      <w:pPr>
        <w:ind w:left="851"/>
        <w:rPr>
          <w:sz w:val="24"/>
          <w:szCs w:val="24"/>
          <w:lang w:val="en-US" w:eastAsia="ja-JP"/>
        </w:rPr>
      </w:pPr>
      <w:r w:rsidRPr="003378D8">
        <w:rPr>
          <w:sz w:val="24"/>
          <w:szCs w:val="24"/>
          <w:lang w:val="en-US" w:eastAsia="ja-JP"/>
        </w:rPr>
        <w:t>Indomethacin increases serum gentamicin concentration, which must be considered in neonates treated with indomethacin, the risk of nephrotoxicity increases.</w:t>
      </w:r>
    </w:p>
    <w:p w14:paraId="3E99F1B7" w14:textId="77777777" w:rsidR="000175D8" w:rsidRPr="003378D8" w:rsidRDefault="000175D8" w:rsidP="003378D8">
      <w:pPr>
        <w:ind w:left="851"/>
        <w:rPr>
          <w:sz w:val="24"/>
          <w:szCs w:val="24"/>
          <w:lang w:val="en-US" w:eastAsia="ja-JP"/>
        </w:rPr>
      </w:pPr>
    </w:p>
    <w:p w14:paraId="32DAC23D" w14:textId="77777777" w:rsidR="000175D8" w:rsidRPr="003378D8" w:rsidRDefault="000175D8" w:rsidP="003378D8">
      <w:pPr>
        <w:ind w:left="851"/>
        <w:rPr>
          <w:sz w:val="24"/>
          <w:szCs w:val="24"/>
          <w:u w:val="single"/>
          <w:lang w:val="en-US" w:eastAsia="ja-JP"/>
        </w:rPr>
      </w:pPr>
      <w:r w:rsidRPr="003378D8">
        <w:rPr>
          <w:sz w:val="24"/>
          <w:szCs w:val="24"/>
          <w:u w:val="single"/>
          <w:lang w:val="en-US" w:eastAsia="ja-JP"/>
        </w:rPr>
        <w:t>Neuromuscular blocking agent</w:t>
      </w:r>
    </w:p>
    <w:p w14:paraId="0D5A5FF3" w14:textId="77777777" w:rsidR="000175D8" w:rsidRPr="003378D8" w:rsidRDefault="000175D8" w:rsidP="003378D8">
      <w:pPr>
        <w:ind w:left="851"/>
        <w:rPr>
          <w:sz w:val="24"/>
          <w:szCs w:val="24"/>
          <w:lang w:val="en-US" w:eastAsia="ja-JP"/>
        </w:rPr>
      </w:pPr>
      <w:r w:rsidRPr="003378D8">
        <w:rPr>
          <w:sz w:val="24"/>
          <w:szCs w:val="24"/>
          <w:lang w:val="en-US" w:eastAsia="ja-JP"/>
        </w:rPr>
        <w:t>Neuromuscular blockade and respiratory depression have been reported when aminoglycosides are administered to patients who have received curare-type muscle relaxants during anesthesia (see section 4.4).</w:t>
      </w:r>
    </w:p>
    <w:p w14:paraId="5F1FB32F" w14:textId="77777777" w:rsidR="000175D8" w:rsidRPr="003378D8" w:rsidRDefault="000175D8" w:rsidP="003378D8">
      <w:pPr>
        <w:ind w:left="851"/>
        <w:rPr>
          <w:sz w:val="24"/>
          <w:szCs w:val="24"/>
          <w:lang w:val="en-US" w:eastAsia="ja-JP"/>
        </w:rPr>
      </w:pPr>
    </w:p>
    <w:p w14:paraId="5E29FDF8" w14:textId="77777777" w:rsidR="000175D8" w:rsidRPr="003378D8" w:rsidRDefault="000175D8" w:rsidP="003378D8">
      <w:pPr>
        <w:ind w:left="851"/>
        <w:rPr>
          <w:sz w:val="24"/>
          <w:szCs w:val="24"/>
          <w:lang w:val="en-US" w:eastAsia="ja-JP"/>
        </w:rPr>
      </w:pPr>
      <w:r w:rsidRPr="003378D8">
        <w:rPr>
          <w:sz w:val="24"/>
          <w:szCs w:val="24"/>
          <w:lang w:val="en-US" w:eastAsia="ja-JP"/>
        </w:rPr>
        <w:t xml:space="preserve">Concomitant use of gentamicin with drugs that block the neuromuscular junction, such as botulinum toxin, may increase the risk of neuromuscular blockade. Blockage of the </w:t>
      </w:r>
      <w:r w:rsidRPr="003378D8">
        <w:rPr>
          <w:sz w:val="24"/>
          <w:szCs w:val="24"/>
          <w:lang w:val="en-US" w:eastAsia="ja-JP"/>
        </w:rPr>
        <w:lastRenderedPageBreak/>
        <w:t>neuromuscular junction and respiratory depression have been found in animal experiments with doses that many times exceed the recommended doses.</w:t>
      </w:r>
    </w:p>
    <w:p w14:paraId="0C010284" w14:textId="77777777" w:rsidR="000175D8" w:rsidRPr="003378D8" w:rsidRDefault="000175D8" w:rsidP="003378D8">
      <w:pPr>
        <w:ind w:left="851"/>
        <w:rPr>
          <w:sz w:val="24"/>
          <w:szCs w:val="24"/>
          <w:lang w:val="en-US" w:eastAsia="ja-JP"/>
        </w:rPr>
      </w:pPr>
    </w:p>
    <w:p w14:paraId="1DCA3941" w14:textId="77777777" w:rsidR="000175D8" w:rsidRPr="003378D8" w:rsidRDefault="000175D8" w:rsidP="003378D8">
      <w:pPr>
        <w:ind w:left="851"/>
        <w:rPr>
          <w:sz w:val="24"/>
          <w:szCs w:val="24"/>
          <w:lang w:val="en-US" w:eastAsia="ja-JP"/>
        </w:rPr>
      </w:pPr>
      <w:r w:rsidRPr="003378D8">
        <w:rPr>
          <w:sz w:val="24"/>
          <w:szCs w:val="24"/>
          <w:lang w:val="en-US" w:eastAsia="ja-JP"/>
        </w:rPr>
        <w:t>Respiratory paralysis and prolongation of neuromuscular blockade may occur if a neuromuscular blocking agent such as anesthetics, muscle relaxants or massive transfusions with citrated anticoagulated blood are administered to a patient receiving gentamicin. If a blockage occurs, it can be treated with calcium salts. See also section 4.4.</w:t>
      </w:r>
    </w:p>
    <w:p w14:paraId="72032809" w14:textId="77777777" w:rsidR="000175D8" w:rsidRPr="003378D8" w:rsidRDefault="000175D8" w:rsidP="003378D8">
      <w:pPr>
        <w:ind w:left="851"/>
        <w:rPr>
          <w:sz w:val="24"/>
          <w:szCs w:val="24"/>
          <w:lang w:val="en-US" w:eastAsia="ja-JP"/>
        </w:rPr>
      </w:pPr>
    </w:p>
    <w:p w14:paraId="7E23CEA9" w14:textId="77777777" w:rsidR="000175D8" w:rsidRPr="003378D8" w:rsidRDefault="000175D8" w:rsidP="003378D8">
      <w:pPr>
        <w:ind w:left="851"/>
        <w:rPr>
          <w:sz w:val="24"/>
          <w:szCs w:val="24"/>
          <w:lang w:val="en-US" w:eastAsia="ja-JP"/>
        </w:rPr>
      </w:pPr>
      <w:r w:rsidRPr="003378D8">
        <w:rPr>
          <w:sz w:val="24"/>
          <w:szCs w:val="24"/>
          <w:lang w:val="en-US" w:eastAsia="ja-JP"/>
        </w:rPr>
        <w:t>Aminoglycosides such as gentamicin may act as neuromuscular junction blockers and thus may block the effects of neostigmine or pyridostigmine.</w:t>
      </w:r>
    </w:p>
    <w:p w14:paraId="3EBC3117" w14:textId="77777777" w:rsidR="000175D8" w:rsidRPr="003378D8" w:rsidRDefault="000175D8" w:rsidP="003378D8">
      <w:pPr>
        <w:ind w:left="851"/>
        <w:rPr>
          <w:sz w:val="24"/>
          <w:szCs w:val="24"/>
          <w:lang w:val="en-US" w:eastAsia="ja-JP"/>
        </w:rPr>
      </w:pPr>
    </w:p>
    <w:p w14:paraId="54B41765" w14:textId="77777777" w:rsidR="000175D8" w:rsidRPr="003378D8" w:rsidRDefault="000175D8" w:rsidP="003378D8">
      <w:pPr>
        <w:ind w:left="851"/>
        <w:rPr>
          <w:sz w:val="24"/>
          <w:szCs w:val="24"/>
          <w:u w:val="single"/>
          <w:lang w:val="en-US" w:eastAsia="ja-JP"/>
        </w:rPr>
      </w:pPr>
      <w:r w:rsidRPr="003378D8">
        <w:rPr>
          <w:sz w:val="24"/>
          <w:szCs w:val="24"/>
          <w:u w:val="single"/>
          <w:lang w:val="en-US" w:eastAsia="ja-JP"/>
        </w:rPr>
        <w:t>Oral anticoagulants</w:t>
      </w:r>
    </w:p>
    <w:p w14:paraId="1BF267F1" w14:textId="77777777" w:rsidR="000175D8" w:rsidRPr="003378D8" w:rsidRDefault="000175D8" w:rsidP="003378D8">
      <w:pPr>
        <w:ind w:left="851"/>
        <w:rPr>
          <w:sz w:val="24"/>
          <w:szCs w:val="24"/>
          <w:lang w:val="en-US" w:eastAsia="ja-JP"/>
        </w:rPr>
      </w:pPr>
      <w:r w:rsidRPr="003378D8">
        <w:rPr>
          <w:sz w:val="24"/>
          <w:szCs w:val="24"/>
          <w:lang w:val="en-US" w:eastAsia="ja-JP"/>
        </w:rPr>
        <w:t>Concomitant use of oral anticoagulants may decrease thrombin concentrations and increase the risk of bleeding.</w:t>
      </w:r>
    </w:p>
    <w:p w14:paraId="7BDE1C32" w14:textId="77777777" w:rsidR="007C5D2A" w:rsidRPr="003378D8" w:rsidRDefault="007C5D2A" w:rsidP="003378D8">
      <w:pPr>
        <w:ind w:left="851"/>
        <w:rPr>
          <w:sz w:val="24"/>
          <w:szCs w:val="24"/>
          <w:lang w:val="en-GB"/>
        </w:rPr>
      </w:pPr>
    </w:p>
    <w:p w14:paraId="12ECA9EB"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4.6</w:t>
      </w:r>
      <w:r w:rsidRPr="003378D8">
        <w:rPr>
          <w:b/>
          <w:sz w:val="24"/>
          <w:szCs w:val="24"/>
          <w:lang w:val="en-GB"/>
        </w:rPr>
        <w:tab/>
      </w:r>
      <w:r w:rsidR="004860D3" w:rsidRPr="003378D8">
        <w:rPr>
          <w:b/>
          <w:sz w:val="24"/>
          <w:szCs w:val="24"/>
          <w:lang w:val="en-GB"/>
        </w:rPr>
        <w:t>Fertility, p</w:t>
      </w:r>
      <w:r w:rsidRPr="003378D8">
        <w:rPr>
          <w:b/>
          <w:sz w:val="24"/>
          <w:szCs w:val="24"/>
          <w:lang w:val="en-GB"/>
        </w:rPr>
        <w:t>regnancy and lactation</w:t>
      </w:r>
    </w:p>
    <w:p w14:paraId="3384B227" w14:textId="77777777" w:rsidR="001F3D04" w:rsidRDefault="001F3D04" w:rsidP="003378D8">
      <w:pPr>
        <w:ind w:left="851"/>
        <w:rPr>
          <w:noProof/>
          <w:sz w:val="24"/>
          <w:szCs w:val="24"/>
          <w:lang w:val="en-US"/>
        </w:rPr>
      </w:pPr>
    </w:p>
    <w:p w14:paraId="55C96149" w14:textId="5DEEF6F3" w:rsidR="000175D8" w:rsidRPr="001F3D04" w:rsidRDefault="000175D8" w:rsidP="003378D8">
      <w:pPr>
        <w:ind w:left="851"/>
        <w:rPr>
          <w:sz w:val="24"/>
          <w:szCs w:val="24"/>
          <w:u w:val="single"/>
          <w:lang w:val="en-US" w:eastAsia="ja-JP"/>
        </w:rPr>
      </w:pPr>
      <w:r w:rsidRPr="001F3D04">
        <w:rPr>
          <w:noProof/>
          <w:sz w:val="24"/>
          <w:szCs w:val="24"/>
          <w:u w:val="single"/>
          <w:lang w:val="en-US"/>
        </w:rPr>
        <w:t>Pregnancy</w:t>
      </w:r>
    </w:p>
    <w:p w14:paraId="29A5FF1E" w14:textId="77777777" w:rsidR="000175D8" w:rsidRPr="003378D8" w:rsidRDefault="000175D8" w:rsidP="003378D8">
      <w:pPr>
        <w:ind w:left="851"/>
        <w:rPr>
          <w:sz w:val="24"/>
          <w:szCs w:val="24"/>
          <w:lang w:val="en-US" w:eastAsia="ja-JP"/>
        </w:rPr>
      </w:pPr>
      <w:r w:rsidRPr="003378D8">
        <w:rPr>
          <w:sz w:val="24"/>
          <w:szCs w:val="24"/>
          <w:lang w:val="en-US" w:eastAsia="ja-JP"/>
        </w:rPr>
        <w:t>Treatment with aminoglycosides of the older generation (e.g., streptomycin) has been associated with fetal vestibulocochlear nerve damage and congenital deafness. Teratogenic hearing loss has not been observed with aminoglycosides in current use.</w:t>
      </w:r>
      <w:r w:rsidRPr="003378D8">
        <w:rPr>
          <w:sz w:val="24"/>
          <w:szCs w:val="24"/>
          <w:lang w:val="en-US"/>
        </w:rPr>
        <w:t xml:space="preserve"> </w:t>
      </w:r>
      <w:r w:rsidRPr="003378D8">
        <w:rPr>
          <w:sz w:val="24"/>
          <w:szCs w:val="24"/>
          <w:lang w:val="en-US" w:eastAsia="ja-JP"/>
        </w:rPr>
        <w:t>Gentamicin should not be used in pregnancy unless in case of a life-threatening indication and if no other treatment options are available.</w:t>
      </w:r>
    </w:p>
    <w:p w14:paraId="6038F451" w14:textId="77777777" w:rsidR="000175D8" w:rsidRPr="003378D8" w:rsidRDefault="000175D8" w:rsidP="003378D8">
      <w:pPr>
        <w:ind w:left="851"/>
        <w:rPr>
          <w:sz w:val="24"/>
          <w:szCs w:val="24"/>
          <w:lang w:val="en-US" w:eastAsia="ja-JP"/>
        </w:rPr>
      </w:pPr>
      <w:r w:rsidRPr="003378D8">
        <w:rPr>
          <w:sz w:val="24"/>
          <w:szCs w:val="24"/>
          <w:lang w:val="en-US" w:eastAsia="ja-JP"/>
        </w:rPr>
        <w:t>There are no adequate data from the use of gentamicin in pregnant women. Studies in animals have shown reproductive toxicity (see section 5.3). Gentamicin crosses the placenta. In case of exposition to gentamicin during pregnancy, monitoring of hearing and renal function of the newborn is recommended.</w:t>
      </w:r>
      <w:r w:rsidRPr="003378D8">
        <w:rPr>
          <w:sz w:val="24"/>
          <w:szCs w:val="24"/>
          <w:lang w:val="en-US"/>
        </w:rPr>
        <w:t xml:space="preserve"> M</w:t>
      </w:r>
      <w:r w:rsidRPr="003378D8">
        <w:rPr>
          <w:sz w:val="24"/>
          <w:szCs w:val="24"/>
          <w:lang w:val="en-US" w:eastAsia="ja-JP"/>
        </w:rPr>
        <w:t>onitoring of the mother's serum gentamicin concentration is recommended (see section 4.2).</w:t>
      </w:r>
    </w:p>
    <w:p w14:paraId="0401C024" w14:textId="77777777" w:rsidR="000175D8" w:rsidRPr="003378D8" w:rsidRDefault="000175D8" w:rsidP="003378D8">
      <w:pPr>
        <w:ind w:left="851"/>
        <w:rPr>
          <w:sz w:val="24"/>
          <w:szCs w:val="24"/>
          <w:lang w:val="en-US" w:eastAsia="ja-JP"/>
        </w:rPr>
      </w:pPr>
    </w:p>
    <w:p w14:paraId="5234CA18" w14:textId="77777777" w:rsidR="000175D8" w:rsidRPr="001F3D04" w:rsidRDefault="000175D8" w:rsidP="003378D8">
      <w:pPr>
        <w:ind w:left="851"/>
        <w:rPr>
          <w:sz w:val="24"/>
          <w:szCs w:val="24"/>
          <w:u w:val="single"/>
          <w:lang w:val="en-US" w:eastAsia="ja-JP"/>
        </w:rPr>
      </w:pPr>
      <w:r w:rsidRPr="001F3D04">
        <w:rPr>
          <w:noProof/>
          <w:sz w:val="24"/>
          <w:szCs w:val="24"/>
          <w:u w:val="single"/>
          <w:lang w:val="en-US"/>
        </w:rPr>
        <w:t>Breast-feeding</w:t>
      </w:r>
    </w:p>
    <w:p w14:paraId="4E39CA38" w14:textId="77777777" w:rsidR="000175D8" w:rsidRPr="003378D8" w:rsidRDefault="000175D8" w:rsidP="003378D8">
      <w:pPr>
        <w:ind w:left="851"/>
        <w:rPr>
          <w:sz w:val="24"/>
          <w:szCs w:val="24"/>
          <w:lang w:val="ro-RO" w:eastAsia="ja-JP"/>
        </w:rPr>
      </w:pPr>
      <w:r w:rsidRPr="003378D8">
        <w:rPr>
          <w:sz w:val="24"/>
          <w:szCs w:val="24"/>
          <w:lang w:val="ro-RO" w:eastAsia="ja-JP"/>
        </w:rPr>
        <w:t xml:space="preserve">Gentamicin is excreted in human breast milk and was detected in low concentrations in serum of breast-fed children. A decision must be made whether to discontinue breast-feeding or to </w:t>
      </w:r>
      <w:bookmarkStart w:id="6" w:name="_Hlk210915996"/>
      <w:r w:rsidRPr="003378D8">
        <w:rPr>
          <w:sz w:val="24"/>
          <w:szCs w:val="24"/>
          <w:lang w:val="ro-RO" w:eastAsia="ja-JP"/>
        </w:rPr>
        <w:t xml:space="preserve">discontinue/abstain from gentamicin therapy. </w:t>
      </w:r>
    </w:p>
    <w:bookmarkEnd w:id="6"/>
    <w:p w14:paraId="47EC1B34" w14:textId="77777777" w:rsidR="007C5D2A" w:rsidRPr="003378D8" w:rsidRDefault="007C5D2A" w:rsidP="003E0341">
      <w:pPr>
        <w:tabs>
          <w:tab w:val="left" w:pos="851"/>
        </w:tabs>
        <w:ind w:left="851"/>
        <w:rPr>
          <w:sz w:val="24"/>
          <w:szCs w:val="24"/>
          <w:lang w:val="en-GB"/>
        </w:rPr>
      </w:pPr>
    </w:p>
    <w:p w14:paraId="47DC881C"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4.7</w:t>
      </w:r>
      <w:r w:rsidRPr="003378D8">
        <w:rPr>
          <w:b/>
          <w:sz w:val="24"/>
          <w:szCs w:val="24"/>
          <w:lang w:val="en-GB"/>
        </w:rPr>
        <w:tab/>
        <w:t>Effects on ability to drive and use machines</w:t>
      </w:r>
    </w:p>
    <w:p w14:paraId="5D21E7E0" w14:textId="77777777" w:rsidR="00F03A0A" w:rsidRDefault="00F03A0A" w:rsidP="003378D8">
      <w:pPr>
        <w:ind w:left="851"/>
        <w:rPr>
          <w:sz w:val="24"/>
          <w:szCs w:val="24"/>
          <w:lang w:val="en-GB"/>
        </w:rPr>
      </w:pPr>
      <w:r>
        <w:rPr>
          <w:sz w:val="24"/>
          <w:szCs w:val="24"/>
          <w:lang w:val="en-GB"/>
        </w:rPr>
        <w:t>No traffic warning.</w:t>
      </w:r>
    </w:p>
    <w:p w14:paraId="00655144" w14:textId="410E500D" w:rsidR="000175D8" w:rsidRPr="003378D8" w:rsidRDefault="000175D8" w:rsidP="003378D8">
      <w:pPr>
        <w:ind w:left="851"/>
        <w:rPr>
          <w:sz w:val="24"/>
          <w:szCs w:val="24"/>
          <w:lang w:val="en-GB"/>
        </w:rPr>
      </w:pPr>
      <w:r w:rsidRPr="003378D8">
        <w:rPr>
          <w:sz w:val="24"/>
          <w:szCs w:val="24"/>
          <w:lang w:val="en-GB"/>
        </w:rPr>
        <w:t>In the case of administration to outpatients, caution is advised when driving and using machines in view of the possible undesirable effects such as dizziness and vertigo.</w:t>
      </w:r>
    </w:p>
    <w:p w14:paraId="2DB1FBF6" w14:textId="77777777" w:rsidR="007C5D2A" w:rsidRPr="003378D8" w:rsidRDefault="007C5D2A" w:rsidP="003E0341">
      <w:pPr>
        <w:tabs>
          <w:tab w:val="left" w:pos="851"/>
        </w:tabs>
        <w:ind w:left="851"/>
        <w:rPr>
          <w:sz w:val="24"/>
          <w:szCs w:val="24"/>
          <w:lang w:val="en-GB"/>
        </w:rPr>
      </w:pPr>
    </w:p>
    <w:p w14:paraId="201BCD7B"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4.8</w:t>
      </w:r>
      <w:r w:rsidRPr="003378D8">
        <w:rPr>
          <w:b/>
          <w:sz w:val="24"/>
          <w:szCs w:val="24"/>
          <w:lang w:val="en-GB"/>
        </w:rPr>
        <w:tab/>
        <w:t>Undesirable effects</w:t>
      </w:r>
    </w:p>
    <w:p w14:paraId="726E1E08" w14:textId="77777777" w:rsidR="00090EE6" w:rsidRDefault="00090EE6" w:rsidP="003378D8">
      <w:pPr>
        <w:ind w:left="851"/>
        <w:rPr>
          <w:sz w:val="24"/>
          <w:szCs w:val="24"/>
          <w:lang w:val="en-US" w:eastAsia="ja-JP"/>
        </w:rPr>
      </w:pPr>
    </w:p>
    <w:p w14:paraId="42715CF6" w14:textId="4666D7B5" w:rsidR="000175D8" w:rsidRPr="00090EE6" w:rsidRDefault="000175D8" w:rsidP="003378D8">
      <w:pPr>
        <w:ind w:left="851"/>
        <w:rPr>
          <w:sz w:val="24"/>
          <w:szCs w:val="24"/>
          <w:u w:val="single"/>
          <w:lang w:val="en-US" w:eastAsia="ja-JP"/>
        </w:rPr>
      </w:pPr>
      <w:r w:rsidRPr="00090EE6">
        <w:rPr>
          <w:sz w:val="24"/>
          <w:szCs w:val="24"/>
          <w:u w:val="single"/>
          <w:lang w:val="en-US" w:eastAsia="ja-JP"/>
        </w:rPr>
        <w:t>Summary of the safety profile</w:t>
      </w:r>
    </w:p>
    <w:p w14:paraId="12082981" w14:textId="77777777" w:rsidR="000175D8" w:rsidRPr="003378D8" w:rsidRDefault="000175D8" w:rsidP="003378D8">
      <w:pPr>
        <w:ind w:left="851"/>
        <w:rPr>
          <w:sz w:val="24"/>
          <w:szCs w:val="24"/>
          <w:lang w:val="en-US" w:eastAsia="ja-JP"/>
        </w:rPr>
      </w:pPr>
      <w:r w:rsidRPr="003378D8">
        <w:rPr>
          <w:sz w:val="24"/>
          <w:szCs w:val="24"/>
          <w:lang w:val="en-US" w:eastAsia="ja-JP"/>
        </w:rPr>
        <w:t>Adverse reactions are usually dose dependent. The most important are ototoxic and nephrotoxic reactions.</w:t>
      </w:r>
      <w:r w:rsidRPr="003378D8">
        <w:rPr>
          <w:sz w:val="24"/>
          <w:szCs w:val="24"/>
          <w:lang w:val="en-US"/>
        </w:rPr>
        <w:t xml:space="preserve"> </w:t>
      </w:r>
      <w:r w:rsidRPr="003378D8">
        <w:rPr>
          <w:sz w:val="24"/>
          <w:szCs w:val="24"/>
          <w:lang w:val="en-US" w:eastAsia="ja-JP"/>
        </w:rPr>
        <w:t>In most cases ototoxicity/nephrotoxicity is associated with high dosage or prolonged treatment or associated with other substances reported to be ototoxic/nephrotoxic (see sections 4.4 and 4.5).</w:t>
      </w:r>
    </w:p>
    <w:p w14:paraId="5E2CEF10" w14:textId="77777777" w:rsidR="000175D8" w:rsidRPr="003378D8" w:rsidRDefault="000175D8" w:rsidP="003378D8">
      <w:pPr>
        <w:ind w:left="851"/>
        <w:rPr>
          <w:sz w:val="24"/>
          <w:szCs w:val="24"/>
          <w:lang w:val="en-US" w:eastAsia="ja-JP"/>
        </w:rPr>
      </w:pPr>
    </w:p>
    <w:p w14:paraId="7CDC114D"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Tabulated list of adverse reactions</w:t>
      </w:r>
    </w:p>
    <w:p w14:paraId="2190A4AB" w14:textId="77777777" w:rsidR="000175D8" w:rsidRPr="003378D8" w:rsidRDefault="000175D8" w:rsidP="003378D8">
      <w:pPr>
        <w:ind w:left="851"/>
        <w:rPr>
          <w:sz w:val="24"/>
          <w:szCs w:val="24"/>
          <w:lang w:val="en-US" w:eastAsia="ja-JP"/>
        </w:rPr>
      </w:pPr>
      <w:r w:rsidRPr="003378D8">
        <w:rPr>
          <w:sz w:val="24"/>
          <w:szCs w:val="24"/>
          <w:lang w:val="en-US" w:eastAsia="ja-JP"/>
        </w:rPr>
        <w:t xml:space="preserve">Adverse reactions are listed by </w:t>
      </w:r>
      <w:proofErr w:type="spellStart"/>
      <w:r w:rsidRPr="003378D8">
        <w:rPr>
          <w:sz w:val="24"/>
          <w:szCs w:val="24"/>
          <w:lang w:val="en-US" w:eastAsia="ja-JP"/>
        </w:rPr>
        <w:t>MeDRA</w:t>
      </w:r>
      <w:proofErr w:type="spellEnd"/>
      <w:r w:rsidRPr="003378D8">
        <w:rPr>
          <w:sz w:val="24"/>
          <w:szCs w:val="24"/>
          <w:lang w:val="en-US" w:eastAsia="ja-JP"/>
        </w:rPr>
        <w:t xml:space="preserve"> system organ class and categories of frequency. Frequencies are defined as: Very common (≥1/10); Common (≥1/100 to &lt;1/10); </w:t>
      </w:r>
      <w:r w:rsidRPr="003378D8">
        <w:rPr>
          <w:sz w:val="24"/>
          <w:szCs w:val="24"/>
          <w:lang w:val="en-US" w:eastAsia="ja-JP"/>
        </w:rPr>
        <w:lastRenderedPageBreak/>
        <w:t>Uncommon (≥1/1 000 to &lt;1/100); Rare (≥1/10 000 to &lt;1/1 000); Very rare (&lt;1/10 000); Not known (cannot be estimated from the available data).</w:t>
      </w:r>
    </w:p>
    <w:p w14:paraId="450A0AF7" w14:textId="77777777" w:rsidR="000175D8" w:rsidRPr="003378D8" w:rsidRDefault="000175D8" w:rsidP="003378D8">
      <w:pPr>
        <w:ind w:left="851"/>
        <w:rPr>
          <w:sz w:val="24"/>
          <w:szCs w:val="24"/>
          <w:lang w:val="en-US" w:eastAsia="ja-JP"/>
        </w:rPr>
      </w:pPr>
    </w:p>
    <w:tbl>
      <w:tblPr>
        <w:tblStyle w:val="Tabel-Gitter"/>
        <w:tblW w:w="5000" w:type="pct"/>
        <w:tblInd w:w="0" w:type="dxa"/>
        <w:tblLook w:val="04A0" w:firstRow="1" w:lastRow="0" w:firstColumn="1" w:lastColumn="0" w:noHBand="0" w:noVBand="1"/>
      </w:tblPr>
      <w:tblGrid>
        <w:gridCol w:w="1518"/>
        <w:gridCol w:w="1344"/>
        <w:gridCol w:w="1646"/>
        <w:gridCol w:w="1891"/>
        <w:gridCol w:w="1157"/>
        <w:gridCol w:w="2072"/>
      </w:tblGrid>
      <w:tr w:rsidR="000175D8" w:rsidRPr="00090EE6" w14:paraId="449F37A9" w14:textId="77777777" w:rsidTr="00090EE6">
        <w:trPr>
          <w:tblHeader/>
        </w:trPr>
        <w:tc>
          <w:tcPr>
            <w:tcW w:w="788" w:type="pct"/>
            <w:tcBorders>
              <w:top w:val="single" w:sz="4" w:space="0" w:color="auto"/>
              <w:left w:val="single" w:sz="4" w:space="0" w:color="auto"/>
              <w:bottom w:val="single" w:sz="4" w:space="0" w:color="auto"/>
              <w:right w:val="single" w:sz="4" w:space="0" w:color="auto"/>
            </w:tcBorders>
            <w:hideMark/>
          </w:tcPr>
          <w:p w14:paraId="2D536D37" w14:textId="77777777" w:rsidR="000175D8" w:rsidRPr="00090EE6" w:rsidRDefault="000175D8">
            <w:pPr>
              <w:rPr>
                <w:i/>
                <w:iCs/>
                <w:sz w:val="22"/>
                <w:szCs w:val="22"/>
                <w:lang w:eastAsia="ja-JP"/>
              </w:rPr>
            </w:pPr>
            <w:r w:rsidRPr="00090EE6">
              <w:rPr>
                <w:i/>
                <w:iCs/>
                <w:sz w:val="22"/>
                <w:szCs w:val="22"/>
                <w:lang w:eastAsia="ja-JP"/>
              </w:rPr>
              <w:t>System Organ Class</w:t>
            </w:r>
          </w:p>
        </w:tc>
        <w:tc>
          <w:tcPr>
            <w:tcW w:w="698" w:type="pct"/>
            <w:tcBorders>
              <w:top w:val="single" w:sz="4" w:space="0" w:color="auto"/>
              <w:left w:val="single" w:sz="4" w:space="0" w:color="auto"/>
              <w:bottom w:val="single" w:sz="4" w:space="0" w:color="auto"/>
              <w:right w:val="single" w:sz="4" w:space="0" w:color="auto"/>
            </w:tcBorders>
            <w:hideMark/>
          </w:tcPr>
          <w:p w14:paraId="74919565" w14:textId="77777777" w:rsidR="000175D8" w:rsidRPr="00090EE6" w:rsidRDefault="000175D8">
            <w:pPr>
              <w:rPr>
                <w:i/>
                <w:iCs/>
                <w:sz w:val="22"/>
                <w:szCs w:val="22"/>
                <w:lang w:eastAsia="ja-JP"/>
              </w:rPr>
            </w:pPr>
            <w:r w:rsidRPr="00090EE6">
              <w:rPr>
                <w:i/>
                <w:iCs/>
                <w:sz w:val="22"/>
                <w:szCs w:val="22"/>
                <w:lang w:eastAsia="ja-JP"/>
              </w:rPr>
              <w:t>Common</w:t>
            </w:r>
          </w:p>
        </w:tc>
        <w:tc>
          <w:tcPr>
            <w:tcW w:w="855" w:type="pct"/>
            <w:tcBorders>
              <w:top w:val="single" w:sz="4" w:space="0" w:color="auto"/>
              <w:left w:val="single" w:sz="4" w:space="0" w:color="auto"/>
              <w:bottom w:val="single" w:sz="4" w:space="0" w:color="auto"/>
              <w:right w:val="single" w:sz="4" w:space="0" w:color="auto"/>
            </w:tcBorders>
            <w:hideMark/>
          </w:tcPr>
          <w:p w14:paraId="101D294C" w14:textId="77777777" w:rsidR="000175D8" w:rsidRPr="00090EE6" w:rsidRDefault="000175D8">
            <w:pPr>
              <w:rPr>
                <w:i/>
                <w:iCs/>
                <w:sz w:val="22"/>
                <w:szCs w:val="22"/>
                <w:lang w:eastAsia="ja-JP"/>
              </w:rPr>
            </w:pPr>
            <w:r w:rsidRPr="00090EE6">
              <w:rPr>
                <w:i/>
                <w:iCs/>
                <w:sz w:val="22"/>
                <w:szCs w:val="22"/>
                <w:lang w:eastAsia="ja-JP"/>
              </w:rPr>
              <w:t>Uncommon</w:t>
            </w:r>
          </w:p>
        </w:tc>
        <w:tc>
          <w:tcPr>
            <w:tcW w:w="982" w:type="pct"/>
            <w:tcBorders>
              <w:top w:val="single" w:sz="4" w:space="0" w:color="auto"/>
              <w:left w:val="single" w:sz="4" w:space="0" w:color="auto"/>
              <w:bottom w:val="single" w:sz="4" w:space="0" w:color="auto"/>
              <w:right w:val="single" w:sz="4" w:space="0" w:color="auto"/>
            </w:tcBorders>
            <w:hideMark/>
          </w:tcPr>
          <w:p w14:paraId="49C607C6" w14:textId="77777777" w:rsidR="000175D8" w:rsidRPr="00090EE6" w:rsidRDefault="000175D8">
            <w:pPr>
              <w:rPr>
                <w:i/>
                <w:iCs/>
                <w:sz w:val="22"/>
                <w:szCs w:val="22"/>
                <w:lang w:eastAsia="ja-JP"/>
              </w:rPr>
            </w:pPr>
            <w:r w:rsidRPr="00090EE6">
              <w:rPr>
                <w:i/>
                <w:iCs/>
                <w:sz w:val="22"/>
                <w:szCs w:val="22"/>
                <w:lang w:eastAsia="ja-JP"/>
              </w:rPr>
              <w:t>Rare</w:t>
            </w:r>
          </w:p>
        </w:tc>
        <w:tc>
          <w:tcPr>
            <w:tcW w:w="601" w:type="pct"/>
            <w:tcBorders>
              <w:top w:val="single" w:sz="4" w:space="0" w:color="auto"/>
              <w:left w:val="single" w:sz="4" w:space="0" w:color="auto"/>
              <w:bottom w:val="single" w:sz="4" w:space="0" w:color="auto"/>
              <w:right w:val="single" w:sz="4" w:space="0" w:color="auto"/>
            </w:tcBorders>
            <w:hideMark/>
          </w:tcPr>
          <w:p w14:paraId="4D25157D" w14:textId="77777777" w:rsidR="000175D8" w:rsidRPr="00090EE6" w:rsidRDefault="000175D8">
            <w:pPr>
              <w:rPr>
                <w:i/>
                <w:iCs/>
                <w:sz w:val="22"/>
                <w:szCs w:val="22"/>
                <w:lang w:eastAsia="ja-JP"/>
              </w:rPr>
            </w:pPr>
            <w:r w:rsidRPr="00090EE6">
              <w:rPr>
                <w:i/>
                <w:iCs/>
                <w:sz w:val="22"/>
                <w:szCs w:val="22"/>
                <w:lang w:eastAsia="ja-JP"/>
              </w:rPr>
              <w:t>Very rare</w:t>
            </w:r>
          </w:p>
        </w:tc>
        <w:tc>
          <w:tcPr>
            <w:tcW w:w="1076" w:type="pct"/>
            <w:tcBorders>
              <w:top w:val="single" w:sz="4" w:space="0" w:color="auto"/>
              <w:left w:val="single" w:sz="4" w:space="0" w:color="auto"/>
              <w:bottom w:val="single" w:sz="4" w:space="0" w:color="auto"/>
              <w:right w:val="single" w:sz="4" w:space="0" w:color="auto"/>
            </w:tcBorders>
            <w:hideMark/>
          </w:tcPr>
          <w:p w14:paraId="22B63F18" w14:textId="77777777" w:rsidR="000175D8" w:rsidRPr="00090EE6" w:rsidRDefault="000175D8">
            <w:pPr>
              <w:rPr>
                <w:i/>
                <w:iCs/>
                <w:sz w:val="22"/>
                <w:szCs w:val="22"/>
                <w:lang w:eastAsia="ja-JP"/>
              </w:rPr>
            </w:pPr>
            <w:r w:rsidRPr="00090EE6">
              <w:rPr>
                <w:i/>
                <w:iCs/>
                <w:sz w:val="22"/>
                <w:szCs w:val="22"/>
                <w:lang w:eastAsia="ja-JP"/>
              </w:rPr>
              <w:t>Not known</w:t>
            </w:r>
          </w:p>
        </w:tc>
      </w:tr>
      <w:tr w:rsidR="000175D8" w:rsidRPr="00962C23" w14:paraId="577ACED1"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2B273439" w14:textId="77777777" w:rsidR="000175D8" w:rsidRPr="00090EE6" w:rsidRDefault="000175D8">
            <w:pPr>
              <w:rPr>
                <w:i/>
                <w:iCs/>
                <w:sz w:val="22"/>
                <w:szCs w:val="22"/>
                <w:lang w:eastAsia="ja-JP"/>
              </w:rPr>
            </w:pPr>
            <w:r w:rsidRPr="00090EE6">
              <w:rPr>
                <w:i/>
                <w:iCs/>
                <w:sz w:val="22"/>
                <w:szCs w:val="22"/>
                <w:lang w:eastAsia="ja-JP"/>
              </w:rPr>
              <w:t>Infections and infestations</w:t>
            </w:r>
          </w:p>
        </w:tc>
        <w:tc>
          <w:tcPr>
            <w:tcW w:w="698" w:type="pct"/>
            <w:tcBorders>
              <w:top w:val="single" w:sz="4" w:space="0" w:color="auto"/>
              <w:left w:val="single" w:sz="4" w:space="0" w:color="auto"/>
              <w:bottom w:val="single" w:sz="4" w:space="0" w:color="auto"/>
              <w:right w:val="single" w:sz="4" w:space="0" w:color="auto"/>
            </w:tcBorders>
          </w:tcPr>
          <w:p w14:paraId="1A0B42C7"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tcPr>
          <w:p w14:paraId="3D0D9E7D"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tcPr>
          <w:p w14:paraId="4E860537"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tcPr>
          <w:p w14:paraId="0682E6BA"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hideMark/>
          </w:tcPr>
          <w:p w14:paraId="66DA1594" w14:textId="77777777" w:rsidR="000175D8" w:rsidRPr="00090EE6" w:rsidRDefault="000175D8">
            <w:pPr>
              <w:rPr>
                <w:sz w:val="22"/>
                <w:szCs w:val="22"/>
                <w:lang w:eastAsia="ja-JP"/>
              </w:rPr>
            </w:pPr>
            <w:r w:rsidRPr="00090EE6">
              <w:rPr>
                <w:sz w:val="22"/>
                <w:szCs w:val="22"/>
                <w:lang w:eastAsia="ja-JP"/>
              </w:rPr>
              <w:t>Superinfection (caused by gentamicin-resistant bacteria), pseudomembranous colitis</w:t>
            </w:r>
          </w:p>
        </w:tc>
      </w:tr>
      <w:tr w:rsidR="000175D8" w:rsidRPr="00090EE6" w14:paraId="0AC26CE9"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1D5D1207" w14:textId="77777777" w:rsidR="000175D8" w:rsidRPr="00090EE6" w:rsidRDefault="000175D8">
            <w:pPr>
              <w:rPr>
                <w:i/>
                <w:iCs/>
                <w:sz w:val="22"/>
                <w:szCs w:val="22"/>
                <w:lang w:eastAsia="ja-JP"/>
              </w:rPr>
            </w:pPr>
            <w:r w:rsidRPr="00090EE6">
              <w:rPr>
                <w:i/>
                <w:iCs/>
                <w:sz w:val="22"/>
                <w:szCs w:val="22"/>
                <w:lang w:eastAsia="ja-JP"/>
              </w:rPr>
              <w:t>Blood and lymphatic system disorders</w:t>
            </w:r>
          </w:p>
        </w:tc>
        <w:tc>
          <w:tcPr>
            <w:tcW w:w="698" w:type="pct"/>
            <w:tcBorders>
              <w:top w:val="single" w:sz="4" w:space="0" w:color="auto"/>
              <w:left w:val="single" w:sz="4" w:space="0" w:color="auto"/>
              <w:bottom w:val="single" w:sz="4" w:space="0" w:color="auto"/>
              <w:right w:val="single" w:sz="4" w:space="0" w:color="auto"/>
            </w:tcBorders>
          </w:tcPr>
          <w:p w14:paraId="168951D0"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hideMark/>
          </w:tcPr>
          <w:p w14:paraId="2D14660A" w14:textId="77777777" w:rsidR="000175D8" w:rsidRPr="00090EE6" w:rsidRDefault="000175D8">
            <w:pPr>
              <w:rPr>
                <w:sz w:val="22"/>
                <w:szCs w:val="22"/>
                <w:lang w:eastAsia="ja-JP"/>
              </w:rPr>
            </w:pPr>
            <w:bookmarkStart w:id="7" w:name="_Hlk215760213"/>
            <w:r w:rsidRPr="00090EE6">
              <w:rPr>
                <w:sz w:val="22"/>
                <w:szCs w:val="22"/>
                <w:lang w:eastAsia="ja-JP"/>
              </w:rPr>
              <w:t>Eosinophilia, thrombocytosis</w:t>
            </w:r>
            <w:bookmarkEnd w:id="7"/>
          </w:p>
        </w:tc>
        <w:tc>
          <w:tcPr>
            <w:tcW w:w="982" w:type="pct"/>
            <w:tcBorders>
              <w:top w:val="single" w:sz="4" w:space="0" w:color="auto"/>
              <w:left w:val="single" w:sz="4" w:space="0" w:color="auto"/>
              <w:bottom w:val="single" w:sz="4" w:space="0" w:color="auto"/>
              <w:right w:val="single" w:sz="4" w:space="0" w:color="auto"/>
            </w:tcBorders>
            <w:hideMark/>
          </w:tcPr>
          <w:p w14:paraId="029B606F" w14:textId="77777777" w:rsidR="000175D8" w:rsidRPr="00090EE6" w:rsidRDefault="000175D8">
            <w:pPr>
              <w:rPr>
                <w:sz w:val="22"/>
                <w:szCs w:val="22"/>
                <w:lang w:eastAsia="ja-JP"/>
              </w:rPr>
            </w:pPr>
            <w:bookmarkStart w:id="8" w:name="_Hlk215760322"/>
            <w:r w:rsidRPr="00090EE6">
              <w:rPr>
                <w:sz w:val="22"/>
                <w:szCs w:val="22"/>
                <w:lang w:eastAsia="ja-JP"/>
              </w:rPr>
              <w:t xml:space="preserve">Anemia, leukopenia, </w:t>
            </w:r>
            <w:proofErr w:type="spellStart"/>
            <w:r w:rsidRPr="00090EE6">
              <w:rPr>
                <w:sz w:val="22"/>
                <w:szCs w:val="22"/>
                <w:lang w:eastAsia="ja-JP"/>
              </w:rPr>
              <w:t>trombocytopenia</w:t>
            </w:r>
            <w:proofErr w:type="spellEnd"/>
            <w:r w:rsidRPr="00090EE6">
              <w:rPr>
                <w:sz w:val="22"/>
                <w:szCs w:val="22"/>
                <w:lang w:eastAsia="ja-JP"/>
              </w:rPr>
              <w:t>.</w:t>
            </w:r>
            <w:bookmarkEnd w:id="8"/>
          </w:p>
        </w:tc>
        <w:tc>
          <w:tcPr>
            <w:tcW w:w="601" w:type="pct"/>
            <w:tcBorders>
              <w:top w:val="single" w:sz="4" w:space="0" w:color="auto"/>
              <w:left w:val="single" w:sz="4" w:space="0" w:color="auto"/>
              <w:bottom w:val="single" w:sz="4" w:space="0" w:color="auto"/>
              <w:right w:val="single" w:sz="4" w:space="0" w:color="auto"/>
            </w:tcBorders>
          </w:tcPr>
          <w:p w14:paraId="1DCF2ACA"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tcPr>
          <w:p w14:paraId="2FA93E29" w14:textId="77777777" w:rsidR="000175D8" w:rsidRPr="00090EE6" w:rsidRDefault="000175D8">
            <w:pPr>
              <w:rPr>
                <w:sz w:val="22"/>
                <w:szCs w:val="22"/>
                <w:lang w:eastAsia="ja-JP"/>
              </w:rPr>
            </w:pPr>
          </w:p>
        </w:tc>
      </w:tr>
      <w:tr w:rsidR="000175D8" w:rsidRPr="00962C23" w14:paraId="7F624747"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5FD8DB18" w14:textId="77777777" w:rsidR="000175D8" w:rsidRPr="00090EE6" w:rsidRDefault="000175D8">
            <w:pPr>
              <w:rPr>
                <w:i/>
                <w:iCs/>
                <w:sz w:val="22"/>
                <w:szCs w:val="22"/>
                <w:lang w:eastAsia="ja-JP"/>
              </w:rPr>
            </w:pPr>
            <w:r w:rsidRPr="00090EE6">
              <w:rPr>
                <w:i/>
                <w:iCs/>
                <w:sz w:val="22"/>
                <w:szCs w:val="22"/>
                <w:lang w:eastAsia="ja-JP"/>
              </w:rPr>
              <w:t>Immune system disorders</w:t>
            </w:r>
          </w:p>
        </w:tc>
        <w:tc>
          <w:tcPr>
            <w:tcW w:w="698" w:type="pct"/>
            <w:tcBorders>
              <w:top w:val="single" w:sz="4" w:space="0" w:color="auto"/>
              <w:left w:val="single" w:sz="4" w:space="0" w:color="auto"/>
              <w:bottom w:val="single" w:sz="4" w:space="0" w:color="auto"/>
              <w:right w:val="single" w:sz="4" w:space="0" w:color="auto"/>
            </w:tcBorders>
          </w:tcPr>
          <w:p w14:paraId="1D5A0741"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tcPr>
          <w:p w14:paraId="21D512CB"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tcPr>
          <w:p w14:paraId="063EC8D8"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tcPr>
          <w:p w14:paraId="31ABCACE"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hideMark/>
          </w:tcPr>
          <w:p w14:paraId="26900D7D" w14:textId="6CE8B945" w:rsidR="000175D8" w:rsidRPr="00090EE6" w:rsidRDefault="000175D8">
            <w:pPr>
              <w:rPr>
                <w:sz w:val="22"/>
                <w:szCs w:val="22"/>
                <w:lang w:eastAsia="ja-JP"/>
              </w:rPr>
            </w:pPr>
            <w:r w:rsidRPr="00090EE6">
              <w:rPr>
                <w:sz w:val="22"/>
                <w:szCs w:val="22"/>
                <w:lang w:eastAsia="ja-JP"/>
              </w:rPr>
              <w:t>Anaphylactic/anaphylactoid reaction (including anaphylactic shock) and hypersensitivity (see section 4.3)</w:t>
            </w:r>
          </w:p>
        </w:tc>
      </w:tr>
      <w:tr w:rsidR="000175D8" w:rsidRPr="00090EE6" w14:paraId="64CCAA1B"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78556AF2" w14:textId="77777777" w:rsidR="000175D8" w:rsidRPr="00090EE6" w:rsidRDefault="000175D8">
            <w:pPr>
              <w:rPr>
                <w:i/>
                <w:iCs/>
                <w:sz w:val="22"/>
                <w:szCs w:val="22"/>
                <w:lang w:eastAsia="ja-JP"/>
              </w:rPr>
            </w:pPr>
            <w:r w:rsidRPr="00090EE6">
              <w:rPr>
                <w:i/>
                <w:iCs/>
                <w:sz w:val="22"/>
                <w:szCs w:val="22"/>
                <w:lang w:eastAsia="ja-JP"/>
              </w:rPr>
              <w:t>Metabolism and nutrition disorders</w:t>
            </w:r>
          </w:p>
        </w:tc>
        <w:tc>
          <w:tcPr>
            <w:tcW w:w="698" w:type="pct"/>
            <w:tcBorders>
              <w:top w:val="single" w:sz="4" w:space="0" w:color="auto"/>
              <w:left w:val="single" w:sz="4" w:space="0" w:color="auto"/>
              <w:bottom w:val="single" w:sz="4" w:space="0" w:color="auto"/>
              <w:right w:val="single" w:sz="4" w:space="0" w:color="auto"/>
            </w:tcBorders>
          </w:tcPr>
          <w:p w14:paraId="7FF4C55D"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tcPr>
          <w:p w14:paraId="6C447FF0"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hideMark/>
          </w:tcPr>
          <w:p w14:paraId="1AECFD78" w14:textId="77777777" w:rsidR="000175D8" w:rsidRPr="00090EE6" w:rsidRDefault="000175D8">
            <w:pPr>
              <w:rPr>
                <w:sz w:val="22"/>
                <w:szCs w:val="22"/>
                <w:lang w:eastAsia="ja-JP"/>
              </w:rPr>
            </w:pPr>
            <w:r w:rsidRPr="00090EE6">
              <w:rPr>
                <w:sz w:val="22"/>
                <w:szCs w:val="22"/>
                <w:lang w:eastAsia="ja-JP"/>
              </w:rPr>
              <w:t>Hypomagnesemia in association with prolonged treatment</w:t>
            </w:r>
          </w:p>
        </w:tc>
        <w:tc>
          <w:tcPr>
            <w:tcW w:w="601" w:type="pct"/>
            <w:tcBorders>
              <w:top w:val="single" w:sz="4" w:space="0" w:color="auto"/>
              <w:left w:val="single" w:sz="4" w:space="0" w:color="auto"/>
              <w:bottom w:val="single" w:sz="4" w:space="0" w:color="auto"/>
              <w:right w:val="single" w:sz="4" w:space="0" w:color="auto"/>
            </w:tcBorders>
          </w:tcPr>
          <w:p w14:paraId="10C4B1FF"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hideMark/>
          </w:tcPr>
          <w:p w14:paraId="64ED4F76" w14:textId="77777777" w:rsidR="000175D8" w:rsidRPr="00090EE6" w:rsidRDefault="000175D8">
            <w:pPr>
              <w:rPr>
                <w:sz w:val="22"/>
                <w:szCs w:val="22"/>
                <w:lang w:eastAsia="ja-JP"/>
              </w:rPr>
            </w:pPr>
            <w:proofErr w:type="spellStart"/>
            <w:r w:rsidRPr="00090EE6">
              <w:rPr>
                <w:sz w:val="22"/>
                <w:szCs w:val="22"/>
                <w:lang w:eastAsia="ja-JP"/>
              </w:rPr>
              <w:t>Hypokalaemia</w:t>
            </w:r>
            <w:proofErr w:type="spellEnd"/>
          </w:p>
          <w:p w14:paraId="7F0E5B2C" w14:textId="77777777" w:rsidR="000175D8" w:rsidRPr="00090EE6" w:rsidRDefault="000175D8">
            <w:pPr>
              <w:rPr>
                <w:sz w:val="22"/>
                <w:szCs w:val="22"/>
                <w:lang w:eastAsia="ja-JP"/>
              </w:rPr>
            </w:pPr>
            <w:proofErr w:type="spellStart"/>
            <w:r w:rsidRPr="00090EE6">
              <w:rPr>
                <w:sz w:val="22"/>
                <w:szCs w:val="22"/>
                <w:lang w:eastAsia="ja-JP"/>
              </w:rPr>
              <w:t>Hypocalcaemia</w:t>
            </w:r>
            <w:proofErr w:type="spellEnd"/>
          </w:p>
        </w:tc>
      </w:tr>
      <w:tr w:rsidR="000175D8" w:rsidRPr="00962C23" w14:paraId="73DE8CA7"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1AA6C938" w14:textId="77777777" w:rsidR="000175D8" w:rsidRPr="00090EE6" w:rsidRDefault="000175D8">
            <w:pPr>
              <w:rPr>
                <w:i/>
                <w:iCs/>
                <w:sz w:val="22"/>
                <w:szCs w:val="22"/>
                <w:lang w:eastAsia="ja-JP"/>
              </w:rPr>
            </w:pPr>
            <w:r w:rsidRPr="00090EE6">
              <w:rPr>
                <w:i/>
                <w:iCs/>
                <w:sz w:val="22"/>
                <w:szCs w:val="22"/>
                <w:lang w:eastAsia="ja-JP"/>
              </w:rPr>
              <w:t>Nervous system disorders</w:t>
            </w:r>
          </w:p>
        </w:tc>
        <w:tc>
          <w:tcPr>
            <w:tcW w:w="698" w:type="pct"/>
            <w:tcBorders>
              <w:top w:val="single" w:sz="4" w:space="0" w:color="auto"/>
              <w:left w:val="single" w:sz="4" w:space="0" w:color="auto"/>
              <w:bottom w:val="single" w:sz="4" w:space="0" w:color="auto"/>
              <w:right w:val="single" w:sz="4" w:space="0" w:color="auto"/>
            </w:tcBorders>
          </w:tcPr>
          <w:p w14:paraId="0B82230B"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tcPr>
          <w:p w14:paraId="1A870B3B"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hideMark/>
          </w:tcPr>
          <w:p w14:paraId="49C68CAE" w14:textId="77777777" w:rsidR="000175D8" w:rsidRPr="00090EE6" w:rsidRDefault="000175D8">
            <w:pPr>
              <w:rPr>
                <w:sz w:val="22"/>
                <w:szCs w:val="22"/>
                <w:lang w:eastAsia="ja-JP"/>
              </w:rPr>
            </w:pPr>
            <w:r w:rsidRPr="00090EE6">
              <w:rPr>
                <w:sz w:val="22"/>
                <w:szCs w:val="22"/>
                <w:lang w:eastAsia="ja-JP"/>
              </w:rPr>
              <w:t>Headache</w:t>
            </w:r>
          </w:p>
        </w:tc>
        <w:tc>
          <w:tcPr>
            <w:tcW w:w="601" w:type="pct"/>
            <w:tcBorders>
              <w:top w:val="single" w:sz="4" w:space="0" w:color="auto"/>
              <w:left w:val="single" w:sz="4" w:space="0" w:color="auto"/>
              <w:bottom w:val="single" w:sz="4" w:space="0" w:color="auto"/>
              <w:right w:val="single" w:sz="4" w:space="0" w:color="auto"/>
            </w:tcBorders>
          </w:tcPr>
          <w:p w14:paraId="610FDC88"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hideMark/>
          </w:tcPr>
          <w:p w14:paraId="388C27C5" w14:textId="77777777" w:rsidR="000175D8" w:rsidRPr="00090EE6" w:rsidRDefault="000175D8">
            <w:pPr>
              <w:rPr>
                <w:sz w:val="22"/>
                <w:szCs w:val="22"/>
                <w:lang w:eastAsia="ja-JP"/>
              </w:rPr>
            </w:pPr>
            <w:r w:rsidRPr="00090EE6">
              <w:rPr>
                <w:sz w:val="22"/>
                <w:szCs w:val="22"/>
                <w:lang w:eastAsia="ja-JP"/>
              </w:rPr>
              <w:t>Peripheral neuropathy, convulsions, encephalopathy, confusion, lethargy, depression and hallucinations, neuromuscular blockage with r</w:t>
            </w:r>
            <w:bookmarkStart w:id="9" w:name="_Hlk215760716"/>
            <w:r w:rsidRPr="00090EE6">
              <w:rPr>
                <w:sz w:val="22"/>
                <w:szCs w:val="22"/>
                <w:lang w:eastAsia="ja-JP"/>
              </w:rPr>
              <w:t>espiratory depression, ataxia, paresthesia and pseudotumor cerebri syndrome (</w:t>
            </w:r>
            <w:bookmarkEnd w:id="9"/>
            <w:r w:rsidRPr="00090EE6">
              <w:rPr>
                <w:sz w:val="22"/>
                <w:szCs w:val="22"/>
                <w:lang w:eastAsia="ja-JP"/>
              </w:rPr>
              <w:t>see also section 4.4)</w:t>
            </w:r>
          </w:p>
        </w:tc>
      </w:tr>
      <w:tr w:rsidR="000175D8" w:rsidRPr="00090EE6" w14:paraId="2FBDE3A2"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3BC6C593" w14:textId="77777777" w:rsidR="000175D8" w:rsidRPr="00090EE6" w:rsidRDefault="000175D8">
            <w:pPr>
              <w:rPr>
                <w:i/>
                <w:iCs/>
                <w:sz w:val="22"/>
                <w:szCs w:val="22"/>
                <w:lang w:eastAsia="ja-JP"/>
              </w:rPr>
            </w:pPr>
            <w:r w:rsidRPr="00090EE6">
              <w:rPr>
                <w:i/>
                <w:iCs/>
                <w:sz w:val="22"/>
                <w:szCs w:val="22"/>
                <w:lang w:eastAsia="ja-JP"/>
              </w:rPr>
              <w:t>Eye disorders</w:t>
            </w:r>
          </w:p>
        </w:tc>
        <w:tc>
          <w:tcPr>
            <w:tcW w:w="698" w:type="pct"/>
            <w:tcBorders>
              <w:top w:val="single" w:sz="4" w:space="0" w:color="auto"/>
              <w:left w:val="single" w:sz="4" w:space="0" w:color="auto"/>
              <w:bottom w:val="single" w:sz="4" w:space="0" w:color="auto"/>
              <w:right w:val="single" w:sz="4" w:space="0" w:color="auto"/>
            </w:tcBorders>
            <w:hideMark/>
          </w:tcPr>
          <w:p w14:paraId="53966940" w14:textId="77777777" w:rsidR="000175D8" w:rsidRPr="00090EE6" w:rsidRDefault="000175D8">
            <w:pPr>
              <w:rPr>
                <w:sz w:val="22"/>
                <w:szCs w:val="22"/>
                <w:lang w:eastAsia="ja-JP"/>
              </w:rPr>
            </w:pPr>
            <w:bookmarkStart w:id="10" w:name="_Hlk215760137"/>
            <w:r w:rsidRPr="00090EE6">
              <w:rPr>
                <w:sz w:val="22"/>
                <w:szCs w:val="22"/>
                <w:lang w:eastAsia="ja-JP"/>
              </w:rPr>
              <w:t>Visual disorders</w:t>
            </w:r>
            <w:bookmarkEnd w:id="10"/>
          </w:p>
        </w:tc>
        <w:tc>
          <w:tcPr>
            <w:tcW w:w="855" w:type="pct"/>
            <w:tcBorders>
              <w:top w:val="single" w:sz="4" w:space="0" w:color="auto"/>
              <w:left w:val="single" w:sz="4" w:space="0" w:color="auto"/>
              <w:bottom w:val="single" w:sz="4" w:space="0" w:color="auto"/>
              <w:right w:val="single" w:sz="4" w:space="0" w:color="auto"/>
            </w:tcBorders>
          </w:tcPr>
          <w:p w14:paraId="4C5095B7"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tcPr>
          <w:p w14:paraId="4A8C62AC"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tcPr>
          <w:p w14:paraId="06B24E7C"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tcPr>
          <w:p w14:paraId="0179910A" w14:textId="77777777" w:rsidR="000175D8" w:rsidRPr="00090EE6" w:rsidRDefault="000175D8">
            <w:pPr>
              <w:rPr>
                <w:sz w:val="22"/>
                <w:szCs w:val="22"/>
                <w:lang w:eastAsia="ja-JP"/>
              </w:rPr>
            </w:pPr>
          </w:p>
        </w:tc>
      </w:tr>
      <w:tr w:rsidR="000175D8" w:rsidRPr="00962C23" w14:paraId="67F4814F"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22D27DC5" w14:textId="77777777" w:rsidR="000175D8" w:rsidRPr="00090EE6" w:rsidRDefault="000175D8">
            <w:pPr>
              <w:rPr>
                <w:i/>
                <w:iCs/>
                <w:sz w:val="22"/>
                <w:szCs w:val="22"/>
                <w:lang w:eastAsia="ja-JP"/>
              </w:rPr>
            </w:pPr>
            <w:r w:rsidRPr="00090EE6">
              <w:rPr>
                <w:i/>
                <w:iCs/>
                <w:sz w:val="22"/>
                <w:szCs w:val="22"/>
                <w:lang w:eastAsia="ja-JP"/>
              </w:rPr>
              <w:t>Ear and labyrinth disorders</w:t>
            </w:r>
          </w:p>
        </w:tc>
        <w:tc>
          <w:tcPr>
            <w:tcW w:w="698" w:type="pct"/>
            <w:tcBorders>
              <w:top w:val="single" w:sz="4" w:space="0" w:color="auto"/>
              <w:left w:val="single" w:sz="4" w:space="0" w:color="auto"/>
              <w:bottom w:val="single" w:sz="4" w:space="0" w:color="auto"/>
              <w:right w:val="single" w:sz="4" w:space="0" w:color="auto"/>
            </w:tcBorders>
            <w:hideMark/>
          </w:tcPr>
          <w:p w14:paraId="002FAB3A" w14:textId="77777777" w:rsidR="000175D8" w:rsidRPr="00090EE6" w:rsidRDefault="000175D8">
            <w:pPr>
              <w:rPr>
                <w:sz w:val="22"/>
                <w:szCs w:val="22"/>
                <w:lang w:eastAsia="ja-JP"/>
              </w:rPr>
            </w:pPr>
            <w:r w:rsidRPr="00090EE6">
              <w:rPr>
                <w:sz w:val="22"/>
                <w:szCs w:val="22"/>
                <w:lang w:eastAsia="ja-JP"/>
              </w:rPr>
              <w:t>Vestibular disorders with nausea, dizziness and balance disorders.</w:t>
            </w:r>
          </w:p>
          <w:p w14:paraId="3FC871D3" w14:textId="77777777" w:rsidR="000175D8" w:rsidRPr="00090EE6" w:rsidRDefault="000175D8">
            <w:pPr>
              <w:rPr>
                <w:sz w:val="22"/>
                <w:szCs w:val="22"/>
                <w:lang w:eastAsia="ja-JP"/>
              </w:rPr>
            </w:pPr>
            <w:r w:rsidRPr="00090EE6">
              <w:rPr>
                <w:sz w:val="22"/>
                <w:szCs w:val="22"/>
                <w:lang w:eastAsia="ja-JP"/>
              </w:rPr>
              <w:t>Hearing impairment.</w:t>
            </w:r>
          </w:p>
        </w:tc>
        <w:tc>
          <w:tcPr>
            <w:tcW w:w="855" w:type="pct"/>
            <w:tcBorders>
              <w:top w:val="single" w:sz="4" w:space="0" w:color="auto"/>
              <w:left w:val="single" w:sz="4" w:space="0" w:color="auto"/>
              <w:bottom w:val="single" w:sz="4" w:space="0" w:color="auto"/>
              <w:right w:val="single" w:sz="4" w:space="0" w:color="auto"/>
            </w:tcBorders>
          </w:tcPr>
          <w:p w14:paraId="07C3921F"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tcPr>
          <w:p w14:paraId="74C96D00"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tcPr>
          <w:p w14:paraId="6E678C9D"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hideMark/>
          </w:tcPr>
          <w:p w14:paraId="158A475E" w14:textId="77777777" w:rsidR="000175D8" w:rsidRPr="00090EE6" w:rsidRDefault="000175D8">
            <w:pPr>
              <w:rPr>
                <w:sz w:val="22"/>
                <w:szCs w:val="22"/>
                <w:lang w:eastAsia="ja-JP"/>
              </w:rPr>
            </w:pPr>
            <w:r w:rsidRPr="00090EE6">
              <w:rPr>
                <w:sz w:val="22"/>
                <w:szCs w:val="22"/>
                <w:lang w:eastAsia="ja-JP"/>
              </w:rPr>
              <w:t>Tinnitus</w:t>
            </w:r>
          </w:p>
          <w:p w14:paraId="74E09D03" w14:textId="77777777" w:rsidR="000175D8" w:rsidRPr="00090EE6" w:rsidRDefault="000175D8">
            <w:pPr>
              <w:rPr>
                <w:sz w:val="22"/>
                <w:szCs w:val="22"/>
                <w:lang w:eastAsia="ja-JP"/>
              </w:rPr>
            </w:pPr>
            <w:r w:rsidRPr="00090EE6">
              <w:rPr>
                <w:sz w:val="22"/>
                <w:szCs w:val="22"/>
                <w:lang w:eastAsia="ja-JP"/>
              </w:rPr>
              <w:t>Transitory hearing loss, irreversible hearing loss, deafness.</w:t>
            </w:r>
          </w:p>
        </w:tc>
      </w:tr>
      <w:tr w:rsidR="000175D8" w:rsidRPr="00090EE6" w14:paraId="171D46B8"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2A11B268" w14:textId="77777777" w:rsidR="000175D8" w:rsidRPr="00090EE6" w:rsidRDefault="000175D8">
            <w:pPr>
              <w:rPr>
                <w:i/>
                <w:iCs/>
                <w:sz w:val="22"/>
                <w:szCs w:val="22"/>
                <w:lang w:eastAsia="ja-JP"/>
              </w:rPr>
            </w:pPr>
            <w:r w:rsidRPr="00090EE6">
              <w:rPr>
                <w:i/>
                <w:iCs/>
                <w:sz w:val="22"/>
                <w:szCs w:val="22"/>
                <w:lang w:eastAsia="ja-JP"/>
              </w:rPr>
              <w:t>Vascular disorders</w:t>
            </w:r>
          </w:p>
        </w:tc>
        <w:tc>
          <w:tcPr>
            <w:tcW w:w="698" w:type="pct"/>
            <w:tcBorders>
              <w:top w:val="single" w:sz="4" w:space="0" w:color="auto"/>
              <w:left w:val="single" w:sz="4" w:space="0" w:color="auto"/>
              <w:bottom w:val="single" w:sz="4" w:space="0" w:color="auto"/>
              <w:right w:val="single" w:sz="4" w:space="0" w:color="auto"/>
            </w:tcBorders>
          </w:tcPr>
          <w:p w14:paraId="03F5F92E"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tcPr>
          <w:p w14:paraId="0E65126F"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hideMark/>
          </w:tcPr>
          <w:p w14:paraId="5680F30E" w14:textId="77777777" w:rsidR="000175D8" w:rsidRPr="00090EE6" w:rsidRDefault="000175D8">
            <w:pPr>
              <w:rPr>
                <w:sz w:val="22"/>
                <w:szCs w:val="22"/>
              </w:rPr>
            </w:pPr>
            <w:r w:rsidRPr="00090EE6">
              <w:rPr>
                <w:sz w:val="22"/>
                <w:szCs w:val="22"/>
                <w:lang w:eastAsia="ja-JP"/>
              </w:rPr>
              <w:t>Hypotension</w:t>
            </w:r>
          </w:p>
        </w:tc>
        <w:tc>
          <w:tcPr>
            <w:tcW w:w="601" w:type="pct"/>
            <w:tcBorders>
              <w:top w:val="single" w:sz="4" w:space="0" w:color="auto"/>
              <w:left w:val="single" w:sz="4" w:space="0" w:color="auto"/>
              <w:bottom w:val="single" w:sz="4" w:space="0" w:color="auto"/>
              <w:right w:val="single" w:sz="4" w:space="0" w:color="auto"/>
            </w:tcBorders>
          </w:tcPr>
          <w:p w14:paraId="2BF94BE9"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tcPr>
          <w:p w14:paraId="15E1EBBC" w14:textId="77777777" w:rsidR="000175D8" w:rsidRPr="00090EE6" w:rsidRDefault="000175D8">
            <w:pPr>
              <w:rPr>
                <w:sz w:val="22"/>
                <w:szCs w:val="22"/>
                <w:lang w:eastAsia="ja-JP"/>
              </w:rPr>
            </w:pPr>
          </w:p>
        </w:tc>
      </w:tr>
      <w:tr w:rsidR="000175D8" w:rsidRPr="00090EE6" w14:paraId="79CBA7E6"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592EB5E4" w14:textId="77777777" w:rsidR="000175D8" w:rsidRPr="00090EE6" w:rsidRDefault="000175D8">
            <w:pPr>
              <w:rPr>
                <w:i/>
                <w:iCs/>
                <w:sz w:val="22"/>
                <w:szCs w:val="22"/>
                <w:lang w:eastAsia="ja-JP"/>
              </w:rPr>
            </w:pPr>
            <w:r w:rsidRPr="00090EE6">
              <w:rPr>
                <w:i/>
                <w:iCs/>
                <w:sz w:val="22"/>
                <w:szCs w:val="22"/>
                <w:lang w:eastAsia="ja-JP"/>
              </w:rPr>
              <w:t>Hepatobiliary disorders</w:t>
            </w:r>
          </w:p>
        </w:tc>
        <w:tc>
          <w:tcPr>
            <w:tcW w:w="698" w:type="pct"/>
            <w:tcBorders>
              <w:top w:val="single" w:sz="4" w:space="0" w:color="auto"/>
              <w:left w:val="single" w:sz="4" w:space="0" w:color="auto"/>
              <w:bottom w:val="single" w:sz="4" w:space="0" w:color="auto"/>
              <w:right w:val="single" w:sz="4" w:space="0" w:color="auto"/>
            </w:tcBorders>
          </w:tcPr>
          <w:p w14:paraId="7004DCBE" w14:textId="77777777" w:rsidR="000175D8" w:rsidRPr="00090EE6" w:rsidRDefault="000175D8">
            <w:pPr>
              <w:rPr>
                <w:sz w:val="22"/>
                <w:szCs w:val="22"/>
                <w:lang w:eastAsia="ja-JP"/>
              </w:rPr>
            </w:pPr>
          </w:p>
        </w:tc>
        <w:tc>
          <w:tcPr>
            <w:tcW w:w="855" w:type="pct"/>
            <w:tcBorders>
              <w:top w:val="single" w:sz="4" w:space="0" w:color="auto"/>
              <w:left w:val="single" w:sz="4" w:space="0" w:color="auto"/>
              <w:bottom w:val="single" w:sz="4" w:space="0" w:color="auto"/>
              <w:right w:val="single" w:sz="4" w:space="0" w:color="auto"/>
            </w:tcBorders>
            <w:hideMark/>
          </w:tcPr>
          <w:p w14:paraId="05955AF7" w14:textId="77777777" w:rsidR="000175D8" w:rsidRPr="00090EE6" w:rsidRDefault="000175D8">
            <w:pPr>
              <w:rPr>
                <w:sz w:val="22"/>
                <w:szCs w:val="22"/>
                <w:lang w:eastAsia="ja-JP"/>
              </w:rPr>
            </w:pPr>
            <w:r w:rsidRPr="00090EE6">
              <w:rPr>
                <w:sz w:val="22"/>
                <w:szCs w:val="22"/>
                <w:lang w:eastAsia="ja-JP"/>
              </w:rPr>
              <w:t>Transaminase elevations</w:t>
            </w:r>
          </w:p>
        </w:tc>
        <w:tc>
          <w:tcPr>
            <w:tcW w:w="982" w:type="pct"/>
            <w:tcBorders>
              <w:top w:val="single" w:sz="4" w:space="0" w:color="auto"/>
              <w:left w:val="single" w:sz="4" w:space="0" w:color="auto"/>
              <w:bottom w:val="single" w:sz="4" w:space="0" w:color="auto"/>
              <w:right w:val="single" w:sz="4" w:space="0" w:color="auto"/>
            </w:tcBorders>
          </w:tcPr>
          <w:p w14:paraId="4DCF659C"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tcPr>
          <w:p w14:paraId="2879EE23"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tcPr>
          <w:p w14:paraId="68B16DBC" w14:textId="77777777" w:rsidR="000175D8" w:rsidRPr="00090EE6" w:rsidRDefault="000175D8">
            <w:pPr>
              <w:rPr>
                <w:sz w:val="22"/>
                <w:szCs w:val="22"/>
                <w:lang w:eastAsia="ja-JP"/>
              </w:rPr>
            </w:pPr>
          </w:p>
        </w:tc>
      </w:tr>
      <w:tr w:rsidR="000175D8" w:rsidRPr="00962C23" w14:paraId="031427F1"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14F52442" w14:textId="77777777" w:rsidR="000175D8" w:rsidRPr="00090EE6" w:rsidRDefault="000175D8">
            <w:pPr>
              <w:rPr>
                <w:i/>
                <w:iCs/>
                <w:sz w:val="22"/>
                <w:szCs w:val="22"/>
                <w:lang w:eastAsia="ja-JP"/>
              </w:rPr>
            </w:pPr>
            <w:r w:rsidRPr="00090EE6">
              <w:rPr>
                <w:i/>
                <w:iCs/>
                <w:sz w:val="22"/>
                <w:szCs w:val="22"/>
                <w:lang w:eastAsia="ja-JP"/>
              </w:rPr>
              <w:t>Skin and subcutaneous tissue disorders</w:t>
            </w:r>
          </w:p>
        </w:tc>
        <w:tc>
          <w:tcPr>
            <w:tcW w:w="698" w:type="pct"/>
            <w:tcBorders>
              <w:top w:val="single" w:sz="4" w:space="0" w:color="auto"/>
              <w:left w:val="single" w:sz="4" w:space="0" w:color="auto"/>
              <w:bottom w:val="single" w:sz="4" w:space="0" w:color="auto"/>
              <w:right w:val="single" w:sz="4" w:space="0" w:color="auto"/>
            </w:tcBorders>
            <w:hideMark/>
          </w:tcPr>
          <w:p w14:paraId="1B7CBBA4" w14:textId="77777777" w:rsidR="000175D8" w:rsidRPr="00090EE6" w:rsidRDefault="000175D8">
            <w:pPr>
              <w:rPr>
                <w:sz w:val="22"/>
                <w:szCs w:val="22"/>
                <w:lang w:eastAsia="ja-JP"/>
              </w:rPr>
            </w:pPr>
            <w:r w:rsidRPr="00090EE6">
              <w:rPr>
                <w:sz w:val="22"/>
                <w:szCs w:val="22"/>
                <w:lang w:eastAsia="ja-JP"/>
              </w:rPr>
              <w:t>Rash, pruritus</w:t>
            </w:r>
          </w:p>
        </w:tc>
        <w:tc>
          <w:tcPr>
            <w:tcW w:w="855" w:type="pct"/>
            <w:tcBorders>
              <w:top w:val="single" w:sz="4" w:space="0" w:color="auto"/>
              <w:left w:val="single" w:sz="4" w:space="0" w:color="auto"/>
              <w:bottom w:val="single" w:sz="4" w:space="0" w:color="auto"/>
              <w:right w:val="single" w:sz="4" w:space="0" w:color="auto"/>
            </w:tcBorders>
            <w:hideMark/>
          </w:tcPr>
          <w:p w14:paraId="1B3736E1" w14:textId="77777777" w:rsidR="000175D8" w:rsidRPr="00090EE6" w:rsidRDefault="000175D8">
            <w:pPr>
              <w:rPr>
                <w:sz w:val="22"/>
                <w:szCs w:val="22"/>
                <w:lang w:eastAsia="ja-JP"/>
              </w:rPr>
            </w:pPr>
            <w:r w:rsidRPr="00090EE6">
              <w:rPr>
                <w:sz w:val="22"/>
                <w:szCs w:val="22"/>
                <w:lang w:eastAsia="ja-JP"/>
              </w:rPr>
              <w:t>Urticaria</w:t>
            </w:r>
          </w:p>
        </w:tc>
        <w:tc>
          <w:tcPr>
            <w:tcW w:w="982" w:type="pct"/>
            <w:tcBorders>
              <w:top w:val="single" w:sz="4" w:space="0" w:color="auto"/>
              <w:left w:val="single" w:sz="4" w:space="0" w:color="auto"/>
              <w:bottom w:val="single" w:sz="4" w:space="0" w:color="auto"/>
              <w:right w:val="single" w:sz="4" w:space="0" w:color="auto"/>
            </w:tcBorders>
          </w:tcPr>
          <w:p w14:paraId="30412756"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tcPr>
          <w:p w14:paraId="4E8EE0AA" w14:textId="77777777" w:rsidR="000175D8" w:rsidRPr="00090EE6" w:rsidRDefault="000175D8">
            <w:pPr>
              <w:rPr>
                <w:sz w:val="22"/>
                <w:szCs w:val="22"/>
                <w:lang w:eastAsia="ja-JP"/>
              </w:rPr>
            </w:pPr>
          </w:p>
        </w:tc>
        <w:tc>
          <w:tcPr>
            <w:tcW w:w="1076" w:type="pct"/>
            <w:tcBorders>
              <w:top w:val="single" w:sz="4" w:space="0" w:color="auto"/>
              <w:left w:val="single" w:sz="4" w:space="0" w:color="auto"/>
              <w:bottom w:val="single" w:sz="4" w:space="0" w:color="auto"/>
              <w:right w:val="single" w:sz="4" w:space="0" w:color="auto"/>
            </w:tcBorders>
            <w:hideMark/>
          </w:tcPr>
          <w:p w14:paraId="5A4DAC1A" w14:textId="77777777" w:rsidR="000175D8" w:rsidRPr="00090EE6" w:rsidRDefault="000175D8">
            <w:pPr>
              <w:rPr>
                <w:sz w:val="22"/>
                <w:szCs w:val="22"/>
                <w:lang w:eastAsia="ja-JP"/>
              </w:rPr>
            </w:pPr>
            <w:r w:rsidRPr="00090EE6">
              <w:rPr>
                <w:sz w:val="22"/>
                <w:szCs w:val="22"/>
                <w:lang w:eastAsia="ja-JP"/>
              </w:rPr>
              <w:t>Alopecia</w:t>
            </w:r>
          </w:p>
          <w:p w14:paraId="70D0532F" w14:textId="77777777" w:rsidR="000175D8" w:rsidRPr="00090EE6" w:rsidRDefault="000175D8">
            <w:pPr>
              <w:rPr>
                <w:sz w:val="22"/>
                <w:szCs w:val="22"/>
                <w:lang w:eastAsia="ja-JP"/>
              </w:rPr>
            </w:pPr>
            <w:r w:rsidRPr="00090EE6">
              <w:rPr>
                <w:sz w:val="22"/>
                <w:szCs w:val="22"/>
                <w:lang w:eastAsia="ja-JP"/>
              </w:rPr>
              <w:t>Stevens-Johnson syndrome, Toxic epidermal necrosis</w:t>
            </w:r>
          </w:p>
        </w:tc>
      </w:tr>
      <w:tr w:rsidR="000175D8" w:rsidRPr="00090EE6" w14:paraId="777A341F" w14:textId="77777777" w:rsidTr="00090EE6">
        <w:tc>
          <w:tcPr>
            <w:tcW w:w="788" w:type="pct"/>
            <w:tcBorders>
              <w:top w:val="single" w:sz="4" w:space="0" w:color="auto"/>
              <w:left w:val="single" w:sz="4" w:space="0" w:color="auto"/>
              <w:bottom w:val="single" w:sz="4" w:space="0" w:color="auto"/>
              <w:right w:val="single" w:sz="4" w:space="0" w:color="auto"/>
            </w:tcBorders>
            <w:hideMark/>
          </w:tcPr>
          <w:p w14:paraId="374CF163" w14:textId="77777777" w:rsidR="000175D8" w:rsidRPr="00090EE6" w:rsidRDefault="000175D8">
            <w:pPr>
              <w:rPr>
                <w:i/>
                <w:iCs/>
                <w:sz w:val="22"/>
                <w:szCs w:val="22"/>
                <w:lang w:eastAsia="ja-JP"/>
              </w:rPr>
            </w:pPr>
            <w:r w:rsidRPr="00090EE6">
              <w:rPr>
                <w:i/>
                <w:iCs/>
                <w:sz w:val="22"/>
                <w:szCs w:val="22"/>
                <w:lang w:eastAsia="ja-JP"/>
              </w:rPr>
              <w:lastRenderedPageBreak/>
              <w:t>Renal and urinary disorders</w:t>
            </w:r>
          </w:p>
        </w:tc>
        <w:tc>
          <w:tcPr>
            <w:tcW w:w="698" w:type="pct"/>
            <w:tcBorders>
              <w:top w:val="single" w:sz="4" w:space="0" w:color="auto"/>
              <w:left w:val="single" w:sz="4" w:space="0" w:color="auto"/>
              <w:bottom w:val="single" w:sz="4" w:space="0" w:color="auto"/>
              <w:right w:val="single" w:sz="4" w:space="0" w:color="auto"/>
            </w:tcBorders>
            <w:hideMark/>
          </w:tcPr>
          <w:p w14:paraId="1DD53C95" w14:textId="77777777" w:rsidR="000175D8" w:rsidRPr="00090EE6" w:rsidRDefault="000175D8">
            <w:pPr>
              <w:rPr>
                <w:sz w:val="22"/>
                <w:szCs w:val="22"/>
                <w:lang w:eastAsia="ja-JP"/>
              </w:rPr>
            </w:pPr>
            <w:r w:rsidRPr="00090EE6">
              <w:rPr>
                <w:sz w:val="22"/>
                <w:szCs w:val="22"/>
                <w:lang w:eastAsia="ja-JP"/>
              </w:rPr>
              <w:t>Proteinuria, serum creatinine increase, urea increase</w:t>
            </w:r>
          </w:p>
        </w:tc>
        <w:tc>
          <w:tcPr>
            <w:tcW w:w="855" w:type="pct"/>
            <w:tcBorders>
              <w:top w:val="single" w:sz="4" w:space="0" w:color="auto"/>
              <w:left w:val="single" w:sz="4" w:space="0" w:color="auto"/>
              <w:bottom w:val="single" w:sz="4" w:space="0" w:color="auto"/>
              <w:right w:val="single" w:sz="4" w:space="0" w:color="auto"/>
            </w:tcBorders>
          </w:tcPr>
          <w:p w14:paraId="1881F3E7" w14:textId="77777777" w:rsidR="000175D8" w:rsidRPr="00090EE6" w:rsidRDefault="000175D8">
            <w:pPr>
              <w:rPr>
                <w:sz w:val="22"/>
                <w:szCs w:val="22"/>
                <w:lang w:eastAsia="ja-JP"/>
              </w:rPr>
            </w:pPr>
          </w:p>
        </w:tc>
        <w:tc>
          <w:tcPr>
            <w:tcW w:w="982" w:type="pct"/>
            <w:tcBorders>
              <w:top w:val="single" w:sz="4" w:space="0" w:color="auto"/>
              <w:left w:val="single" w:sz="4" w:space="0" w:color="auto"/>
              <w:bottom w:val="single" w:sz="4" w:space="0" w:color="auto"/>
              <w:right w:val="single" w:sz="4" w:space="0" w:color="auto"/>
            </w:tcBorders>
          </w:tcPr>
          <w:p w14:paraId="4C769B3E" w14:textId="77777777" w:rsidR="000175D8" w:rsidRPr="00090EE6" w:rsidRDefault="000175D8">
            <w:pPr>
              <w:rPr>
                <w:sz w:val="22"/>
                <w:szCs w:val="22"/>
                <w:lang w:eastAsia="ja-JP"/>
              </w:rPr>
            </w:pPr>
          </w:p>
        </w:tc>
        <w:tc>
          <w:tcPr>
            <w:tcW w:w="601" w:type="pct"/>
            <w:tcBorders>
              <w:top w:val="single" w:sz="4" w:space="0" w:color="auto"/>
              <w:left w:val="single" w:sz="4" w:space="0" w:color="auto"/>
              <w:bottom w:val="single" w:sz="4" w:space="0" w:color="auto"/>
              <w:right w:val="single" w:sz="4" w:space="0" w:color="auto"/>
            </w:tcBorders>
            <w:hideMark/>
          </w:tcPr>
          <w:p w14:paraId="7D2E6772" w14:textId="77777777" w:rsidR="000175D8" w:rsidRPr="00090EE6" w:rsidRDefault="000175D8">
            <w:pPr>
              <w:rPr>
                <w:sz w:val="22"/>
                <w:szCs w:val="22"/>
                <w:lang w:eastAsia="ja-JP"/>
              </w:rPr>
            </w:pPr>
            <w:r w:rsidRPr="00090EE6">
              <w:rPr>
                <w:sz w:val="22"/>
                <w:szCs w:val="22"/>
                <w:lang w:eastAsia="ja-JP"/>
              </w:rPr>
              <w:t>Acute renal failure.</w:t>
            </w:r>
          </w:p>
          <w:p w14:paraId="78437D04" w14:textId="77777777" w:rsidR="000175D8" w:rsidRPr="00090EE6" w:rsidRDefault="000175D8">
            <w:pPr>
              <w:rPr>
                <w:sz w:val="22"/>
                <w:szCs w:val="22"/>
                <w:lang w:eastAsia="ja-JP"/>
              </w:rPr>
            </w:pPr>
            <w:r w:rsidRPr="00090EE6">
              <w:rPr>
                <w:sz w:val="22"/>
                <w:szCs w:val="22"/>
                <w:lang w:eastAsia="ja-JP"/>
              </w:rPr>
              <w:t>Fanconi-like syndrome in patients treated with a prolonged course of high-dose</w:t>
            </w:r>
          </w:p>
        </w:tc>
        <w:tc>
          <w:tcPr>
            <w:tcW w:w="1076" w:type="pct"/>
            <w:tcBorders>
              <w:top w:val="single" w:sz="4" w:space="0" w:color="auto"/>
              <w:left w:val="single" w:sz="4" w:space="0" w:color="auto"/>
              <w:bottom w:val="single" w:sz="4" w:space="0" w:color="auto"/>
              <w:right w:val="single" w:sz="4" w:space="0" w:color="auto"/>
            </w:tcBorders>
            <w:hideMark/>
          </w:tcPr>
          <w:p w14:paraId="5020055A" w14:textId="77777777" w:rsidR="000175D8" w:rsidRPr="00090EE6" w:rsidRDefault="000175D8">
            <w:pPr>
              <w:rPr>
                <w:sz w:val="22"/>
                <w:szCs w:val="22"/>
                <w:lang w:eastAsia="ja-JP"/>
              </w:rPr>
            </w:pPr>
            <w:r w:rsidRPr="00090EE6">
              <w:rPr>
                <w:sz w:val="22"/>
                <w:szCs w:val="22"/>
                <w:lang w:eastAsia="ja-JP"/>
              </w:rPr>
              <w:t>Nephrotoxicity (usually reversible)</w:t>
            </w:r>
          </w:p>
        </w:tc>
      </w:tr>
    </w:tbl>
    <w:p w14:paraId="262E6EB7" w14:textId="77777777" w:rsidR="000175D8" w:rsidRPr="003378D8" w:rsidRDefault="000175D8" w:rsidP="000175D8">
      <w:pPr>
        <w:rPr>
          <w:bCs/>
          <w:iCs/>
          <w:sz w:val="24"/>
          <w:szCs w:val="24"/>
          <w:u w:val="single"/>
          <w:lang w:val="en-US" w:eastAsia="ja-JP"/>
        </w:rPr>
      </w:pPr>
    </w:p>
    <w:p w14:paraId="5E5A3A38"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Description of selected adverse events</w:t>
      </w:r>
    </w:p>
    <w:p w14:paraId="46786B15" w14:textId="77777777" w:rsidR="000175D8" w:rsidRPr="003378D8" w:rsidRDefault="000175D8" w:rsidP="003378D8">
      <w:pPr>
        <w:ind w:left="851"/>
        <w:rPr>
          <w:i/>
          <w:sz w:val="24"/>
          <w:szCs w:val="24"/>
          <w:lang w:val="en-US" w:eastAsia="ja-JP"/>
        </w:rPr>
      </w:pPr>
      <w:r w:rsidRPr="003378D8">
        <w:rPr>
          <w:i/>
          <w:sz w:val="24"/>
          <w:szCs w:val="24"/>
          <w:lang w:val="en-US" w:eastAsia="ja-JP"/>
        </w:rPr>
        <w:t>Ototoxicity</w:t>
      </w:r>
    </w:p>
    <w:p w14:paraId="14B0DE52" w14:textId="77777777" w:rsidR="000175D8" w:rsidRPr="003378D8" w:rsidRDefault="000175D8" w:rsidP="003378D8">
      <w:pPr>
        <w:ind w:left="851"/>
        <w:rPr>
          <w:sz w:val="24"/>
          <w:szCs w:val="24"/>
          <w:lang w:val="en-US" w:eastAsia="ja-JP"/>
        </w:rPr>
      </w:pPr>
      <w:r w:rsidRPr="003378D8">
        <w:rPr>
          <w:sz w:val="24"/>
          <w:szCs w:val="24"/>
          <w:lang w:val="en-US" w:eastAsia="ja-JP"/>
        </w:rPr>
        <w:t>Gentamicin may cause irreversible damage to the vestibulocochlear nerve, leading to hearing loss, tinnitus, vertigo, and balance disorders. Therapeutic drug monitoring of gentamicin serum levels and monitoring of vestibulocochlear function is recommended. Discontinue treatment if signs of ototoxicity occur. See also sections 4.2, 4.4 and 4.5.</w:t>
      </w:r>
    </w:p>
    <w:p w14:paraId="604DB386" w14:textId="77777777" w:rsidR="000175D8" w:rsidRPr="003378D8" w:rsidRDefault="000175D8" w:rsidP="003378D8">
      <w:pPr>
        <w:ind w:left="851"/>
        <w:rPr>
          <w:sz w:val="24"/>
          <w:szCs w:val="24"/>
          <w:lang w:val="en-US" w:eastAsia="ja-JP"/>
        </w:rPr>
      </w:pPr>
    </w:p>
    <w:p w14:paraId="1FECFD50" w14:textId="77777777" w:rsidR="000175D8" w:rsidRPr="003378D8" w:rsidRDefault="000175D8" w:rsidP="003378D8">
      <w:pPr>
        <w:ind w:left="851"/>
        <w:rPr>
          <w:i/>
          <w:sz w:val="24"/>
          <w:szCs w:val="24"/>
          <w:lang w:val="en-US" w:eastAsia="ja-JP"/>
        </w:rPr>
      </w:pPr>
      <w:r w:rsidRPr="003378D8">
        <w:rPr>
          <w:i/>
          <w:sz w:val="24"/>
          <w:szCs w:val="24"/>
          <w:lang w:val="en-US" w:eastAsia="ja-JP"/>
        </w:rPr>
        <w:t>Nephrotoxicity</w:t>
      </w:r>
    </w:p>
    <w:p w14:paraId="61BEB389" w14:textId="77777777" w:rsidR="000175D8" w:rsidRPr="003378D8" w:rsidRDefault="000175D8" w:rsidP="003378D8">
      <w:pPr>
        <w:ind w:left="851"/>
        <w:rPr>
          <w:sz w:val="24"/>
          <w:szCs w:val="24"/>
          <w:lang w:val="en-US" w:eastAsia="ja-JP"/>
        </w:rPr>
      </w:pPr>
      <w:r w:rsidRPr="003378D8">
        <w:rPr>
          <w:sz w:val="24"/>
          <w:szCs w:val="24"/>
          <w:lang w:val="en-US" w:eastAsia="ja-JP"/>
        </w:rPr>
        <w:t>Manifested by rising serum creatinine, reduced creatinine clearance, and proteinuria. Therapeutic drug monitoring of gentamicin serum levels and monitoring of renal function is recommended. See also sections 4.2, 4.4 and 4.5.</w:t>
      </w:r>
    </w:p>
    <w:p w14:paraId="6BFA87ED" w14:textId="77777777" w:rsidR="000175D8" w:rsidRPr="003378D8" w:rsidRDefault="000175D8" w:rsidP="003378D8">
      <w:pPr>
        <w:ind w:left="851"/>
        <w:rPr>
          <w:sz w:val="24"/>
          <w:szCs w:val="24"/>
          <w:lang w:val="en-US" w:eastAsia="ja-JP"/>
        </w:rPr>
      </w:pPr>
    </w:p>
    <w:p w14:paraId="053D844A" w14:textId="77777777" w:rsidR="000175D8" w:rsidRPr="003378D8" w:rsidRDefault="000175D8" w:rsidP="003378D8">
      <w:pPr>
        <w:ind w:left="851"/>
        <w:rPr>
          <w:i/>
          <w:sz w:val="24"/>
          <w:szCs w:val="24"/>
          <w:lang w:val="en-US" w:eastAsia="ja-JP"/>
        </w:rPr>
      </w:pPr>
      <w:r w:rsidRPr="003378D8">
        <w:rPr>
          <w:i/>
          <w:sz w:val="24"/>
          <w:szCs w:val="24"/>
          <w:lang w:val="en-US" w:eastAsia="ja-JP"/>
        </w:rPr>
        <w:t>Neurotoxicity</w:t>
      </w:r>
    </w:p>
    <w:p w14:paraId="2408C1A8" w14:textId="77777777" w:rsidR="000175D8" w:rsidRPr="003378D8" w:rsidRDefault="000175D8" w:rsidP="003378D8">
      <w:pPr>
        <w:ind w:left="851"/>
        <w:rPr>
          <w:sz w:val="24"/>
          <w:szCs w:val="24"/>
          <w:lang w:val="en-US" w:eastAsia="ja-JP"/>
        </w:rPr>
      </w:pPr>
      <w:r w:rsidRPr="003378D8">
        <w:rPr>
          <w:sz w:val="24"/>
          <w:szCs w:val="24"/>
          <w:lang w:val="en-US" w:eastAsia="ja-JP"/>
        </w:rPr>
        <w:t>Rare but includes neuromuscular blockade, paresthesia, and seizures. Increased risk in patients with myasthenia gravis or concurrent neuromuscular blockers. See also sections 4.4 and 4.5.</w:t>
      </w:r>
    </w:p>
    <w:p w14:paraId="7EFA1B66" w14:textId="77777777" w:rsidR="000175D8" w:rsidRPr="003378D8" w:rsidRDefault="000175D8" w:rsidP="003378D8">
      <w:pPr>
        <w:ind w:left="851"/>
        <w:rPr>
          <w:sz w:val="24"/>
          <w:szCs w:val="24"/>
          <w:lang w:val="en-US" w:eastAsia="ja-JP"/>
        </w:rPr>
      </w:pPr>
    </w:p>
    <w:p w14:paraId="5BFA224C"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Other special populations</w:t>
      </w:r>
    </w:p>
    <w:p w14:paraId="26029C65" w14:textId="77777777" w:rsidR="000175D8" w:rsidRPr="003378D8" w:rsidRDefault="000175D8" w:rsidP="003378D8">
      <w:pPr>
        <w:ind w:left="851"/>
        <w:rPr>
          <w:i/>
          <w:sz w:val="24"/>
          <w:szCs w:val="24"/>
          <w:lang w:val="en-US" w:eastAsia="ja-JP"/>
        </w:rPr>
      </w:pPr>
      <w:r w:rsidRPr="003378D8">
        <w:rPr>
          <w:i/>
          <w:sz w:val="24"/>
          <w:szCs w:val="24"/>
          <w:lang w:val="en-US" w:eastAsia="ja-JP"/>
        </w:rPr>
        <w:t>Renal impairment</w:t>
      </w:r>
    </w:p>
    <w:p w14:paraId="4D369FEA" w14:textId="77777777" w:rsidR="000175D8" w:rsidRPr="003378D8" w:rsidRDefault="000175D8" w:rsidP="003378D8">
      <w:pPr>
        <w:ind w:left="851"/>
        <w:rPr>
          <w:sz w:val="24"/>
          <w:szCs w:val="24"/>
          <w:lang w:val="en-US" w:eastAsia="ja-JP"/>
        </w:rPr>
      </w:pPr>
      <w:r w:rsidRPr="003378D8">
        <w:rPr>
          <w:sz w:val="24"/>
          <w:szCs w:val="24"/>
          <w:lang w:val="en-US" w:eastAsia="ja-JP"/>
        </w:rPr>
        <w:t>Increased risk of toxicity due to reduced clearance. Therapeutic drug monitoring of gentamicin serum levels and dose adjustment is recommended. See also sections 4.2, 4.4 and 5.2.</w:t>
      </w:r>
    </w:p>
    <w:p w14:paraId="43A1A9F3" w14:textId="77777777" w:rsidR="000175D8" w:rsidRPr="003378D8" w:rsidRDefault="000175D8" w:rsidP="003378D8">
      <w:pPr>
        <w:ind w:left="851"/>
        <w:rPr>
          <w:sz w:val="24"/>
          <w:szCs w:val="24"/>
          <w:lang w:val="en-US" w:eastAsia="ja-JP"/>
        </w:rPr>
      </w:pPr>
    </w:p>
    <w:p w14:paraId="2C01B63B" w14:textId="77777777" w:rsidR="000175D8" w:rsidRPr="003378D8" w:rsidRDefault="000175D8" w:rsidP="003378D8">
      <w:pPr>
        <w:ind w:left="851"/>
        <w:rPr>
          <w:i/>
          <w:sz w:val="24"/>
          <w:szCs w:val="24"/>
          <w:lang w:val="en-US" w:eastAsia="ja-JP"/>
        </w:rPr>
      </w:pPr>
      <w:r w:rsidRPr="003378D8">
        <w:rPr>
          <w:i/>
          <w:sz w:val="24"/>
          <w:szCs w:val="24"/>
          <w:lang w:val="en-US" w:eastAsia="ja-JP"/>
        </w:rPr>
        <w:t>Elderly</w:t>
      </w:r>
    </w:p>
    <w:p w14:paraId="58B8BEF0" w14:textId="77777777" w:rsidR="000175D8" w:rsidRPr="003378D8" w:rsidRDefault="000175D8" w:rsidP="003378D8">
      <w:pPr>
        <w:ind w:left="851"/>
        <w:rPr>
          <w:sz w:val="24"/>
          <w:szCs w:val="24"/>
          <w:lang w:val="en-US" w:eastAsia="ja-JP"/>
        </w:rPr>
      </w:pPr>
      <w:r w:rsidRPr="003378D8">
        <w:rPr>
          <w:sz w:val="24"/>
          <w:szCs w:val="24"/>
          <w:lang w:val="en-US" w:eastAsia="ja-JP"/>
        </w:rPr>
        <w:t>Higher susceptibility to nephrotoxicity and ototoxicity. Therapeutic drug monitoring of gentamicin serum levels and monitoring of renal function is recommended. See also sections 4.2 and 4.4.</w:t>
      </w:r>
    </w:p>
    <w:p w14:paraId="4281DE4B" w14:textId="77777777" w:rsidR="000175D8" w:rsidRPr="003378D8" w:rsidRDefault="000175D8" w:rsidP="003378D8">
      <w:pPr>
        <w:ind w:left="851"/>
        <w:rPr>
          <w:sz w:val="24"/>
          <w:szCs w:val="24"/>
          <w:lang w:val="en-US" w:eastAsia="ja-JP"/>
        </w:rPr>
      </w:pPr>
    </w:p>
    <w:p w14:paraId="0B39CCAC" w14:textId="77777777" w:rsidR="000175D8" w:rsidRPr="003378D8" w:rsidRDefault="000175D8" w:rsidP="003378D8">
      <w:pPr>
        <w:ind w:left="851"/>
        <w:rPr>
          <w:i/>
          <w:sz w:val="24"/>
          <w:szCs w:val="24"/>
          <w:lang w:val="en-US" w:eastAsia="ja-JP"/>
        </w:rPr>
      </w:pPr>
      <w:r w:rsidRPr="003378D8">
        <w:rPr>
          <w:i/>
          <w:sz w:val="24"/>
          <w:szCs w:val="24"/>
          <w:lang w:val="en-US" w:eastAsia="ja-JP"/>
        </w:rPr>
        <w:t>Paediatric population</w:t>
      </w:r>
    </w:p>
    <w:p w14:paraId="436DABC4" w14:textId="77777777" w:rsidR="000175D8" w:rsidRPr="003378D8" w:rsidRDefault="000175D8" w:rsidP="003378D8">
      <w:pPr>
        <w:ind w:left="851"/>
        <w:rPr>
          <w:sz w:val="24"/>
          <w:szCs w:val="24"/>
          <w:lang w:val="en-US" w:eastAsia="ja-JP"/>
        </w:rPr>
      </w:pPr>
      <w:r w:rsidRPr="003378D8">
        <w:rPr>
          <w:sz w:val="24"/>
          <w:szCs w:val="24"/>
          <w:lang w:val="en-US" w:eastAsia="ja-JP"/>
        </w:rPr>
        <w:t>Dose adjustment and monitoring of renal function is recommended. See also sections 4.2, 4.4 and 5.2.</w:t>
      </w:r>
    </w:p>
    <w:p w14:paraId="61634A67" w14:textId="77777777" w:rsidR="000175D8" w:rsidRPr="003378D8" w:rsidRDefault="000175D8" w:rsidP="003378D8">
      <w:pPr>
        <w:ind w:left="851"/>
        <w:rPr>
          <w:sz w:val="24"/>
          <w:szCs w:val="24"/>
          <w:lang w:val="en-US" w:eastAsia="ja-JP"/>
        </w:rPr>
      </w:pPr>
    </w:p>
    <w:p w14:paraId="11007C38" w14:textId="77777777" w:rsidR="00090EE6" w:rsidRPr="00FD1824" w:rsidRDefault="00090EE6" w:rsidP="00090EE6">
      <w:pPr>
        <w:ind w:left="851"/>
        <w:rPr>
          <w:sz w:val="24"/>
          <w:szCs w:val="24"/>
          <w:u w:val="single"/>
          <w:lang w:val="en-GB"/>
        </w:rPr>
      </w:pPr>
      <w:r w:rsidRPr="00FD1824">
        <w:rPr>
          <w:sz w:val="24"/>
          <w:szCs w:val="24"/>
          <w:u w:val="single"/>
          <w:lang w:val="en-GB"/>
        </w:rPr>
        <w:t>Reporting of suspected adverse reactions</w:t>
      </w:r>
    </w:p>
    <w:p w14:paraId="5AAA337A" w14:textId="77777777" w:rsidR="00090EE6" w:rsidRPr="00FD1824" w:rsidRDefault="00090EE6" w:rsidP="00090EE6">
      <w:pPr>
        <w:ind w:left="851"/>
        <w:rPr>
          <w:sz w:val="24"/>
          <w:szCs w:val="24"/>
          <w:lang w:val="en-GB"/>
        </w:rPr>
      </w:pPr>
      <w:r w:rsidRPr="00FD1824">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E85C5EE" w14:textId="77777777" w:rsidR="00090EE6" w:rsidRPr="00FD1824" w:rsidRDefault="00090EE6" w:rsidP="00090EE6">
      <w:pPr>
        <w:ind w:left="851"/>
        <w:rPr>
          <w:sz w:val="24"/>
          <w:szCs w:val="24"/>
          <w:lang w:val="en-GB"/>
        </w:rPr>
      </w:pPr>
    </w:p>
    <w:p w14:paraId="7D0729E7" w14:textId="77777777" w:rsidR="00090EE6" w:rsidRPr="00FD1824" w:rsidRDefault="00090EE6" w:rsidP="00090EE6">
      <w:pPr>
        <w:ind w:left="851"/>
        <w:rPr>
          <w:sz w:val="24"/>
          <w:szCs w:val="24"/>
        </w:rPr>
      </w:pPr>
      <w:r w:rsidRPr="00FD1824">
        <w:rPr>
          <w:sz w:val="24"/>
          <w:szCs w:val="24"/>
        </w:rPr>
        <w:lastRenderedPageBreak/>
        <w:t>Lægemiddelstyrelsen</w:t>
      </w:r>
    </w:p>
    <w:p w14:paraId="16DF7915" w14:textId="77777777" w:rsidR="00090EE6" w:rsidRPr="00FD1824" w:rsidRDefault="00090EE6" w:rsidP="00090EE6">
      <w:pPr>
        <w:ind w:left="851"/>
        <w:rPr>
          <w:sz w:val="24"/>
          <w:szCs w:val="24"/>
        </w:rPr>
      </w:pPr>
      <w:r w:rsidRPr="00FD1824">
        <w:rPr>
          <w:sz w:val="24"/>
          <w:szCs w:val="24"/>
        </w:rPr>
        <w:t>Axel Heides Gade 1</w:t>
      </w:r>
    </w:p>
    <w:p w14:paraId="1634DF57" w14:textId="77777777" w:rsidR="00090EE6" w:rsidRPr="00FD1824" w:rsidRDefault="00090EE6" w:rsidP="00090EE6">
      <w:pPr>
        <w:ind w:left="851"/>
        <w:rPr>
          <w:sz w:val="24"/>
          <w:szCs w:val="24"/>
        </w:rPr>
      </w:pPr>
      <w:r w:rsidRPr="00FD1824">
        <w:rPr>
          <w:sz w:val="24"/>
          <w:szCs w:val="24"/>
        </w:rPr>
        <w:t>DK-2300 København S</w:t>
      </w:r>
    </w:p>
    <w:p w14:paraId="0568D5BD" w14:textId="77777777" w:rsidR="00090EE6" w:rsidRPr="00962C23" w:rsidRDefault="00090EE6" w:rsidP="00090EE6">
      <w:pPr>
        <w:ind w:left="851"/>
        <w:rPr>
          <w:sz w:val="24"/>
          <w:szCs w:val="24"/>
          <w:lang w:val="en-US"/>
        </w:rPr>
      </w:pPr>
      <w:r w:rsidRPr="00962C23">
        <w:rPr>
          <w:sz w:val="24"/>
          <w:szCs w:val="24"/>
          <w:lang w:val="en-US"/>
        </w:rPr>
        <w:t>Website: www.meldenbivirkning.dk</w:t>
      </w:r>
    </w:p>
    <w:p w14:paraId="4877ED91" w14:textId="77777777" w:rsidR="007C5D2A" w:rsidRPr="003378D8" w:rsidRDefault="007C5D2A" w:rsidP="007A4CC6">
      <w:pPr>
        <w:tabs>
          <w:tab w:val="left" w:pos="851"/>
        </w:tabs>
        <w:ind w:left="851"/>
        <w:rPr>
          <w:sz w:val="24"/>
          <w:szCs w:val="24"/>
          <w:lang w:val="en-GB"/>
        </w:rPr>
      </w:pPr>
    </w:p>
    <w:p w14:paraId="3BE1BFB9"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4.9</w:t>
      </w:r>
      <w:r w:rsidRPr="003378D8">
        <w:rPr>
          <w:b/>
          <w:sz w:val="24"/>
          <w:szCs w:val="24"/>
          <w:lang w:val="en-GB"/>
        </w:rPr>
        <w:tab/>
        <w:t>Overdose</w:t>
      </w:r>
    </w:p>
    <w:p w14:paraId="210B68C4" w14:textId="77777777" w:rsidR="00090EE6" w:rsidRDefault="00090EE6" w:rsidP="003378D8">
      <w:pPr>
        <w:ind w:left="851"/>
        <w:rPr>
          <w:sz w:val="24"/>
          <w:szCs w:val="24"/>
          <w:lang w:val="en-US" w:eastAsia="ja-JP"/>
        </w:rPr>
      </w:pPr>
    </w:p>
    <w:p w14:paraId="6882C30A" w14:textId="21DC71EE" w:rsidR="000175D8" w:rsidRPr="00090EE6" w:rsidRDefault="000175D8" w:rsidP="003378D8">
      <w:pPr>
        <w:ind w:left="851"/>
        <w:rPr>
          <w:sz w:val="24"/>
          <w:szCs w:val="24"/>
          <w:u w:val="single"/>
          <w:lang w:val="en-US" w:eastAsia="ja-JP"/>
        </w:rPr>
      </w:pPr>
      <w:r w:rsidRPr="00090EE6">
        <w:rPr>
          <w:sz w:val="24"/>
          <w:szCs w:val="24"/>
          <w:u w:val="single"/>
          <w:lang w:val="en-US" w:eastAsia="ja-JP"/>
        </w:rPr>
        <w:t>Symptoms</w:t>
      </w:r>
    </w:p>
    <w:p w14:paraId="7B814FB7" w14:textId="77777777" w:rsidR="000175D8" w:rsidRPr="003378D8" w:rsidRDefault="000175D8" w:rsidP="003378D8">
      <w:pPr>
        <w:ind w:left="851"/>
        <w:rPr>
          <w:sz w:val="24"/>
          <w:szCs w:val="24"/>
          <w:lang w:val="en-US" w:eastAsia="ja-JP"/>
        </w:rPr>
      </w:pPr>
      <w:r w:rsidRPr="003378D8">
        <w:rPr>
          <w:sz w:val="24"/>
          <w:szCs w:val="24"/>
          <w:lang w:val="en-US" w:eastAsia="ja-JP"/>
        </w:rPr>
        <w:t>In cases of drug accumulation, renal impairment and damage to the vestibulocochlear nerves may occur. Rarely, neuromuscular blockade leading to respiratory paralysis and convulsions may also be observed.</w:t>
      </w:r>
    </w:p>
    <w:p w14:paraId="2ADC0DB4" w14:textId="77777777" w:rsidR="000175D8" w:rsidRPr="003378D8" w:rsidRDefault="000175D8" w:rsidP="003378D8">
      <w:pPr>
        <w:ind w:left="851"/>
        <w:rPr>
          <w:sz w:val="24"/>
          <w:szCs w:val="24"/>
          <w:lang w:val="en-US" w:eastAsia="ja-JP"/>
        </w:rPr>
      </w:pPr>
    </w:p>
    <w:p w14:paraId="57066D5C"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Treatment</w:t>
      </w:r>
    </w:p>
    <w:p w14:paraId="2C9E3A64" w14:textId="77777777" w:rsidR="000175D8" w:rsidRPr="003378D8" w:rsidRDefault="000175D8" w:rsidP="003378D8">
      <w:pPr>
        <w:ind w:left="851"/>
        <w:rPr>
          <w:sz w:val="24"/>
          <w:szCs w:val="24"/>
          <w:lang w:val="en-US" w:eastAsia="ja-JP"/>
        </w:rPr>
      </w:pPr>
      <w:r w:rsidRPr="003378D8">
        <w:rPr>
          <w:sz w:val="24"/>
          <w:szCs w:val="24"/>
          <w:lang w:val="en-US" w:eastAsia="ja-JP"/>
        </w:rPr>
        <w:t>Monitor serum concentration. Ensure adequate diuresis, preferably with a slight increase, to support optimal therapeutic outcomes. Respiratory support and other symptomatic treatment as needed. In case of high plasma levels and concomitant renal failure, hemodialysis may be necessary.</w:t>
      </w:r>
    </w:p>
    <w:p w14:paraId="4D32CB3F" w14:textId="77777777" w:rsidR="000175D8" w:rsidRPr="003378D8" w:rsidRDefault="000175D8" w:rsidP="003378D8">
      <w:pPr>
        <w:ind w:left="851"/>
        <w:rPr>
          <w:sz w:val="24"/>
          <w:szCs w:val="24"/>
          <w:lang w:val="en-US" w:eastAsia="ja-JP"/>
        </w:rPr>
      </w:pPr>
      <w:r w:rsidRPr="003378D8">
        <w:rPr>
          <w:sz w:val="24"/>
          <w:szCs w:val="24"/>
          <w:lang w:val="en-US" w:eastAsia="ja-JP"/>
        </w:rPr>
        <w:t>In the event of neuromuscular blockade (usually caused by interactions, see section 4.5), the administration of calcium chloride is advisable and artificial respiration if required.</w:t>
      </w:r>
    </w:p>
    <w:p w14:paraId="2D72C0F2" w14:textId="77777777" w:rsidR="007C5D2A" w:rsidRPr="003378D8" w:rsidRDefault="007C5D2A" w:rsidP="003E0341">
      <w:pPr>
        <w:tabs>
          <w:tab w:val="left" w:pos="851"/>
        </w:tabs>
        <w:ind w:left="851"/>
        <w:rPr>
          <w:sz w:val="24"/>
          <w:szCs w:val="24"/>
          <w:lang w:val="en-GB"/>
        </w:rPr>
      </w:pPr>
    </w:p>
    <w:p w14:paraId="2660E074" w14:textId="77777777" w:rsidR="008F2F8C" w:rsidRPr="003378D8" w:rsidRDefault="0042292D" w:rsidP="0042292D">
      <w:pPr>
        <w:tabs>
          <w:tab w:val="left" w:pos="851"/>
        </w:tabs>
        <w:rPr>
          <w:b/>
          <w:sz w:val="24"/>
          <w:szCs w:val="24"/>
          <w:lang w:val="en-GB"/>
        </w:rPr>
      </w:pPr>
      <w:r w:rsidRPr="003378D8">
        <w:rPr>
          <w:b/>
          <w:sz w:val="24"/>
          <w:szCs w:val="24"/>
          <w:lang w:val="en-GB"/>
        </w:rPr>
        <w:t>4.10</w:t>
      </w:r>
      <w:r w:rsidRPr="003378D8">
        <w:rPr>
          <w:b/>
          <w:sz w:val="24"/>
          <w:szCs w:val="24"/>
          <w:lang w:val="en-GB"/>
        </w:rPr>
        <w:tab/>
        <w:t>Legal status</w:t>
      </w:r>
    </w:p>
    <w:p w14:paraId="6D8F8220" w14:textId="511DEBD7" w:rsidR="00AD2E36" w:rsidRPr="003378D8" w:rsidRDefault="000175D8" w:rsidP="00AD2E36">
      <w:pPr>
        <w:tabs>
          <w:tab w:val="left" w:pos="851"/>
        </w:tabs>
        <w:ind w:left="851"/>
        <w:rPr>
          <w:sz w:val="24"/>
          <w:szCs w:val="24"/>
          <w:lang w:val="en-GB"/>
        </w:rPr>
      </w:pPr>
      <w:r w:rsidRPr="003378D8">
        <w:rPr>
          <w:sz w:val="24"/>
          <w:szCs w:val="24"/>
          <w:lang w:val="en-GB"/>
        </w:rPr>
        <w:t>B</w:t>
      </w:r>
    </w:p>
    <w:p w14:paraId="35800A79" w14:textId="77777777" w:rsidR="007C5D2A" w:rsidRPr="003378D8" w:rsidRDefault="007C5D2A" w:rsidP="003E0341">
      <w:pPr>
        <w:tabs>
          <w:tab w:val="left" w:pos="851"/>
        </w:tabs>
        <w:ind w:left="851"/>
        <w:rPr>
          <w:sz w:val="24"/>
          <w:szCs w:val="24"/>
          <w:lang w:val="en-GB"/>
        </w:rPr>
      </w:pPr>
    </w:p>
    <w:p w14:paraId="0C1E9FBF" w14:textId="77777777" w:rsidR="00AD2E36" w:rsidRPr="003378D8" w:rsidRDefault="00AD2E36" w:rsidP="003E0341">
      <w:pPr>
        <w:tabs>
          <w:tab w:val="left" w:pos="851"/>
        </w:tabs>
        <w:ind w:left="851"/>
        <w:rPr>
          <w:sz w:val="24"/>
          <w:szCs w:val="24"/>
          <w:lang w:val="en-GB"/>
        </w:rPr>
      </w:pPr>
    </w:p>
    <w:p w14:paraId="0DE3296C" w14:textId="77777777" w:rsidR="007C5D2A" w:rsidRPr="003378D8" w:rsidRDefault="007C5D2A" w:rsidP="007C5D2A">
      <w:pPr>
        <w:tabs>
          <w:tab w:val="left" w:pos="851"/>
        </w:tabs>
        <w:rPr>
          <w:b/>
          <w:sz w:val="24"/>
          <w:szCs w:val="24"/>
          <w:lang w:val="en-GB"/>
        </w:rPr>
      </w:pPr>
      <w:r w:rsidRPr="003378D8">
        <w:rPr>
          <w:b/>
          <w:sz w:val="24"/>
          <w:szCs w:val="24"/>
          <w:lang w:val="en-GB"/>
        </w:rPr>
        <w:t>5.</w:t>
      </w:r>
      <w:r w:rsidRPr="003378D8">
        <w:rPr>
          <w:b/>
          <w:sz w:val="24"/>
          <w:szCs w:val="24"/>
          <w:lang w:val="en-GB"/>
        </w:rPr>
        <w:tab/>
        <w:t>PHARMACOLOGICAL PROPERTIES</w:t>
      </w:r>
    </w:p>
    <w:p w14:paraId="5EB8CF34" w14:textId="77777777" w:rsidR="007C5D2A" w:rsidRPr="003378D8" w:rsidRDefault="007C5D2A" w:rsidP="003E0341">
      <w:pPr>
        <w:tabs>
          <w:tab w:val="left" w:pos="851"/>
        </w:tabs>
        <w:ind w:left="851"/>
        <w:rPr>
          <w:sz w:val="24"/>
          <w:szCs w:val="24"/>
          <w:lang w:val="en-GB"/>
        </w:rPr>
      </w:pPr>
    </w:p>
    <w:p w14:paraId="72F1D5DB" w14:textId="77777777" w:rsidR="007C5D2A" w:rsidRPr="003378D8" w:rsidRDefault="007C5D2A" w:rsidP="007C5D2A">
      <w:pPr>
        <w:tabs>
          <w:tab w:val="left" w:pos="851"/>
        </w:tabs>
        <w:ind w:left="851" w:hanging="851"/>
        <w:rPr>
          <w:b/>
          <w:sz w:val="24"/>
          <w:szCs w:val="24"/>
          <w:lang w:val="en-GB"/>
        </w:rPr>
      </w:pPr>
      <w:r w:rsidRPr="003378D8">
        <w:rPr>
          <w:b/>
          <w:sz w:val="24"/>
          <w:szCs w:val="24"/>
          <w:lang w:val="en-GB"/>
        </w:rPr>
        <w:t>5.1</w:t>
      </w:r>
      <w:r w:rsidRPr="003378D8">
        <w:rPr>
          <w:b/>
          <w:sz w:val="24"/>
          <w:szCs w:val="24"/>
          <w:lang w:val="en-GB"/>
        </w:rPr>
        <w:tab/>
        <w:t>Pharmacodynamic properties</w:t>
      </w:r>
      <w:r w:rsidRPr="003378D8">
        <w:rPr>
          <w:b/>
          <w:sz w:val="24"/>
          <w:szCs w:val="24"/>
          <w:lang w:val="en-GB"/>
        </w:rPr>
        <w:tab/>
      </w:r>
    </w:p>
    <w:p w14:paraId="613D99E1" w14:textId="77777777" w:rsidR="000175D8" w:rsidRPr="003378D8" w:rsidRDefault="000175D8" w:rsidP="003378D8">
      <w:pPr>
        <w:ind w:left="851"/>
        <w:rPr>
          <w:noProof/>
          <w:sz w:val="24"/>
          <w:szCs w:val="24"/>
          <w:lang w:val="en-US"/>
        </w:rPr>
      </w:pPr>
      <w:r w:rsidRPr="003378D8">
        <w:rPr>
          <w:noProof/>
          <w:sz w:val="24"/>
          <w:szCs w:val="24"/>
          <w:lang w:val="en-US"/>
        </w:rPr>
        <w:t xml:space="preserve">Pharmacotherapeutic group: </w:t>
      </w:r>
      <w:r w:rsidRPr="003378D8">
        <w:rPr>
          <w:bCs/>
          <w:color w:val="000000"/>
          <w:sz w:val="24"/>
          <w:szCs w:val="24"/>
          <w:lang w:val="en-US"/>
        </w:rPr>
        <w:t xml:space="preserve">Other aminoglycosides, </w:t>
      </w:r>
      <w:proofErr w:type="spellStart"/>
      <w:r w:rsidRPr="003378D8">
        <w:rPr>
          <w:bCs/>
          <w:color w:val="000000"/>
          <w:sz w:val="24"/>
          <w:szCs w:val="24"/>
          <w:lang w:val="en-US"/>
        </w:rPr>
        <w:t>Antiinfectives</w:t>
      </w:r>
      <w:proofErr w:type="spellEnd"/>
      <w:r w:rsidRPr="003378D8">
        <w:rPr>
          <w:bCs/>
          <w:color w:val="000000"/>
          <w:sz w:val="24"/>
          <w:szCs w:val="24"/>
          <w:lang w:val="en-US"/>
        </w:rPr>
        <w:t xml:space="preserve"> for systemic use</w:t>
      </w:r>
      <w:r w:rsidRPr="003378D8">
        <w:rPr>
          <w:noProof/>
          <w:sz w:val="24"/>
          <w:szCs w:val="24"/>
          <w:lang w:val="en-US"/>
        </w:rPr>
        <w:t xml:space="preserve">, ATC code: </w:t>
      </w:r>
      <w:r w:rsidRPr="003378D8">
        <w:rPr>
          <w:color w:val="000000"/>
          <w:sz w:val="24"/>
          <w:szCs w:val="24"/>
          <w:lang w:val="en-US"/>
        </w:rPr>
        <w:t>J01GB03.</w:t>
      </w:r>
    </w:p>
    <w:p w14:paraId="13452408" w14:textId="77777777" w:rsidR="000175D8" w:rsidRPr="003378D8" w:rsidRDefault="000175D8" w:rsidP="003378D8">
      <w:pPr>
        <w:ind w:left="851"/>
        <w:rPr>
          <w:sz w:val="24"/>
          <w:szCs w:val="24"/>
          <w:lang w:val="en-US"/>
        </w:rPr>
      </w:pPr>
    </w:p>
    <w:p w14:paraId="5E8411D5" w14:textId="77777777" w:rsidR="000175D8" w:rsidRPr="003378D8" w:rsidRDefault="000175D8" w:rsidP="003378D8">
      <w:pPr>
        <w:ind w:left="851"/>
        <w:rPr>
          <w:sz w:val="24"/>
          <w:szCs w:val="24"/>
          <w:lang w:val="en-US"/>
        </w:rPr>
      </w:pPr>
      <w:r w:rsidRPr="003378D8">
        <w:rPr>
          <w:sz w:val="24"/>
          <w:szCs w:val="24"/>
          <w:lang w:val="en-US"/>
        </w:rPr>
        <w:t xml:space="preserve">Gentamicin is an aminoglycoside antibiotic extracted from </w:t>
      </w:r>
      <w:proofErr w:type="spellStart"/>
      <w:r w:rsidRPr="003378D8">
        <w:rPr>
          <w:i/>
          <w:iCs/>
          <w:sz w:val="24"/>
          <w:szCs w:val="24"/>
          <w:lang w:val="en-US"/>
        </w:rPr>
        <w:t>Micromonospora</w:t>
      </w:r>
      <w:proofErr w:type="spellEnd"/>
      <w:r w:rsidRPr="003378D8">
        <w:rPr>
          <w:i/>
          <w:iCs/>
          <w:sz w:val="24"/>
          <w:szCs w:val="24"/>
          <w:lang w:val="en-US"/>
        </w:rPr>
        <w:t xml:space="preserve"> </w:t>
      </w:r>
      <w:proofErr w:type="spellStart"/>
      <w:r w:rsidRPr="003378D8">
        <w:rPr>
          <w:i/>
          <w:iCs/>
          <w:sz w:val="24"/>
          <w:szCs w:val="24"/>
          <w:lang w:val="en-US"/>
        </w:rPr>
        <w:t>purpurea</w:t>
      </w:r>
      <w:proofErr w:type="spellEnd"/>
      <w:r w:rsidRPr="003378D8">
        <w:rPr>
          <w:sz w:val="24"/>
          <w:szCs w:val="24"/>
          <w:lang w:val="en-US"/>
        </w:rPr>
        <w:t>. It represents a mixture of the structurally very similar homologues gentamicin C1, C1a and C2. The gentamicin homologue C2 is classified as the component with the highest toxicity. The antibacterial activity of gentamicin sulphate is determined both on the basis of units and also on the basis of mass (weight).</w:t>
      </w:r>
    </w:p>
    <w:p w14:paraId="0BAD0ACC" w14:textId="77777777" w:rsidR="000175D8" w:rsidRPr="003378D8" w:rsidRDefault="000175D8" w:rsidP="003378D8">
      <w:pPr>
        <w:ind w:left="851"/>
        <w:rPr>
          <w:sz w:val="24"/>
          <w:szCs w:val="24"/>
          <w:lang w:val="en-US"/>
        </w:rPr>
      </w:pPr>
    </w:p>
    <w:p w14:paraId="0883F59A" w14:textId="77777777" w:rsidR="000175D8" w:rsidRPr="003378D8" w:rsidRDefault="000175D8" w:rsidP="003378D8">
      <w:pPr>
        <w:ind w:left="851"/>
        <w:rPr>
          <w:sz w:val="24"/>
          <w:szCs w:val="24"/>
          <w:lang w:val="en-US" w:eastAsia="ja-JP"/>
        </w:rPr>
      </w:pPr>
      <w:r w:rsidRPr="003378D8">
        <w:rPr>
          <w:sz w:val="24"/>
          <w:szCs w:val="24"/>
          <w:u w:val="single"/>
          <w:lang w:val="en-US"/>
        </w:rPr>
        <w:t>Mechanism of action</w:t>
      </w:r>
    </w:p>
    <w:p w14:paraId="4971BEFB" w14:textId="77777777" w:rsidR="000175D8" w:rsidRPr="003378D8" w:rsidRDefault="000175D8" w:rsidP="003378D8">
      <w:pPr>
        <w:ind w:left="851"/>
        <w:rPr>
          <w:sz w:val="24"/>
          <w:szCs w:val="24"/>
          <w:lang w:val="en-US" w:eastAsia="ja-JP"/>
        </w:rPr>
      </w:pPr>
      <w:r w:rsidRPr="003378D8">
        <w:rPr>
          <w:sz w:val="24"/>
          <w:szCs w:val="24"/>
          <w:lang w:val="en-US" w:eastAsia="ja-JP"/>
        </w:rPr>
        <w:t>Gentamicin has a bactericidal effect on both the proliferation and latency of bacteria.</w:t>
      </w:r>
    </w:p>
    <w:p w14:paraId="2BB87934" w14:textId="77777777" w:rsidR="000175D8" w:rsidRPr="003378D8" w:rsidRDefault="000175D8" w:rsidP="003378D8">
      <w:pPr>
        <w:ind w:left="851"/>
        <w:rPr>
          <w:sz w:val="24"/>
          <w:szCs w:val="24"/>
          <w:lang w:val="en-US" w:eastAsia="ja-JP"/>
        </w:rPr>
      </w:pPr>
      <w:r w:rsidRPr="003378D8">
        <w:rPr>
          <w:sz w:val="24"/>
          <w:szCs w:val="24"/>
          <w:lang w:val="en-US" w:eastAsia="ja-JP"/>
        </w:rPr>
        <w:t>It forms a bond with bacterial 30S ribosomal subunits, which causes misreading of mRNA.</w:t>
      </w:r>
    </w:p>
    <w:p w14:paraId="5F0E8772" w14:textId="77777777" w:rsidR="000175D8" w:rsidRPr="003378D8" w:rsidRDefault="000175D8" w:rsidP="003378D8">
      <w:pPr>
        <w:ind w:left="851"/>
        <w:rPr>
          <w:sz w:val="24"/>
          <w:szCs w:val="24"/>
          <w:lang w:val="en-GB" w:eastAsia="en-US"/>
        </w:rPr>
      </w:pPr>
    </w:p>
    <w:p w14:paraId="4B6F0C29" w14:textId="77777777" w:rsidR="000175D8" w:rsidRPr="003378D8" w:rsidRDefault="000175D8" w:rsidP="003378D8">
      <w:pPr>
        <w:ind w:left="851"/>
        <w:rPr>
          <w:sz w:val="24"/>
          <w:szCs w:val="24"/>
          <w:u w:val="single"/>
          <w:lang w:val="en-GB"/>
        </w:rPr>
      </w:pPr>
      <w:r w:rsidRPr="003378D8">
        <w:rPr>
          <w:sz w:val="24"/>
          <w:szCs w:val="24"/>
          <w:u w:val="single"/>
          <w:lang w:val="en-GB"/>
        </w:rPr>
        <w:t>PK-PD relationship</w:t>
      </w:r>
    </w:p>
    <w:p w14:paraId="7E32625F" w14:textId="77777777" w:rsidR="000175D8" w:rsidRPr="003378D8" w:rsidRDefault="000175D8" w:rsidP="003378D8">
      <w:pPr>
        <w:ind w:left="851"/>
        <w:rPr>
          <w:sz w:val="24"/>
          <w:szCs w:val="24"/>
          <w:lang w:val="en-GB"/>
        </w:rPr>
      </w:pPr>
      <w:r w:rsidRPr="003378D8">
        <w:rPr>
          <w:sz w:val="24"/>
          <w:szCs w:val="24"/>
          <w:lang w:val="en-GB"/>
        </w:rPr>
        <w:t>The aminoglycosides show a concentration dependent anti-bacterial effect.</w:t>
      </w:r>
    </w:p>
    <w:p w14:paraId="6DF4E2C6" w14:textId="77777777" w:rsidR="000175D8" w:rsidRPr="003378D8" w:rsidRDefault="000175D8" w:rsidP="003378D8">
      <w:pPr>
        <w:ind w:left="851"/>
        <w:rPr>
          <w:sz w:val="24"/>
          <w:szCs w:val="24"/>
          <w:lang w:val="en-GB"/>
        </w:rPr>
      </w:pPr>
      <w:r w:rsidRPr="003378D8">
        <w:rPr>
          <w:sz w:val="24"/>
          <w:szCs w:val="24"/>
          <w:lang w:val="en-GB"/>
        </w:rPr>
        <w:t xml:space="preserve">Gentamicin and other aminoglycosides show a clear post-antibiotic effect </w:t>
      </w:r>
      <w:r w:rsidRPr="003378D8">
        <w:rPr>
          <w:i/>
          <w:iCs/>
          <w:sz w:val="24"/>
          <w:szCs w:val="24"/>
          <w:lang w:val="en-GB"/>
        </w:rPr>
        <w:t>in vitro</w:t>
      </w:r>
      <w:r w:rsidRPr="003378D8">
        <w:rPr>
          <w:sz w:val="24"/>
          <w:szCs w:val="24"/>
          <w:lang w:val="en-GB"/>
        </w:rPr>
        <w:t xml:space="preserve"> and </w:t>
      </w:r>
      <w:r w:rsidRPr="003378D8">
        <w:rPr>
          <w:i/>
          <w:iCs/>
          <w:sz w:val="24"/>
          <w:szCs w:val="24"/>
          <w:lang w:val="en-GB"/>
        </w:rPr>
        <w:t>in vivo</w:t>
      </w:r>
      <w:r w:rsidRPr="003378D8">
        <w:rPr>
          <w:sz w:val="24"/>
          <w:szCs w:val="24"/>
          <w:lang w:val="en-GB"/>
        </w:rPr>
        <w:t xml:space="preserve"> in most experimental models of infection. Provided sufficiently high doses are administered, these drugs are therefore efficacious against infections with many susceptible micro-organisms even if the concentration in plasma and tissues remains below the MIC during part of the dosage interval. The post-antibiotic effect permits the dosage interval to be extended without loss of efficacy against most Gram-negative bacilli.</w:t>
      </w:r>
    </w:p>
    <w:p w14:paraId="66ACC754" w14:textId="54522225" w:rsidR="00A559F5" w:rsidRDefault="00A559F5">
      <w:pPr>
        <w:rPr>
          <w:sz w:val="24"/>
          <w:szCs w:val="24"/>
          <w:lang w:val="en-GB"/>
        </w:rPr>
      </w:pPr>
      <w:r>
        <w:rPr>
          <w:sz w:val="24"/>
          <w:szCs w:val="24"/>
          <w:lang w:val="en-GB"/>
        </w:rPr>
        <w:br w:type="page"/>
      </w:r>
    </w:p>
    <w:p w14:paraId="6DF4D0D0" w14:textId="77777777" w:rsidR="000175D8" w:rsidRPr="003378D8" w:rsidRDefault="000175D8" w:rsidP="003378D8">
      <w:pPr>
        <w:ind w:left="851"/>
        <w:rPr>
          <w:sz w:val="24"/>
          <w:szCs w:val="24"/>
          <w:lang w:val="en-GB"/>
        </w:rPr>
      </w:pPr>
    </w:p>
    <w:p w14:paraId="0D67D608" w14:textId="77777777" w:rsidR="000175D8" w:rsidRPr="003378D8" w:rsidRDefault="000175D8" w:rsidP="003378D8">
      <w:pPr>
        <w:ind w:left="851"/>
        <w:rPr>
          <w:sz w:val="24"/>
          <w:szCs w:val="24"/>
          <w:u w:val="single"/>
          <w:lang w:val="en-GB"/>
        </w:rPr>
      </w:pPr>
      <w:r w:rsidRPr="003378D8">
        <w:rPr>
          <w:sz w:val="24"/>
          <w:szCs w:val="24"/>
          <w:u w:val="single"/>
          <w:lang w:val="en-GB"/>
        </w:rPr>
        <w:t>Mechanisms of resistance</w:t>
      </w:r>
    </w:p>
    <w:p w14:paraId="638AB5B0" w14:textId="77777777" w:rsidR="000175D8" w:rsidRPr="003378D8" w:rsidRDefault="000175D8" w:rsidP="003378D8">
      <w:pPr>
        <w:ind w:left="851"/>
        <w:rPr>
          <w:sz w:val="24"/>
          <w:szCs w:val="24"/>
          <w:lang w:val="en-GB"/>
        </w:rPr>
      </w:pPr>
      <w:r w:rsidRPr="003378D8">
        <w:rPr>
          <w:sz w:val="24"/>
          <w:szCs w:val="24"/>
          <w:lang w:val="en-GB"/>
        </w:rPr>
        <w:t>Resistance may be due to a failure of permeation, low affinity for the bacterial ribosome or inactivation of gentamicin by microbial enzymes. The emergence of resistance during therapy is unusual.</w:t>
      </w:r>
    </w:p>
    <w:p w14:paraId="5B691766" w14:textId="77777777" w:rsidR="000175D8" w:rsidRPr="003378D8" w:rsidRDefault="000175D8" w:rsidP="003378D8">
      <w:pPr>
        <w:ind w:left="851"/>
        <w:rPr>
          <w:sz w:val="24"/>
          <w:szCs w:val="24"/>
          <w:lang w:val="en-GB"/>
        </w:rPr>
      </w:pPr>
    </w:p>
    <w:p w14:paraId="69B3848F" w14:textId="77777777" w:rsidR="000175D8" w:rsidRPr="003378D8" w:rsidRDefault="000175D8" w:rsidP="003378D8">
      <w:pPr>
        <w:ind w:left="851"/>
        <w:rPr>
          <w:sz w:val="24"/>
          <w:szCs w:val="24"/>
          <w:u w:val="single"/>
          <w:lang w:val="en-US"/>
        </w:rPr>
      </w:pPr>
      <w:bookmarkStart w:id="11" w:name="_Hlk183433538"/>
      <w:r w:rsidRPr="003378D8">
        <w:rPr>
          <w:sz w:val="24"/>
          <w:szCs w:val="24"/>
          <w:u w:val="single"/>
          <w:lang w:val="en-US"/>
        </w:rPr>
        <w:t>Susceptibility testing breakpoints</w:t>
      </w:r>
    </w:p>
    <w:p w14:paraId="26F1605B" w14:textId="77777777" w:rsidR="000175D8" w:rsidRPr="003378D8" w:rsidRDefault="000175D8" w:rsidP="003378D8">
      <w:pPr>
        <w:ind w:left="851"/>
        <w:rPr>
          <w:sz w:val="24"/>
          <w:szCs w:val="24"/>
          <w:lang w:val="en-US"/>
        </w:rPr>
      </w:pPr>
      <w:r w:rsidRPr="003378D8">
        <w:rPr>
          <w:sz w:val="24"/>
          <w:szCs w:val="24"/>
          <w:lang w:val="en-US"/>
        </w:rPr>
        <w:t xml:space="preserve">MIC (minimum inhibitory concentration) interpretive criteria for susceptibility testing have been established by the European Committee on Antimicrobial Susceptibility Testing (EUCAST) for gentamicin and are listed here: </w:t>
      </w:r>
      <w:hyperlink r:id="rId8" w:history="1">
        <w:r w:rsidRPr="003378D8">
          <w:rPr>
            <w:rStyle w:val="Hyperlink"/>
            <w:color w:val="0070C0"/>
            <w:sz w:val="24"/>
            <w:szCs w:val="24"/>
            <w:lang w:val="en-US"/>
          </w:rPr>
          <w:t>https://www.ema.europa.eu/documents/other/minimum-inhibitory-concentration-mic-breakpoints_en.xlsx</w:t>
        </w:r>
      </w:hyperlink>
      <w:bookmarkEnd w:id="11"/>
    </w:p>
    <w:p w14:paraId="150A46F2" w14:textId="77777777" w:rsidR="000175D8" w:rsidRPr="003378D8" w:rsidRDefault="000175D8" w:rsidP="003378D8">
      <w:pPr>
        <w:ind w:left="851"/>
        <w:rPr>
          <w:sz w:val="24"/>
          <w:szCs w:val="24"/>
          <w:lang w:val="en-GB"/>
        </w:rPr>
      </w:pPr>
    </w:p>
    <w:p w14:paraId="46507B1E" w14:textId="77777777" w:rsidR="000175D8" w:rsidRPr="003378D8" w:rsidRDefault="000175D8" w:rsidP="003378D8">
      <w:pPr>
        <w:ind w:left="851"/>
        <w:rPr>
          <w:sz w:val="24"/>
          <w:szCs w:val="24"/>
          <w:u w:val="single"/>
          <w:lang w:val="en-GB"/>
        </w:rPr>
      </w:pPr>
      <w:r w:rsidRPr="003378D8">
        <w:rPr>
          <w:sz w:val="24"/>
          <w:szCs w:val="24"/>
          <w:u w:val="single"/>
          <w:lang w:val="en-GB"/>
        </w:rPr>
        <w:t>Antibacterial spectrum</w:t>
      </w:r>
    </w:p>
    <w:p w14:paraId="18901980" w14:textId="77777777" w:rsidR="000175D8" w:rsidRPr="003378D8" w:rsidRDefault="000175D8" w:rsidP="003378D8">
      <w:pPr>
        <w:ind w:left="851"/>
        <w:rPr>
          <w:sz w:val="24"/>
          <w:szCs w:val="24"/>
          <w:lang w:val="en-GB"/>
        </w:rPr>
      </w:pPr>
      <w:r w:rsidRPr="003378D8">
        <w:rPr>
          <w:sz w:val="24"/>
          <w:szCs w:val="24"/>
          <w:lang w:val="en-GB"/>
        </w:rPr>
        <w:t>The prevalence of acquired resistance may vary geographically and with time for selected species and local information on resistance is desirable, particularly when treating severe infections. As necessary, expert advice should be sought when the local prevalence of resistance is such that the utility of the agent in at least some types of infections is questionable. Especially in such circumstances, samples should be obtained in order to identify the causal micro-organism and to measure its sensitivity to gentamicin.</w:t>
      </w:r>
    </w:p>
    <w:p w14:paraId="6B2EF0AE" w14:textId="77777777" w:rsidR="000175D8" w:rsidRPr="003378D8" w:rsidRDefault="000175D8" w:rsidP="003378D8">
      <w:pPr>
        <w:ind w:left="851"/>
        <w:rPr>
          <w:sz w:val="24"/>
          <w:szCs w:val="24"/>
          <w:lang w:val="en-GB"/>
        </w:rPr>
      </w:pPr>
      <w:r w:rsidRPr="003378D8">
        <w:rPr>
          <w:sz w:val="24"/>
          <w:szCs w:val="24"/>
          <w:lang w:val="en-GB"/>
        </w:rPr>
        <w:t xml:space="preserve">Gentamycin often has synergistic effect when used in combination with beta-lactam therapy despite low to moderate level </w:t>
      </w:r>
      <w:r w:rsidRPr="003378D8">
        <w:rPr>
          <w:i/>
          <w:iCs/>
          <w:sz w:val="24"/>
          <w:szCs w:val="24"/>
          <w:lang w:val="en-GB"/>
        </w:rPr>
        <w:t>in vitro</w:t>
      </w:r>
      <w:r w:rsidRPr="003378D8">
        <w:rPr>
          <w:sz w:val="24"/>
          <w:szCs w:val="24"/>
          <w:lang w:val="en-GB"/>
        </w:rPr>
        <w:t>-resistance, such as for treatment of enterococcal species without high-level (MIC &gt; 128) resistance.</w:t>
      </w:r>
    </w:p>
    <w:p w14:paraId="02D4315C" w14:textId="77777777" w:rsidR="000175D8" w:rsidRPr="003378D8" w:rsidRDefault="000175D8" w:rsidP="003378D8">
      <w:pPr>
        <w:ind w:left="851"/>
        <w:rPr>
          <w:sz w:val="24"/>
          <w:szCs w:val="24"/>
          <w:lang w:val="en-GB"/>
        </w:rPr>
      </w:pPr>
    </w:p>
    <w:p w14:paraId="21764A80" w14:textId="77777777" w:rsidR="000175D8" w:rsidRPr="003378D8" w:rsidRDefault="000175D8" w:rsidP="003378D8">
      <w:pPr>
        <w:ind w:left="851"/>
        <w:rPr>
          <w:sz w:val="24"/>
          <w:szCs w:val="24"/>
          <w:u w:val="single"/>
          <w:lang w:val="en-GB"/>
        </w:rPr>
      </w:pPr>
      <w:r w:rsidRPr="003378D8">
        <w:rPr>
          <w:sz w:val="24"/>
          <w:szCs w:val="24"/>
          <w:u w:val="single"/>
          <w:lang w:val="en-GB"/>
        </w:rPr>
        <w:t>Commonly susceptible species</w:t>
      </w:r>
    </w:p>
    <w:p w14:paraId="5214CD32" w14:textId="77777777" w:rsidR="000175D8" w:rsidRPr="003378D8" w:rsidRDefault="000175D8" w:rsidP="003378D8">
      <w:pPr>
        <w:ind w:left="851"/>
        <w:rPr>
          <w:i/>
          <w:iCs/>
          <w:sz w:val="24"/>
          <w:szCs w:val="24"/>
          <w:u w:val="single"/>
          <w:lang w:val="en-GB"/>
        </w:rPr>
      </w:pPr>
      <w:r w:rsidRPr="003378D8">
        <w:rPr>
          <w:i/>
          <w:iCs/>
          <w:sz w:val="24"/>
          <w:szCs w:val="24"/>
          <w:u w:val="single"/>
          <w:lang w:val="en-GB"/>
        </w:rPr>
        <w:t>Gram-positive aerobes</w:t>
      </w:r>
    </w:p>
    <w:p w14:paraId="0310C698" w14:textId="77777777" w:rsidR="000175D8" w:rsidRPr="003378D8" w:rsidRDefault="000175D8" w:rsidP="003378D8">
      <w:pPr>
        <w:ind w:left="851"/>
        <w:rPr>
          <w:i/>
          <w:iCs/>
          <w:sz w:val="24"/>
          <w:szCs w:val="24"/>
          <w:lang w:val="en-GB"/>
        </w:rPr>
      </w:pPr>
      <w:r w:rsidRPr="003378D8">
        <w:rPr>
          <w:i/>
          <w:iCs/>
          <w:sz w:val="24"/>
          <w:szCs w:val="24"/>
          <w:lang w:val="en-GB"/>
        </w:rPr>
        <w:t>Listeria monocytogenes</w:t>
      </w:r>
    </w:p>
    <w:p w14:paraId="359F5703" w14:textId="77777777" w:rsidR="000175D8" w:rsidRPr="003378D8" w:rsidRDefault="000175D8" w:rsidP="003378D8">
      <w:pPr>
        <w:ind w:left="851"/>
        <w:rPr>
          <w:sz w:val="24"/>
          <w:szCs w:val="24"/>
          <w:lang w:val="en-GB"/>
        </w:rPr>
      </w:pPr>
      <w:r w:rsidRPr="003378D8">
        <w:rPr>
          <w:i/>
          <w:iCs/>
          <w:sz w:val="24"/>
          <w:szCs w:val="24"/>
          <w:lang w:val="en-GB"/>
        </w:rPr>
        <w:t>Staphylococcus aureus</w:t>
      </w:r>
      <w:r w:rsidRPr="003378D8">
        <w:rPr>
          <w:sz w:val="24"/>
          <w:szCs w:val="24"/>
          <w:lang w:val="en-GB"/>
        </w:rPr>
        <w:t>, methicillin-sensitive</w:t>
      </w:r>
    </w:p>
    <w:p w14:paraId="3CD9E4DC" w14:textId="77777777" w:rsidR="000175D8" w:rsidRPr="003378D8" w:rsidRDefault="000175D8" w:rsidP="003378D8">
      <w:pPr>
        <w:ind w:left="851"/>
        <w:rPr>
          <w:sz w:val="24"/>
          <w:szCs w:val="24"/>
          <w:lang w:val="en-GB"/>
        </w:rPr>
      </w:pPr>
    </w:p>
    <w:p w14:paraId="0E2DA371" w14:textId="77777777" w:rsidR="000175D8" w:rsidRPr="003378D8" w:rsidRDefault="000175D8" w:rsidP="003378D8">
      <w:pPr>
        <w:ind w:left="851"/>
        <w:rPr>
          <w:i/>
          <w:iCs/>
          <w:sz w:val="24"/>
          <w:szCs w:val="24"/>
          <w:u w:val="single"/>
          <w:lang w:val="en-GB"/>
        </w:rPr>
      </w:pPr>
      <w:r w:rsidRPr="003378D8">
        <w:rPr>
          <w:i/>
          <w:iCs/>
          <w:sz w:val="24"/>
          <w:szCs w:val="24"/>
          <w:u w:val="single"/>
          <w:lang w:val="en-GB"/>
        </w:rPr>
        <w:t>Gram-negative aerobes</w:t>
      </w:r>
    </w:p>
    <w:p w14:paraId="07E3DF86" w14:textId="77777777" w:rsidR="000175D8" w:rsidRPr="003378D8" w:rsidRDefault="000175D8" w:rsidP="003378D8">
      <w:pPr>
        <w:ind w:left="851"/>
        <w:rPr>
          <w:i/>
          <w:iCs/>
          <w:sz w:val="24"/>
          <w:szCs w:val="24"/>
          <w:lang w:val="en-GB"/>
        </w:rPr>
      </w:pPr>
      <w:r w:rsidRPr="003378D8">
        <w:rPr>
          <w:i/>
          <w:iCs/>
          <w:sz w:val="24"/>
          <w:szCs w:val="24"/>
          <w:lang w:val="en-GB"/>
        </w:rPr>
        <w:t>Campylobacter coli</w:t>
      </w:r>
    </w:p>
    <w:p w14:paraId="4C02D75E" w14:textId="77777777" w:rsidR="000175D8" w:rsidRPr="003378D8" w:rsidRDefault="000175D8" w:rsidP="003378D8">
      <w:pPr>
        <w:ind w:left="851"/>
        <w:rPr>
          <w:i/>
          <w:iCs/>
          <w:sz w:val="24"/>
          <w:szCs w:val="24"/>
          <w:lang w:val="en-GB"/>
        </w:rPr>
      </w:pPr>
      <w:r w:rsidRPr="003378D8">
        <w:rPr>
          <w:i/>
          <w:iCs/>
          <w:sz w:val="24"/>
          <w:szCs w:val="24"/>
          <w:lang w:val="en-GB"/>
        </w:rPr>
        <w:t xml:space="preserve">Campylobacter </w:t>
      </w:r>
      <w:proofErr w:type="spellStart"/>
      <w:r w:rsidRPr="003378D8">
        <w:rPr>
          <w:i/>
          <w:iCs/>
          <w:sz w:val="24"/>
          <w:szCs w:val="24"/>
          <w:lang w:val="en-GB"/>
        </w:rPr>
        <w:t>jejuni</w:t>
      </w:r>
      <w:proofErr w:type="spellEnd"/>
    </w:p>
    <w:p w14:paraId="240D1A20" w14:textId="77777777" w:rsidR="000175D8" w:rsidRPr="003378D8" w:rsidRDefault="000175D8" w:rsidP="003378D8">
      <w:pPr>
        <w:ind w:left="851"/>
        <w:rPr>
          <w:i/>
          <w:iCs/>
          <w:sz w:val="24"/>
          <w:szCs w:val="24"/>
          <w:lang w:val="en-GB"/>
        </w:rPr>
      </w:pPr>
      <w:r w:rsidRPr="003378D8">
        <w:rPr>
          <w:i/>
          <w:iCs/>
          <w:sz w:val="24"/>
          <w:szCs w:val="24"/>
          <w:lang w:val="en-GB"/>
        </w:rPr>
        <w:t xml:space="preserve">Citrobacter </w:t>
      </w:r>
      <w:proofErr w:type="spellStart"/>
      <w:r w:rsidRPr="003378D8">
        <w:rPr>
          <w:i/>
          <w:iCs/>
          <w:sz w:val="24"/>
          <w:szCs w:val="24"/>
          <w:lang w:val="en-GB"/>
        </w:rPr>
        <w:t>koseri</w:t>
      </w:r>
      <w:proofErr w:type="spellEnd"/>
    </w:p>
    <w:p w14:paraId="25B00376" w14:textId="77777777" w:rsidR="000175D8" w:rsidRPr="003378D8" w:rsidRDefault="000175D8" w:rsidP="003378D8">
      <w:pPr>
        <w:ind w:left="851"/>
        <w:rPr>
          <w:i/>
          <w:iCs/>
          <w:sz w:val="24"/>
          <w:szCs w:val="24"/>
          <w:lang w:val="en-GB"/>
        </w:rPr>
      </w:pPr>
      <w:r w:rsidRPr="003378D8">
        <w:rPr>
          <w:i/>
          <w:iCs/>
          <w:sz w:val="24"/>
          <w:szCs w:val="24"/>
          <w:lang w:val="en-GB"/>
        </w:rPr>
        <w:t>Enterobacter aerogenes</w:t>
      </w:r>
    </w:p>
    <w:p w14:paraId="6C81846E" w14:textId="77777777" w:rsidR="000175D8" w:rsidRPr="003378D8" w:rsidRDefault="000175D8" w:rsidP="003378D8">
      <w:pPr>
        <w:ind w:left="851"/>
        <w:rPr>
          <w:i/>
          <w:iCs/>
          <w:sz w:val="24"/>
          <w:szCs w:val="24"/>
          <w:lang w:val="en-GB"/>
        </w:rPr>
      </w:pPr>
      <w:r w:rsidRPr="003378D8">
        <w:rPr>
          <w:i/>
          <w:iCs/>
          <w:sz w:val="24"/>
          <w:szCs w:val="24"/>
          <w:lang w:val="en-GB"/>
        </w:rPr>
        <w:t>Enterobacter cloacae</w:t>
      </w:r>
    </w:p>
    <w:p w14:paraId="3FC26380" w14:textId="77777777" w:rsidR="000175D8" w:rsidRPr="003378D8" w:rsidRDefault="000175D8" w:rsidP="003378D8">
      <w:pPr>
        <w:ind w:left="851"/>
        <w:rPr>
          <w:i/>
          <w:iCs/>
          <w:sz w:val="24"/>
          <w:szCs w:val="24"/>
          <w:lang w:val="en-GB"/>
        </w:rPr>
      </w:pPr>
      <w:r w:rsidRPr="003378D8">
        <w:rPr>
          <w:i/>
          <w:iCs/>
          <w:sz w:val="24"/>
          <w:szCs w:val="24"/>
          <w:lang w:val="en-GB"/>
        </w:rPr>
        <w:t>Escherichia coli</w:t>
      </w:r>
    </w:p>
    <w:p w14:paraId="1F7002F0" w14:textId="77777777" w:rsidR="000175D8" w:rsidRPr="003378D8" w:rsidRDefault="000175D8" w:rsidP="003378D8">
      <w:pPr>
        <w:ind w:left="851"/>
        <w:rPr>
          <w:i/>
          <w:iCs/>
          <w:sz w:val="24"/>
          <w:szCs w:val="24"/>
          <w:lang w:val="en-GB"/>
        </w:rPr>
      </w:pPr>
      <w:proofErr w:type="spellStart"/>
      <w:r w:rsidRPr="003378D8">
        <w:rPr>
          <w:i/>
          <w:iCs/>
          <w:sz w:val="24"/>
          <w:szCs w:val="24"/>
          <w:lang w:val="en-GB"/>
        </w:rPr>
        <w:t>Francisella</w:t>
      </w:r>
      <w:proofErr w:type="spellEnd"/>
      <w:r w:rsidRPr="003378D8">
        <w:rPr>
          <w:i/>
          <w:iCs/>
          <w:sz w:val="24"/>
          <w:szCs w:val="24"/>
          <w:lang w:val="en-GB"/>
        </w:rPr>
        <w:t xml:space="preserve"> </w:t>
      </w:r>
      <w:proofErr w:type="spellStart"/>
      <w:r w:rsidRPr="003378D8">
        <w:rPr>
          <w:i/>
          <w:iCs/>
          <w:sz w:val="24"/>
          <w:szCs w:val="24"/>
          <w:lang w:val="en-GB"/>
        </w:rPr>
        <w:t>tularensis</w:t>
      </w:r>
      <w:proofErr w:type="spellEnd"/>
    </w:p>
    <w:p w14:paraId="272D7812" w14:textId="77777777" w:rsidR="000175D8" w:rsidRPr="003378D8" w:rsidRDefault="000175D8" w:rsidP="003378D8">
      <w:pPr>
        <w:ind w:left="851"/>
        <w:rPr>
          <w:i/>
          <w:iCs/>
          <w:sz w:val="24"/>
          <w:szCs w:val="24"/>
          <w:lang w:val="en-GB"/>
        </w:rPr>
      </w:pPr>
      <w:r w:rsidRPr="003378D8">
        <w:rPr>
          <w:i/>
          <w:iCs/>
          <w:sz w:val="24"/>
          <w:szCs w:val="24"/>
          <w:lang w:val="en-GB"/>
        </w:rPr>
        <w:t xml:space="preserve">Klebsiella </w:t>
      </w:r>
      <w:proofErr w:type="spellStart"/>
      <w:r w:rsidRPr="003378D8">
        <w:rPr>
          <w:i/>
          <w:iCs/>
          <w:sz w:val="24"/>
          <w:szCs w:val="24"/>
          <w:lang w:val="en-GB"/>
        </w:rPr>
        <w:t>oxytoca</w:t>
      </w:r>
      <w:proofErr w:type="spellEnd"/>
    </w:p>
    <w:p w14:paraId="16641DF0" w14:textId="77777777" w:rsidR="000175D8" w:rsidRPr="003378D8" w:rsidRDefault="000175D8" w:rsidP="003378D8">
      <w:pPr>
        <w:ind w:left="851"/>
        <w:rPr>
          <w:i/>
          <w:iCs/>
          <w:sz w:val="24"/>
          <w:szCs w:val="24"/>
          <w:lang w:val="en-GB"/>
        </w:rPr>
      </w:pPr>
      <w:r w:rsidRPr="003378D8">
        <w:rPr>
          <w:i/>
          <w:iCs/>
          <w:sz w:val="24"/>
          <w:szCs w:val="24"/>
          <w:lang w:val="en-GB"/>
        </w:rPr>
        <w:t>Klebsiella pneumoniae</w:t>
      </w:r>
    </w:p>
    <w:p w14:paraId="19DD3A09" w14:textId="77777777" w:rsidR="000175D8" w:rsidRPr="003378D8" w:rsidRDefault="000175D8" w:rsidP="003378D8">
      <w:pPr>
        <w:ind w:left="851"/>
        <w:rPr>
          <w:i/>
          <w:iCs/>
          <w:sz w:val="24"/>
          <w:szCs w:val="24"/>
          <w:lang w:val="en-GB"/>
        </w:rPr>
      </w:pPr>
      <w:r w:rsidRPr="003378D8">
        <w:rPr>
          <w:i/>
          <w:iCs/>
          <w:sz w:val="24"/>
          <w:szCs w:val="24"/>
          <w:lang w:val="en-GB"/>
        </w:rPr>
        <w:t>Proteus vulgaris</w:t>
      </w:r>
    </w:p>
    <w:p w14:paraId="57082770" w14:textId="77777777" w:rsidR="000175D8" w:rsidRPr="003378D8" w:rsidRDefault="000175D8" w:rsidP="003378D8">
      <w:pPr>
        <w:ind w:left="851"/>
        <w:rPr>
          <w:sz w:val="24"/>
          <w:szCs w:val="24"/>
          <w:lang w:val="en-GB"/>
        </w:rPr>
      </w:pPr>
      <w:r w:rsidRPr="003378D8">
        <w:rPr>
          <w:i/>
          <w:iCs/>
          <w:sz w:val="24"/>
          <w:szCs w:val="24"/>
          <w:lang w:val="en-GB"/>
        </w:rPr>
        <w:t>Salmonella enterica</w:t>
      </w:r>
      <w:r w:rsidRPr="003378D8">
        <w:rPr>
          <w:sz w:val="24"/>
          <w:szCs w:val="24"/>
          <w:lang w:val="en-GB"/>
        </w:rPr>
        <w:t xml:space="preserve"> subsp. enterica</w:t>
      </w:r>
    </w:p>
    <w:p w14:paraId="6EDDC80E" w14:textId="77777777" w:rsidR="000175D8" w:rsidRPr="003378D8" w:rsidRDefault="000175D8" w:rsidP="003378D8">
      <w:pPr>
        <w:ind w:left="851"/>
        <w:rPr>
          <w:i/>
          <w:iCs/>
          <w:sz w:val="24"/>
          <w:szCs w:val="24"/>
          <w:lang w:val="en-GB"/>
        </w:rPr>
      </w:pPr>
      <w:r w:rsidRPr="003378D8">
        <w:rPr>
          <w:i/>
          <w:iCs/>
          <w:sz w:val="24"/>
          <w:szCs w:val="24"/>
          <w:lang w:val="en-GB"/>
        </w:rPr>
        <w:t>Serratia marcescens</w:t>
      </w:r>
    </w:p>
    <w:p w14:paraId="4D50AF28" w14:textId="77777777" w:rsidR="000175D8" w:rsidRPr="003378D8" w:rsidRDefault="000175D8" w:rsidP="003378D8">
      <w:pPr>
        <w:ind w:left="851"/>
        <w:rPr>
          <w:i/>
          <w:iCs/>
          <w:sz w:val="24"/>
          <w:szCs w:val="24"/>
          <w:lang w:val="en-GB"/>
        </w:rPr>
      </w:pPr>
      <w:r w:rsidRPr="003378D8">
        <w:rPr>
          <w:i/>
          <w:iCs/>
          <w:sz w:val="24"/>
          <w:szCs w:val="24"/>
          <w:lang w:val="en-GB"/>
        </w:rPr>
        <w:t>Yersinia enterocolitica</w:t>
      </w:r>
    </w:p>
    <w:p w14:paraId="2B5C64EE" w14:textId="77777777" w:rsidR="000175D8" w:rsidRPr="003378D8" w:rsidRDefault="000175D8" w:rsidP="003378D8">
      <w:pPr>
        <w:ind w:left="851"/>
        <w:rPr>
          <w:i/>
          <w:iCs/>
          <w:sz w:val="24"/>
          <w:szCs w:val="24"/>
          <w:lang w:val="en-GB"/>
        </w:rPr>
      </w:pPr>
      <w:r w:rsidRPr="003378D8">
        <w:rPr>
          <w:i/>
          <w:iCs/>
          <w:sz w:val="24"/>
          <w:szCs w:val="24"/>
          <w:lang w:val="en-GB"/>
        </w:rPr>
        <w:t>Yersinia pseudotuberculosis</w:t>
      </w:r>
    </w:p>
    <w:p w14:paraId="1298B84F" w14:textId="77777777" w:rsidR="000175D8" w:rsidRPr="003378D8" w:rsidRDefault="000175D8" w:rsidP="003378D8">
      <w:pPr>
        <w:ind w:left="851"/>
        <w:rPr>
          <w:sz w:val="24"/>
          <w:szCs w:val="24"/>
          <w:lang w:val="en-GB"/>
        </w:rPr>
      </w:pPr>
    </w:p>
    <w:p w14:paraId="07E36ADF" w14:textId="77777777" w:rsidR="000175D8" w:rsidRPr="003378D8" w:rsidRDefault="000175D8" w:rsidP="003378D8">
      <w:pPr>
        <w:ind w:left="851"/>
        <w:rPr>
          <w:sz w:val="24"/>
          <w:szCs w:val="24"/>
          <w:u w:val="single"/>
          <w:lang w:val="en-GB"/>
        </w:rPr>
      </w:pPr>
      <w:r w:rsidRPr="003378D8">
        <w:rPr>
          <w:sz w:val="24"/>
          <w:szCs w:val="24"/>
          <w:u w:val="single"/>
          <w:lang w:val="en-GB"/>
        </w:rPr>
        <w:t>Species for which acquired resistance may be a problem (acquired resistance ≥ 10%)</w:t>
      </w:r>
    </w:p>
    <w:p w14:paraId="3A879B05" w14:textId="77777777" w:rsidR="000175D8" w:rsidRPr="003378D8" w:rsidRDefault="000175D8" w:rsidP="003378D8">
      <w:pPr>
        <w:ind w:left="851"/>
        <w:rPr>
          <w:i/>
          <w:iCs/>
          <w:sz w:val="24"/>
          <w:szCs w:val="24"/>
          <w:u w:val="single"/>
          <w:lang w:val="en-GB"/>
        </w:rPr>
      </w:pPr>
      <w:r w:rsidRPr="003378D8">
        <w:rPr>
          <w:i/>
          <w:iCs/>
          <w:sz w:val="24"/>
          <w:szCs w:val="24"/>
          <w:u w:val="single"/>
          <w:lang w:val="en-GB"/>
        </w:rPr>
        <w:t>Gram-positive aerobes</w:t>
      </w:r>
    </w:p>
    <w:p w14:paraId="7F52D685" w14:textId="77777777" w:rsidR="000175D8" w:rsidRPr="003378D8" w:rsidRDefault="000175D8" w:rsidP="003378D8">
      <w:pPr>
        <w:ind w:left="851"/>
        <w:rPr>
          <w:sz w:val="24"/>
          <w:szCs w:val="24"/>
          <w:lang w:val="en-GB"/>
        </w:rPr>
      </w:pPr>
      <w:r w:rsidRPr="003378D8">
        <w:rPr>
          <w:i/>
          <w:iCs/>
          <w:sz w:val="24"/>
          <w:szCs w:val="24"/>
          <w:lang w:val="en-GB"/>
        </w:rPr>
        <w:t>Staphylococcus aureus</w:t>
      </w:r>
      <w:r w:rsidRPr="003378D8">
        <w:rPr>
          <w:sz w:val="24"/>
          <w:szCs w:val="24"/>
          <w:lang w:val="en-GB"/>
        </w:rPr>
        <w:t>, methicillin-resistant</w:t>
      </w:r>
    </w:p>
    <w:p w14:paraId="27FCA600" w14:textId="77777777" w:rsidR="000175D8" w:rsidRPr="003378D8" w:rsidRDefault="000175D8" w:rsidP="003378D8">
      <w:pPr>
        <w:ind w:left="851"/>
        <w:rPr>
          <w:i/>
          <w:iCs/>
          <w:sz w:val="24"/>
          <w:szCs w:val="24"/>
          <w:lang w:val="en-GB"/>
        </w:rPr>
      </w:pPr>
      <w:r w:rsidRPr="003378D8">
        <w:rPr>
          <w:i/>
          <w:iCs/>
          <w:sz w:val="24"/>
          <w:szCs w:val="24"/>
          <w:lang w:val="en-GB"/>
        </w:rPr>
        <w:t>Staphylococcus epidermidis</w:t>
      </w:r>
    </w:p>
    <w:p w14:paraId="2279273E" w14:textId="77777777" w:rsidR="000175D8" w:rsidRPr="003378D8" w:rsidRDefault="000175D8" w:rsidP="003378D8">
      <w:pPr>
        <w:ind w:left="851"/>
        <w:rPr>
          <w:i/>
          <w:iCs/>
          <w:sz w:val="24"/>
          <w:szCs w:val="24"/>
          <w:lang w:val="en-GB"/>
        </w:rPr>
      </w:pPr>
      <w:r w:rsidRPr="003378D8">
        <w:rPr>
          <w:i/>
          <w:iCs/>
          <w:sz w:val="24"/>
          <w:szCs w:val="24"/>
          <w:lang w:val="en-GB"/>
        </w:rPr>
        <w:t xml:space="preserve">Staphylococcus </w:t>
      </w:r>
      <w:proofErr w:type="spellStart"/>
      <w:r w:rsidRPr="003378D8">
        <w:rPr>
          <w:i/>
          <w:iCs/>
          <w:sz w:val="24"/>
          <w:szCs w:val="24"/>
          <w:lang w:val="en-GB"/>
        </w:rPr>
        <w:t>haemolyticus</w:t>
      </w:r>
      <w:proofErr w:type="spellEnd"/>
    </w:p>
    <w:p w14:paraId="1CE335D0" w14:textId="63FBA090" w:rsidR="00A559F5" w:rsidRDefault="00A559F5">
      <w:pPr>
        <w:rPr>
          <w:sz w:val="24"/>
          <w:szCs w:val="24"/>
          <w:lang w:val="en-GB"/>
        </w:rPr>
      </w:pPr>
      <w:r>
        <w:rPr>
          <w:sz w:val="24"/>
          <w:szCs w:val="24"/>
          <w:lang w:val="en-GB"/>
        </w:rPr>
        <w:br w:type="page"/>
      </w:r>
    </w:p>
    <w:p w14:paraId="474BAED2" w14:textId="77777777" w:rsidR="000175D8" w:rsidRPr="003378D8" w:rsidRDefault="000175D8" w:rsidP="003378D8">
      <w:pPr>
        <w:ind w:left="851"/>
        <w:rPr>
          <w:sz w:val="24"/>
          <w:szCs w:val="24"/>
          <w:lang w:val="en-GB"/>
        </w:rPr>
      </w:pPr>
    </w:p>
    <w:p w14:paraId="5394408E" w14:textId="77777777" w:rsidR="000175D8" w:rsidRPr="003378D8" w:rsidRDefault="000175D8" w:rsidP="003378D8">
      <w:pPr>
        <w:ind w:left="851"/>
        <w:rPr>
          <w:i/>
          <w:iCs/>
          <w:sz w:val="24"/>
          <w:szCs w:val="24"/>
          <w:u w:val="single"/>
          <w:lang w:val="en-GB"/>
        </w:rPr>
      </w:pPr>
      <w:r w:rsidRPr="003378D8">
        <w:rPr>
          <w:i/>
          <w:iCs/>
          <w:sz w:val="24"/>
          <w:szCs w:val="24"/>
          <w:u w:val="single"/>
          <w:lang w:val="en-GB"/>
        </w:rPr>
        <w:t>Gram-negative aerobes</w:t>
      </w:r>
    </w:p>
    <w:p w14:paraId="797D792D" w14:textId="77777777" w:rsidR="000175D8" w:rsidRPr="003378D8" w:rsidRDefault="000175D8" w:rsidP="003378D8">
      <w:pPr>
        <w:ind w:left="851"/>
        <w:rPr>
          <w:i/>
          <w:iCs/>
          <w:sz w:val="24"/>
          <w:szCs w:val="24"/>
          <w:lang w:val="en-GB"/>
        </w:rPr>
      </w:pPr>
      <w:r w:rsidRPr="003378D8">
        <w:rPr>
          <w:i/>
          <w:iCs/>
          <w:sz w:val="24"/>
          <w:szCs w:val="24"/>
          <w:lang w:val="en-GB"/>
        </w:rPr>
        <w:t xml:space="preserve">Acinetobacter </w:t>
      </w:r>
      <w:r w:rsidRPr="003378D8">
        <w:rPr>
          <w:sz w:val="24"/>
          <w:szCs w:val="24"/>
          <w:lang w:val="en-GB"/>
        </w:rPr>
        <w:t>spp.</w:t>
      </w:r>
    </w:p>
    <w:p w14:paraId="5D9E9B46" w14:textId="77777777" w:rsidR="000175D8" w:rsidRPr="003378D8" w:rsidRDefault="000175D8" w:rsidP="003378D8">
      <w:pPr>
        <w:ind w:left="851"/>
        <w:rPr>
          <w:i/>
          <w:iCs/>
          <w:sz w:val="24"/>
          <w:szCs w:val="24"/>
          <w:lang w:val="en-GB"/>
        </w:rPr>
      </w:pPr>
      <w:r w:rsidRPr="003378D8">
        <w:rPr>
          <w:i/>
          <w:iCs/>
          <w:sz w:val="24"/>
          <w:szCs w:val="24"/>
          <w:lang w:val="en-GB"/>
        </w:rPr>
        <w:t xml:space="preserve">Citrobacter </w:t>
      </w:r>
      <w:proofErr w:type="spellStart"/>
      <w:r w:rsidRPr="003378D8">
        <w:rPr>
          <w:i/>
          <w:iCs/>
          <w:sz w:val="24"/>
          <w:szCs w:val="24"/>
          <w:lang w:val="en-GB"/>
        </w:rPr>
        <w:t>freundii</w:t>
      </w:r>
      <w:proofErr w:type="spellEnd"/>
    </w:p>
    <w:p w14:paraId="28B7A3DF" w14:textId="77777777" w:rsidR="000175D8" w:rsidRPr="003378D8" w:rsidRDefault="000175D8" w:rsidP="003378D8">
      <w:pPr>
        <w:ind w:left="851"/>
        <w:rPr>
          <w:i/>
          <w:iCs/>
          <w:sz w:val="24"/>
          <w:szCs w:val="24"/>
          <w:lang w:val="en-GB"/>
        </w:rPr>
      </w:pPr>
      <w:proofErr w:type="spellStart"/>
      <w:r w:rsidRPr="003378D8">
        <w:rPr>
          <w:i/>
          <w:iCs/>
          <w:sz w:val="24"/>
          <w:szCs w:val="24"/>
          <w:lang w:val="en-GB"/>
        </w:rPr>
        <w:t>Morganella</w:t>
      </w:r>
      <w:proofErr w:type="spellEnd"/>
      <w:r w:rsidRPr="003378D8">
        <w:rPr>
          <w:i/>
          <w:iCs/>
          <w:sz w:val="24"/>
          <w:szCs w:val="24"/>
          <w:lang w:val="en-GB"/>
        </w:rPr>
        <w:t xml:space="preserve"> morganii</w:t>
      </w:r>
    </w:p>
    <w:p w14:paraId="28167AE1" w14:textId="77777777" w:rsidR="000175D8" w:rsidRPr="003378D8" w:rsidRDefault="000175D8" w:rsidP="003378D8">
      <w:pPr>
        <w:ind w:left="851"/>
        <w:rPr>
          <w:i/>
          <w:iCs/>
          <w:sz w:val="24"/>
          <w:szCs w:val="24"/>
          <w:lang w:val="en-GB"/>
        </w:rPr>
      </w:pPr>
      <w:r w:rsidRPr="003378D8">
        <w:rPr>
          <w:i/>
          <w:iCs/>
          <w:sz w:val="24"/>
          <w:szCs w:val="24"/>
          <w:lang w:val="en-GB"/>
        </w:rPr>
        <w:t>Proteus mirabilis</w:t>
      </w:r>
    </w:p>
    <w:p w14:paraId="0174CD8D" w14:textId="77777777" w:rsidR="000175D8" w:rsidRPr="003378D8" w:rsidRDefault="000175D8" w:rsidP="003378D8">
      <w:pPr>
        <w:ind w:left="851"/>
        <w:rPr>
          <w:i/>
          <w:iCs/>
          <w:sz w:val="24"/>
          <w:szCs w:val="24"/>
          <w:lang w:val="en-GB"/>
        </w:rPr>
      </w:pPr>
      <w:r w:rsidRPr="003378D8">
        <w:rPr>
          <w:i/>
          <w:iCs/>
          <w:sz w:val="24"/>
          <w:szCs w:val="24"/>
          <w:lang w:val="en-GB"/>
        </w:rPr>
        <w:t>Pseudomonas aeruginosa</w:t>
      </w:r>
    </w:p>
    <w:p w14:paraId="78FE5C75" w14:textId="77777777" w:rsidR="000175D8" w:rsidRPr="003378D8" w:rsidRDefault="000175D8" w:rsidP="003378D8">
      <w:pPr>
        <w:ind w:left="851"/>
        <w:rPr>
          <w:sz w:val="24"/>
          <w:szCs w:val="24"/>
          <w:lang w:val="en-GB"/>
        </w:rPr>
      </w:pPr>
    </w:p>
    <w:p w14:paraId="512DE439" w14:textId="77777777" w:rsidR="000175D8" w:rsidRPr="003378D8" w:rsidRDefault="000175D8" w:rsidP="003378D8">
      <w:pPr>
        <w:ind w:left="851"/>
        <w:rPr>
          <w:sz w:val="24"/>
          <w:szCs w:val="24"/>
          <w:u w:val="single"/>
          <w:lang w:val="en-GB"/>
        </w:rPr>
      </w:pPr>
      <w:r w:rsidRPr="003378D8">
        <w:rPr>
          <w:sz w:val="24"/>
          <w:szCs w:val="24"/>
          <w:u w:val="single"/>
          <w:lang w:val="en-GB"/>
        </w:rPr>
        <w:t>Inherently resistant species</w:t>
      </w:r>
    </w:p>
    <w:p w14:paraId="68993D7D" w14:textId="77777777" w:rsidR="000175D8" w:rsidRPr="003378D8" w:rsidRDefault="000175D8" w:rsidP="003378D8">
      <w:pPr>
        <w:ind w:left="851"/>
        <w:rPr>
          <w:i/>
          <w:iCs/>
          <w:sz w:val="24"/>
          <w:szCs w:val="24"/>
          <w:u w:val="single"/>
          <w:lang w:val="en-GB"/>
        </w:rPr>
      </w:pPr>
      <w:r w:rsidRPr="003378D8">
        <w:rPr>
          <w:i/>
          <w:iCs/>
          <w:sz w:val="24"/>
          <w:szCs w:val="24"/>
          <w:u w:val="single"/>
          <w:lang w:val="en-GB"/>
        </w:rPr>
        <w:t>Gram-positive aerobes</w:t>
      </w:r>
    </w:p>
    <w:p w14:paraId="59D8DBFF" w14:textId="77777777" w:rsidR="000175D8" w:rsidRPr="003378D8" w:rsidRDefault="000175D8" w:rsidP="003378D8">
      <w:pPr>
        <w:ind w:left="851"/>
        <w:rPr>
          <w:i/>
          <w:iCs/>
          <w:sz w:val="24"/>
          <w:szCs w:val="24"/>
          <w:lang w:val="en-GB"/>
        </w:rPr>
      </w:pPr>
      <w:r w:rsidRPr="003378D8">
        <w:rPr>
          <w:i/>
          <w:iCs/>
          <w:sz w:val="24"/>
          <w:szCs w:val="24"/>
          <w:lang w:val="en-GB"/>
        </w:rPr>
        <w:t>Enterococcus faecalis</w:t>
      </w:r>
    </w:p>
    <w:p w14:paraId="6F7C9B94" w14:textId="77777777" w:rsidR="000175D8" w:rsidRPr="003378D8" w:rsidRDefault="000175D8" w:rsidP="003378D8">
      <w:pPr>
        <w:ind w:left="851"/>
        <w:rPr>
          <w:i/>
          <w:iCs/>
          <w:sz w:val="24"/>
          <w:szCs w:val="24"/>
          <w:lang w:val="en-GB"/>
        </w:rPr>
      </w:pPr>
      <w:r w:rsidRPr="003378D8">
        <w:rPr>
          <w:i/>
          <w:iCs/>
          <w:sz w:val="24"/>
          <w:szCs w:val="24"/>
          <w:lang w:val="en-GB"/>
        </w:rPr>
        <w:t>Enterococcus faecium</w:t>
      </w:r>
    </w:p>
    <w:p w14:paraId="1A6963B8" w14:textId="77777777" w:rsidR="000175D8" w:rsidRPr="003378D8" w:rsidRDefault="000175D8" w:rsidP="003378D8">
      <w:pPr>
        <w:ind w:left="851"/>
        <w:rPr>
          <w:i/>
          <w:iCs/>
          <w:sz w:val="24"/>
          <w:szCs w:val="24"/>
          <w:lang w:val="en-GB"/>
        </w:rPr>
      </w:pPr>
      <w:r w:rsidRPr="003378D8">
        <w:rPr>
          <w:i/>
          <w:iCs/>
          <w:sz w:val="24"/>
          <w:szCs w:val="24"/>
          <w:lang w:val="en-GB"/>
        </w:rPr>
        <w:t>Streptococcus</w:t>
      </w:r>
      <w:r w:rsidRPr="003378D8">
        <w:rPr>
          <w:sz w:val="24"/>
          <w:szCs w:val="24"/>
          <w:lang w:val="en-GB"/>
        </w:rPr>
        <w:t xml:space="preserve"> spp.</w:t>
      </w:r>
    </w:p>
    <w:p w14:paraId="5823537F" w14:textId="77777777" w:rsidR="000175D8" w:rsidRPr="003378D8" w:rsidRDefault="000175D8" w:rsidP="003378D8">
      <w:pPr>
        <w:ind w:left="851"/>
        <w:rPr>
          <w:sz w:val="24"/>
          <w:szCs w:val="24"/>
          <w:lang w:val="en-GB"/>
        </w:rPr>
      </w:pPr>
    </w:p>
    <w:p w14:paraId="5E471E2E" w14:textId="77777777" w:rsidR="000175D8" w:rsidRPr="003378D8" w:rsidRDefault="000175D8" w:rsidP="003378D8">
      <w:pPr>
        <w:ind w:left="851"/>
        <w:rPr>
          <w:i/>
          <w:iCs/>
          <w:sz w:val="24"/>
          <w:szCs w:val="24"/>
          <w:u w:val="single"/>
          <w:lang w:val="en-GB"/>
        </w:rPr>
      </w:pPr>
      <w:r w:rsidRPr="003378D8">
        <w:rPr>
          <w:i/>
          <w:iCs/>
          <w:sz w:val="24"/>
          <w:szCs w:val="24"/>
          <w:u w:val="single"/>
          <w:lang w:val="en-GB"/>
        </w:rPr>
        <w:t>Gram-negative aerobes</w:t>
      </w:r>
    </w:p>
    <w:p w14:paraId="695DABE4" w14:textId="77777777" w:rsidR="000175D8" w:rsidRPr="003378D8" w:rsidRDefault="000175D8" w:rsidP="003378D8">
      <w:pPr>
        <w:ind w:left="851"/>
        <w:rPr>
          <w:i/>
          <w:iCs/>
          <w:sz w:val="24"/>
          <w:szCs w:val="24"/>
          <w:lang w:val="en-GB"/>
        </w:rPr>
      </w:pPr>
      <w:proofErr w:type="spellStart"/>
      <w:r w:rsidRPr="003378D8">
        <w:rPr>
          <w:i/>
          <w:iCs/>
          <w:sz w:val="24"/>
          <w:szCs w:val="24"/>
          <w:lang w:val="en-GB"/>
        </w:rPr>
        <w:t>Burkholderia</w:t>
      </w:r>
      <w:proofErr w:type="spellEnd"/>
      <w:r w:rsidRPr="003378D8">
        <w:rPr>
          <w:i/>
          <w:iCs/>
          <w:sz w:val="24"/>
          <w:szCs w:val="24"/>
          <w:lang w:val="en-GB"/>
        </w:rPr>
        <w:t xml:space="preserve"> </w:t>
      </w:r>
      <w:proofErr w:type="spellStart"/>
      <w:r w:rsidRPr="003378D8">
        <w:rPr>
          <w:i/>
          <w:iCs/>
          <w:sz w:val="24"/>
          <w:szCs w:val="24"/>
          <w:lang w:val="en-GB"/>
        </w:rPr>
        <w:t>cepacia</w:t>
      </w:r>
      <w:proofErr w:type="spellEnd"/>
    </w:p>
    <w:p w14:paraId="49983A38" w14:textId="77777777" w:rsidR="000175D8" w:rsidRPr="003378D8" w:rsidRDefault="000175D8" w:rsidP="003378D8">
      <w:pPr>
        <w:ind w:left="851"/>
        <w:rPr>
          <w:i/>
          <w:iCs/>
          <w:sz w:val="24"/>
          <w:szCs w:val="24"/>
          <w:lang w:val="en-GB"/>
        </w:rPr>
      </w:pPr>
      <w:r w:rsidRPr="003378D8">
        <w:rPr>
          <w:i/>
          <w:iCs/>
          <w:sz w:val="24"/>
          <w:szCs w:val="24"/>
          <w:lang w:val="en-GB"/>
        </w:rPr>
        <w:t>Legionella pneumophila</w:t>
      </w:r>
    </w:p>
    <w:p w14:paraId="6FFE61DD" w14:textId="77777777" w:rsidR="000175D8" w:rsidRPr="003378D8" w:rsidRDefault="000175D8" w:rsidP="003378D8">
      <w:pPr>
        <w:ind w:left="851"/>
        <w:rPr>
          <w:i/>
          <w:iCs/>
          <w:sz w:val="24"/>
          <w:szCs w:val="24"/>
          <w:lang w:val="en-GB"/>
        </w:rPr>
      </w:pPr>
      <w:r w:rsidRPr="003378D8">
        <w:rPr>
          <w:i/>
          <w:iCs/>
          <w:sz w:val="24"/>
          <w:szCs w:val="24"/>
          <w:lang w:val="en-GB"/>
        </w:rPr>
        <w:t xml:space="preserve">Stenotrophomonas </w:t>
      </w:r>
      <w:proofErr w:type="spellStart"/>
      <w:r w:rsidRPr="003378D8">
        <w:rPr>
          <w:i/>
          <w:iCs/>
          <w:sz w:val="24"/>
          <w:szCs w:val="24"/>
          <w:lang w:val="en-GB"/>
        </w:rPr>
        <w:t>maltophilia</w:t>
      </w:r>
      <w:proofErr w:type="spellEnd"/>
    </w:p>
    <w:p w14:paraId="0CFD4E3B" w14:textId="77777777" w:rsidR="000175D8" w:rsidRPr="003378D8" w:rsidRDefault="000175D8" w:rsidP="003378D8">
      <w:pPr>
        <w:ind w:left="851"/>
        <w:rPr>
          <w:i/>
          <w:iCs/>
          <w:sz w:val="24"/>
          <w:szCs w:val="24"/>
          <w:lang w:val="en-GB"/>
        </w:rPr>
      </w:pPr>
    </w:p>
    <w:p w14:paraId="6CAED31F" w14:textId="77777777" w:rsidR="000175D8" w:rsidRPr="003378D8" w:rsidRDefault="000175D8" w:rsidP="003378D8">
      <w:pPr>
        <w:ind w:left="851"/>
        <w:rPr>
          <w:sz w:val="24"/>
          <w:szCs w:val="24"/>
          <w:u w:val="single"/>
          <w:lang w:val="en-GB"/>
        </w:rPr>
      </w:pPr>
      <w:r w:rsidRPr="003378D8">
        <w:rPr>
          <w:sz w:val="24"/>
          <w:szCs w:val="24"/>
          <w:u w:val="single"/>
          <w:lang w:val="en-GB"/>
        </w:rPr>
        <w:t>Anaerobes</w:t>
      </w:r>
    </w:p>
    <w:p w14:paraId="09E6341E" w14:textId="77777777" w:rsidR="000175D8" w:rsidRPr="003378D8" w:rsidRDefault="000175D8" w:rsidP="003378D8">
      <w:pPr>
        <w:ind w:left="851"/>
        <w:rPr>
          <w:sz w:val="24"/>
          <w:szCs w:val="24"/>
          <w:u w:val="single"/>
          <w:lang w:val="en-GB"/>
        </w:rPr>
      </w:pPr>
    </w:p>
    <w:p w14:paraId="5F6A0D15" w14:textId="77777777" w:rsidR="000175D8" w:rsidRPr="003378D8" w:rsidRDefault="000175D8" w:rsidP="003378D8">
      <w:pPr>
        <w:ind w:left="851"/>
        <w:rPr>
          <w:sz w:val="24"/>
          <w:szCs w:val="24"/>
          <w:u w:val="single"/>
          <w:lang w:val="en-GB"/>
        </w:rPr>
      </w:pPr>
      <w:r w:rsidRPr="003378D8">
        <w:rPr>
          <w:sz w:val="24"/>
          <w:szCs w:val="24"/>
          <w:u w:val="single"/>
          <w:lang w:val="en-GB"/>
        </w:rPr>
        <w:t>Other</w:t>
      </w:r>
    </w:p>
    <w:p w14:paraId="0284C296" w14:textId="77777777" w:rsidR="000175D8" w:rsidRPr="003378D8" w:rsidRDefault="000175D8" w:rsidP="003378D8">
      <w:pPr>
        <w:ind w:left="851"/>
        <w:rPr>
          <w:i/>
          <w:iCs/>
          <w:sz w:val="24"/>
          <w:szCs w:val="24"/>
          <w:lang w:val="en-GB"/>
        </w:rPr>
      </w:pPr>
      <w:r w:rsidRPr="003378D8">
        <w:rPr>
          <w:i/>
          <w:iCs/>
          <w:sz w:val="24"/>
          <w:szCs w:val="24"/>
          <w:lang w:val="en-GB"/>
        </w:rPr>
        <w:t>Atypical pathogens</w:t>
      </w:r>
    </w:p>
    <w:p w14:paraId="3A29B3CF" w14:textId="77777777" w:rsidR="000175D8" w:rsidRPr="003378D8" w:rsidRDefault="000175D8" w:rsidP="003378D8">
      <w:pPr>
        <w:ind w:left="851"/>
        <w:rPr>
          <w:i/>
          <w:iCs/>
          <w:sz w:val="24"/>
          <w:szCs w:val="24"/>
          <w:lang w:val="en-GB"/>
        </w:rPr>
      </w:pPr>
      <w:r w:rsidRPr="003378D8">
        <w:rPr>
          <w:i/>
          <w:iCs/>
          <w:sz w:val="24"/>
          <w:szCs w:val="24"/>
          <w:lang w:val="en-GB"/>
        </w:rPr>
        <w:t>Chlamydia</w:t>
      </w:r>
      <w:r w:rsidRPr="003378D8">
        <w:rPr>
          <w:sz w:val="24"/>
          <w:szCs w:val="24"/>
          <w:lang w:val="en-GB"/>
        </w:rPr>
        <w:t xml:space="preserve"> spp.</w:t>
      </w:r>
    </w:p>
    <w:p w14:paraId="6CE3D255" w14:textId="77777777" w:rsidR="000175D8" w:rsidRPr="003378D8" w:rsidRDefault="000175D8" w:rsidP="003378D8">
      <w:pPr>
        <w:ind w:left="851"/>
        <w:rPr>
          <w:i/>
          <w:iCs/>
          <w:sz w:val="24"/>
          <w:szCs w:val="24"/>
          <w:lang w:val="en-GB"/>
        </w:rPr>
      </w:pPr>
      <w:r w:rsidRPr="003378D8">
        <w:rPr>
          <w:i/>
          <w:iCs/>
          <w:sz w:val="24"/>
          <w:szCs w:val="24"/>
          <w:lang w:val="en-GB"/>
        </w:rPr>
        <w:t>Chlamydophila</w:t>
      </w:r>
      <w:r w:rsidRPr="003378D8">
        <w:rPr>
          <w:sz w:val="24"/>
          <w:szCs w:val="24"/>
          <w:lang w:val="en-GB"/>
        </w:rPr>
        <w:t xml:space="preserve"> spp.</w:t>
      </w:r>
    </w:p>
    <w:p w14:paraId="7B08F851" w14:textId="77777777" w:rsidR="000175D8" w:rsidRPr="003378D8" w:rsidRDefault="000175D8" w:rsidP="003378D8">
      <w:pPr>
        <w:ind w:left="851"/>
        <w:rPr>
          <w:i/>
          <w:iCs/>
          <w:sz w:val="24"/>
          <w:szCs w:val="24"/>
          <w:lang w:val="en-GB"/>
        </w:rPr>
      </w:pPr>
      <w:r w:rsidRPr="003378D8">
        <w:rPr>
          <w:i/>
          <w:iCs/>
          <w:sz w:val="24"/>
          <w:szCs w:val="24"/>
          <w:lang w:val="en-GB"/>
        </w:rPr>
        <w:t>Mycoplasma</w:t>
      </w:r>
      <w:r w:rsidRPr="003378D8">
        <w:rPr>
          <w:sz w:val="24"/>
          <w:szCs w:val="24"/>
          <w:lang w:val="en-GB"/>
        </w:rPr>
        <w:t xml:space="preserve"> spp.</w:t>
      </w:r>
    </w:p>
    <w:p w14:paraId="222B3BEE" w14:textId="77777777" w:rsidR="000175D8" w:rsidRPr="003378D8" w:rsidRDefault="000175D8" w:rsidP="003378D8">
      <w:pPr>
        <w:ind w:left="851"/>
        <w:rPr>
          <w:i/>
          <w:iCs/>
          <w:sz w:val="24"/>
          <w:szCs w:val="24"/>
          <w:lang w:val="en-GB"/>
        </w:rPr>
      </w:pPr>
      <w:proofErr w:type="spellStart"/>
      <w:r w:rsidRPr="003378D8">
        <w:rPr>
          <w:i/>
          <w:iCs/>
          <w:sz w:val="24"/>
          <w:szCs w:val="24"/>
          <w:lang w:val="en-GB"/>
        </w:rPr>
        <w:t>Ureaplasma</w:t>
      </w:r>
      <w:proofErr w:type="spellEnd"/>
      <w:r w:rsidRPr="003378D8">
        <w:rPr>
          <w:i/>
          <w:iCs/>
          <w:sz w:val="24"/>
          <w:szCs w:val="24"/>
          <w:lang w:val="en-GB"/>
        </w:rPr>
        <w:t xml:space="preserve"> </w:t>
      </w:r>
      <w:proofErr w:type="spellStart"/>
      <w:r w:rsidRPr="003378D8">
        <w:rPr>
          <w:i/>
          <w:iCs/>
          <w:sz w:val="24"/>
          <w:szCs w:val="24"/>
          <w:lang w:val="en-GB"/>
        </w:rPr>
        <w:t>urealyticum</w:t>
      </w:r>
      <w:proofErr w:type="spellEnd"/>
    </w:p>
    <w:p w14:paraId="78A0A681" w14:textId="77777777" w:rsidR="007C5D2A" w:rsidRPr="003378D8" w:rsidRDefault="007C5D2A" w:rsidP="003E0341">
      <w:pPr>
        <w:tabs>
          <w:tab w:val="left" w:pos="851"/>
        </w:tabs>
        <w:ind w:left="851"/>
        <w:rPr>
          <w:sz w:val="24"/>
          <w:szCs w:val="24"/>
          <w:lang w:val="en-GB"/>
        </w:rPr>
      </w:pPr>
    </w:p>
    <w:p w14:paraId="4620950E" w14:textId="11049A14" w:rsidR="007C5D2A" w:rsidRPr="003378D8" w:rsidRDefault="007C5D2A" w:rsidP="007C5D2A">
      <w:pPr>
        <w:tabs>
          <w:tab w:val="left" w:pos="851"/>
        </w:tabs>
        <w:ind w:left="851" w:hanging="851"/>
        <w:rPr>
          <w:b/>
          <w:sz w:val="24"/>
          <w:szCs w:val="24"/>
          <w:lang w:val="en-GB"/>
        </w:rPr>
      </w:pPr>
      <w:r w:rsidRPr="003378D8">
        <w:rPr>
          <w:b/>
          <w:sz w:val="24"/>
          <w:szCs w:val="24"/>
          <w:lang w:val="en-GB"/>
        </w:rPr>
        <w:t>5.2</w:t>
      </w:r>
      <w:r w:rsidRPr="003378D8">
        <w:rPr>
          <w:b/>
          <w:sz w:val="24"/>
          <w:szCs w:val="24"/>
          <w:lang w:val="en-GB"/>
        </w:rPr>
        <w:tab/>
        <w:t>Pharmacokinetic properties</w:t>
      </w:r>
    </w:p>
    <w:p w14:paraId="30D4B47C" w14:textId="77777777" w:rsidR="00090EE6" w:rsidRDefault="00090EE6" w:rsidP="003378D8">
      <w:pPr>
        <w:ind w:left="851"/>
        <w:rPr>
          <w:sz w:val="24"/>
          <w:szCs w:val="24"/>
          <w:lang w:val="en-US" w:eastAsia="ja-JP"/>
        </w:rPr>
      </w:pPr>
    </w:p>
    <w:p w14:paraId="3F15BF2A" w14:textId="4DBEEE9C" w:rsidR="000175D8" w:rsidRPr="00090EE6" w:rsidRDefault="000175D8" w:rsidP="003378D8">
      <w:pPr>
        <w:ind w:left="851"/>
        <w:rPr>
          <w:sz w:val="24"/>
          <w:szCs w:val="24"/>
          <w:u w:val="single"/>
          <w:lang w:val="en-US" w:eastAsia="ja-JP"/>
        </w:rPr>
      </w:pPr>
      <w:r w:rsidRPr="00090EE6">
        <w:rPr>
          <w:sz w:val="24"/>
          <w:szCs w:val="24"/>
          <w:u w:val="single"/>
          <w:lang w:val="en-US" w:eastAsia="ja-JP"/>
        </w:rPr>
        <w:t>Absorption</w:t>
      </w:r>
    </w:p>
    <w:p w14:paraId="40537870" w14:textId="77777777" w:rsidR="000175D8" w:rsidRPr="003378D8" w:rsidRDefault="000175D8" w:rsidP="003378D8">
      <w:pPr>
        <w:ind w:left="851"/>
        <w:rPr>
          <w:sz w:val="24"/>
          <w:szCs w:val="24"/>
          <w:lang w:val="en-US" w:eastAsia="ja-JP"/>
        </w:rPr>
      </w:pPr>
      <w:r w:rsidRPr="003378D8">
        <w:rPr>
          <w:sz w:val="24"/>
          <w:szCs w:val="24"/>
          <w:lang w:val="en-US" w:eastAsia="ja-JP"/>
        </w:rPr>
        <w:t>At therapeutic levels and under normal physiological conditions, gentamicin binding to plasma proteins is low, ranging between 0 and 3%.</w:t>
      </w:r>
    </w:p>
    <w:p w14:paraId="5D4033C8" w14:textId="4874C6EF" w:rsidR="000175D8" w:rsidRPr="003378D8" w:rsidRDefault="000175D8" w:rsidP="003378D8">
      <w:pPr>
        <w:ind w:left="851"/>
        <w:rPr>
          <w:sz w:val="24"/>
          <w:szCs w:val="24"/>
          <w:lang w:val="en-US" w:eastAsia="ja-JP"/>
        </w:rPr>
      </w:pPr>
      <w:r w:rsidRPr="003378D8">
        <w:rPr>
          <w:sz w:val="24"/>
          <w:szCs w:val="24"/>
          <w:lang w:val="en-US" w:eastAsia="ja-JP"/>
        </w:rPr>
        <w:t>In patients with normal renal function After IM administration at the single dose of 1</w:t>
      </w:r>
      <w:r w:rsidR="00090EE6">
        <w:rPr>
          <w:sz w:val="24"/>
          <w:szCs w:val="24"/>
          <w:lang w:val="en-US" w:eastAsia="ja-JP"/>
        </w:rPr>
        <w:t> </w:t>
      </w:r>
      <w:r w:rsidRPr="003378D8">
        <w:rPr>
          <w:sz w:val="24"/>
          <w:szCs w:val="24"/>
          <w:lang w:val="en-US" w:eastAsia="ja-JP"/>
        </w:rPr>
        <w:t xml:space="preserve">mg/kg, the peak serum level, reached after 30 to 60 minutes, is approximately 4 </w:t>
      </w:r>
      <w:r w:rsidRPr="003378D8">
        <w:rPr>
          <w:sz w:val="24"/>
          <w:szCs w:val="24"/>
          <w:lang w:eastAsia="ja-JP"/>
        </w:rPr>
        <w:t>μ</w:t>
      </w:r>
      <w:r w:rsidRPr="003378D8">
        <w:rPr>
          <w:sz w:val="24"/>
          <w:szCs w:val="24"/>
          <w:lang w:val="en-US" w:eastAsia="ja-JP"/>
        </w:rPr>
        <w:t>g/mL. Active plasma concentrations persist for about 6 hours.</w:t>
      </w:r>
    </w:p>
    <w:p w14:paraId="030F6A5C" w14:textId="77777777" w:rsidR="000175D8" w:rsidRPr="003378D8" w:rsidRDefault="000175D8" w:rsidP="003378D8">
      <w:pPr>
        <w:ind w:left="851"/>
        <w:rPr>
          <w:sz w:val="24"/>
          <w:szCs w:val="24"/>
          <w:lang w:val="en-US" w:eastAsia="ja-JP"/>
        </w:rPr>
      </w:pPr>
      <w:r w:rsidRPr="003378D8">
        <w:rPr>
          <w:sz w:val="24"/>
          <w:szCs w:val="24"/>
          <w:lang w:val="en-US" w:eastAsia="ja-JP"/>
        </w:rPr>
        <w:t xml:space="preserve">After IM administration at the single dose of 160 mg, the peak serum level, reached after 30 to 60 minutes, is approximately 9 </w:t>
      </w:r>
      <w:r w:rsidRPr="003378D8">
        <w:rPr>
          <w:sz w:val="24"/>
          <w:szCs w:val="24"/>
          <w:lang w:eastAsia="ja-JP"/>
        </w:rPr>
        <w:t>μ</w:t>
      </w:r>
      <w:r w:rsidRPr="003378D8">
        <w:rPr>
          <w:sz w:val="24"/>
          <w:szCs w:val="24"/>
          <w:lang w:val="en-US" w:eastAsia="ja-JP"/>
        </w:rPr>
        <w:t>g/mL. Active plasma concentrations persist for about 8 hours.</w:t>
      </w:r>
    </w:p>
    <w:p w14:paraId="016FF1B7" w14:textId="3A1F4CD3" w:rsidR="000175D8" w:rsidRPr="003378D8" w:rsidRDefault="000175D8" w:rsidP="003378D8">
      <w:pPr>
        <w:ind w:left="851"/>
        <w:rPr>
          <w:sz w:val="24"/>
          <w:szCs w:val="24"/>
          <w:lang w:val="en-US" w:eastAsia="ja-JP"/>
        </w:rPr>
      </w:pPr>
      <w:r w:rsidRPr="003378D8">
        <w:rPr>
          <w:sz w:val="24"/>
          <w:szCs w:val="24"/>
          <w:lang w:val="en-US" w:eastAsia="ja-JP"/>
        </w:rPr>
        <w:t>After IV administration by a 30-minute infusion at 4 mg/kg body weight per day, divided into 3 doses, peak and trough gentamicin concentrations measured in adults were 4.7</w:t>
      </w:r>
      <w:r w:rsidR="00A559F5">
        <w:rPr>
          <w:sz w:val="24"/>
          <w:szCs w:val="24"/>
          <w:lang w:val="en-US" w:eastAsia="ja-JP"/>
        </w:rPr>
        <w:t> </w:t>
      </w:r>
      <w:r w:rsidRPr="003378D8">
        <w:rPr>
          <w:sz w:val="24"/>
          <w:szCs w:val="24"/>
          <w:lang w:eastAsia="ja-JP"/>
        </w:rPr>
        <w:t>μ</w:t>
      </w:r>
      <w:r w:rsidRPr="003378D8">
        <w:rPr>
          <w:sz w:val="24"/>
          <w:szCs w:val="24"/>
          <w:lang w:val="en-US" w:eastAsia="ja-JP"/>
        </w:rPr>
        <w:t xml:space="preserve">g/mL and 1.0 </w:t>
      </w:r>
      <w:r w:rsidRPr="003378D8">
        <w:rPr>
          <w:sz w:val="24"/>
          <w:szCs w:val="24"/>
          <w:lang w:eastAsia="ja-JP"/>
        </w:rPr>
        <w:t>μ</w:t>
      </w:r>
      <w:r w:rsidRPr="003378D8">
        <w:rPr>
          <w:sz w:val="24"/>
          <w:szCs w:val="24"/>
          <w:lang w:val="en-US" w:eastAsia="ja-JP"/>
        </w:rPr>
        <w:t xml:space="preserve">g/mL, respectively. At the same daily dose administered as a single dose, peak and trough concentrations of 9.5 </w:t>
      </w:r>
      <w:r w:rsidRPr="003378D8">
        <w:rPr>
          <w:sz w:val="24"/>
          <w:szCs w:val="24"/>
          <w:lang w:eastAsia="ja-JP"/>
        </w:rPr>
        <w:t>μ</w:t>
      </w:r>
      <w:r w:rsidRPr="003378D8">
        <w:rPr>
          <w:sz w:val="24"/>
          <w:szCs w:val="24"/>
          <w:lang w:val="en-US" w:eastAsia="ja-JP"/>
        </w:rPr>
        <w:t xml:space="preserve">g/mL and 0.4 </w:t>
      </w:r>
      <w:r w:rsidRPr="003378D8">
        <w:rPr>
          <w:sz w:val="24"/>
          <w:szCs w:val="24"/>
          <w:lang w:eastAsia="ja-JP"/>
        </w:rPr>
        <w:t>μ</w:t>
      </w:r>
      <w:r w:rsidRPr="003378D8">
        <w:rPr>
          <w:sz w:val="24"/>
          <w:szCs w:val="24"/>
          <w:lang w:val="en-US" w:eastAsia="ja-JP"/>
        </w:rPr>
        <w:t>g/mL were measured.</w:t>
      </w:r>
    </w:p>
    <w:p w14:paraId="3E98A5FE" w14:textId="77777777" w:rsidR="000175D8" w:rsidRPr="003378D8" w:rsidRDefault="000175D8" w:rsidP="003378D8">
      <w:pPr>
        <w:ind w:left="851"/>
        <w:rPr>
          <w:sz w:val="24"/>
          <w:szCs w:val="24"/>
          <w:lang w:val="en-US" w:eastAsia="ja-JP"/>
        </w:rPr>
      </w:pPr>
      <w:r w:rsidRPr="003378D8">
        <w:rPr>
          <w:sz w:val="24"/>
          <w:szCs w:val="24"/>
          <w:lang w:val="en-US" w:eastAsia="ja-JP"/>
        </w:rPr>
        <w:t>In patients with renal impairment the peak serum level is slightly higher and plasma concentrations are more prolonged.</w:t>
      </w:r>
    </w:p>
    <w:p w14:paraId="0124C7B4" w14:textId="77777777" w:rsidR="000175D8" w:rsidRPr="003378D8" w:rsidRDefault="000175D8" w:rsidP="003378D8">
      <w:pPr>
        <w:ind w:left="851"/>
        <w:rPr>
          <w:sz w:val="24"/>
          <w:szCs w:val="24"/>
          <w:lang w:val="en-US" w:eastAsia="ja-JP"/>
        </w:rPr>
      </w:pPr>
      <w:r w:rsidRPr="003378D8">
        <w:rPr>
          <w:sz w:val="24"/>
          <w:szCs w:val="24"/>
          <w:lang w:val="en-US" w:eastAsia="ja-JP"/>
        </w:rPr>
        <w:t>Gentamicin is not absorbed via the gastrointestinal tract.</w:t>
      </w:r>
    </w:p>
    <w:p w14:paraId="7B0E013B" w14:textId="77777777" w:rsidR="000175D8" w:rsidRPr="003378D8" w:rsidRDefault="000175D8" w:rsidP="003378D8">
      <w:pPr>
        <w:ind w:left="851"/>
        <w:rPr>
          <w:sz w:val="24"/>
          <w:szCs w:val="24"/>
          <w:lang w:val="en-US" w:eastAsia="ja-JP"/>
        </w:rPr>
      </w:pPr>
    </w:p>
    <w:p w14:paraId="63522127"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Distribution</w:t>
      </w:r>
    </w:p>
    <w:p w14:paraId="60CED020" w14:textId="77777777" w:rsidR="000175D8" w:rsidRPr="003378D8" w:rsidRDefault="000175D8" w:rsidP="003378D8">
      <w:pPr>
        <w:ind w:left="851"/>
        <w:rPr>
          <w:sz w:val="24"/>
          <w:szCs w:val="24"/>
          <w:lang w:val="en-US" w:eastAsia="ja-JP"/>
        </w:rPr>
      </w:pPr>
      <w:r w:rsidRPr="003378D8">
        <w:rPr>
          <w:sz w:val="24"/>
          <w:szCs w:val="24"/>
          <w:lang w:val="en-US" w:eastAsia="ja-JP"/>
        </w:rPr>
        <w:t xml:space="preserve">The distribution volume of gentamicin is about equivalent to the volume of extracellular water. In the newborn water makes up 70 to 75% of bodyweight, compared with 50 to 55% in adults. The extracellular water compartment is larger (40% of body weight compared </w:t>
      </w:r>
      <w:r w:rsidRPr="003378D8">
        <w:rPr>
          <w:sz w:val="24"/>
          <w:szCs w:val="24"/>
          <w:lang w:val="en-US" w:eastAsia="ja-JP"/>
        </w:rPr>
        <w:lastRenderedPageBreak/>
        <w:t>with 25% of body weight in adults). Therefore, the volume of distribution of gentamicin per kg bodyweight is affected and decreases with increasing age from 0.5 to 0.7 L/kg for a premature newborn to 0.25 L/kg for an adolescent. The larger volume of distribution per kg bodyweight means that for adequate peak blood concentration a higher dose per kg bodyweight needs to be administered.</w:t>
      </w:r>
    </w:p>
    <w:p w14:paraId="7913383C" w14:textId="77777777" w:rsidR="000175D8" w:rsidRPr="003378D8" w:rsidRDefault="000175D8" w:rsidP="003378D8">
      <w:pPr>
        <w:ind w:left="851"/>
        <w:rPr>
          <w:sz w:val="24"/>
          <w:szCs w:val="24"/>
          <w:lang w:val="en-US" w:eastAsia="ja-JP"/>
        </w:rPr>
      </w:pPr>
    </w:p>
    <w:p w14:paraId="7161431D" w14:textId="77777777" w:rsidR="000175D8" w:rsidRPr="003378D8" w:rsidRDefault="000175D8" w:rsidP="003378D8">
      <w:pPr>
        <w:ind w:left="851"/>
        <w:rPr>
          <w:sz w:val="24"/>
          <w:szCs w:val="24"/>
          <w:lang w:val="en-US" w:eastAsia="ja-JP"/>
        </w:rPr>
      </w:pPr>
      <w:r w:rsidRPr="003378D8">
        <w:rPr>
          <w:sz w:val="24"/>
          <w:szCs w:val="24"/>
          <w:lang w:val="en-US" w:eastAsia="ja-JP"/>
        </w:rPr>
        <w:t>After parenteral administration, gentamicin is found in most tissues and biological fluids. Therapeutic levels are present in serum.</w:t>
      </w:r>
    </w:p>
    <w:p w14:paraId="3B58B056" w14:textId="77777777" w:rsidR="000175D8" w:rsidRPr="003378D8" w:rsidRDefault="000175D8" w:rsidP="003378D8">
      <w:pPr>
        <w:ind w:left="851"/>
        <w:rPr>
          <w:sz w:val="24"/>
          <w:szCs w:val="24"/>
          <w:lang w:val="en-US" w:eastAsia="ja-JP"/>
        </w:rPr>
      </w:pPr>
      <w:r w:rsidRPr="003378D8">
        <w:rPr>
          <w:sz w:val="24"/>
          <w:szCs w:val="24"/>
          <w:lang w:val="en-US" w:eastAsia="ja-JP"/>
        </w:rPr>
        <w:t>Concentrations in the renal parenchyma are much higher than the plasma levels.</w:t>
      </w:r>
    </w:p>
    <w:p w14:paraId="5471B65F" w14:textId="77777777" w:rsidR="000175D8" w:rsidRPr="003378D8" w:rsidRDefault="000175D8" w:rsidP="003378D8">
      <w:pPr>
        <w:ind w:left="851"/>
        <w:rPr>
          <w:sz w:val="24"/>
          <w:szCs w:val="24"/>
          <w:lang w:val="en-US" w:eastAsia="ja-JP"/>
        </w:rPr>
      </w:pPr>
      <w:r w:rsidRPr="003378D8">
        <w:rPr>
          <w:sz w:val="24"/>
          <w:szCs w:val="24"/>
          <w:lang w:val="en-US" w:eastAsia="ja-JP"/>
        </w:rPr>
        <w:t>Concentrations of about 40% and above are found in bronchial secretions, infected bone, synovial fluid and tissue, skin, pleura, pericardium, peritoneal cavity and ascites.</w:t>
      </w:r>
    </w:p>
    <w:p w14:paraId="296E4044" w14:textId="77777777" w:rsidR="000175D8" w:rsidRPr="003378D8" w:rsidRDefault="000175D8" w:rsidP="003378D8">
      <w:pPr>
        <w:ind w:left="851"/>
        <w:rPr>
          <w:sz w:val="24"/>
          <w:szCs w:val="24"/>
          <w:lang w:val="en-US" w:eastAsia="ja-JP"/>
        </w:rPr>
      </w:pPr>
      <w:r w:rsidRPr="003378D8">
        <w:rPr>
          <w:sz w:val="24"/>
          <w:szCs w:val="24"/>
          <w:lang w:val="en-US" w:eastAsia="ja-JP"/>
        </w:rPr>
        <w:t>Gentamicin does not penetrate the prostate. It crosses the placental barrier.</w:t>
      </w:r>
    </w:p>
    <w:p w14:paraId="05A43DCF" w14:textId="77777777" w:rsidR="000175D8" w:rsidRPr="003378D8" w:rsidRDefault="000175D8" w:rsidP="003378D8">
      <w:pPr>
        <w:ind w:left="851"/>
        <w:rPr>
          <w:sz w:val="24"/>
          <w:szCs w:val="24"/>
          <w:lang w:val="en-US" w:eastAsia="ja-JP"/>
        </w:rPr>
      </w:pPr>
      <w:r w:rsidRPr="003378D8">
        <w:rPr>
          <w:sz w:val="24"/>
          <w:szCs w:val="24"/>
          <w:lang w:val="en-US" w:eastAsia="ja-JP"/>
        </w:rPr>
        <w:t>However, it barely crosses the blood-brain barrier. Excretion into human milk is negligible.</w:t>
      </w:r>
    </w:p>
    <w:p w14:paraId="08E3DE28" w14:textId="77777777" w:rsidR="000175D8" w:rsidRPr="003378D8" w:rsidRDefault="000175D8" w:rsidP="003378D8">
      <w:pPr>
        <w:ind w:left="851"/>
        <w:rPr>
          <w:sz w:val="24"/>
          <w:szCs w:val="24"/>
          <w:lang w:val="en-US" w:eastAsia="ja-JP"/>
        </w:rPr>
      </w:pPr>
      <w:r w:rsidRPr="003378D8">
        <w:rPr>
          <w:sz w:val="24"/>
          <w:szCs w:val="24"/>
          <w:lang w:val="en-US" w:eastAsia="ja-JP"/>
        </w:rPr>
        <w:t>Gentamicin diffuses through the membranes used in hemodialysis.</w:t>
      </w:r>
    </w:p>
    <w:p w14:paraId="28CE6199" w14:textId="77777777" w:rsidR="000175D8" w:rsidRPr="003378D8" w:rsidRDefault="000175D8" w:rsidP="003378D8">
      <w:pPr>
        <w:ind w:left="851"/>
        <w:rPr>
          <w:sz w:val="24"/>
          <w:szCs w:val="24"/>
          <w:lang w:val="en-US" w:eastAsia="ja-JP"/>
        </w:rPr>
      </w:pPr>
    </w:p>
    <w:p w14:paraId="108305D9"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Biotransformation</w:t>
      </w:r>
    </w:p>
    <w:p w14:paraId="0D841274" w14:textId="77777777" w:rsidR="000175D8" w:rsidRPr="003378D8" w:rsidRDefault="000175D8" w:rsidP="003378D8">
      <w:pPr>
        <w:ind w:left="851"/>
        <w:rPr>
          <w:sz w:val="24"/>
          <w:szCs w:val="24"/>
          <w:lang w:val="en-US" w:eastAsia="ja-JP"/>
        </w:rPr>
      </w:pPr>
      <w:r w:rsidRPr="003378D8">
        <w:rPr>
          <w:sz w:val="24"/>
          <w:szCs w:val="24"/>
          <w:lang w:val="en-US" w:eastAsia="ja-JP"/>
        </w:rPr>
        <w:t>Gentamicin does not undergo metabolic transformation</w:t>
      </w:r>
    </w:p>
    <w:p w14:paraId="1EC49D98" w14:textId="77777777" w:rsidR="000175D8" w:rsidRPr="003378D8" w:rsidRDefault="000175D8" w:rsidP="003378D8">
      <w:pPr>
        <w:ind w:left="851"/>
        <w:rPr>
          <w:sz w:val="24"/>
          <w:szCs w:val="24"/>
          <w:lang w:val="en-US" w:eastAsia="ja-JP"/>
        </w:rPr>
      </w:pPr>
    </w:p>
    <w:p w14:paraId="77DEA58F" w14:textId="77777777" w:rsidR="000175D8" w:rsidRPr="00090EE6" w:rsidRDefault="000175D8" w:rsidP="003378D8">
      <w:pPr>
        <w:ind w:left="851"/>
        <w:rPr>
          <w:sz w:val="24"/>
          <w:szCs w:val="24"/>
          <w:u w:val="single"/>
          <w:lang w:val="en-US" w:eastAsia="ja-JP"/>
        </w:rPr>
      </w:pPr>
      <w:r w:rsidRPr="00090EE6">
        <w:rPr>
          <w:sz w:val="24"/>
          <w:szCs w:val="24"/>
          <w:u w:val="single"/>
          <w:lang w:val="en-US" w:eastAsia="ja-JP"/>
        </w:rPr>
        <w:t>Elimination</w:t>
      </w:r>
    </w:p>
    <w:p w14:paraId="33825AE2" w14:textId="77777777" w:rsidR="000175D8" w:rsidRPr="003378D8" w:rsidRDefault="000175D8" w:rsidP="003378D8">
      <w:pPr>
        <w:ind w:left="851"/>
        <w:rPr>
          <w:sz w:val="24"/>
          <w:szCs w:val="24"/>
          <w:lang w:val="en-US" w:eastAsia="ja-JP"/>
        </w:rPr>
      </w:pPr>
      <w:r w:rsidRPr="003378D8">
        <w:rPr>
          <w:sz w:val="24"/>
          <w:szCs w:val="24"/>
          <w:lang w:val="en-US" w:eastAsia="ja-JP"/>
        </w:rPr>
        <w:t>Gentamicin is not metabolized in the body but is excreted unchanged in microbiologically active form predominantly via the kidneys. In patients with normal renal function the elimination half-life is about 2 to 3 hours.</w:t>
      </w:r>
    </w:p>
    <w:p w14:paraId="2AE5545D" w14:textId="77777777" w:rsidR="000175D8" w:rsidRPr="003378D8" w:rsidRDefault="000175D8" w:rsidP="003378D8">
      <w:pPr>
        <w:ind w:left="851"/>
        <w:rPr>
          <w:sz w:val="24"/>
          <w:szCs w:val="24"/>
          <w:lang w:val="en-US" w:eastAsia="ja-JP"/>
        </w:rPr>
      </w:pPr>
    </w:p>
    <w:p w14:paraId="3AE23978" w14:textId="77777777" w:rsidR="000175D8" w:rsidRPr="003378D8" w:rsidRDefault="000175D8" w:rsidP="003378D8">
      <w:pPr>
        <w:ind w:left="851"/>
        <w:rPr>
          <w:i/>
          <w:sz w:val="24"/>
          <w:szCs w:val="24"/>
          <w:lang w:val="en-US" w:eastAsia="ja-JP"/>
        </w:rPr>
      </w:pPr>
      <w:r w:rsidRPr="003378D8">
        <w:rPr>
          <w:i/>
          <w:sz w:val="24"/>
          <w:szCs w:val="24"/>
          <w:lang w:val="en-US" w:eastAsia="ja-JP"/>
        </w:rPr>
        <w:t>Pediatric population</w:t>
      </w:r>
    </w:p>
    <w:p w14:paraId="13C38797" w14:textId="77777777" w:rsidR="000175D8" w:rsidRPr="003378D8" w:rsidRDefault="000175D8" w:rsidP="003378D8">
      <w:pPr>
        <w:ind w:left="851"/>
        <w:rPr>
          <w:sz w:val="24"/>
          <w:szCs w:val="24"/>
          <w:lang w:val="en-US" w:eastAsia="ja-JP"/>
        </w:rPr>
      </w:pPr>
      <w:r w:rsidRPr="003378D8">
        <w:rPr>
          <w:sz w:val="24"/>
          <w:szCs w:val="24"/>
          <w:lang w:val="en-US" w:eastAsia="ja-JP"/>
        </w:rPr>
        <w:t xml:space="preserve">In </w:t>
      </w:r>
      <w:proofErr w:type="gramStart"/>
      <w:r w:rsidRPr="003378D8">
        <w:rPr>
          <w:sz w:val="24"/>
          <w:szCs w:val="24"/>
          <w:lang w:val="en-US" w:eastAsia="ja-JP"/>
        </w:rPr>
        <w:t>neonates</w:t>
      </w:r>
      <w:proofErr w:type="gramEnd"/>
      <w:r w:rsidRPr="003378D8">
        <w:rPr>
          <w:sz w:val="24"/>
          <w:szCs w:val="24"/>
          <w:lang w:val="en-US" w:eastAsia="ja-JP"/>
        </w:rPr>
        <w:t xml:space="preserve"> elimination rate is reduced due to immature renal function. Elimination </w:t>
      </w:r>
      <w:proofErr w:type="spellStart"/>
      <w:r w:rsidRPr="003378D8">
        <w:rPr>
          <w:sz w:val="24"/>
          <w:szCs w:val="24"/>
          <w:lang w:val="en-US" w:eastAsia="ja-JP"/>
        </w:rPr>
        <w:t>half life</w:t>
      </w:r>
      <w:proofErr w:type="spellEnd"/>
      <w:r w:rsidRPr="003378D8">
        <w:rPr>
          <w:sz w:val="24"/>
          <w:szCs w:val="24"/>
          <w:lang w:val="en-US" w:eastAsia="ja-JP"/>
        </w:rPr>
        <w:t xml:space="preserve"> averages approximately 8 hours in neonates at a gestational age of 26 to 34 weeks compared with about 6.7 hours in neonates at a gestational age of 35 to 37 weeks. Accordingly, clearance values rise from approximately 0.05 L/h in neonates at 27 weeks gestational age to around 0.2 L/h in those at 40 weeks gestational age.</w:t>
      </w:r>
    </w:p>
    <w:p w14:paraId="6F17C8AA" w14:textId="77777777" w:rsidR="007C5D2A" w:rsidRPr="003378D8" w:rsidRDefault="007C5D2A" w:rsidP="003E0341">
      <w:pPr>
        <w:tabs>
          <w:tab w:val="left" w:pos="851"/>
        </w:tabs>
        <w:ind w:left="851"/>
        <w:rPr>
          <w:sz w:val="24"/>
          <w:szCs w:val="24"/>
          <w:lang w:val="en-GB"/>
        </w:rPr>
      </w:pPr>
    </w:p>
    <w:p w14:paraId="7E7A1D29" w14:textId="77777777" w:rsidR="007C5D2A" w:rsidRPr="003378D8" w:rsidRDefault="00180A12" w:rsidP="007C5D2A">
      <w:pPr>
        <w:tabs>
          <w:tab w:val="left" w:pos="851"/>
        </w:tabs>
        <w:ind w:left="851" w:hanging="851"/>
        <w:rPr>
          <w:b/>
          <w:sz w:val="24"/>
          <w:szCs w:val="24"/>
          <w:lang w:val="en-GB"/>
        </w:rPr>
      </w:pPr>
      <w:r w:rsidRPr="003378D8">
        <w:rPr>
          <w:b/>
          <w:sz w:val="24"/>
          <w:szCs w:val="24"/>
          <w:lang w:val="en-GB"/>
        </w:rPr>
        <w:t>5.3</w:t>
      </w:r>
      <w:r w:rsidRPr="003378D8">
        <w:rPr>
          <w:b/>
          <w:sz w:val="24"/>
          <w:szCs w:val="24"/>
          <w:lang w:val="en-GB"/>
        </w:rPr>
        <w:tab/>
        <w:t>Preclinical safety data</w:t>
      </w:r>
    </w:p>
    <w:p w14:paraId="4D873921" w14:textId="77777777" w:rsidR="000175D8" w:rsidRPr="003378D8" w:rsidRDefault="000175D8" w:rsidP="003378D8">
      <w:pPr>
        <w:ind w:left="851"/>
        <w:rPr>
          <w:sz w:val="24"/>
          <w:szCs w:val="24"/>
          <w:lang w:val="en-GB"/>
        </w:rPr>
      </w:pPr>
      <w:r w:rsidRPr="003378D8">
        <w:rPr>
          <w:sz w:val="24"/>
          <w:szCs w:val="24"/>
          <w:lang w:val="en-GB"/>
        </w:rPr>
        <w:t>Gentamicin, like all aminoglycosides, is potentially nephrotoxic and ototoxic.</w:t>
      </w:r>
    </w:p>
    <w:p w14:paraId="57A79056" w14:textId="77777777" w:rsidR="000175D8" w:rsidRPr="003378D8" w:rsidRDefault="000175D8" w:rsidP="003378D8">
      <w:pPr>
        <w:ind w:left="851"/>
        <w:rPr>
          <w:sz w:val="24"/>
          <w:szCs w:val="24"/>
          <w:lang w:val="en-GB"/>
        </w:rPr>
      </w:pPr>
      <w:r w:rsidRPr="003378D8">
        <w:rPr>
          <w:sz w:val="24"/>
          <w:szCs w:val="24"/>
          <w:lang w:val="en-GB"/>
        </w:rPr>
        <w:t xml:space="preserve">Increased </w:t>
      </w:r>
      <w:proofErr w:type="spellStart"/>
      <w:r w:rsidRPr="003378D8">
        <w:rPr>
          <w:sz w:val="24"/>
          <w:szCs w:val="24"/>
          <w:lang w:val="en-GB"/>
        </w:rPr>
        <w:t>fetal</w:t>
      </w:r>
      <w:proofErr w:type="spellEnd"/>
      <w:r w:rsidRPr="003378D8">
        <w:rPr>
          <w:sz w:val="24"/>
          <w:szCs w:val="24"/>
          <w:lang w:val="en-GB"/>
        </w:rPr>
        <w:t xml:space="preserve"> mortality during pregnancy has been observed in the offspring of mice that received 1-12 times the recommended human doses of gentamicin during pregnancy. Typical aminoglycoside nephrotoxicity has been observed in the offspring of rats exposed to 9-25 times the recommended human dose of gentamicin during pregnancy.</w:t>
      </w:r>
    </w:p>
    <w:p w14:paraId="52591BEB" w14:textId="77777777" w:rsidR="000175D8" w:rsidRPr="003378D8" w:rsidRDefault="000175D8" w:rsidP="003378D8">
      <w:pPr>
        <w:ind w:left="851"/>
        <w:rPr>
          <w:sz w:val="24"/>
          <w:szCs w:val="24"/>
          <w:lang w:val="en-US" w:eastAsia="ja-JP"/>
        </w:rPr>
      </w:pPr>
      <w:r w:rsidRPr="003378D8">
        <w:rPr>
          <w:sz w:val="24"/>
          <w:szCs w:val="24"/>
          <w:lang w:val="en-GB"/>
        </w:rPr>
        <w:t>Hearing loss was demonstrated in the offspring of rats given 12.5 to 37.5 times the recommended human dose of gentamicin and fed a low-magnesium diet. This effect was not observed in similarly treated animals fed a normal diet. The relevance of these results to the treatment of humans during pregnancy is not known.</w:t>
      </w:r>
    </w:p>
    <w:p w14:paraId="61BE3BF7" w14:textId="77777777" w:rsidR="007C5D2A" w:rsidRPr="003378D8" w:rsidRDefault="007C5D2A" w:rsidP="003E0341">
      <w:pPr>
        <w:tabs>
          <w:tab w:val="left" w:pos="851"/>
        </w:tabs>
        <w:ind w:left="851"/>
        <w:rPr>
          <w:sz w:val="24"/>
          <w:szCs w:val="24"/>
          <w:lang w:val="en-GB"/>
        </w:rPr>
      </w:pPr>
    </w:p>
    <w:p w14:paraId="5A0F5230" w14:textId="77777777" w:rsidR="007C5D2A" w:rsidRPr="003378D8" w:rsidRDefault="007C5D2A" w:rsidP="003E0341">
      <w:pPr>
        <w:tabs>
          <w:tab w:val="left" w:pos="851"/>
        </w:tabs>
        <w:ind w:left="851"/>
        <w:rPr>
          <w:sz w:val="24"/>
          <w:szCs w:val="24"/>
          <w:lang w:val="en-GB"/>
        </w:rPr>
      </w:pPr>
    </w:p>
    <w:p w14:paraId="18D0E504" w14:textId="77777777" w:rsidR="007C5D2A" w:rsidRPr="003378D8" w:rsidRDefault="009925C9" w:rsidP="007C5D2A">
      <w:pPr>
        <w:ind w:left="851" w:hanging="851"/>
        <w:rPr>
          <w:b/>
          <w:sz w:val="24"/>
          <w:szCs w:val="24"/>
          <w:lang w:val="en-GB"/>
        </w:rPr>
      </w:pPr>
      <w:r w:rsidRPr="003378D8">
        <w:rPr>
          <w:b/>
          <w:sz w:val="24"/>
          <w:szCs w:val="24"/>
          <w:lang w:val="en-GB"/>
        </w:rPr>
        <w:t>6.</w:t>
      </w:r>
      <w:r w:rsidR="007C5D2A" w:rsidRPr="003378D8">
        <w:rPr>
          <w:b/>
          <w:sz w:val="24"/>
          <w:szCs w:val="24"/>
          <w:lang w:val="en-GB"/>
        </w:rPr>
        <w:tab/>
        <w:t>PHARMACEUTICAL PARTICULARS</w:t>
      </w:r>
    </w:p>
    <w:p w14:paraId="20EE7B4F" w14:textId="77777777" w:rsidR="007C5D2A" w:rsidRPr="003378D8" w:rsidRDefault="007C5D2A" w:rsidP="003E0341">
      <w:pPr>
        <w:tabs>
          <w:tab w:val="left" w:pos="851"/>
        </w:tabs>
        <w:ind w:left="851"/>
        <w:rPr>
          <w:sz w:val="24"/>
          <w:szCs w:val="24"/>
          <w:lang w:val="en-GB"/>
        </w:rPr>
      </w:pPr>
    </w:p>
    <w:p w14:paraId="77FD49A8" w14:textId="77777777" w:rsidR="007C5D2A" w:rsidRPr="003378D8" w:rsidRDefault="007C5D2A" w:rsidP="007C5D2A">
      <w:pPr>
        <w:ind w:left="851" w:hanging="851"/>
        <w:rPr>
          <w:b/>
          <w:sz w:val="24"/>
          <w:szCs w:val="24"/>
          <w:lang w:val="en-GB"/>
        </w:rPr>
      </w:pPr>
      <w:r w:rsidRPr="003378D8">
        <w:rPr>
          <w:b/>
          <w:sz w:val="24"/>
          <w:szCs w:val="24"/>
          <w:lang w:val="en-GB"/>
        </w:rPr>
        <w:t>6.1</w:t>
      </w:r>
      <w:r w:rsidRPr="003378D8">
        <w:rPr>
          <w:b/>
          <w:sz w:val="24"/>
          <w:szCs w:val="24"/>
          <w:lang w:val="en-GB"/>
        </w:rPr>
        <w:tab/>
        <w:t>List of excipients</w:t>
      </w:r>
    </w:p>
    <w:p w14:paraId="3B795B35" w14:textId="77777777" w:rsidR="000175D8" w:rsidRPr="003378D8" w:rsidRDefault="000175D8" w:rsidP="003378D8">
      <w:pPr>
        <w:ind w:left="851"/>
        <w:rPr>
          <w:sz w:val="24"/>
          <w:szCs w:val="24"/>
          <w:lang w:val="en-GB"/>
        </w:rPr>
      </w:pPr>
      <w:r w:rsidRPr="003378D8">
        <w:rPr>
          <w:sz w:val="24"/>
          <w:szCs w:val="24"/>
          <w:lang w:val="en-GB"/>
        </w:rPr>
        <w:t>Sodium chloride</w:t>
      </w:r>
    </w:p>
    <w:p w14:paraId="39ACC5DD" w14:textId="77777777" w:rsidR="000175D8" w:rsidRPr="003378D8" w:rsidRDefault="000175D8" w:rsidP="003378D8">
      <w:pPr>
        <w:ind w:left="851"/>
        <w:rPr>
          <w:sz w:val="24"/>
          <w:szCs w:val="24"/>
          <w:lang w:val="en-GB"/>
        </w:rPr>
      </w:pPr>
      <w:r w:rsidRPr="003378D8">
        <w:rPr>
          <w:sz w:val="24"/>
          <w:szCs w:val="24"/>
          <w:lang w:val="en-GB"/>
        </w:rPr>
        <w:t>Sulfuric acid (pH adjustment)</w:t>
      </w:r>
    </w:p>
    <w:p w14:paraId="342F7F4F" w14:textId="77777777" w:rsidR="000175D8" w:rsidRPr="003378D8" w:rsidRDefault="000175D8" w:rsidP="003378D8">
      <w:pPr>
        <w:ind w:left="851"/>
        <w:rPr>
          <w:sz w:val="24"/>
          <w:szCs w:val="24"/>
          <w:lang w:val="en-GB"/>
        </w:rPr>
      </w:pPr>
      <w:r w:rsidRPr="003378D8">
        <w:rPr>
          <w:sz w:val="24"/>
          <w:szCs w:val="24"/>
          <w:lang w:val="en-GB"/>
        </w:rPr>
        <w:t>Sodium hydroxide (pH adjustment)</w:t>
      </w:r>
    </w:p>
    <w:p w14:paraId="1D33D33E" w14:textId="77777777" w:rsidR="000175D8" w:rsidRPr="003378D8" w:rsidRDefault="000175D8" w:rsidP="003378D8">
      <w:pPr>
        <w:ind w:left="851"/>
        <w:rPr>
          <w:sz w:val="24"/>
          <w:szCs w:val="24"/>
          <w:lang w:val="en-GB"/>
        </w:rPr>
      </w:pPr>
      <w:r w:rsidRPr="003378D8">
        <w:rPr>
          <w:sz w:val="24"/>
          <w:szCs w:val="24"/>
          <w:lang w:val="en-GB"/>
        </w:rPr>
        <w:t>Water for injections</w:t>
      </w:r>
    </w:p>
    <w:p w14:paraId="4CF2AA4D" w14:textId="5DD312C4" w:rsidR="00A559F5" w:rsidRDefault="00A559F5">
      <w:pPr>
        <w:rPr>
          <w:sz w:val="24"/>
          <w:szCs w:val="24"/>
          <w:lang w:val="en-GB"/>
        </w:rPr>
      </w:pPr>
      <w:r>
        <w:rPr>
          <w:sz w:val="24"/>
          <w:szCs w:val="24"/>
          <w:lang w:val="en-GB"/>
        </w:rPr>
        <w:br w:type="page"/>
      </w:r>
    </w:p>
    <w:p w14:paraId="0583DA6C" w14:textId="77777777" w:rsidR="007C5D2A" w:rsidRPr="003378D8" w:rsidRDefault="007C5D2A" w:rsidP="003D727E">
      <w:pPr>
        <w:tabs>
          <w:tab w:val="left" w:pos="851"/>
        </w:tabs>
        <w:ind w:left="851"/>
        <w:rPr>
          <w:sz w:val="24"/>
          <w:szCs w:val="24"/>
          <w:lang w:val="en-GB"/>
        </w:rPr>
      </w:pPr>
    </w:p>
    <w:p w14:paraId="147C2DD5" w14:textId="77777777" w:rsidR="007C5D2A" w:rsidRPr="003378D8" w:rsidRDefault="007C5D2A" w:rsidP="007C5D2A">
      <w:pPr>
        <w:ind w:left="851" w:hanging="851"/>
        <w:rPr>
          <w:b/>
          <w:sz w:val="24"/>
          <w:szCs w:val="24"/>
          <w:lang w:val="en-GB"/>
        </w:rPr>
      </w:pPr>
      <w:r w:rsidRPr="003378D8">
        <w:rPr>
          <w:b/>
          <w:sz w:val="24"/>
          <w:szCs w:val="24"/>
          <w:lang w:val="en-GB"/>
        </w:rPr>
        <w:t>6.2</w:t>
      </w:r>
      <w:r w:rsidRPr="003378D8">
        <w:rPr>
          <w:b/>
          <w:sz w:val="24"/>
          <w:szCs w:val="24"/>
          <w:lang w:val="en-GB"/>
        </w:rPr>
        <w:tab/>
        <w:t>Incompatibilities</w:t>
      </w:r>
    </w:p>
    <w:p w14:paraId="65A5A705" w14:textId="77777777" w:rsidR="000175D8" w:rsidRPr="003378D8" w:rsidRDefault="000175D8" w:rsidP="003378D8">
      <w:pPr>
        <w:ind w:left="851"/>
        <w:rPr>
          <w:sz w:val="24"/>
          <w:szCs w:val="24"/>
          <w:lang w:val="en-GB"/>
        </w:rPr>
      </w:pPr>
      <w:r w:rsidRPr="003378D8">
        <w:rPr>
          <w:sz w:val="24"/>
          <w:szCs w:val="24"/>
          <w:lang w:val="en-GB"/>
        </w:rPr>
        <w:t>This medicinal product must not be mixed with other medicinal products except those mentioned in section 6.6.</w:t>
      </w:r>
    </w:p>
    <w:p w14:paraId="70D70F7C" w14:textId="77777777" w:rsidR="007C5D2A" w:rsidRPr="003378D8" w:rsidRDefault="007C5D2A" w:rsidP="003E0341">
      <w:pPr>
        <w:tabs>
          <w:tab w:val="left" w:pos="851"/>
        </w:tabs>
        <w:ind w:left="851"/>
        <w:rPr>
          <w:sz w:val="24"/>
          <w:szCs w:val="24"/>
          <w:lang w:val="en-GB"/>
        </w:rPr>
      </w:pPr>
    </w:p>
    <w:p w14:paraId="0579FE5D" w14:textId="77777777" w:rsidR="007C5D2A" w:rsidRPr="003378D8" w:rsidRDefault="007C5D2A" w:rsidP="007C5D2A">
      <w:pPr>
        <w:ind w:left="851" w:hanging="851"/>
        <w:rPr>
          <w:b/>
          <w:sz w:val="24"/>
          <w:szCs w:val="24"/>
          <w:lang w:val="en-GB"/>
        </w:rPr>
      </w:pPr>
      <w:r w:rsidRPr="003378D8">
        <w:rPr>
          <w:b/>
          <w:sz w:val="24"/>
          <w:szCs w:val="24"/>
          <w:lang w:val="en-GB"/>
        </w:rPr>
        <w:t>6.3</w:t>
      </w:r>
      <w:r w:rsidRPr="003378D8">
        <w:rPr>
          <w:b/>
          <w:sz w:val="24"/>
          <w:szCs w:val="24"/>
          <w:lang w:val="en-GB"/>
        </w:rPr>
        <w:tab/>
        <w:t>Shelf</w:t>
      </w:r>
      <w:r w:rsidR="00B45DC5" w:rsidRPr="003378D8">
        <w:rPr>
          <w:b/>
          <w:sz w:val="24"/>
          <w:szCs w:val="24"/>
          <w:lang w:val="en-GB"/>
        </w:rPr>
        <w:t xml:space="preserve"> </w:t>
      </w:r>
      <w:r w:rsidRPr="003378D8">
        <w:rPr>
          <w:b/>
          <w:sz w:val="24"/>
          <w:szCs w:val="24"/>
          <w:lang w:val="en-GB"/>
        </w:rPr>
        <w:t>life</w:t>
      </w:r>
    </w:p>
    <w:p w14:paraId="2B84D5A1" w14:textId="77777777" w:rsidR="000175D8" w:rsidRPr="003378D8" w:rsidRDefault="000175D8" w:rsidP="003378D8">
      <w:pPr>
        <w:ind w:left="851"/>
        <w:rPr>
          <w:sz w:val="24"/>
          <w:szCs w:val="24"/>
          <w:lang w:val="en-GB"/>
        </w:rPr>
      </w:pPr>
      <w:r w:rsidRPr="003378D8">
        <w:rPr>
          <w:sz w:val="24"/>
          <w:szCs w:val="24"/>
          <w:lang w:val="en-GB"/>
        </w:rPr>
        <w:t>36 months</w:t>
      </w:r>
    </w:p>
    <w:p w14:paraId="22045197" w14:textId="77777777" w:rsidR="000175D8" w:rsidRPr="003378D8" w:rsidRDefault="000175D8" w:rsidP="003378D8">
      <w:pPr>
        <w:ind w:left="851"/>
        <w:rPr>
          <w:sz w:val="24"/>
          <w:szCs w:val="24"/>
          <w:lang w:val="en-GB"/>
        </w:rPr>
      </w:pPr>
      <w:bookmarkStart w:id="12" w:name="_Hlk211858070"/>
    </w:p>
    <w:p w14:paraId="1ABAC801" w14:textId="77777777" w:rsidR="000175D8" w:rsidRPr="003378D8" w:rsidRDefault="000175D8" w:rsidP="003378D8">
      <w:pPr>
        <w:ind w:left="851"/>
        <w:rPr>
          <w:sz w:val="24"/>
          <w:szCs w:val="24"/>
          <w:lang w:val="en-GB"/>
        </w:rPr>
      </w:pPr>
      <w:r w:rsidRPr="003378D8">
        <w:rPr>
          <w:sz w:val="24"/>
          <w:szCs w:val="24"/>
          <w:lang w:val="en-GB"/>
        </w:rPr>
        <w:t>Chemical and physical in-use stability has been demonstrated for 24 hours in 10% Glucose, Dextran 40 10% in 5% dextrose and Ringer’s Lactate and for 168 hours in 0.9% NaCl, 5% Glucose and Ringer’s solution at 25ºC and 2-8ºC.</w:t>
      </w:r>
    </w:p>
    <w:p w14:paraId="0A97800B" w14:textId="77777777" w:rsidR="000175D8" w:rsidRPr="003378D8" w:rsidRDefault="000175D8" w:rsidP="003378D8">
      <w:pPr>
        <w:ind w:left="851"/>
        <w:rPr>
          <w:sz w:val="24"/>
          <w:szCs w:val="24"/>
          <w:lang w:val="en-GB"/>
        </w:rPr>
      </w:pPr>
    </w:p>
    <w:p w14:paraId="7117E9E1" w14:textId="77777777" w:rsidR="000175D8" w:rsidRPr="003378D8" w:rsidRDefault="000175D8" w:rsidP="003378D8">
      <w:pPr>
        <w:ind w:left="851"/>
        <w:rPr>
          <w:sz w:val="24"/>
          <w:szCs w:val="24"/>
          <w:lang w:val="en-GB"/>
        </w:rPr>
      </w:pPr>
      <w:bookmarkStart w:id="13" w:name="_Hlk211864144"/>
      <w:bookmarkEnd w:id="12"/>
      <w:r w:rsidRPr="003378D8">
        <w:rPr>
          <w:sz w:val="24"/>
          <w:szCs w:val="24"/>
          <w:lang w:val="en-GB"/>
        </w:rPr>
        <w:t>From a microbiological point of view, the product should be used immediately. If not used immediately, in-use storage times and conditions prior to use are the responsibility of the user and would normally not be longer than 24 hours at 2 to 8ºC, unless dilution has taken place in controlled and validated aseptic conditions.</w:t>
      </w:r>
      <w:bookmarkEnd w:id="13"/>
    </w:p>
    <w:p w14:paraId="46308D6D" w14:textId="77777777" w:rsidR="007C5D2A" w:rsidRPr="003378D8" w:rsidRDefault="007C5D2A" w:rsidP="003E0341">
      <w:pPr>
        <w:tabs>
          <w:tab w:val="left" w:pos="851"/>
        </w:tabs>
        <w:ind w:left="851"/>
        <w:rPr>
          <w:sz w:val="24"/>
          <w:szCs w:val="24"/>
          <w:lang w:val="en-GB"/>
        </w:rPr>
      </w:pPr>
    </w:p>
    <w:p w14:paraId="4FAE73FA" w14:textId="77777777" w:rsidR="007C5D2A" w:rsidRPr="003378D8" w:rsidRDefault="007C5D2A" w:rsidP="007C5D2A">
      <w:pPr>
        <w:ind w:left="851" w:hanging="851"/>
        <w:rPr>
          <w:b/>
          <w:sz w:val="24"/>
          <w:szCs w:val="24"/>
          <w:lang w:val="en-GB"/>
        </w:rPr>
      </w:pPr>
      <w:r w:rsidRPr="003378D8">
        <w:rPr>
          <w:b/>
          <w:sz w:val="24"/>
          <w:szCs w:val="24"/>
          <w:lang w:val="en-GB"/>
        </w:rPr>
        <w:t>6.4</w:t>
      </w:r>
      <w:r w:rsidRPr="003378D8">
        <w:rPr>
          <w:b/>
          <w:sz w:val="24"/>
          <w:szCs w:val="24"/>
          <w:lang w:val="en-GB"/>
        </w:rPr>
        <w:tab/>
        <w:t>Special precautions for storage</w:t>
      </w:r>
    </w:p>
    <w:p w14:paraId="31CF4FAF" w14:textId="77777777" w:rsidR="000175D8" w:rsidRPr="003378D8" w:rsidRDefault="000175D8" w:rsidP="003378D8">
      <w:pPr>
        <w:ind w:left="851"/>
        <w:rPr>
          <w:sz w:val="24"/>
          <w:szCs w:val="24"/>
          <w:lang w:val="en-GB"/>
        </w:rPr>
      </w:pPr>
      <w:r w:rsidRPr="003378D8">
        <w:rPr>
          <w:sz w:val="24"/>
          <w:szCs w:val="24"/>
          <w:lang w:val="en-GB"/>
        </w:rPr>
        <w:t>This medicinal product does not require any special storage conditions.</w:t>
      </w:r>
    </w:p>
    <w:p w14:paraId="7930C9EF" w14:textId="77777777" w:rsidR="000175D8" w:rsidRPr="003378D8" w:rsidRDefault="000175D8" w:rsidP="003378D8">
      <w:pPr>
        <w:ind w:left="851"/>
        <w:rPr>
          <w:sz w:val="24"/>
          <w:szCs w:val="24"/>
          <w:lang w:val="en-GB"/>
        </w:rPr>
      </w:pPr>
      <w:r w:rsidRPr="003378D8">
        <w:rPr>
          <w:sz w:val="24"/>
          <w:szCs w:val="24"/>
          <w:lang w:val="en-GB"/>
        </w:rPr>
        <w:t>For storage conditions after dilution of the medicinal product, see section 6.3.</w:t>
      </w:r>
    </w:p>
    <w:p w14:paraId="5FBFBC1A" w14:textId="77777777" w:rsidR="000175D8" w:rsidRPr="003378D8" w:rsidRDefault="000175D8" w:rsidP="003378D8">
      <w:pPr>
        <w:ind w:left="851"/>
        <w:rPr>
          <w:sz w:val="24"/>
          <w:szCs w:val="24"/>
          <w:lang w:val="en-GB"/>
        </w:rPr>
      </w:pPr>
      <w:r w:rsidRPr="003378D8">
        <w:rPr>
          <w:sz w:val="24"/>
          <w:szCs w:val="24"/>
          <w:lang w:val="en-GB"/>
        </w:rPr>
        <w:t>Only clear solutions practically free from particles should be used.</w:t>
      </w:r>
    </w:p>
    <w:p w14:paraId="59A00909" w14:textId="77777777" w:rsidR="000175D8" w:rsidRPr="003378D8" w:rsidRDefault="000175D8" w:rsidP="003378D8">
      <w:pPr>
        <w:ind w:left="851"/>
        <w:rPr>
          <w:sz w:val="24"/>
          <w:szCs w:val="24"/>
          <w:lang w:val="en-GB"/>
        </w:rPr>
      </w:pPr>
      <w:r w:rsidRPr="003378D8">
        <w:rPr>
          <w:sz w:val="24"/>
          <w:szCs w:val="24"/>
          <w:lang w:val="en-GB"/>
        </w:rPr>
        <w:t>Unused portions of opened ampoules must not be stored and should be discarded immediately.</w:t>
      </w:r>
    </w:p>
    <w:p w14:paraId="1ACAEFFA" w14:textId="77777777" w:rsidR="007C5D2A" w:rsidRPr="003378D8" w:rsidRDefault="007C5D2A" w:rsidP="003E0341">
      <w:pPr>
        <w:tabs>
          <w:tab w:val="left" w:pos="851"/>
        </w:tabs>
        <w:ind w:left="851"/>
        <w:rPr>
          <w:sz w:val="24"/>
          <w:szCs w:val="24"/>
          <w:lang w:val="en-GB"/>
        </w:rPr>
      </w:pPr>
    </w:p>
    <w:p w14:paraId="76650516" w14:textId="77777777" w:rsidR="007C5D2A" w:rsidRPr="003378D8" w:rsidRDefault="007C5D2A" w:rsidP="007C5D2A">
      <w:pPr>
        <w:ind w:left="851" w:hanging="851"/>
        <w:rPr>
          <w:b/>
          <w:sz w:val="24"/>
          <w:szCs w:val="24"/>
          <w:lang w:val="en-GB"/>
        </w:rPr>
      </w:pPr>
      <w:r w:rsidRPr="003378D8">
        <w:rPr>
          <w:b/>
          <w:sz w:val="24"/>
          <w:szCs w:val="24"/>
          <w:lang w:val="en-GB"/>
        </w:rPr>
        <w:t>6.5</w:t>
      </w:r>
      <w:r w:rsidRPr="003378D8">
        <w:rPr>
          <w:b/>
          <w:sz w:val="24"/>
          <w:szCs w:val="24"/>
          <w:lang w:val="en-GB"/>
        </w:rPr>
        <w:tab/>
        <w:t>Nature and contents of container</w:t>
      </w:r>
    </w:p>
    <w:p w14:paraId="42ECA46C" w14:textId="371871E5" w:rsidR="000175D8" w:rsidRPr="003378D8" w:rsidRDefault="000175D8" w:rsidP="003378D8">
      <w:pPr>
        <w:ind w:left="851"/>
        <w:rPr>
          <w:sz w:val="24"/>
          <w:szCs w:val="24"/>
          <w:lang w:val="en-GB"/>
        </w:rPr>
      </w:pPr>
      <w:r w:rsidRPr="003378D8">
        <w:rPr>
          <w:sz w:val="24"/>
          <w:szCs w:val="24"/>
          <w:lang w:val="en-GB"/>
        </w:rPr>
        <w:t>Type I (Ph. Eur.), clear glass ampoule of 2</w:t>
      </w:r>
      <w:r w:rsidR="00962C23">
        <w:rPr>
          <w:sz w:val="24"/>
          <w:szCs w:val="24"/>
          <w:lang w:val="en-GB"/>
        </w:rPr>
        <w:t xml:space="preserve"> </w:t>
      </w:r>
      <w:r w:rsidRPr="003378D8">
        <w:rPr>
          <w:sz w:val="24"/>
          <w:szCs w:val="24"/>
          <w:lang w:val="en-GB"/>
        </w:rPr>
        <w:t>ml filling capacity.</w:t>
      </w:r>
    </w:p>
    <w:p w14:paraId="0B6CA77E" w14:textId="77777777" w:rsidR="000175D8" w:rsidRPr="003378D8" w:rsidRDefault="000175D8" w:rsidP="003378D8">
      <w:pPr>
        <w:ind w:left="851"/>
        <w:rPr>
          <w:sz w:val="24"/>
          <w:szCs w:val="24"/>
          <w:lang w:val="en-GB"/>
        </w:rPr>
      </w:pPr>
      <w:bookmarkStart w:id="14" w:name="_Hlk148605350"/>
      <w:r w:rsidRPr="003378D8">
        <w:rPr>
          <w:sz w:val="24"/>
          <w:szCs w:val="24"/>
          <w:lang w:val="en-GB"/>
        </w:rPr>
        <w:t>Cartons of 5 and 10 ampoules are available.</w:t>
      </w:r>
    </w:p>
    <w:bookmarkEnd w:id="14"/>
    <w:p w14:paraId="62624199" w14:textId="77777777" w:rsidR="000175D8" w:rsidRPr="003378D8" w:rsidRDefault="000175D8" w:rsidP="003378D8">
      <w:pPr>
        <w:ind w:left="851"/>
        <w:rPr>
          <w:sz w:val="24"/>
          <w:szCs w:val="24"/>
          <w:lang w:val="en-GB"/>
        </w:rPr>
      </w:pPr>
      <w:r w:rsidRPr="003378D8">
        <w:rPr>
          <w:sz w:val="24"/>
          <w:szCs w:val="24"/>
          <w:lang w:val="en-GB"/>
        </w:rPr>
        <w:t>Not all pack sizes may be marketed.</w:t>
      </w:r>
    </w:p>
    <w:p w14:paraId="1E6F8E54" w14:textId="77777777" w:rsidR="007C5D2A" w:rsidRPr="003378D8" w:rsidRDefault="007C5D2A" w:rsidP="003E0341">
      <w:pPr>
        <w:tabs>
          <w:tab w:val="left" w:pos="851"/>
        </w:tabs>
        <w:ind w:left="851"/>
        <w:rPr>
          <w:sz w:val="24"/>
          <w:szCs w:val="24"/>
          <w:lang w:val="en-GB"/>
        </w:rPr>
      </w:pPr>
    </w:p>
    <w:p w14:paraId="38B3E2EA" w14:textId="77777777" w:rsidR="007C5D2A" w:rsidRPr="003378D8" w:rsidRDefault="007C5D2A" w:rsidP="007C5D2A">
      <w:pPr>
        <w:ind w:left="851" w:hanging="851"/>
        <w:rPr>
          <w:b/>
          <w:sz w:val="24"/>
          <w:szCs w:val="24"/>
          <w:lang w:val="en-GB"/>
        </w:rPr>
      </w:pPr>
      <w:r w:rsidRPr="003378D8">
        <w:rPr>
          <w:b/>
          <w:sz w:val="24"/>
          <w:szCs w:val="24"/>
          <w:lang w:val="en-GB"/>
        </w:rPr>
        <w:t>6.6</w:t>
      </w:r>
      <w:r w:rsidRPr="003378D8">
        <w:rPr>
          <w:b/>
          <w:sz w:val="24"/>
          <w:szCs w:val="24"/>
          <w:lang w:val="en-GB"/>
        </w:rPr>
        <w:tab/>
        <w:t>Special precautions for disposal and other handling</w:t>
      </w:r>
    </w:p>
    <w:p w14:paraId="10AA1A05" w14:textId="77777777" w:rsidR="000175D8" w:rsidRPr="003378D8" w:rsidRDefault="000175D8" w:rsidP="003378D8">
      <w:pPr>
        <w:ind w:left="851"/>
        <w:rPr>
          <w:sz w:val="24"/>
          <w:szCs w:val="24"/>
          <w:lang w:val="en-GB"/>
        </w:rPr>
      </w:pPr>
      <w:r w:rsidRPr="003378D8">
        <w:rPr>
          <w:sz w:val="24"/>
          <w:szCs w:val="24"/>
          <w:lang w:val="en-GB"/>
        </w:rPr>
        <w:t xml:space="preserve">In general, gentamicin preparations should not be mixed. In particular the following are incompatible in mixed solution with gentamicin preparations: </w:t>
      </w:r>
      <w:proofErr w:type="spellStart"/>
      <w:r w:rsidRPr="003378D8">
        <w:rPr>
          <w:sz w:val="24"/>
          <w:szCs w:val="24"/>
          <w:lang w:val="en-GB"/>
        </w:rPr>
        <w:t>penicillins</w:t>
      </w:r>
      <w:proofErr w:type="spellEnd"/>
      <w:r w:rsidRPr="003378D8">
        <w:rPr>
          <w:sz w:val="24"/>
          <w:szCs w:val="24"/>
          <w:lang w:val="en-GB"/>
        </w:rPr>
        <w:t>, cephalosporins, erythromycin, heparins, sodium bicarbonate. Carbon dioxide may be liberated on addition of the two solutions. Normally this will dissolve in the solution but under some circumstances small bubbles may form.</w:t>
      </w:r>
    </w:p>
    <w:p w14:paraId="68B4F27A" w14:textId="77777777" w:rsidR="000175D8" w:rsidRPr="003378D8" w:rsidRDefault="000175D8" w:rsidP="003378D8">
      <w:pPr>
        <w:ind w:left="851"/>
        <w:rPr>
          <w:sz w:val="24"/>
          <w:szCs w:val="24"/>
          <w:lang w:val="en-GB"/>
        </w:rPr>
      </w:pPr>
    </w:p>
    <w:p w14:paraId="00C72929" w14:textId="77777777" w:rsidR="000175D8" w:rsidRPr="003378D8" w:rsidRDefault="000175D8" w:rsidP="003378D8">
      <w:pPr>
        <w:ind w:left="851"/>
        <w:rPr>
          <w:sz w:val="24"/>
          <w:szCs w:val="24"/>
          <w:lang w:val="en-GB"/>
        </w:rPr>
      </w:pPr>
      <w:r w:rsidRPr="003378D8">
        <w:rPr>
          <w:sz w:val="24"/>
          <w:szCs w:val="24"/>
          <w:lang w:val="en-GB"/>
        </w:rPr>
        <w:t>Dilution in the body will obviate the danger of physical and chemical incompatibility and enable gentamicin to be given concurrently with the medicinal products listed above either as a bolus injection into the drip tubing, with adequate flushing, or at separate sites. In the case of carbenicillin, administration should only be at a separate site.</w:t>
      </w:r>
    </w:p>
    <w:p w14:paraId="7382C084" w14:textId="77777777" w:rsidR="000175D8" w:rsidRPr="003378D8" w:rsidRDefault="000175D8" w:rsidP="003378D8">
      <w:pPr>
        <w:ind w:left="851"/>
        <w:rPr>
          <w:sz w:val="24"/>
          <w:szCs w:val="24"/>
          <w:lang w:val="en-GB"/>
        </w:rPr>
      </w:pPr>
    </w:p>
    <w:p w14:paraId="7A2071C0" w14:textId="77777777" w:rsidR="000175D8" w:rsidRPr="003378D8" w:rsidRDefault="000175D8" w:rsidP="003378D8">
      <w:pPr>
        <w:ind w:left="851"/>
        <w:rPr>
          <w:sz w:val="24"/>
          <w:szCs w:val="24"/>
          <w:lang w:val="en-GB"/>
        </w:rPr>
      </w:pPr>
      <w:r w:rsidRPr="003378D8">
        <w:rPr>
          <w:sz w:val="24"/>
          <w:szCs w:val="24"/>
          <w:lang w:val="en-GB"/>
        </w:rPr>
        <w:t>Any unused medicinal product or waste material should be disposed of in accordance with local requirements.</w:t>
      </w:r>
    </w:p>
    <w:p w14:paraId="08AA130B" w14:textId="77777777" w:rsidR="007C5D2A" w:rsidRPr="003378D8" w:rsidRDefault="007C5D2A" w:rsidP="00AB4376">
      <w:pPr>
        <w:tabs>
          <w:tab w:val="left" w:pos="851"/>
        </w:tabs>
        <w:ind w:left="851"/>
        <w:rPr>
          <w:sz w:val="24"/>
          <w:szCs w:val="24"/>
          <w:lang w:val="en-GB"/>
        </w:rPr>
      </w:pPr>
    </w:p>
    <w:p w14:paraId="7FA94377" w14:textId="77777777" w:rsidR="007C5D2A" w:rsidRPr="003378D8" w:rsidRDefault="007C5D2A" w:rsidP="007C5D2A">
      <w:pPr>
        <w:tabs>
          <w:tab w:val="left" w:pos="851"/>
        </w:tabs>
        <w:ind w:left="851" w:hanging="851"/>
        <w:jc w:val="both"/>
        <w:rPr>
          <w:b/>
          <w:sz w:val="24"/>
          <w:szCs w:val="24"/>
          <w:lang w:val="en-GB"/>
        </w:rPr>
      </w:pPr>
      <w:r w:rsidRPr="003378D8">
        <w:rPr>
          <w:b/>
          <w:sz w:val="24"/>
          <w:szCs w:val="24"/>
          <w:lang w:val="en-GB"/>
        </w:rPr>
        <w:t>7.</w:t>
      </w:r>
      <w:r w:rsidRPr="003378D8">
        <w:rPr>
          <w:b/>
          <w:sz w:val="24"/>
          <w:szCs w:val="24"/>
          <w:lang w:val="en-GB"/>
        </w:rPr>
        <w:tab/>
        <w:t>MARKETING AUTHORISATION HOLDER</w:t>
      </w:r>
    </w:p>
    <w:p w14:paraId="38990CA8" w14:textId="390BC176" w:rsidR="007C5D2A" w:rsidRPr="003378D8" w:rsidRDefault="00FD7544" w:rsidP="003E0341">
      <w:pPr>
        <w:tabs>
          <w:tab w:val="left" w:pos="851"/>
        </w:tabs>
        <w:ind w:left="851"/>
        <w:jc w:val="both"/>
        <w:rPr>
          <w:sz w:val="24"/>
          <w:szCs w:val="24"/>
          <w:lang w:val="en-GB"/>
        </w:rPr>
      </w:pPr>
      <w:proofErr w:type="spellStart"/>
      <w:r w:rsidRPr="003378D8">
        <w:rPr>
          <w:sz w:val="24"/>
          <w:szCs w:val="24"/>
          <w:lang w:val="en-GB"/>
        </w:rPr>
        <w:t>Medochemie</w:t>
      </w:r>
      <w:proofErr w:type="spellEnd"/>
      <w:r w:rsidRPr="003378D8">
        <w:rPr>
          <w:sz w:val="24"/>
          <w:szCs w:val="24"/>
          <w:lang w:val="en-GB"/>
        </w:rPr>
        <w:t xml:space="preserve"> Iberia S.A.</w:t>
      </w:r>
    </w:p>
    <w:p w14:paraId="130991EE" w14:textId="47566E59" w:rsidR="00FD7544" w:rsidRPr="003378D8" w:rsidRDefault="00FD7544" w:rsidP="003E0341">
      <w:pPr>
        <w:tabs>
          <w:tab w:val="left" w:pos="851"/>
        </w:tabs>
        <w:ind w:left="851"/>
        <w:jc w:val="both"/>
        <w:rPr>
          <w:sz w:val="24"/>
          <w:szCs w:val="24"/>
          <w:lang w:val="en-GB"/>
        </w:rPr>
      </w:pPr>
      <w:proofErr w:type="spellStart"/>
      <w:r w:rsidRPr="003378D8">
        <w:rPr>
          <w:sz w:val="24"/>
          <w:szCs w:val="24"/>
          <w:lang w:val="en-GB"/>
        </w:rPr>
        <w:t>Rua</w:t>
      </w:r>
      <w:proofErr w:type="spellEnd"/>
      <w:r w:rsidRPr="003378D8">
        <w:rPr>
          <w:sz w:val="24"/>
          <w:szCs w:val="24"/>
          <w:lang w:val="en-GB"/>
        </w:rPr>
        <w:t xml:space="preserve"> Jose Maria </w:t>
      </w:r>
      <w:proofErr w:type="spellStart"/>
      <w:r w:rsidRPr="003378D8">
        <w:rPr>
          <w:sz w:val="24"/>
          <w:szCs w:val="24"/>
          <w:lang w:val="en-GB"/>
        </w:rPr>
        <w:t>Nicolau</w:t>
      </w:r>
      <w:proofErr w:type="spellEnd"/>
      <w:r w:rsidRPr="003378D8">
        <w:rPr>
          <w:sz w:val="24"/>
          <w:szCs w:val="24"/>
          <w:lang w:val="en-GB"/>
        </w:rPr>
        <w:t xml:space="preserve">, nº 6, 7ºB, São </w:t>
      </w:r>
      <w:proofErr w:type="spellStart"/>
      <w:r w:rsidRPr="003378D8">
        <w:rPr>
          <w:sz w:val="24"/>
          <w:szCs w:val="24"/>
          <w:lang w:val="en-GB"/>
        </w:rPr>
        <w:t>Domingos</w:t>
      </w:r>
      <w:proofErr w:type="spellEnd"/>
      <w:r w:rsidRPr="003378D8">
        <w:rPr>
          <w:sz w:val="24"/>
          <w:szCs w:val="24"/>
          <w:lang w:val="en-GB"/>
        </w:rPr>
        <w:t xml:space="preserve"> de </w:t>
      </w:r>
      <w:proofErr w:type="spellStart"/>
      <w:r w:rsidRPr="003378D8">
        <w:rPr>
          <w:sz w:val="24"/>
          <w:szCs w:val="24"/>
          <w:lang w:val="en-GB"/>
        </w:rPr>
        <w:t>Benifica</w:t>
      </w:r>
      <w:proofErr w:type="spellEnd"/>
    </w:p>
    <w:p w14:paraId="59D42412" w14:textId="5F1B13F5" w:rsidR="00FD7544" w:rsidRPr="003378D8" w:rsidRDefault="00FD7544" w:rsidP="003E0341">
      <w:pPr>
        <w:tabs>
          <w:tab w:val="left" w:pos="851"/>
        </w:tabs>
        <w:ind w:left="851"/>
        <w:jc w:val="both"/>
        <w:rPr>
          <w:sz w:val="24"/>
          <w:szCs w:val="24"/>
          <w:lang w:val="en-GB"/>
        </w:rPr>
      </w:pPr>
      <w:r w:rsidRPr="003378D8">
        <w:rPr>
          <w:sz w:val="24"/>
          <w:szCs w:val="24"/>
          <w:lang w:val="en-GB"/>
        </w:rPr>
        <w:t xml:space="preserve">1500 662 </w:t>
      </w:r>
      <w:proofErr w:type="spellStart"/>
      <w:r w:rsidRPr="003378D8">
        <w:rPr>
          <w:sz w:val="24"/>
          <w:szCs w:val="24"/>
          <w:lang w:val="en-GB"/>
        </w:rPr>
        <w:t>Lisboa</w:t>
      </w:r>
      <w:proofErr w:type="spellEnd"/>
    </w:p>
    <w:p w14:paraId="2CD99238" w14:textId="737EE80E" w:rsidR="00FD7544" w:rsidRPr="003378D8" w:rsidRDefault="00FD7544" w:rsidP="003E0341">
      <w:pPr>
        <w:tabs>
          <w:tab w:val="left" w:pos="851"/>
        </w:tabs>
        <w:ind w:left="851"/>
        <w:jc w:val="both"/>
        <w:rPr>
          <w:sz w:val="24"/>
          <w:szCs w:val="24"/>
          <w:lang w:val="en-GB"/>
        </w:rPr>
      </w:pPr>
      <w:r w:rsidRPr="003378D8">
        <w:rPr>
          <w:sz w:val="24"/>
          <w:szCs w:val="24"/>
          <w:lang w:val="en-GB"/>
        </w:rPr>
        <w:t>Portugal</w:t>
      </w:r>
    </w:p>
    <w:p w14:paraId="6DD2B429" w14:textId="2E5F2652" w:rsidR="00A559F5" w:rsidRDefault="00A559F5">
      <w:pPr>
        <w:rPr>
          <w:sz w:val="24"/>
          <w:szCs w:val="24"/>
          <w:lang w:val="en-GB"/>
        </w:rPr>
      </w:pPr>
      <w:r>
        <w:rPr>
          <w:sz w:val="24"/>
          <w:szCs w:val="24"/>
          <w:lang w:val="en-GB"/>
        </w:rPr>
        <w:br w:type="page"/>
      </w:r>
    </w:p>
    <w:p w14:paraId="134DDD67" w14:textId="77777777" w:rsidR="00FD7544" w:rsidRPr="003378D8" w:rsidRDefault="00FD7544" w:rsidP="003E0341">
      <w:pPr>
        <w:tabs>
          <w:tab w:val="left" w:pos="851"/>
        </w:tabs>
        <w:ind w:left="851"/>
        <w:jc w:val="both"/>
        <w:rPr>
          <w:sz w:val="24"/>
          <w:szCs w:val="24"/>
          <w:lang w:val="en-GB"/>
        </w:rPr>
      </w:pPr>
    </w:p>
    <w:p w14:paraId="62874DD0" w14:textId="77777777" w:rsidR="008A24F6" w:rsidRPr="003378D8" w:rsidRDefault="005A498B" w:rsidP="003E0341">
      <w:pPr>
        <w:tabs>
          <w:tab w:val="left" w:pos="851"/>
        </w:tabs>
        <w:ind w:left="851"/>
        <w:jc w:val="both"/>
        <w:rPr>
          <w:b/>
          <w:sz w:val="24"/>
          <w:szCs w:val="24"/>
          <w:lang w:val="en-GB"/>
        </w:rPr>
      </w:pPr>
      <w:r w:rsidRPr="003378D8">
        <w:rPr>
          <w:b/>
          <w:sz w:val="24"/>
          <w:szCs w:val="24"/>
          <w:lang w:val="en-GB"/>
        </w:rPr>
        <w:t>Representative</w:t>
      </w:r>
    </w:p>
    <w:p w14:paraId="7BC11B05" w14:textId="0FD3C1DE" w:rsidR="005A498B" w:rsidRPr="003378D8" w:rsidRDefault="00FD7544" w:rsidP="005A498B">
      <w:pPr>
        <w:tabs>
          <w:tab w:val="left" w:pos="851"/>
        </w:tabs>
        <w:ind w:left="851"/>
        <w:jc w:val="both"/>
        <w:rPr>
          <w:sz w:val="24"/>
          <w:szCs w:val="24"/>
          <w:lang w:val="en-GB"/>
        </w:rPr>
      </w:pPr>
      <w:proofErr w:type="spellStart"/>
      <w:r w:rsidRPr="003378D8">
        <w:rPr>
          <w:sz w:val="24"/>
          <w:szCs w:val="24"/>
          <w:lang w:val="en-GB"/>
        </w:rPr>
        <w:t>Medochemie</w:t>
      </w:r>
      <w:proofErr w:type="spellEnd"/>
      <w:r w:rsidRPr="003378D8">
        <w:rPr>
          <w:sz w:val="24"/>
          <w:szCs w:val="24"/>
          <w:lang w:val="en-GB"/>
        </w:rPr>
        <w:t xml:space="preserve"> Hellas S.A.</w:t>
      </w:r>
    </w:p>
    <w:p w14:paraId="49C1248F" w14:textId="112F2F3D" w:rsidR="00FD7544" w:rsidRPr="003378D8" w:rsidRDefault="00FD7544" w:rsidP="005A498B">
      <w:pPr>
        <w:tabs>
          <w:tab w:val="left" w:pos="851"/>
        </w:tabs>
        <w:ind w:left="851"/>
        <w:jc w:val="both"/>
        <w:rPr>
          <w:sz w:val="24"/>
          <w:szCs w:val="24"/>
          <w:lang w:val="en-GB"/>
        </w:rPr>
      </w:pPr>
      <w:proofErr w:type="spellStart"/>
      <w:r w:rsidRPr="003378D8">
        <w:rPr>
          <w:sz w:val="24"/>
          <w:szCs w:val="24"/>
          <w:lang w:val="en-GB"/>
        </w:rPr>
        <w:t>Ampelokipi</w:t>
      </w:r>
      <w:proofErr w:type="spellEnd"/>
      <w:r w:rsidRPr="003378D8">
        <w:rPr>
          <w:sz w:val="24"/>
          <w:szCs w:val="24"/>
          <w:lang w:val="en-GB"/>
        </w:rPr>
        <w:t xml:space="preserve">, </w:t>
      </w:r>
      <w:proofErr w:type="spellStart"/>
      <w:r w:rsidRPr="003378D8">
        <w:rPr>
          <w:sz w:val="24"/>
          <w:szCs w:val="24"/>
          <w:lang w:val="en-GB"/>
        </w:rPr>
        <w:t>Paster</w:t>
      </w:r>
      <w:proofErr w:type="spellEnd"/>
      <w:r w:rsidRPr="003378D8">
        <w:rPr>
          <w:sz w:val="24"/>
          <w:szCs w:val="24"/>
          <w:lang w:val="en-GB"/>
        </w:rPr>
        <w:t xml:space="preserve"> 6</w:t>
      </w:r>
    </w:p>
    <w:p w14:paraId="5A33F43A" w14:textId="74C8C30E" w:rsidR="00FD7544" w:rsidRPr="003378D8" w:rsidRDefault="00FD7544" w:rsidP="005A498B">
      <w:pPr>
        <w:tabs>
          <w:tab w:val="left" w:pos="851"/>
        </w:tabs>
        <w:ind w:left="851"/>
        <w:jc w:val="both"/>
        <w:rPr>
          <w:sz w:val="24"/>
          <w:szCs w:val="24"/>
          <w:lang w:val="en-GB"/>
        </w:rPr>
      </w:pPr>
      <w:r w:rsidRPr="003378D8">
        <w:rPr>
          <w:sz w:val="24"/>
          <w:szCs w:val="24"/>
          <w:lang w:val="en-GB"/>
        </w:rPr>
        <w:t>115 21 Athens</w:t>
      </w:r>
    </w:p>
    <w:p w14:paraId="54EFEB1E" w14:textId="1D245AA1" w:rsidR="00FD7544" w:rsidRPr="003378D8" w:rsidRDefault="00FD7544" w:rsidP="005A498B">
      <w:pPr>
        <w:tabs>
          <w:tab w:val="left" w:pos="851"/>
        </w:tabs>
        <w:ind w:left="851"/>
        <w:jc w:val="both"/>
        <w:rPr>
          <w:sz w:val="24"/>
          <w:szCs w:val="24"/>
          <w:lang w:val="en-GB"/>
        </w:rPr>
      </w:pPr>
      <w:r w:rsidRPr="003378D8">
        <w:rPr>
          <w:sz w:val="24"/>
          <w:szCs w:val="24"/>
          <w:lang w:val="en-GB"/>
        </w:rPr>
        <w:t>Greece</w:t>
      </w:r>
    </w:p>
    <w:p w14:paraId="3A3695B0" w14:textId="77777777" w:rsidR="008A24F6" w:rsidRPr="003378D8" w:rsidRDefault="008A24F6" w:rsidP="003E0341">
      <w:pPr>
        <w:tabs>
          <w:tab w:val="left" w:pos="851"/>
        </w:tabs>
        <w:ind w:left="851"/>
        <w:jc w:val="both"/>
        <w:rPr>
          <w:sz w:val="24"/>
          <w:szCs w:val="24"/>
          <w:lang w:val="en-GB"/>
        </w:rPr>
      </w:pPr>
    </w:p>
    <w:p w14:paraId="5B1958FA" w14:textId="77777777" w:rsidR="007C5D2A" w:rsidRPr="003378D8" w:rsidRDefault="007C5D2A" w:rsidP="007C5D2A">
      <w:pPr>
        <w:ind w:left="851" w:hanging="851"/>
        <w:jc w:val="both"/>
        <w:rPr>
          <w:b/>
          <w:sz w:val="24"/>
          <w:szCs w:val="24"/>
          <w:lang w:val="en-GB"/>
        </w:rPr>
      </w:pPr>
      <w:r w:rsidRPr="003378D8">
        <w:rPr>
          <w:b/>
          <w:sz w:val="24"/>
          <w:szCs w:val="24"/>
          <w:lang w:val="en-GB"/>
        </w:rPr>
        <w:t>8.</w:t>
      </w:r>
      <w:r w:rsidRPr="003378D8">
        <w:rPr>
          <w:b/>
          <w:sz w:val="24"/>
          <w:szCs w:val="24"/>
          <w:lang w:val="en-GB"/>
        </w:rPr>
        <w:tab/>
        <w:t>MARKETING AUTHORISATION NUMBER(S)</w:t>
      </w:r>
    </w:p>
    <w:p w14:paraId="558A5D67" w14:textId="46B7DD36" w:rsidR="00FD7544" w:rsidRPr="003378D8" w:rsidRDefault="00FD7544" w:rsidP="00A85D26">
      <w:pPr>
        <w:tabs>
          <w:tab w:val="left" w:pos="851"/>
        </w:tabs>
        <w:ind w:left="851"/>
        <w:jc w:val="both"/>
        <w:rPr>
          <w:sz w:val="24"/>
          <w:szCs w:val="24"/>
        </w:rPr>
      </w:pPr>
      <w:r w:rsidRPr="003378D8">
        <w:rPr>
          <w:sz w:val="24"/>
          <w:szCs w:val="24"/>
        </w:rPr>
        <w:t>10 mg/ml: 70624</w:t>
      </w:r>
    </w:p>
    <w:p w14:paraId="738F932A" w14:textId="20794C82" w:rsidR="00FD7544" w:rsidRPr="003378D8" w:rsidRDefault="00FD7544" w:rsidP="00A85D26">
      <w:pPr>
        <w:tabs>
          <w:tab w:val="left" w:pos="851"/>
        </w:tabs>
        <w:ind w:left="851"/>
        <w:jc w:val="both"/>
        <w:rPr>
          <w:sz w:val="24"/>
          <w:szCs w:val="24"/>
        </w:rPr>
      </w:pPr>
      <w:r w:rsidRPr="003378D8">
        <w:rPr>
          <w:sz w:val="24"/>
          <w:szCs w:val="24"/>
        </w:rPr>
        <w:t>20 mg/ml: 70625</w:t>
      </w:r>
    </w:p>
    <w:p w14:paraId="76775911" w14:textId="1D9AA187" w:rsidR="007C5D2A" w:rsidRPr="003378D8" w:rsidRDefault="00FD7544" w:rsidP="00A85D26">
      <w:pPr>
        <w:tabs>
          <w:tab w:val="left" w:pos="851"/>
        </w:tabs>
        <w:ind w:left="851"/>
        <w:jc w:val="both"/>
        <w:rPr>
          <w:sz w:val="24"/>
          <w:szCs w:val="24"/>
        </w:rPr>
      </w:pPr>
      <w:r w:rsidRPr="003378D8">
        <w:rPr>
          <w:sz w:val="24"/>
          <w:szCs w:val="24"/>
        </w:rPr>
        <w:t>40 mg/ml: 70676</w:t>
      </w:r>
    </w:p>
    <w:p w14:paraId="5BA0D0BE" w14:textId="77777777" w:rsidR="007C5D2A" w:rsidRPr="003378D8" w:rsidRDefault="007C5D2A" w:rsidP="00180A12">
      <w:pPr>
        <w:tabs>
          <w:tab w:val="left" w:pos="851"/>
        </w:tabs>
        <w:ind w:left="851"/>
        <w:jc w:val="both"/>
        <w:rPr>
          <w:sz w:val="24"/>
          <w:szCs w:val="24"/>
        </w:rPr>
      </w:pPr>
    </w:p>
    <w:p w14:paraId="4374F4B2" w14:textId="77777777" w:rsidR="007C5D2A" w:rsidRPr="003378D8" w:rsidRDefault="007C5D2A" w:rsidP="007C5D2A">
      <w:pPr>
        <w:tabs>
          <w:tab w:val="left" w:pos="851"/>
        </w:tabs>
        <w:jc w:val="both"/>
        <w:rPr>
          <w:sz w:val="24"/>
          <w:szCs w:val="24"/>
          <w:lang w:val="en-GB"/>
        </w:rPr>
      </w:pPr>
      <w:r w:rsidRPr="003378D8">
        <w:rPr>
          <w:b/>
          <w:sz w:val="24"/>
          <w:szCs w:val="24"/>
          <w:lang w:val="en-GB"/>
        </w:rPr>
        <w:t>9.</w:t>
      </w:r>
      <w:r w:rsidRPr="003378D8">
        <w:rPr>
          <w:b/>
          <w:sz w:val="24"/>
          <w:szCs w:val="24"/>
          <w:lang w:val="en-GB"/>
        </w:rPr>
        <w:tab/>
        <w:t>DATE OF FIRST AUTHORISATION</w:t>
      </w:r>
    </w:p>
    <w:p w14:paraId="78DC2B2D" w14:textId="63378D4C" w:rsidR="007C5D2A" w:rsidRPr="003378D8" w:rsidRDefault="00962C23" w:rsidP="00A85D26">
      <w:pPr>
        <w:ind w:left="851"/>
        <w:jc w:val="both"/>
        <w:rPr>
          <w:sz w:val="24"/>
          <w:szCs w:val="24"/>
          <w:lang w:val="en-GB"/>
        </w:rPr>
      </w:pPr>
      <w:r>
        <w:rPr>
          <w:sz w:val="24"/>
          <w:szCs w:val="24"/>
          <w:lang w:val="en-GB"/>
        </w:rPr>
        <w:t>11 February 2026</w:t>
      </w:r>
    </w:p>
    <w:p w14:paraId="3171475F" w14:textId="77777777" w:rsidR="007C5D2A" w:rsidRPr="003378D8" w:rsidRDefault="007C5D2A" w:rsidP="003E0341">
      <w:pPr>
        <w:tabs>
          <w:tab w:val="left" w:pos="851"/>
        </w:tabs>
        <w:ind w:left="851"/>
        <w:jc w:val="both"/>
        <w:rPr>
          <w:sz w:val="24"/>
          <w:szCs w:val="24"/>
          <w:lang w:val="en-GB"/>
        </w:rPr>
      </w:pPr>
    </w:p>
    <w:p w14:paraId="61CBE240" w14:textId="77777777" w:rsidR="007C5D2A" w:rsidRPr="003378D8" w:rsidRDefault="007C5D2A" w:rsidP="007C5D2A">
      <w:pPr>
        <w:tabs>
          <w:tab w:val="left" w:pos="851"/>
        </w:tabs>
        <w:jc w:val="both"/>
        <w:rPr>
          <w:sz w:val="24"/>
          <w:szCs w:val="24"/>
          <w:lang w:val="en-GB"/>
        </w:rPr>
      </w:pPr>
      <w:r w:rsidRPr="003378D8">
        <w:rPr>
          <w:b/>
          <w:sz w:val="24"/>
          <w:szCs w:val="24"/>
          <w:lang w:val="en-GB"/>
        </w:rPr>
        <w:t>10.</w:t>
      </w:r>
      <w:r w:rsidRPr="003378D8">
        <w:rPr>
          <w:b/>
          <w:sz w:val="24"/>
          <w:szCs w:val="24"/>
          <w:lang w:val="en-GB"/>
        </w:rPr>
        <w:tab/>
        <w:t>DATE OF REVISION OF THE TEXT</w:t>
      </w:r>
    </w:p>
    <w:p w14:paraId="65B389D0" w14:textId="6C1BF32A" w:rsidR="007C5D2A" w:rsidRPr="003378D8" w:rsidRDefault="00FD7544" w:rsidP="003E0341">
      <w:pPr>
        <w:tabs>
          <w:tab w:val="left" w:pos="851"/>
        </w:tabs>
        <w:ind w:left="851"/>
        <w:jc w:val="both"/>
        <w:rPr>
          <w:sz w:val="24"/>
          <w:szCs w:val="24"/>
          <w:lang w:val="en-GB"/>
        </w:rPr>
      </w:pPr>
      <w:r w:rsidRPr="003378D8">
        <w:rPr>
          <w:sz w:val="24"/>
          <w:szCs w:val="24"/>
          <w:lang w:val="en-GB"/>
        </w:rPr>
        <w:t>-</w:t>
      </w:r>
    </w:p>
    <w:sectPr w:rsidR="007C5D2A" w:rsidRPr="003378D8" w:rsidSect="004A3BF4">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A9C3" w14:textId="77777777" w:rsidR="00FD7544" w:rsidRDefault="00FD7544">
      <w:r>
        <w:separator/>
      </w:r>
    </w:p>
  </w:endnote>
  <w:endnote w:type="continuationSeparator" w:id="0">
    <w:p w14:paraId="5AF22E4F" w14:textId="77777777" w:rsidR="00FD7544" w:rsidRDefault="00FD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3149" w14:textId="77777777" w:rsidR="00FD7544" w:rsidRDefault="00FD75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55F8" w14:textId="77777777" w:rsidR="00FD7544" w:rsidRDefault="00FD7544">
    <w:pPr>
      <w:pStyle w:val="Sidefod"/>
      <w:pBdr>
        <w:bottom w:val="single" w:sz="6" w:space="1" w:color="auto"/>
      </w:pBdr>
    </w:pPr>
  </w:p>
  <w:p w14:paraId="7FC2B9FF" w14:textId="77777777" w:rsidR="00FD7544" w:rsidRDefault="00FD7544">
    <w:pPr>
      <w:pStyle w:val="Sidefod"/>
      <w:tabs>
        <w:tab w:val="clear" w:pos="4819"/>
        <w:tab w:val="left" w:pos="8647"/>
      </w:tabs>
      <w:rPr>
        <w:i/>
        <w:snapToGrid w:val="0"/>
        <w:sz w:val="18"/>
      </w:rPr>
    </w:pPr>
  </w:p>
  <w:p w14:paraId="6C666099" w14:textId="4C7A41B2" w:rsidR="00FD7544" w:rsidRDefault="00FD7544"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962C23">
      <w:rPr>
        <w:i/>
        <w:noProof/>
        <w:snapToGrid w:val="0"/>
        <w:sz w:val="18"/>
      </w:rPr>
      <w:t>Gentamicin Medochemie, injektions--infusionsvæske, opløsning 10 mg-ml, 20 mg-ml og 40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62F7" w14:textId="77777777" w:rsidR="00FD7544" w:rsidRDefault="00FD7544">
    <w:pPr>
      <w:pStyle w:val="Sidefod"/>
      <w:pBdr>
        <w:bottom w:val="single" w:sz="6" w:space="1" w:color="auto"/>
      </w:pBdr>
      <w:tabs>
        <w:tab w:val="clear" w:pos="4819"/>
        <w:tab w:val="left" w:pos="8789"/>
      </w:tabs>
      <w:rPr>
        <w:i/>
        <w:snapToGrid w:val="0"/>
        <w:sz w:val="18"/>
      </w:rPr>
    </w:pPr>
  </w:p>
  <w:p w14:paraId="7083A2BA" w14:textId="77777777" w:rsidR="00FD7544" w:rsidRDefault="00FD7544">
    <w:pPr>
      <w:pStyle w:val="Sidefod"/>
      <w:tabs>
        <w:tab w:val="clear" w:pos="4819"/>
        <w:tab w:val="left" w:pos="8789"/>
      </w:tabs>
      <w:rPr>
        <w:i/>
        <w:snapToGrid w:val="0"/>
        <w:sz w:val="18"/>
      </w:rPr>
    </w:pPr>
  </w:p>
  <w:p w14:paraId="0506A34C" w14:textId="240EF564" w:rsidR="00FD7544" w:rsidRDefault="00FD7544">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962C23">
      <w:rPr>
        <w:i/>
        <w:noProof/>
        <w:snapToGrid w:val="0"/>
        <w:sz w:val="18"/>
      </w:rPr>
      <w:t>Gentamicin Medochemie, injektions--infusionsvæske, opløsning 10 mg-ml, 20 mg-ml og 40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52D2" w14:textId="77777777" w:rsidR="00FD7544" w:rsidRDefault="00FD7544">
      <w:r>
        <w:separator/>
      </w:r>
    </w:p>
  </w:footnote>
  <w:footnote w:type="continuationSeparator" w:id="0">
    <w:p w14:paraId="02568C49" w14:textId="77777777" w:rsidR="00FD7544" w:rsidRDefault="00FD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935" w14:textId="77777777" w:rsidR="00FD7544" w:rsidRDefault="00FD754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B5AE" w14:textId="77777777" w:rsidR="00FD7544" w:rsidRDefault="00FD7544">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C808" w14:textId="77777777" w:rsidR="00FD7544" w:rsidRDefault="00FD75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2660BE0"/>
    <w:multiLevelType w:val="hybridMultilevel"/>
    <w:tmpl w:val="6F78B48A"/>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7E4F69"/>
    <w:multiLevelType w:val="hybridMultilevel"/>
    <w:tmpl w:val="669E18EE"/>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FB03D5"/>
    <w:multiLevelType w:val="hybridMultilevel"/>
    <w:tmpl w:val="440AB712"/>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742E91"/>
    <w:multiLevelType w:val="hybridMultilevel"/>
    <w:tmpl w:val="6F825FD0"/>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8" w15:restartNumberingAfterBreak="0">
    <w:nsid w:val="6DDB4C4A"/>
    <w:multiLevelType w:val="hybridMultilevel"/>
    <w:tmpl w:val="D5D61F02"/>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742918A6"/>
    <w:multiLevelType w:val="hybridMultilevel"/>
    <w:tmpl w:val="8EA0232E"/>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6"/>
  </w:num>
  <w:num w:numId="6">
    <w:abstractNumId w:val="5"/>
  </w:num>
  <w:num w:numId="7">
    <w:abstractNumId w:val="4"/>
  </w:num>
  <w:num w:numId="8">
    <w:abstractNumId w:val="4"/>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2A"/>
    <w:rsid w:val="000175D8"/>
    <w:rsid w:val="00056601"/>
    <w:rsid w:val="00090EE6"/>
    <w:rsid w:val="000C3846"/>
    <w:rsid w:val="000C6218"/>
    <w:rsid w:val="000D3C9D"/>
    <w:rsid w:val="000F0D47"/>
    <w:rsid w:val="001242DE"/>
    <w:rsid w:val="00180A12"/>
    <w:rsid w:val="001F3D04"/>
    <w:rsid w:val="00214331"/>
    <w:rsid w:val="00214CF4"/>
    <w:rsid w:val="00281F03"/>
    <w:rsid w:val="0029458A"/>
    <w:rsid w:val="002A1587"/>
    <w:rsid w:val="002B27C5"/>
    <w:rsid w:val="002F6D9C"/>
    <w:rsid w:val="00303008"/>
    <w:rsid w:val="00323E2A"/>
    <w:rsid w:val="003378D8"/>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81AC8"/>
    <w:rsid w:val="005A498B"/>
    <w:rsid w:val="00617BB8"/>
    <w:rsid w:val="006207FF"/>
    <w:rsid w:val="00680052"/>
    <w:rsid w:val="00683267"/>
    <w:rsid w:val="006844E9"/>
    <w:rsid w:val="006B3847"/>
    <w:rsid w:val="0075453D"/>
    <w:rsid w:val="007A4CC6"/>
    <w:rsid w:val="007C3623"/>
    <w:rsid w:val="007C5D2A"/>
    <w:rsid w:val="007F1E00"/>
    <w:rsid w:val="00827444"/>
    <w:rsid w:val="008400E3"/>
    <w:rsid w:val="00853477"/>
    <w:rsid w:val="00864538"/>
    <w:rsid w:val="00873B4F"/>
    <w:rsid w:val="008A24F6"/>
    <w:rsid w:val="008E51AE"/>
    <w:rsid w:val="008F2F8C"/>
    <w:rsid w:val="00962C23"/>
    <w:rsid w:val="009925C9"/>
    <w:rsid w:val="00A179D0"/>
    <w:rsid w:val="00A358A3"/>
    <w:rsid w:val="00A46747"/>
    <w:rsid w:val="00A559F5"/>
    <w:rsid w:val="00A56D99"/>
    <w:rsid w:val="00A80446"/>
    <w:rsid w:val="00A85D26"/>
    <w:rsid w:val="00A9153A"/>
    <w:rsid w:val="00AB4376"/>
    <w:rsid w:val="00AC033C"/>
    <w:rsid w:val="00AD2E36"/>
    <w:rsid w:val="00AE5E2A"/>
    <w:rsid w:val="00B45DC5"/>
    <w:rsid w:val="00BD3490"/>
    <w:rsid w:val="00C26226"/>
    <w:rsid w:val="00C3571D"/>
    <w:rsid w:val="00C54F0B"/>
    <w:rsid w:val="00C82621"/>
    <w:rsid w:val="00CB1423"/>
    <w:rsid w:val="00D02508"/>
    <w:rsid w:val="00D778CC"/>
    <w:rsid w:val="00D82FE9"/>
    <w:rsid w:val="00D97B77"/>
    <w:rsid w:val="00DB6A85"/>
    <w:rsid w:val="00E06B32"/>
    <w:rsid w:val="00E1290F"/>
    <w:rsid w:val="00E36A80"/>
    <w:rsid w:val="00EB21D7"/>
    <w:rsid w:val="00EE3EB7"/>
    <w:rsid w:val="00F03A0A"/>
    <w:rsid w:val="00F57E16"/>
    <w:rsid w:val="00F60336"/>
    <w:rsid w:val="00FD652E"/>
    <w:rsid w:val="00FD75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090ED"/>
  <w15:chartTrackingRefBased/>
  <w15:docId w15:val="{5BEB7F3D-39B0-4577-9DCA-E36C25E5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0175D8"/>
    <w:pPr>
      <w:ind w:left="720"/>
      <w:contextualSpacing/>
    </w:pPr>
    <w:rPr>
      <w:sz w:val="24"/>
      <w:lang w:val="en-US" w:eastAsia="en-US"/>
    </w:rPr>
  </w:style>
  <w:style w:type="table" w:styleId="Tabel-Gitter">
    <w:name w:val="Table Grid"/>
    <w:basedOn w:val="Tabel-Normal"/>
    <w:uiPriority w:val="59"/>
    <w:rsid w:val="000175D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175D8"/>
    <w:rPr>
      <w:strike w:val="0"/>
      <w:dstrike w:val="0"/>
      <w:color w:val="F17C0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1942">
      <w:bodyDiv w:val="1"/>
      <w:marLeft w:val="0"/>
      <w:marRight w:val="0"/>
      <w:marTop w:val="0"/>
      <w:marBottom w:val="0"/>
      <w:divBdr>
        <w:top w:val="none" w:sz="0" w:space="0" w:color="auto"/>
        <w:left w:val="none" w:sz="0" w:space="0" w:color="auto"/>
        <w:bottom w:val="none" w:sz="0" w:space="0" w:color="auto"/>
        <w:right w:val="none" w:sz="0" w:space="0" w:color="auto"/>
      </w:divBdr>
    </w:div>
    <w:div w:id="122357350">
      <w:bodyDiv w:val="1"/>
      <w:marLeft w:val="0"/>
      <w:marRight w:val="0"/>
      <w:marTop w:val="0"/>
      <w:marBottom w:val="0"/>
      <w:divBdr>
        <w:top w:val="none" w:sz="0" w:space="0" w:color="auto"/>
        <w:left w:val="none" w:sz="0" w:space="0" w:color="auto"/>
        <w:bottom w:val="none" w:sz="0" w:space="0" w:color="auto"/>
        <w:right w:val="none" w:sz="0" w:space="0" w:color="auto"/>
      </w:divBdr>
    </w:div>
    <w:div w:id="163712918">
      <w:bodyDiv w:val="1"/>
      <w:marLeft w:val="0"/>
      <w:marRight w:val="0"/>
      <w:marTop w:val="0"/>
      <w:marBottom w:val="0"/>
      <w:divBdr>
        <w:top w:val="none" w:sz="0" w:space="0" w:color="auto"/>
        <w:left w:val="none" w:sz="0" w:space="0" w:color="auto"/>
        <w:bottom w:val="none" w:sz="0" w:space="0" w:color="auto"/>
        <w:right w:val="none" w:sz="0" w:space="0" w:color="auto"/>
      </w:divBdr>
    </w:div>
    <w:div w:id="229315326">
      <w:bodyDiv w:val="1"/>
      <w:marLeft w:val="0"/>
      <w:marRight w:val="0"/>
      <w:marTop w:val="0"/>
      <w:marBottom w:val="0"/>
      <w:divBdr>
        <w:top w:val="none" w:sz="0" w:space="0" w:color="auto"/>
        <w:left w:val="none" w:sz="0" w:space="0" w:color="auto"/>
        <w:bottom w:val="none" w:sz="0" w:space="0" w:color="auto"/>
        <w:right w:val="none" w:sz="0" w:space="0" w:color="auto"/>
      </w:divBdr>
    </w:div>
    <w:div w:id="354576108">
      <w:bodyDiv w:val="1"/>
      <w:marLeft w:val="0"/>
      <w:marRight w:val="0"/>
      <w:marTop w:val="0"/>
      <w:marBottom w:val="0"/>
      <w:divBdr>
        <w:top w:val="none" w:sz="0" w:space="0" w:color="auto"/>
        <w:left w:val="none" w:sz="0" w:space="0" w:color="auto"/>
        <w:bottom w:val="none" w:sz="0" w:space="0" w:color="auto"/>
        <w:right w:val="none" w:sz="0" w:space="0" w:color="auto"/>
      </w:divBdr>
    </w:div>
    <w:div w:id="431360632">
      <w:bodyDiv w:val="1"/>
      <w:marLeft w:val="0"/>
      <w:marRight w:val="0"/>
      <w:marTop w:val="0"/>
      <w:marBottom w:val="0"/>
      <w:divBdr>
        <w:top w:val="none" w:sz="0" w:space="0" w:color="auto"/>
        <w:left w:val="none" w:sz="0" w:space="0" w:color="auto"/>
        <w:bottom w:val="none" w:sz="0" w:space="0" w:color="auto"/>
        <w:right w:val="none" w:sz="0" w:space="0" w:color="auto"/>
      </w:divBdr>
    </w:div>
    <w:div w:id="616720134">
      <w:bodyDiv w:val="1"/>
      <w:marLeft w:val="0"/>
      <w:marRight w:val="0"/>
      <w:marTop w:val="0"/>
      <w:marBottom w:val="0"/>
      <w:divBdr>
        <w:top w:val="none" w:sz="0" w:space="0" w:color="auto"/>
        <w:left w:val="none" w:sz="0" w:space="0" w:color="auto"/>
        <w:bottom w:val="none" w:sz="0" w:space="0" w:color="auto"/>
        <w:right w:val="none" w:sz="0" w:space="0" w:color="auto"/>
      </w:divBdr>
    </w:div>
    <w:div w:id="935750622">
      <w:bodyDiv w:val="1"/>
      <w:marLeft w:val="0"/>
      <w:marRight w:val="0"/>
      <w:marTop w:val="0"/>
      <w:marBottom w:val="0"/>
      <w:divBdr>
        <w:top w:val="none" w:sz="0" w:space="0" w:color="auto"/>
        <w:left w:val="none" w:sz="0" w:space="0" w:color="auto"/>
        <w:bottom w:val="none" w:sz="0" w:space="0" w:color="auto"/>
        <w:right w:val="none" w:sz="0" w:space="0" w:color="auto"/>
      </w:divBdr>
    </w:div>
    <w:div w:id="1174757244">
      <w:bodyDiv w:val="1"/>
      <w:marLeft w:val="0"/>
      <w:marRight w:val="0"/>
      <w:marTop w:val="0"/>
      <w:marBottom w:val="0"/>
      <w:divBdr>
        <w:top w:val="none" w:sz="0" w:space="0" w:color="auto"/>
        <w:left w:val="none" w:sz="0" w:space="0" w:color="auto"/>
        <w:bottom w:val="none" w:sz="0" w:space="0" w:color="auto"/>
        <w:right w:val="none" w:sz="0" w:space="0" w:color="auto"/>
      </w:divBdr>
    </w:div>
    <w:div w:id="1244485442">
      <w:bodyDiv w:val="1"/>
      <w:marLeft w:val="0"/>
      <w:marRight w:val="0"/>
      <w:marTop w:val="0"/>
      <w:marBottom w:val="0"/>
      <w:divBdr>
        <w:top w:val="none" w:sz="0" w:space="0" w:color="auto"/>
        <w:left w:val="none" w:sz="0" w:space="0" w:color="auto"/>
        <w:bottom w:val="none" w:sz="0" w:space="0" w:color="auto"/>
        <w:right w:val="none" w:sz="0" w:space="0" w:color="auto"/>
      </w:divBdr>
    </w:div>
    <w:div w:id="1330644409">
      <w:bodyDiv w:val="1"/>
      <w:marLeft w:val="0"/>
      <w:marRight w:val="0"/>
      <w:marTop w:val="0"/>
      <w:marBottom w:val="0"/>
      <w:divBdr>
        <w:top w:val="none" w:sz="0" w:space="0" w:color="auto"/>
        <w:left w:val="none" w:sz="0" w:space="0" w:color="auto"/>
        <w:bottom w:val="none" w:sz="0" w:space="0" w:color="auto"/>
        <w:right w:val="none" w:sz="0" w:space="0" w:color="auto"/>
      </w:divBdr>
    </w:div>
    <w:div w:id="1433892050">
      <w:bodyDiv w:val="1"/>
      <w:marLeft w:val="0"/>
      <w:marRight w:val="0"/>
      <w:marTop w:val="0"/>
      <w:marBottom w:val="0"/>
      <w:divBdr>
        <w:top w:val="none" w:sz="0" w:space="0" w:color="auto"/>
        <w:left w:val="none" w:sz="0" w:space="0" w:color="auto"/>
        <w:bottom w:val="none" w:sz="0" w:space="0" w:color="auto"/>
        <w:right w:val="none" w:sz="0" w:space="0" w:color="auto"/>
      </w:divBdr>
    </w:div>
    <w:div w:id="1481535526">
      <w:bodyDiv w:val="1"/>
      <w:marLeft w:val="0"/>
      <w:marRight w:val="0"/>
      <w:marTop w:val="0"/>
      <w:marBottom w:val="0"/>
      <w:divBdr>
        <w:top w:val="none" w:sz="0" w:space="0" w:color="auto"/>
        <w:left w:val="none" w:sz="0" w:space="0" w:color="auto"/>
        <w:bottom w:val="none" w:sz="0" w:space="0" w:color="auto"/>
        <w:right w:val="none" w:sz="0" w:space="0" w:color="auto"/>
      </w:divBdr>
    </w:div>
    <w:div w:id="1568417251">
      <w:bodyDiv w:val="1"/>
      <w:marLeft w:val="0"/>
      <w:marRight w:val="0"/>
      <w:marTop w:val="0"/>
      <w:marBottom w:val="0"/>
      <w:divBdr>
        <w:top w:val="none" w:sz="0" w:space="0" w:color="auto"/>
        <w:left w:val="none" w:sz="0" w:space="0" w:color="auto"/>
        <w:bottom w:val="none" w:sz="0" w:space="0" w:color="auto"/>
        <w:right w:val="none" w:sz="0" w:space="0" w:color="auto"/>
      </w:divBdr>
    </w:div>
    <w:div w:id="1614167850">
      <w:bodyDiv w:val="1"/>
      <w:marLeft w:val="0"/>
      <w:marRight w:val="0"/>
      <w:marTop w:val="0"/>
      <w:marBottom w:val="0"/>
      <w:divBdr>
        <w:top w:val="none" w:sz="0" w:space="0" w:color="auto"/>
        <w:left w:val="none" w:sz="0" w:space="0" w:color="auto"/>
        <w:bottom w:val="none" w:sz="0" w:space="0" w:color="auto"/>
        <w:right w:val="none" w:sz="0" w:space="0" w:color="auto"/>
      </w:divBdr>
    </w:div>
    <w:div w:id="1630161489">
      <w:bodyDiv w:val="1"/>
      <w:marLeft w:val="0"/>
      <w:marRight w:val="0"/>
      <w:marTop w:val="0"/>
      <w:marBottom w:val="0"/>
      <w:divBdr>
        <w:top w:val="none" w:sz="0" w:space="0" w:color="auto"/>
        <w:left w:val="none" w:sz="0" w:space="0" w:color="auto"/>
        <w:bottom w:val="none" w:sz="0" w:space="0" w:color="auto"/>
        <w:right w:val="none" w:sz="0" w:space="0" w:color="auto"/>
      </w:divBdr>
    </w:div>
    <w:div w:id="1787849419">
      <w:bodyDiv w:val="1"/>
      <w:marLeft w:val="0"/>
      <w:marRight w:val="0"/>
      <w:marTop w:val="0"/>
      <w:marBottom w:val="0"/>
      <w:divBdr>
        <w:top w:val="none" w:sz="0" w:space="0" w:color="auto"/>
        <w:left w:val="none" w:sz="0" w:space="0" w:color="auto"/>
        <w:bottom w:val="none" w:sz="0" w:space="0" w:color="auto"/>
        <w:right w:val="none" w:sz="0" w:space="0" w:color="auto"/>
      </w:divBdr>
    </w:div>
    <w:div w:id="1891303953">
      <w:bodyDiv w:val="1"/>
      <w:marLeft w:val="0"/>
      <w:marRight w:val="0"/>
      <w:marTop w:val="0"/>
      <w:marBottom w:val="0"/>
      <w:divBdr>
        <w:top w:val="none" w:sz="0" w:space="0" w:color="auto"/>
        <w:left w:val="none" w:sz="0" w:space="0" w:color="auto"/>
        <w:bottom w:val="none" w:sz="0" w:space="0" w:color="auto"/>
        <w:right w:val="none" w:sz="0" w:space="0" w:color="auto"/>
      </w:divBdr>
    </w:div>
    <w:div w:id="1959027987">
      <w:bodyDiv w:val="1"/>
      <w:marLeft w:val="0"/>
      <w:marRight w:val="0"/>
      <w:marTop w:val="0"/>
      <w:marBottom w:val="0"/>
      <w:divBdr>
        <w:top w:val="none" w:sz="0" w:space="0" w:color="auto"/>
        <w:left w:val="none" w:sz="0" w:space="0" w:color="auto"/>
        <w:bottom w:val="none" w:sz="0" w:space="0" w:color="auto"/>
        <w:right w:val="none" w:sz="0" w:space="0" w:color="auto"/>
      </w:divBdr>
    </w:div>
    <w:div w:id="20784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71</TotalTime>
  <Pages>16</Pages>
  <Words>5004</Words>
  <Characters>30567</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2023110063, MT</dc:description>
  <cp:lastModifiedBy>Gitte Jørgensen</cp:lastModifiedBy>
  <cp:revision>11</cp:revision>
  <cp:lastPrinted>2006-02-24T09:31:00Z</cp:lastPrinted>
  <dcterms:created xsi:type="dcterms:W3CDTF">2026-02-09T09:52:00Z</dcterms:created>
  <dcterms:modified xsi:type="dcterms:W3CDTF">2026-02-11T07:33:00Z</dcterms:modified>
</cp:coreProperties>
</file>