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44C" w:rsidRPr="00C84483" w:rsidRDefault="0066044C" w:rsidP="0066044C">
      <w:pPr>
        <w:rPr>
          <w:b/>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C4AE821" wp14:editId="00B7FD5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66044C" w:rsidRPr="00C84483" w:rsidRDefault="0066044C" w:rsidP="0066044C">
      <w:pPr>
        <w:pStyle w:val="Titel"/>
        <w:tabs>
          <w:tab w:val="right" w:pos="9356"/>
        </w:tabs>
        <w:jc w:val="left"/>
        <w:rPr>
          <w:b w:val="0"/>
          <w:szCs w:val="24"/>
          <w:lang w:eastAsia="en-US"/>
        </w:rPr>
      </w:pPr>
      <w:r w:rsidRPr="00C84483">
        <w:rPr>
          <w:b w:val="0"/>
          <w:szCs w:val="24"/>
          <w:lang w:eastAsia="en-US"/>
        </w:rPr>
        <w:tab/>
      </w:r>
      <w:r w:rsidR="006C1753">
        <w:rPr>
          <w:szCs w:val="24"/>
        </w:rPr>
        <w:t>13. maj 2024</w:t>
      </w:r>
    </w:p>
    <w:p w:rsidR="00137E29" w:rsidRDefault="00137E29" w:rsidP="0066044C">
      <w:pPr>
        <w:pStyle w:val="Titel"/>
        <w:jc w:val="left"/>
        <w:rPr>
          <w:b w:val="0"/>
          <w:szCs w:val="24"/>
        </w:rPr>
      </w:pPr>
    </w:p>
    <w:p w:rsidR="0066044C" w:rsidRDefault="0066044C" w:rsidP="0066044C">
      <w:pPr>
        <w:pStyle w:val="Titel"/>
        <w:jc w:val="left"/>
        <w:rPr>
          <w:b w:val="0"/>
          <w:szCs w:val="24"/>
        </w:rPr>
      </w:pPr>
    </w:p>
    <w:p w:rsidR="006C1753" w:rsidRPr="00C84483" w:rsidRDefault="006C1753" w:rsidP="0066044C">
      <w:pPr>
        <w:pStyle w:val="Titel"/>
        <w:jc w:val="left"/>
        <w:rPr>
          <w:b w:val="0"/>
          <w:szCs w:val="24"/>
        </w:rPr>
      </w:pPr>
    </w:p>
    <w:p w:rsidR="0066044C" w:rsidRPr="00C84483" w:rsidRDefault="0066044C" w:rsidP="0066044C">
      <w:pPr>
        <w:jc w:val="center"/>
        <w:rPr>
          <w:b/>
          <w:sz w:val="24"/>
          <w:szCs w:val="24"/>
        </w:rPr>
      </w:pPr>
      <w:r w:rsidRPr="00C84483">
        <w:rPr>
          <w:b/>
          <w:sz w:val="24"/>
          <w:szCs w:val="24"/>
        </w:rPr>
        <w:t>PRODUKTRESUMÉ</w:t>
      </w:r>
    </w:p>
    <w:p w:rsidR="0066044C" w:rsidRPr="00C84483" w:rsidRDefault="0066044C" w:rsidP="0066044C">
      <w:pPr>
        <w:jc w:val="center"/>
        <w:rPr>
          <w:b/>
          <w:sz w:val="24"/>
          <w:szCs w:val="24"/>
        </w:rPr>
      </w:pPr>
    </w:p>
    <w:p w:rsidR="0066044C" w:rsidRDefault="0066044C" w:rsidP="0066044C">
      <w:pPr>
        <w:jc w:val="center"/>
        <w:rPr>
          <w:b/>
          <w:sz w:val="24"/>
          <w:szCs w:val="24"/>
        </w:rPr>
      </w:pPr>
      <w:r w:rsidRPr="00C84483">
        <w:rPr>
          <w:b/>
          <w:sz w:val="24"/>
          <w:szCs w:val="24"/>
        </w:rPr>
        <w:t>for</w:t>
      </w:r>
    </w:p>
    <w:p w:rsidR="0066044C" w:rsidRPr="00C84483" w:rsidRDefault="0066044C" w:rsidP="0066044C">
      <w:pPr>
        <w:jc w:val="center"/>
        <w:rPr>
          <w:b/>
          <w:sz w:val="24"/>
          <w:szCs w:val="24"/>
        </w:rPr>
      </w:pPr>
    </w:p>
    <w:p w:rsidR="0066044C" w:rsidRPr="00C84483" w:rsidRDefault="0066044C" w:rsidP="0066044C">
      <w:pPr>
        <w:jc w:val="center"/>
        <w:rPr>
          <w:b/>
          <w:sz w:val="24"/>
          <w:szCs w:val="24"/>
        </w:rPr>
      </w:pPr>
      <w:r>
        <w:rPr>
          <w:b/>
          <w:sz w:val="24"/>
          <w:szCs w:val="24"/>
        </w:rPr>
        <w:t>Gentamicin "</w:t>
      </w:r>
      <w:r w:rsidR="00A4097C">
        <w:rPr>
          <w:b/>
          <w:sz w:val="24"/>
          <w:szCs w:val="24"/>
        </w:rPr>
        <w:t>Panpharma</w:t>
      </w:r>
      <w:r>
        <w:rPr>
          <w:b/>
          <w:sz w:val="24"/>
          <w:szCs w:val="24"/>
        </w:rPr>
        <w:t>", injektions-/infusionsvæske, opløsning</w:t>
      </w:r>
    </w:p>
    <w:p w:rsidR="0066044C" w:rsidRPr="00C84483" w:rsidRDefault="0066044C" w:rsidP="0066044C">
      <w:pPr>
        <w:jc w:val="both"/>
        <w:rPr>
          <w:sz w:val="24"/>
          <w:szCs w:val="24"/>
        </w:rPr>
      </w:pPr>
    </w:p>
    <w:p w:rsidR="0066044C" w:rsidRPr="00C84483" w:rsidRDefault="0066044C" w:rsidP="0066044C">
      <w:pPr>
        <w:jc w:val="both"/>
        <w:rPr>
          <w:sz w:val="24"/>
          <w:szCs w:val="24"/>
        </w:rPr>
      </w:pPr>
    </w:p>
    <w:p w:rsidR="0066044C" w:rsidRPr="00C84483" w:rsidRDefault="0066044C" w:rsidP="0066044C">
      <w:pPr>
        <w:tabs>
          <w:tab w:val="left" w:pos="851"/>
        </w:tabs>
        <w:ind w:left="851" w:hanging="851"/>
        <w:rPr>
          <w:b/>
          <w:sz w:val="24"/>
          <w:szCs w:val="24"/>
        </w:rPr>
      </w:pPr>
      <w:r w:rsidRPr="00C84483">
        <w:rPr>
          <w:b/>
          <w:sz w:val="24"/>
          <w:szCs w:val="24"/>
        </w:rPr>
        <w:t>0.</w:t>
      </w:r>
      <w:r w:rsidRPr="00C84483">
        <w:rPr>
          <w:b/>
          <w:sz w:val="24"/>
          <w:szCs w:val="24"/>
        </w:rPr>
        <w:tab/>
        <w:t>D.SP.NR.</w:t>
      </w:r>
    </w:p>
    <w:p w:rsidR="0066044C" w:rsidRPr="00C84483" w:rsidRDefault="0066044C" w:rsidP="0066044C">
      <w:pPr>
        <w:tabs>
          <w:tab w:val="left" w:pos="851"/>
        </w:tabs>
        <w:ind w:left="851"/>
        <w:rPr>
          <w:sz w:val="24"/>
          <w:szCs w:val="24"/>
        </w:rPr>
      </w:pPr>
      <w:r>
        <w:rPr>
          <w:sz w:val="24"/>
          <w:szCs w:val="24"/>
        </w:rPr>
        <w:t>31248</w:t>
      </w:r>
    </w:p>
    <w:p w:rsidR="0066044C" w:rsidRPr="00C84483" w:rsidRDefault="0066044C" w:rsidP="0066044C">
      <w:pPr>
        <w:tabs>
          <w:tab w:val="left" w:pos="851"/>
        </w:tabs>
        <w:ind w:left="851"/>
        <w:rPr>
          <w:sz w:val="24"/>
          <w:szCs w:val="24"/>
        </w:rPr>
      </w:pPr>
    </w:p>
    <w:p w:rsidR="0066044C" w:rsidRPr="00C84483" w:rsidRDefault="0066044C" w:rsidP="0066044C">
      <w:pPr>
        <w:tabs>
          <w:tab w:val="left" w:pos="851"/>
        </w:tabs>
        <w:ind w:left="851" w:hanging="851"/>
        <w:rPr>
          <w:b/>
          <w:sz w:val="24"/>
          <w:szCs w:val="24"/>
        </w:rPr>
      </w:pPr>
      <w:r w:rsidRPr="00C84483">
        <w:rPr>
          <w:b/>
          <w:sz w:val="24"/>
          <w:szCs w:val="24"/>
        </w:rPr>
        <w:t>1.</w:t>
      </w:r>
      <w:r w:rsidRPr="00C84483">
        <w:rPr>
          <w:b/>
          <w:sz w:val="24"/>
          <w:szCs w:val="24"/>
        </w:rPr>
        <w:tab/>
        <w:t>LÆGEMIDLETS NAVN</w:t>
      </w:r>
    </w:p>
    <w:p w:rsidR="0066044C" w:rsidRPr="00C84483" w:rsidRDefault="0066044C" w:rsidP="0066044C">
      <w:pPr>
        <w:tabs>
          <w:tab w:val="left" w:pos="851"/>
        </w:tabs>
        <w:ind w:left="851"/>
        <w:rPr>
          <w:sz w:val="24"/>
          <w:szCs w:val="24"/>
        </w:rPr>
      </w:pPr>
      <w:r>
        <w:rPr>
          <w:sz w:val="24"/>
          <w:szCs w:val="24"/>
        </w:rPr>
        <w:t>Gentamicin "</w:t>
      </w:r>
      <w:r w:rsidR="00A4097C">
        <w:rPr>
          <w:sz w:val="24"/>
          <w:szCs w:val="24"/>
        </w:rPr>
        <w:t>Panpharma</w:t>
      </w:r>
      <w:r>
        <w:rPr>
          <w:sz w:val="24"/>
          <w:szCs w:val="24"/>
        </w:rPr>
        <w:t>"</w:t>
      </w:r>
    </w:p>
    <w:p w:rsidR="0066044C" w:rsidRPr="00C84483" w:rsidRDefault="0066044C" w:rsidP="0066044C">
      <w:pPr>
        <w:tabs>
          <w:tab w:val="left" w:pos="851"/>
        </w:tabs>
        <w:ind w:left="851"/>
        <w:rPr>
          <w:sz w:val="24"/>
          <w:szCs w:val="24"/>
        </w:rPr>
      </w:pPr>
    </w:p>
    <w:p w:rsidR="0066044C" w:rsidRPr="00C84483" w:rsidRDefault="0066044C" w:rsidP="0066044C">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66044C" w:rsidRPr="00F9257F" w:rsidRDefault="0066044C" w:rsidP="0066044C">
      <w:pPr>
        <w:ind w:left="851"/>
        <w:rPr>
          <w:sz w:val="24"/>
          <w:szCs w:val="24"/>
        </w:rPr>
      </w:pPr>
      <w:r w:rsidRPr="00F9257F">
        <w:rPr>
          <w:sz w:val="24"/>
          <w:szCs w:val="24"/>
        </w:rPr>
        <w:t>Hver ml indeholder 40 mg gentamicin (svarende til 67,8 mg gentamicinsulfat).</w:t>
      </w:r>
    </w:p>
    <w:p w:rsidR="0066044C" w:rsidRPr="00F9257F" w:rsidRDefault="0066044C" w:rsidP="0066044C">
      <w:pPr>
        <w:ind w:left="851"/>
        <w:rPr>
          <w:sz w:val="24"/>
          <w:szCs w:val="24"/>
        </w:rPr>
      </w:pPr>
      <w:r w:rsidRPr="00F9257F">
        <w:rPr>
          <w:sz w:val="24"/>
          <w:szCs w:val="24"/>
        </w:rPr>
        <w:t>Hver ampul med 2 ml indeholder 80 mg gentamicin (svarende til 135,6 mg gentamicinsulfat).</w:t>
      </w:r>
    </w:p>
    <w:p w:rsidR="0066044C" w:rsidRPr="00F9257F" w:rsidRDefault="0066044C" w:rsidP="0066044C">
      <w:pPr>
        <w:ind w:left="851"/>
        <w:rPr>
          <w:sz w:val="24"/>
          <w:szCs w:val="24"/>
        </w:rPr>
      </w:pPr>
    </w:p>
    <w:p w:rsidR="0066044C" w:rsidRPr="00F9257F" w:rsidRDefault="0066044C" w:rsidP="0066044C">
      <w:pPr>
        <w:ind w:left="851"/>
        <w:rPr>
          <w:sz w:val="24"/>
          <w:szCs w:val="24"/>
        </w:rPr>
      </w:pPr>
      <w:r w:rsidRPr="00F9257F">
        <w:rPr>
          <w:sz w:val="24"/>
          <w:szCs w:val="24"/>
        </w:rPr>
        <w:t>Alle hjælpestoffer er anført under pkt. 6.1.</w:t>
      </w:r>
    </w:p>
    <w:p w:rsidR="0066044C" w:rsidRPr="00C84483" w:rsidRDefault="0066044C" w:rsidP="0066044C">
      <w:pPr>
        <w:tabs>
          <w:tab w:val="left" w:pos="851"/>
        </w:tabs>
        <w:ind w:left="851"/>
        <w:rPr>
          <w:sz w:val="24"/>
          <w:szCs w:val="24"/>
        </w:rPr>
      </w:pPr>
    </w:p>
    <w:p w:rsidR="0066044C" w:rsidRPr="00C84483" w:rsidRDefault="0066044C" w:rsidP="0066044C">
      <w:pPr>
        <w:tabs>
          <w:tab w:val="left" w:pos="851"/>
        </w:tabs>
        <w:ind w:left="851" w:hanging="851"/>
        <w:rPr>
          <w:b/>
          <w:sz w:val="24"/>
          <w:szCs w:val="24"/>
        </w:rPr>
      </w:pPr>
      <w:r w:rsidRPr="00C84483">
        <w:rPr>
          <w:b/>
          <w:sz w:val="24"/>
          <w:szCs w:val="24"/>
        </w:rPr>
        <w:t>3.</w:t>
      </w:r>
      <w:r w:rsidRPr="00C84483">
        <w:rPr>
          <w:b/>
          <w:sz w:val="24"/>
          <w:szCs w:val="24"/>
        </w:rPr>
        <w:tab/>
        <w:t>LÆGEMIDDELFORM</w:t>
      </w:r>
    </w:p>
    <w:p w:rsidR="0066044C" w:rsidRDefault="0066044C" w:rsidP="0066044C">
      <w:pPr>
        <w:ind w:left="851"/>
        <w:rPr>
          <w:sz w:val="24"/>
          <w:szCs w:val="24"/>
        </w:rPr>
      </w:pPr>
      <w:r w:rsidRPr="00F9257F">
        <w:rPr>
          <w:sz w:val="24"/>
          <w:szCs w:val="24"/>
        </w:rPr>
        <w:t>Injektions-/infusionsvæske, opløsning</w:t>
      </w:r>
    </w:p>
    <w:p w:rsidR="00A7335F" w:rsidRPr="00F9257F" w:rsidRDefault="00A7335F" w:rsidP="0066044C">
      <w:pPr>
        <w:ind w:left="851"/>
        <w:rPr>
          <w:sz w:val="24"/>
          <w:szCs w:val="24"/>
        </w:rPr>
      </w:pPr>
    </w:p>
    <w:p w:rsidR="0066044C" w:rsidRPr="00F9257F" w:rsidRDefault="0066044C" w:rsidP="0066044C">
      <w:pPr>
        <w:ind w:left="851"/>
        <w:rPr>
          <w:sz w:val="24"/>
          <w:szCs w:val="24"/>
        </w:rPr>
      </w:pPr>
      <w:r w:rsidRPr="00F9257F">
        <w:rPr>
          <w:sz w:val="24"/>
          <w:szCs w:val="24"/>
        </w:rPr>
        <w:t>Klar, farveløs opløsning.</w:t>
      </w:r>
    </w:p>
    <w:p w:rsidR="0066044C" w:rsidRPr="00C84483" w:rsidRDefault="0066044C" w:rsidP="0066044C">
      <w:pPr>
        <w:tabs>
          <w:tab w:val="left" w:pos="851"/>
        </w:tabs>
        <w:ind w:left="851"/>
        <w:rPr>
          <w:sz w:val="24"/>
          <w:szCs w:val="24"/>
        </w:rPr>
      </w:pPr>
    </w:p>
    <w:p w:rsidR="0066044C" w:rsidRPr="00C84483" w:rsidRDefault="0066044C" w:rsidP="0066044C">
      <w:pPr>
        <w:tabs>
          <w:tab w:val="left" w:pos="851"/>
        </w:tabs>
        <w:ind w:left="851"/>
        <w:rPr>
          <w:sz w:val="24"/>
          <w:szCs w:val="24"/>
        </w:rPr>
      </w:pPr>
    </w:p>
    <w:p w:rsidR="0066044C" w:rsidRPr="00C84483" w:rsidRDefault="0066044C" w:rsidP="0066044C">
      <w:pPr>
        <w:tabs>
          <w:tab w:val="left" w:pos="851"/>
        </w:tabs>
        <w:ind w:left="851" w:hanging="851"/>
        <w:rPr>
          <w:b/>
          <w:sz w:val="24"/>
          <w:szCs w:val="24"/>
        </w:rPr>
      </w:pPr>
      <w:r w:rsidRPr="00C84483">
        <w:rPr>
          <w:b/>
          <w:sz w:val="24"/>
          <w:szCs w:val="24"/>
        </w:rPr>
        <w:t>4.</w:t>
      </w:r>
      <w:r w:rsidRPr="00C84483">
        <w:rPr>
          <w:b/>
          <w:sz w:val="24"/>
          <w:szCs w:val="24"/>
        </w:rPr>
        <w:tab/>
        <w:t>KLINISKE OPLYSNINGER</w:t>
      </w:r>
    </w:p>
    <w:p w:rsidR="0066044C" w:rsidRPr="00C84483" w:rsidRDefault="0066044C" w:rsidP="0066044C">
      <w:pPr>
        <w:tabs>
          <w:tab w:val="left" w:pos="851"/>
        </w:tabs>
        <w:ind w:left="851"/>
        <w:rPr>
          <w:b/>
          <w:sz w:val="24"/>
          <w:szCs w:val="24"/>
        </w:rPr>
      </w:pPr>
    </w:p>
    <w:p w:rsidR="0066044C" w:rsidRPr="00C84483" w:rsidRDefault="0066044C" w:rsidP="0066044C">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66044C" w:rsidRPr="00F9257F" w:rsidRDefault="0066044C" w:rsidP="0066044C">
      <w:pPr>
        <w:ind w:left="851"/>
        <w:rPr>
          <w:i/>
          <w:sz w:val="24"/>
          <w:szCs w:val="24"/>
        </w:rPr>
      </w:pPr>
      <w:r w:rsidRPr="00F9257F">
        <w:rPr>
          <w:sz w:val="24"/>
          <w:szCs w:val="24"/>
        </w:rPr>
        <w:t xml:space="preserve">Gentamicin </w:t>
      </w:r>
      <w:r>
        <w:rPr>
          <w:sz w:val="24"/>
          <w:szCs w:val="24"/>
        </w:rPr>
        <w:t>"</w:t>
      </w:r>
      <w:r w:rsidR="00A4097C">
        <w:rPr>
          <w:sz w:val="24"/>
          <w:szCs w:val="24"/>
        </w:rPr>
        <w:t>Panpharma</w:t>
      </w:r>
      <w:r>
        <w:rPr>
          <w:sz w:val="24"/>
          <w:szCs w:val="24"/>
        </w:rPr>
        <w:t>"</w:t>
      </w:r>
      <w:r w:rsidRPr="00F9257F">
        <w:rPr>
          <w:sz w:val="24"/>
          <w:szCs w:val="24"/>
        </w:rPr>
        <w:t xml:space="preserve"> er indiceret til behandling af følgende infektioner hos voksne og børn fra fødslen, når mindre toksiske antimikrobielle lægemidler ikke er effektive (se pkt. 4.4 og 5.1)</w:t>
      </w:r>
    </w:p>
    <w:p w:rsidR="0066044C" w:rsidRPr="00F9257F" w:rsidRDefault="0066044C" w:rsidP="0066044C">
      <w:pPr>
        <w:ind w:left="851"/>
        <w:rPr>
          <w:sz w:val="24"/>
          <w:szCs w:val="24"/>
        </w:rPr>
      </w:pPr>
    </w:p>
    <w:p w:rsidR="0066044C" w:rsidRPr="00F9257F" w:rsidRDefault="0066044C" w:rsidP="0066044C">
      <w:pPr>
        <w:ind w:left="851"/>
        <w:rPr>
          <w:sz w:val="24"/>
          <w:szCs w:val="24"/>
        </w:rPr>
      </w:pPr>
      <w:r w:rsidRPr="00F9257F">
        <w:rPr>
          <w:sz w:val="24"/>
          <w:szCs w:val="24"/>
        </w:rPr>
        <w:t xml:space="preserve">I ovenstående tilfælde er Gentamicin </w:t>
      </w:r>
      <w:r>
        <w:rPr>
          <w:sz w:val="24"/>
          <w:szCs w:val="24"/>
        </w:rPr>
        <w:t>"</w:t>
      </w:r>
      <w:r w:rsidR="00A4097C">
        <w:rPr>
          <w:sz w:val="24"/>
          <w:szCs w:val="24"/>
        </w:rPr>
        <w:t>Panpharma</w:t>
      </w:r>
      <w:r>
        <w:rPr>
          <w:sz w:val="24"/>
          <w:szCs w:val="24"/>
        </w:rPr>
        <w:t>"</w:t>
      </w:r>
      <w:r w:rsidRPr="00F9257F">
        <w:rPr>
          <w:sz w:val="24"/>
          <w:szCs w:val="24"/>
        </w:rPr>
        <w:t xml:space="preserve"> indiceret til behandling af følgende infektioner:</w:t>
      </w:r>
    </w:p>
    <w:p w:rsidR="0066044C" w:rsidRPr="007B3E82" w:rsidRDefault="0066044C" w:rsidP="0066044C">
      <w:pPr>
        <w:pStyle w:val="Listeafsnit"/>
        <w:numPr>
          <w:ilvl w:val="0"/>
          <w:numId w:val="6"/>
        </w:numPr>
        <w:ind w:left="1276" w:hanging="425"/>
        <w:rPr>
          <w:sz w:val="24"/>
          <w:szCs w:val="24"/>
        </w:rPr>
      </w:pPr>
      <w:r w:rsidRPr="007B3E82">
        <w:rPr>
          <w:sz w:val="24"/>
          <w:szCs w:val="24"/>
        </w:rPr>
        <w:t>Kompliceret urinvejsinfektion (cUTI), herunder akut pyelonephritis</w:t>
      </w:r>
    </w:p>
    <w:p w:rsidR="0066044C" w:rsidRPr="007B3E82" w:rsidRDefault="0066044C" w:rsidP="0066044C">
      <w:pPr>
        <w:pStyle w:val="Listeafsnit"/>
        <w:numPr>
          <w:ilvl w:val="0"/>
          <w:numId w:val="6"/>
        </w:numPr>
        <w:ind w:left="1276" w:hanging="425"/>
        <w:rPr>
          <w:iCs/>
          <w:color w:val="000000"/>
          <w:sz w:val="24"/>
          <w:szCs w:val="24"/>
        </w:rPr>
      </w:pPr>
      <w:r w:rsidRPr="007B3E82">
        <w:rPr>
          <w:iCs/>
          <w:color w:val="000000"/>
          <w:sz w:val="24"/>
          <w:szCs w:val="24"/>
        </w:rPr>
        <w:t>Komplicerede intra-abdominale infektioner (cIAI)</w:t>
      </w:r>
    </w:p>
    <w:p w:rsidR="0066044C" w:rsidRPr="007B3E82" w:rsidRDefault="0066044C" w:rsidP="0066044C">
      <w:pPr>
        <w:pStyle w:val="Listeafsnit"/>
        <w:numPr>
          <w:ilvl w:val="0"/>
          <w:numId w:val="6"/>
        </w:numPr>
        <w:ind w:left="1276" w:hanging="425"/>
        <w:rPr>
          <w:iCs/>
          <w:color w:val="000000"/>
          <w:sz w:val="24"/>
          <w:szCs w:val="24"/>
        </w:rPr>
      </w:pPr>
      <w:r w:rsidRPr="007B3E82">
        <w:rPr>
          <w:iCs/>
          <w:color w:val="000000"/>
          <w:sz w:val="24"/>
          <w:szCs w:val="24"/>
        </w:rPr>
        <w:t xml:space="preserve">Nosokomiel lungebetændelse (HAP), herunder respirator-associeret pneumoni (VAP) </w:t>
      </w:r>
    </w:p>
    <w:p w:rsidR="0066044C" w:rsidRPr="007B3E82" w:rsidRDefault="0066044C" w:rsidP="0066044C">
      <w:pPr>
        <w:pStyle w:val="Listeafsnit"/>
        <w:numPr>
          <w:ilvl w:val="0"/>
          <w:numId w:val="6"/>
        </w:numPr>
        <w:ind w:left="1276" w:hanging="425"/>
        <w:rPr>
          <w:iCs/>
          <w:color w:val="000000"/>
          <w:sz w:val="24"/>
          <w:szCs w:val="24"/>
        </w:rPr>
      </w:pPr>
      <w:r w:rsidRPr="007B3E82">
        <w:rPr>
          <w:iCs/>
          <w:color w:val="000000"/>
          <w:sz w:val="24"/>
          <w:szCs w:val="24"/>
        </w:rPr>
        <w:t xml:space="preserve">Bronkopulmonale infektioner hos patienter med cystisk fibrose </w:t>
      </w:r>
    </w:p>
    <w:p w:rsidR="0066044C" w:rsidRPr="007B3E82" w:rsidRDefault="0066044C" w:rsidP="0066044C">
      <w:pPr>
        <w:pStyle w:val="Listeafsnit"/>
        <w:numPr>
          <w:ilvl w:val="0"/>
          <w:numId w:val="6"/>
        </w:numPr>
        <w:ind w:left="1276" w:hanging="425"/>
        <w:rPr>
          <w:iCs/>
          <w:color w:val="000000"/>
          <w:sz w:val="24"/>
          <w:szCs w:val="24"/>
        </w:rPr>
      </w:pPr>
      <w:r w:rsidRPr="007B3E82">
        <w:rPr>
          <w:iCs/>
          <w:color w:val="000000"/>
          <w:sz w:val="24"/>
          <w:szCs w:val="24"/>
        </w:rPr>
        <w:t xml:space="preserve">Infektiøs endokarditis </w:t>
      </w:r>
    </w:p>
    <w:p w:rsidR="0066044C" w:rsidRPr="007B3E82" w:rsidRDefault="0066044C" w:rsidP="0066044C">
      <w:pPr>
        <w:pStyle w:val="Listeafsnit"/>
        <w:numPr>
          <w:ilvl w:val="0"/>
          <w:numId w:val="6"/>
        </w:numPr>
        <w:ind w:left="1276" w:hanging="425"/>
        <w:rPr>
          <w:iCs/>
          <w:color w:val="000000"/>
          <w:sz w:val="24"/>
          <w:szCs w:val="24"/>
        </w:rPr>
      </w:pPr>
      <w:r w:rsidRPr="007B3E82">
        <w:rPr>
          <w:iCs/>
          <w:sz w:val="24"/>
          <w:szCs w:val="24"/>
        </w:rPr>
        <w:t>Infektioner i brandsår</w:t>
      </w:r>
      <w:r w:rsidRPr="007B3E82">
        <w:rPr>
          <w:iCs/>
          <w:color w:val="000000"/>
          <w:sz w:val="24"/>
          <w:szCs w:val="24"/>
        </w:rPr>
        <w:t xml:space="preserve"> </w:t>
      </w:r>
    </w:p>
    <w:p w:rsidR="0066044C" w:rsidRPr="007B3E82" w:rsidRDefault="0066044C" w:rsidP="0066044C">
      <w:pPr>
        <w:pStyle w:val="Listeafsnit"/>
        <w:numPr>
          <w:ilvl w:val="0"/>
          <w:numId w:val="6"/>
        </w:numPr>
        <w:ind w:left="1276" w:hanging="425"/>
        <w:rPr>
          <w:iCs/>
          <w:color w:val="000000"/>
          <w:sz w:val="24"/>
          <w:szCs w:val="24"/>
        </w:rPr>
      </w:pPr>
      <w:r w:rsidRPr="007B3E82">
        <w:rPr>
          <w:iCs/>
          <w:color w:val="000000"/>
          <w:sz w:val="24"/>
          <w:szCs w:val="24"/>
        </w:rPr>
        <w:t xml:space="preserve">Behandling af patienter med bakteriæmi, der opstår i forbindelse med, eller er </w:t>
      </w:r>
      <w:r w:rsidRPr="007B3E82">
        <w:rPr>
          <w:iCs/>
          <w:color w:val="000000"/>
          <w:sz w:val="24"/>
          <w:szCs w:val="24"/>
        </w:rPr>
        <w:lastRenderedPageBreak/>
        <w:t xml:space="preserve">mistænkt for at være forbundet med nogen af ovenstående infektioner. </w:t>
      </w:r>
    </w:p>
    <w:p w:rsidR="0066044C" w:rsidRPr="00F9257F" w:rsidRDefault="0066044C" w:rsidP="0066044C">
      <w:pPr>
        <w:ind w:left="851"/>
        <w:rPr>
          <w:sz w:val="24"/>
          <w:szCs w:val="24"/>
        </w:rPr>
      </w:pPr>
    </w:p>
    <w:p w:rsidR="0066044C" w:rsidRPr="00F9257F" w:rsidRDefault="0066044C" w:rsidP="0066044C">
      <w:pPr>
        <w:ind w:left="851"/>
        <w:rPr>
          <w:sz w:val="24"/>
          <w:szCs w:val="24"/>
        </w:rPr>
      </w:pPr>
      <w:r w:rsidRPr="00F9257F">
        <w:rPr>
          <w:sz w:val="24"/>
          <w:szCs w:val="24"/>
        </w:rPr>
        <w:t xml:space="preserve">Gentamicin </w:t>
      </w:r>
      <w:r>
        <w:rPr>
          <w:sz w:val="24"/>
          <w:szCs w:val="24"/>
        </w:rPr>
        <w:t>"</w:t>
      </w:r>
      <w:r w:rsidR="00A4097C">
        <w:rPr>
          <w:sz w:val="24"/>
          <w:szCs w:val="24"/>
        </w:rPr>
        <w:t>Panpharma</w:t>
      </w:r>
      <w:r>
        <w:rPr>
          <w:sz w:val="24"/>
          <w:szCs w:val="24"/>
        </w:rPr>
        <w:t>"</w:t>
      </w:r>
      <w:r w:rsidRPr="00F9257F">
        <w:rPr>
          <w:sz w:val="24"/>
          <w:szCs w:val="24"/>
        </w:rPr>
        <w:t xml:space="preserve"> skal for alle indikationer, bortset fra komplicerede urinvejsinfektioner, kun anvendes i kombination med andre relevante antibiotika (fortrinsvis sammen med et </w:t>
      </w:r>
      <w:r w:rsidRPr="00F9257F">
        <w:rPr>
          <w:rStyle w:val="Fremhv"/>
          <w:bCs/>
          <w:sz w:val="24"/>
          <w:szCs w:val="24"/>
          <w:shd w:val="clear" w:color="auto" w:fill="FFFFFF"/>
        </w:rPr>
        <w:t>β</w:t>
      </w:r>
      <w:r w:rsidRPr="00F9257F">
        <w:rPr>
          <w:sz w:val="24"/>
          <w:szCs w:val="24"/>
          <w:shd w:val="clear" w:color="auto" w:fill="FFFFFF"/>
        </w:rPr>
        <w:t>-lactamantibiotikum</w:t>
      </w:r>
      <w:r w:rsidRPr="00F9257F">
        <w:rPr>
          <w:sz w:val="24"/>
          <w:szCs w:val="24"/>
        </w:rPr>
        <w:t xml:space="preserve"> eller med et antibiotikum, som er effektivt over for anaerobe bakterier).</w:t>
      </w:r>
    </w:p>
    <w:p w:rsidR="0066044C" w:rsidRPr="00F9257F" w:rsidRDefault="0066044C" w:rsidP="0066044C">
      <w:pPr>
        <w:ind w:left="851"/>
        <w:rPr>
          <w:sz w:val="24"/>
          <w:szCs w:val="24"/>
        </w:rPr>
      </w:pPr>
    </w:p>
    <w:p w:rsidR="0066044C" w:rsidRPr="00F9257F" w:rsidRDefault="0066044C" w:rsidP="0066044C">
      <w:pPr>
        <w:ind w:left="851"/>
        <w:rPr>
          <w:sz w:val="24"/>
          <w:szCs w:val="24"/>
        </w:rPr>
      </w:pPr>
      <w:r w:rsidRPr="00F9257F">
        <w:rPr>
          <w:sz w:val="24"/>
          <w:szCs w:val="24"/>
        </w:rPr>
        <w:t>De officielle retningslinjer vedrørende passende anvendelse af antibakterielle midler bør tages i betragtning.</w:t>
      </w:r>
    </w:p>
    <w:p w:rsidR="0066044C" w:rsidRPr="00C84483" w:rsidRDefault="0066044C" w:rsidP="0066044C">
      <w:pPr>
        <w:tabs>
          <w:tab w:val="left" w:pos="851"/>
        </w:tabs>
        <w:ind w:left="851"/>
        <w:rPr>
          <w:sz w:val="24"/>
          <w:szCs w:val="24"/>
        </w:rPr>
      </w:pPr>
    </w:p>
    <w:p w:rsidR="0066044C" w:rsidRPr="00C84483" w:rsidRDefault="0066044C" w:rsidP="0066044C">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A7335F">
        <w:rPr>
          <w:b/>
          <w:sz w:val="24"/>
          <w:szCs w:val="24"/>
        </w:rPr>
        <w:t>administration</w:t>
      </w:r>
    </w:p>
    <w:p w:rsidR="0066044C" w:rsidRPr="00F9257F" w:rsidRDefault="0066044C" w:rsidP="0066044C">
      <w:pPr>
        <w:ind w:left="851"/>
        <w:rPr>
          <w:sz w:val="24"/>
          <w:szCs w:val="24"/>
        </w:rPr>
      </w:pPr>
      <w:r w:rsidRPr="00F9257F">
        <w:rPr>
          <w:sz w:val="24"/>
          <w:szCs w:val="24"/>
        </w:rPr>
        <w:t>ADVARSEL: Grundet manglende data frarådes administration af gentamicin til injektion/infusion, opløsning, via inhalation (se pkt. 4.4)</w:t>
      </w:r>
    </w:p>
    <w:p w:rsidR="0066044C" w:rsidRPr="00F9257F" w:rsidRDefault="0066044C" w:rsidP="0066044C">
      <w:pPr>
        <w:ind w:left="851"/>
        <w:rPr>
          <w:sz w:val="24"/>
          <w:szCs w:val="24"/>
        </w:rPr>
      </w:pPr>
    </w:p>
    <w:p w:rsidR="0066044C" w:rsidRPr="00F9257F" w:rsidRDefault="0066044C" w:rsidP="0066044C">
      <w:pPr>
        <w:ind w:left="851"/>
        <w:rPr>
          <w:sz w:val="24"/>
          <w:szCs w:val="24"/>
        </w:rPr>
      </w:pPr>
      <w:r w:rsidRPr="00F9257F">
        <w:rPr>
          <w:sz w:val="24"/>
          <w:szCs w:val="24"/>
          <w:u w:val="single"/>
        </w:rPr>
        <w:t>Dosering</w:t>
      </w:r>
    </w:p>
    <w:p w:rsidR="0066044C" w:rsidRPr="00F9257F" w:rsidRDefault="0066044C" w:rsidP="0066044C">
      <w:pPr>
        <w:ind w:left="851"/>
        <w:rPr>
          <w:sz w:val="24"/>
          <w:szCs w:val="24"/>
        </w:rPr>
      </w:pPr>
      <w:r w:rsidRPr="00F9257F">
        <w:rPr>
          <w:sz w:val="24"/>
          <w:szCs w:val="24"/>
        </w:rPr>
        <w:t>Dosis afhænger af sværhedsgraden af det kliniske billede, omgivelserne, patientens nyrefunktion og den identificerede bakterie.</w:t>
      </w:r>
    </w:p>
    <w:p w:rsidR="0066044C" w:rsidRPr="00F9257F" w:rsidRDefault="0066044C" w:rsidP="0066044C">
      <w:pPr>
        <w:ind w:left="851"/>
        <w:rPr>
          <w:sz w:val="24"/>
          <w:szCs w:val="24"/>
        </w:rPr>
      </w:pPr>
    </w:p>
    <w:p w:rsidR="0066044C" w:rsidRPr="00F9257F" w:rsidRDefault="0066044C" w:rsidP="0066044C">
      <w:pPr>
        <w:ind w:left="851"/>
        <w:rPr>
          <w:sz w:val="24"/>
          <w:szCs w:val="24"/>
        </w:rPr>
      </w:pPr>
      <w:r w:rsidRPr="00F9257F">
        <w:rPr>
          <w:sz w:val="24"/>
          <w:szCs w:val="24"/>
        </w:rPr>
        <w:t>Dosering og doseringsinterval skal justeres individuelt i overensstemmelse med patientens nyrefunktion, den identificerede bakterie, og skal kontrolleres ved regelmæssig bestemmelse af serumkoncentrationen.</w:t>
      </w:r>
    </w:p>
    <w:p w:rsidR="0066044C" w:rsidRPr="00F9257F" w:rsidRDefault="0066044C" w:rsidP="0066044C">
      <w:pPr>
        <w:ind w:left="851"/>
        <w:rPr>
          <w:sz w:val="24"/>
          <w:szCs w:val="24"/>
        </w:rPr>
      </w:pPr>
      <w:r w:rsidRPr="00F9257F">
        <w:rPr>
          <w:sz w:val="24"/>
          <w:szCs w:val="24"/>
        </w:rPr>
        <w:t>Dosis beregnes ud fra patientens legemsvægt.</w:t>
      </w:r>
    </w:p>
    <w:p w:rsidR="0066044C" w:rsidRPr="00F9257F" w:rsidRDefault="0066044C" w:rsidP="0066044C">
      <w:pPr>
        <w:ind w:left="851"/>
        <w:rPr>
          <w:sz w:val="24"/>
          <w:szCs w:val="24"/>
        </w:rPr>
      </w:pPr>
      <w:r w:rsidRPr="00F9257F">
        <w:rPr>
          <w:sz w:val="24"/>
          <w:szCs w:val="24"/>
        </w:rPr>
        <w:t>Doseringsregimet er ens for intravenøs og intramuskulær anvendelse. Patienten skal være tilstrækkeligt hydreret under behandling.</w:t>
      </w:r>
    </w:p>
    <w:p w:rsidR="0066044C" w:rsidRPr="00F9257F" w:rsidRDefault="0066044C" w:rsidP="0066044C">
      <w:pPr>
        <w:ind w:left="851"/>
        <w:rPr>
          <w:sz w:val="24"/>
          <w:szCs w:val="24"/>
        </w:rPr>
      </w:pPr>
    </w:p>
    <w:p w:rsidR="0066044C" w:rsidRPr="00F9257F" w:rsidRDefault="0066044C" w:rsidP="0066044C">
      <w:pPr>
        <w:ind w:left="851"/>
        <w:rPr>
          <w:i/>
          <w:sz w:val="24"/>
          <w:szCs w:val="24"/>
        </w:rPr>
      </w:pPr>
      <w:r w:rsidRPr="00F9257F">
        <w:rPr>
          <w:i/>
          <w:sz w:val="24"/>
          <w:szCs w:val="24"/>
        </w:rPr>
        <w:t>Voksne</w:t>
      </w:r>
    </w:p>
    <w:p w:rsidR="0066044C" w:rsidRPr="00F9257F" w:rsidRDefault="0066044C" w:rsidP="0066044C">
      <w:pPr>
        <w:ind w:left="851"/>
        <w:rPr>
          <w:sz w:val="24"/>
          <w:szCs w:val="24"/>
        </w:rPr>
      </w:pPr>
      <w:r w:rsidRPr="00F9257F">
        <w:rPr>
          <w:sz w:val="24"/>
          <w:szCs w:val="24"/>
        </w:rPr>
        <w:t>Gentamicin anvendes sædvanligvis i begyndelsen af kombineret antibiotikabehandling og med en maksimal varighed på 7 dage. Der seponeres normalt efter 48 til 72 timers behandling (dvs. når resultaterne fra resistensbestemmelse bliver tilgængelige).</w:t>
      </w:r>
    </w:p>
    <w:p w:rsidR="0066044C" w:rsidRPr="00F9257F" w:rsidRDefault="0066044C" w:rsidP="0066044C">
      <w:pPr>
        <w:ind w:left="851"/>
        <w:rPr>
          <w:sz w:val="24"/>
          <w:szCs w:val="24"/>
        </w:rPr>
      </w:pPr>
    </w:p>
    <w:p w:rsidR="0066044C" w:rsidRPr="00F9257F" w:rsidRDefault="0066044C" w:rsidP="0066044C">
      <w:pPr>
        <w:ind w:left="851"/>
        <w:rPr>
          <w:sz w:val="24"/>
          <w:szCs w:val="24"/>
        </w:rPr>
      </w:pPr>
      <w:r w:rsidRPr="00F9257F">
        <w:rPr>
          <w:sz w:val="24"/>
          <w:szCs w:val="24"/>
        </w:rPr>
        <w:t>Det foretrukne doseringsregime er den enkelte daglige dosis, dvs. hele den daglige dosis administreres som en enkelt daglig injektion (se pkt. 4</w:t>
      </w:r>
      <w:r>
        <w:rPr>
          <w:sz w:val="24"/>
          <w:szCs w:val="24"/>
        </w:rPr>
        <w:t>.</w:t>
      </w:r>
      <w:r w:rsidRPr="00F9257F">
        <w:rPr>
          <w:sz w:val="24"/>
          <w:szCs w:val="24"/>
        </w:rPr>
        <w:t>4).</w:t>
      </w:r>
    </w:p>
    <w:p w:rsidR="0066044C" w:rsidRPr="00F9257F" w:rsidRDefault="0066044C" w:rsidP="0066044C">
      <w:pPr>
        <w:ind w:left="851"/>
        <w:rPr>
          <w:sz w:val="24"/>
          <w:szCs w:val="24"/>
        </w:rPr>
      </w:pPr>
    </w:p>
    <w:p w:rsidR="0066044C" w:rsidRPr="00F9257F" w:rsidRDefault="0066044C" w:rsidP="0066044C">
      <w:pPr>
        <w:ind w:left="851"/>
        <w:rPr>
          <w:sz w:val="24"/>
          <w:szCs w:val="24"/>
        </w:rPr>
      </w:pPr>
      <w:r w:rsidRPr="00F9257F">
        <w:rPr>
          <w:color w:val="000000"/>
          <w:sz w:val="24"/>
          <w:szCs w:val="24"/>
        </w:rPr>
        <w:t>I visse situationer kan den daglige dosis deles i 2 daglige injektioner.</w:t>
      </w:r>
      <w:r w:rsidRPr="00F9257F">
        <w:rPr>
          <w:sz w:val="24"/>
          <w:szCs w:val="24"/>
        </w:rPr>
        <w:t xml:space="preserve"> Dosis varierer fra 3 til 6 mg/kg/dag ifølge officielle anbefalinger, hvor den maksimale dosis på 6 mg/kg/dag især anbefales ved behandlingens begyndelse, ved svære infektioner og/eller i de tilfælde, hvor der er risiko for infektion pga. en bakteriestamme med nedsat følsomhed og med en forøgelse af MIC (mindste hæmmende koncentration) for gentamicin.</w:t>
      </w:r>
    </w:p>
    <w:p w:rsidR="0066044C" w:rsidRPr="00F9257F" w:rsidRDefault="0066044C" w:rsidP="0066044C">
      <w:pPr>
        <w:ind w:left="851"/>
        <w:rPr>
          <w:sz w:val="24"/>
          <w:szCs w:val="24"/>
        </w:rPr>
      </w:pPr>
    </w:p>
    <w:p w:rsidR="0066044C" w:rsidRPr="00F9257F" w:rsidRDefault="0066044C" w:rsidP="0066044C">
      <w:pPr>
        <w:ind w:left="851"/>
        <w:rPr>
          <w:i/>
          <w:sz w:val="24"/>
          <w:szCs w:val="24"/>
        </w:rPr>
      </w:pPr>
      <w:r w:rsidRPr="00F9257F">
        <w:rPr>
          <w:i/>
          <w:sz w:val="24"/>
          <w:szCs w:val="24"/>
        </w:rPr>
        <w:t>Pædiatrisk population</w:t>
      </w:r>
    </w:p>
    <w:p w:rsidR="0066044C" w:rsidRPr="00F9257F" w:rsidRDefault="0066044C" w:rsidP="0066044C">
      <w:pPr>
        <w:ind w:left="851"/>
        <w:rPr>
          <w:sz w:val="24"/>
          <w:szCs w:val="24"/>
        </w:rPr>
      </w:pPr>
      <w:r w:rsidRPr="00F9257F">
        <w:rPr>
          <w:sz w:val="24"/>
          <w:szCs w:val="24"/>
        </w:rPr>
        <w:t>Den daglige anbefalede dosis til børn og unge med normal nyrefunktion er 3-6 mg/kg legemsvægt pr. dag som 1 (foretrækkes) op til 2 enkeltdoser.</w:t>
      </w:r>
    </w:p>
    <w:p w:rsidR="0066044C" w:rsidRPr="00F9257F" w:rsidRDefault="0066044C" w:rsidP="0066044C">
      <w:pPr>
        <w:ind w:left="851"/>
        <w:rPr>
          <w:sz w:val="24"/>
          <w:szCs w:val="24"/>
        </w:rPr>
      </w:pPr>
    </w:p>
    <w:p w:rsidR="0066044C" w:rsidRPr="00F9257F" w:rsidRDefault="0066044C" w:rsidP="0066044C">
      <w:pPr>
        <w:ind w:left="851"/>
        <w:rPr>
          <w:sz w:val="24"/>
          <w:szCs w:val="24"/>
        </w:rPr>
      </w:pPr>
      <w:r w:rsidRPr="00F9257F">
        <w:rPr>
          <w:sz w:val="24"/>
          <w:szCs w:val="24"/>
        </w:rPr>
        <w:t>Den daglige dosis til spædbørn efter den første levemåned er 4,-7,5 mg/kg legemsvægt pr. dag som 1 (foretrækkes) op til 2 enkeltdoser.</w:t>
      </w:r>
    </w:p>
    <w:p w:rsidR="0066044C" w:rsidRPr="00F9257F" w:rsidRDefault="0066044C" w:rsidP="0066044C">
      <w:pPr>
        <w:ind w:left="851"/>
        <w:rPr>
          <w:sz w:val="24"/>
          <w:szCs w:val="24"/>
        </w:rPr>
      </w:pPr>
    </w:p>
    <w:p w:rsidR="0066044C" w:rsidRPr="00F9257F" w:rsidRDefault="0066044C" w:rsidP="0066044C">
      <w:pPr>
        <w:ind w:left="851"/>
        <w:rPr>
          <w:sz w:val="24"/>
          <w:szCs w:val="24"/>
        </w:rPr>
      </w:pPr>
      <w:r w:rsidRPr="00F9257F">
        <w:rPr>
          <w:sz w:val="24"/>
          <w:szCs w:val="24"/>
        </w:rPr>
        <w:t>Den daglige dosis til nyfødte og præmature spædbørn (i alderen 0-4 uger) er 4-7 mg/kg legemsvægt pr. dag. På grund af den længere halveringstid gives den påkrævede daglige dosis som 1 enkeltdosis til nyfødte.</w:t>
      </w:r>
    </w:p>
    <w:p w:rsidR="0066044C" w:rsidRPr="00F9257F" w:rsidRDefault="0066044C" w:rsidP="0066044C">
      <w:pPr>
        <w:ind w:left="851"/>
        <w:rPr>
          <w:sz w:val="24"/>
          <w:szCs w:val="24"/>
        </w:rPr>
      </w:pPr>
    </w:p>
    <w:p w:rsidR="0066044C" w:rsidRPr="00F9257F" w:rsidRDefault="0066044C" w:rsidP="0066044C">
      <w:pPr>
        <w:ind w:left="851"/>
        <w:rPr>
          <w:sz w:val="24"/>
          <w:szCs w:val="24"/>
        </w:rPr>
      </w:pPr>
      <w:r w:rsidRPr="00F9257F">
        <w:rPr>
          <w:sz w:val="24"/>
          <w:szCs w:val="24"/>
        </w:rPr>
        <w:lastRenderedPageBreak/>
        <w:t>Der skal ydes særlig opmærksomhed på klargøring (fortynding) og den indgivne mængde. Enhver fejl, uanset hvor minimal den måtte være, kan have en stor indflydelse på de opnåede serumkoncentrationer.</w:t>
      </w:r>
    </w:p>
    <w:p w:rsidR="0066044C" w:rsidRPr="00F9257F" w:rsidRDefault="0066044C" w:rsidP="0066044C">
      <w:pPr>
        <w:ind w:left="851"/>
        <w:rPr>
          <w:sz w:val="24"/>
          <w:szCs w:val="24"/>
        </w:rPr>
      </w:pPr>
    </w:p>
    <w:p w:rsidR="0066044C" w:rsidRPr="00F9257F" w:rsidRDefault="0066044C" w:rsidP="0066044C">
      <w:pPr>
        <w:ind w:left="851"/>
        <w:rPr>
          <w:sz w:val="24"/>
          <w:szCs w:val="24"/>
        </w:rPr>
      </w:pPr>
      <w:r w:rsidRPr="00F9257F">
        <w:rPr>
          <w:sz w:val="24"/>
          <w:szCs w:val="24"/>
        </w:rPr>
        <w:t>Der er ingen dosisanbefaling til børn med nedsat nyrefunktion.</w:t>
      </w:r>
    </w:p>
    <w:p w:rsidR="0066044C" w:rsidRPr="00F9257F" w:rsidRDefault="0066044C" w:rsidP="0066044C">
      <w:pPr>
        <w:ind w:left="851"/>
        <w:rPr>
          <w:sz w:val="24"/>
          <w:szCs w:val="24"/>
        </w:rPr>
      </w:pPr>
    </w:p>
    <w:p w:rsidR="0066044C" w:rsidRPr="00F9257F" w:rsidRDefault="0066044C" w:rsidP="0066044C">
      <w:pPr>
        <w:ind w:left="851"/>
        <w:rPr>
          <w:i/>
          <w:sz w:val="24"/>
          <w:szCs w:val="24"/>
        </w:rPr>
      </w:pPr>
      <w:r w:rsidRPr="00F9257F">
        <w:rPr>
          <w:i/>
          <w:sz w:val="24"/>
          <w:szCs w:val="24"/>
        </w:rPr>
        <w:t>Ældre patienter</w:t>
      </w:r>
    </w:p>
    <w:p w:rsidR="0066044C" w:rsidRPr="00F9257F" w:rsidRDefault="0066044C" w:rsidP="0066044C">
      <w:pPr>
        <w:ind w:left="851"/>
        <w:rPr>
          <w:sz w:val="24"/>
          <w:szCs w:val="24"/>
        </w:rPr>
      </w:pPr>
      <w:r w:rsidRPr="00F9257F">
        <w:rPr>
          <w:sz w:val="24"/>
          <w:szCs w:val="24"/>
        </w:rPr>
        <w:t>Ældre patienter kan være mere modtagelige for aminoglycosidtoksicitet uanset om dette er sekundært til tidligere beskadigelse af den 8. hjernenerve eller borderline nedsat nyrefunktion. Derfor bør behandlingen nøje overvåges ved hyppig bestemmelse af gentamicinserumniveauer, vurdering af nyrefunktion og tegn på ototoksicitet.</w:t>
      </w:r>
    </w:p>
    <w:p w:rsidR="0066044C" w:rsidRPr="00F9257F" w:rsidRDefault="0066044C" w:rsidP="0066044C">
      <w:pPr>
        <w:ind w:left="851"/>
        <w:rPr>
          <w:sz w:val="24"/>
          <w:szCs w:val="24"/>
        </w:rPr>
      </w:pPr>
    </w:p>
    <w:p w:rsidR="0066044C" w:rsidRPr="00F9257F" w:rsidRDefault="0066044C" w:rsidP="0066044C">
      <w:pPr>
        <w:ind w:left="851"/>
        <w:rPr>
          <w:i/>
          <w:sz w:val="24"/>
          <w:szCs w:val="24"/>
        </w:rPr>
      </w:pPr>
      <w:r w:rsidRPr="00F9257F">
        <w:rPr>
          <w:i/>
          <w:sz w:val="24"/>
          <w:szCs w:val="24"/>
        </w:rPr>
        <w:t>Patienter med nedsat nyrefunktion</w:t>
      </w:r>
    </w:p>
    <w:p w:rsidR="0066044C" w:rsidRPr="00F9257F" w:rsidRDefault="0066044C" w:rsidP="0066044C">
      <w:pPr>
        <w:ind w:left="851"/>
        <w:rPr>
          <w:sz w:val="24"/>
          <w:szCs w:val="24"/>
        </w:rPr>
      </w:pPr>
      <w:r w:rsidRPr="00F9257F">
        <w:rPr>
          <w:sz w:val="24"/>
          <w:szCs w:val="24"/>
        </w:rPr>
        <w:t xml:space="preserve">Da gentamicin hovedsageligt elimineres via nyrerne ved glomerulær filtrering, afhænger eliminationshastigheden af patientens nyrefunktion, og den anbefalede daglige dosis skal derfor justeres i henhold til nyrefunktionen. </w:t>
      </w:r>
    </w:p>
    <w:p w:rsidR="0066044C" w:rsidRPr="00F9257F" w:rsidRDefault="0066044C" w:rsidP="0066044C">
      <w:pPr>
        <w:ind w:left="851"/>
        <w:rPr>
          <w:sz w:val="24"/>
          <w:szCs w:val="24"/>
        </w:rPr>
      </w:pPr>
    </w:p>
    <w:p w:rsidR="0066044C" w:rsidRPr="00F9257F" w:rsidRDefault="0066044C" w:rsidP="0066044C">
      <w:pPr>
        <w:ind w:left="851"/>
        <w:rPr>
          <w:sz w:val="24"/>
          <w:szCs w:val="24"/>
        </w:rPr>
      </w:pPr>
      <w:r w:rsidRPr="00F9257F">
        <w:rPr>
          <w:sz w:val="24"/>
          <w:szCs w:val="24"/>
        </w:rPr>
        <w:t>Nedenstående tabel er en vejledning om anbefalede doseringsforløb:</w:t>
      </w:r>
    </w:p>
    <w:p w:rsidR="0066044C" w:rsidRDefault="0066044C" w:rsidP="0066044C">
      <w:pPr>
        <w:pStyle w:val="Brdtekst"/>
        <w:ind w:right="2"/>
      </w:pPr>
    </w:p>
    <w:tbl>
      <w:tblPr>
        <w:tblW w:w="5000" w:type="pct"/>
        <w:tblBorders>
          <w:top w:val="single" w:sz="6" w:space="0" w:color="7A7A7A"/>
          <w:left w:val="single" w:sz="6" w:space="0" w:color="7A7A7A"/>
          <w:bottom w:val="single" w:sz="6" w:space="0" w:color="7A7A7A"/>
          <w:right w:val="single" w:sz="6" w:space="0" w:color="7A7A7A"/>
          <w:insideH w:val="single" w:sz="6" w:space="0" w:color="7A7A7A"/>
          <w:insideV w:val="single" w:sz="6" w:space="0" w:color="7A7A7A"/>
        </w:tblBorders>
        <w:tblCellMar>
          <w:left w:w="0" w:type="dxa"/>
          <w:right w:w="0" w:type="dxa"/>
        </w:tblCellMar>
        <w:tblLook w:val="01E0" w:firstRow="1" w:lastRow="1" w:firstColumn="1" w:lastColumn="1" w:noHBand="0" w:noVBand="0"/>
      </w:tblPr>
      <w:tblGrid>
        <w:gridCol w:w="3464"/>
        <w:gridCol w:w="3464"/>
        <w:gridCol w:w="2694"/>
      </w:tblGrid>
      <w:tr w:rsidR="0066044C" w:rsidRPr="00F9257F" w:rsidTr="0026269F">
        <w:trPr>
          <w:trHeight w:val="520"/>
        </w:trPr>
        <w:tc>
          <w:tcPr>
            <w:tcW w:w="1800" w:type="pct"/>
            <w:tcBorders>
              <w:top w:val="single" w:sz="6" w:space="0" w:color="7A7A7A"/>
              <w:left w:val="single" w:sz="6" w:space="0" w:color="7A7A7A"/>
              <w:bottom w:val="single" w:sz="6" w:space="0" w:color="7A7A7A"/>
              <w:right w:val="single" w:sz="6" w:space="0" w:color="7A7A7A"/>
            </w:tcBorders>
            <w:hideMark/>
          </w:tcPr>
          <w:p w:rsidR="0066044C" w:rsidRPr="00F9257F" w:rsidRDefault="0066044C" w:rsidP="0026269F">
            <w:pPr>
              <w:pStyle w:val="TableParagraph"/>
              <w:ind w:right="2"/>
              <w:rPr>
                <w:sz w:val="24"/>
                <w:szCs w:val="24"/>
              </w:rPr>
            </w:pPr>
            <w:r w:rsidRPr="00F9257F">
              <w:rPr>
                <w:sz w:val="24"/>
                <w:szCs w:val="24"/>
              </w:rPr>
              <w:t>Blodurinstof (mg/100 ml)</w:t>
            </w:r>
          </w:p>
        </w:tc>
        <w:tc>
          <w:tcPr>
            <w:tcW w:w="1800" w:type="pct"/>
            <w:tcBorders>
              <w:top w:val="single" w:sz="6" w:space="0" w:color="7A7A7A"/>
              <w:left w:val="single" w:sz="6" w:space="0" w:color="7A7A7A"/>
              <w:bottom w:val="single" w:sz="6" w:space="0" w:color="7A7A7A"/>
              <w:right w:val="single" w:sz="6" w:space="0" w:color="7A7A7A"/>
            </w:tcBorders>
            <w:hideMark/>
          </w:tcPr>
          <w:p w:rsidR="0066044C" w:rsidRPr="00F9257F" w:rsidRDefault="0066044C" w:rsidP="0026269F">
            <w:pPr>
              <w:pStyle w:val="TableParagraph"/>
              <w:ind w:right="2"/>
              <w:rPr>
                <w:sz w:val="24"/>
                <w:szCs w:val="24"/>
              </w:rPr>
            </w:pPr>
            <w:r w:rsidRPr="00F9257F">
              <w:rPr>
                <w:sz w:val="24"/>
                <w:szCs w:val="24"/>
              </w:rPr>
              <w:t>Kreatininclearance (ml/min.)</w:t>
            </w:r>
          </w:p>
        </w:tc>
        <w:tc>
          <w:tcPr>
            <w:tcW w:w="1400" w:type="pct"/>
            <w:tcBorders>
              <w:top w:val="single" w:sz="6" w:space="0" w:color="7A7A7A"/>
              <w:left w:val="single" w:sz="6" w:space="0" w:color="7A7A7A"/>
              <w:bottom w:val="single" w:sz="6" w:space="0" w:color="7A7A7A"/>
              <w:right w:val="single" w:sz="6" w:space="0" w:color="7A7A7A"/>
            </w:tcBorders>
            <w:hideMark/>
          </w:tcPr>
          <w:p w:rsidR="0066044C" w:rsidRPr="00F9257F" w:rsidRDefault="0066044C" w:rsidP="0026269F">
            <w:pPr>
              <w:pStyle w:val="TableParagraph"/>
              <w:ind w:right="2"/>
              <w:rPr>
                <w:sz w:val="24"/>
                <w:szCs w:val="24"/>
              </w:rPr>
            </w:pPr>
            <w:r w:rsidRPr="00F9257F">
              <w:rPr>
                <w:sz w:val="24"/>
                <w:szCs w:val="24"/>
              </w:rPr>
              <w:t>Dosis og doseringsinterval</w:t>
            </w:r>
          </w:p>
        </w:tc>
      </w:tr>
      <w:tr w:rsidR="0066044C" w:rsidRPr="00F9257F" w:rsidTr="0026269F">
        <w:trPr>
          <w:trHeight w:val="260"/>
        </w:trPr>
        <w:tc>
          <w:tcPr>
            <w:tcW w:w="1800" w:type="pct"/>
            <w:tcBorders>
              <w:top w:val="single" w:sz="6" w:space="0" w:color="7A7A7A"/>
              <w:left w:val="single" w:sz="6" w:space="0" w:color="7A7A7A"/>
              <w:bottom w:val="nil"/>
              <w:right w:val="single" w:sz="6" w:space="0" w:color="7A7A7A"/>
            </w:tcBorders>
            <w:hideMark/>
          </w:tcPr>
          <w:p w:rsidR="0066044C" w:rsidRPr="00F9257F" w:rsidRDefault="0066044C" w:rsidP="0026269F">
            <w:pPr>
              <w:pStyle w:val="TableParagraph"/>
              <w:ind w:right="2"/>
              <w:rPr>
                <w:sz w:val="24"/>
                <w:szCs w:val="24"/>
              </w:rPr>
            </w:pPr>
            <w:r w:rsidRPr="00F9257F">
              <w:rPr>
                <w:sz w:val="24"/>
                <w:szCs w:val="24"/>
              </w:rPr>
              <w:t>&lt;40</w:t>
            </w:r>
          </w:p>
        </w:tc>
        <w:tc>
          <w:tcPr>
            <w:tcW w:w="1800" w:type="pct"/>
            <w:tcBorders>
              <w:top w:val="single" w:sz="6" w:space="0" w:color="7A7A7A"/>
              <w:left w:val="single" w:sz="6" w:space="0" w:color="7A7A7A"/>
              <w:bottom w:val="nil"/>
              <w:right w:val="single" w:sz="6" w:space="0" w:color="7A7A7A"/>
            </w:tcBorders>
            <w:hideMark/>
          </w:tcPr>
          <w:p w:rsidR="0066044C" w:rsidRPr="00F9257F" w:rsidRDefault="0066044C" w:rsidP="0026269F">
            <w:pPr>
              <w:pStyle w:val="TableParagraph"/>
              <w:ind w:right="2"/>
              <w:rPr>
                <w:sz w:val="24"/>
                <w:szCs w:val="24"/>
              </w:rPr>
            </w:pPr>
            <w:r w:rsidRPr="00F9257F">
              <w:rPr>
                <w:sz w:val="24"/>
                <w:szCs w:val="24"/>
              </w:rPr>
              <w:t>&gt;70</w:t>
            </w:r>
          </w:p>
        </w:tc>
        <w:tc>
          <w:tcPr>
            <w:tcW w:w="1400" w:type="pct"/>
            <w:tcBorders>
              <w:top w:val="single" w:sz="6" w:space="0" w:color="7A7A7A"/>
              <w:left w:val="single" w:sz="6" w:space="0" w:color="7A7A7A"/>
              <w:bottom w:val="nil"/>
              <w:right w:val="single" w:sz="6" w:space="0" w:color="7A7A7A"/>
            </w:tcBorders>
            <w:hideMark/>
          </w:tcPr>
          <w:p w:rsidR="0066044C" w:rsidRPr="00F9257F" w:rsidRDefault="0066044C" w:rsidP="0026269F">
            <w:pPr>
              <w:pStyle w:val="TableParagraph"/>
              <w:ind w:right="2"/>
              <w:rPr>
                <w:sz w:val="24"/>
                <w:szCs w:val="24"/>
              </w:rPr>
            </w:pPr>
            <w:r w:rsidRPr="00F9257F">
              <w:rPr>
                <w:sz w:val="24"/>
                <w:szCs w:val="24"/>
              </w:rPr>
              <w:t>80 mg† hver 8. time</w:t>
            </w:r>
          </w:p>
        </w:tc>
      </w:tr>
      <w:tr w:rsidR="0066044C" w:rsidRPr="00F9257F" w:rsidTr="0026269F">
        <w:trPr>
          <w:trHeight w:val="229"/>
        </w:trPr>
        <w:tc>
          <w:tcPr>
            <w:tcW w:w="1800" w:type="pct"/>
            <w:tcBorders>
              <w:top w:val="nil"/>
              <w:left w:val="single" w:sz="6" w:space="0" w:color="7A7A7A"/>
              <w:bottom w:val="nil"/>
              <w:right w:val="single" w:sz="6" w:space="0" w:color="7A7A7A"/>
            </w:tcBorders>
            <w:hideMark/>
          </w:tcPr>
          <w:p w:rsidR="0066044C" w:rsidRPr="00F9257F" w:rsidRDefault="0066044C" w:rsidP="0026269F">
            <w:pPr>
              <w:pStyle w:val="TableParagraph"/>
              <w:ind w:right="2"/>
              <w:rPr>
                <w:sz w:val="24"/>
                <w:szCs w:val="24"/>
              </w:rPr>
            </w:pPr>
            <w:r w:rsidRPr="00F9257F">
              <w:rPr>
                <w:sz w:val="24"/>
                <w:szCs w:val="24"/>
              </w:rPr>
              <w:t>40 - 100</w:t>
            </w:r>
          </w:p>
        </w:tc>
        <w:tc>
          <w:tcPr>
            <w:tcW w:w="1800" w:type="pct"/>
            <w:tcBorders>
              <w:top w:val="nil"/>
              <w:left w:val="single" w:sz="6" w:space="0" w:color="7A7A7A"/>
              <w:bottom w:val="nil"/>
              <w:right w:val="single" w:sz="6" w:space="0" w:color="7A7A7A"/>
            </w:tcBorders>
            <w:hideMark/>
          </w:tcPr>
          <w:p w:rsidR="0066044C" w:rsidRPr="00F9257F" w:rsidRDefault="0066044C" w:rsidP="0026269F">
            <w:pPr>
              <w:pStyle w:val="TableParagraph"/>
              <w:ind w:right="2"/>
              <w:rPr>
                <w:sz w:val="24"/>
                <w:szCs w:val="24"/>
              </w:rPr>
            </w:pPr>
            <w:r w:rsidRPr="00F9257F">
              <w:rPr>
                <w:sz w:val="24"/>
                <w:szCs w:val="24"/>
              </w:rPr>
              <w:t>30 - 70</w:t>
            </w:r>
          </w:p>
        </w:tc>
        <w:tc>
          <w:tcPr>
            <w:tcW w:w="1400" w:type="pct"/>
            <w:tcBorders>
              <w:top w:val="nil"/>
              <w:left w:val="single" w:sz="6" w:space="0" w:color="7A7A7A"/>
              <w:bottom w:val="nil"/>
              <w:right w:val="single" w:sz="6" w:space="0" w:color="7A7A7A"/>
            </w:tcBorders>
            <w:hideMark/>
          </w:tcPr>
          <w:p w:rsidR="0066044C" w:rsidRPr="00F9257F" w:rsidRDefault="0066044C" w:rsidP="0026269F">
            <w:pPr>
              <w:pStyle w:val="TableParagraph"/>
              <w:ind w:right="2"/>
              <w:rPr>
                <w:sz w:val="24"/>
                <w:szCs w:val="24"/>
              </w:rPr>
            </w:pPr>
            <w:r w:rsidRPr="00F9257F">
              <w:rPr>
                <w:sz w:val="24"/>
                <w:szCs w:val="24"/>
              </w:rPr>
              <w:t>80 mg† hver 12. time</w:t>
            </w:r>
          </w:p>
        </w:tc>
      </w:tr>
      <w:tr w:rsidR="0066044C" w:rsidRPr="00F9257F" w:rsidTr="0026269F">
        <w:trPr>
          <w:trHeight w:val="230"/>
        </w:trPr>
        <w:tc>
          <w:tcPr>
            <w:tcW w:w="1800" w:type="pct"/>
            <w:tcBorders>
              <w:top w:val="nil"/>
              <w:left w:val="single" w:sz="6" w:space="0" w:color="7A7A7A"/>
              <w:bottom w:val="nil"/>
              <w:right w:val="single" w:sz="6" w:space="0" w:color="7A7A7A"/>
            </w:tcBorders>
            <w:hideMark/>
          </w:tcPr>
          <w:p w:rsidR="0066044C" w:rsidRPr="00F9257F" w:rsidRDefault="0066044C" w:rsidP="0026269F">
            <w:pPr>
              <w:pStyle w:val="TableParagraph"/>
              <w:ind w:right="2"/>
              <w:rPr>
                <w:sz w:val="24"/>
                <w:szCs w:val="24"/>
              </w:rPr>
            </w:pPr>
            <w:r w:rsidRPr="00F9257F">
              <w:rPr>
                <w:sz w:val="24"/>
                <w:szCs w:val="24"/>
              </w:rPr>
              <w:t>100 - 200</w:t>
            </w:r>
          </w:p>
        </w:tc>
        <w:tc>
          <w:tcPr>
            <w:tcW w:w="1800" w:type="pct"/>
            <w:tcBorders>
              <w:top w:val="nil"/>
              <w:left w:val="single" w:sz="6" w:space="0" w:color="7A7A7A"/>
              <w:bottom w:val="nil"/>
              <w:right w:val="single" w:sz="6" w:space="0" w:color="7A7A7A"/>
            </w:tcBorders>
            <w:hideMark/>
          </w:tcPr>
          <w:p w:rsidR="0066044C" w:rsidRPr="00F9257F" w:rsidRDefault="0066044C" w:rsidP="0026269F">
            <w:pPr>
              <w:pStyle w:val="TableParagraph"/>
              <w:ind w:right="2"/>
              <w:rPr>
                <w:sz w:val="24"/>
                <w:szCs w:val="24"/>
              </w:rPr>
            </w:pPr>
            <w:r w:rsidRPr="00F9257F">
              <w:rPr>
                <w:sz w:val="24"/>
                <w:szCs w:val="24"/>
              </w:rPr>
              <w:t>10 - 30</w:t>
            </w:r>
          </w:p>
        </w:tc>
        <w:tc>
          <w:tcPr>
            <w:tcW w:w="1400" w:type="pct"/>
            <w:tcBorders>
              <w:top w:val="nil"/>
              <w:left w:val="single" w:sz="6" w:space="0" w:color="7A7A7A"/>
              <w:bottom w:val="nil"/>
              <w:right w:val="single" w:sz="6" w:space="0" w:color="7A7A7A"/>
            </w:tcBorders>
            <w:hideMark/>
          </w:tcPr>
          <w:p w:rsidR="0066044C" w:rsidRPr="00F9257F" w:rsidRDefault="0066044C" w:rsidP="0026269F">
            <w:pPr>
              <w:pStyle w:val="TableParagraph"/>
              <w:ind w:right="2"/>
              <w:rPr>
                <w:sz w:val="24"/>
                <w:szCs w:val="24"/>
              </w:rPr>
            </w:pPr>
            <w:r w:rsidRPr="00F9257F">
              <w:rPr>
                <w:sz w:val="24"/>
                <w:szCs w:val="24"/>
              </w:rPr>
              <w:t>80 mg† dagligt</w:t>
            </w:r>
          </w:p>
        </w:tc>
      </w:tr>
      <w:tr w:rsidR="0066044C" w:rsidRPr="00F9257F" w:rsidTr="0026269F">
        <w:trPr>
          <w:trHeight w:val="229"/>
        </w:trPr>
        <w:tc>
          <w:tcPr>
            <w:tcW w:w="1800" w:type="pct"/>
            <w:tcBorders>
              <w:top w:val="nil"/>
              <w:left w:val="single" w:sz="6" w:space="0" w:color="7A7A7A"/>
              <w:bottom w:val="nil"/>
              <w:right w:val="single" w:sz="6" w:space="0" w:color="7A7A7A"/>
            </w:tcBorders>
            <w:hideMark/>
          </w:tcPr>
          <w:p w:rsidR="0066044C" w:rsidRPr="00F9257F" w:rsidRDefault="0066044C" w:rsidP="0026269F">
            <w:pPr>
              <w:pStyle w:val="TableParagraph"/>
              <w:ind w:right="2"/>
              <w:rPr>
                <w:sz w:val="24"/>
                <w:szCs w:val="24"/>
              </w:rPr>
            </w:pPr>
            <w:r w:rsidRPr="00F9257F">
              <w:rPr>
                <w:sz w:val="24"/>
                <w:szCs w:val="24"/>
              </w:rPr>
              <w:t>&gt;200</w:t>
            </w:r>
          </w:p>
        </w:tc>
        <w:tc>
          <w:tcPr>
            <w:tcW w:w="1800" w:type="pct"/>
            <w:tcBorders>
              <w:top w:val="nil"/>
              <w:left w:val="single" w:sz="6" w:space="0" w:color="7A7A7A"/>
              <w:bottom w:val="nil"/>
              <w:right w:val="single" w:sz="6" w:space="0" w:color="7A7A7A"/>
            </w:tcBorders>
            <w:hideMark/>
          </w:tcPr>
          <w:p w:rsidR="0066044C" w:rsidRPr="00F9257F" w:rsidRDefault="0066044C" w:rsidP="0026269F">
            <w:pPr>
              <w:pStyle w:val="TableParagraph"/>
              <w:ind w:right="2"/>
              <w:rPr>
                <w:sz w:val="24"/>
                <w:szCs w:val="24"/>
              </w:rPr>
            </w:pPr>
            <w:r w:rsidRPr="00F9257F">
              <w:rPr>
                <w:sz w:val="24"/>
                <w:szCs w:val="24"/>
              </w:rPr>
              <w:t>5 - 10</w:t>
            </w:r>
          </w:p>
        </w:tc>
        <w:tc>
          <w:tcPr>
            <w:tcW w:w="1400" w:type="pct"/>
            <w:tcBorders>
              <w:top w:val="nil"/>
              <w:left w:val="single" w:sz="6" w:space="0" w:color="7A7A7A"/>
              <w:bottom w:val="nil"/>
              <w:right w:val="single" w:sz="6" w:space="0" w:color="7A7A7A"/>
            </w:tcBorders>
            <w:hideMark/>
          </w:tcPr>
          <w:p w:rsidR="0066044C" w:rsidRPr="00F9257F" w:rsidRDefault="0066044C" w:rsidP="0026269F">
            <w:pPr>
              <w:pStyle w:val="TableParagraph"/>
              <w:ind w:right="2"/>
              <w:rPr>
                <w:sz w:val="24"/>
                <w:szCs w:val="24"/>
              </w:rPr>
            </w:pPr>
            <w:r w:rsidRPr="00F9257F">
              <w:rPr>
                <w:sz w:val="24"/>
                <w:szCs w:val="24"/>
              </w:rPr>
              <w:t>80 mg† hver 48. time</w:t>
            </w:r>
          </w:p>
        </w:tc>
      </w:tr>
      <w:tr w:rsidR="0066044C" w:rsidRPr="00F9257F" w:rsidTr="0026269F">
        <w:trPr>
          <w:trHeight w:val="229"/>
        </w:trPr>
        <w:tc>
          <w:tcPr>
            <w:tcW w:w="1800" w:type="pct"/>
            <w:tcBorders>
              <w:top w:val="nil"/>
              <w:left w:val="single" w:sz="6" w:space="0" w:color="7A7A7A"/>
              <w:bottom w:val="nil"/>
              <w:right w:val="single" w:sz="6" w:space="0" w:color="7A7A7A"/>
            </w:tcBorders>
            <w:hideMark/>
          </w:tcPr>
          <w:p w:rsidR="0066044C" w:rsidRPr="00F9257F" w:rsidRDefault="0066044C" w:rsidP="0026269F">
            <w:pPr>
              <w:pStyle w:val="TableParagraph"/>
              <w:ind w:right="2"/>
              <w:rPr>
                <w:sz w:val="24"/>
                <w:szCs w:val="24"/>
              </w:rPr>
            </w:pPr>
            <w:r w:rsidRPr="00F9257F">
              <w:rPr>
                <w:sz w:val="24"/>
                <w:szCs w:val="24"/>
              </w:rPr>
              <w:t>Intermitterende hæmodialyse to gange ugentligt</w:t>
            </w:r>
          </w:p>
        </w:tc>
        <w:tc>
          <w:tcPr>
            <w:tcW w:w="1800" w:type="pct"/>
            <w:tcBorders>
              <w:top w:val="nil"/>
              <w:left w:val="single" w:sz="6" w:space="0" w:color="7A7A7A"/>
              <w:bottom w:val="nil"/>
              <w:right w:val="single" w:sz="6" w:space="0" w:color="7A7A7A"/>
            </w:tcBorders>
            <w:hideMark/>
          </w:tcPr>
          <w:p w:rsidR="0066044C" w:rsidRPr="00F9257F" w:rsidRDefault="0066044C" w:rsidP="0026269F">
            <w:pPr>
              <w:pStyle w:val="TableParagraph"/>
              <w:ind w:right="2"/>
              <w:rPr>
                <w:sz w:val="24"/>
                <w:szCs w:val="24"/>
              </w:rPr>
            </w:pPr>
            <w:r w:rsidRPr="00F9257F">
              <w:rPr>
                <w:sz w:val="24"/>
                <w:szCs w:val="24"/>
              </w:rPr>
              <w:t>&lt;5</w:t>
            </w:r>
          </w:p>
        </w:tc>
        <w:tc>
          <w:tcPr>
            <w:tcW w:w="1400" w:type="pct"/>
            <w:tcBorders>
              <w:top w:val="nil"/>
              <w:left w:val="single" w:sz="6" w:space="0" w:color="7A7A7A"/>
              <w:bottom w:val="nil"/>
              <w:right w:val="single" w:sz="6" w:space="0" w:color="7A7A7A"/>
            </w:tcBorders>
            <w:hideMark/>
          </w:tcPr>
          <w:p w:rsidR="0066044C" w:rsidRPr="00F9257F" w:rsidRDefault="0066044C" w:rsidP="0026269F">
            <w:pPr>
              <w:pStyle w:val="TableParagraph"/>
              <w:ind w:right="2"/>
              <w:rPr>
                <w:sz w:val="24"/>
                <w:szCs w:val="24"/>
              </w:rPr>
            </w:pPr>
            <w:r w:rsidRPr="00F9257F">
              <w:rPr>
                <w:sz w:val="24"/>
                <w:szCs w:val="24"/>
              </w:rPr>
              <w:t>80 mg† efter dialyse</w:t>
            </w:r>
          </w:p>
        </w:tc>
      </w:tr>
      <w:tr w:rsidR="0066044C" w:rsidRPr="00F9257F" w:rsidTr="0026269F">
        <w:trPr>
          <w:trHeight w:val="63"/>
        </w:trPr>
        <w:tc>
          <w:tcPr>
            <w:tcW w:w="1800" w:type="pct"/>
            <w:tcBorders>
              <w:top w:val="nil"/>
              <w:left w:val="single" w:sz="6" w:space="0" w:color="7A7A7A"/>
              <w:bottom w:val="single" w:sz="6" w:space="0" w:color="7A7A7A"/>
              <w:right w:val="single" w:sz="6" w:space="0" w:color="7A7A7A"/>
            </w:tcBorders>
          </w:tcPr>
          <w:p w:rsidR="0066044C" w:rsidRPr="00F9257F" w:rsidRDefault="0066044C" w:rsidP="0026269F">
            <w:pPr>
              <w:pStyle w:val="TableParagraph"/>
              <w:ind w:right="2"/>
              <w:rPr>
                <w:sz w:val="24"/>
                <w:szCs w:val="24"/>
              </w:rPr>
            </w:pPr>
          </w:p>
        </w:tc>
        <w:tc>
          <w:tcPr>
            <w:tcW w:w="1800" w:type="pct"/>
            <w:tcBorders>
              <w:top w:val="nil"/>
              <w:left w:val="single" w:sz="6" w:space="0" w:color="7A7A7A"/>
              <w:bottom w:val="single" w:sz="6" w:space="0" w:color="7A7A7A"/>
              <w:right w:val="single" w:sz="6" w:space="0" w:color="7A7A7A"/>
            </w:tcBorders>
          </w:tcPr>
          <w:p w:rsidR="0066044C" w:rsidRPr="00F9257F" w:rsidRDefault="0066044C" w:rsidP="0026269F">
            <w:pPr>
              <w:pStyle w:val="TableParagraph"/>
              <w:ind w:right="2"/>
              <w:rPr>
                <w:sz w:val="24"/>
                <w:szCs w:val="24"/>
              </w:rPr>
            </w:pPr>
          </w:p>
        </w:tc>
        <w:tc>
          <w:tcPr>
            <w:tcW w:w="1400" w:type="pct"/>
            <w:tcBorders>
              <w:top w:val="nil"/>
              <w:left w:val="single" w:sz="6" w:space="0" w:color="7A7A7A"/>
              <w:bottom w:val="single" w:sz="6" w:space="0" w:color="7A7A7A"/>
              <w:right w:val="single" w:sz="6" w:space="0" w:color="7A7A7A"/>
            </w:tcBorders>
          </w:tcPr>
          <w:p w:rsidR="0066044C" w:rsidRPr="00F9257F" w:rsidRDefault="0066044C" w:rsidP="0026269F">
            <w:pPr>
              <w:pStyle w:val="TableParagraph"/>
              <w:ind w:right="2"/>
              <w:rPr>
                <w:sz w:val="24"/>
                <w:szCs w:val="24"/>
              </w:rPr>
            </w:pPr>
          </w:p>
        </w:tc>
      </w:tr>
      <w:tr w:rsidR="0066044C" w:rsidRPr="00F9257F" w:rsidTr="0026269F">
        <w:trPr>
          <w:trHeight w:val="289"/>
        </w:trPr>
        <w:tc>
          <w:tcPr>
            <w:tcW w:w="5000" w:type="pct"/>
            <w:gridSpan w:val="3"/>
            <w:tcBorders>
              <w:top w:val="single" w:sz="6" w:space="0" w:color="7A7A7A"/>
              <w:left w:val="single" w:sz="6" w:space="0" w:color="7A7A7A"/>
              <w:bottom w:val="single" w:sz="6" w:space="0" w:color="7A7A7A"/>
              <w:right w:val="single" w:sz="6" w:space="0" w:color="7A7A7A"/>
            </w:tcBorders>
            <w:hideMark/>
          </w:tcPr>
          <w:p w:rsidR="0066044C" w:rsidRPr="00F9257F" w:rsidRDefault="0066044C" w:rsidP="0026269F">
            <w:pPr>
              <w:pStyle w:val="TableParagraph"/>
              <w:ind w:right="2"/>
              <w:rPr>
                <w:sz w:val="24"/>
                <w:szCs w:val="24"/>
              </w:rPr>
            </w:pPr>
            <w:r w:rsidRPr="00F9257F">
              <w:rPr>
                <w:sz w:val="24"/>
                <w:szCs w:val="24"/>
              </w:rPr>
              <w:t>† 60 mg hvis legemsvægt &lt;60 kg</w:t>
            </w:r>
          </w:p>
        </w:tc>
      </w:tr>
    </w:tbl>
    <w:p w:rsidR="0066044C" w:rsidRDefault="0066044C" w:rsidP="0066044C">
      <w:pPr>
        <w:pStyle w:val="Brdtekst"/>
      </w:pPr>
    </w:p>
    <w:p w:rsidR="0066044C" w:rsidRPr="00F9257F" w:rsidRDefault="0066044C" w:rsidP="0066044C">
      <w:pPr>
        <w:ind w:left="851"/>
        <w:rPr>
          <w:sz w:val="24"/>
          <w:szCs w:val="24"/>
        </w:rPr>
      </w:pPr>
      <w:r w:rsidRPr="00F9257F">
        <w:rPr>
          <w:sz w:val="24"/>
          <w:szCs w:val="24"/>
        </w:rPr>
        <w:t>Hvis dosis ikke reduceres, og/eller doseringsintervallet ikke forlænges, kan der opnås unormalt høje og muligvis toksiske koncentrationer i blod og væv på grund af akkumulering.</w:t>
      </w:r>
    </w:p>
    <w:p w:rsidR="0066044C" w:rsidRPr="00F9257F" w:rsidRDefault="0066044C" w:rsidP="0066044C">
      <w:pPr>
        <w:ind w:left="851"/>
        <w:rPr>
          <w:sz w:val="24"/>
          <w:szCs w:val="24"/>
        </w:rPr>
      </w:pPr>
    </w:p>
    <w:p w:rsidR="0066044C" w:rsidRPr="00F9257F" w:rsidRDefault="0066044C" w:rsidP="0066044C">
      <w:pPr>
        <w:ind w:left="851"/>
        <w:rPr>
          <w:sz w:val="24"/>
          <w:szCs w:val="24"/>
        </w:rPr>
      </w:pPr>
      <w:r w:rsidRPr="00F9257F">
        <w:rPr>
          <w:sz w:val="24"/>
          <w:szCs w:val="24"/>
        </w:rPr>
        <w:t>Behandlingsregime med en enkelt daglig dosis og korte behandlingsperioder skal foretrækkes (sædvanligvis 1 eller 2 injektioner). Øvrige risikofaktorer, der fremmer aminoglycosid-nefrotoksicitet, skal tages i betragtning, og der skal udføres monitorering af nyrefunktion og cochleærfunktion (se pkt. 4.4 og 4.8).</w:t>
      </w:r>
    </w:p>
    <w:p w:rsidR="0066044C" w:rsidRPr="00F9257F" w:rsidRDefault="0066044C" w:rsidP="0066044C">
      <w:pPr>
        <w:ind w:left="851"/>
        <w:rPr>
          <w:sz w:val="24"/>
          <w:szCs w:val="24"/>
        </w:rPr>
      </w:pPr>
    </w:p>
    <w:p w:rsidR="0066044C" w:rsidRPr="00F9257F" w:rsidRDefault="0066044C" w:rsidP="0066044C">
      <w:pPr>
        <w:ind w:left="851"/>
        <w:rPr>
          <w:sz w:val="24"/>
          <w:szCs w:val="24"/>
        </w:rPr>
      </w:pPr>
      <w:r w:rsidRPr="00F9257F">
        <w:rPr>
          <w:sz w:val="24"/>
          <w:szCs w:val="24"/>
        </w:rPr>
        <w:t>Ved første injektion er doseringen den samme som til patienter med normal nyrefunktion, uanset graden af nedsat nyrefunktion (herunder alle situationer, hvor dialyse indgår).</w:t>
      </w:r>
    </w:p>
    <w:p w:rsidR="0066044C" w:rsidRPr="00F9257F" w:rsidRDefault="0066044C" w:rsidP="0066044C">
      <w:pPr>
        <w:ind w:left="851"/>
        <w:rPr>
          <w:sz w:val="24"/>
          <w:szCs w:val="24"/>
        </w:rPr>
      </w:pPr>
      <w:r w:rsidRPr="00F9257F">
        <w:rPr>
          <w:sz w:val="24"/>
          <w:szCs w:val="24"/>
        </w:rPr>
        <w:t>Yderligere injektioner skal udføres med samme dosis som første injektion, medmindre den enkelte dosis skal justeres i henhold til peak assay.</w:t>
      </w:r>
    </w:p>
    <w:p w:rsidR="0066044C" w:rsidRPr="00F9257F" w:rsidRDefault="0066044C" w:rsidP="0066044C">
      <w:pPr>
        <w:ind w:left="851"/>
        <w:rPr>
          <w:sz w:val="24"/>
          <w:szCs w:val="24"/>
        </w:rPr>
      </w:pPr>
    </w:p>
    <w:p w:rsidR="0066044C" w:rsidRPr="00F9257F" w:rsidRDefault="0066044C" w:rsidP="0066044C">
      <w:pPr>
        <w:ind w:left="851"/>
        <w:rPr>
          <w:sz w:val="24"/>
          <w:szCs w:val="24"/>
        </w:rPr>
      </w:pPr>
      <w:r w:rsidRPr="00F9257F">
        <w:rPr>
          <w:sz w:val="24"/>
          <w:szCs w:val="24"/>
          <w:u w:val="single"/>
        </w:rPr>
        <w:t>Renal erstatningsterapi</w:t>
      </w:r>
      <w:r w:rsidRPr="00F9257F">
        <w:rPr>
          <w:sz w:val="24"/>
          <w:szCs w:val="24"/>
        </w:rPr>
        <w:t>: Patienter i dialyse bør få injektioner 2 til 4 timer før dialysen for at mindske risikoen for toksicitet.</w:t>
      </w:r>
    </w:p>
    <w:p w:rsidR="0066044C" w:rsidRPr="00F9257F" w:rsidRDefault="0066044C" w:rsidP="0066044C">
      <w:pPr>
        <w:ind w:left="851"/>
        <w:rPr>
          <w:sz w:val="24"/>
          <w:szCs w:val="24"/>
        </w:rPr>
      </w:pPr>
      <w:r w:rsidRPr="00F9257F">
        <w:rPr>
          <w:sz w:val="24"/>
          <w:szCs w:val="24"/>
        </w:rPr>
        <w:t>Justering af behandlingen bør overvejes ved at udføre gentagne analyser for at bestemme restniveauer; gentamicin kan kun injiceres igen, når niveauerne er under toksicitets</w:t>
      </w:r>
      <w:r>
        <w:rPr>
          <w:sz w:val="24"/>
          <w:szCs w:val="24"/>
        </w:rPr>
        <w:softHyphen/>
      </w:r>
      <w:r w:rsidRPr="00F9257F">
        <w:rPr>
          <w:sz w:val="24"/>
          <w:szCs w:val="24"/>
        </w:rPr>
        <w:t>grænsen.</w:t>
      </w:r>
    </w:p>
    <w:p w:rsidR="0066044C" w:rsidRDefault="0066044C" w:rsidP="0066044C"/>
    <w:p w:rsidR="0066044C" w:rsidRPr="00F9257F" w:rsidRDefault="0066044C" w:rsidP="0066044C">
      <w:pPr>
        <w:ind w:left="851"/>
        <w:rPr>
          <w:sz w:val="24"/>
          <w:szCs w:val="24"/>
        </w:rPr>
      </w:pPr>
      <w:r w:rsidRPr="00F9257F">
        <w:rPr>
          <w:sz w:val="24"/>
          <w:szCs w:val="24"/>
          <w:u w:val="single"/>
        </w:rPr>
        <w:lastRenderedPageBreak/>
        <w:t>Patienter med nedsat nyrefunktion, der ikke får renal erstatningsterapi</w:t>
      </w:r>
      <w:r w:rsidRPr="00F9257F">
        <w:rPr>
          <w:sz w:val="24"/>
          <w:szCs w:val="24"/>
        </w:rPr>
        <w:t>: Der skal ikke gives yderligere injektioner, når restniveauer er over toksicitetsgrænsen (se pkt. 4.2 og 4.4).</w:t>
      </w:r>
    </w:p>
    <w:p w:rsidR="0066044C" w:rsidRPr="00F9257F" w:rsidRDefault="0066044C" w:rsidP="0066044C">
      <w:pPr>
        <w:ind w:left="851"/>
        <w:rPr>
          <w:sz w:val="24"/>
          <w:szCs w:val="24"/>
        </w:rPr>
      </w:pPr>
      <w:r w:rsidRPr="00F9257F">
        <w:rPr>
          <w:sz w:val="24"/>
          <w:szCs w:val="24"/>
        </w:rPr>
        <w:t>Hvis residualanalysen (udføres sædvanligvis 24 timer post-dosis) er højere end toksicitetsgrænsen, skal analysen gentages 24 timer senere.</w:t>
      </w:r>
    </w:p>
    <w:p w:rsidR="0066044C" w:rsidRPr="00F9257F" w:rsidRDefault="0066044C" w:rsidP="0066044C">
      <w:pPr>
        <w:ind w:left="851"/>
        <w:rPr>
          <w:sz w:val="24"/>
          <w:szCs w:val="24"/>
        </w:rPr>
      </w:pPr>
    </w:p>
    <w:p w:rsidR="0066044C" w:rsidRPr="00F9257F" w:rsidRDefault="0066044C" w:rsidP="0066044C">
      <w:pPr>
        <w:ind w:left="851"/>
        <w:rPr>
          <w:i/>
          <w:sz w:val="24"/>
          <w:szCs w:val="24"/>
        </w:rPr>
      </w:pPr>
      <w:r w:rsidRPr="00F9257F">
        <w:rPr>
          <w:i/>
          <w:sz w:val="24"/>
          <w:szCs w:val="24"/>
        </w:rPr>
        <w:t>Patienter med nedsat leverfunktion</w:t>
      </w:r>
    </w:p>
    <w:p w:rsidR="0066044C" w:rsidRPr="00F9257F" w:rsidRDefault="0066044C" w:rsidP="0066044C">
      <w:pPr>
        <w:ind w:left="851"/>
        <w:rPr>
          <w:sz w:val="24"/>
          <w:szCs w:val="24"/>
        </w:rPr>
      </w:pPr>
      <w:r w:rsidRPr="00F9257F">
        <w:rPr>
          <w:sz w:val="24"/>
          <w:szCs w:val="24"/>
        </w:rPr>
        <w:t>Hos patienter med nedsat leverfunktion er det ikke nødvendigt med dosisjustering.</w:t>
      </w:r>
    </w:p>
    <w:p w:rsidR="0066044C" w:rsidRPr="00F9257F" w:rsidRDefault="0066044C" w:rsidP="0066044C">
      <w:pPr>
        <w:ind w:left="851"/>
        <w:rPr>
          <w:sz w:val="24"/>
          <w:szCs w:val="24"/>
        </w:rPr>
      </w:pPr>
    </w:p>
    <w:p w:rsidR="0066044C" w:rsidRPr="00F9257F" w:rsidRDefault="0066044C" w:rsidP="0066044C">
      <w:pPr>
        <w:ind w:left="851"/>
        <w:rPr>
          <w:i/>
          <w:sz w:val="24"/>
          <w:szCs w:val="24"/>
        </w:rPr>
      </w:pPr>
      <w:r w:rsidRPr="00F9257F">
        <w:rPr>
          <w:i/>
          <w:sz w:val="24"/>
          <w:szCs w:val="24"/>
        </w:rPr>
        <w:t>Overvægtige patienter</w:t>
      </w:r>
    </w:p>
    <w:p w:rsidR="0066044C" w:rsidRPr="00F9257F" w:rsidRDefault="0066044C" w:rsidP="0066044C">
      <w:pPr>
        <w:ind w:left="851"/>
        <w:rPr>
          <w:sz w:val="24"/>
          <w:szCs w:val="24"/>
        </w:rPr>
      </w:pPr>
      <w:r w:rsidRPr="00F9257F">
        <w:rPr>
          <w:sz w:val="24"/>
          <w:szCs w:val="24"/>
        </w:rPr>
        <w:t>Dosis i mg/kg skal beregnes ud fra den justerede legemsvægt:</w:t>
      </w:r>
    </w:p>
    <w:p w:rsidR="0066044C" w:rsidRPr="00F9257F" w:rsidRDefault="0066044C" w:rsidP="0066044C">
      <w:pPr>
        <w:pStyle w:val="Brdtekst"/>
        <w:ind w:left="851"/>
        <w:rPr>
          <w:sz w:val="24"/>
          <w:szCs w:val="24"/>
        </w:rPr>
      </w:pPr>
    </w:p>
    <w:p w:rsidR="0066044C" w:rsidRPr="00F9257F" w:rsidRDefault="0066044C" w:rsidP="0066044C">
      <w:pPr>
        <w:ind w:left="851"/>
        <w:rPr>
          <w:sz w:val="24"/>
          <w:szCs w:val="24"/>
        </w:rPr>
      </w:pPr>
      <w:r w:rsidRPr="00F9257F">
        <w:rPr>
          <w:sz w:val="24"/>
          <w:szCs w:val="24"/>
        </w:rPr>
        <w:t>Justeret legemsvægt = idealvægt</w:t>
      </w:r>
      <w:r w:rsidRPr="00F9257F">
        <w:rPr>
          <w:sz w:val="24"/>
          <w:szCs w:val="24"/>
          <w:vertAlign w:val="superscript"/>
        </w:rPr>
        <w:t>1</w:t>
      </w:r>
      <w:r w:rsidRPr="00F9257F">
        <w:rPr>
          <w:sz w:val="24"/>
          <w:szCs w:val="24"/>
        </w:rPr>
        <w:t xml:space="preserve"> + 0,43 x overvægt (Overvægt = totalvægt - idealvægt)</w:t>
      </w:r>
    </w:p>
    <w:p w:rsidR="0066044C" w:rsidRPr="00F9257F" w:rsidRDefault="0066044C" w:rsidP="0066044C">
      <w:pPr>
        <w:ind w:left="851"/>
        <w:rPr>
          <w:sz w:val="24"/>
          <w:szCs w:val="24"/>
        </w:rPr>
      </w:pPr>
    </w:p>
    <w:p w:rsidR="0066044C" w:rsidRPr="00F9257F" w:rsidRDefault="0066044C" w:rsidP="0066044C">
      <w:pPr>
        <w:ind w:left="851"/>
        <w:rPr>
          <w:sz w:val="24"/>
          <w:szCs w:val="24"/>
        </w:rPr>
      </w:pPr>
      <w:r w:rsidRPr="00F9257F">
        <w:rPr>
          <w:sz w:val="24"/>
          <w:szCs w:val="24"/>
          <w:vertAlign w:val="superscript"/>
        </w:rPr>
        <w:t>1</w:t>
      </w:r>
      <w:r w:rsidRPr="00F9257F">
        <w:rPr>
          <w:sz w:val="24"/>
          <w:szCs w:val="24"/>
        </w:rPr>
        <w:t xml:space="preserve"> Lorentz-formel (idealvægt udtrykt i kg):</w:t>
      </w:r>
    </w:p>
    <w:p w:rsidR="0066044C" w:rsidRDefault="0066044C" w:rsidP="0066044C">
      <w:pPr>
        <w:ind w:left="851"/>
        <w:rPr>
          <w:sz w:val="24"/>
          <w:szCs w:val="24"/>
        </w:rPr>
      </w:pPr>
      <w:r w:rsidRPr="00F9257F">
        <w:rPr>
          <w:sz w:val="24"/>
          <w:szCs w:val="24"/>
        </w:rPr>
        <w:t xml:space="preserve">Kvinder = højde (cm) - 100 - [højde (cm) - 150] / 2 </w:t>
      </w:r>
    </w:p>
    <w:p w:rsidR="0066044C" w:rsidRDefault="0066044C" w:rsidP="0066044C">
      <w:pPr>
        <w:ind w:left="851"/>
        <w:rPr>
          <w:sz w:val="24"/>
          <w:szCs w:val="24"/>
        </w:rPr>
      </w:pPr>
      <w:r w:rsidRPr="00F9257F">
        <w:rPr>
          <w:sz w:val="24"/>
          <w:szCs w:val="24"/>
        </w:rPr>
        <w:t xml:space="preserve">Mænd = højde (cm) - 100 - [højde (cm) - 150] / 4 </w:t>
      </w:r>
    </w:p>
    <w:p w:rsidR="0066044C" w:rsidRPr="00F9257F" w:rsidRDefault="0066044C" w:rsidP="0066044C">
      <w:pPr>
        <w:ind w:left="851"/>
        <w:rPr>
          <w:sz w:val="24"/>
          <w:szCs w:val="24"/>
        </w:rPr>
      </w:pPr>
      <w:r w:rsidRPr="00F9257F">
        <w:rPr>
          <w:sz w:val="24"/>
          <w:szCs w:val="24"/>
        </w:rPr>
        <w:t>Betingelser for anvendelse af denne formel:</w:t>
      </w:r>
    </w:p>
    <w:p w:rsidR="0066044C" w:rsidRPr="00240190" w:rsidRDefault="0066044C" w:rsidP="0066044C">
      <w:pPr>
        <w:pStyle w:val="Listeafsnit"/>
        <w:numPr>
          <w:ilvl w:val="0"/>
          <w:numId w:val="7"/>
        </w:numPr>
        <w:ind w:left="1276" w:hanging="425"/>
        <w:rPr>
          <w:sz w:val="24"/>
          <w:szCs w:val="24"/>
        </w:rPr>
      </w:pPr>
      <w:r w:rsidRPr="00240190">
        <w:rPr>
          <w:sz w:val="24"/>
          <w:szCs w:val="24"/>
        </w:rPr>
        <w:t>alder over 18 år</w:t>
      </w:r>
    </w:p>
    <w:p w:rsidR="0066044C" w:rsidRPr="00240190" w:rsidRDefault="0066044C" w:rsidP="0066044C">
      <w:pPr>
        <w:pStyle w:val="Listeafsnit"/>
        <w:numPr>
          <w:ilvl w:val="0"/>
          <w:numId w:val="7"/>
        </w:numPr>
        <w:ind w:left="1276" w:hanging="425"/>
        <w:rPr>
          <w:sz w:val="24"/>
          <w:szCs w:val="24"/>
        </w:rPr>
      </w:pPr>
      <w:r w:rsidRPr="00240190">
        <w:rPr>
          <w:sz w:val="24"/>
          <w:szCs w:val="24"/>
        </w:rPr>
        <w:t>højde mellem 140 og 220 cm.</w:t>
      </w:r>
    </w:p>
    <w:p w:rsidR="0066044C" w:rsidRPr="00F9257F" w:rsidRDefault="0066044C" w:rsidP="0066044C">
      <w:pPr>
        <w:ind w:left="851"/>
        <w:rPr>
          <w:sz w:val="24"/>
          <w:szCs w:val="24"/>
        </w:rPr>
      </w:pPr>
    </w:p>
    <w:p w:rsidR="0066044C" w:rsidRPr="00F9257F" w:rsidRDefault="0066044C" w:rsidP="0066044C">
      <w:pPr>
        <w:ind w:left="851"/>
        <w:rPr>
          <w:sz w:val="24"/>
          <w:szCs w:val="24"/>
        </w:rPr>
      </w:pPr>
      <w:r w:rsidRPr="00F9257F">
        <w:rPr>
          <w:sz w:val="24"/>
          <w:szCs w:val="24"/>
          <w:u w:val="single"/>
        </w:rPr>
        <w:t>Administration</w:t>
      </w:r>
    </w:p>
    <w:p w:rsidR="0066044C" w:rsidRPr="00F9257F" w:rsidRDefault="0066044C" w:rsidP="0066044C">
      <w:pPr>
        <w:ind w:left="851"/>
        <w:rPr>
          <w:sz w:val="24"/>
          <w:szCs w:val="24"/>
        </w:rPr>
      </w:pPr>
      <w:r w:rsidRPr="00F9257F">
        <w:rPr>
          <w:sz w:val="24"/>
          <w:szCs w:val="24"/>
        </w:rPr>
        <w:t>Administreres som intravenøs infusion over en periode på 30 minutter eller intramuskulært.</w:t>
      </w:r>
    </w:p>
    <w:p w:rsidR="0066044C" w:rsidRPr="00F9257F" w:rsidRDefault="0066044C" w:rsidP="0066044C">
      <w:pPr>
        <w:ind w:left="851"/>
        <w:rPr>
          <w:sz w:val="24"/>
          <w:szCs w:val="24"/>
        </w:rPr>
      </w:pPr>
    </w:p>
    <w:p w:rsidR="0066044C" w:rsidRPr="00F9257F" w:rsidRDefault="0066044C" w:rsidP="0066044C">
      <w:pPr>
        <w:ind w:left="851"/>
        <w:rPr>
          <w:sz w:val="24"/>
          <w:szCs w:val="24"/>
        </w:rPr>
      </w:pPr>
      <w:r w:rsidRPr="00F9257F">
        <w:rPr>
          <w:sz w:val="24"/>
          <w:szCs w:val="24"/>
        </w:rPr>
        <w:t>Til den intravenøse infusion skal mængden af gentamicin fortyndes i en infusionsopløsning (5 % glu</w:t>
      </w:r>
      <w:r>
        <w:rPr>
          <w:sz w:val="24"/>
          <w:szCs w:val="24"/>
        </w:rPr>
        <w:t>c</w:t>
      </w:r>
      <w:r w:rsidRPr="00F9257F">
        <w:rPr>
          <w:sz w:val="24"/>
          <w:szCs w:val="24"/>
        </w:rPr>
        <w:t>ose eller 0,9 % NaCI) med en hastighed på ca. 50 til 200 ml uden at overskride en maksimal koncentration på 10 mg/ml.</w:t>
      </w:r>
    </w:p>
    <w:p w:rsidR="0066044C" w:rsidRPr="00F9257F" w:rsidRDefault="0066044C" w:rsidP="0066044C">
      <w:pPr>
        <w:ind w:left="851"/>
        <w:rPr>
          <w:sz w:val="24"/>
          <w:szCs w:val="24"/>
        </w:rPr>
      </w:pPr>
    </w:p>
    <w:p w:rsidR="0066044C" w:rsidRPr="00F9257F" w:rsidRDefault="0066044C" w:rsidP="0066044C">
      <w:pPr>
        <w:ind w:left="851"/>
        <w:rPr>
          <w:sz w:val="24"/>
          <w:szCs w:val="24"/>
        </w:rPr>
      </w:pPr>
      <w:r w:rsidRPr="00F9257F">
        <w:rPr>
          <w:sz w:val="24"/>
          <w:szCs w:val="24"/>
        </w:rPr>
        <w:t>Opløsningen til injektion/infusion kan gives direkte intravenøst uden forudgående fortynding og administreres langsomt (3-5 minutter).</w:t>
      </w:r>
    </w:p>
    <w:p w:rsidR="0066044C" w:rsidRPr="00F9257F" w:rsidRDefault="0066044C" w:rsidP="0066044C">
      <w:pPr>
        <w:ind w:left="851"/>
        <w:rPr>
          <w:sz w:val="24"/>
          <w:szCs w:val="24"/>
        </w:rPr>
      </w:pPr>
    </w:p>
    <w:p w:rsidR="0066044C" w:rsidRPr="00F9257F" w:rsidRDefault="0066044C" w:rsidP="0066044C">
      <w:pPr>
        <w:ind w:left="851"/>
        <w:rPr>
          <w:i/>
          <w:sz w:val="24"/>
          <w:szCs w:val="24"/>
        </w:rPr>
      </w:pPr>
      <w:r w:rsidRPr="00F9257F">
        <w:rPr>
          <w:i/>
          <w:sz w:val="24"/>
          <w:szCs w:val="24"/>
        </w:rPr>
        <w:t xml:space="preserve">Særlige kliniske forhold </w:t>
      </w:r>
    </w:p>
    <w:p w:rsidR="0066044C" w:rsidRPr="00F9257F" w:rsidRDefault="0066044C" w:rsidP="0066044C">
      <w:pPr>
        <w:ind w:left="851"/>
        <w:rPr>
          <w:sz w:val="24"/>
          <w:szCs w:val="24"/>
        </w:rPr>
      </w:pPr>
    </w:p>
    <w:p w:rsidR="0066044C" w:rsidRPr="00F9257F" w:rsidRDefault="0066044C" w:rsidP="0066044C">
      <w:pPr>
        <w:ind w:left="851"/>
        <w:rPr>
          <w:sz w:val="24"/>
          <w:szCs w:val="24"/>
        </w:rPr>
      </w:pPr>
      <w:r w:rsidRPr="00F9257F">
        <w:rPr>
          <w:sz w:val="24"/>
          <w:szCs w:val="24"/>
          <w:u w:val="single"/>
        </w:rPr>
        <w:t>Terapeutisk monitorering</w:t>
      </w:r>
    </w:p>
    <w:p w:rsidR="0066044C" w:rsidRPr="00F9257F" w:rsidRDefault="0066044C" w:rsidP="0066044C">
      <w:pPr>
        <w:ind w:left="851"/>
        <w:rPr>
          <w:sz w:val="24"/>
          <w:szCs w:val="24"/>
        </w:rPr>
      </w:pPr>
      <w:r w:rsidRPr="00F9257F">
        <w:rPr>
          <w:sz w:val="24"/>
          <w:szCs w:val="24"/>
        </w:rPr>
        <w:t>Regelmæssig monitorering af gentamicins serumkoncentration anbefales for alle patienter, og især hos ældre, nyfødte, overvægtige og hos patienter med nedsat nyrefunktion samt patienter med cystisk fibrose. Gentamicin bør ikke ordineres, hvis serumkoncentrationer ikke kan monitoreres.</w:t>
      </w:r>
    </w:p>
    <w:p w:rsidR="0066044C" w:rsidRPr="00F9257F" w:rsidRDefault="0066044C" w:rsidP="0066044C">
      <w:pPr>
        <w:ind w:left="851"/>
        <w:rPr>
          <w:sz w:val="24"/>
          <w:szCs w:val="24"/>
        </w:rPr>
      </w:pPr>
    </w:p>
    <w:p w:rsidR="0066044C" w:rsidRPr="00F9257F" w:rsidRDefault="0066044C" w:rsidP="0066044C">
      <w:pPr>
        <w:ind w:left="851"/>
        <w:rPr>
          <w:sz w:val="24"/>
          <w:szCs w:val="24"/>
        </w:rPr>
      </w:pPr>
      <w:r w:rsidRPr="00F9257F">
        <w:rPr>
          <w:sz w:val="24"/>
          <w:szCs w:val="24"/>
        </w:rPr>
        <w:t>Der er ingen alment accepterede retningslinjer for lægemiddelovervågning af gentamicin. Lokale retningslinjer for monitorering og dosisjustering skal følges, såfremt de er tilgængelige.</w:t>
      </w:r>
    </w:p>
    <w:p w:rsidR="0066044C" w:rsidRPr="00F9257F" w:rsidRDefault="0066044C" w:rsidP="0066044C">
      <w:pPr>
        <w:ind w:left="851"/>
        <w:rPr>
          <w:sz w:val="24"/>
          <w:szCs w:val="24"/>
        </w:rPr>
      </w:pPr>
    </w:p>
    <w:p w:rsidR="0066044C" w:rsidRPr="00F9257F" w:rsidRDefault="0066044C" w:rsidP="0066044C">
      <w:pPr>
        <w:ind w:left="851"/>
        <w:rPr>
          <w:sz w:val="24"/>
          <w:szCs w:val="24"/>
        </w:rPr>
      </w:pPr>
      <w:r w:rsidRPr="00F9257F">
        <w:rPr>
          <w:sz w:val="24"/>
          <w:szCs w:val="24"/>
        </w:rPr>
        <w:t>Det anbefales at monitorere præ-dosis (dalværdi) for at sikre, at doseringsintervallet er korrekt. Dalværdier måles ved afslutningen af et doseringsinterval og bør ikke overstige 1 mg/l for én gang daglig dosering eller 2 mg/l for flere daglige doseringer. Niveauer, der overstiger disse, indikerer behov for at forlænge intervallet mellem doser og ikke reduktion af dosis.</w:t>
      </w:r>
    </w:p>
    <w:p w:rsidR="0066044C" w:rsidRPr="00F9257F" w:rsidRDefault="0066044C" w:rsidP="0066044C">
      <w:pPr>
        <w:ind w:left="851"/>
        <w:rPr>
          <w:sz w:val="24"/>
          <w:szCs w:val="24"/>
        </w:rPr>
      </w:pPr>
    </w:p>
    <w:p w:rsidR="0066044C" w:rsidRPr="00F9257F" w:rsidRDefault="0066044C" w:rsidP="0066044C">
      <w:pPr>
        <w:ind w:left="851"/>
        <w:rPr>
          <w:sz w:val="24"/>
          <w:szCs w:val="24"/>
        </w:rPr>
      </w:pPr>
      <w:r w:rsidRPr="00F9257F">
        <w:rPr>
          <w:sz w:val="24"/>
          <w:szCs w:val="24"/>
        </w:rPr>
        <w:t xml:space="preserve">Det anbefales at monitorere post-dosis ("maksimal effekt") for at kontrollere, om en dosis er tilstrækkelig, eller for at sikre, at den ikke er for stor og sandsynligvis forårsager </w:t>
      </w:r>
      <w:r w:rsidRPr="00F9257F">
        <w:rPr>
          <w:sz w:val="24"/>
          <w:szCs w:val="24"/>
        </w:rPr>
        <w:lastRenderedPageBreak/>
        <w:t>toksicitet. Maksimal effekt skal måles en time efter en intravenøs eller intramuskulær bolusdosis eller 30 minutter efter afslutning af infusion. En plasmakoncentration &lt;4 mg/l indikerer, at dosis sandsynligvis er utilstrækkelig, og en dosisforøgelse bør overvejes.</w:t>
      </w:r>
    </w:p>
    <w:p w:rsidR="0066044C" w:rsidRPr="00F9257F" w:rsidRDefault="0066044C" w:rsidP="0066044C">
      <w:pPr>
        <w:ind w:left="851"/>
        <w:rPr>
          <w:sz w:val="24"/>
          <w:szCs w:val="24"/>
        </w:rPr>
      </w:pPr>
    </w:p>
    <w:p w:rsidR="0066044C" w:rsidRPr="00F9257F" w:rsidRDefault="0066044C" w:rsidP="0066044C">
      <w:pPr>
        <w:ind w:left="851"/>
        <w:rPr>
          <w:sz w:val="24"/>
          <w:szCs w:val="24"/>
        </w:rPr>
      </w:pPr>
      <w:r w:rsidRPr="00F9257F">
        <w:rPr>
          <w:sz w:val="24"/>
          <w:szCs w:val="24"/>
        </w:rPr>
        <w:t>Enhver ændring i dosis skal revurderes ud fra niveauer præ- og post-dose for at bekræfte tilstrækkeligheden af den nye dosis og hensigtsmæssighed af dosisinterval.</w:t>
      </w:r>
    </w:p>
    <w:p w:rsidR="0066044C" w:rsidRPr="00C84483" w:rsidRDefault="0066044C" w:rsidP="0066044C">
      <w:pPr>
        <w:tabs>
          <w:tab w:val="left" w:pos="851"/>
        </w:tabs>
        <w:ind w:left="851"/>
        <w:rPr>
          <w:sz w:val="24"/>
          <w:szCs w:val="24"/>
        </w:rPr>
      </w:pPr>
    </w:p>
    <w:p w:rsidR="0066044C" w:rsidRPr="00C84483" w:rsidRDefault="0066044C" w:rsidP="0066044C">
      <w:pPr>
        <w:tabs>
          <w:tab w:val="left" w:pos="851"/>
        </w:tabs>
        <w:ind w:left="851" w:hanging="851"/>
        <w:rPr>
          <w:b/>
          <w:sz w:val="24"/>
          <w:szCs w:val="24"/>
        </w:rPr>
      </w:pPr>
      <w:r w:rsidRPr="00C84483">
        <w:rPr>
          <w:b/>
          <w:sz w:val="24"/>
          <w:szCs w:val="24"/>
        </w:rPr>
        <w:t>4.3</w:t>
      </w:r>
      <w:r w:rsidRPr="00C84483">
        <w:rPr>
          <w:b/>
          <w:sz w:val="24"/>
          <w:szCs w:val="24"/>
        </w:rPr>
        <w:tab/>
        <w:t>Kontraindikationer</w:t>
      </w:r>
    </w:p>
    <w:p w:rsidR="0066044C" w:rsidRPr="00F9257F" w:rsidRDefault="0066044C" w:rsidP="0066044C">
      <w:pPr>
        <w:ind w:left="851"/>
        <w:rPr>
          <w:sz w:val="24"/>
          <w:szCs w:val="24"/>
        </w:rPr>
      </w:pPr>
      <w:r w:rsidRPr="00F9257F">
        <w:rPr>
          <w:sz w:val="24"/>
          <w:szCs w:val="24"/>
        </w:rPr>
        <w:t>Overfølsomhed over for det aktive stof eller over for et eller flere af hjælpestofferne anført i punkt 6.1.</w:t>
      </w:r>
    </w:p>
    <w:p w:rsidR="0066044C" w:rsidRPr="00C84483" w:rsidRDefault="0066044C" w:rsidP="0066044C">
      <w:pPr>
        <w:tabs>
          <w:tab w:val="left" w:pos="851"/>
        </w:tabs>
        <w:ind w:left="851"/>
        <w:rPr>
          <w:sz w:val="24"/>
          <w:szCs w:val="24"/>
        </w:rPr>
      </w:pPr>
    </w:p>
    <w:p w:rsidR="0066044C" w:rsidRPr="00C84483" w:rsidRDefault="0066044C" w:rsidP="0066044C">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66044C" w:rsidRDefault="0066044C" w:rsidP="0066044C">
      <w:pPr>
        <w:ind w:left="851"/>
        <w:rPr>
          <w:sz w:val="24"/>
          <w:szCs w:val="24"/>
        </w:rPr>
      </w:pPr>
    </w:p>
    <w:p w:rsidR="0066044C" w:rsidRPr="00240190" w:rsidRDefault="0066044C" w:rsidP="0066044C">
      <w:pPr>
        <w:ind w:left="851"/>
        <w:rPr>
          <w:sz w:val="24"/>
          <w:szCs w:val="24"/>
          <w:u w:val="single"/>
        </w:rPr>
      </w:pPr>
      <w:r w:rsidRPr="00240190">
        <w:rPr>
          <w:sz w:val="24"/>
          <w:szCs w:val="24"/>
          <w:u w:val="single"/>
        </w:rPr>
        <w:t>Generelle oplysninger</w:t>
      </w:r>
    </w:p>
    <w:p w:rsidR="0066044C" w:rsidRPr="00F9257F" w:rsidRDefault="0066044C" w:rsidP="0066044C">
      <w:pPr>
        <w:ind w:left="851"/>
        <w:rPr>
          <w:sz w:val="24"/>
          <w:szCs w:val="24"/>
        </w:rPr>
      </w:pPr>
      <w:r w:rsidRPr="00F9257F">
        <w:rPr>
          <w:sz w:val="24"/>
          <w:szCs w:val="24"/>
        </w:rPr>
        <w:t>Grundet manglende data frarådes gentamicin til injektion/infusion, opløsning, til brug via inhalation.</w:t>
      </w:r>
    </w:p>
    <w:p w:rsidR="0066044C" w:rsidRPr="00F9257F" w:rsidRDefault="0066044C" w:rsidP="0066044C">
      <w:pPr>
        <w:ind w:left="851"/>
        <w:rPr>
          <w:sz w:val="24"/>
          <w:szCs w:val="24"/>
        </w:rPr>
      </w:pPr>
    </w:p>
    <w:p w:rsidR="0066044C" w:rsidRPr="00F9257F" w:rsidRDefault="0066044C" w:rsidP="0066044C">
      <w:pPr>
        <w:ind w:left="851"/>
        <w:rPr>
          <w:sz w:val="24"/>
          <w:szCs w:val="24"/>
        </w:rPr>
      </w:pPr>
      <w:r w:rsidRPr="00F9257F">
        <w:rPr>
          <w:sz w:val="24"/>
          <w:szCs w:val="24"/>
        </w:rPr>
        <w:t>Aminoglycosider skal bruges inden for en nøje ordinerende ramme (indikationer skal være begrænset til svære infektioner eller på grund af resistente bakterier, administrations</w:t>
      </w:r>
      <w:r>
        <w:rPr>
          <w:sz w:val="24"/>
          <w:szCs w:val="24"/>
        </w:rPr>
        <w:softHyphen/>
      </w:r>
      <w:r w:rsidRPr="00F9257F">
        <w:rPr>
          <w:sz w:val="24"/>
          <w:szCs w:val="24"/>
        </w:rPr>
        <w:t>regimer skal overholdes) og ledsages af passende overvågning. Ordinering af gentamicin skal opfylde denne målsætning.</w:t>
      </w:r>
    </w:p>
    <w:p w:rsidR="0066044C" w:rsidRPr="00F9257F" w:rsidRDefault="0066044C" w:rsidP="0066044C">
      <w:pPr>
        <w:ind w:left="851"/>
        <w:rPr>
          <w:sz w:val="24"/>
          <w:szCs w:val="24"/>
        </w:rPr>
      </w:pPr>
    </w:p>
    <w:p w:rsidR="0066044C" w:rsidRPr="00F9257F" w:rsidRDefault="0066044C" w:rsidP="0066044C">
      <w:pPr>
        <w:ind w:left="851"/>
        <w:rPr>
          <w:sz w:val="24"/>
          <w:szCs w:val="24"/>
        </w:rPr>
      </w:pPr>
      <w:r w:rsidRPr="00F9257F">
        <w:rPr>
          <w:sz w:val="24"/>
          <w:szCs w:val="24"/>
        </w:rPr>
        <w:t>Risiko for udvikling af nyre- og ototoksicitet øges med behandlingsperioder på mere end 5-7 dage, selv hos raske forsøgspersoner. Risikoen er større hos patienter med nedsat nyrefunktion. Uagtet dette kan tidlig toksicitet endda opstå med de allerførste doser.</w:t>
      </w:r>
    </w:p>
    <w:p w:rsidR="0066044C" w:rsidRPr="00F9257F" w:rsidRDefault="0066044C" w:rsidP="0066044C">
      <w:pPr>
        <w:ind w:left="851"/>
        <w:rPr>
          <w:sz w:val="24"/>
          <w:szCs w:val="24"/>
        </w:rPr>
      </w:pPr>
    </w:p>
    <w:p w:rsidR="0066044C" w:rsidRPr="00F9257F" w:rsidRDefault="0066044C" w:rsidP="0066044C">
      <w:pPr>
        <w:ind w:left="851"/>
        <w:rPr>
          <w:sz w:val="24"/>
          <w:szCs w:val="24"/>
        </w:rPr>
      </w:pPr>
      <w:r w:rsidRPr="00F9257F">
        <w:rPr>
          <w:sz w:val="24"/>
          <w:szCs w:val="24"/>
        </w:rPr>
        <w:t>For at undgå bivirkninger anbefales kontinuerlig monitorering (før, under og efter) af nyrefunktion (serumcreatinin, creatinin-clearance), kontrol af vestibulær- og cochleær</w:t>
      </w:r>
      <w:r>
        <w:rPr>
          <w:sz w:val="24"/>
          <w:szCs w:val="24"/>
        </w:rPr>
        <w:softHyphen/>
      </w:r>
      <w:r w:rsidRPr="00F9257F">
        <w:rPr>
          <w:sz w:val="24"/>
          <w:szCs w:val="24"/>
        </w:rPr>
        <w:t>funktion samt lever- og laboratorieparametre.</w:t>
      </w:r>
    </w:p>
    <w:p w:rsidR="0066044C" w:rsidRPr="00F9257F" w:rsidRDefault="0066044C" w:rsidP="0066044C">
      <w:pPr>
        <w:ind w:left="851"/>
        <w:rPr>
          <w:sz w:val="24"/>
          <w:szCs w:val="24"/>
        </w:rPr>
      </w:pPr>
    </w:p>
    <w:p w:rsidR="0066044C" w:rsidRPr="00240190" w:rsidRDefault="0066044C" w:rsidP="0066044C">
      <w:pPr>
        <w:ind w:left="851"/>
        <w:rPr>
          <w:sz w:val="24"/>
          <w:szCs w:val="24"/>
          <w:u w:val="single"/>
        </w:rPr>
      </w:pPr>
      <w:r w:rsidRPr="00240190">
        <w:rPr>
          <w:sz w:val="24"/>
          <w:szCs w:val="24"/>
          <w:u w:val="single"/>
        </w:rPr>
        <w:t>Samtidig brug af neurotoksiske eller nefrotoksiske antibiotika</w:t>
      </w:r>
    </w:p>
    <w:p w:rsidR="0066044C" w:rsidRPr="00F9257F" w:rsidRDefault="0066044C" w:rsidP="0066044C">
      <w:pPr>
        <w:ind w:left="851"/>
        <w:rPr>
          <w:sz w:val="24"/>
          <w:szCs w:val="24"/>
        </w:rPr>
      </w:pPr>
      <w:r w:rsidRPr="00F9257F">
        <w:rPr>
          <w:sz w:val="24"/>
          <w:szCs w:val="24"/>
        </w:rPr>
        <w:t>Samtidig og/eller sekventiel systemisk eller topisk behandling med andre potentielt neuro- og/eller nefrotoksiske lægemidler bør undgås.</w:t>
      </w:r>
    </w:p>
    <w:p w:rsidR="0066044C" w:rsidRPr="00F9257F" w:rsidRDefault="0066044C" w:rsidP="0066044C">
      <w:pPr>
        <w:ind w:left="851"/>
        <w:rPr>
          <w:sz w:val="24"/>
          <w:szCs w:val="24"/>
        </w:rPr>
      </w:pPr>
    </w:p>
    <w:p w:rsidR="0066044C" w:rsidRPr="00F9257F" w:rsidRDefault="0066044C" w:rsidP="0066044C">
      <w:pPr>
        <w:ind w:left="851"/>
        <w:rPr>
          <w:sz w:val="24"/>
          <w:szCs w:val="24"/>
        </w:rPr>
      </w:pPr>
      <w:r w:rsidRPr="00F9257F">
        <w:rPr>
          <w:sz w:val="24"/>
          <w:szCs w:val="24"/>
        </w:rPr>
        <w:t>Der er rapporteret neuromuskulær blokade og respiratorisk paralyse efter administration af aminoglycosider hos patienter, der får ikke-depolariserende muskelrelaxantia under anæstesi. Disse patienter skal også monitoreres meget nøje (se pkt. 4.8).</w:t>
      </w:r>
    </w:p>
    <w:p w:rsidR="0066044C" w:rsidRPr="00F9257F" w:rsidRDefault="0066044C" w:rsidP="0066044C">
      <w:pPr>
        <w:ind w:left="851"/>
        <w:rPr>
          <w:sz w:val="24"/>
          <w:szCs w:val="24"/>
        </w:rPr>
      </w:pPr>
    </w:p>
    <w:p w:rsidR="0066044C" w:rsidRPr="00240190" w:rsidRDefault="0066044C" w:rsidP="0066044C">
      <w:pPr>
        <w:ind w:left="851"/>
        <w:rPr>
          <w:sz w:val="24"/>
          <w:szCs w:val="24"/>
          <w:u w:val="single"/>
        </w:rPr>
      </w:pPr>
      <w:r w:rsidRPr="00240190">
        <w:rPr>
          <w:sz w:val="24"/>
          <w:szCs w:val="24"/>
          <w:u w:val="single"/>
        </w:rPr>
        <w:t>Ototoksicitet</w:t>
      </w:r>
    </w:p>
    <w:p w:rsidR="0066044C" w:rsidRPr="00F9257F" w:rsidRDefault="0066044C" w:rsidP="0066044C">
      <w:pPr>
        <w:ind w:left="851"/>
        <w:rPr>
          <w:sz w:val="24"/>
          <w:szCs w:val="24"/>
        </w:rPr>
      </w:pPr>
      <w:r w:rsidRPr="00F9257F">
        <w:rPr>
          <w:sz w:val="24"/>
          <w:szCs w:val="24"/>
        </w:rPr>
        <w:t>Beskadigelse af nervus vestibulocochlearis (den 8. hjernenerve), hvor både balance og hørelse kan blive påvirket, er mulig. Vestibulær skade er den mest almindelige ototoksiske reaktion. Høretab manifesterer sig indledningsvist ved nedsættelse af hørelsesskarphed ved høje toner og er sædvanligvis irreversibelt.</w:t>
      </w:r>
    </w:p>
    <w:p w:rsidR="0066044C" w:rsidRDefault="0066044C" w:rsidP="0066044C">
      <w:pPr>
        <w:ind w:left="851"/>
        <w:rPr>
          <w:sz w:val="24"/>
          <w:szCs w:val="24"/>
        </w:rPr>
      </w:pPr>
      <w:r w:rsidRPr="00F9257F">
        <w:rPr>
          <w:sz w:val="24"/>
          <w:szCs w:val="24"/>
        </w:rPr>
        <w:t>Symptomer på ototoksicitet er: svimmelhed, ringen/susen i ørerne (tinnitus), vertigo og, mindre almindeligt, høretab.</w:t>
      </w:r>
    </w:p>
    <w:p w:rsidR="001F463E" w:rsidRDefault="001F463E" w:rsidP="0066044C">
      <w:pPr>
        <w:ind w:left="851"/>
        <w:rPr>
          <w:sz w:val="24"/>
          <w:szCs w:val="24"/>
        </w:rPr>
      </w:pPr>
    </w:p>
    <w:p w:rsidR="001F463E" w:rsidRPr="001F463E" w:rsidRDefault="001F463E" w:rsidP="001F463E">
      <w:pPr>
        <w:ind w:left="851"/>
        <w:rPr>
          <w:sz w:val="24"/>
          <w:szCs w:val="24"/>
        </w:rPr>
      </w:pPr>
      <w:r w:rsidRPr="001F463E">
        <w:rPr>
          <w:sz w:val="24"/>
          <w:szCs w:val="24"/>
        </w:rPr>
        <w:t>Der er en øget risiko for ototoksicitet hos patienter med mitokondrielle DNA-mutationer (især nukleotid 1555 A til G-substitution i 12S rRNA-genet), selvom aminoglycosid-serumniveauerne er inden for det anbefalede interval under behandlingen. Alternative behandlingsmuligheder bør overvejes hos sådanne patienter.</w:t>
      </w:r>
    </w:p>
    <w:p w:rsidR="001F463E" w:rsidRPr="001F463E" w:rsidRDefault="001F463E" w:rsidP="001F463E">
      <w:pPr>
        <w:ind w:left="851"/>
        <w:rPr>
          <w:sz w:val="24"/>
          <w:szCs w:val="24"/>
        </w:rPr>
      </w:pPr>
    </w:p>
    <w:p w:rsidR="001F463E" w:rsidRPr="001F463E" w:rsidRDefault="001F463E" w:rsidP="001F463E">
      <w:pPr>
        <w:ind w:left="851"/>
        <w:rPr>
          <w:sz w:val="24"/>
          <w:szCs w:val="24"/>
        </w:rPr>
      </w:pPr>
      <w:r w:rsidRPr="001F463E">
        <w:rPr>
          <w:sz w:val="24"/>
          <w:szCs w:val="24"/>
        </w:rPr>
        <w:lastRenderedPageBreak/>
        <w:t>Hos patienter med en maternel anamnese med relevante mutationer eller aminoglycosidinduceret døvhed bør der overvejes alternative behandlinger eller genetisk testning før administration.</w:t>
      </w:r>
    </w:p>
    <w:p w:rsidR="001F463E" w:rsidRPr="00F9257F" w:rsidRDefault="001F463E" w:rsidP="0066044C">
      <w:pPr>
        <w:ind w:left="851"/>
        <w:rPr>
          <w:sz w:val="24"/>
          <w:szCs w:val="24"/>
        </w:rPr>
      </w:pPr>
    </w:p>
    <w:p w:rsidR="0066044C" w:rsidRPr="00F9257F" w:rsidRDefault="0066044C" w:rsidP="0066044C">
      <w:pPr>
        <w:ind w:left="851"/>
        <w:rPr>
          <w:sz w:val="24"/>
          <w:szCs w:val="24"/>
        </w:rPr>
      </w:pPr>
      <w:r w:rsidRPr="00F9257F">
        <w:rPr>
          <w:sz w:val="24"/>
          <w:szCs w:val="24"/>
        </w:rPr>
        <w:t>Hos patienter med nyresygdom i terminalfasen, ved intermitterende hæmodialyse eller kronisk peritonealdialyse, er toksicitet hovedsageligt auditivt, da nyrerne ikke længere er funktionelle.</w:t>
      </w:r>
    </w:p>
    <w:p w:rsidR="0066044C" w:rsidRPr="00F9257F" w:rsidRDefault="0066044C" w:rsidP="0066044C">
      <w:pPr>
        <w:ind w:left="851"/>
        <w:rPr>
          <w:sz w:val="24"/>
          <w:szCs w:val="24"/>
        </w:rPr>
      </w:pPr>
    </w:p>
    <w:p w:rsidR="0066044C" w:rsidRPr="00F51E91" w:rsidRDefault="0066044C" w:rsidP="0066044C">
      <w:pPr>
        <w:ind w:left="851"/>
        <w:rPr>
          <w:sz w:val="24"/>
          <w:szCs w:val="24"/>
          <w:u w:val="single"/>
        </w:rPr>
      </w:pPr>
      <w:r w:rsidRPr="00F51E91">
        <w:rPr>
          <w:sz w:val="24"/>
          <w:szCs w:val="24"/>
          <w:u w:val="single"/>
        </w:rPr>
        <w:t>Muskelsvaghed</w:t>
      </w:r>
    </w:p>
    <w:p w:rsidR="0066044C" w:rsidRPr="00F9257F" w:rsidRDefault="0066044C" w:rsidP="0066044C">
      <w:pPr>
        <w:ind w:left="851"/>
        <w:rPr>
          <w:sz w:val="24"/>
          <w:szCs w:val="24"/>
        </w:rPr>
      </w:pPr>
      <w:r w:rsidRPr="00F9257F">
        <w:rPr>
          <w:sz w:val="24"/>
          <w:szCs w:val="24"/>
        </w:rPr>
        <w:t xml:space="preserve">Da gentamicin har neuromuskulærblokerende egenskaber, bør der udvises særlig forsigtighed hos patienter med allerede eksisterende neuromuskulære sygdomme (f.eks. Parkinsons sygdom </w:t>
      </w:r>
      <w:r w:rsidRPr="00F9257F">
        <w:rPr>
          <w:bCs/>
          <w:sz w:val="24"/>
          <w:szCs w:val="24"/>
        </w:rPr>
        <w:t>eller myasthenia gravis</w:t>
      </w:r>
      <w:r w:rsidRPr="00F9257F">
        <w:rPr>
          <w:sz w:val="24"/>
          <w:szCs w:val="24"/>
        </w:rPr>
        <w:t>). Der skal altid iværksættes nøje monitorering hos disse patienter (se pkt. 4.8).</w:t>
      </w:r>
    </w:p>
    <w:p w:rsidR="0066044C" w:rsidRPr="00F9257F" w:rsidRDefault="0066044C" w:rsidP="0066044C">
      <w:pPr>
        <w:ind w:left="851"/>
        <w:rPr>
          <w:sz w:val="24"/>
          <w:szCs w:val="24"/>
        </w:rPr>
      </w:pPr>
    </w:p>
    <w:p w:rsidR="0066044C" w:rsidRPr="00F51E91" w:rsidRDefault="0066044C" w:rsidP="0066044C">
      <w:pPr>
        <w:ind w:left="851"/>
        <w:rPr>
          <w:sz w:val="24"/>
          <w:szCs w:val="24"/>
          <w:u w:val="single"/>
        </w:rPr>
      </w:pPr>
      <w:r w:rsidRPr="00F51E91">
        <w:rPr>
          <w:sz w:val="24"/>
          <w:szCs w:val="24"/>
          <w:u w:val="single"/>
        </w:rPr>
        <w:t>Dosering én gang dagligt</w:t>
      </w:r>
    </w:p>
    <w:p w:rsidR="0066044C" w:rsidRPr="00F9257F" w:rsidRDefault="0066044C" w:rsidP="0066044C">
      <w:pPr>
        <w:ind w:left="851"/>
        <w:rPr>
          <w:sz w:val="24"/>
          <w:szCs w:val="24"/>
        </w:rPr>
      </w:pPr>
      <w:r w:rsidRPr="00F9257F">
        <w:rPr>
          <w:sz w:val="24"/>
          <w:szCs w:val="24"/>
        </w:rPr>
        <w:t>Dosering én gang dagligt optimerer farmakokinetiske-farmakodynamiske parametre (se pkt. 5.1), fremmer vævsdiffusion, har en klinisk virkning mindst svarende til den der er opnået efter administration inddelt i flere daglige injektioner, er ansvarlig for nyre- og ototoksiciteter, der er sammenlignelige med eller endda mindre end dem, der er observeret ved andre administrationsmetoder, reducerer risikoen for fremkomst af resistente mutantstammer.</w:t>
      </w:r>
    </w:p>
    <w:p w:rsidR="0066044C" w:rsidRPr="00F9257F" w:rsidRDefault="0066044C" w:rsidP="0066044C">
      <w:pPr>
        <w:ind w:left="851"/>
        <w:rPr>
          <w:sz w:val="24"/>
          <w:szCs w:val="24"/>
        </w:rPr>
      </w:pPr>
    </w:p>
    <w:p w:rsidR="0066044C" w:rsidRPr="00F51E91" w:rsidRDefault="0066044C" w:rsidP="0066044C">
      <w:pPr>
        <w:ind w:left="851"/>
        <w:rPr>
          <w:sz w:val="24"/>
          <w:szCs w:val="24"/>
          <w:u w:val="single"/>
        </w:rPr>
      </w:pPr>
      <w:r w:rsidRPr="00F51E91">
        <w:rPr>
          <w:sz w:val="24"/>
          <w:szCs w:val="24"/>
          <w:u w:val="single"/>
        </w:rPr>
        <w:t>Nedsat nyrefunktion</w:t>
      </w:r>
    </w:p>
    <w:p w:rsidR="0066044C" w:rsidRPr="00F9257F" w:rsidRDefault="0066044C" w:rsidP="0066044C">
      <w:pPr>
        <w:ind w:left="851"/>
        <w:rPr>
          <w:sz w:val="24"/>
          <w:szCs w:val="24"/>
        </w:rPr>
      </w:pPr>
      <w:r w:rsidRPr="00F9257F">
        <w:rPr>
          <w:sz w:val="24"/>
          <w:szCs w:val="24"/>
        </w:rPr>
        <w:t>Hos patienter med akut eller kronisk præeksisterende nedsat nyrefunktion, må aminoglykosider kun anvendes, hvis det er strengt nødvendig</w:t>
      </w:r>
      <w:r w:rsidR="0026269F">
        <w:rPr>
          <w:sz w:val="24"/>
          <w:szCs w:val="24"/>
        </w:rPr>
        <w:t>t</w:t>
      </w:r>
      <w:r w:rsidRPr="00F9257F">
        <w:rPr>
          <w:sz w:val="24"/>
          <w:szCs w:val="24"/>
        </w:rPr>
        <w:t>. Alle ikke-nefrotoksiske alternativer skal overvejes. Dosisjusteringer er påkrævet til patienter med nedsat nyrefunktion (se pkt. 4.2).</w:t>
      </w:r>
    </w:p>
    <w:p w:rsidR="0066044C" w:rsidRPr="00F9257F" w:rsidRDefault="0066044C" w:rsidP="0066044C">
      <w:pPr>
        <w:ind w:left="851"/>
        <w:rPr>
          <w:sz w:val="24"/>
          <w:szCs w:val="24"/>
        </w:rPr>
      </w:pPr>
    </w:p>
    <w:p w:rsidR="0066044C" w:rsidRPr="00F9257F" w:rsidRDefault="0066044C" w:rsidP="0066044C">
      <w:pPr>
        <w:ind w:left="851"/>
        <w:rPr>
          <w:sz w:val="24"/>
          <w:szCs w:val="24"/>
        </w:rPr>
      </w:pPr>
      <w:r w:rsidRPr="00F9257F">
        <w:rPr>
          <w:sz w:val="24"/>
          <w:szCs w:val="24"/>
        </w:rPr>
        <w:t>Kliniske tegn på nyreskade er: proteinuri, cylindruri, hæmaturi, oliguri, øget blodkoncentration af kreatinin og urinstof. I isolerede tilfælde kan der forekomme akut nyresvigt (se pkt. 4.8).</w:t>
      </w:r>
    </w:p>
    <w:p w:rsidR="0066044C" w:rsidRPr="00F9257F" w:rsidRDefault="0066044C" w:rsidP="0066044C">
      <w:pPr>
        <w:ind w:left="851"/>
        <w:rPr>
          <w:sz w:val="24"/>
          <w:szCs w:val="24"/>
        </w:rPr>
      </w:pPr>
    </w:p>
    <w:p w:rsidR="0066044C" w:rsidRPr="00F51E91" w:rsidRDefault="0066044C" w:rsidP="0066044C">
      <w:pPr>
        <w:ind w:left="851"/>
        <w:rPr>
          <w:sz w:val="24"/>
          <w:szCs w:val="24"/>
          <w:u w:val="single"/>
        </w:rPr>
      </w:pPr>
      <w:r w:rsidRPr="00F51E91">
        <w:rPr>
          <w:sz w:val="24"/>
          <w:szCs w:val="24"/>
          <w:u w:val="single"/>
        </w:rPr>
        <w:t>Pædiatrisk population</w:t>
      </w:r>
    </w:p>
    <w:p w:rsidR="0066044C" w:rsidRPr="00F9257F" w:rsidRDefault="0066044C" w:rsidP="0066044C">
      <w:pPr>
        <w:ind w:left="851"/>
        <w:rPr>
          <w:sz w:val="24"/>
          <w:szCs w:val="24"/>
        </w:rPr>
      </w:pPr>
      <w:r w:rsidRPr="00F9257F">
        <w:rPr>
          <w:sz w:val="24"/>
          <w:szCs w:val="24"/>
        </w:rPr>
        <w:t>Ifølge de tilgængelige data forekommer der sjældent nyre- og ototoksicitet hos nyfødte og børn.</w:t>
      </w:r>
    </w:p>
    <w:p w:rsidR="0066044C" w:rsidRPr="00F9257F" w:rsidRDefault="0066044C" w:rsidP="0066044C">
      <w:pPr>
        <w:ind w:left="851"/>
        <w:rPr>
          <w:sz w:val="24"/>
          <w:szCs w:val="24"/>
        </w:rPr>
      </w:pPr>
    </w:p>
    <w:p w:rsidR="0066044C" w:rsidRPr="00F51E91" w:rsidRDefault="0066044C" w:rsidP="0066044C">
      <w:pPr>
        <w:ind w:left="851"/>
        <w:rPr>
          <w:sz w:val="24"/>
          <w:szCs w:val="24"/>
          <w:u w:val="single"/>
        </w:rPr>
      </w:pPr>
      <w:r w:rsidRPr="00F51E91">
        <w:rPr>
          <w:sz w:val="24"/>
          <w:szCs w:val="24"/>
          <w:u w:val="single"/>
        </w:rPr>
        <w:t>Ældre patienter</w:t>
      </w:r>
    </w:p>
    <w:p w:rsidR="0066044C" w:rsidRPr="00F9257F" w:rsidRDefault="0066044C" w:rsidP="0066044C">
      <w:pPr>
        <w:ind w:left="851"/>
        <w:rPr>
          <w:sz w:val="24"/>
          <w:szCs w:val="24"/>
        </w:rPr>
      </w:pPr>
      <w:r w:rsidRPr="00F9257F">
        <w:rPr>
          <w:sz w:val="24"/>
          <w:szCs w:val="24"/>
        </w:rPr>
        <w:t>Ældre patienter kan have nedsat nyrefunktion, der ikke ses i rutineanalyser som karbamid og serumkreatinin. Bestemmelse af kreatininclearance er mere praktisk. Kontrol af nyrefunktionen er især vigtig hos disse patienter.</w:t>
      </w:r>
    </w:p>
    <w:p w:rsidR="0066044C" w:rsidRPr="00F9257F" w:rsidRDefault="0066044C" w:rsidP="0066044C">
      <w:pPr>
        <w:ind w:left="851"/>
        <w:rPr>
          <w:sz w:val="24"/>
          <w:szCs w:val="24"/>
        </w:rPr>
      </w:pPr>
    </w:p>
    <w:p w:rsidR="007E41C5" w:rsidRPr="00F51E91" w:rsidRDefault="007E41C5" w:rsidP="007E41C5">
      <w:pPr>
        <w:ind w:left="851"/>
        <w:rPr>
          <w:sz w:val="24"/>
          <w:szCs w:val="24"/>
          <w:u w:val="single"/>
        </w:rPr>
      </w:pPr>
      <w:r w:rsidRPr="00F51E91">
        <w:rPr>
          <w:sz w:val="24"/>
          <w:szCs w:val="24"/>
          <w:u w:val="single"/>
        </w:rPr>
        <w:t>Patienter med alvorlige forbrændinger</w:t>
      </w:r>
    </w:p>
    <w:p w:rsidR="007E41C5" w:rsidRDefault="007E41C5" w:rsidP="007E41C5">
      <w:pPr>
        <w:ind w:left="851"/>
      </w:pPr>
      <w:r w:rsidRPr="00F9257F">
        <w:rPr>
          <w:sz w:val="24"/>
          <w:szCs w:val="24"/>
        </w:rPr>
        <w:t xml:space="preserve">Patienter med alvorlige forbrændinger skal overvåges særligt omhyggeligt på grund af den ændrede farmakokinetik. </w:t>
      </w:r>
      <w:r w:rsidRPr="006943C2">
        <w:t xml:space="preserve"> </w:t>
      </w:r>
    </w:p>
    <w:p w:rsidR="007E41C5" w:rsidRDefault="007E41C5" w:rsidP="007E41C5">
      <w:pPr>
        <w:ind w:left="851"/>
        <w:rPr>
          <w:sz w:val="24"/>
          <w:szCs w:val="24"/>
        </w:rPr>
      </w:pPr>
    </w:p>
    <w:p w:rsidR="007E41C5" w:rsidRPr="006943C2" w:rsidRDefault="007E41C5" w:rsidP="007E41C5">
      <w:pPr>
        <w:ind w:left="851"/>
        <w:rPr>
          <w:sz w:val="24"/>
          <w:szCs w:val="24"/>
        </w:rPr>
      </w:pPr>
      <w:r w:rsidRPr="006943C2">
        <w:rPr>
          <w:sz w:val="24"/>
          <w:szCs w:val="24"/>
        </w:rPr>
        <w:t xml:space="preserve">Behandling med gentamicin kan </w:t>
      </w:r>
      <w:r>
        <w:rPr>
          <w:sz w:val="24"/>
          <w:szCs w:val="24"/>
        </w:rPr>
        <w:t>medføre</w:t>
      </w:r>
      <w:r w:rsidRPr="006943C2">
        <w:rPr>
          <w:sz w:val="24"/>
          <w:szCs w:val="24"/>
        </w:rPr>
        <w:t xml:space="preserve"> overdreven vækst af lægemiddelresistente mikroorganismer. Hvis dette sker, bør der indledes en passende behandling.</w:t>
      </w:r>
    </w:p>
    <w:p w:rsidR="007E41C5" w:rsidRPr="006943C2" w:rsidRDefault="007E41C5" w:rsidP="007E41C5">
      <w:pPr>
        <w:ind w:left="851"/>
        <w:rPr>
          <w:sz w:val="24"/>
          <w:szCs w:val="24"/>
        </w:rPr>
      </w:pPr>
    </w:p>
    <w:p w:rsidR="007E41C5" w:rsidRPr="00F9257F" w:rsidRDefault="007E41C5" w:rsidP="007E41C5">
      <w:pPr>
        <w:ind w:left="851"/>
        <w:rPr>
          <w:sz w:val="24"/>
          <w:szCs w:val="24"/>
        </w:rPr>
      </w:pPr>
      <w:r w:rsidRPr="006943C2">
        <w:rPr>
          <w:sz w:val="24"/>
          <w:szCs w:val="24"/>
        </w:rPr>
        <w:t xml:space="preserve">Diarré og pseudomembranøs colitis er observeret, når gentamicin kombineres med andre antibiotika. Disse diagnoser bør overvejes hos hver patient, der udvikler diarré under eller umiddelbart efter behandlingen. Gentamicin bør seponeres, hvis patienten lider af svær </w:t>
      </w:r>
      <w:r w:rsidRPr="006943C2">
        <w:rPr>
          <w:sz w:val="24"/>
          <w:szCs w:val="24"/>
        </w:rPr>
        <w:lastRenderedPageBreak/>
        <w:t xml:space="preserve">diarré og/eller blodig diarré under behandlingen, og en passende behandling bør indledes. </w:t>
      </w:r>
      <w:r w:rsidRPr="00636849">
        <w:rPr>
          <w:sz w:val="24"/>
          <w:szCs w:val="24"/>
        </w:rPr>
        <w:t xml:space="preserve">Der bør ikke </w:t>
      </w:r>
      <w:r>
        <w:rPr>
          <w:sz w:val="24"/>
          <w:szCs w:val="24"/>
        </w:rPr>
        <w:t>administreres</w:t>
      </w:r>
      <w:r w:rsidRPr="00636849">
        <w:rPr>
          <w:sz w:val="24"/>
          <w:szCs w:val="24"/>
        </w:rPr>
        <w:t xml:space="preserve"> lægemidler, der hæmmer peristaltikken.</w:t>
      </w:r>
      <w:r w:rsidRPr="006943C2">
        <w:rPr>
          <w:sz w:val="24"/>
          <w:szCs w:val="24"/>
        </w:rPr>
        <w:t xml:space="preserve"> (se pkt.4.8).</w:t>
      </w:r>
    </w:p>
    <w:p w:rsidR="0066044C" w:rsidRPr="00C84483" w:rsidRDefault="0066044C" w:rsidP="0066044C">
      <w:pPr>
        <w:rPr>
          <w:sz w:val="24"/>
          <w:szCs w:val="24"/>
        </w:rPr>
      </w:pPr>
    </w:p>
    <w:p w:rsidR="0066044C" w:rsidRPr="00C84483" w:rsidRDefault="0066044C" w:rsidP="0066044C">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66044C" w:rsidRDefault="0066044C" w:rsidP="0066044C">
      <w:pPr>
        <w:ind w:left="851"/>
        <w:rPr>
          <w:sz w:val="24"/>
          <w:szCs w:val="24"/>
        </w:rPr>
      </w:pPr>
    </w:p>
    <w:p w:rsidR="0066044C" w:rsidRPr="00F51E91" w:rsidRDefault="0066044C" w:rsidP="0066044C">
      <w:pPr>
        <w:ind w:left="851"/>
        <w:rPr>
          <w:sz w:val="24"/>
          <w:szCs w:val="24"/>
          <w:u w:val="single"/>
        </w:rPr>
      </w:pPr>
      <w:r w:rsidRPr="00F51E91">
        <w:rPr>
          <w:sz w:val="24"/>
          <w:szCs w:val="24"/>
          <w:u w:val="single"/>
        </w:rPr>
        <w:t>Anvendelse sammen med andre aminoglykosider</w:t>
      </w:r>
    </w:p>
    <w:p w:rsidR="0066044C" w:rsidRPr="00F9257F" w:rsidRDefault="0066044C" w:rsidP="0066044C">
      <w:pPr>
        <w:ind w:left="851"/>
        <w:rPr>
          <w:sz w:val="24"/>
          <w:szCs w:val="24"/>
        </w:rPr>
      </w:pPr>
      <w:r w:rsidRPr="00F9257F">
        <w:rPr>
          <w:sz w:val="24"/>
          <w:szCs w:val="24"/>
        </w:rPr>
        <w:t>Øget risiko for nefrotoksicitet og ototoksicitet.</w:t>
      </w:r>
    </w:p>
    <w:p w:rsidR="0066044C" w:rsidRPr="00F9257F" w:rsidRDefault="0066044C" w:rsidP="0066044C">
      <w:pPr>
        <w:ind w:left="851"/>
        <w:rPr>
          <w:sz w:val="24"/>
          <w:szCs w:val="24"/>
        </w:rPr>
      </w:pPr>
    </w:p>
    <w:p w:rsidR="0066044C" w:rsidRPr="00F51E91" w:rsidRDefault="0066044C" w:rsidP="0066044C">
      <w:pPr>
        <w:ind w:left="851"/>
        <w:rPr>
          <w:sz w:val="24"/>
          <w:szCs w:val="24"/>
          <w:u w:val="single"/>
        </w:rPr>
      </w:pPr>
      <w:r w:rsidRPr="00F51E91">
        <w:rPr>
          <w:sz w:val="24"/>
          <w:szCs w:val="24"/>
          <w:u w:val="single"/>
        </w:rPr>
        <w:t>Slyngediuretika</w:t>
      </w:r>
    </w:p>
    <w:p w:rsidR="0066044C" w:rsidRPr="00F9257F" w:rsidRDefault="0066044C" w:rsidP="0066044C">
      <w:pPr>
        <w:ind w:left="851"/>
        <w:rPr>
          <w:sz w:val="24"/>
          <w:szCs w:val="24"/>
        </w:rPr>
      </w:pPr>
      <w:r w:rsidRPr="00F9257F">
        <w:rPr>
          <w:sz w:val="24"/>
          <w:szCs w:val="24"/>
        </w:rPr>
        <w:t>Øget nefrotoksisk og ototoksisk risiko på grund af aminoglycosid (funktionel nedsat nyrefunktion forbundet med diuretikainduceret dehydrering). Kombination er mulig sammen med monitorering af hydreringsstatus, nyre- og vestibulocochleare funktioner, koncentration af aminoglycosid i plasma.</w:t>
      </w:r>
    </w:p>
    <w:p w:rsidR="0066044C" w:rsidRPr="00F9257F" w:rsidRDefault="0066044C" w:rsidP="0066044C">
      <w:pPr>
        <w:ind w:left="851"/>
        <w:rPr>
          <w:sz w:val="24"/>
          <w:szCs w:val="24"/>
        </w:rPr>
      </w:pPr>
    </w:p>
    <w:p w:rsidR="0066044C" w:rsidRPr="00F51E91" w:rsidRDefault="0066044C" w:rsidP="0066044C">
      <w:pPr>
        <w:ind w:left="851"/>
        <w:rPr>
          <w:sz w:val="24"/>
          <w:szCs w:val="24"/>
          <w:u w:val="single"/>
        </w:rPr>
      </w:pPr>
      <w:r w:rsidRPr="00F51E91">
        <w:rPr>
          <w:sz w:val="24"/>
          <w:szCs w:val="24"/>
          <w:u w:val="single"/>
        </w:rPr>
        <w:t>Ototoksiske lægemidler</w:t>
      </w:r>
    </w:p>
    <w:p w:rsidR="0066044C" w:rsidRPr="00F9257F" w:rsidRDefault="0066044C" w:rsidP="0066044C">
      <w:pPr>
        <w:ind w:left="851"/>
        <w:rPr>
          <w:sz w:val="24"/>
          <w:szCs w:val="24"/>
        </w:rPr>
      </w:pPr>
      <w:r w:rsidRPr="00F9257F">
        <w:rPr>
          <w:sz w:val="24"/>
          <w:szCs w:val="24"/>
        </w:rPr>
        <w:t>Samtidig brug af lægemidler med væsentlig ototoksicitet øger risikoen for vestibulocochlear skade. Hvis en sådan kombination er nødvendig, skal monitorering af auditiv funktion øges. Sådanne lægemidler omfatter især antibiotika fra glycopeptidgruppen, såsom vancomycin og teicoplanin, aminoglycosider, cytotoksiske midler, såsom organoplatinaforbindelser og slyngediuretika.</w:t>
      </w:r>
    </w:p>
    <w:p w:rsidR="0066044C" w:rsidRPr="00F9257F" w:rsidRDefault="0066044C" w:rsidP="0066044C">
      <w:pPr>
        <w:ind w:left="851"/>
        <w:rPr>
          <w:sz w:val="24"/>
          <w:szCs w:val="24"/>
        </w:rPr>
      </w:pPr>
    </w:p>
    <w:p w:rsidR="0066044C" w:rsidRPr="00F51E91" w:rsidRDefault="0066044C" w:rsidP="005217BE">
      <w:pPr>
        <w:ind w:left="851"/>
        <w:rPr>
          <w:sz w:val="24"/>
          <w:szCs w:val="24"/>
          <w:u w:val="single"/>
        </w:rPr>
      </w:pPr>
      <w:r w:rsidRPr="00F51E91">
        <w:rPr>
          <w:sz w:val="24"/>
          <w:szCs w:val="24"/>
          <w:u w:val="single"/>
        </w:rPr>
        <w:t>Nefrotoksiske lægemidler</w:t>
      </w:r>
    </w:p>
    <w:p w:rsidR="0066044C" w:rsidRPr="00F9257F" w:rsidRDefault="0066044C" w:rsidP="005217BE">
      <w:pPr>
        <w:ind w:left="851"/>
        <w:rPr>
          <w:sz w:val="24"/>
          <w:szCs w:val="24"/>
        </w:rPr>
      </w:pPr>
      <w:r w:rsidRPr="00F9257F">
        <w:rPr>
          <w:sz w:val="24"/>
          <w:szCs w:val="24"/>
        </w:rPr>
        <w:t>Samtidig brug af lægemidler med væsentlig renal toksicitet øger risikoen for nefrotoksicitet. Hvis en sådan kombination er nødvendig, skal monitorering af renal funktion øges. Sådanne lægemidler omfatter især joderede kontrastmedier, aminoglycosider, organoplatinaforbindelser, højdosis methotrexat, visse antivirale midler (f</w:t>
      </w:r>
      <w:r>
        <w:rPr>
          <w:sz w:val="24"/>
          <w:szCs w:val="24"/>
        </w:rPr>
        <w:t>.eks</w:t>
      </w:r>
      <w:r w:rsidRPr="00F9257F">
        <w:rPr>
          <w:sz w:val="24"/>
          <w:szCs w:val="24"/>
        </w:rPr>
        <w:t>. ciclovir-gruppen, foscarnet), amphotericin B, pentamidin, ciclosporin eller tacrolimus.</w:t>
      </w:r>
    </w:p>
    <w:p w:rsidR="0066044C" w:rsidRPr="00F9257F" w:rsidRDefault="0066044C" w:rsidP="005217BE">
      <w:pPr>
        <w:ind w:left="851"/>
        <w:rPr>
          <w:sz w:val="24"/>
          <w:szCs w:val="24"/>
        </w:rPr>
      </w:pPr>
      <w:r w:rsidRPr="00F9257F">
        <w:rPr>
          <w:sz w:val="24"/>
          <w:szCs w:val="24"/>
        </w:rPr>
        <w:t>Gentamicin må normalt ikke anvendes til patienter, der behandles med cisplatin og platinforbindelser, da nefrotoksicitet forårsaget af gentamicin kan øges i adskillige uger efter behandling med cisplatin eller platin.</w:t>
      </w:r>
    </w:p>
    <w:p w:rsidR="0066044C" w:rsidRPr="00F9257F" w:rsidRDefault="0066044C" w:rsidP="0066044C">
      <w:pPr>
        <w:ind w:left="851"/>
        <w:rPr>
          <w:sz w:val="24"/>
          <w:szCs w:val="24"/>
        </w:rPr>
      </w:pPr>
    </w:p>
    <w:p w:rsidR="0066044C" w:rsidRPr="0075586C" w:rsidRDefault="0066044C" w:rsidP="0066044C">
      <w:pPr>
        <w:ind w:left="851"/>
        <w:rPr>
          <w:sz w:val="24"/>
          <w:szCs w:val="24"/>
          <w:u w:val="single"/>
        </w:rPr>
      </w:pPr>
      <w:r w:rsidRPr="0075586C">
        <w:rPr>
          <w:sz w:val="24"/>
          <w:szCs w:val="24"/>
          <w:u w:val="single"/>
        </w:rPr>
        <w:t>Polymyxin B</w:t>
      </w:r>
    </w:p>
    <w:p w:rsidR="0066044C" w:rsidRPr="00F9257F" w:rsidRDefault="0066044C" w:rsidP="0066044C">
      <w:pPr>
        <w:ind w:left="851"/>
        <w:rPr>
          <w:sz w:val="24"/>
          <w:szCs w:val="24"/>
        </w:rPr>
      </w:pPr>
      <w:r w:rsidRPr="00F9257F">
        <w:rPr>
          <w:sz w:val="24"/>
          <w:szCs w:val="24"/>
        </w:rPr>
        <w:t>Additive nefrotoksiske effekter. Hvis kombinationen ikke kan undgås, bør den bakteriologiske begrundelse for anvendelse være ubestridelig og nøje overvågning er påkrævet.</w:t>
      </w:r>
    </w:p>
    <w:p w:rsidR="0066044C" w:rsidRPr="00F9257F" w:rsidRDefault="0066044C" w:rsidP="0066044C">
      <w:pPr>
        <w:ind w:left="851"/>
        <w:rPr>
          <w:sz w:val="24"/>
          <w:szCs w:val="24"/>
        </w:rPr>
      </w:pPr>
    </w:p>
    <w:p w:rsidR="0066044C" w:rsidRPr="0075586C" w:rsidRDefault="0066044C" w:rsidP="0066044C">
      <w:pPr>
        <w:ind w:left="851"/>
        <w:rPr>
          <w:sz w:val="24"/>
          <w:szCs w:val="24"/>
          <w:u w:val="single"/>
        </w:rPr>
      </w:pPr>
      <w:r w:rsidRPr="0075586C">
        <w:rPr>
          <w:sz w:val="24"/>
          <w:szCs w:val="24"/>
          <w:u w:val="single"/>
        </w:rPr>
        <w:t>Muskelrelaxantia af curare-typen under anæstesi</w:t>
      </w:r>
    </w:p>
    <w:p w:rsidR="0066044C" w:rsidRPr="00F9257F" w:rsidRDefault="0066044C" w:rsidP="0066044C">
      <w:pPr>
        <w:ind w:left="851"/>
        <w:rPr>
          <w:sz w:val="24"/>
          <w:szCs w:val="24"/>
        </w:rPr>
      </w:pPr>
      <w:r w:rsidRPr="00F9257F">
        <w:rPr>
          <w:sz w:val="24"/>
          <w:szCs w:val="24"/>
        </w:rPr>
        <w:t>Potensering af ikke-depolariserende muskelrelaxantia, når antibiotikum administreres parenteralt og/eller peritonealt før, under eller efter midlet til neuromuskulær blokade. Graden af muskelrelaksation skal monitoreres ved afslutning af anæstesi.</w:t>
      </w:r>
    </w:p>
    <w:p w:rsidR="0066044C" w:rsidRPr="00F9257F" w:rsidRDefault="0066044C" w:rsidP="0066044C">
      <w:pPr>
        <w:ind w:left="851"/>
        <w:rPr>
          <w:sz w:val="24"/>
          <w:szCs w:val="24"/>
        </w:rPr>
      </w:pPr>
    </w:p>
    <w:p w:rsidR="0066044C" w:rsidRPr="0075586C" w:rsidRDefault="0066044C" w:rsidP="0066044C">
      <w:pPr>
        <w:ind w:left="851"/>
        <w:rPr>
          <w:sz w:val="24"/>
          <w:szCs w:val="24"/>
          <w:u w:val="single"/>
        </w:rPr>
      </w:pPr>
      <w:r w:rsidRPr="0075586C">
        <w:rPr>
          <w:sz w:val="24"/>
          <w:szCs w:val="24"/>
          <w:u w:val="single"/>
        </w:rPr>
        <w:t>Prævention</w:t>
      </w:r>
    </w:p>
    <w:p w:rsidR="0066044C" w:rsidRPr="00F9257F" w:rsidRDefault="0066044C" w:rsidP="0066044C">
      <w:pPr>
        <w:ind w:left="851"/>
        <w:rPr>
          <w:sz w:val="24"/>
          <w:szCs w:val="24"/>
        </w:rPr>
      </w:pPr>
      <w:r w:rsidRPr="00F9257F">
        <w:rPr>
          <w:sz w:val="24"/>
          <w:szCs w:val="24"/>
        </w:rPr>
        <w:t>I sjældne tilfælde kan nogle former for systemisk antibiotika angiveligt nedsætte virkningen af p-piller. Det siges, at denne usædvanlige interaktion forekommer hos kvinder med høj galdeudskillelse af steroidkonjugater.</w:t>
      </w:r>
    </w:p>
    <w:p w:rsidR="0066044C" w:rsidRPr="00F9257F" w:rsidRDefault="0066044C" w:rsidP="0066044C">
      <w:pPr>
        <w:ind w:left="851"/>
        <w:rPr>
          <w:sz w:val="24"/>
          <w:szCs w:val="24"/>
        </w:rPr>
      </w:pPr>
    </w:p>
    <w:p w:rsidR="0066044C" w:rsidRPr="0075586C" w:rsidRDefault="0066044C" w:rsidP="0066044C">
      <w:pPr>
        <w:ind w:left="851"/>
        <w:rPr>
          <w:sz w:val="24"/>
          <w:szCs w:val="24"/>
          <w:u w:val="single"/>
        </w:rPr>
      </w:pPr>
      <w:r w:rsidRPr="0075586C">
        <w:rPr>
          <w:sz w:val="24"/>
          <w:szCs w:val="24"/>
          <w:u w:val="single"/>
        </w:rPr>
        <w:t>Botulinum-toksin</w:t>
      </w:r>
    </w:p>
    <w:p w:rsidR="0066044C" w:rsidRPr="00F9257F" w:rsidRDefault="0066044C" w:rsidP="0066044C">
      <w:pPr>
        <w:ind w:left="851"/>
        <w:rPr>
          <w:sz w:val="24"/>
          <w:szCs w:val="24"/>
        </w:rPr>
      </w:pPr>
      <w:r w:rsidRPr="00F9257F">
        <w:rPr>
          <w:sz w:val="24"/>
          <w:szCs w:val="24"/>
        </w:rPr>
        <w:t>Risiko for potensering af botulinumtoksins effekt med aminoglycosider (ekstrapoleret fra effekt observeret med botulisme). Anvend et andet antibiotikum.</w:t>
      </w:r>
    </w:p>
    <w:p w:rsidR="0066044C" w:rsidRPr="00C84483" w:rsidRDefault="0066044C" w:rsidP="0066044C">
      <w:pPr>
        <w:rPr>
          <w:sz w:val="24"/>
          <w:szCs w:val="24"/>
        </w:rPr>
      </w:pPr>
    </w:p>
    <w:p w:rsidR="0066044C" w:rsidRPr="00C84483" w:rsidRDefault="0066044C" w:rsidP="0066044C">
      <w:pPr>
        <w:tabs>
          <w:tab w:val="left" w:pos="851"/>
        </w:tabs>
        <w:ind w:left="851" w:hanging="851"/>
        <w:rPr>
          <w:b/>
          <w:sz w:val="24"/>
          <w:szCs w:val="24"/>
        </w:rPr>
      </w:pPr>
      <w:r w:rsidRPr="00C84483">
        <w:rPr>
          <w:b/>
          <w:sz w:val="24"/>
          <w:szCs w:val="24"/>
        </w:rPr>
        <w:lastRenderedPageBreak/>
        <w:t>4.6</w:t>
      </w:r>
      <w:r w:rsidRPr="00C84483">
        <w:rPr>
          <w:b/>
          <w:sz w:val="24"/>
          <w:szCs w:val="24"/>
        </w:rPr>
        <w:tab/>
      </w:r>
      <w:r w:rsidR="00397425">
        <w:rPr>
          <w:b/>
          <w:sz w:val="24"/>
          <w:szCs w:val="24"/>
        </w:rPr>
        <w:t>Fertilitet, g</w:t>
      </w:r>
      <w:r w:rsidRPr="00C84483">
        <w:rPr>
          <w:b/>
          <w:sz w:val="24"/>
          <w:szCs w:val="24"/>
        </w:rPr>
        <w:t>raviditet og amning</w:t>
      </w:r>
    </w:p>
    <w:p w:rsidR="0066044C" w:rsidRDefault="0066044C" w:rsidP="0066044C">
      <w:pPr>
        <w:ind w:left="851"/>
        <w:rPr>
          <w:sz w:val="24"/>
          <w:szCs w:val="24"/>
        </w:rPr>
      </w:pPr>
    </w:p>
    <w:p w:rsidR="0066044C" w:rsidRPr="0075586C" w:rsidRDefault="0066044C" w:rsidP="0066044C">
      <w:pPr>
        <w:ind w:left="851"/>
        <w:rPr>
          <w:sz w:val="24"/>
          <w:szCs w:val="24"/>
          <w:u w:val="single"/>
        </w:rPr>
      </w:pPr>
      <w:r w:rsidRPr="0075586C">
        <w:rPr>
          <w:sz w:val="24"/>
          <w:szCs w:val="24"/>
          <w:u w:val="single"/>
        </w:rPr>
        <w:t>Graviditet</w:t>
      </w:r>
    </w:p>
    <w:p w:rsidR="0066044C" w:rsidRPr="00FC6B57" w:rsidRDefault="0066044C" w:rsidP="0066044C">
      <w:pPr>
        <w:ind w:left="851"/>
        <w:rPr>
          <w:sz w:val="24"/>
          <w:szCs w:val="24"/>
        </w:rPr>
      </w:pPr>
      <w:r w:rsidRPr="00FC6B57">
        <w:rPr>
          <w:sz w:val="24"/>
          <w:szCs w:val="24"/>
        </w:rPr>
        <w:t xml:space="preserve">Der er ingen eller utilstrækkelige data fra anvendelse af </w:t>
      </w:r>
      <w:r w:rsidR="007E4BE0">
        <w:rPr>
          <w:sz w:val="24"/>
          <w:szCs w:val="24"/>
        </w:rPr>
        <w:t>genta</w:t>
      </w:r>
      <w:r w:rsidR="00605EB1">
        <w:rPr>
          <w:sz w:val="24"/>
          <w:szCs w:val="24"/>
        </w:rPr>
        <w:t>micin</w:t>
      </w:r>
      <w:r w:rsidRPr="00FC6B57">
        <w:rPr>
          <w:sz w:val="24"/>
          <w:szCs w:val="24"/>
        </w:rPr>
        <w:t xml:space="preserve"> til gravide kvinder. Dyreforsøg har påvist reproduktionstoksicitet (se pkt. 5.3). Gentamicin passerer placenta. Gentamicin </w:t>
      </w:r>
      <w:r>
        <w:rPr>
          <w:sz w:val="24"/>
          <w:szCs w:val="24"/>
        </w:rPr>
        <w:t>"</w:t>
      </w:r>
      <w:r w:rsidR="00A4097C">
        <w:rPr>
          <w:sz w:val="24"/>
          <w:szCs w:val="24"/>
        </w:rPr>
        <w:t>Panpharma</w:t>
      </w:r>
      <w:r>
        <w:rPr>
          <w:sz w:val="24"/>
          <w:szCs w:val="24"/>
        </w:rPr>
        <w:t>"</w:t>
      </w:r>
      <w:r w:rsidRPr="00FC6B57">
        <w:rPr>
          <w:sz w:val="24"/>
          <w:szCs w:val="24"/>
        </w:rPr>
        <w:t xml:space="preserve"> 40 mg/ml, injektions-/infusionsvæske, opløsning, bør ikke anvendes under graviditeten, medmindre kvindens kliniske tilstand (livstruende indikation) kræver behandling med gentamicin og der ikke findes andre behandlings</w:t>
      </w:r>
      <w:r>
        <w:rPr>
          <w:sz w:val="24"/>
          <w:szCs w:val="24"/>
        </w:rPr>
        <w:softHyphen/>
      </w:r>
      <w:r w:rsidRPr="00FC6B57">
        <w:rPr>
          <w:sz w:val="24"/>
          <w:szCs w:val="24"/>
        </w:rPr>
        <w:t>muligheder.</w:t>
      </w:r>
    </w:p>
    <w:p w:rsidR="0066044C" w:rsidRPr="00FC6B57" w:rsidRDefault="0066044C" w:rsidP="0066044C">
      <w:pPr>
        <w:ind w:left="851"/>
        <w:rPr>
          <w:sz w:val="24"/>
          <w:szCs w:val="24"/>
        </w:rPr>
      </w:pPr>
    </w:p>
    <w:p w:rsidR="0066044C" w:rsidRPr="00FC6B57" w:rsidRDefault="0066044C" w:rsidP="0066044C">
      <w:pPr>
        <w:ind w:left="851"/>
        <w:rPr>
          <w:sz w:val="24"/>
          <w:szCs w:val="24"/>
        </w:rPr>
      </w:pPr>
      <w:r w:rsidRPr="00FC6B57">
        <w:rPr>
          <w:sz w:val="24"/>
          <w:szCs w:val="24"/>
        </w:rPr>
        <w:t>I tilfælde af gentamicin-eksponering under graviditet anbefales det at monitorere det nyfødte barns høre- og nyrefunktion.</w:t>
      </w:r>
    </w:p>
    <w:p w:rsidR="0066044C" w:rsidRPr="00FC6B57" w:rsidRDefault="0066044C" w:rsidP="0066044C">
      <w:pPr>
        <w:ind w:left="851"/>
        <w:rPr>
          <w:sz w:val="24"/>
          <w:szCs w:val="24"/>
        </w:rPr>
      </w:pPr>
    </w:p>
    <w:p w:rsidR="0066044C" w:rsidRPr="0075586C" w:rsidRDefault="0066044C" w:rsidP="0066044C">
      <w:pPr>
        <w:ind w:left="851"/>
        <w:rPr>
          <w:sz w:val="24"/>
          <w:szCs w:val="24"/>
          <w:u w:val="single"/>
        </w:rPr>
      </w:pPr>
      <w:r w:rsidRPr="0075586C">
        <w:rPr>
          <w:sz w:val="24"/>
          <w:szCs w:val="24"/>
          <w:u w:val="single"/>
        </w:rPr>
        <w:t>Amning</w:t>
      </w:r>
    </w:p>
    <w:p w:rsidR="0066044C" w:rsidRPr="00FC6B57" w:rsidRDefault="0066044C" w:rsidP="0066044C">
      <w:pPr>
        <w:ind w:left="851"/>
        <w:rPr>
          <w:sz w:val="24"/>
          <w:szCs w:val="24"/>
        </w:rPr>
      </w:pPr>
      <w:r w:rsidRPr="00FC6B57">
        <w:rPr>
          <w:sz w:val="24"/>
          <w:szCs w:val="24"/>
        </w:rPr>
        <w:t xml:space="preserve">Gentamicin udskilles i human mælk, og påvirkning er set hos nyfødte/spædbørn, ammet af kvinder, der er i behandling med gentamicin. Det skal besluttes, om amning skal ophøre eller behandling med Gentamicin </w:t>
      </w:r>
      <w:r>
        <w:rPr>
          <w:sz w:val="24"/>
          <w:szCs w:val="24"/>
        </w:rPr>
        <w:t>"</w:t>
      </w:r>
      <w:r w:rsidR="00A4097C">
        <w:rPr>
          <w:sz w:val="24"/>
          <w:szCs w:val="24"/>
        </w:rPr>
        <w:t>Panpharma</w:t>
      </w:r>
      <w:r>
        <w:rPr>
          <w:sz w:val="24"/>
          <w:szCs w:val="24"/>
        </w:rPr>
        <w:t>"</w:t>
      </w:r>
      <w:r w:rsidRPr="00FC6B57">
        <w:rPr>
          <w:sz w:val="24"/>
          <w:szCs w:val="24"/>
        </w:rPr>
        <w:t xml:space="preserve"> 40 mg/ml, injektions-/infusionsvæske, opløsning, seponeres, idet der tages højde for fordelene ved amning for barnet i forhold til de terapeutiske fordele for moderen. Der kan forekomme diarré samt svampeinfektioner i slimhinderne hos det ammende barn, hvilket kan medføre, at amningen må afbrydes. Risikoen for overfølsomhed bør erindres.</w:t>
      </w:r>
    </w:p>
    <w:p w:rsidR="0066044C" w:rsidRPr="00C84483" w:rsidRDefault="0066044C" w:rsidP="0066044C">
      <w:pPr>
        <w:tabs>
          <w:tab w:val="left" w:pos="851"/>
        </w:tabs>
        <w:ind w:left="851"/>
        <w:rPr>
          <w:sz w:val="24"/>
          <w:szCs w:val="24"/>
        </w:rPr>
      </w:pPr>
    </w:p>
    <w:p w:rsidR="0066044C" w:rsidRPr="00C84483" w:rsidRDefault="0066044C" w:rsidP="0066044C">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397425">
        <w:rPr>
          <w:b/>
          <w:sz w:val="24"/>
          <w:szCs w:val="24"/>
        </w:rPr>
        <w:t>og</w:t>
      </w:r>
      <w:r w:rsidRPr="00C84483">
        <w:rPr>
          <w:b/>
          <w:sz w:val="24"/>
          <w:szCs w:val="24"/>
        </w:rPr>
        <w:t xml:space="preserve"> betjene maskiner</w:t>
      </w:r>
    </w:p>
    <w:p w:rsidR="0066044C" w:rsidRDefault="0066044C" w:rsidP="0066044C">
      <w:pPr>
        <w:ind w:left="851"/>
        <w:rPr>
          <w:sz w:val="24"/>
          <w:szCs w:val="24"/>
        </w:rPr>
      </w:pPr>
      <w:r>
        <w:rPr>
          <w:sz w:val="24"/>
          <w:szCs w:val="24"/>
        </w:rPr>
        <w:t>Ikke mærkning.</w:t>
      </w:r>
    </w:p>
    <w:p w:rsidR="0066044C" w:rsidRPr="00FC6B57" w:rsidRDefault="0066044C" w:rsidP="0066044C">
      <w:pPr>
        <w:ind w:left="851"/>
        <w:rPr>
          <w:sz w:val="24"/>
          <w:szCs w:val="24"/>
        </w:rPr>
      </w:pPr>
      <w:r w:rsidRPr="00FC6B57">
        <w:rPr>
          <w:sz w:val="24"/>
          <w:szCs w:val="24"/>
        </w:rPr>
        <w:t>Der er ikke foretaget undersøgelser af virkningen på evnen til at føre motorkøretøj og betjene maskiner.</w:t>
      </w:r>
    </w:p>
    <w:p w:rsidR="0066044C" w:rsidRPr="00FC6B57" w:rsidRDefault="0066044C" w:rsidP="0066044C">
      <w:pPr>
        <w:ind w:left="851"/>
        <w:rPr>
          <w:sz w:val="24"/>
          <w:szCs w:val="24"/>
        </w:rPr>
      </w:pPr>
      <w:r w:rsidRPr="00FC6B57">
        <w:rPr>
          <w:sz w:val="24"/>
          <w:szCs w:val="24"/>
        </w:rPr>
        <w:t>Da denne behandling sandsynligvis vil påvirke balanceevnen, skal bilister og maskinoperatører advares om denne potentielle risiko.</w:t>
      </w:r>
    </w:p>
    <w:p w:rsidR="0066044C" w:rsidRPr="00C84483" w:rsidRDefault="0066044C" w:rsidP="0066044C">
      <w:pPr>
        <w:tabs>
          <w:tab w:val="left" w:pos="851"/>
        </w:tabs>
        <w:ind w:left="851"/>
        <w:rPr>
          <w:sz w:val="24"/>
          <w:szCs w:val="24"/>
        </w:rPr>
      </w:pPr>
    </w:p>
    <w:p w:rsidR="0066044C" w:rsidRPr="00C84483" w:rsidRDefault="0066044C" w:rsidP="0066044C">
      <w:pPr>
        <w:tabs>
          <w:tab w:val="left" w:pos="851"/>
        </w:tabs>
        <w:ind w:left="851" w:hanging="851"/>
        <w:rPr>
          <w:b/>
          <w:sz w:val="24"/>
          <w:szCs w:val="24"/>
        </w:rPr>
      </w:pPr>
      <w:r w:rsidRPr="00C84483">
        <w:rPr>
          <w:b/>
          <w:sz w:val="24"/>
          <w:szCs w:val="24"/>
        </w:rPr>
        <w:t>4.8</w:t>
      </w:r>
      <w:r w:rsidRPr="00C84483">
        <w:rPr>
          <w:b/>
          <w:sz w:val="24"/>
          <w:szCs w:val="24"/>
        </w:rPr>
        <w:tab/>
        <w:t>Bivirkninger</w:t>
      </w:r>
    </w:p>
    <w:p w:rsidR="0066044C" w:rsidRPr="00FC6B57" w:rsidRDefault="0066044C" w:rsidP="0066044C">
      <w:pPr>
        <w:ind w:left="851"/>
        <w:rPr>
          <w:sz w:val="24"/>
          <w:szCs w:val="24"/>
        </w:rPr>
      </w:pPr>
      <w:r w:rsidRPr="00FC6B57">
        <w:rPr>
          <w:sz w:val="24"/>
          <w:szCs w:val="24"/>
        </w:rPr>
        <w:t>De bivirkninger, der anses for mest sandsynligt at være behandlingsrelaterede, er anført nedenfor efter kroppens systemorganklasse og hyppighed. Hyppighederne er defineret som:</w:t>
      </w:r>
    </w:p>
    <w:p w:rsidR="0066044C" w:rsidRPr="00FC6B57" w:rsidRDefault="0066044C" w:rsidP="0066044C">
      <w:pPr>
        <w:ind w:left="851"/>
        <w:rPr>
          <w:sz w:val="24"/>
          <w:szCs w:val="24"/>
        </w:rPr>
      </w:pPr>
      <w:r w:rsidRPr="00FC6B57">
        <w:rPr>
          <w:sz w:val="24"/>
          <w:szCs w:val="24"/>
        </w:rPr>
        <w:t>Meget almindelig (≥1/10), almindelig (≥1/100 til &lt;1/10), ikke almindelig (≥1/1.000 til &lt;1/100), sjælden (≥1/10.000 til &lt;1/1.000), meget sjælden (&lt;1/10.000), ikke kendt (kan ikke estimeres ud fra forhåndenværende data).</w:t>
      </w:r>
    </w:p>
    <w:p w:rsidR="0066044C" w:rsidRDefault="0066044C" w:rsidP="0066044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53"/>
        <w:gridCol w:w="1331"/>
        <w:gridCol w:w="1134"/>
        <w:gridCol w:w="1700"/>
        <w:gridCol w:w="1926"/>
        <w:gridCol w:w="1384"/>
      </w:tblGrid>
      <w:tr w:rsidR="0066044C" w:rsidRPr="00FC6B57" w:rsidTr="0026269F">
        <w:trPr>
          <w:trHeight w:val="621"/>
          <w:tblHeader/>
        </w:trPr>
        <w:tc>
          <w:tcPr>
            <w:tcW w:w="1118"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jc w:val="center"/>
              <w:rPr>
                <w:b/>
              </w:rPr>
            </w:pPr>
            <w:r w:rsidRPr="00FC6B57">
              <w:rPr>
                <w:b/>
              </w:rPr>
              <w:t>Systemorgan-klasse</w:t>
            </w:r>
          </w:p>
        </w:tc>
        <w:tc>
          <w:tcPr>
            <w:tcW w:w="720"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jc w:val="center"/>
              <w:rPr>
                <w:b/>
              </w:rPr>
            </w:pPr>
            <w:r w:rsidRPr="00FC6B57">
              <w:rPr>
                <w:b/>
              </w:rPr>
              <w:t>Almindelig</w:t>
            </w:r>
          </w:p>
          <w:p w:rsidR="0066044C" w:rsidRPr="00FC6B57" w:rsidRDefault="0066044C" w:rsidP="00F232A2">
            <w:pPr>
              <w:pStyle w:val="TableParagraph"/>
              <w:spacing w:afterLines="60" w:after="144"/>
              <w:ind w:left="57" w:right="57"/>
              <w:jc w:val="center"/>
            </w:pPr>
            <w:r w:rsidRPr="00FC6B57">
              <w:t>(≥1/100 til &lt;1/10)</w:t>
            </w:r>
          </w:p>
        </w:tc>
        <w:tc>
          <w:tcPr>
            <w:tcW w:w="719"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jc w:val="center"/>
              <w:rPr>
                <w:b/>
              </w:rPr>
            </w:pPr>
            <w:r w:rsidRPr="00FC6B57">
              <w:rPr>
                <w:b/>
              </w:rPr>
              <w:t>Ikke almindelig</w:t>
            </w:r>
          </w:p>
          <w:p w:rsidR="0066044C" w:rsidRPr="00FC6B57" w:rsidRDefault="0066044C" w:rsidP="00F232A2">
            <w:pPr>
              <w:pStyle w:val="TableParagraph"/>
              <w:spacing w:afterLines="60" w:after="144"/>
              <w:ind w:left="57" w:right="57"/>
              <w:jc w:val="center"/>
            </w:pPr>
            <w:r w:rsidRPr="00FC6B57">
              <w:t>(≥1/1.000 til &lt;1/100)</w:t>
            </w:r>
          </w:p>
        </w:tc>
        <w:tc>
          <w:tcPr>
            <w:tcW w:w="809"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jc w:val="center"/>
              <w:rPr>
                <w:b/>
              </w:rPr>
            </w:pPr>
            <w:r w:rsidRPr="00FC6B57">
              <w:rPr>
                <w:b/>
              </w:rPr>
              <w:t>Sjælden</w:t>
            </w:r>
          </w:p>
          <w:p w:rsidR="0066044C" w:rsidRPr="00FC6B57" w:rsidRDefault="0066044C" w:rsidP="00F232A2">
            <w:pPr>
              <w:pStyle w:val="TableParagraph"/>
              <w:spacing w:afterLines="60" w:after="144"/>
              <w:ind w:left="57" w:right="57"/>
              <w:jc w:val="center"/>
            </w:pPr>
            <w:r w:rsidRPr="00FC6B57">
              <w:t>(≥1/10.000 til &lt;1/1.000)</w:t>
            </w:r>
          </w:p>
        </w:tc>
        <w:tc>
          <w:tcPr>
            <w:tcW w:w="915"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jc w:val="center"/>
              <w:rPr>
                <w:b/>
              </w:rPr>
            </w:pPr>
            <w:r w:rsidRPr="00FC6B57">
              <w:rPr>
                <w:b/>
              </w:rPr>
              <w:t>Meget sjælden</w:t>
            </w:r>
          </w:p>
          <w:p w:rsidR="0066044C" w:rsidRPr="00FC6B57" w:rsidRDefault="0066044C" w:rsidP="00F232A2">
            <w:pPr>
              <w:pStyle w:val="TableParagraph"/>
              <w:spacing w:afterLines="60" w:after="144"/>
              <w:ind w:left="57" w:right="57"/>
              <w:jc w:val="center"/>
            </w:pPr>
            <w:r w:rsidRPr="00FC6B57">
              <w:t>(&lt;1/10.000)</w:t>
            </w:r>
          </w:p>
        </w:tc>
        <w:tc>
          <w:tcPr>
            <w:tcW w:w="719"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jc w:val="center"/>
              <w:rPr>
                <w:b/>
              </w:rPr>
            </w:pPr>
            <w:r w:rsidRPr="00FC6B57">
              <w:rPr>
                <w:b/>
              </w:rPr>
              <w:t xml:space="preserve">Hyppigheden er ikke kendt </w:t>
            </w:r>
            <w:r w:rsidRPr="00FC6B57">
              <w:t>(hyppigheden kan ikke vurderes ud fra tilgængelige data).</w:t>
            </w:r>
          </w:p>
        </w:tc>
      </w:tr>
      <w:tr w:rsidR="0066044C" w:rsidRPr="00FC6B57" w:rsidTr="0026269F">
        <w:trPr>
          <w:trHeight w:val="1035"/>
        </w:trPr>
        <w:tc>
          <w:tcPr>
            <w:tcW w:w="1118"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rPr>
                <w:b/>
              </w:rPr>
            </w:pPr>
            <w:r w:rsidRPr="00FC6B57">
              <w:rPr>
                <w:b/>
              </w:rPr>
              <w:t>Infektioner og parasitære sygdomme</w:t>
            </w:r>
          </w:p>
        </w:tc>
        <w:tc>
          <w:tcPr>
            <w:tcW w:w="720"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719"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809"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915"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pPr>
            <w:r w:rsidRPr="00FC6B57">
              <w:t>Superinfektion (</w:t>
            </w:r>
            <w:r w:rsidR="007E41C5">
              <w:t xml:space="preserve">forårsaget af </w:t>
            </w:r>
            <w:r w:rsidRPr="00FC6B57">
              <w:t>gentamicin-resistente bakterier), pseudomembranøs colitis (se også pkt. 4.4)</w:t>
            </w:r>
            <w:r w:rsidRPr="00FC6B57">
              <w:rPr>
                <w:vertAlign w:val="superscript"/>
              </w:rPr>
              <w:t>1</w:t>
            </w:r>
          </w:p>
        </w:tc>
        <w:tc>
          <w:tcPr>
            <w:tcW w:w="719"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r>
      <w:tr w:rsidR="0066044C" w:rsidRPr="00FC6B57" w:rsidTr="0026269F">
        <w:trPr>
          <w:trHeight w:val="827"/>
        </w:trPr>
        <w:tc>
          <w:tcPr>
            <w:tcW w:w="1118"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rPr>
                <w:b/>
              </w:rPr>
            </w:pPr>
            <w:r w:rsidRPr="00FC6B57">
              <w:rPr>
                <w:b/>
              </w:rPr>
              <w:lastRenderedPageBreak/>
              <w:t>Blod- og lymfesystem</w:t>
            </w:r>
          </w:p>
        </w:tc>
        <w:tc>
          <w:tcPr>
            <w:tcW w:w="720"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719"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pPr>
            <w:r w:rsidRPr="00FC6B57">
              <w:t>Dyskrasi</w:t>
            </w:r>
          </w:p>
        </w:tc>
        <w:tc>
          <w:tcPr>
            <w:tcW w:w="809"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915"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pPr>
            <w:r w:rsidRPr="00FC6B57">
              <w:t>Trombocytopeni, retikulocytopeni, leukopeni, eosinofili, granulocytopeni, anæmi</w:t>
            </w:r>
          </w:p>
        </w:tc>
        <w:tc>
          <w:tcPr>
            <w:tcW w:w="719"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r>
      <w:tr w:rsidR="0066044C" w:rsidRPr="00FC6B57" w:rsidTr="0026269F">
        <w:trPr>
          <w:trHeight w:val="983"/>
        </w:trPr>
        <w:tc>
          <w:tcPr>
            <w:tcW w:w="1118"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rPr>
                <w:b/>
              </w:rPr>
            </w:pPr>
            <w:r w:rsidRPr="00FC6B57">
              <w:rPr>
                <w:b/>
              </w:rPr>
              <w:t>Immunsystemet</w:t>
            </w:r>
          </w:p>
        </w:tc>
        <w:tc>
          <w:tcPr>
            <w:tcW w:w="720"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719"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809"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915"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pPr>
            <w:r w:rsidRPr="00FC6B57">
              <w:t xml:space="preserve">Overfølsomheds-reaktioner af forskellig sværhedsgrad, fra udslæt og kløe, lægemiddel-induceret feber til svære akutte overfølsomheds-reaktioner </w:t>
            </w:r>
            <w:r w:rsidR="00C012BE" w:rsidRPr="00FC6B57">
              <w:t>(anafylaksi), op til anafylaktisk</w:t>
            </w:r>
            <w:r w:rsidR="00C012BE">
              <w:t>e reaktioner</w:t>
            </w:r>
            <w:r w:rsidR="00C012BE" w:rsidRPr="00FC6B57">
              <w:t xml:space="preserve"> </w:t>
            </w:r>
            <w:r w:rsidR="00C012BE">
              <w:t>(herunder anafylaktisk</w:t>
            </w:r>
            <w:r w:rsidR="00C012BE" w:rsidRPr="00FC6B57">
              <w:t xml:space="preserve"> chok</w:t>
            </w:r>
            <w:r w:rsidR="00C012BE">
              <w:t>)</w:t>
            </w:r>
          </w:p>
        </w:tc>
        <w:tc>
          <w:tcPr>
            <w:tcW w:w="719"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r>
      <w:tr w:rsidR="0066044C" w:rsidRPr="00FC6B57" w:rsidTr="0026269F">
        <w:trPr>
          <w:trHeight w:val="2542"/>
        </w:trPr>
        <w:tc>
          <w:tcPr>
            <w:tcW w:w="1118"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rPr>
                <w:b/>
              </w:rPr>
            </w:pPr>
            <w:r w:rsidRPr="00FC6B57">
              <w:rPr>
                <w:b/>
              </w:rPr>
              <w:t>Metabolisme og ernæring</w:t>
            </w:r>
          </w:p>
        </w:tc>
        <w:tc>
          <w:tcPr>
            <w:tcW w:w="720"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719"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809"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pPr>
            <w:r w:rsidRPr="00FC6B57">
              <w:t>Hypokalæmi, hypocalcæmi, hypomagnesæmi, pseudo-Bartter syndrom hos patienter behandlet med høje doser i en lang periode (over 4 uger), appetitløshed, vægttab</w:t>
            </w:r>
          </w:p>
        </w:tc>
        <w:tc>
          <w:tcPr>
            <w:tcW w:w="915"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pPr>
            <w:r w:rsidRPr="00FC6B57">
              <w:t>Hypofosfatæmi</w:t>
            </w:r>
          </w:p>
        </w:tc>
        <w:tc>
          <w:tcPr>
            <w:tcW w:w="719"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r>
      <w:tr w:rsidR="0066044C" w:rsidRPr="00FC6B57" w:rsidTr="0026269F">
        <w:trPr>
          <w:trHeight w:val="413"/>
        </w:trPr>
        <w:tc>
          <w:tcPr>
            <w:tcW w:w="1118"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rPr>
                <w:b/>
              </w:rPr>
            </w:pPr>
            <w:r w:rsidRPr="00FC6B57">
              <w:rPr>
                <w:b/>
              </w:rPr>
              <w:t>Psykiske forstyrrelser</w:t>
            </w:r>
          </w:p>
        </w:tc>
        <w:tc>
          <w:tcPr>
            <w:tcW w:w="720"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719"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809"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915"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pPr>
            <w:r w:rsidRPr="00FC6B57">
              <w:t>Forvirring, hallucinationer, depression</w:t>
            </w:r>
          </w:p>
        </w:tc>
        <w:tc>
          <w:tcPr>
            <w:tcW w:w="719"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r>
      <w:tr w:rsidR="0066044C" w:rsidRPr="00FC6B57" w:rsidTr="0026269F">
        <w:trPr>
          <w:trHeight w:val="825"/>
        </w:trPr>
        <w:tc>
          <w:tcPr>
            <w:tcW w:w="1118"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rPr>
                <w:b/>
              </w:rPr>
            </w:pPr>
            <w:r w:rsidRPr="00FC6B57">
              <w:rPr>
                <w:b/>
              </w:rPr>
              <w:t>Nervesystemet</w:t>
            </w:r>
          </w:p>
        </w:tc>
        <w:tc>
          <w:tcPr>
            <w:tcW w:w="720"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719"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809"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pPr>
            <w:r w:rsidRPr="00FC6B57">
              <w:t>Polyneuropati, perifere paræstesier</w:t>
            </w:r>
          </w:p>
        </w:tc>
        <w:tc>
          <w:tcPr>
            <w:tcW w:w="915"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pPr>
            <w:r w:rsidRPr="00FC6B57">
              <w:t>Encephalopati, kramper, neuromuskulær blokade, svimmelhed, balanceforstyrrelser, hovedpine (se pkt. 4.4)</w:t>
            </w:r>
          </w:p>
        </w:tc>
        <w:tc>
          <w:tcPr>
            <w:tcW w:w="719"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r>
      <w:tr w:rsidR="0066044C" w:rsidRPr="00FC6B57" w:rsidTr="0026269F">
        <w:trPr>
          <w:trHeight w:val="203"/>
        </w:trPr>
        <w:tc>
          <w:tcPr>
            <w:tcW w:w="1118"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rPr>
                <w:b/>
              </w:rPr>
            </w:pPr>
            <w:r w:rsidRPr="00FC6B57">
              <w:rPr>
                <w:b/>
              </w:rPr>
              <w:t>Øjne</w:t>
            </w:r>
          </w:p>
        </w:tc>
        <w:tc>
          <w:tcPr>
            <w:tcW w:w="720"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719"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809"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915"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pPr>
            <w:r w:rsidRPr="00FC6B57">
              <w:t>Synsforstyrrelser</w:t>
            </w:r>
          </w:p>
        </w:tc>
        <w:tc>
          <w:tcPr>
            <w:tcW w:w="719"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r>
      <w:tr w:rsidR="0066044C" w:rsidRPr="00FC6B57" w:rsidTr="0026269F">
        <w:trPr>
          <w:trHeight w:val="827"/>
        </w:trPr>
        <w:tc>
          <w:tcPr>
            <w:tcW w:w="1118"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rPr>
                <w:b/>
              </w:rPr>
            </w:pPr>
            <w:r w:rsidRPr="00FC6B57">
              <w:rPr>
                <w:b/>
              </w:rPr>
              <w:lastRenderedPageBreak/>
              <w:t>Øre og labyrint</w:t>
            </w:r>
          </w:p>
        </w:tc>
        <w:tc>
          <w:tcPr>
            <w:tcW w:w="720"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719"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809"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915"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pPr>
            <w:r w:rsidRPr="00FC6B57">
              <w:t>Vestibulær skade, høretab, Meniéres sygdom, tinnitus, vertigo (se pkt. 4.4)</w:t>
            </w:r>
          </w:p>
        </w:tc>
        <w:tc>
          <w:tcPr>
            <w:tcW w:w="719"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pPr>
            <w:r w:rsidRPr="00FC6B57">
              <w:t>Irreversibelt høretab, døvhed</w:t>
            </w:r>
          </w:p>
        </w:tc>
      </w:tr>
      <w:tr w:rsidR="0066044C" w:rsidRPr="00FC6B57" w:rsidTr="0026269F">
        <w:trPr>
          <w:trHeight w:val="414"/>
        </w:trPr>
        <w:tc>
          <w:tcPr>
            <w:tcW w:w="1118"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rPr>
                <w:b/>
              </w:rPr>
            </w:pPr>
            <w:r w:rsidRPr="00FC6B57">
              <w:rPr>
                <w:b/>
              </w:rPr>
              <w:t>Vaskulære sygdomme</w:t>
            </w:r>
          </w:p>
        </w:tc>
        <w:tc>
          <w:tcPr>
            <w:tcW w:w="720"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719"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809"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915"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pPr>
            <w:r w:rsidRPr="00FC6B57">
              <w:t>Hypotension, hypertension</w:t>
            </w:r>
          </w:p>
        </w:tc>
        <w:tc>
          <w:tcPr>
            <w:tcW w:w="719"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r>
      <w:tr w:rsidR="0066044C" w:rsidRPr="00FC6B57" w:rsidTr="0026269F">
        <w:trPr>
          <w:trHeight w:val="620"/>
        </w:trPr>
        <w:tc>
          <w:tcPr>
            <w:tcW w:w="1118"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rPr>
                <w:b/>
              </w:rPr>
            </w:pPr>
            <w:r w:rsidRPr="00FC6B57">
              <w:rPr>
                <w:b/>
              </w:rPr>
              <w:t>Mave-tarm-kanalen</w:t>
            </w:r>
          </w:p>
        </w:tc>
        <w:tc>
          <w:tcPr>
            <w:tcW w:w="720"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719"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809"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pPr>
            <w:r w:rsidRPr="00FC6B57">
              <w:t>Opkast, kvalme, øget spytdannelse, stomatitis</w:t>
            </w:r>
          </w:p>
        </w:tc>
        <w:tc>
          <w:tcPr>
            <w:tcW w:w="915"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719"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r>
      <w:tr w:rsidR="0066044C" w:rsidRPr="00FC6B57" w:rsidTr="0026269F">
        <w:trPr>
          <w:trHeight w:val="1863"/>
        </w:trPr>
        <w:tc>
          <w:tcPr>
            <w:tcW w:w="1118"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rPr>
                <w:b/>
              </w:rPr>
            </w:pPr>
            <w:r w:rsidRPr="00FC6B57">
              <w:rPr>
                <w:b/>
              </w:rPr>
              <w:t>Lever og galdeveje</w:t>
            </w:r>
          </w:p>
        </w:tc>
        <w:tc>
          <w:tcPr>
            <w:tcW w:w="720"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719"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809"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pPr>
            <w:r w:rsidRPr="00FC6B57">
              <w:t>Forhøjet aspartatamino-transferase (ASAT), forhøjet alaninamino-transferase (ALAT), forhøjet alkalisk phosphatase (ALP), reversibel stigning i serum bilirubin (alle reversible)</w:t>
            </w:r>
          </w:p>
        </w:tc>
        <w:tc>
          <w:tcPr>
            <w:tcW w:w="915"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719"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r>
      <w:tr w:rsidR="0066044C" w:rsidRPr="00FC6B57" w:rsidTr="0026269F">
        <w:trPr>
          <w:trHeight w:val="1239"/>
        </w:trPr>
        <w:tc>
          <w:tcPr>
            <w:tcW w:w="1118"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rPr>
                <w:b/>
              </w:rPr>
            </w:pPr>
            <w:r w:rsidRPr="00FC6B57">
              <w:rPr>
                <w:b/>
              </w:rPr>
              <w:t>Hud og subkutane væv</w:t>
            </w:r>
          </w:p>
        </w:tc>
        <w:tc>
          <w:tcPr>
            <w:tcW w:w="720"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719"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pPr>
            <w:r w:rsidRPr="00FC6B57">
              <w:t>Allergisk hududslæt</w:t>
            </w:r>
          </w:p>
        </w:tc>
        <w:tc>
          <w:tcPr>
            <w:tcW w:w="809"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pPr>
            <w:r w:rsidRPr="00FC6B57">
              <w:t>Hudrødmen</w:t>
            </w:r>
          </w:p>
        </w:tc>
        <w:tc>
          <w:tcPr>
            <w:tcW w:w="915"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pPr>
            <w:r w:rsidRPr="00FC6B57">
              <w:t>Toksisk epidermal nekrolyse</w:t>
            </w:r>
            <w:r w:rsidRPr="00FC6B57">
              <w:rPr>
                <w:vertAlign w:val="superscript"/>
              </w:rPr>
              <w:t>2</w:t>
            </w:r>
            <w:r w:rsidRPr="00FC6B57">
              <w:t>, Lyells syndrom</w:t>
            </w:r>
            <w:r w:rsidRPr="00FC6B57">
              <w:rPr>
                <w:vertAlign w:val="superscript"/>
              </w:rPr>
              <w:t>2</w:t>
            </w:r>
            <w:r w:rsidRPr="00FC6B57">
              <w:t>, Stevens-Johnson syndrom</w:t>
            </w:r>
            <w:r w:rsidRPr="00FC6B57">
              <w:rPr>
                <w:vertAlign w:val="superscript"/>
              </w:rPr>
              <w:t>2</w:t>
            </w:r>
            <w:r w:rsidRPr="00FC6B57">
              <w:t>, Erythema multiforme</w:t>
            </w:r>
            <w:r w:rsidRPr="00FC6B57">
              <w:rPr>
                <w:vertAlign w:val="superscript"/>
              </w:rPr>
              <w:t>2</w:t>
            </w:r>
            <w:r w:rsidRPr="00FC6B57">
              <w:t>, Alopecia</w:t>
            </w:r>
          </w:p>
        </w:tc>
        <w:tc>
          <w:tcPr>
            <w:tcW w:w="719"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r>
      <w:tr w:rsidR="0066044C" w:rsidRPr="00FC6B57" w:rsidTr="0026269F">
        <w:trPr>
          <w:trHeight w:val="621"/>
        </w:trPr>
        <w:tc>
          <w:tcPr>
            <w:tcW w:w="1118"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rPr>
                <w:b/>
              </w:rPr>
            </w:pPr>
            <w:r w:rsidRPr="00FC6B57">
              <w:rPr>
                <w:b/>
              </w:rPr>
              <w:t>Knogler, led, muskler og bindevæv</w:t>
            </w:r>
          </w:p>
        </w:tc>
        <w:tc>
          <w:tcPr>
            <w:tcW w:w="720"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719"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809"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pPr>
            <w:r w:rsidRPr="00FC6B57">
              <w:t>Muskelsmerter (myalgi)</w:t>
            </w:r>
          </w:p>
        </w:tc>
        <w:tc>
          <w:tcPr>
            <w:tcW w:w="915"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pPr>
            <w:r w:rsidRPr="00FC6B57">
              <w:t>Amyostasi</w:t>
            </w:r>
          </w:p>
        </w:tc>
        <w:tc>
          <w:tcPr>
            <w:tcW w:w="719"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r>
      <w:tr w:rsidR="0066044C" w:rsidRPr="00FC6B57" w:rsidTr="0026269F">
        <w:trPr>
          <w:trHeight w:val="1449"/>
        </w:trPr>
        <w:tc>
          <w:tcPr>
            <w:tcW w:w="1118"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rPr>
                <w:b/>
              </w:rPr>
            </w:pPr>
            <w:r w:rsidRPr="00FC6B57">
              <w:rPr>
                <w:b/>
              </w:rPr>
              <w:t>Nyrer og urinveje</w:t>
            </w:r>
          </w:p>
        </w:tc>
        <w:tc>
          <w:tcPr>
            <w:tcW w:w="720"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pPr>
            <w:r w:rsidRPr="00FC6B57">
              <w:t>Nedsat nyrefunktion</w:t>
            </w:r>
            <w:r w:rsidRPr="00FC6B57">
              <w:rPr>
                <w:vertAlign w:val="superscript"/>
              </w:rPr>
              <w:t>2</w:t>
            </w:r>
          </w:p>
        </w:tc>
        <w:tc>
          <w:tcPr>
            <w:tcW w:w="719"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809"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tabs>
                <w:tab w:val="left" w:pos="839"/>
                <w:tab w:val="left" w:pos="1440"/>
              </w:tabs>
              <w:spacing w:afterLines="60" w:after="144"/>
              <w:ind w:left="57" w:right="57"/>
            </w:pPr>
            <w:r w:rsidRPr="00FC6B57">
              <w:t>Forhøjet urinkvælstof i blodet (reversibel)</w:t>
            </w:r>
          </w:p>
        </w:tc>
        <w:tc>
          <w:tcPr>
            <w:tcW w:w="915"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pPr>
            <w:r w:rsidRPr="00FC6B57">
              <w:t>Akut nyresvigt, hyperphosphaturi, aminoaciduri, Fanconi-lignende tilstand hos patienter i behandling med høje doser i længere tid (se pkt. 4.4)</w:t>
            </w:r>
          </w:p>
        </w:tc>
        <w:tc>
          <w:tcPr>
            <w:tcW w:w="719"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r>
      <w:tr w:rsidR="0066044C" w:rsidRPr="00FC6B57" w:rsidTr="0026269F">
        <w:trPr>
          <w:trHeight w:val="1082"/>
        </w:trPr>
        <w:tc>
          <w:tcPr>
            <w:tcW w:w="1118"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rPr>
                <w:b/>
              </w:rPr>
            </w:pPr>
            <w:r w:rsidRPr="00FC6B57">
              <w:rPr>
                <w:b/>
              </w:rPr>
              <w:lastRenderedPageBreak/>
              <w:t>Almene symptomer og reaktioner på administrationsstedet</w:t>
            </w:r>
          </w:p>
        </w:tc>
        <w:tc>
          <w:tcPr>
            <w:tcW w:w="720"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719"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c>
          <w:tcPr>
            <w:tcW w:w="809"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pPr>
            <w:r w:rsidRPr="00FC6B57">
              <w:t>Forhøjet legemstemperatur</w:t>
            </w:r>
          </w:p>
        </w:tc>
        <w:tc>
          <w:tcPr>
            <w:tcW w:w="915" w:type="pct"/>
            <w:tcBorders>
              <w:top w:val="single" w:sz="4" w:space="0" w:color="000000"/>
              <w:left w:val="single" w:sz="4" w:space="0" w:color="000000"/>
              <w:bottom w:val="single" w:sz="4" w:space="0" w:color="000000"/>
              <w:right w:val="single" w:sz="4" w:space="0" w:color="000000"/>
            </w:tcBorders>
            <w:hideMark/>
          </w:tcPr>
          <w:p w:rsidR="0066044C" w:rsidRPr="00FC6B57" w:rsidRDefault="0066044C" w:rsidP="00F232A2">
            <w:pPr>
              <w:pStyle w:val="TableParagraph"/>
              <w:spacing w:afterLines="60" w:after="144"/>
              <w:ind w:left="57" w:right="57"/>
            </w:pPr>
            <w:r w:rsidRPr="00FC6B57">
              <w:t>Smerter på injektionsstedet</w:t>
            </w:r>
          </w:p>
        </w:tc>
        <w:tc>
          <w:tcPr>
            <w:tcW w:w="719" w:type="pct"/>
            <w:tcBorders>
              <w:top w:val="single" w:sz="4" w:space="0" w:color="000000"/>
              <w:left w:val="single" w:sz="4" w:space="0" w:color="000000"/>
              <w:bottom w:val="single" w:sz="4" w:space="0" w:color="000000"/>
              <w:right w:val="single" w:sz="4" w:space="0" w:color="000000"/>
            </w:tcBorders>
          </w:tcPr>
          <w:p w:rsidR="0066044C" w:rsidRPr="00FC6B57" w:rsidRDefault="0066044C" w:rsidP="00F232A2">
            <w:pPr>
              <w:pStyle w:val="TableParagraph"/>
              <w:spacing w:afterLines="60" w:after="144"/>
              <w:ind w:left="57" w:right="57"/>
            </w:pPr>
          </w:p>
        </w:tc>
      </w:tr>
    </w:tbl>
    <w:p w:rsidR="0066044C" w:rsidRDefault="0066044C" w:rsidP="0066044C">
      <w:pPr>
        <w:ind w:right="2"/>
        <w:rPr>
          <w:i/>
          <w:sz w:val="20"/>
        </w:rPr>
      </w:pPr>
      <w:r>
        <w:rPr>
          <w:i/>
          <w:vertAlign w:val="superscript"/>
        </w:rPr>
        <w:t>1</w:t>
      </w:r>
      <w:r>
        <w:rPr>
          <w:i/>
        </w:rPr>
        <w:t xml:space="preserve"> </w:t>
      </w:r>
      <w:r>
        <w:rPr>
          <w:i/>
          <w:sz w:val="20"/>
        </w:rPr>
        <w:t>Der er sædvanligvis andre antibiotika involveret i disse tilfælde.</w:t>
      </w:r>
    </w:p>
    <w:p w:rsidR="0066044C" w:rsidRDefault="0066044C" w:rsidP="0066044C">
      <w:pPr>
        <w:ind w:right="2"/>
        <w:rPr>
          <w:i/>
          <w:sz w:val="20"/>
        </w:rPr>
      </w:pPr>
      <w:r>
        <w:rPr>
          <w:i/>
          <w:vertAlign w:val="superscript"/>
        </w:rPr>
        <w:t>2</w:t>
      </w:r>
      <w:r>
        <w:rPr>
          <w:i/>
        </w:rPr>
        <w:t xml:space="preserve"> </w:t>
      </w:r>
      <w:r>
        <w:rPr>
          <w:i/>
          <w:sz w:val="20"/>
        </w:rPr>
        <w:t>Kan forekomme som overfølsomhedsreaktioner.</w:t>
      </w:r>
    </w:p>
    <w:p w:rsidR="0066044C" w:rsidRDefault="0066044C" w:rsidP="0066044C">
      <w:pPr>
        <w:pStyle w:val="Brdtekst"/>
        <w:ind w:right="2"/>
        <w:rPr>
          <w:i/>
        </w:rPr>
      </w:pPr>
    </w:p>
    <w:p w:rsidR="0066044C" w:rsidRPr="0075586C" w:rsidRDefault="0066044C" w:rsidP="0066044C">
      <w:pPr>
        <w:ind w:left="851"/>
        <w:rPr>
          <w:sz w:val="24"/>
          <w:szCs w:val="24"/>
          <w:u w:val="single"/>
        </w:rPr>
      </w:pPr>
      <w:r w:rsidRPr="0075586C">
        <w:rPr>
          <w:sz w:val="24"/>
          <w:szCs w:val="24"/>
          <w:u w:val="single"/>
        </w:rPr>
        <w:t>Indberetning af formodede bivirkninger</w:t>
      </w:r>
    </w:p>
    <w:p w:rsidR="0066044C" w:rsidRPr="00FC6B57" w:rsidRDefault="0066044C" w:rsidP="0066044C">
      <w:pPr>
        <w:ind w:left="851"/>
        <w:rPr>
          <w:sz w:val="24"/>
          <w:szCs w:val="24"/>
        </w:rPr>
      </w:pPr>
      <w:r w:rsidRPr="00FC6B57">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66044C" w:rsidRPr="00FC6B57" w:rsidRDefault="0066044C" w:rsidP="0066044C">
      <w:pPr>
        <w:ind w:left="851"/>
        <w:rPr>
          <w:sz w:val="24"/>
          <w:szCs w:val="24"/>
        </w:rPr>
      </w:pPr>
      <w:r w:rsidRPr="00FC6B57">
        <w:rPr>
          <w:sz w:val="24"/>
          <w:szCs w:val="24"/>
        </w:rPr>
        <w:br/>
        <w:t>Lægemiddelstyrelsen</w:t>
      </w:r>
    </w:p>
    <w:p w:rsidR="0066044C" w:rsidRPr="00FC6B57" w:rsidRDefault="0066044C" w:rsidP="0066044C">
      <w:pPr>
        <w:ind w:left="851"/>
        <w:rPr>
          <w:sz w:val="24"/>
          <w:szCs w:val="24"/>
        </w:rPr>
      </w:pPr>
      <w:r w:rsidRPr="00FC6B57">
        <w:rPr>
          <w:sz w:val="24"/>
          <w:szCs w:val="24"/>
        </w:rPr>
        <w:t>Axel Heides Gade 1</w:t>
      </w:r>
    </w:p>
    <w:p w:rsidR="0066044C" w:rsidRPr="00FC6B57" w:rsidRDefault="0066044C" w:rsidP="0066044C">
      <w:pPr>
        <w:ind w:left="851"/>
        <w:rPr>
          <w:sz w:val="24"/>
          <w:szCs w:val="24"/>
        </w:rPr>
      </w:pPr>
      <w:r w:rsidRPr="00FC6B57">
        <w:rPr>
          <w:sz w:val="24"/>
          <w:szCs w:val="24"/>
        </w:rPr>
        <w:t>DK-2300 København S</w:t>
      </w:r>
    </w:p>
    <w:p w:rsidR="0066044C" w:rsidRPr="00FC6B57" w:rsidRDefault="0066044C" w:rsidP="0066044C">
      <w:pPr>
        <w:ind w:left="851"/>
        <w:rPr>
          <w:sz w:val="24"/>
          <w:szCs w:val="24"/>
        </w:rPr>
      </w:pPr>
      <w:r w:rsidRPr="00FC6B57">
        <w:rPr>
          <w:sz w:val="24"/>
          <w:szCs w:val="24"/>
        </w:rPr>
        <w:t xml:space="preserve">Websted: </w:t>
      </w:r>
      <w:r w:rsidRPr="00397425">
        <w:rPr>
          <w:sz w:val="24"/>
          <w:szCs w:val="24"/>
        </w:rPr>
        <w:t>www.meldenbivirkning.dk</w:t>
      </w:r>
      <w:r w:rsidRPr="00FC6B57">
        <w:rPr>
          <w:sz w:val="24"/>
          <w:szCs w:val="24"/>
        </w:rPr>
        <w:t xml:space="preserve"> </w:t>
      </w:r>
    </w:p>
    <w:p w:rsidR="0066044C" w:rsidRPr="00C84483" w:rsidRDefault="0066044C" w:rsidP="0066044C">
      <w:pPr>
        <w:pStyle w:val="Sidehoved"/>
        <w:tabs>
          <w:tab w:val="left" w:pos="851"/>
        </w:tabs>
        <w:ind w:left="851"/>
        <w:rPr>
          <w:szCs w:val="24"/>
        </w:rPr>
      </w:pPr>
    </w:p>
    <w:p w:rsidR="0066044C" w:rsidRPr="00C84483" w:rsidRDefault="0066044C" w:rsidP="0066044C">
      <w:pPr>
        <w:tabs>
          <w:tab w:val="left" w:pos="851"/>
        </w:tabs>
        <w:ind w:left="851" w:hanging="851"/>
        <w:rPr>
          <w:b/>
          <w:sz w:val="24"/>
          <w:szCs w:val="24"/>
        </w:rPr>
      </w:pPr>
      <w:r w:rsidRPr="00C84483">
        <w:rPr>
          <w:b/>
          <w:sz w:val="24"/>
          <w:szCs w:val="24"/>
        </w:rPr>
        <w:t>4.9</w:t>
      </w:r>
      <w:r w:rsidRPr="00C84483">
        <w:rPr>
          <w:b/>
          <w:sz w:val="24"/>
          <w:szCs w:val="24"/>
        </w:rPr>
        <w:tab/>
        <w:t>Overdosering</w:t>
      </w:r>
    </w:p>
    <w:p w:rsidR="0066044C" w:rsidRPr="00FC6B57" w:rsidRDefault="0066044C" w:rsidP="0066044C">
      <w:pPr>
        <w:ind w:left="851"/>
        <w:rPr>
          <w:sz w:val="24"/>
          <w:szCs w:val="24"/>
        </w:rPr>
      </w:pPr>
      <w:r w:rsidRPr="00FC6B57">
        <w:rPr>
          <w:sz w:val="24"/>
          <w:szCs w:val="24"/>
        </w:rPr>
        <w:t xml:space="preserve">Gentamicin har et smalt terapeutisk vindue. </w:t>
      </w:r>
    </w:p>
    <w:p w:rsidR="0066044C" w:rsidRPr="00FC6B57" w:rsidRDefault="0066044C" w:rsidP="0066044C">
      <w:pPr>
        <w:ind w:left="851"/>
        <w:rPr>
          <w:sz w:val="24"/>
          <w:szCs w:val="24"/>
          <w:u w:val="single"/>
        </w:rPr>
      </w:pPr>
    </w:p>
    <w:p w:rsidR="0066044C" w:rsidRPr="00FC6B57" w:rsidRDefault="0066044C" w:rsidP="0066044C">
      <w:pPr>
        <w:ind w:left="851"/>
        <w:rPr>
          <w:sz w:val="24"/>
          <w:szCs w:val="24"/>
        </w:rPr>
      </w:pPr>
      <w:r w:rsidRPr="00FC6B57">
        <w:rPr>
          <w:sz w:val="24"/>
          <w:szCs w:val="24"/>
          <w:u w:val="single"/>
        </w:rPr>
        <w:t>Symptomer</w:t>
      </w:r>
    </w:p>
    <w:p w:rsidR="0066044C" w:rsidRPr="00FC6B57" w:rsidRDefault="0066044C" w:rsidP="0066044C">
      <w:pPr>
        <w:ind w:left="851"/>
        <w:rPr>
          <w:sz w:val="24"/>
          <w:szCs w:val="24"/>
        </w:rPr>
      </w:pPr>
      <w:r w:rsidRPr="00FC6B57">
        <w:rPr>
          <w:sz w:val="24"/>
          <w:szCs w:val="24"/>
        </w:rPr>
        <w:t>I tilfælde af akkumulering kan der forekomme nyreskader og beskadigelse af vestibulocochlear</w:t>
      </w:r>
      <w:r>
        <w:rPr>
          <w:sz w:val="24"/>
          <w:szCs w:val="24"/>
        </w:rPr>
        <w:softHyphen/>
      </w:r>
      <w:r w:rsidRPr="00FC6B57">
        <w:rPr>
          <w:sz w:val="24"/>
          <w:szCs w:val="24"/>
        </w:rPr>
        <w:t>nerven.</w:t>
      </w:r>
    </w:p>
    <w:p w:rsidR="0066044C" w:rsidRPr="00FC6B57" w:rsidRDefault="0066044C" w:rsidP="0066044C">
      <w:pPr>
        <w:ind w:left="851"/>
        <w:rPr>
          <w:sz w:val="24"/>
          <w:szCs w:val="24"/>
        </w:rPr>
      </w:pPr>
    </w:p>
    <w:p w:rsidR="0066044C" w:rsidRPr="00FC6B57" w:rsidRDefault="0066044C" w:rsidP="0066044C">
      <w:pPr>
        <w:ind w:left="851"/>
        <w:rPr>
          <w:sz w:val="24"/>
          <w:szCs w:val="24"/>
        </w:rPr>
      </w:pPr>
      <w:r w:rsidRPr="00FC6B57">
        <w:rPr>
          <w:sz w:val="24"/>
          <w:szCs w:val="24"/>
          <w:u w:val="single"/>
        </w:rPr>
        <w:t>Behandling</w:t>
      </w:r>
    </w:p>
    <w:p w:rsidR="0066044C" w:rsidRPr="00FC6B57" w:rsidRDefault="0066044C" w:rsidP="0066044C">
      <w:pPr>
        <w:ind w:left="851"/>
        <w:rPr>
          <w:sz w:val="24"/>
          <w:szCs w:val="24"/>
        </w:rPr>
      </w:pPr>
      <w:r w:rsidRPr="00FC6B57">
        <w:rPr>
          <w:sz w:val="24"/>
          <w:szCs w:val="24"/>
        </w:rPr>
        <w:t>Stop behandlingen. Sørg for god, helst lidt forøget diurese. Kan også fjernes fra blodet ved dialyse.</w:t>
      </w:r>
    </w:p>
    <w:p w:rsidR="0066044C" w:rsidRPr="00FC6B57" w:rsidRDefault="0066044C" w:rsidP="0066044C">
      <w:pPr>
        <w:ind w:left="851"/>
        <w:rPr>
          <w:sz w:val="24"/>
          <w:szCs w:val="24"/>
        </w:rPr>
      </w:pPr>
    </w:p>
    <w:p w:rsidR="0066044C" w:rsidRPr="00FC6B57" w:rsidRDefault="0066044C" w:rsidP="0066044C">
      <w:pPr>
        <w:ind w:left="851"/>
        <w:rPr>
          <w:sz w:val="24"/>
          <w:szCs w:val="24"/>
        </w:rPr>
      </w:pPr>
      <w:r w:rsidRPr="00FC6B57">
        <w:rPr>
          <w:sz w:val="24"/>
          <w:szCs w:val="24"/>
        </w:rPr>
        <w:t>Overvåg serumkoncentrationen</w:t>
      </w:r>
    </w:p>
    <w:p w:rsidR="0066044C" w:rsidRPr="00FC6B57" w:rsidRDefault="0066044C" w:rsidP="0066044C">
      <w:pPr>
        <w:ind w:left="851"/>
        <w:rPr>
          <w:sz w:val="24"/>
          <w:szCs w:val="24"/>
        </w:rPr>
      </w:pPr>
      <w:r w:rsidRPr="00FC6B57">
        <w:rPr>
          <w:sz w:val="24"/>
          <w:szCs w:val="24"/>
        </w:rPr>
        <w:t>I tilfælde af neuromuskulær blokade anbefales det at give calciumchlorid samt respiratorbehandling, hvis det er påkrævet.</w:t>
      </w:r>
    </w:p>
    <w:p w:rsidR="0066044C" w:rsidRPr="00C84483" w:rsidRDefault="0066044C" w:rsidP="0066044C">
      <w:pPr>
        <w:tabs>
          <w:tab w:val="left" w:pos="851"/>
        </w:tabs>
        <w:ind w:left="851"/>
        <w:rPr>
          <w:sz w:val="24"/>
          <w:szCs w:val="24"/>
        </w:rPr>
      </w:pPr>
    </w:p>
    <w:p w:rsidR="0066044C" w:rsidRPr="00C84483" w:rsidRDefault="0066044C" w:rsidP="0066044C">
      <w:pPr>
        <w:tabs>
          <w:tab w:val="left" w:pos="851"/>
        </w:tabs>
        <w:ind w:left="851" w:hanging="851"/>
        <w:rPr>
          <w:b/>
          <w:sz w:val="24"/>
          <w:szCs w:val="24"/>
        </w:rPr>
      </w:pPr>
      <w:r w:rsidRPr="00C84483">
        <w:rPr>
          <w:b/>
          <w:sz w:val="24"/>
          <w:szCs w:val="24"/>
        </w:rPr>
        <w:t>4.10</w:t>
      </w:r>
      <w:r w:rsidRPr="00C84483">
        <w:rPr>
          <w:b/>
          <w:sz w:val="24"/>
          <w:szCs w:val="24"/>
        </w:rPr>
        <w:tab/>
        <w:t>Udlevering</w:t>
      </w:r>
    </w:p>
    <w:p w:rsidR="0066044C" w:rsidRPr="00C84483" w:rsidRDefault="0066044C" w:rsidP="0066044C">
      <w:pPr>
        <w:tabs>
          <w:tab w:val="left" w:pos="851"/>
        </w:tabs>
        <w:ind w:left="851"/>
        <w:rPr>
          <w:sz w:val="24"/>
          <w:szCs w:val="24"/>
        </w:rPr>
      </w:pPr>
      <w:r>
        <w:rPr>
          <w:sz w:val="24"/>
          <w:szCs w:val="24"/>
        </w:rPr>
        <w:t>B</w:t>
      </w:r>
    </w:p>
    <w:p w:rsidR="0066044C" w:rsidRPr="00C84483" w:rsidRDefault="0066044C" w:rsidP="0066044C">
      <w:pPr>
        <w:tabs>
          <w:tab w:val="left" w:pos="851"/>
        </w:tabs>
        <w:ind w:left="851"/>
        <w:rPr>
          <w:sz w:val="24"/>
          <w:szCs w:val="24"/>
        </w:rPr>
      </w:pPr>
    </w:p>
    <w:p w:rsidR="0066044C" w:rsidRPr="00C84483" w:rsidRDefault="0066044C" w:rsidP="0066044C">
      <w:pPr>
        <w:tabs>
          <w:tab w:val="left" w:pos="851"/>
        </w:tabs>
        <w:ind w:left="851"/>
        <w:rPr>
          <w:sz w:val="24"/>
          <w:szCs w:val="24"/>
        </w:rPr>
      </w:pPr>
    </w:p>
    <w:p w:rsidR="0066044C" w:rsidRPr="00C84483" w:rsidRDefault="0066044C" w:rsidP="0066044C">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66044C" w:rsidRPr="00C84483" w:rsidRDefault="0066044C" w:rsidP="0066044C">
      <w:pPr>
        <w:tabs>
          <w:tab w:val="left" w:pos="851"/>
        </w:tabs>
        <w:ind w:left="851"/>
        <w:rPr>
          <w:sz w:val="24"/>
          <w:szCs w:val="24"/>
        </w:rPr>
      </w:pPr>
    </w:p>
    <w:p w:rsidR="0066044C" w:rsidRPr="00C84483" w:rsidRDefault="0066044C" w:rsidP="0066044C">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8B7BF7" w:rsidRDefault="00780F88" w:rsidP="0066044C">
      <w:pPr>
        <w:ind w:left="851"/>
        <w:rPr>
          <w:sz w:val="24"/>
          <w:szCs w:val="24"/>
        </w:rPr>
      </w:pPr>
      <w:r>
        <w:rPr>
          <w:sz w:val="24"/>
          <w:szCs w:val="24"/>
        </w:rPr>
        <w:t xml:space="preserve">Farmakoterapeutisk klassifikation: </w:t>
      </w:r>
      <w:r w:rsidRPr="00FC6B57">
        <w:rPr>
          <w:sz w:val="24"/>
          <w:szCs w:val="24"/>
        </w:rPr>
        <w:t>Andre aminoglycosider</w:t>
      </w:r>
      <w:r>
        <w:rPr>
          <w:sz w:val="24"/>
          <w:szCs w:val="24"/>
        </w:rPr>
        <w:t xml:space="preserve">, </w:t>
      </w:r>
      <w:r w:rsidR="008B7BF7" w:rsidRPr="00FC6B57">
        <w:rPr>
          <w:sz w:val="24"/>
          <w:szCs w:val="24"/>
        </w:rPr>
        <w:t>ATC-kode: J01GB03</w:t>
      </w:r>
      <w:r w:rsidR="008B7BF7">
        <w:rPr>
          <w:sz w:val="24"/>
          <w:szCs w:val="24"/>
        </w:rPr>
        <w:t>.</w:t>
      </w:r>
    </w:p>
    <w:p w:rsidR="008B7BF7" w:rsidRDefault="008B7BF7" w:rsidP="0066044C">
      <w:pPr>
        <w:ind w:left="851"/>
        <w:rPr>
          <w:sz w:val="24"/>
          <w:szCs w:val="24"/>
        </w:rPr>
      </w:pPr>
    </w:p>
    <w:p w:rsidR="0066044C" w:rsidRPr="00FC6B57" w:rsidRDefault="0066044C" w:rsidP="0066044C">
      <w:pPr>
        <w:ind w:left="851"/>
        <w:rPr>
          <w:sz w:val="24"/>
          <w:szCs w:val="24"/>
        </w:rPr>
      </w:pPr>
      <w:r w:rsidRPr="00FC6B57">
        <w:rPr>
          <w:sz w:val="24"/>
          <w:szCs w:val="24"/>
        </w:rPr>
        <w:t xml:space="preserve">Gentamicin er et aminoglykosidantibiotikum, der er udvundet af </w:t>
      </w:r>
      <w:r w:rsidRPr="00FC6B57">
        <w:rPr>
          <w:i/>
          <w:iCs/>
          <w:sz w:val="24"/>
          <w:szCs w:val="24"/>
        </w:rPr>
        <w:t>Micromonospora purpurea</w:t>
      </w:r>
      <w:r w:rsidRPr="00FC6B57">
        <w:rPr>
          <w:sz w:val="24"/>
          <w:szCs w:val="24"/>
        </w:rPr>
        <w:t xml:space="preserve">. Det består af en blanding af de strukturelt meget ens homologe gentamiciner C1, C1a og C2. Det homologe gentamicin C2 er klassificeret, som komponenten med den </w:t>
      </w:r>
      <w:r w:rsidRPr="00FC6B57">
        <w:rPr>
          <w:sz w:val="24"/>
          <w:szCs w:val="24"/>
        </w:rPr>
        <w:lastRenderedPageBreak/>
        <w:t>højeste toksicitet. Den antibakterielle aktivitet af gentamicinsulfat bestemmes både på grundlag af enheder og efter masse (vægt).</w:t>
      </w:r>
    </w:p>
    <w:p w:rsidR="0066044C" w:rsidRPr="00FC6B57" w:rsidRDefault="0066044C" w:rsidP="0066044C">
      <w:pPr>
        <w:ind w:left="851"/>
        <w:rPr>
          <w:sz w:val="24"/>
          <w:szCs w:val="24"/>
        </w:rPr>
      </w:pPr>
    </w:p>
    <w:p w:rsidR="0066044C" w:rsidRPr="00FC6B57" w:rsidRDefault="0066044C" w:rsidP="0066044C">
      <w:pPr>
        <w:ind w:left="851"/>
        <w:rPr>
          <w:sz w:val="24"/>
          <w:szCs w:val="24"/>
        </w:rPr>
      </w:pPr>
      <w:r w:rsidRPr="00FC6B57">
        <w:rPr>
          <w:sz w:val="24"/>
          <w:szCs w:val="24"/>
          <w:u w:val="single"/>
        </w:rPr>
        <w:t>Virkningsmekanisme</w:t>
      </w:r>
    </w:p>
    <w:p w:rsidR="0066044C" w:rsidRPr="00FC6B57" w:rsidRDefault="0066044C" w:rsidP="0066044C">
      <w:pPr>
        <w:ind w:left="851"/>
        <w:rPr>
          <w:sz w:val="24"/>
          <w:szCs w:val="24"/>
        </w:rPr>
      </w:pPr>
      <w:r w:rsidRPr="00FC6B57">
        <w:rPr>
          <w:sz w:val="24"/>
          <w:szCs w:val="24"/>
        </w:rPr>
        <w:t>Gentamicin har baktericid effekt både i bakteriens proliferations- og hvilestadier.</w:t>
      </w:r>
    </w:p>
    <w:p w:rsidR="0066044C" w:rsidRPr="00FC6B57" w:rsidRDefault="0066044C" w:rsidP="0066044C">
      <w:pPr>
        <w:ind w:left="851"/>
        <w:rPr>
          <w:sz w:val="24"/>
          <w:szCs w:val="24"/>
        </w:rPr>
      </w:pPr>
      <w:r w:rsidRPr="00FC6B57">
        <w:rPr>
          <w:sz w:val="24"/>
          <w:szCs w:val="24"/>
        </w:rPr>
        <w:t xml:space="preserve">Den danner bindinger med proteinerne i 30S-underenheder til de bakterielle ribosomer, hvilket medfører </w:t>
      </w:r>
      <w:r>
        <w:rPr>
          <w:sz w:val="24"/>
          <w:szCs w:val="24"/>
        </w:rPr>
        <w:t>"</w:t>
      </w:r>
      <w:r w:rsidRPr="00FC6B57">
        <w:rPr>
          <w:sz w:val="24"/>
          <w:szCs w:val="24"/>
        </w:rPr>
        <w:t>f</w:t>
      </w:r>
      <w:r>
        <w:rPr>
          <w:sz w:val="24"/>
          <w:szCs w:val="24"/>
        </w:rPr>
        <w:t>ejlaflæsning"</w:t>
      </w:r>
      <w:r w:rsidRPr="00FC6B57">
        <w:rPr>
          <w:sz w:val="24"/>
          <w:szCs w:val="24"/>
        </w:rPr>
        <w:t xml:space="preserve"> af mRNA.</w:t>
      </w:r>
    </w:p>
    <w:p w:rsidR="0066044C" w:rsidRPr="00FC6B57" w:rsidRDefault="0066044C" w:rsidP="0066044C">
      <w:pPr>
        <w:ind w:left="851"/>
        <w:rPr>
          <w:sz w:val="24"/>
          <w:szCs w:val="24"/>
        </w:rPr>
      </w:pPr>
    </w:p>
    <w:p w:rsidR="0066044C" w:rsidRPr="00FC6B57" w:rsidRDefault="0066044C" w:rsidP="0066044C">
      <w:pPr>
        <w:ind w:left="851"/>
        <w:rPr>
          <w:sz w:val="24"/>
          <w:szCs w:val="24"/>
        </w:rPr>
      </w:pPr>
      <w:r w:rsidRPr="00FC6B57">
        <w:rPr>
          <w:sz w:val="24"/>
          <w:szCs w:val="24"/>
          <w:u w:val="single"/>
        </w:rPr>
        <w:t>PK/PD-forhold</w:t>
      </w:r>
    </w:p>
    <w:p w:rsidR="0066044C" w:rsidRPr="00FC6B57" w:rsidRDefault="0066044C" w:rsidP="0066044C">
      <w:pPr>
        <w:ind w:left="851"/>
        <w:rPr>
          <w:sz w:val="24"/>
          <w:szCs w:val="24"/>
        </w:rPr>
      </w:pPr>
      <w:r w:rsidRPr="00FC6B57">
        <w:rPr>
          <w:sz w:val="24"/>
          <w:szCs w:val="24"/>
          <w:u w:val="single"/>
        </w:rPr>
        <w:t>Aminoglykosiderne udviser en koncentrationsafhængig anti-bakteriel virkning.</w:t>
      </w:r>
    </w:p>
    <w:p w:rsidR="0066044C" w:rsidRDefault="0066044C" w:rsidP="0066044C">
      <w:pPr>
        <w:ind w:left="851"/>
        <w:rPr>
          <w:sz w:val="24"/>
          <w:szCs w:val="24"/>
        </w:rPr>
      </w:pPr>
      <w:r w:rsidRPr="00FC6B57">
        <w:rPr>
          <w:sz w:val="24"/>
          <w:szCs w:val="24"/>
        </w:rPr>
        <w:t xml:space="preserve">Gentamicin og andre aminoglykosider udviser en klar post-antibiotisk virkning </w:t>
      </w:r>
      <w:r w:rsidRPr="00FC6B57">
        <w:rPr>
          <w:i/>
          <w:iCs/>
          <w:sz w:val="24"/>
          <w:szCs w:val="24"/>
        </w:rPr>
        <w:t>in-vitro</w:t>
      </w:r>
      <w:r w:rsidRPr="00FC6B57">
        <w:rPr>
          <w:sz w:val="24"/>
          <w:szCs w:val="24"/>
        </w:rPr>
        <w:t xml:space="preserve"> og </w:t>
      </w:r>
      <w:r w:rsidRPr="00FC6B57">
        <w:rPr>
          <w:i/>
          <w:iCs/>
          <w:sz w:val="24"/>
          <w:szCs w:val="24"/>
        </w:rPr>
        <w:t>in-vivo</w:t>
      </w:r>
      <w:r w:rsidRPr="00FC6B57">
        <w:rPr>
          <w:sz w:val="24"/>
          <w:szCs w:val="24"/>
        </w:rPr>
        <w:t xml:space="preserve"> i de fleste undersøgelsesmodeller for infektioner. Såfremt der indgives tilstrækkeligt høje doser, er disse lægemidler derfor effektive over</w:t>
      </w:r>
      <w:r>
        <w:rPr>
          <w:sz w:val="24"/>
          <w:szCs w:val="24"/>
        </w:rPr>
        <w:t xml:space="preserve"> </w:t>
      </w:r>
      <w:r w:rsidRPr="00FC6B57">
        <w:rPr>
          <w:sz w:val="24"/>
          <w:szCs w:val="24"/>
        </w:rPr>
        <w:t>for infektioner med mange følsomme mikroorganismer, selv om koncentrationen i plasma og væv forbliver under MIC i en del af doseringsintervallet. Den post-antibiotiske virkning tillader, at doseringsintervallet forlænges uden tab af virkning over</w:t>
      </w:r>
      <w:r>
        <w:rPr>
          <w:sz w:val="24"/>
          <w:szCs w:val="24"/>
        </w:rPr>
        <w:t xml:space="preserve"> </w:t>
      </w:r>
      <w:r w:rsidRPr="00FC6B57">
        <w:rPr>
          <w:sz w:val="24"/>
          <w:szCs w:val="24"/>
        </w:rPr>
        <w:t>for de fleste Gram-negative bakterier.</w:t>
      </w:r>
    </w:p>
    <w:p w:rsidR="0066044C" w:rsidRPr="00FC6B57" w:rsidRDefault="0066044C" w:rsidP="0066044C">
      <w:pPr>
        <w:ind w:left="851"/>
        <w:rPr>
          <w:sz w:val="24"/>
          <w:szCs w:val="24"/>
        </w:rPr>
      </w:pPr>
    </w:p>
    <w:p w:rsidR="0066044C" w:rsidRPr="00FC6B57" w:rsidRDefault="0066044C" w:rsidP="0066044C">
      <w:pPr>
        <w:ind w:left="851"/>
        <w:rPr>
          <w:sz w:val="24"/>
          <w:szCs w:val="24"/>
        </w:rPr>
      </w:pPr>
      <w:r w:rsidRPr="00FC6B57">
        <w:rPr>
          <w:sz w:val="24"/>
          <w:szCs w:val="24"/>
          <w:u w:val="single"/>
        </w:rPr>
        <w:t>Resistensmekanisme</w:t>
      </w:r>
    </w:p>
    <w:p w:rsidR="0066044C" w:rsidRPr="00FC6B57" w:rsidRDefault="0066044C" w:rsidP="0066044C">
      <w:pPr>
        <w:ind w:left="851"/>
        <w:rPr>
          <w:sz w:val="24"/>
          <w:szCs w:val="24"/>
        </w:rPr>
      </w:pPr>
      <w:r w:rsidRPr="00FC6B57">
        <w:rPr>
          <w:sz w:val="24"/>
          <w:szCs w:val="24"/>
        </w:rPr>
        <w:t>Resistens kan forekomme pga. gennemtrængningssvigt, lav affinitet over</w:t>
      </w:r>
      <w:r>
        <w:rPr>
          <w:sz w:val="24"/>
          <w:szCs w:val="24"/>
        </w:rPr>
        <w:t xml:space="preserve"> </w:t>
      </w:r>
      <w:r w:rsidRPr="00FC6B57">
        <w:rPr>
          <w:sz w:val="24"/>
          <w:szCs w:val="24"/>
        </w:rPr>
        <w:t>for det bakterielle ribosom eller at gentamicin deaktiveres af mikrobielle enzymer. Det er ikke almindeligt, at der opstår resistens under behandling.</w:t>
      </w:r>
    </w:p>
    <w:p w:rsidR="0066044C" w:rsidRPr="00FC6B57" w:rsidRDefault="0066044C" w:rsidP="0066044C">
      <w:pPr>
        <w:ind w:left="851"/>
        <w:rPr>
          <w:sz w:val="24"/>
          <w:szCs w:val="24"/>
        </w:rPr>
      </w:pPr>
    </w:p>
    <w:p w:rsidR="0066044C" w:rsidRPr="00FC6B57" w:rsidRDefault="0066044C" w:rsidP="0066044C">
      <w:pPr>
        <w:ind w:left="851"/>
        <w:rPr>
          <w:sz w:val="24"/>
          <w:szCs w:val="24"/>
        </w:rPr>
      </w:pPr>
      <w:r w:rsidRPr="00FC6B57">
        <w:rPr>
          <w:sz w:val="24"/>
          <w:szCs w:val="24"/>
        </w:rPr>
        <w:t>Breakpoints</w:t>
      </w:r>
    </w:p>
    <w:p w:rsidR="0066044C" w:rsidRPr="00FC6B57" w:rsidRDefault="0066044C" w:rsidP="0066044C">
      <w:pPr>
        <w:ind w:left="851"/>
        <w:rPr>
          <w:sz w:val="24"/>
          <w:szCs w:val="24"/>
        </w:rPr>
      </w:pPr>
      <w:r w:rsidRPr="00FC6B57">
        <w:rPr>
          <w:sz w:val="24"/>
          <w:szCs w:val="24"/>
        </w:rPr>
        <w:t>Ifølge EUCAST gælder følgende grænseværdier for gentamicin:</w:t>
      </w:r>
    </w:p>
    <w:p w:rsidR="0066044C" w:rsidRDefault="0066044C" w:rsidP="0066044C">
      <w:pPr>
        <w:pStyle w:val="Brdtekst"/>
        <w:ind w:right="2"/>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1"/>
        <w:gridCol w:w="2676"/>
        <w:gridCol w:w="2401"/>
      </w:tblGrid>
      <w:tr w:rsidR="0066044C" w:rsidRPr="00FC6B57" w:rsidTr="0026269F">
        <w:trPr>
          <w:trHeight w:val="303"/>
        </w:trPr>
        <w:tc>
          <w:tcPr>
            <w:tcW w:w="3711"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b/>
                <w:sz w:val="24"/>
                <w:szCs w:val="24"/>
              </w:rPr>
            </w:pPr>
            <w:r w:rsidRPr="00FC6B57">
              <w:rPr>
                <w:b/>
                <w:sz w:val="24"/>
                <w:szCs w:val="24"/>
              </w:rPr>
              <w:t>Patogen</w:t>
            </w:r>
          </w:p>
        </w:tc>
        <w:tc>
          <w:tcPr>
            <w:tcW w:w="2676"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b/>
                <w:sz w:val="24"/>
                <w:szCs w:val="24"/>
              </w:rPr>
            </w:pPr>
            <w:r w:rsidRPr="00FC6B57">
              <w:rPr>
                <w:b/>
                <w:sz w:val="24"/>
                <w:szCs w:val="24"/>
              </w:rPr>
              <w:t>Følsomme</w:t>
            </w:r>
          </w:p>
        </w:tc>
        <w:tc>
          <w:tcPr>
            <w:tcW w:w="2401"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b/>
                <w:sz w:val="24"/>
                <w:szCs w:val="24"/>
              </w:rPr>
            </w:pPr>
            <w:r w:rsidRPr="00FC6B57">
              <w:rPr>
                <w:b/>
                <w:sz w:val="24"/>
                <w:szCs w:val="24"/>
              </w:rPr>
              <w:t>Resistente</w:t>
            </w:r>
          </w:p>
        </w:tc>
      </w:tr>
      <w:tr w:rsidR="0066044C" w:rsidRPr="00FC6B57" w:rsidTr="0026269F">
        <w:trPr>
          <w:trHeight w:val="303"/>
        </w:trPr>
        <w:tc>
          <w:tcPr>
            <w:tcW w:w="3711"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sz w:val="24"/>
                <w:szCs w:val="24"/>
              </w:rPr>
            </w:pPr>
            <w:r w:rsidRPr="00FC6B57">
              <w:rPr>
                <w:sz w:val="24"/>
                <w:szCs w:val="24"/>
              </w:rPr>
              <w:t>Enterobacteriaceae</w:t>
            </w:r>
          </w:p>
        </w:tc>
        <w:tc>
          <w:tcPr>
            <w:tcW w:w="2676"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sz w:val="24"/>
                <w:szCs w:val="24"/>
              </w:rPr>
            </w:pPr>
            <w:r w:rsidRPr="00FC6B57">
              <w:rPr>
                <w:sz w:val="24"/>
                <w:szCs w:val="24"/>
              </w:rPr>
              <w:t>≤ 2 mg/l</w:t>
            </w:r>
          </w:p>
        </w:tc>
        <w:tc>
          <w:tcPr>
            <w:tcW w:w="2401"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sz w:val="24"/>
                <w:szCs w:val="24"/>
              </w:rPr>
            </w:pPr>
            <w:r w:rsidRPr="00FC6B57">
              <w:rPr>
                <w:sz w:val="24"/>
                <w:szCs w:val="24"/>
              </w:rPr>
              <w:t>&gt; 4 mg/l</w:t>
            </w:r>
          </w:p>
        </w:tc>
      </w:tr>
      <w:tr w:rsidR="0066044C" w:rsidRPr="00FC6B57" w:rsidTr="0026269F">
        <w:trPr>
          <w:trHeight w:val="301"/>
        </w:trPr>
        <w:tc>
          <w:tcPr>
            <w:tcW w:w="3711"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sz w:val="24"/>
                <w:szCs w:val="24"/>
              </w:rPr>
            </w:pPr>
            <w:r w:rsidRPr="00FC6B57">
              <w:rPr>
                <w:sz w:val="24"/>
                <w:szCs w:val="24"/>
              </w:rPr>
              <w:t xml:space="preserve">Pseudomonas </w:t>
            </w:r>
            <w:r w:rsidRPr="00FC6B57">
              <w:rPr>
                <w:i/>
                <w:sz w:val="24"/>
                <w:szCs w:val="24"/>
              </w:rPr>
              <w:t>spp</w:t>
            </w:r>
            <w:r w:rsidRPr="00FC6B57">
              <w:rPr>
                <w:sz w:val="24"/>
                <w:szCs w:val="24"/>
              </w:rPr>
              <w:t>.</w:t>
            </w:r>
          </w:p>
        </w:tc>
        <w:tc>
          <w:tcPr>
            <w:tcW w:w="2676"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sz w:val="24"/>
                <w:szCs w:val="24"/>
              </w:rPr>
            </w:pPr>
            <w:r w:rsidRPr="00FC6B57">
              <w:rPr>
                <w:sz w:val="24"/>
                <w:szCs w:val="24"/>
              </w:rPr>
              <w:t>≤ 4 mg/l</w:t>
            </w:r>
          </w:p>
        </w:tc>
        <w:tc>
          <w:tcPr>
            <w:tcW w:w="2401"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sz w:val="24"/>
                <w:szCs w:val="24"/>
              </w:rPr>
            </w:pPr>
            <w:r w:rsidRPr="00FC6B57">
              <w:rPr>
                <w:sz w:val="24"/>
                <w:szCs w:val="24"/>
              </w:rPr>
              <w:t>&gt; 4 mg/l</w:t>
            </w:r>
          </w:p>
        </w:tc>
      </w:tr>
      <w:tr w:rsidR="0066044C" w:rsidRPr="00FC6B57" w:rsidTr="0026269F">
        <w:trPr>
          <w:trHeight w:val="303"/>
        </w:trPr>
        <w:tc>
          <w:tcPr>
            <w:tcW w:w="3711"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sz w:val="24"/>
                <w:szCs w:val="24"/>
              </w:rPr>
            </w:pPr>
            <w:r w:rsidRPr="00FC6B57">
              <w:rPr>
                <w:sz w:val="24"/>
                <w:szCs w:val="24"/>
              </w:rPr>
              <w:t xml:space="preserve">Acinetobacter </w:t>
            </w:r>
            <w:r w:rsidRPr="00FC6B57">
              <w:rPr>
                <w:i/>
                <w:sz w:val="24"/>
                <w:szCs w:val="24"/>
              </w:rPr>
              <w:t>spp</w:t>
            </w:r>
            <w:r w:rsidRPr="00FC6B57">
              <w:rPr>
                <w:sz w:val="24"/>
                <w:szCs w:val="24"/>
              </w:rPr>
              <w:t>.</w:t>
            </w:r>
          </w:p>
        </w:tc>
        <w:tc>
          <w:tcPr>
            <w:tcW w:w="2676"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sz w:val="24"/>
                <w:szCs w:val="24"/>
              </w:rPr>
            </w:pPr>
            <w:r w:rsidRPr="00FC6B57">
              <w:rPr>
                <w:sz w:val="24"/>
                <w:szCs w:val="24"/>
              </w:rPr>
              <w:t>≤ 4 mg/l</w:t>
            </w:r>
          </w:p>
        </w:tc>
        <w:tc>
          <w:tcPr>
            <w:tcW w:w="2401"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sz w:val="24"/>
                <w:szCs w:val="24"/>
              </w:rPr>
            </w:pPr>
            <w:r w:rsidRPr="00FC6B57">
              <w:rPr>
                <w:sz w:val="24"/>
                <w:szCs w:val="24"/>
              </w:rPr>
              <w:t>&gt; 4 mg/l</w:t>
            </w:r>
          </w:p>
        </w:tc>
      </w:tr>
      <w:tr w:rsidR="0066044C" w:rsidRPr="00FC6B57" w:rsidTr="0026269F">
        <w:trPr>
          <w:trHeight w:val="303"/>
        </w:trPr>
        <w:tc>
          <w:tcPr>
            <w:tcW w:w="3711"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sz w:val="24"/>
                <w:szCs w:val="24"/>
              </w:rPr>
            </w:pPr>
            <w:r w:rsidRPr="00FC6B57">
              <w:rPr>
                <w:sz w:val="24"/>
                <w:szCs w:val="24"/>
              </w:rPr>
              <w:t xml:space="preserve">Staphylococcus </w:t>
            </w:r>
            <w:r w:rsidRPr="00FC6B57">
              <w:rPr>
                <w:i/>
                <w:sz w:val="24"/>
                <w:szCs w:val="24"/>
              </w:rPr>
              <w:t>spp</w:t>
            </w:r>
            <w:r w:rsidRPr="00FC6B57">
              <w:rPr>
                <w:sz w:val="24"/>
                <w:szCs w:val="24"/>
              </w:rPr>
              <w:t>.</w:t>
            </w:r>
          </w:p>
        </w:tc>
        <w:tc>
          <w:tcPr>
            <w:tcW w:w="2676"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sz w:val="24"/>
                <w:szCs w:val="24"/>
              </w:rPr>
            </w:pPr>
            <w:r w:rsidRPr="00FC6B57">
              <w:rPr>
                <w:sz w:val="24"/>
                <w:szCs w:val="24"/>
              </w:rPr>
              <w:t>≤ 1 mg/l</w:t>
            </w:r>
          </w:p>
        </w:tc>
        <w:tc>
          <w:tcPr>
            <w:tcW w:w="2401"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sz w:val="24"/>
                <w:szCs w:val="24"/>
              </w:rPr>
            </w:pPr>
            <w:r w:rsidRPr="00FC6B57">
              <w:rPr>
                <w:sz w:val="24"/>
                <w:szCs w:val="24"/>
              </w:rPr>
              <w:t>&gt; 1 mg/l</w:t>
            </w:r>
          </w:p>
        </w:tc>
      </w:tr>
      <w:tr w:rsidR="0066044C" w:rsidRPr="00FC6B57" w:rsidTr="0026269F">
        <w:trPr>
          <w:trHeight w:val="334"/>
        </w:trPr>
        <w:tc>
          <w:tcPr>
            <w:tcW w:w="3711"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sz w:val="24"/>
                <w:szCs w:val="24"/>
              </w:rPr>
            </w:pPr>
            <w:r w:rsidRPr="00FC6B57">
              <w:rPr>
                <w:sz w:val="24"/>
                <w:szCs w:val="24"/>
              </w:rPr>
              <w:t>Ikke-artsrelaterede breakpoints*</w:t>
            </w:r>
          </w:p>
        </w:tc>
        <w:tc>
          <w:tcPr>
            <w:tcW w:w="2676"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sz w:val="24"/>
                <w:szCs w:val="24"/>
              </w:rPr>
            </w:pPr>
            <w:r w:rsidRPr="00FC6B57">
              <w:rPr>
                <w:sz w:val="24"/>
                <w:szCs w:val="24"/>
              </w:rPr>
              <w:t>≤ 2 mg/l</w:t>
            </w:r>
          </w:p>
        </w:tc>
        <w:tc>
          <w:tcPr>
            <w:tcW w:w="2401"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sz w:val="24"/>
                <w:szCs w:val="24"/>
              </w:rPr>
            </w:pPr>
            <w:r w:rsidRPr="00FC6B57">
              <w:rPr>
                <w:sz w:val="24"/>
                <w:szCs w:val="24"/>
              </w:rPr>
              <w:t>&gt; 4 mg/l</w:t>
            </w:r>
          </w:p>
        </w:tc>
      </w:tr>
    </w:tbl>
    <w:p w:rsidR="0066044C" w:rsidRDefault="0066044C" w:rsidP="0066044C">
      <w:pPr>
        <w:pStyle w:val="Brdtekst"/>
      </w:pPr>
    </w:p>
    <w:p w:rsidR="0066044C" w:rsidRPr="00FC6B57" w:rsidRDefault="0066044C" w:rsidP="0066044C">
      <w:pPr>
        <w:ind w:left="851"/>
        <w:rPr>
          <w:sz w:val="24"/>
          <w:szCs w:val="24"/>
        </w:rPr>
      </w:pPr>
      <w:r w:rsidRPr="00FC6B57">
        <w:rPr>
          <w:sz w:val="24"/>
          <w:szCs w:val="24"/>
        </w:rPr>
        <w:t>Udbredelsen af erhvervet resistens kan variere geografisk og tidsmæssigt for de udvalgte arter og lokale oplysninger om resistens er ønskelig, især ved behandling af alvorlige infektioner. Om nødvendigt bør der søges ekspertbistand, når den lokale resistens</w:t>
      </w:r>
      <w:r>
        <w:rPr>
          <w:sz w:val="24"/>
          <w:szCs w:val="24"/>
        </w:rPr>
        <w:softHyphen/>
      </w:r>
      <w:r w:rsidRPr="00FC6B57">
        <w:rPr>
          <w:sz w:val="24"/>
          <w:szCs w:val="24"/>
        </w:rPr>
        <w:t xml:space="preserve">udbredelse er af sådan en beskaffenhed, at der kan stilles spørgsmål til lægemidlets virkning over for i det mindste visse infektionstyper. Specielt under sådanne omstændigheder, skal der indsamles prøver til identifikation af den pågældende mikroorganisme samt for at måle dens følsomhed overfor gentamicin. Gentamycin har ofte synergi-effekt, når det bruges i kombination med </w:t>
      </w:r>
      <w:r w:rsidRPr="00FC6B57">
        <w:rPr>
          <w:rStyle w:val="Fremhv"/>
          <w:bCs/>
          <w:sz w:val="24"/>
          <w:szCs w:val="24"/>
          <w:shd w:val="clear" w:color="auto" w:fill="FFFFFF"/>
        </w:rPr>
        <w:t>β</w:t>
      </w:r>
      <w:r w:rsidRPr="00FC6B57">
        <w:rPr>
          <w:sz w:val="24"/>
          <w:szCs w:val="24"/>
          <w:shd w:val="clear" w:color="auto" w:fill="FFFFFF"/>
        </w:rPr>
        <w:t>-lactam</w:t>
      </w:r>
      <w:r w:rsidRPr="00FC6B57">
        <w:rPr>
          <w:sz w:val="24"/>
          <w:szCs w:val="24"/>
        </w:rPr>
        <w:t xml:space="preserve">-behandling på trods af lavt til moderat niveau af </w:t>
      </w:r>
      <w:r w:rsidRPr="00FC6B57">
        <w:rPr>
          <w:i/>
          <w:iCs/>
          <w:sz w:val="24"/>
          <w:szCs w:val="24"/>
        </w:rPr>
        <w:t>in vitro</w:t>
      </w:r>
      <w:r w:rsidRPr="00FC6B57">
        <w:rPr>
          <w:sz w:val="24"/>
          <w:szCs w:val="24"/>
        </w:rPr>
        <w:t>-resistens, såsom til behandling af enterococcal-arter uden højt niveau (MIC&gt; 128).</w:t>
      </w:r>
    </w:p>
    <w:p w:rsidR="0066044C" w:rsidRPr="00FC6B57" w:rsidRDefault="0066044C" w:rsidP="0066044C">
      <w:pPr>
        <w:ind w:left="851"/>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8"/>
      </w:tblGrid>
      <w:tr w:rsidR="0066044C" w:rsidRPr="00FC6B57" w:rsidTr="0026269F">
        <w:trPr>
          <w:trHeight w:val="252"/>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b/>
                <w:sz w:val="24"/>
                <w:szCs w:val="24"/>
              </w:rPr>
            </w:pPr>
            <w:r w:rsidRPr="00FC6B57">
              <w:rPr>
                <w:b/>
                <w:sz w:val="24"/>
                <w:szCs w:val="24"/>
              </w:rPr>
              <w:t>Almindeligt følsomme arter</w:t>
            </w:r>
          </w:p>
        </w:tc>
      </w:tr>
      <w:tr w:rsidR="0066044C" w:rsidRPr="00FC6B57" w:rsidTr="0026269F">
        <w:trPr>
          <w:trHeight w:val="252"/>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b/>
                <w:sz w:val="24"/>
                <w:szCs w:val="24"/>
              </w:rPr>
            </w:pPr>
            <w:r w:rsidRPr="00FC6B57">
              <w:rPr>
                <w:b/>
                <w:sz w:val="24"/>
                <w:szCs w:val="24"/>
              </w:rPr>
              <w:t>Aerobe Gram-positive mikroorganismer</w:t>
            </w:r>
          </w:p>
        </w:tc>
      </w:tr>
      <w:tr w:rsidR="0066044C" w:rsidRPr="00FC6B57" w:rsidTr="0026269F">
        <w:trPr>
          <w:trHeight w:val="254"/>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i/>
                <w:sz w:val="24"/>
                <w:szCs w:val="24"/>
              </w:rPr>
            </w:pPr>
            <w:r w:rsidRPr="00FC6B57">
              <w:rPr>
                <w:i/>
                <w:sz w:val="24"/>
                <w:szCs w:val="24"/>
              </w:rPr>
              <w:t>Listeria monocytogenes</w:t>
            </w:r>
          </w:p>
        </w:tc>
      </w:tr>
      <w:tr w:rsidR="0066044C" w:rsidRPr="00FC6B57" w:rsidTr="0026269F">
        <w:trPr>
          <w:trHeight w:val="252"/>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sz w:val="24"/>
                <w:szCs w:val="24"/>
              </w:rPr>
            </w:pPr>
            <w:r w:rsidRPr="00FC6B57">
              <w:rPr>
                <w:i/>
                <w:sz w:val="24"/>
                <w:szCs w:val="24"/>
              </w:rPr>
              <w:t>Staphylococcus aureus</w:t>
            </w:r>
            <w:r w:rsidRPr="00FC6B57">
              <w:rPr>
                <w:sz w:val="24"/>
                <w:szCs w:val="24"/>
              </w:rPr>
              <w:t xml:space="preserve"> (MSSA)</w:t>
            </w:r>
          </w:p>
        </w:tc>
      </w:tr>
      <w:tr w:rsidR="0066044C" w:rsidRPr="00FC6B57" w:rsidTr="0026269F">
        <w:trPr>
          <w:trHeight w:val="252"/>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b/>
                <w:sz w:val="24"/>
                <w:szCs w:val="24"/>
              </w:rPr>
            </w:pPr>
            <w:r w:rsidRPr="00FC6B57">
              <w:rPr>
                <w:b/>
                <w:sz w:val="24"/>
                <w:szCs w:val="24"/>
              </w:rPr>
              <w:t>Aerobe Gram-negative mikroorganismer</w:t>
            </w:r>
          </w:p>
        </w:tc>
      </w:tr>
      <w:tr w:rsidR="0066044C" w:rsidRPr="00FC6B57" w:rsidTr="0026269F">
        <w:trPr>
          <w:trHeight w:val="252"/>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i/>
                <w:sz w:val="24"/>
                <w:szCs w:val="24"/>
              </w:rPr>
            </w:pPr>
            <w:r w:rsidRPr="00FC6B57">
              <w:rPr>
                <w:i/>
                <w:sz w:val="24"/>
                <w:szCs w:val="24"/>
              </w:rPr>
              <w:t>Campylobacter coli</w:t>
            </w:r>
          </w:p>
        </w:tc>
      </w:tr>
      <w:tr w:rsidR="0066044C" w:rsidRPr="00FC6B57" w:rsidTr="0026269F">
        <w:trPr>
          <w:trHeight w:val="252"/>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i/>
                <w:sz w:val="24"/>
                <w:szCs w:val="24"/>
              </w:rPr>
            </w:pPr>
            <w:r w:rsidRPr="00FC6B57">
              <w:rPr>
                <w:i/>
                <w:sz w:val="24"/>
                <w:szCs w:val="24"/>
              </w:rPr>
              <w:lastRenderedPageBreak/>
              <w:t>Campylobacter jejuni</w:t>
            </w:r>
          </w:p>
        </w:tc>
      </w:tr>
      <w:tr w:rsidR="0066044C" w:rsidRPr="00FC6B57" w:rsidTr="0026269F">
        <w:trPr>
          <w:trHeight w:val="254"/>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i/>
                <w:sz w:val="24"/>
                <w:szCs w:val="24"/>
              </w:rPr>
            </w:pPr>
            <w:r w:rsidRPr="00FC6B57">
              <w:rPr>
                <w:i/>
                <w:sz w:val="24"/>
                <w:szCs w:val="24"/>
              </w:rPr>
              <w:t>Citrobacter koseri</w:t>
            </w:r>
          </w:p>
        </w:tc>
      </w:tr>
      <w:tr w:rsidR="0066044C" w:rsidRPr="00FC6B57" w:rsidTr="0026269F">
        <w:trPr>
          <w:trHeight w:val="252"/>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i/>
                <w:sz w:val="24"/>
                <w:szCs w:val="24"/>
              </w:rPr>
            </w:pPr>
            <w:r w:rsidRPr="00FC6B57">
              <w:rPr>
                <w:i/>
                <w:sz w:val="24"/>
                <w:szCs w:val="24"/>
              </w:rPr>
              <w:t>Enterobacter aerogenes</w:t>
            </w:r>
          </w:p>
        </w:tc>
      </w:tr>
      <w:tr w:rsidR="0066044C" w:rsidRPr="00FC6B57" w:rsidTr="0026269F">
        <w:trPr>
          <w:trHeight w:val="252"/>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i/>
                <w:sz w:val="24"/>
                <w:szCs w:val="24"/>
              </w:rPr>
            </w:pPr>
            <w:r w:rsidRPr="00FC6B57">
              <w:rPr>
                <w:i/>
                <w:sz w:val="24"/>
                <w:szCs w:val="24"/>
              </w:rPr>
              <w:t>Enterobacter cloacae</w:t>
            </w:r>
          </w:p>
        </w:tc>
      </w:tr>
      <w:tr w:rsidR="0066044C" w:rsidRPr="00FC6B57" w:rsidTr="0026269F">
        <w:trPr>
          <w:trHeight w:val="252"/>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i/>
                <w:sz w:val="24"/>
                <w:szCs w:val="24"/>
              </w:rPr>
            </w:pPr>
            <w:r w:rsidRPr="00FC6B57">
              <w:rPr>
                <w:i/>
                <w:sz w:val="24"/>
                <w:szCs w:val="24"/>
              </w:rPr>
              <w:t>Escherichia coli</w:t>
            </w:r>
          </w:p>
        </w:tc>
      </w:tr>
      <w:tr w:rsidR="0066044C" w:rsidRPr="00FC6B57" w:rsidTr="0026269F">
        <w:trPr>
          <w:trHeight w:val="252"/>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i/>
                <w:sz w:val="24"/>
                <w:szCs w:val="24"/>
              </w:rPr>
            </w:pPr>
            <w:r w:rsidRPr="00FC6B57">
              <w:rPr>
                <w:i/>
                <w:sz w:val="24"/>
                <w:szCs w:val="24"/>
              </w:rPr>
              <w:t>Francisella tularensis</w:t>
            </w:r>
          </w:p>
        </w:tc>
      </w:tr>
      <w:tr w:rsidR="0066044C" w:rsidRPr="00FC6B57" w:rsidTr="0026269F">
        <w:trPr>
          <w:trHeight w:val="252"/>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i/>
                <w:sz w:val="24"/>
                <w:szCs w:val="24"/>
              </w:rPr>
            </w:pPr>
            <w:r w:rsidRPr="00FC6B57">
              <w:rPr>
                <w:i/>
                <w:sz w:val="24"/>
                <w:szCs w:val="24"/>
              </w:rPr>
              <w:t>Klebsiella oxytoca</w:t>
            </w:r>
          </w:p>
        </w:tc>
      </w:tr>
      <w:tr w:rsidR="0066044C" w:rsidRPr="00FC6B57" w:rsidTr="0026269F">
        <w:trPr>
          <w:trHeight w:val="254"/>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i/>
                <w:sz w:val="24"/>
                <w:szCs w:val="24"/>
              </w:rPr>
            </w:pPr>
            <w:r w:rsidRPr="00FC6B57">
              <w:rPr>
                <w:i/>
                <w:sz w:val="24"/>
                <w:szCs w:val="24"/>
              </w:rPr>
              <w:t>Klebsiella pneumoniae</w:t>
            </w:r>
          </w:p>
        </w:tc>
      </w:tr>
      <w:tr w:rsidR="0066044C" w:rsidRPr="00FC6B57" w:rsidTr="0026269F">
        <w:trPr>
          <w:trHeight w:val="252"/>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i/>
                <w:sz w:val="24"/>
                <w:szCs w:val="24"/>
              </w:rPr>
            </w:pPr>
            <w:r w:rsidRPr="00FC6B57">
              <w:rPr>
                <w:i/>
                <w:sz w:val="24"/>
                <w:szCs w:val="24"/>
              </w:rPr>
              <w:t>Proteus vulgaris</w:t>
            </w:r>
          </w:p>
        </w:tc>
      </w:tr>
      <w:tr w:rsidR="0066044C" w:rsidRPr="00FC6B57" w:rsidTr="0026269F">
        <w:trPr>
          <w:trHeight w:val="252"/>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i/>
                <w:sz w:val="24"/>
                <w:szCs w:val="24"/>
              </w:rPr>
            </w:pPr>
            <w:r w:rsidRPr="00FC6B57">
              <w:rPr>
                <w:i/>
                <w:sz w:val="24"/>
                <w:szCs w:val="24"/>
              </w:rPr>
              <w:t xml:space="preserve">Salmonella enterica </w:t>
            </w:r>
            <w:r w:rsidRPr="00FC6B57">
              <w:rPr>
                <w:sz w:val="24"/>
                <w:szCs w:val="24"/>
              </w:rPr>
              <w:t xml:space="preserve">subsp. </w:t>
            </w:r>
            <w:r w:rsidRPr="00FC6B57">
              <w:rPr>
                <w:i/>
                <w:sz w:val="24"/>
                <w:szCs w:val="24"/>
              </w:rPr>
              <w:t>enterica</w:t>
            </w:r>
          </w:p>
        </w:tc>
      </w:tr>
      <w:tr w:rsidR="0066044C" w:rsidRPr="00FC6B57" w:rsidTr="0026269F">
        <w:trPr>
          <w:trHeight w:val="252"/>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i/>
                <w:sz w:val="24"/>
                <w:szCs w:val="24"/>
              </w:rPr>
            </w:pPr>
            <w:r w:rsidRPr="00FC6B57">
              <w:rPr>
                <w:i/>
                <w:sz w:val="24"/>
                <w:szCs w:val="24"/>
              </w:rPr>
              <w:t>Serratia marcescens</w:t>
            </w:r>
          </w:p>
        </w:tc>
      </w:tr>
      <w:tr w:rsidR="0066044C" w:rsidRPr="00FC6B57" w:rsidTr="0026269F">
        <w:trPr>
          <w:trHeight w:val="252"/>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i/>
                <w:sz w:val="24"/>
                <w:szCs w:val="24"/>
              </w:rPr>
            </w:pPr>
            <w:r w:rsidRPr="00FC6B57">
              <w:rPr>
                <w:i/>
                <w:sz w:val="24"/>
                <w:szCs w:val="24"/>
              </w:rPr>
              <w:t>Yersinia enterocolitica</w:t>
            </w:r>
          </w:p>
        </w:tc>
      </w:tr>
      <w:tr w:rsidR="0066044C" w:rsidRPr="00FC6B57" w:rsidTr="0026269F">
        <w:trPr>
          <w:trHeight w:val="253"/>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i/>
                <w:sz w:val="24"/>
                <w:szCs w:val="24"/>
              </w:rPr>
            </w:pPr>
            <w:r w:rsidRPr="00FC6B57">
              <w:rPr>
                <w:i/>
                <w:sz w:val="24"/>
                <w:szCs w:val="24"/>
              </w:rPr>
              <w:t>Yersinia pseudotuberculosis</w:t>
            </w:r>
          </w:p>
        </w:tc>
      </w:tr>
    </w:tbl>
    <w:p w:rsidR="0066044C" w:rsidRDefault="0066044C" w:rsidP="0066044C">
      <w:pPr>
        <w:pStyle w:val="Brdtekst"/>
        <w:ind w:right="2"/>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8"/>
      </w:tblGrid>
      <w:tr w:rsidR="0066044C" w:rsidRPr="00FC6B57" w:rsidTr="0026269F">
        <w:trPr>
          <w:trHeight w:val="570"/>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b/>
                <w:sz w:val="24"/>
                <w:szCs w:val="24"/>
              </w:rPr>
            </w:pPr>
            <w:r w:rsidRPr="00FC6B57">
              <w:rPr>
                <w:b/>
                <w:sz w:val="24"/>
                <w:szCs w:val="24"/>
              </w:rPr>
              <w:t>Arter for hvilke opnået resistens kan være et problem (opnået resistens ≥ 10 %)</w:t>
            </w:r>
          </w:p>
        </w:tc>
      </w:tr>
      <w:tr w:rsidR="0066044C" w:rsidRPr="00FC6B57" w:rsidTr="0026269F">
        <w:trPr>
          <w:trHeight w:val="285"/>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b/>
                <w:sz w:val="24"/>
                <w:szCs w:val="24"/>
              </w:rPr>
            </w:pPr>
            <w:r w:rsidRPr="00FC6B57">
              <w:rPr>
                <w:b/>
                <w:sz w:val="24"/>
                <w:szCs w:val="24"/>
              </w:rPr>
              <w:t>Aerobe Gram-positive mikroorganismer</w:t>
            </w:r>
          </w:p>
        </w:tc>
      </w:tr>
      <w:tr w:rsidR="0066044C" w:rsidRPr="00FC6B57" w:rsidTr="0026269F">
        <w:trPr>
          <w:trHeight w:val="274"/>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sz w:val="24"/>
                <w:szCs w:val="24"/>
              </w:rPr>
            </w:pPr>
            <w:r w:rsidRPr="00FC6B57">
              <w:rPr>
                <w:i/>
                <w:sz w:val="24"/>
                <w:szCs w:val="24"/>
              </w:rPr>
              <w:t>Staphylococcus aureus</w:t>
            </w:r>
            <w:r w:rsidRPr="00FC6B57">
              <w:rPr>
                <w:sz w:val="24"/>
                <w:szCs w:val="24"/>
              </w:rPr>
              <w:t xml:space="preserve"> (MSSA)</w:t>
            </w:r>
          </w:p>
        </w:tc>
      </w:tr>
      <w:tr w:rsidR="0066044C" w:rsidRPr="00FC6B57" w:rsidTr="0026269F">
        <w:trPr>
          <w:trHeight w:val="285"/>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i/>
                <w:sz w:val="24"/>
                <w:szCs w:val="24"/>
              </w:rPr>
            </w:pPr>
            <w:r w:rsidRPr="00FC6B57">
              <w:rPr>
                <w:i/>
                <w:sz w:val="24"/>
                <w:szCs w:val="24"/>
              </w:rPr>
              <w:t>Staphylococcus epidermidis</w:t>
            </w:r>
          </w:p>
        </w:tc>
      </w:tr>
      <w:tr w:rsidR="0066044C" w:rsidRPr="00FC6B57" w:rsidTr="0026269F">
        <w:trPr>
          <w:trHeight w:val="284"/>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i/>
                <w:sz w:val="24"/>
                <w:szCs w:val="24"/>
              </w:rPr>
            </w:pPr>
            <w:r w:rsidRPr="00FC6B57">
              <w:rPr>
                <w:i/>
                <w:sz w:val="24"/>
                <w:szCs w:val="24"/>
              </w:rPr>
              <w:t>Staphylococcus haemolyticus</w:t>
            </w:r>
          </w:p>
        </w:tc>
      </w:tr>
      <w:tr w:rsidR="0066044C" w:rsidRPr="00FC6B57" w:rsidTr="0026269F">
        <w:trPr>
          <w:trHeight w:val="274"/>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b/>
                <w:sz w:val="24"/>
                <w:szCs w:val="24"/>
              </w:rPr>
            </w:pPr>
            <w:r w:rsidRPr="00FC6B57">
              <w:rPr>
                <w:b/>
                <w:sz w:val="24"/>
                <w:szCs w:val="24"/>
              </w:rPr>
              <w:t>Aerobe Gram-negative mikroorganismer</w:t>
            </w:r>
          </w:p>
        </w:tc>
      </w:tr>
      <w:tr w:rsidR="0066044C" w:rsidRPr="00FC6B57" w:rsidTr="0026269F">
        <w:trPr>
          <w:trHeight w:val="285"/>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sz w:val="24"/>
                <w:szCs w:val="24"/>
              </w:rPr>
            </w:pPr>
            <w:r w:rsidRPr="00FC6B57">
              <w:rPr>
                <w:i/>
                <w:sz w:val="24"/>
                <w:szCs w:val="24"/>
              </w:rPr>
              <w:t xml:space="preserve">Acinetobacter </w:t>
            </w:r>
            <w:r w:rsidRPr="00FC6B57">
              <w:rPr>
                <w:sz w:val="24"/>
                <w:szCs w:val="24"/>
              </w:rPr>
              <w:t>spp.</w:t>
            </w:r>
          </w:p>
        </w:tc>
      </w:tr>
      <w:tr w:rsidR="0066044C" w:rsidRPr="00FC6B57" w:rsidTr="0026269F">
        <w:trPr>
          <w:trHeight w:val="285"/>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i/>
                <w:sz w:val="24"/>
                <w:szCs w:val="24"/>
              </w:rPr>
            </w:pPr>
            <w:r w:rsidRPr="00FC6B57">
              <w:rPr>
                <w:i/>
                <w:sz w:val="24"/>
                <w:szCs w:val="24"/>
              </w:rPr>
              <w:t>Citrobacter freundii</w:t>
            </w:r>
          </w:p>
        </w:tc>
      </w:tr>
      <w:tr w:rsidR="0066044C" w:rsidRPr="00FC6B57" w:rsidTr="0026269F">
        <w:trPr>
          <w:trHeight w:val="283"/>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i/>
                <w:sz w:val="24"/>
                <w:szCs w:val="24"/>
              </w:rPr>
            </w:pPr>
            <w:r w:rsidRPr="00FC6B57">
              <w:rPr>
                <w:i/>
                <w:sz w:val="24"/>
                <w:szCs w:val="24"/>
              </w:rPr>
              <w:t>Morganella morganii</w:t>
            </w:r>
          </w:p>
        </w:tc>
      </w:tr>
      <w:tr w:rsidR="0066044C" w:rsidRPr="00FC6B57" w:rsidTr="0026269F">
        <w:trPr>
          <w:trHeight w:val="285"/>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i/>
                <w:sz w:val="24"/>
                <w:szCs w:val="24"/>
              </w:rPr>
            </w:pPr>
            <w:r w:rsidRPr="00FC6B57">
              <w:rPr>
                <w:i/>
                <w:sz w:val="24"/>
                <w:szCs w:val="24"/>
              </w:rPr>
              <w:t>Proteus mirabilis</w:t>
            </w:r>
          </w:p>
        </w:tc>
      </w:tr>
      <w:tr w:rsidR="0066044C" w:rsidRPr="00FC6B57" w:rsidTr="0026269F">
        <w:trPr>
          <w:trHeight w:val="274"/>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i/>
                <w:sz w:val="24"/>
                <w:szCs w:val="24"/>
              </w:rPr>
            </w:pPr>
            <w:r w:rsidRPr="00FC6B57">
              <w:rPr>
                <w:i/>
                <w:sz w:val="24"/>
                <w:szCs w:val="24"/>
              </w:rPr>
              <w:t>Pseudomonas aeruginosa</w:t>
            </w:r>
          </w:p>
        </w:tc>
      </w:tr>
    </w:tbl>
    <w:p w:rsidR="0066044C" w:rsidRDefault="0066044C" w:rsidP="0066044C">
      <w:pPr>
        <w:pStyle w:val="Brdtekst"/>
        <w:ind w:right="2"/>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8"/>
      </w:tblGrid>
      <w:tr w:rsidR="0066044C" w:rsidRPr="00FC6B57" w:rsidTr="0026269F">
        <w:trPr>
          <w:trHeight w:val="303"/>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b/>
                <w:sz w:val="24"/>
                <w:szCs w:val="24"/>
              </w:rPr>
            </w:pPr>
            <w:r w:rsidRPr="00FC6B57">
              <w:rPr>
                <w:b/>
                <w:sz w:val="24"/>
                <w:szCs w:val="24"/>
              </w:rPr>
              <w:t>Naturligt resistente organismer</w:t>
            </w:r>
          </w:p>
        </w:tc>
      </w:tr>
      <w:tr w:rsidR="0066044C" w:rsidRPr="00FC6B57" w:rsidTr="0026269F">
        <w:trPr>
          <w:trHeight w:val="304"/>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b/>
                <w:sz w:val="24"/>
                <w:szCs w:val="24"/>
              </w:rPr>
            </w:pPr>
            <w:r w:rsidRPr="00FC6B57">
              <w:rPr>
                <w:b/>
                <w:sz w:val="24"/>
                <w:szCs w:val="24"/>
              </w:rPr>
              <w:t>Aerobe Gram-positive mikroorganismer</w:t>
            </w:r>
          </w:p>
        </w:tc>
      </w:tr>
      <w:tr w:rsidR="0066044C" w:rsidRPr="00FC6B57" w:rsidTr="0026269F">
        <w:trPr>
          <w:trHeight w:val="292"/>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i/>
                <w:sz w:val="24"/>
                <w:szCs w:val="24"/>
              </w:rPr>
            </w:pPr>
            <w:r w:rsidRPr="00FC6B57">
              <w:rPr>
                <w:i/>
                <w:sz w:val="24"/>
                <w:szCs w:val="24"/>
              </w:rPr>
              <w:t>Enterococcus faecalis</w:t>
            </w:r>
          </w:p>
        </w:tc>
      </w:tr>
      <w:tr w:rsidR="0066044C" w:rsidRPr="00FC6B57" w:rsidTr="0026269F">
        <w:trPr>
          <w:trHeight w:val="303"/>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i/>
                <w:sz w:val="24"/>
                <w:szCs w:val="24"/>
              </w:rPr>
            </w:pPr>
            <w:r w:rsidRPr="00FC6B57">
              <w:rPr>
                <w:i/>
                <w:sz w:val="24"/>
                <w:szCs w:val="24"/>
              </w:rPr>
              <w:t>Enterococcus faecium</w:t>
            </w:r>
          </w:p>
        </w:tc>
      </w:tr>
      <w:tr w:rsidR="0066044C" w:rsidRPr="00FC6B57" w:rsidTr="0026269F">
        <w:trPr>
          <w:trHeight w:val="304"/>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sz w:val="24"/>
                <w:szCs w:val="24"/>
              </w:rPr>
            </w:pPr>
            <w:r w:rsidRPr="00FC6B57">
              <w:rPr>
                <w:i/>
                <w:sz w:val="24"/>
                <w:szCs w:val="24"/>
              </w:rPr>
              <w:t xml:space="preserve">Streptococcus </w:t>
            </w:r>
            <w:r w:rsidRPr="00FC6B57">
              <w:rPr>
                <w:sz w:val="24"/>
                <w:szCs w:val="24"/>
              </w:rPr>
              <w:t>spp.</w:t>
            </w:r>
          </w:p>
        </w:tc>
      </w:tr>
      <w:tr w:rsidR="0066044C" w:rsidRPr="00FC6B57" w:rsidTr="0026269F">
        <w:trPr>
          <w:trHeight w:val="291"/>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b/>
                <w:sz w:val="24"/>
                <w:szCs w:val="24"/>
              </w:rPr>
            </w:pPr>
            <w:r w:rsidRPr="00FC6B57">
              <w:rPr>
                <w:b/>
                <w:sz w:val="24"/>
                <w:szCs w:val="24"/>
              </w:rPr>
              <w:t>Aerobe Gram-negative mikroorganismer</w:t>
            </w:r>
          </w:p>
        </w:tc>
      </w:tr>
      <w:tr w:rsidR="0066044C" w:rsidRPr="00FC6B57" w:rsidTr="0026269F">
        <w:trPr>
          <w:trHeight w:val="304"/>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i/>
                <w:sz w:val="24"/>
                <w:szCs w:val="24"/>
              </w:rPr>
            </w:pPr>
            <w:r w:rsidRPr="00FC6B57">
              <w:rPr>
                <w:i/>
                <w:sz w:val="24"/>
                <w:szCs w:val="24"/>
              </w:rPr>
              <w:t>Burkholderia cepacia</w:t>
            </w:r>
          </w:p>
        </w:tc>
      </w:tr>
      <w:tr w:rsidR="0066044C" w:rsidRPr="00FC6B57" w:rsidTr="0026269F">
        <w:trPr>
          <w:trHeight w:val="304"/>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i/>
                <w:sz w:val="24"/>
                <w:szCs w:val="24"/>
              </w:rPr>
            </w:pPr>
            <w:r w:rsidRPr="00FC6B57">
              <w:rPr>
                <w:i/>
                <w:sz w:val="24"/>
                <w:szCs w:val="24"/>
              </w:rPr>
              <w:t>Legionella pneumophila</w:t>
            </w:r>
          </w:p>
        </w:tc>
      </w:tr>
      <w:tr w:rsidR="0066044C" w:rsidRPr="00FC6B57" w:rsidTr="0026269F">
        <w:trPr>
          <w:trHeight w:val="303"/>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i/>
                <w:sz w:val="24"/>
                <w:szCs w:val="24"/>
              </w:rPr>
            </w:pPr>
            <w:r w:rsidRPr="00FC6B57">
              <w:rPr>
                <w:i/>
                <w:sz w:val="24"/>
                <w:szCs w:val="24"/>
              </w:rPr>
              <w:t>Stenotrophomonas maltophilia</w:t>
            </w:r>
          </w:p>
        </w:tc>
      </w:tr>
      <w:tr w:rsidR="0066044C" w:rsidRPr="00FC6B57" w:rsidTr="0026269F">
        <w:trPr>
          <w:trHeight w:val="304"/>
        </w:trPr>
        <w:tc>
          <w:tcPr>
            <w:tcW w:w="8788" w:type="dxa"/>
            <w:tcBorders>
              <w:top w:val="single" w:sz="4" w:space="0" w:color="000000"/>
              <w:left w:val="single" w:sz="4" w:space="0" w:color="000000"/>
              <w:bottom w:val="single" w:sz="4" w:space="0" w:color="000000"/>
              <w:right w:val="single" w:sz="4" w:space="0" w:color="000000"/>
            </w:tcBorders>
          </w:tcPr>
          <w:p w:rsidR="0066044C" w:rsidRPr="00FC6B57" w:rsidRDefault="0066044C" w:rsidP="0026269F">
            <w:pPr>
              <w:pStyle w:val="TableParagraph"/>
              <w:ind w:right="2"/>
              <w:rPr>
                <w:b/>
                <w:sz w:val="24"/>
                <w:szCs w:val="24"/>
              </w:rPr>
            </w:pPr>
          </w:p>
        </w:tc>
      </w:tr>
      <w:tr w:rsidR="0066044C" w:rsidRPr="00FC6B57" w:rsidTr="0026269F">
        <w:trPr>
          <w:trHeight w:val="303"/>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b/>
                <w:sz w:val="24"/>
                <w:szCs w:val="24"/>
              </w:rPr>
            </w:pPr>
            <w:r w:rsidRPr="00FC6B57">
              <w:rPr>
                <w:b/>
                <w:sz w:val="24"/>
                <w:szCs w:val="24"/>
              </w:rPr>
              <w:t>Øvrige</w:t>
            </w:r>
          </w:p>
        </w:tc>
      </w:tr>
      <w:tr w:rsidR="0066044C" w:rsidRPr="00FC6B57" w:rsidTr="0026269F">
        <w:trPr>
          <w:trHeight w:val="292"/>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sz w:val="24"/>
                <w:szCs w:val="24"/>
              </w:rPr>
            </w:pPr>
            <w:r w:rsidRPr="00FC6B57">
              <w:rPr>
                <w:sz w:val="24"/>
                <w:szCs w:val="24"/>
              </w:rPr>
              <w:t>Atypiske patogener</w:t>
            </w:r>
          </w:p>
        </w:tc>
      </w:tr>
      <w:tr w:rsidR="0066044C" w:rsidRPr="00FC6B57" w:rsidTr="0026269F">
        <w:trPr>
          <w:trHeight w:val="304"/>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sz w:val="24"/>
                <w:szCs w:val="24"/>
              </w:rPr>
            </w:pPr>
            <w:r w:rsidRPr="00FC6B57">
              <w:rPr>
                <w:i/>
                <w:sz w:val="24"/>
                <w:szCs w:val="24"/>
              </w:rPr>
              <w:t xml:space="preserve">Chlamydia </w:t>
            </w:r>
            <w:r w:rsidRPr="00FC6B57">
              <w:rPr>
                <w:sz w:val="24"/>
                <w:szCs w:val="24"/>
              </w:rPr>
              <w:t>spp.</w:t>
            </w:r>
          </w:p>
        </w:tc>
      </w:tr>
      <w:tr w:rsidR="0066044C" w:rsidRPr="00FC6B57" w:rsidTr="0026269F">
        <w:trPr>
          <w:trHeight w:val="303"/>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sz w:val="24"/>
                <w:szCs w:val="24"/>
              </w:rPr>
            </w:pPr>
            <w:r w:rsidRPr="00FC6B57">
              <w:rPr>
                <w:i/>
                <w:sz w:val="24"/>
                <w:szCs w:val="24"/>
              </w:rPr>
              <w:t xml:space="preserve">Chlamydophila </w:t>
            </w:r>
            <w:r w:rsidRPr="00FC6B57">
              <w:rPr>
                <w:sz w:val="24"/>
                <w:szCs w:val="24"/>
              </w:rPr>
              <w:t>spp.</w:t>
            </w:r>
          </w:p>
        </w:tc>
      </w:tr>
      <w:tr w:rsidR="0066044C" w:rsidRPr="00FC6B57" w:rsidTr="0026269F">
        <w:trPr>
          <w:trHeight w:val="304"/>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sz w:val="24"/>
                <w:szCs w:val="24"/>
              </w:rPr>
            </w:pPr>
            <w:r w:rsidRPr="00FC6B57">
              <w:rPr>
                <w:i/>
                <w:sz w:val="24"/>
                <w:szCs w:val="24"/>
              </w:rPr>
              <w:t xml:space="preserve">Mycoplasma </w:t>
            </w:r>
            <w:r w:rsidRPr="00FC6B57">
              <w:rPr>
                <w:sz w:val="24"/>
                <w:szCs w:val="24"/>
              </w:rPr>
              <w:t>spp.</w:t>
            </w:r>
          </w:p>
        </w:tc>
      </w:tr>
      <w:tr w:rsidR="0066044C" w:rsidRPr="00FC6B57" w:rsidTr="0026269F">
        <w:trPr>
          <w:trHeight w:val="292"/>
        </w:trPr>
        <w:tc>
          <w:tcPr>
            <w:tcW w:w="8788" w:type="dxa"/>
            <w:tcBorders>
              <w:top w:val="single" w:sz="4" w:space="0" w:color="000000"/>
              <w:left w:val="single" w:sz="4" w:space="0" w:color="000000"/>
              <w:bottom w:val="single" w:sz="4" w:space="0" w:color="000000"/>
              <w:right w:val="single" w:sz="4" w:space="0" w:color="000000"/>
            </w:tcBorders>
            <w:hideMark/>
          </w:tcPr>
          <w:p w:rsidR="0066044C" w:rsidRPr="00FC6B57" w:rsidRDefault="0066044C" w:rsidP="0026269F">
            <w:pPr>
              <w:pStyle w:val="TableParagraph"/>
              <w:ind w:right="2"/>
              <w:rPr>
                <w:i/>
                <w:sz w:val="24"/>
                <w:szCs w:val="24"/>
              </w:rPr>
            </w:pPr>
            <w:r w:rsidRPr="00FC6B57">
              <w:rPr>
                <w:i/>
                <w:sz w:val="24"/>
                <w:szCs w:val="24"/>
              </w:rPr>
              <w:t>Ureaplasma urealyticum</w:t>
            </w:r>
          </w:p>
        </w:tc>
      </w:tr>
    </w:tbl>
    <w:p w:rsidR="005F1435" w:rsidRDefault="005F1435" w:rsidP="0066044C">
      <w:pPr>
        <w:tabs>
          <w:tab w:val="left" w:pos="851"/>
        </w:tabs>
        <w:ind w:left="851"/>
        <w:rPr>
          <w:sz w:val="24"/>
          <w:szCs w:val="24"/>
        </w:rPr>
      </w:pPr>
    </w:p>
    <w:p w:rsidR="005F1435" w:rsidRDefault="005F1435">
      <w:pPr>
        <w:rPr>
          <w:sz w:val="24"/>
          <w:szCs w:val="24"/>
        </w:rPr>
      </w:pPr>
      <w:r>
        <w:rPr>
          <w:sz w:val="24"/>
          <w:szCs w:val="24"/>
        </w:rPr>
        <w:br w:type="page"/>
      </w:r>
    </w:p>
    <w:p w:rsidR="0066044C" w:rsidRPr="00C84483" w:rsidRDefault="0066044C" w:rsidP="0066044C">
      <w:pPr>
        <w:tabs>
          <w:tab w:val="left" w:pos="851"/>
        </w:tabs>
        <w:ind w:left="851"/>
        <w:rPr>
          <w:sz w:val="24"/>
          <w:szCs w:val="24"/>
        </w:rPr>
      </w:pPr>
    </w:p>
    <w:p w:rsidR="0066044C" w:rsidRPr="00C84483" w:rsidRDefault="0066044C" w:rsidP="0066044C">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66044C" w:rsidRDefault="0066044C" w:rsidP="0066044C">
      <w:pPr>
        <w:ind w:left="851"/>
        <w:rPr>
          <w:sz w:val="24"/>
          <w:szCs w:val="24"/>
        </w:rPr>
      </w:pPr>
    </w:p>
    <w:p w:rsidR="0066044C" w:rsidRPr="00CB4B58" w:rsidRDefault="0066044C" w:rsidP="0066044C">
      <w:pPr>
        <w:ind w:left="851"/>
        <w:rPr>
          <w:sz w:val="24"/>
          <w:szCs w:val="24"/>
          <w:u w:val="single"/>
        </w:rPr>
      </w:pPr>
      <w:r w:rsidRPr="00CB4B58">
        <w:rPr>
          <w:sz w:val="24"/>
          <w:szCs w:val="24"/>
          <w:u w:val="single"/>
        </w:rPr>
        <w:t>Absorption</w:t>
      </w:r>
    </w:p>
    <w:p w:rsidR="0066044C" w:rsidRPr="00FC6B57" w:rsidRDefault="0066044C" w:rsidP="0066044C">
      <w:pPr>
        <w:ind w:left="851"/>
        <w:rPr>
          <w:sz w:val="24"/>
          <w:szCs w:val="24"/>
        </w:rPr>
      </w:pPr>
      <w:r w:rsidRPr="00FC6B57">
        <w:rPr>
          <w:sz w:val="24"/>
          <w:szCs w:val="24"/>
        </w:rPr>
        <w:t>På terapeutiske niveauer og under normale fysiologiske betingelser er gentamicins binding til plasmaproteiner lav og ligger mellem 0 og 3 %.</w:t>
      </w:r>
    </w:p>
    <w:p w:rsidR="0066044C" w:rsidRPr="00FC6B57" w:rsidRDefault="0066044C" w:rsidP="0066044C">
      <w:pPr>
        <w:ind w:left="851"/>
        <w:rPr>
          <w:sz w:val="24"/>
          <w:szCs w:val="24"/>
        </w:rPr>
      </w:pPr>
      <w:r w:rsidRPr="00FC6B57">
        <w:rPr>
          <w:sz w:val="24"/>
          <w:szCs w:val="24"/>
        </w:rPr>
        <w:t>Efter intramuskulær administration af enkeltdosis på 1 mg/kg er det maksimale serumniveau på ca. 4 µg/ml nået efter 30 til 60 minutter hos patienter med normal nyrefunktion. Aktive plasmakoncentrationer vedvarer i ca. 6 timer.</w:t>
      </w:r>
    </w:p>
    <w:p w:rsidR="0066044C" w:rsidRPr="00FC6B57" w:rsidRDefault="0066044C" w:rsidP="0066044C">
      <w:pPr>
        <w:ind w:left="851"/>
        <w:rPr>
          <w:sz w:val="24"/>
          <w:szCs w:val="24"/>
        </w:rPr>
      </w:pPr>
    </w:p>
    <w:p w:rsidR="0066044C" w:rsidRPr="00FC6B57" w:rsidRDefault="0066044C" w:rsidP="0066044C">
      <w:pPr>
        <w:ind w:left="851"/>
        <w:rPr>
          <w:sz w:val="24"/>
          <w:szCs w:val="24"/>
        </w:rPr>
      </w:pPr>
      <w:r w:rsidRPr="00FC6B57">
        <w:rPr>
          <w:sz w:val="24"/>
          <w:szCs w:val="24"/>
        </w:rPr>
        <w:t>Efter intramuskulær administration af enkeltdosis på 160 mg er det maksimale serumniveau på ca. 9 µg/ml nået efter 30 til 60 minutter. Aktive plasmakoncentrationer vedvarer i ca. 8 timer.</w:t>
      </w:r>
    </w:p>
    <w:p w:rsidR="0066044C" w:rsidRPr="00FC6B57" w:rsidRDefault="0066044C" w:rsidP="0066044C">
      <w:pPr>
        <w:ind w:left="851"/>
        <w:rPr>
          <w:sz w:val="24"/>
          <w:szCs w:val="24"/>
        </w:rPr>
      </w:pPr>
    </w:p>
    <w:p w:rsidR="0066044C" w:rsidRPr="00FC6B57" w:rsidRDefault="0066044C" w:rsidP="0066044C">
      <w:pPr>
        <w:ind w:left="851"/>
        <w:rPr>
          <w:sz w:val="24"/>
          <w:szCs w:val="24"/>
        </w:rPr>
      </w:pPr>
      <w:r w:rsidRPr="00FC6B57">
        <w:rPr>
          <w:sz w:val="24"/>
          <w:szCs w:val="24"/>
        </w:rPr>
        <w:t>Efter i.v.-administration med en 30-minutters infusion på 4 mg/kg legemsvægt pr. dag, opdelt i 3 doser, blev der målt gentamicinkoncentrationer hos voksne på henholdsvis 4,7 μg/ml og 1,0 μg/ml for maksimalværdi og dalværdi. Ved den samme daglige dosis indgivet som en enkeltdosis blev der målt gentamicinkoncentrationer hos voksne på henholdsvis 9,5 μg/ml og 0,4 μg/ml.</w:t>
      </w:r>
    </w:p>
    <w:p w:rsidR="0066044C" w:rsidRPr="00FC6B57" w:rsidRDefault="0066044C" w:rsidP="0066044C">
      <w:pPr>
        <w:ind w:left="851"/>
        <w:rPr>
          <w:sz w:val="24"/>
          <w:szCs w:val="24"/>
        </w:rPr>
      </w:pPr>
      <w:r w:rsidRPr="00FC6B57">
        <w:rPr>
          <w:sz w:val="24"/>
          <w:szCs w:val="24"/>
        </w:rPr>
        <w:t>Hos patienter med nedsat nyrefunktion er det maksimale serumniveau lidt højere, og plasmakoncentrationer er mere langvarige.</w:t>
      </w:r>
    </w:p>
    <w:p w:rsidR="0066044C" w:rsidRPr="00FC6B57" w:rsidRDefault="0066044C" w:rsidP="0066044C">
      <w:pPr>
        <w:ind w:left="851"/>
        <w:rPr>
          <w:sz w:val="24"/>
          <w:szCs w:val="24"/>
        </w:rPr>
      </w:pPr>
    </w:p>
    <w:p w:rsidR="0066044C" w:rsidRPr="00CB4B58" w:rsidRDefault="0066044C" w:rsidP="0066044C">
      <w:pPr>
        <w:ind w:left="851"/>
        <w:rPr>
          <w:sz w:val="24"/>
          <w:szCs w:val="24"/>
          <w:u w:val="single"/>
        </w:rPr>
      </w:pPr>
      <w:r w:rsidRPr="00CB4B58">
        <w:rPr>
          <w:sz w:val="24"/>
          <w:szCs w:val="24"/>
          <w:u w:val="single"/>
        </w:rPr>
        <w:t>Fordeling</w:t>
      </w:r>
    </w:p>
    <w:p w:rsidR="0066044C" w:rsidRPr="00FC6B57" w:rsidRDefault="0066044C" w:rsidP="0066044C">
      <w:pPr>
        <w:ind w:left="851"/>
        <w:rPr>
          <w:sz w:val="24"/>
          <w:szCs w:val="24"/>
        </w:rPr>
      </w:pPr>
      <w:r w:rsidRPr="00FC6B57">
        <w:rPr>
          <w:sz w:val="24"/>
          <w:szCs w:val="24"/>
        </w:rPr>
        <w:t>Gentamicins fordelingsvolume</w:t>
      </w:r>
      <w:r w:rsidR="007D36D4">
        <w:rPr>
          <w:sz w:val="24"/>
          <w:szCs w:val="24"/>
        </w:rPr>
        <w:t>n</w:t>
      </w:r>
      <w:r w:rsidRPr="00FC6B57">
        <w:rPr>
          <w:sz w:val="24"/>
          <w:szCs w:val="24"/>
        </w:rPr>
        <w:t xml:space="preserve"> er stort set ækvivalent med </w:t>
      </w:r>
      <w:r w:rsidR="007D36D4" w:rsidRPr="00FC6B57">
        <w:rPr>
          <w:sz w:val="24"/>
          <w:szCs w:val="24"/>
        </w:rPr>
        <w:t>volumen</w:t>
      </w:r>
      <w:r w:rsidRPr="00FC6B57">
        <w:rPr>
          <w:sz w:val="24"/>
          <w:szCs w:val="24"/>
        </w:rPr>
        <w:t xml:space="preserve"> af ekstracellulært vand. Hos nyfødte udgør vand op til 70-75 % af legemsvægten, sammenlignet med 50-55</w:t>
      </w:r>
      <w:r w:rsidR="00B307B0">
        <w:rPr>
          <w:sz w:val="24"/>
          <w:szCs w:val="24"/>
        </w:rPr>
        <w:t> </w:t>
      </w:r>
      <w:r w:rsidRPr="00FC6B57">
        <w:rPr>
          <w:sz w:val="24"/>
          <w:szCs w:val="24"/>
        </w:rPr>
        <w:t xml:space="preserve">% hos voksne. </w:t>
      </w:r>
      <w:r w:rsidR="007D36D4" w:rsidRPr="00FC6B57">
        <w:rPr>
          <w:sz w:val="24"/>
          <w:szCs w:val="24"/>
        </w:rPr>
        <w:t>Volumen</w:t>
      </w:r>
      <w:r w:rsidRPr="00FC6B57">
        <w:rPr>
          <w:sz w:val="24"/>
          <w:szCs w:val="24"/>
        </w:rPr>
        <w:t xml:space="preserve"> af ekstracellulærvæsken er større (40 % af legemsvægten sammenlignet med 25 % af legemsvægten hos voksne). Gentamicins distributionsvolumen pr. kg legemsvægt påvirkes derfor og falder med stigende alder fra 0,5 til 0,7 l/kg hos en præmatur nyfødt til 0,25 l/kg hos en ung person. Det større distributionsvolumen pr. kg legemsvægt betyder, at der skal administreres en højere dosis pr. kg legemsvægt for at opnå en adækvat maksimal blodkoncentration.</w:t>
      </w:r>
    </w:p>
    <w:p w:rsidR="0066044C" w:rsidRPr="00FC6B57" w:rsidRDefault="0066044C" w:rsidP="0066044C">
      <w:pPr>
        <w:ind w:left="851"/>
        <w:rPr>
          <w:sz w:val="24"/>
          <w:szCs w:val="24"/>
        </w:rPr>
      </w:pPr>
    </w:p>
    <w:p w:rsidR="0066044C" w:rsidRPr="00FC6B57" w:rsidRDefault="0066044C" w:rsidP="0066044C">
      <w:pPr>
        <w:ind w:left="851"/>
        <w:rPr>
          <w:sz w:val="24"/>
          <w:szCs w:val="24"/>
        </w:rPr>
      </w:pPr>
      <w:r w:rsidRPr="00FC6B57">
        <w:rPr>
          <w:sz w:val="24"/>
          <w:szCs w:val="24"/>
        </w:rPr>
        <w:t>Efter parenteral administration findes gentamicin i det meste væv og biologiske væsker. Terapeutiske niveauer er til stede i serum.</w:t>
      </w:r>
    </w:p>
    <w:p w:rsidR="0066044C" w:rsidRPr="00FC6B57" w:rsidRDefault="0066044C" w:rsidP="0066044C">
      <w:pPr>
        <w:ind w:left="851"/>
        <w:rPr>
          <w:sz w:val="24"/>
          <w:szCs w:val="24"/>
        </w:rPr>
      </w:pPr>
      <w:r w:rsidRPr="00FC6B57">
        <w:rPr>
          <w:sz w:val="24"/>
          <w:szCs w:val="24"/>
        </w:rPr>
        <w:t>Koncentrationerne i nyrevævet er meget højere end plasmaniveauerne.</w:t>
      </w:r>
    </w:p>
    <w:p w:rsidR="0066044C" w:rsidRPr="00FC6B57" w:rsidRDefault="0066044C" w:rsidP="0066044C">
      <w:pPr>
        <w:ind w:left="851"/>
        <w:rPr>
          <w:sz w:val="24"/>
          <w:szCs w:val="24"/>
        </w:rPr>
      </w:pPr>
      <w:r w:rsidRPr="00FC6B57">
        <w:rPr>
          <w:sz w:val="24"/>
          <w:szCs w:val="24"/>
        </w:rPr>
        <w:t>Der findes koncentrationer på ca. 40 % og derover i bronchiale sekretioner, inficeret knogle, synovialvæske og -væv, hud, pleura, pericardium, det peritoneale hulrum og ascites.</w:t>
      </w:r>
    </w:p>
    <w:p w:rsidR="0066044C" w:rsidRPr="00FC6B57" w:rsidRDefault="0066044C" w:rsidP="0066044C">
      <w:pPr>
        <w:ind w:left="851"/>
        <w:rPr>
          <w:sz w:val="24"/>
          <w:szCs w:val="24"/>
        </w:rPr>
      </w:pPr>
      <w:r w:rsidRPr="00FC6B57">
        <w:rPr>
          <w:sz w:val="24"/>
          <w:szCs w:val="24"/>
        </w:rPr>
        <w:t>Gentamicin trænger ikke ind i prostata. Det krydser placentabarrieren.</w:t>
      </w:r>
    </w:p>
    <w:p w:rsidR="0066044C" w:rsidRPr="00FC6B57" w:rsidRDefault="0066044C" w:rsidP="0066044C">
      <w:pPr>
        <w:ind w:left="851"/>
        <w:rPr>
          <w:sz w:val="24"/>
          <w:szCs w:val="24"/>
        </w:rPr>
      </w:pPr>
      <w:r w:rsidRPr="00FC6B57">
        <w:rPr>
          <w:sz w:val="24"/>
          <w:szCs w:val="24"/>
        </w:rPr>
        <w:t>Det krydser kun lige akkurat blod-hjerne-barrieren. Udskillelse i human mælk er ubetydelig.</w:t>
      </w:r>
    </w:p>
    <w:p w:rsidR="0066044C" w:rsidRPr="00FC6B57" w:rsidRDefault="0066044C" w:rsidP="0066044C">
      <w:pPr>
        <w:ind w:left="851"/>
        <w:rPr>
          <w:sz w:val="24"/>
          <w:szCs w:val="24"/>
        </w:rPr>
      </w:pPr>
      <w:r w:rsidRPr="00FC6B57">
        <w:rPr>
          <w:sz w:val="24"/>
          <w:szCs w:val="24"/>
        </w:rPr>
        <w:t>Gentamicin diffunderer igennem membranerne, der bruges i hæmodialyse.</w:t>
      </w:r>
    </w:p>
    <w:p w:rsidR="0066044C" w:rsidRPr="00FC6B57" w:rsidRDefault="0066044C" w:rsidP="0066044C">
      <w:pPr>
        <w:ind w:left="851"/>
        <w:rPr>
          <w:sz w:val="24"/>
          <w:szCs w:val="24"/>
        </w:rPr>
      </w:pPr>
    </w:p>
    <w:p w:rsidR="0066044C" w:rsidRPr="00FC6B57" w:rsidRDefault="0066044C" w:rsidP="0066044C">
      <w:pPr>
        <w:ind w:left="851"/>
        <w:rPr>
          <w:i/>
          <w:sz w:val="24"/>
          <w:szCs w:val="24"/>
        </w:rPr>
      </w:pPr>
      <w:r w:rsidRPr="00FC6B57">
        <w:rPr>
          <w:i/>
          <w:sz w:val="24"/>
          <w:szCs w:val="24"/>
        </w:rPr>
        <w:t>Pædiatrisk population</w:t>
      </w:r>
    </w:p>
    <w:p w:rsidR="0066044C" w:rsidRPr="00FC6B57" w:rsidRDefault="0066044C" w:rsidP="0066044C">
      <w:pPr>
        <w:ind w:left="851"/>
        <w:rPr>
          <w:sz w:val="24"/>
          <w:szCs w:val="24"/>
        </w:rPr>
      </w:pPr>
      <w:r w:rsidRPr="00FC6B57">
        <w:rPr>
          <w:sz w:val="24"/>
          <w:szCs w:val="24"/>
        </w:rPr>
        <w:t>60-90</w:t>
      </w:r>
      <w:r w:rsidRPr="00FC6B57">
        <w:rPr>
          <w:sz w:val="24"/>
          <w:szCs w:val="24"/>
        </w:rPr>
        <w:tab/>
        <w:t>24 timer</w:t>
      </w:r>
    </w:p>
    <w:p w:rsidR="0066044C" w:rsidRPr="00FC6B57" w:rsidRDefault="0066044C" w:rsidP="0066044C">
      <w:pPr>
        <w:ind w:left="851"/>
        <w:rPr>
          <w:sz w:val="24"/>
          <w:szCs w:val="24"/>
        </w:rPr>
      </w:pPr>
      <w:r w:rsidRPr="00FC6B57">
        <w:rPr>
          <w:sz w:val="24"/>
          <w:szCs w:val="24"/>
        </w:rPr>
        <w:t>40-60</w:t>
      </w:r>
      <w:r w:rsidRPr="00FC6B57">
        <w:rPr>
          <w:sz w:val="24"/>
          <w:szCs w:val="24"/>
        </w:rPr>
        <w:tab/>
        <w:t>36 timer</w:t>
      </w:r>
    </w:p>
    <w:p w:rsidR="0066044C" w:rsidRPr="00FC6B57" w:rsidRDefault="0066044C" w:rsidP="0066044C">
      <w:pPr>
        <w:ind w:left="851"/>
        <w:rPr>
          <w:sz w:val="24"/>
          <w:szCs w:val="24"/>
        </w:rPr>
      </w:pPr>
      <w:r w:rsidRPr="00FC6B57">
        <w:rPr>
          <w:sz w:val="24"/>
          <w:szCs w:val="24"/>
        </w:rPr>
        <w:t>20-40</w:t>
      </w:r>
      <w:r w:rsidRPr="00FC6B57">
        <w:rPr>
          <w:sz w:val="24"/>
          <w:szCs w:val="24"/>
        </w:rPr>
        <w:tab/>
        <w:t>48 timer</w:t>
      </w:r>
    </w:p>
    <w:p w:rsidR="0066044C" w:rsidRPr="00FC6B57" w:rsidRDefault="0066044C" w:rsidP="0066044C">
      <w:pPr>
        <w:ind w:left="851"/>
        <w:rPr>
          <w:sz w:val="24"/>
          <w:szCs w:val="24"/>
        </w:rPr>
      </w:pPr>
      <w:r w:rsidRPr="00FC6B57">
        <w:rPr>
          <w:sz w:val="24"/>
          <w:szCs w:val="24"/>
        </w:rPr>
        <w:t>&lt; 20</w:t>
      </w:r>
      <w:r w:rsidRPr="00FC6B57">
        <w:rPr>
          <w:sz w:val="24"/>
          <w:szCs w:val="24"/>
        </w:rPr>
        <w:tab/>
        <w:t xml:space="preserve">Restniveauer skal bestemmes </w:t>
      </w:r>
    </w:p>
    <w:p w:rsidR="0066044C" w:rsidRPr="00FC6B57" w:rsidRDefault="0066044C" w:rsidP="0066044C">
      <w:pPr>
        <w:ind w:left="851"/>
        <w:rPr>
          <w:sz w:val="24"/>
          <w:szCs w:val="24"/>
        </w:rPr>
      </w:pPr>
    </w:p>
    <w:p w:rsidR="0066044C" w:rsidRPr="00CB4B58" w:rsidRDefault="0066044C" w:rsidP="0066044C">
      <w:pPr>
        <w:ind w:left="851"/>
        <w:rPr>
          <w:sz w:val="24"/>
          <w:szCs w:val="24"/>
          <w:u w:val="single"/>
        </w:rPr>
      </w:pPr>
      <w:r w:rsidRPr="00CB4B58">
        <w:rPr>
          <w:sz w:val="24"/>
          <w:szCs w:val="24"/>
          <w:u w:val="single"/>
        </w:rPr>
        <w:t>Biotransformation</w:t>
      </w:r>
    </w:p>
    <w:p w:rsidR="0066044C" w:rsidRPr="00FC6B57" w:rsidRDefault="0066044C" w:rsidP="0066044C">
      <w:pPr>
        <w:ind w:left="851"/>
        <w:rPr>
          <w:sz w:val="24"/>
          <w:szCs w:val="24"/>
        </w:rPr>
      </w:pPr>
      <w:r w:rsidRPr="00FC6B57">
        <w:rPr>
          <w:sz w:val="24"/>
          <w:szCs w:val="24"/>
        </w:rPr>
        <w:t>Gentamicin gennemgår ikke metabolisk transformation</w:t>
      </w:r>
    </w:p>
    <w:p w:rsidR="0066044C" w:rsidRPr="00FC6B57" w:rsidRDefault="0066044C" w:rsidP="0066044C">
      <w:pPr>
        <w:ind w:left="851"/>
        <w:rPr>
          <w:sz w:val="24"/>
          <w:szCs w:val="24"/>
        </w:rPr>
      </w:pPr>
    </w:p>
    <w:p w:rsidR="0066044C" w:rsidRPr="00CB4B58" w:rsidRDefault="0066044C" w:rsidP="0066044C">
      <w:pPr>
        <w:ind w:left="851"/>
        <w:rPr>
          <w:sz w:val="24"/>
          <w:szCs w:val="24"/>
          <w:u w:val="single"/>
        </w:rPr>
      </w:pPr>
      <w:r w:rsidRPr="00CB4B58">
        <w:rPr>
          <w:sz w:val="24"/>
          <w:szCs w:val="24"/>
          <w:u w:val="single"/>
        </w:rPr>
        <w:t>Elimination</w:t>
      </w:r>
    </w:p>
    <w:p w:rsidR="0066044C" w:rsidRPr="00FC6B57" w:rsidRDefault="0066044C" w:rsidP="0066044C">
      <w:pPr>
        <w:ind w:left="851"/>
        <w:rPr>
          <w:sz w:val="24"/>
          <w:szCs w:val="24"/>
        </w:rPr>
      </w:pPr>
      <w:r w:rsidRPr="00FC6B57">
        <w:rPr>
          <w:sz w:val="24"/>
          <w:szCs w:val="24"/>
        </w:rPr>
        <w:t>Gentamicin metaboliseres ikke i kroppen, men udskilles primært uændret i nyrerne i mikrobiologisk aktiv form. Hos patienter med normal nyrefunktion er eliminationshalveringstiden 2-3 timer.</w:t>
      </w:r>
    </w:p>
    <w:p w:rsidR="0066044C" w:rsidRPr="00FC6B57" w:rsidRDefault="0066044C" w:rsidP="0066044C">
      <w:pPr>
        <w:ind w:left="851"/>
        <w:rPr>
          <w:sz w:val="24"/>
          <w:szCs w:val="24"/>
        </w:rPr>
      </w:pPr>
    </w:p>
    <w:p w:rsidR="0066044C" w:rsidRPr="00FC6B57" w:rsidRDefault="0066044C" w:rsidP="0066044C">
      <w:pPr>
        <w:ind w:left="851"/>
        <w:rPr>
          <w:i/>
          <w:sz w:val="24"/>
          <w:szCs w:val="24"/>
        </w:rPr>
      </w:pPr>
      <w:r w:rsidRPr="00FC6B57">
        <w:rPr>
          <w:i/>
          <w:sz w:val="24"/>
          <w:szCs w:val="24"/>
        </w:rPr>
        <w:t>Pædiatrisk population</w:t>
      </w:r>
    </w:p>
    <w:p w:rsidR="0066044C" w:rsidRPr="00FC6B57" w:rsidRDefault="0066044C" w:rsidP="0066044C">
      <w:pPr>
        <w:ind w:left="851"/>
        <w:rPr>
          <w:sz w:val="24"/>
          <w:szCs w:val="24"/>
        </w:rPr>
      </w:pPr>
      <w:r w:rsidRPr="00FC6B57">
        <w:rPr>
          <w:sz w:val="24"/>
          <w:szCs w:val="24"/>
        </w:rPr>
        <w:t>Hos nyfødte er eliminationshastigheden reduceret pga. den endnu ikke færdigudviklede nyrefunktion. Eliminationshalveringstiden er gennemsnitlig ca. 8 timer hos nyfødte ved en gestationsalder på 26 til 34 uger sammenlignet med ca. 6,7 timer hos nyfødte ved en gestationsalder på 35 til 37 uger.</w:t>
      </w:r>
    </w:p>
    <w:p w:rsidR="0066044C" w:rsidRPr="00FC6B57" w:rsidRDefault="0066044C" w:rsidP="0066044C">
      <w:pPr>
        <w:ind w:left="851"/>
        <w:rPr>
          <w:sz w:val="24"/>
          <w:szCs w:val="24"/>
        </w:rPr>
      </w:pPr>
      <w:r w:rsidRPr="00FC6B57">
        <w:rPr>
          <w:sz w:val="24"/>
          <w:szCs w:val="24"/>
        </w:rPr>
        <w:t>På tilsvarende måde stiger clearance-værdier fra ca. 0,05 l/t hos nyfødte ved en gestationsalder på 27 uger til 0,2 l/t hos nyfødte ved en gestationsalder på 40 uger.</w:t>
      </w:r>
    </w:p>
    <w:p w:rsidR="0066044C" w:rsidRPr="00FC6B57" w:rsidRDefault="0066044C" w:rsidP="0066044C">
      <w:pPr>
        <w:ind w:left="851"/>
        <w:rPr>
          <w:sz w:val="24"/>
          <w:szCs w:val="24"/>
        </w:rPr>
      </w:pPr>
    </w:p>
    <w:p w:rsidR="0066044C" w:rsidRPr="00C84483" w:rsidRDefault="0066044C" w:rsidP="0066044C">
      <w:pPr>
        <w:tabs>
          <w:tab w:val="left" w:pos="851"/>
        </w:tabs>
        <w:ind w:left="851" w:hanging="851"/>
        <w:rPr>
          <w:b/>
          <w:sz w:val="24"/>
          <w:szCs w:val="24"/>
        </w:rPr>
      </w:pPr>
      <w:r w:rsidRPr="00C84483">
        <w:rPr>
          <w:b/>
          <w:sz w:val="24"/>
          <w:szCs w:val="24"/>
        </w:rPr>
        <w:t>5.3</w:t>
      </w:r>
      <w:r w:rsidRPr="00C84483">
        <w:rPr>
          <w:b/>
          <w:sz w:val="24"/>
          <w:szCs w:val="24"/>
        </w:rPr>
        <w:tab/>
      </w:r>
      <w:r w:rsidR="008B7BF7">
        <w:rPr>
          <w:b/>
          <w:sz w:val="24"/>
          <w:szCs w:val="24"/>
        </w:rPr>
        <w:t>Non-k</w:t>
      </w:r>
      <w:r w:rsidRPr="00C84483">
        <w:rPr>
          <w:b/>
          <w:sz w:val="24"/>
          <w:szCs w:val="24"/>
        </w:rPr>
        <w:t>liniske sikkerhedsdata</w:t>
      </w:r>
    </w:p>
    <w:p w:rsidR="0066044C" w:rsidRDefault="0066044C" w:rsidP="0066044C">
      <w:pPr>
        <w:ind w:left="851"/>
        <w:rPr>
          <w:sz w:val="24"/>
          <w:szCs w:val="24"/>
        </w:rPr>
      </w:pPr>
    </w:p>
    <w:p w:rsidR="0066044C" w:rsidRPr="00CB4B58" w:rsidRDefault="0066044C" w:rsidP="0066044C">
      <w:pPr>
        <w:ind w:left="851"/>
        <w:rPr>
          <w:sz w:val="24"/>
          <w:szCs w:val="24"/>
          <w:u w:val="single"/>
        </w:rPr>
      </w:pPr>
      <w:r w:rsidRPr="00CB4B58">
        <w:rPr>
          <w:sz w:val="24"/>
          <w:szCs w:val="24"/>
          <w:u w:val="single"/>
        </w:rPr>
        <w:t>Kronisk toksicitet</w:t>
      </w:r>
    </w:p>
    <w:p w:rsidR="0066044C" w:rsidRPr="00FC6B57" w:rsidRDefault="0066044C" w:rsidP="0066044C">
      <w:pPr>
        <w:ind w:left="851"/>
        <w:rPr>
          <w:sz w:val="24"/>
          <w:szCs w:val="24"/>
        </w:rPr>
      </w:pPr>
      <w:r w:rsidRPr="00FC6B57">
        <w:rPr>
          <w:sz w:val="24"/>
          <w:szCs w:val="24"/>
        </w:rPr>
        <w:t>I studier af kronisk toksicitet (intramuskulær injektion) udført på forskellige dyrearter, blev der observeret nefrotoksiske og ototoksiske virkninger.</w:t>
      </w:r>
    </w:p>
    <w:p w:rsidR="0066044C" w:rsidRPr="00FC6B57" w:rsidRDefault="0066044C" w:rsidP="0066044C">
      <w:pPr>
        <w:ind w:left="851"/>
        <w:rPr>
          <w:sz w:val="24"/>
          <w:szCs w:val="24"/>
        </w:rPr>
      </w:pPr>
    </w:p>
    <w:p w:rsidR="0066044C" w:rsidRPr="00CB4B58" w:rsidRDefault="0066044C" w:rsidP="0066044C">
      <w:pPr>
        <w:ind w:left="851"/>
        <w:rPr>
          <w:sz w:val="24"/>
          <w:szCs w:val="24"/>
          <w:u w:val="single"/>
        </w:rPr>
      </w:pPr>
      <w:r w:rsidRPr="00CB4B58">
        <w:rPr>
          <w:sz w:val="24"/>
          <w:szCs w:val="24"/>
          <w:u w:val="single"/>
        </w:rPr>
        <w:t>Mutagen og carcinogen risiko</w:t>
      </w:r>
    </w:p>
    <w:p w:rsidR="0066044C" w:rsidRPr="00FC6B57" w:rsidRDefault="0066044C" w:rsidP="0066044C">
      <w:pPr>
        <w:ind w:left="851"/>
        <w:rPr>
          <w:sz w:val="24"/>
          <w:szCs w:val="24"/>
        </w:rPr>
      </w:pPr>
      <w:r w:rsidRPr="00FC6B57">
        <w:rPr>
          <w:sz w:val="24"/>
          <w:szCs w:val="24"/>
        </w:rPr>
        <w:t xml:space="preserve">Gentamicin var ikke mutagen i </w:t>
      </w:r>
      <w:r w:rsidRPr="00FC6B57">
        <w:rPr>
          <w:i/>
          <w:iCs/>
          <w:sz w:val="24"/>
          <w:szCs w:val="24"/>
        </w:rPr>
        <w:t>in vitro</w:t>
      </w:r>
      <w:r w:rsidRPr="00FC6B57">
        <w:rPr>
          <w:sz w:val="24"/>
          <w:szCs w:val="24"/>
        </w:rPr>
        <w:t xml:space="preserve">- og </w:t>
      </w:r>
      <w:r w:rsidRPr="00FC6B57">
        <w:rPr>
          <w:i/>
          <w:iCs/>
          <w:sz w:val="24"/>
          <w:szCs w:val="24"/>
        </w:rPr>
        <w:t>in vivo</w:t>
      </w:r>
      <w:r w:rsidRPr="00FC6B57">
        <w:rPr>
          <w:sz w:val="24"/>
          <w:szCs w:val="24"/>
        </w:rPr>
        <w:t>-forsøg. Der er ingen længerevarende dyreforsøg vedrørende gentamicins karcinogene risiko.</w:t>
      </w:r>
    </w:p>
    <w:p w:rsidR="0066044C" w:rsidRPr="00FC6B57" w:rsidRDefault="0066044C" w:rsidP="0066044C">
      <w:pPr>
        <w:ind w:left="851"/>
        <w:rPr>
          <w:sz w:val="24"/>
          <w:szCs w:val="24"/>
        </w:rPr>
      </w:pPr>
    </w:p>
    <w:p w:rsidR="0066044C" w:rsidRPr="00CB4B58" w:rsidRDefault="0066044C" w:rsidP="0066044C">
      <w:pPr>
        <w:ind w:left="851"/>
        <w:rPr>
          <w:sz w:val="24"/>
          <w:szCs w:val="24"/>
          <w:u w:val="single"/>
        </w:rPr>
      </w:pPr>
      <w:r w:rsidRPr="00CB4B58">
        <w:rPr>
          <w:sz w:val="24"/>
          <w:szCs w:val="24"/>
          <w:u w:val="single"/>
        </w:rPr>
        <w:t>Reproduktionstoksicitet</w:t>
      </w:r>
    </w:p>
    <w:p w:rsidR="0066044C" w:rsidRPr="00FC6B57" w:rsidRDefault="0066044C" w:rsidP="0066044C">
      <w:pPr>
        <w:ind w:left="851"/>
        <w:rPr>
          <w:sz w:val="24"/>
          <w:szCs w:val="24"/>
        </w:rPr>
      </w:pPr>
      <w:r w:rsidRPr="00FC6B57">
        <w:rPr>
          <w:sz w:val="24"/>
          <w:szCs w:val="24"/>
        </w:rPr>
        <w:t>For klassen af aminoglykosidantibiotika blev der observeret en potentiel risiko for beskadigelse af det indre øre og nyrerne hos fosteret. Der er set nyreabnormaliteter hos rottefostre og marsvinefostre efter administration af gentamicin til moderdyrene.</w:t>
      </w:r>
    </w:p>
    <w:p w:rsidR="0066044C" w:rsidRPr="00FC6B57" w:rsidRDefault="0066044C" w:rsidP="0066044C">
      <w:pPr>
        <w:ind w:left="851"/>
        <w:rPr>
          <w:sz w:val="24"/>
          <w:szCs w:val="24"/>
        </w:rPr>
      </w:pPr>
    </w:p>
    <w:p w:rsidR="0066044C" w:rsidRPr="00FC6B57" w:rsidRDefault="0066044C" w:rsidP="0066044C">
      <w:pPr>
        <w:ind w:left="851"/>
        <w:rPr>
          <w:sz w:val="24"/>
          <w:szCs w:val="24"/>
        </w:rPr>
      </w:pPr>
    </w:p>
    <w:p w:rsidR="0066044C" w:rsidRPr="00C84483" w:rsidRDefault="0066044C" w:rsidP="0066044C">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66044C" w:rsidRPr="00BA09F1" w:rsidRDefault="0066044C" w:rsidP="0066044C">
      <w:pPr>
        <w:tabs>
          <w:tab w:val="left" w:pos="851"/>
        </w:tabs>
        <w:ind w:left="851"/>
        <w:rPr>
          <w:sz w:val="24"/>
          <w:szCs w:val="24"/>
        </w:rPr>
      </w:pPr>
    </w:p>
    <w:p w:rsidR="0066044C" w:rsidRPr="00C84483" w:rsidRDefault="0066044C" w:rsidP="0066044C">
      <w:pPr>
        <w:tabs>
          <w:tab w:val="left" w:pos="851"/>
        </w:tabs>
        <w:ind w:left="851" w:hanging="851"/>
        <w:rPr>
          <w:b/>
          <w:sz w:val="24"/>
          <w:szCs w:val="24"/>
        </w:rPr>
      </w:pPr>
      <w:r w:rsidRPr="00C84483">
        <w:rPr>
          <w:b/>
          <w:sz w:val="24"/>
          <w:szCs w:val="24"/>
        </w:rPr>
        <w:t>6.1</w:t>
      </w:r>
      <w:r w:rsidRPr="00C84483">
        <w:rPr>
          <w:b/>
          <w:sz w:val="24"/>
          <w:szCs w:val="24"/>
        </w:rPr>
        <w:tab/>
        <w:t>Hjælpestoffer</w:t>
      </w:r>
    </w:p>
    <w:p w:rsidR="0066044C" w:rsidRDefault="0066044C" w:rsidP="0066044C">
      <w:pPr>
        <w:ind w:left="851"/>
        <w:rPr>
          <w:sz w:val="24"/>
          <w:szCs w:val="24"/>
        </w:rPr>
      </w:pPr>
      <w:r w:rsidRPr="00FC6B57">
        <w:rPr>
          <w:sz w:val="24"/>
          <w:szCs w:val="24"/>
        </w:rPr>
        <w:t>Dinatriumedetat</w:t>
      </w:r>
    </w:p>
    <w:p w:rsidR="0066044C" w:rsidRDefault="0066044C" w:rsidP="0066044C">
      <w:pPr>
        <w:ind w:left="851"/>
        <w:rPr>
          <w:sz w:val="24"/>
          <w:szCs w:val="24"/>
        </w:rPr>
      </w:pPr>
      <w:r>
        <w:rPr>
          <w:sz w:val="24"/>
          <w:szCs w:val="24"/>
        </w:rPr>
        <w:t>N</w:t>
      </w:r>
      <w:r w:rsidRPr="00FC6B57">
        <w:rPr>
          <w:sz w:val="24"/>
          <w:szCs w:val="24"/>
        </w:rPr>
        <w:t>atriumchlorid</w:t>
      </w:r>
    </w:p>
    <w:p w:rsidR="0066044C" w:rsidRDefault="0066044C" w:rsidP="0066044C">
      <w:pPr>
        <w:ind w:left="851"/>
        <w:rPr>
          <w:sz w:val="24"/>
          <w:szCs w:val="24"/>
        </w:rPr>
      </w:pPr>
      <w:r>
        <w:rPr>
          <w:sz w:val="24"/>
          <w:szCs w:val="24"/>
        </w:rPr>
        <w:t>S</w:t>
      </w:r>
      <w:r w:rsidRPr="00FC6B57">
        <w:rPr>
          <w:sz w:val="24"/>
          <w:szCs w:val="24"/>
        </w:rPr>
        <w:t>vovlsyre (til pH-justering)</w:t>
      </w:r>
    </w:p>
    <w:p w:rsidR="0066044C" w:rsidRPr="00FC6B57" w:rsidRDefault="0066044C" w:rsidP="0066044C">
      <w:pPr>
        <w:ind w:left="851"/>
        <w:rPr>
          <w:sz w:val="24"/>
          <w:szCs w:val="24"/>
        </w:rPr>
      </w:pPr>
      <w:r>
        <w:rPr>
          <w:sz w:val="24"/>
          <w:szCs w:val="24"/>
        </w:rPr>
        <w:t>V</w:t>
      </w:r>
      <w:r w:rsidRPr="00FC6B57">
        <w:rPr>
          <w:sz w:val="24"/>
          <w:szCs w:val="24"/>
        </w:rPr>
        <w:t>and til injektionsvæsker</w:t>
      </w:r>
    </w:p>
    <w:p w:rsidR="0066044C" w:rsidRPr="00C84483" w:rsidRDefault="0066044C" w:rsidP="0066044C">
      <w:pPr>
        <w:tabs>
          <w:tab w:val="left" w:pos="851"/>
        </w:tabs>
        <w:ind w:left="851"/>
        <w:rPr>
          <w:sz w:val="24"/>
          <w:szCs w:val="24"/>
        </w:rPr>
      </w:pPr>
    </w:p>
    <w:p w:rsidR="0066044C" w:rsidRPr="00C84483" w:rsidRDefault="0066044C" w:rsidP="0066044C">
      <w:pPr>
        <w:tabs>
          <w:tab w:val="left" w:pos="851"/>
        </w:tabs>
        <w:ind w:left="851" w:hanging="851"/>
        <w:rPr>
          <w:b/>
          <w:sz w:val="24"/>
          <w:szCs w:val="24"/>
        </w:rPr>
      </w:pPr>
      <w:r w:rsidRPr="00C84483">
        <w:rPr>
          <w:b/>
          <w:sz w:val="24"/>
          <w:szCs w:val="24"/>
        </w:rPr>
        <w:t>6.2</w:t>
      </w:r>
      <w:r w:rsidRPr="00C84483">
        <w:rPr>
          <w:b/>
          <w:sz w:val="24"/>
          <w:szCs w:val="24"/>
        </w:rPr>
        <w:tab/>
        <w:t>Uforligeligheder</w:t>
      </w:r>
    </w:p>
    <w:p w:rsidR="0066044C" w:rsidRPr="00FC6B57" w:rsidRDefault="0066044C" w:rsidP="0066044C">
      <w:pPr>
        <w:ind w:left="851"/>
        <w:rPr>
          <w:sz w:val="24"/>
          <w:szCs w:val="24"/>
        </w:rPr>
      </w:pPr>
      <w:r w:rsidRPr="00FC6B57">
        <w:rPr>
          <w:sz w:val="24"/>
          <w:szCs w:val="24"/>
        </w:rPr>
        <w:t>Dette lægemiddel må ikke anvendes samtidig med andre lægemidler, med undtagelse af de, der er nævnt i pkt. 6.6.</w:t>
      </w:r>
    </w:p>
    <w:p w:rsidR="0066044C" w:rsidRPr="00C84483" w:rsidRDefault="0066044C" w:rsidP="0066044C">
      <w:pPr>
        <w:tabs>
          <w:tab w:val="left" w:pos="851"/>
        </w:tabs>
        <w:ind w:left="851"/>
        <w:rPr>
          <w:sz w:val="24"/>
          <w:szCs w:val="24"/>
        </w:rPr>
      </w:pPr>
    </w:p>
    <w:p w:rsidR="0066044C" w:rsidRPr="00C84483" w:rsidRDefault="0066044C" w:rsidP="0066044C">
      <w:pPr>
        <w:tabs>
          <w:tab w:val="left" w:pos="851"/>
        </w:tabs>
        <w:ind w:left="851" w:hanging="851"/>
        <w:rPr>
          <w:b/>
          <w:sz w:val="24"/>
          <w:szCs w:val="24"/>
        </w:rPr>
      </w:pPr>
      <w:r w:rsidRPr="00C84483">
        <w:rPr>
          <w:b/>
          <w:sz w:val="24"/>
          <w:szCs w:val="24"/>
        </w:rPr>
        <w:t>6.3</w:t>
      </w:r>
      <w:r w:rsidRPr="00C84483">
        <w:rPr>
          <w:b/>
          <w:sz w:val="24"/>
          <w:szCs w:val="24"/>
        </w:rPr>
        <w:tab/>
        <w:t>Opbevaringstid</w:t>
      </w:r>
    </w:p>
    <w:p w:rsidR="0066044C" w:rsidRPr="00FC6B57" w:rsidRDefault="0066044C" w:rsidP="0066044C">
      <w:pPr>
        <w:ind w:left="851"/>
        <w:rPr>
          <w:sz w:val="24"/>
          <w:szCs w:val="24"/>
        </w:rPr>
      </w:pPr>
      <w:r w:rsidRPr="00FC6B57">
        <w:rPr>
          <w:sz w:val="24"/>
          <w:szCs w:val="24"/>
        </w:rPr>
        <w:t>3 år.</w:t>
      </w:r>
    </w:p>
    <w:p w:rsidR="0066044C" w:rsidRPr="00FC6B57" w:rsidRDefault="0066044C" w:rsidP="0066044C">
      <w:pPr>
        <w:ind w:left="851"/>
        <w:rPr>
          <w:sz w:val="24"/>
          <w:szCs w:val="24"/>
        </w:rPr>
      </w:pPr>
    </w:p>
    <w:p w:rsidR="0066044C" w:rsidRPr="00FC6B57" w:rsidRDefault="0066044C" w:rsidP="0066044C">
      <w:pPr>
        <w:ind w:left="851"/>
        <w:rPr>
          <w:sz w:val="24"/>
          <w:szCs w:val="24"/>
        </w:rPr>
      </w:pPr>
      <w:r w:rsidRPr="00FC6B57">
        <w:rPr>
          <w:sz w:val="24"/>
          <w:szCs w:val="24"/>
        </w:rPr>
        <w:t>Dette lægemiddel skal anvendes straks efter åbning.</w:t>
      </w:r>
    </w:p>
    <w:p w:rsidR="0066044C" w:rsidRPr="00FC6B57" w:rsidRDefault="0066044C" w:rsidP="00AB4BD3">
      <w:pPr>
        <w:ind w:left="851"/>
        <w:rPr>
          <w:sz w:val="24"/>
          <w:szCs w:val="24"/>
        </w:rPr>
      </w:pPr>
      <w:r w:rsidRPr="00FC6B57">
        <w:rPr>
          <w:sz w:val="24"/>
          <w:szCs w:val="24"/>
        </w:rPr>
        <w:t>Kemisk og fysisk stabilitet efter åbning er dokumenteret i 24 timer under 25</w:t>
      </w:r>
      <w:r>
        <w:rPr>
          <w:sz w:val="24"/>
          <w:szCs w:val="24"/>
        </w:rPr>
        <w:t xml:space="preserve"> </w:t>
      </w:r>
      <w:r w:rsidRPr="00FC6B57">
        <w:rPr>
          <w:sz w:val="24"/>
          <w:szCs w:val="24"/>
        </w:rPr>
        <w:t>°C og 3 timer ved 25</w:t>
      </w:r>
      <w:r>
        <w:rPr>
          <w:sz w:val="24"/>
          <w:szCs w:val="24"/>
        </w:rPr>
        <w:t xml:space="preserve"> </w:t>
      </w:r>
      <w:r w:rsidRPr="00FC6B57">
        <w:rPr>
          <w:sz w:val="24"/>
          <w:szCs w:val="24"/>
        </w:rPr>
        <w:t>°C efter 24 timer ved 2-8</w:t>
      </w:r>
      <w:r>
        <w:rPr>
          <w:sz w:val="24"/>
          <w:szCs w:val="24"/>
        </w:rPr>
        <w:t xml:space="preserve"> </w:t>
      </w:r>
      <w:r w:rsidRPr="00FC6B57">
        <w:rPr>
          <w:sz w:val="24"/>
          <w:szCs w:val="24"/>
        </w:rPr>
        <w:t>°C, når fortyndet med infusionsvæskerne, der er anført i pkt. 6.6.</w:t>
      </w:r>
    </w:p>
    <w:p w:rsidR="0066044C" w:rsidRPr="00FC6B57" w:rsidRDefault="0066044C" w:rsidP="00AB4BD3">
      <w:pPr>
        <w:ind w:left="851"/>
        <w:rPr>
          <w:sz w:val="24"/>
          <w:szCs w:val="24"/>
        </w:rPr>
      </w:pPr>
    </w:p>
    <w:p w:rsidR="0066044C" w:rsidRPr="00FC6B57" w:rsidRDefault="0066044C" w:rsidP="00AB4BD3">
      <w:pPr>
        <w:ind w:left="851"/>
        <w:rPr>
          <w:sz w:val="24"/>
          <w:szCs w:val="24"/>
        </w:rPr>
      </w:pPr>
      <w:r w:rsidRPr="00FC6B57">
        <w:rPr>
          <w:sz w:val="24"/>
          <w:szCs w:val="24"/>
        </w:rPr>
        <w:lastRenderedPageBreak/>
        <w:t>Ud fra et mikrobiologisk synspunkt skal præparatet bruges med det samme. Anvendelse af andre opbevaringstider og -betingelser er på brugerens eget ansvar og må ikke overstige 24 timer ved 2 til 8</w:t>
      </w:r>
      <w:r>
        <w:rPr>
          <w:sz w:val="24"/>
          <w:szCs w:val="24"/>
        </w:rPr>
        <w:t xml:space="preserve"> </w:t>
      </w:r>
      <w:r w:rsidRPr="00FC6B57">
        <w:rPr>
          <w:sz w:val="24"/>
          <w:szCs w:val="24"/>
        </w:rPr>
        <w:t>°C, med mindre rekonstitution og fortynding er udført under kontrollerede og validerede aseptiske betingelser.</w:t>
      </w:r>
    </w:p>
    <w:p w:rsidR="0066044C" w:rsidRPr="00C84483" w:rsidRDefault="0066044C" w:rsidP="0066044C">
      <w:pPr>
        <w:tabs>
          <w:tab w:val="left" w:pos="851"/>
        </w:tabs>
        <w:ind w:left="851"/>
        <w:rPr>
          <w:sz w:val="24"/>
          <w:szCs w:val="24"/>
        </w:rPr>
      </w:pPr>
    </w:p>
    <w:p w:rsidR="0066044C" w:rsidRPr="00C84483" w:rsidRDefault="0066044C" w:rsidP="0066044C">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66044C" w:rsidRPr="00FC6B57" w:rsidRDefault="0066044C" w:rsidP="0066044C">
      <w:pPr>
        <w:ind w:left="851"/>
        <w:rPr>
          <w:sz w:val="24"/>
          <w:szCs w:val="24"/>
        </w:rPr>
      </w:pPr>
      <w:r w:rsidRPr="00FC6B57">
        <w:rPr>
          <w:sz w:val="24"/>
          <w:szCs w:val="24"/>
        </w:rPr>
        <w:t xml:space="preserve">Opbevares </w:t>
      </w:r>
      <w:r>
        <w:rPr>
          <w:sz w:val="24"/>
          <w:szCs w:val="24"/>
        </w:rPr>
        <w:t xml:space="preserve">ved temperaturer </w:t>
      </w:r>
      <w:r w:rsidRPr="00FC6B57">
        <w:rPr>
          <w:sz w:val="24"/>
          <w:szCs w:val="24"/>
        </w:rPr>
        <w:t>under 30 °C.</w:t>
      </w:r>
    </w:p>
    <w:p w:rsidR="0066044C" w:rsidRPr="00C84483" w:rsidRDefault="0066044C" w:rsidP="0066044C">
      <w:pPr>
        <w:tabs>
          <w:tab w:val="left" w:pos="851"/>
        </w:tabs>
        <w:ind w:left="851"/>
        <w:rPr>
          <w:sz w:val="24"/>
          <w:szCs w:val="24"/>
        </w:rPr>
      </w:pPr>
    </w:p>
    <w:p w:rsidR="0066044C" w:rsidRPr="00C84483" w:rsidRDefault="0066044C" w:rsidP="0066044C">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AB4BD3" w:rsidRDefault="00AB4BD3" w:rsidP="0066044C">
      <w:pPr>
        <w:ind w:left="851"/>
        <w:rPr>
          <w:color w:val="000000"/>
          <w:sz w:val="24"/>
          <w:szCs w:val="24"/>
        </w:rPr>
      </w:pPr>
      <w:r>
        <w:rPr>
          <w:color w:val="000000"/>
          <w:sz w:val="24"/>
          <w:szCs w:val="24"/>
        </w:rPr>
        <w:t>Farveløs ampul</w:t>
      </w:r>
      <w:r w:rsidR="00C24118">
        <w:rPr>
          <w:color w:val="000000"/>
          <w:sz w:val="24"/>
          <w:szCs w:val="24"/>
        </w:rPr>
        <w:t xml:space="preserve"> af glas type I, i æske.</w:t>
      </w:r>
    </w:p>
    <w:p w:rsidR="00AB4BD3" w:rsidRDefault="00AB4BD3" w:rsidP="0066044C">
      <w:pPr>
        <w:ind w:left="851"/>
        <w:rPr>
          <w:color w:val="000000"/>
          <w:sz w:val="24"/>
          <w:szCs w:val="24"/>
        </w:rPr>
      </w:pPr>
    </w:p>
    <w:p w:rsidR="0066044C" w:rsidRPr="00FC6B57" w:rsidRDefault="00AB4BD3" w:rsidP="0066044C">
      <w:pPr>
        <w:ind w:left="851"/>
        <w:rPr>
          <w:sz w:val="24"/>
          <w:szCs w:val="24"/>
        </w:rPr>
      </w:pPr>
      <w:r>
        <w:rPr>
          <w:color w:val="000000"/>
          <w:sz w:val="24"/>
          <w:szCs w:val="24"/>
        </w:rPr>
        <w:t xml:space="preserve">Pakningsstørrelser: </w:t>
      </w:r>
      <w:r w:rsidR="0066044C" w:rsidRPr="00FC6B57">
        <w:rPr>
          <w:sz w:val="24"/>
          <w:szCs w:val="24"/>
        </w:rPr>
        <w:t xml:space="preserve">1, 5, 10 </w:t>
      </w:r>
      <w:r w:rsidR="00C24118">
        <w:rPr>
          <w:sz w:val="24"/>
          <w:szCs w:val="24"/>
        </w:rPr>
        <w:t>og</w:t>
      </w:r>
      <w:r w:rsidR="0066044C" w:rsidRPr="00FC6B57">
        <w:rPr>
          <w:sz w:val="24"/>
          <w:szCs w:val="24"/>
        </w:rPr>
        <w:t xml:space="preserve"> 25 </w:t>
      </w:r>
      <w:r w:rsidR="00C24118">
        <w:rPr>
          <w:sz w:val="24"/>
          <w:szCs w:val="24"/>
        </w:rPr>
        <w:t>ampuller.</w:t>
      </w:r>
    </w:p>
    <w:p w:rsidR="0066044C" w:rsidRPr="00FC6B57" w:rsidRDefault="0066044C" w:rsidP="0066044C">
      <w:pPr>
        <w:ind w:left="851"/>
        <w:rPr>
          <w:sz w:val="24"/>
          <w:szCs w:val="24"/>
        </w:rPr>
      </w:pPr>
      <w:r w:rsidRPr="00FC6B57">
        <w:rPr>
          <w:sz w:val="24"/>
          <w:szCs w:val="24"/>
        </w:rPr>
        <w:t>Ikke alle pakningsstørrelser er nødvendigvis markedsført.</w:t>
      </w:r>
    </w:p>
    <w:p w:rsidR="0066044C" w:rsidRPr="00C84483" w:rsidRDefault="0066044C" w:rsidP="0066044C">
      <w:pPr>
        <w:tabs>
          <w:tab w:val="left" w:pos="851"/>
        </w:tabs>
        <w:ind w:left="851"/>
        <w:rPr>
          <w:sz w:val="24"/>
          <w:szCs w:val="24"/>
        </w:rPr>
      </w:pPr>
    </w:p>
    <w:p w:rsidR="0066044C" w:rsidRPr="00C84483" w:rsidRDefault="0066044C" w:rsidP="0066044C">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C24118">
        <w:rPr>
          <w:b/>
          <w:sz w:val="24"/>
          <w:szCs w:val="24"/>
        </w:rPr>
        <w:t>bortskaffelse</w:t>
      </w:r>
      <w:r w:rsidRPr="00C84483">
        <w:rPr>
          <w:b/>
          <w:sz w:val="24"/>
          <w:szCs w:val="24"/>
        </w:rPr>
        <w:t xml:space="preserve"> og anden håndtering</w:t>
      </w:r>
    </w:p>
    <w:p w:rsidR="0066044C" w:rsidRPr="00FC6B57" w:rsidRDefault="0066044C" w:rsidP="0066044C">
      <w:pPr>
        <w:ind w:left="851"/>
        <w:rPr>
          <w:sz w:val="24"/>
          <w:szCs w:val="24"/>
        </w:rPr>
      </w:pPr>
      <w:r w:rsidRPr="00FC6B57">
        <w:rPr>
          <w:sz w:val="24"/>
          <w:szCs w:val="24"/>
        </w:rPr>
        <w:t>Til intravenøs brug fortyndes mængden af gentamicin, der skal administreres, i en infusionsopløsning (med glucose 5 % eller natriumchlorid 0,9 %) med en hastighed på 50 til 200 ml med en maksimal koncentration på 10 mg/ml.</w:t>
      </w:r>
    </w:p>
    <w:p w:rsidR="0066044C" w:rsidRPr="00FC6B57" w:rsidRDefault="0066044C" w:rsidP="0066044C">
      <w:pPr>
        <w:ind w:left="851"/>
        <w:rPr>
          <w:sz w:val="24"/>
          <w:szCs w:val="24"/>
        </w:rPr>
      </w:pPr>
    </w:p>
    <w:p w:rsidR="0066044C" w:rsidRPr="00FC6B57" w:rsidRDefault="0066044C" w:rsidP="0066044C">
      <w:pPr>
        <w:ind w:left="851"/>
        <w:rPr>
          <w:sz w:val="24"/>
          <w:szCs w:val="24"/>
        </w:rPr>
      </w:pPr>
      <w:r w:rsidRPr="00FC6B57">
        <w:rPr>
          <w:sz w:val="24"/>
          <w:szCs w:val="24"/>
        </w:rPr>
        <w:t>Ikke anvendt lægemiddel samt affald heraf skal bortskaffes i henhold til lokale retningslinjer.</w:t>
      </w:r>
    </w:p>
    <w:p w:rsidR="0066044C" w:rsidRPr="00FC6B57" w:rsidRDefault="0066044C" w:rsidP="0066044C">
      <w:pPr>
        <w:ind w:left="851"/>
        <w:rPr>
          <w:sz w:val="24"/>
          <w:szCs w:val="24"/>
        </w:rPr>
      </w:pPr>
    </w:p>
    <w:p w:rsidR="0066044C" w:rsidRPr="00C84483" w:rsidRDefault="0066044C" w:rsidP="0066044C">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1626E8" w:rsidRPr="001626E8" w:rsidRDefault="001626E8" w:rsidP="001626E8">
      <w:pPr>
        <w:tabs>
          <w:tab w:val="left" w:pos="851"/>
        </w:tabs>
        <w:ind w:left="851"/>
        <w:rPr>
          <w:sz w:val="24"/>
          <w:szCs w:val="24"/>
        </w:rPr>
      </w:pPr>
      <w:r w:rsidRPr="001626E8">
        <w:rPr>
          <w:sz w:val="24"/>
          <w:szCs w:val="24"/>
        </w:rPr>
        <w:t>Panpharma</w:t>
      </w:r>
    </w:p>
    <w:p w:rsidR="001626E8" w:rsidRPr="001626E8" w:rsidRDefault="001626E8" w:rsidP="001626E8">
      <w:pPr>
        <w:tabs>
          <w:tab w:val="left" w:pos="851"/>
        </w:tabs>
        <w:ind w:left="851"/>
        <w:rPr>
          <w:sz w:val="24"/>
          <w:szCs w:val="24"/>
        </w:rPr>
      </w:pPr>
      <w:r w:rsidRPr="001626E8">
        <w:rPr>
          <w:sz w:val="24"/>
          <w:szCs w:val="24"/>
        </w:rPr>
        <w:t>Z.I. du Clairay</w:t>
      </w:r>
    </w:p>
    <w:p w:rsidR="001626E8" w:rsidRPr="001626E8" w:rsidRDefault="001626E8" w:rsidP="001626E8">
      <w:pPr>
        <w:tabs>
          <w:tab w:val="left" w:pos="851"/>
        </w:tabs>
        <w:ind w:left="851"/>
        <w:rPr>
          <w:sz w:val="24"/>
          <w:szCs w:val="24"/>
        </w:rPr>
      </w:pPr>
      <w:r w:rsidRPr="001626E8">
        <w:rPr>
          <w:sz w:val="24"/>
          <w:szCs w:val="24"/>
        </w:rPr>
        <w:t>35133 Luitre</w:t>
      </w:r>
    </w:p>
    <w:p w:rsidR="0066044C" w:rsidRDefault="001626E8" w:rsidP="001626E8">
      <w:pPr>
        <w:tabs>
          <w:tab w:val="left" w:pos="851"/>
        </w:tabs>
        <w:ind w:left="851"/>
        <w:rPr>
          <w:sz w:val="24"/>
          <w:szCs w:val="24"/>
        </w:rPr>
      </w:pPr>
      <w:r w:rsidRPr="001626E8">
        <w:rPr>
          <w:sz w:val="24"/>
          <w:szCs w:val="24"/>
        </w:rPr>
        <w:t>Fran</w:t>
      </w:r>
      <w:r>
        <w:rPr>
          <w:sz w:val="24"/>
          <w:szCs w:val="24"/>
        </w:rPr>
        <w:t>krig</w:t>
      </w:r>
    </w:p>
    <w:p w:rsidR="005640AC" w:rsidRDefault="005640AC" w:rsidP="001626E8">
      <w:pPr>
        <w:tabs>
          <w:tab w:val="left" w:pos="851"/>
        </w:tabs>
        <w:ind w:left="851"/>
        <w:rPr>
          <w:sz w:val="24"/>
          <w:szCs w:val="24"/>
        </w:rPr>
      </w:pPr>
    </w:p>
    <w:p w:rsidR="005640AC" w:rsidRDefault="005640AC" w:rsidP="001626E8">
      <w:pPr>
        <w:tabs>
          <w:tab w:val="left" w:pos="851"/>
        </w:tabs>
        <w:ind w:left="851"/>
        <w:rPr>
          <w:sz w:val="24"/>
          <w:szCs w:val="24"/>
        </w:rPr>
      </w:pPr>
      <w:r>
        <w:rPr>
          <w:b/>
          <w:sz w:val="24"/>
          <w:szCs w:val="24"/>
        </w:rPr>
        <w:t>Repræsentant</w:t>
      </w:r>
    </w:p>
    <w:p w:rsidR="005640AC" w:rsidRPr="007943BA" w:rsidRDefault="005640AC" w:rsidP="005640AC">
      <w:pPr>
        <w:tabs>
          <w:tab w:val="left" w:pos="851"/>
        </w:tabs>
        <w:ind w:left="851"/>
        <w:rPr>
          <w:sz w:val="24"/>
          <w:szCs w:val="24"/>
        </w:rPr>
      </w:pPr>
      <w:r w:rsidRPr="007943BA">
        <w:rPr>
          <w:sz w:val="24"/>
          <w:szCs w:val="24"/>
        </w:rPr>
        <w:t>Panpharma Nordic AS</w:t>
      </w:r>
    </w:p>
    <w:p w:rsidR="005640AC" w:rsidRPr="007943BA" w:rsidRDefault="005640AC" w:rsidP="005640AC">
      <w:pPr>
        <w:tabs>
          <w:tab w:val="left" w:pos="851"/>
        </w:tabs>
        <w:ind w:left="851"/>
        <w:rPr>
          <w:sz w:val="24"/>
          <w:szCs w:val="24"/>
        </w:rPr>
      </w:pPr>
      <w:r w:rsidRPr="007943BA">
        <w:rPr>
          <w:sz w:val="24"/>
          <w:szCs w:val="24"/>
        </w:rPr>
        <w:t>Anolitveien 4</w:t>
      </w:r>
    </w:p>
    <w:p w:rsidR="005640AC" w:rsidRPr="007943BA" w:rsidRDefault="005640AC" w:rsidP="005640AC">
      <w:pPr>
        <w:tabs>
          <w:tab w:val="left" w:pos="851"/>
        </w:tabs>
        <w:ind w:left="851"/>
        <w:rPr>
          <w:sz w:val="24"/>
          <w:szCs w:val="24"/>
        </w:rPr>
      </w:pPr>
      <w:r w:rsidRPr="007943BA">
        <w:rPr>
          <w:sz w:val="24"/>
          <w:szCs w:val="24"/>
        </w:rPr>
        <w:t>1400 SKI</w:t>
      </w:r>
    </w:p>
    <w:p w:rsidR="005640AC" w:rsidRPr="005640AC" w:rsidRDefault="005640AC" w:rsidP="005640AC">
      <w:pPr>
        <w:tabs>
          <w:tab w:val="left" w:pos="851"/>
        </w:tabs>
        <w:ind w:left="851"/>
        <w:rPr>
          <w:sz w:val="24"/>
          <w:szCs w:val="24"/>
        </w:rPr>
      </w:pPr>
      <w:r w:rsidRPr="005640AC">
        <w:rPr>
          <w:sz w:val="24"/>
          <w:szCs w:val="24"/>
        </w:rPr>
        <w:t>Norge</w:t>
      </w:r>
    </w:p>
    <w:p w:rsidR="001626E8" w:rsidRPr="00C84483" w:rsidRDefault="001626E8" w:rsidP="001626E8">
      <w:pPr>
        <w:tabs>
          <w:tab w:val="left" w:pos="851"/>
        </w:tabs>
        <w:ind w:left="851"/>
        <w:rPr>
          <w:sz w:val="24"/>
          <w:szCs w:val="24"/>
        </w:rPr>
      </w:pPr>
    </w:p>
    <w:p w:rsidR="0066044C" w:rsidRPr="00C84483" w:rsidRDefault="0066044C" w:rsidP="0066044C">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7D22B0">
        <w:rPr>
          <w:b/>
          <w:sz w:val="24"/>
          <w:szCs w:val="24"/>
        </w:rPr>
        <w:t>-</w:t>
      </w:r>
      <w:r w:rsidRPr="00C84483">
        <w:rPr>
          <w:b/>
          <w:sz w:val="24"/>
          <w:szCs w:val="24"/>
        </w:rPr>
        <w:t>NUMRE)</w:t>
      </w:r>
    </w:p>
    <w:p w:rsidR="0066044C" w:rsidRPr="00C84483" w:rsidRDefault="0066044C" w:rsidP="0066044C">
      <w:pPr>
        <w:tabs>
          <w:tab w:val="left" w:pos="851"/>
        </w:tabs>
        <w:rPr>
          <w:sz w:val="24"/>
          <w:szCs w:val="24"/>
        </w:rPr>
      </w:pPr>
      <w:r>
        <w:rPr>
          <w:sz w:val="24"/>
          <w:szCs w:val="24"/>
        </w:rPr>
        <w:tab/>
        <w:t>61355</w:t>
      </w:r>
    </w:p>
    <w:p w:rsidR="0066044C" w:rsidRPr="00C84483" w:rsidRDefault="0066044C" w:rsidP="0066044C">
      <w:pPr>
        <w:tabs>
          <w:tab w:val="left" w:pos="851"/>
        </w:tabs>
        <w:ind w:left="851"/>
        <w:jc w:val="both"/>
        <w:rPr>
          <w:sz w:val="24"/>
          <w:szCs w:val="24"/>
        </w:rPr>
      </w:pPr>
    </w:p>
    <w:p w:rsidR="0066044C" w:rsidRPr="00C84483" w:rsidRDefault="0066044C" w:rsidP="0066044C">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66044C" w:rsidRPr="00C84483" w:rsidRDefault="0066044C" w:rsidP="0066044C">
      <w:pPr>
        <w:tabs>
          <w:tab w:val="left" w:pos="851"/>
        </w:tabs>
        <w:ind w:left="851"/>
        <w:rPr>
          <w:sz w:val="24"/>
          <w:szCs w:val="24"/>
        </w:rPr>
      </w:pPr>
      <w:r>
        <w:rPr>
          <w:sz w:val="24"/>
          <w:szCs w:val="24"/>
        </w:rPr>
        <w:t>19. november 2019</w:t>
      </w:r>
    </w:p>
    <w:p w:rsidR="0066044C" w:rsidRPr="00C84483" w:rsidRDefault="0066044C" w:rsidP="0066044C">
      <w:pPr>
        <w:tabs>
          <w:tab w:val="left" w:pos="851"/>
        </w:tabs>
        <w:ind w:left="851"/>
        <w:rPr>
          <w:sz w:val="24"/>
          <w:szCs w:val="24"/>
        </w:rPr>
      </w:pPr>
    </w:p>
    <w:p w:rsidR="0066044C" w:rsidRPr="00C84483" w:rsidRDefault="0066044C" w:rsidP="0066044C">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66044C" w:rsidRDefault="007D22B0" w:rsidP="001626E8">
      <w:pPr>
        <w:tabs>
          <w:tab w:val="left" w:pos="851"/>
        </w:tabs>
        <w:ind w:left="851"/>
      </w:pPr>
      <w:r>
        <w:rPr>
          <w:sz w:val="24"/>
          <w:szCs w:val="24"/>
        </w:rPr>
        <w:t>13. maj 2024</w:t>
      </w:r>
    </w:p>
    <w:sectPr w:rsidR="009260DE" w:rsidRPr="0066044C"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753" w:rsidRDefault="006C1753">
      <w:r>
        <w:separator/>
      </w:r>
    </w:p>
  </w:endnote>
  <w:endnote w:type="continuationSeparator" w:id="0">
    <w:p w:rsidR="006C1753" w:rsidRDefault="006C1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753" w:rsidRDefault="006C1753">
    <w:pPr>
      <w:pStyle w:val="Sidefod"/>
      <w:pBdr>
        <w:bottom w:val="single" w:sz="6" w:space="1" w:color="auto"/>
      </w:pBdr>
    </w:pPr>
  </w:p>
  <w:p w:rsidR="006C1753" w:rsidRDefault="006C1753" w:rsidP="00C42586">
    <w:pPr>
      <w:pStyle w:val="Sidefod"/>
      <w:tabs>
        <w:tab w:val="clear" w:pos="4819"/>
        <w:tab w:val="left" w:pos="8505"/>
      </w:tabs>
      <w:rPr>
        <w:i/>
        <w:sz w:val="18"/>
        <w:szCs w:val="18"/>
      </w:rPr>
    </w:pPr>
  </w:p>
  <w:p w:rsidR="006C1753" w:rsidRPr="00B373D7" w:rsidRDefault="006C175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Gentamicin Panpharma, injektions--infusionsvæske, opløsning 40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753" w:rsidRDefault="006C1753">
      <w:r>
        <w:separator/>
      </w:r>
    </w:p>
  </w:footnote>
  <w:footnote w:type="continuationSeparator" w:id="0">
    <w:p w:rsidR="006C1753" w:rsidRDefault="006C1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9013E"/>
    <w:multiLevelType w:val="hybridMultilevel"/>
    <w:tmpl w:val="AF82B1D0"/>
    <w:lvl w:ilvl="0" w:tplc="026E8654">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627187F"/>
    <w:multiLevelType w:val="hybridMultilevel"/>
    <w:tmpl w:val="0840F580"/>
    <w:lvl w:ilvl="0" w:tplc="026E8654">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4C"/>
    <w:rsid w:val="000259B9"/>
    <w:rsid w:val="00041491"/>
    <w:rsid w:val="00050D16"/>
    <w:rsid w:val="00074F2A"/>
    <w:rsid w:val="000A1CA8"/>
    <w:rsid w:val="000A466B"/>
    <w:rsid w:val="000B058C"/>
    <w:rsid w:val="000E4EE6"/>
    <w:rsid w:val="00137E29"/>
    <w:rsid w:val="001454E2"/>
    <w:rsid w:val="00146F20"/>
    <w:rsid w:val="001626E8"/>
    <w:rsid w:val="001F463E"/>
    <w:rsid w:val="00206CE8"/>
    <w:rsid w:val="0021526C"/>
    <w:rsid w:val="0026269F"/>
    <w:rsid w:val="00283A2B"/>
    <w:rsid w:val="002B30AD"/>
    <w:rsid w:val="002C2C01"/>
    <w:rsid w:val="00340CC3"/>
    <w:rsid w:val="00397425"/>
    <w:rsid w:val="003A29AE"/>
    <w:rsid w:val="003A32D7"/>
    <w:rsid w:val="003B4074"/>
    <w:rsid w:val="003C769A"/>
    <w:rsid w:val="003F1838"/>
    <w:rsid w:val="0045746C"/>
    <w:rsid w:val="0049104B"/>
    <w:rsid w:val="004E3B12"/>
    <w:rsid w:val="005217BE"/>
    <w:rsid w:val="00532310"/>
    <w:rsid w:val="00560ECC"/>
    <w:rsid w:val="005640AC"/>
    <w:rsid w:val="00565F0F"/>
    <w:rsid w:val="00594A86"/>
    <w:rsid w:val="00596D86"/>
    <w:rsid w:val="005F1435"/>
    <w:rsid w:val="00605EB1"/>
    <w:rsid w:val="00637F5A"/>
    <w:rsid w:val="006560B1"/>
    <w:rsid w:val="0066044C"/>
    <w:rsid w:val="006756DD"/>
    <w:rsid w:val="006C1753"/>
    <w:rsid w:val="00735CCA"/>
    <w:rsid w:val="00737275"/>
    <w:rsid w:val="00740EEC"/>
    <w:rsid w:val="0078011A"/>
    <w:rsid w:val="00780F88"/>
    <w:rsid w:val="00782AF4"/>
    <w:rsid w:val="00790EE7"/>
    <w:rsid w:val="007943BA"/>
    <w:rsid w:val="007979D2"/>
    <w:rsid w:val="007B6649"/>
    <w:rsid w:val="007D22B0"/>
    <w:rsid w:val="007D36D4"/>
    <w:rsid w:val="007E41C5"/>
    <w:rsid w:val="007E4BE0"/>
    <w:rsid w:val="0081546F"/>
    <w:rsid w:val="0082576E"/>
    <w:rsid w:val="00883481"/>
    <w:rsid w:val="008B7BF7"/>
    <w:rsid w:val="00907F75"/>
    <w:rsid w:val="009260DE"/>
    <w:rsid w:val="0093258A"/>
    <w:rsid w:val="009C7BA3"/>
    <w:rsid w:val="009D1F5A"/>
    <w:rsid w:val="00A4097C"/>
    <w:rsid w:val="00A7335F"/>
    <w:rsid w:val="00AB4BD3"/>
    <w:rsid w:val="00B003BF"/>
    <w:rsid w:val="00B307B0"/>
    <w:rsid w:val="00B373D7"/>
    <w:rsid w:val="00C012BE"/>
    <w:rsid w:val="00C24118"/>
    <w:rsid w:val="00C36276"/>
    <w:rsid w:val="00C42586"/>
    <w:rsid w:val="00C60CCD"/>
    <w:rsid w:val="00C72E34"/>
    <w:rsid w:val="00C84483"/>
    <w:rsid w:val="00C95551"/>
    <w:rsid w:val="00CB20D7"/>
    <w:rsid w:val="00CB2E3B"/>
    <w:rsid w:val="00D020B0"/>
    <w:rsid w:val="00D11748"/>
    <w:rsid w:val="00D366CF"/>
    <w:rsid w:val="00D81493"/>
    <w:rsid w:val="00DB32B5"/>
    <w:rsid w:val="00E108AA"/>
    <w:rsid w:val="00E31812"/>
    <w:rsid w:val="00E3749A"/>
    <w:rsid w:val="00E7437F"/>
    <w:rsid w:val="00E865B8"/>
    <w:rsid w:val="00EB7B8F"/>
    <w:rsid w:val="00EC0B9B"/>
    <w:rsid w:val="00ED5E9F"/>
    <w:rsid w:val="00F232A2"/>
    <w:rsid w:val="00F66D4F"/>
    <w:rsid w:val="00FB6D01"/>
    <w:rsid w:val="00FC5140"/>
    <w:rsid w:val="00FF7F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33397"/>
  <w15:chartTrackingRefBased/>
  <w15:docId w15:val="{FA4C2B5D-DA4F-452A-8523-24D6CD13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66044C"/>
    <w:pPr>
      <w:widowControl w:val="0"/>
      <w:autoSpaceDE w:val="0"/>
      <w:autoSpaceDN w:val="0"/>
    </w:pPr>
    <w:rPr>
      <w:sz w:val="22"/>
      <w:szCs w:val="22"/>
    </w:rPr>
  </w:style>
  <w:style w:type="character" w:customStyle="1" w:styleId="BrdtekstTegn">
    <w:name w:val="Brødtekst Tegn"/>
    <w:basedOn w:val="Standardskrifttypeiafsnit"/>
    <w:link w:val="Brdtekst"/>
    <w:uiPriority w:val="1"/>
    <w:semiHidden/>
    <w:rsid w:val="0066044C"/>
    <w:rPr>
      <w:sz w:val="22"/>
      <w:szCs w:val="22"/>
      <w:lang w:eastAsia="en-US"/>
    </w:rPr>
  </w:style>
  <w:style w:type="paragraph" w:styleId="Listeafsnit">
    <w:name w:val="List Paragraph"/>
    <w:basedOn w:val="Normal"/>
    <w:uiPriority w:val="34"/>
    <w:qFormat/>
    <w:rsid w:val="0066044C"/>
    <w:pPr>
      <w:widowControl w:val="0"/>
      <w:autoSpaceDE w:val="0"/>
      <w:autoSpaceDN w:val="0"/>
      <w:ind w:left="439" w:hanging="604"/>
    </w:pPr>
    <w:rPr>
      <w:sz w:val="22"/>
      <w:szCs w:val="22"/>
    </w:rPr>
  </w:style>
  <w:style w:type="character" w:styleId="Fremhv">
    <w:name w:val="Emphasis"/>
    <w:basedOn w:val="Standardskrifttypeiafsnit"/>
    <w:uiPriority w:val="20"/>
    <w:qFormat/>
    <w:rsid w:val="0066044C"/>
    <w:rPr>
      <w:i/>
      <w:iCs/>
    </w:rPr>
  </w:style>
  <w:style w:type="paragraph" w:customStyle="1" w:styleId="TableParagraph">
    <w:name w:val="Table Paragraph"/>
    <w:basedOn w:val="Normal"/>
    <w:uiPriority w:val="1"/>
    <w:qFormat/>
    <w:rsid w:val="0066044C"/>
    <w:pPr>
      <w:widowControl w:val="0"/>
      <w:autoSpaceDE w:val="0"/>
      <w:autoSpaceDN w:val="0"/>
    </w:pPr>
    <w:rPr>
      <w:sz w:val="22"/>
      <w:szCs w:val="22"/>
    </w:rPr>
  </w:style>
  <w:style w:type="character" w:styleId="Hyperlink">
    <w:name w:val="Hyperlink"/>
    <w:basedOn w:val="Standardskrifttypeiafsnit"/>
    <w:uiPriority w:val="99"/>
    <w:semiHidden/>
    <w:unhideWhenUsed/>
    <w:rsid w:val="006604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3998</Words>
  <Characters>27044</Characters>
  <Application>Microsoft Office Word</Application>
  <DocSecurity>0</DocSecurity>
  <Lines>225</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2024040514 var 8 psusa opdatering</dc:description>
  <cp:lastModifiedBy>Hanne Thy Iversen</cp:lastModifiedBy>
  <cp:revision>6</cp:revision>
  <cp:lastPrinted>2012-08-22T08:53:00Z</cp:lastPrinted>
  <dcterms:created xsi:type="dcterms:W3CDTF">2021-10-05T14:42:00Z</dcterms:created>
  <dcterms:modified xsi:type="dcterms:W3CDTF">2024-05-13T11:00:00Z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