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C4F65" w14:textId="37D6091B" w:rsidR="000C25F4" w:rsidRPr="00D57DDA" w:rsidRDefault="000C25F4" w:rsidP="00D57DDA">
      <w:bookmarkStart w:id="0" w:name="_GoBack"/>
      <w:bookmarkEnd w:id="0"/>
      <w:r w:rsidRPr="009260DE">
        <w:rPr>
          <w:noProof/>
        </w:rPr>
        <w:drawing>
          <wp:anchor distT="0" distB="0" distL="114300" distR="114300" simplePos="0" relativeHeight="251659264" behindDoc="0" locked="0" layoutInCell="1" allowOverlap="1" wp14:anchorId="4469643C" wp14:editId="1A371FF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br w:type="textWrapping" w:clear="all"/>
      </w:r>
    </w:p>
    <w:p w14:paraId="7E4E7F46" w14:textId="5F5F77CD" w:rsidR="000C25F4" w:rsidRPr="00BD4363" w:rsidRDefault="000C25F4" w:rsidP="000C25F4">
      <w:pPr>
        <w:pStyle w:val="Titel"/>
        <w:tabs>
          <w:tab w:val="right" w:pos="9356"/>
        </w:tabs>
        <w:jc w:val="left"/>
        <w:rPr>
          <w:szCs w:val="24"/>
          <w:lang w:eastAsia="en-US"/>
        </w:rPr>
      </w:pPr>
      <w:r w:rsidRPr="00BD4363">
        <w:rPr>
          <w:szCs w:val="24"/>
          <w:lang w:eastAsia="en-US"/>
        </w:rPr>
        <w:tab/>
      </w:r>
      <w:r w:rsidR="00CA138F">
        <w:rPr>
          <w:szCs w:val="24"/>
          <w:lang w:eastAsia="en-US"/>
        </w:rPr>
        <w:t>3</w:t>
      </w:r>
      <w:r w:rsidR="004F469B" w:rsidRPr="00BD4363">
        <w:rPr>
          <w:szCs w:val="24"/>
          <w:lang w:eastAsia="en-US"/>
        </w:rPr>
        <w:t>. maj 202</w:t>
      </w:r>
      <w:r w:rsidR="00CA138F">
        <w:rPr>
          <w:szCs w:val="24"/>
          <w:lang w:eastAsia="en-US"/>
        </w:rPr>
        <w:t>3</w:t>
      </w:r>
    </w:p>
    <w:p w14:paraId="2475995E" w14:textId="1A88A77A" w:rsidR="000C25F4" w:rsidRDefault="000C25F4" w:rsidP="000C25F4">
      <w:pPr>
        <w:pStyle w:val="Titel"/>
        <w:tabs>
          <w:tab w:val="right" w:pos="9356"/>
        </w:tabs>
        <w:jc w:val="left"/>
        <w:rPr>
          <w:szCs w:val="24"/>
        </w:rPr>
      </w:pPr>
    </w:p>
    <w:p w14:paraId="79946F08" w14:textId="77777777" w:rsidR="0014694F" w:rsidRPr="00BD4363" w:rsidRDefault="0014694F" w:rsidP="000C25F4">
      <w:pPr>
        <w:pStyle w:val="Titel"/>
        <w:tabs>
          <w:tab w:val="right" w:pos="9356"/>
        </w:tabs>
        <w:jc w:val="left"/>
        <w:rPr>
          <w:szCs w:val="24"/>
        </w:rPr>
      </w:pPr>
    </w:p>
    <w:p w14:paraId="4E896538" w14:textId="77777777" w:rsidR="000C25F4" w:rsidRPr="00BD4363" w:rsidRDefault="000C25F4" w:rsidP="000C25F4">
      <w:pPr>
        <w:spacing w:before="80" w:line="254" w:lineRule="exact"/>
        <w:textAlignment w:val="baseline"/>
        <w:rPr>
          <w:color w:val="000000"/>
          <w:sz w:val="24"/>
          <w:szCs w:val="24"/>
        </w:rPr>
      </w:pPr>
      <w:r w:rsidRPr="00BD4363">
        <w:rPr>
          <w:noProof/>
          <w:sz w:val="24"/>
          <w:szCs w:val="24"/>
        </w:rPr>
        <w:drawing>
          <wp:inline distT="0" distB="0" distL="0" distR="0" wp14:anchorId="4FD17210" wp14:editId="31119FE9">
            <wp:extent cx="198120" cy="17526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BD4363">
        <w:rPr>
          <w:sz w:val="24"/>
          <w:szCs w:val="24"/>
        </w:rPr>
        <w:t>Dette lægemiddel er underlagt supplerende overvågning. Dermed kan nye sikkerhedsoplysninger hurtigt tilvejebringes. Læger og sundhedspersonale anmodes om at indberette alle formodede bivirkninger. Se i pkt. 4.8, hvordan bivirkninger indberettes.</w:t>
      </w:r>
    </w:p>
    <w:p w14:paraId="07FCE66B" w14:textId="77777777" w:rsidR="000C25F4" w:rsidRPr="00BD4363" w:rsidRDefault="000C25F4" w:rsidP="000C25F4">
      <w:pPr>
        <w:pStyle w:val="Titel"/>
        <w:jc w:val="left"/>
        <w:rPr>
          <w:b w:val="0"/>
          <w:szCs w:val="24"/>
        </w:rPr>
      </w:pPr>
    </w:p>
    <w:p w14:paraId="0C205EE1" w14:textId="77777777" w:rsidR="000C25F4" w:rsidRPr="00BD4363" w:rsidRDefault="000C25F4" w:rsidP="000C25F4">
      <w:pPr>
        <w:pStyle w:val="Titel"/>
        <w:jc w:val="left"/>
        <w:rPr>
          <w:b w:val="0"/>
          <w:szCs w:val="24"/>
        </w:rPr>
      </w:pPr>
    </w:p>
    <w:p w14:paraId="50E4A691" w14:textId="77777777" w:rsidR="000C25F4" w:rsidRPr="00BD4363" w:rsidRDefault="000C25F4" w:rsidP="000C25F4">
      <w:pPr>
        <w:jc w:val="center"/>
        <w:rPr>
          <w:b/>
          <w:sz w:val="24"/>
          <w:szCs w:val="24"/>
        </w:rPr>
      </w:pPr>
      <w:r w:rsidRPr="00BD4363">
        <w:rPr>
          <w:b/>
          <w:sz w:val="24"/>
          <w:szCs w:val="24"/>
        </w:rPr>
        <w:t>PRODUKTRESUMÉ</w:t>
      </w:r>
    </w:p>
    <w:p w14:paraId="6ED6F7CB" w14:textId="77777777" w:rsidR="000C25F4" w:rsidRPr="00BD4363" w:rsidRDefault="000C25F4" w:rsidP="000C25F4">
      <w:pPr>
        <w:jc w:val="center"/>
        <w:rPr>
          <w:b/>
          <w:sz w:val="24"/>
          <w:szCs w:val="24"/>
        </w:rPr>
      </w:pPr>
    </w:p>
    <w:p w14:paraId="47ED0EE5" w14:textId="77777777" w:rsidR="000C25F4" w:rsidRPr="00BD4363" w:rsidRDefault="000C25F4" w:rsidP="000C25F4">
      <w:pPr>
        <w:jc w:val="center"/>
        <w:rPr>
          <w:b/>
          <w:sz w:val="24"/>
          <w:szCs w:val="24"/>
        </w:rPr>
      </w:pPr>
      <w:r w:rsidRPr="00BD4363">
        <w:rPr>
          <w:b/>
          <w:sz w:val="24"/>
          <w:szCs w:val="24"/>
        </w:rPr>
        <w:t>for</w:t>
      </w:r>
    </w:p>
    <w:p w14:paraId="6C61539C" w14:textId="77777777" w:rsidR="000C25F4" w:rsidRPr="00BD4363" w:rsidRDefault="000C25F4" w:rsidP="000C25F4">
      <w:pPr>
        <w:jc w:val="center"/>
        <w:rPr>
          <w:b/>
          <w:sz w:val="24"/>
          <w:szCs w:val="24"/>
        </w:rPr>
      </w:pPr>
    </w:p>
    <w:p w14:paraId="6CD18181" w14:textId="77777777" w:rsidR="000C25F4" w:rsidRPr="00BD4363" w:rsidRDefault="000C25F4" w:rsidP="000C25F4">
      <w:pPr>
        <w:jc w:val="center"/>
        <w:rPr>
          <w:b/>
          <w:sz w:val="24"/>
          <w:szCs w:val="24"/>
        </w:rPr>
      </w:pPr>
      <w:r w:rsidRPr="00BD4363">
        <w:rPr>
          <w:b/>
          <w:sz w:val="24"/>
          <w:szCs w:val="24"/>
        </w:rPr>
        <w:t>Ghemaxan, injektionsvæske, opløsning i fyldt injektionssprøjte</w:t>
      </w:r>
    </w:p>
    <w:p w14:paraId="3C621931" w14:textId="77777777" w:rsidR="000C25F4" w:rsidRPr="00BD4363" w:rsidRDefault="000C25F4" w:rsidP="000C25F4">
      <w:pPr>
        <w:jc w:val="both"/>
        <w:rPr>
          <w:sz w:val="24"/>
          <w:szCs w:val="24"/>
        </w:rPr>
      </w:pPr>
    </w:p>
    <w:p w14:paraId="1A6D32DD" w14:textId="77777777" w:rsidR="000C25F4" w:rsidRPr="00BD4363" w:rsidRDefault="000C25F4" w:rsidP="000C25F4">
      <w:pPr>
        <w:jc w:val="both"/>
        <w:rPr>
          <w:sz w:val="24"/>
          <w:szCs w:val="24"/>
        </w:rPr>
      </w:pPr>
    </w:p>
    <w:p w14:paraId="6A44F564" w14:textId="77777777" w:rsidR="000C25F4" w:rsidRPr="00BD4363" w:rsidRDefault="000C25F4" w:rsidP="000C25F4">
      <w:pPr>
        <w:tabs>
          <w:tab w:val="left" w:pos="851"/>
        </w:tabs>
        <w:ind w:left="851" w:hanging="851"/>
        <w:rPr>
          <w:b/>
          <w:sz w:val="24"/>
          <w:szCs w:val="24"/>
        </w:rPr>
      </w:pPr>
      <w:r w:rsidRPr="00BD4363">
        <w:rPr>
          <w:b/>
          <w:sz w:val="24"/>
          <w:szCs w:val="24"/>
        </w:rPr>
        <w:t>0.</w:t>
      </w:r>
      <w:r w:rsidRPr="00BD4363">
        <w:rPr>
          <w:b/>
          <w:sz w:val="24"/>
          <w:szCs w:val="24"/>
        </w:rPr>
        <w:tab/>
        <w:t>D.SP.NR.</w:t>
      </w:r>
    </w:p>
    <w:p w14:paraId="7286E480" w14:textId="77777777" w:rsidR="000C25F4" w:rsidRPr="00BD4363" w:rsidRDefault="000C25F4" w:rsidP="000C25F4">
      <w:pPr>
        <w:tabs>
          <w:tab w:val="left" w:pos="851"/>
        </w:tabs>
        <w:ind w:left="851"/>
        <w:rPr>
          <w:sz w:val="24"/>
          <w:szCs w:val="24"/>
        </w:rPr>
      </w:pPr>
      <w:r w:rsidRPr="00BD4363">
        <w:rPr>
          <w:sz w:val="24"/>
          <w:szCs w:val="24"/>
        </w:rPr>
        <w:t>29716</w:t>
      </w:r>
    </w:p>
    <w:p w14:paraId="3BF90746" w14:textId="77777777" w:rsidR="000C25F4" w:rsidRPr="00BD4363" w:rsidRDefault="000C25F4" w:rsidP="000C25F4">
      <w:pPr>
        <w:tabs>
          <w:tab w:val="left" w:pos="851"/>
        </w:tabs>
        <w:ind w:left="851"/>
        <w:rPr>
          <w:sz w:val="24"/>
          <w:szCs w:val="24"/>
        </w:rPr>
      </w:pPr>
    </w:p>
    <w:p w14:paraId="5B98DD2C" w14:textId="77777777" w:rsidR="000C25F4" w:rsidRPr="00BD4363" w:rsidRDefault="000C25F4" w:rsidP="000C25F4">
      <w:pPr>
        <w:tabs>
          <w:tab w:val="left" w:pos="851"/>
        </w:tabs>
        <w:ind w:left="851" w:hanging="851"/>
        <w:rPr>
          <w:b/>
          <w:sz w:val="24"/>
          <w:szCs w:val="24"/>
        </w:rPr>
      </w:pPr>
      <w:r w:rsidRPr="00BD4363">
        <w:rPr>
          <w:b/>
          <w:sz w:val="24"/>
          <w:szCs w:val="24"/>
        </w:rPr>
        <w:t>1.</w:t>
      </w:r>
      <w:r w:rsidRPr="00BD4363">
        <w:rPr>
          <w:b/>
          <w:sz w:val="24"/>
          <w:szCs w:val="24"/>
        </w:rPr>
        <w:tab/>
        <w:t>LÆGEMIDLETS NAVN</w:t>
      </w:r>
    </w:p>
    <w:p w14:paraId="7F5DAE57" w14:textId="47F63E75" w:rsidR="00CB4709" w:rsidRDefault="00CB4709" w:rsidP="0048103E">
      <w:pPr>
        <w:tabs>
          <w:tab w:val="left" w:pos="851"/>
        </w:tabs>
        <w:ind w:left="851"/>
        <w:rPr>
          <w:sz w:val="24"/>
          <w:szCs w:val="24"/>
        </w:rPr>
      </w:pPr>
      <w:r w:rsidRPr="00BD4363">
        <w:rPr>
          <w:sz w:val="24"/>
          <w:szCs w:val="24"/>
        </w:rPr>
        <w:t>Ghemaxan</w:t>
      </w:r>
    </w:p>
    <w:p w14:paraId="7FB2057B" w14:textId="77777777" w:rsidR="000C25F4" w:rsidRPr="00BD4363" w:rsidRDefault="000C25F4" w:rsidP="000C25F4">
      <w:pPr>
        <w:tabs>
          <w:tab w:val="left" w:pos="851"/>
        </w:tabs>
        <w:ind w:left="851"/>
        <w:rPr>
          <w:sz w:val="24"/>
          <w:szCs w:val="24"/>
        </w:rPr>
      </w:pPr>
    </w:p>
    <w:p w14:paraId="6B894128" w14:textId="77777777" w:rsidR="000C25F4" w:rsidRPr="00BD4363" w:rsidRDefault="000C25F4" w:rsidP="000C25F4">
      <w:pPr>
        <w:tabs>
          <w:tab w:val="left" w:pos="851"/>
        </w:tabs>
        <w:ind w:left="851" w:hanging="851"/>
        <w:rPr>
          <w:b/>
          <w:sz w:val="24"/>
          <w:szCs w:val="24"/>
        </w:rPr>
      </w:pPr>
      <w:r w:rsidRPr="00BD4363">
        <w:rPr>
          <w:b/>
          <w:sz w:val="24"/>
          <w:szCs w:val="24"/>
        </w:rPr>
        <w:t>2.</w:t>
      </w:r>
      <w:r w:rsidRPr="00BD4363">
        <w:rPr>
          <w:b/>
          <w:sz w:val="24"/>
          <w:szCs w:val="24"/>
        </w:rPr>
        <w:tab/>
        <w:t>KVALITATIV OG KVANTITATIV SAMMENSÆTNING</w:t>
      </w:r>
    </w:p>
    <w:p w14:paraId="7BC3AAAA" w14:textId="77777777" w:rsidR="0048103E" w:rsidRPr="00BD4363" w:rsidRDefault="0048103E" w:rsidP="0048103E">
      <w:pPr>
        <w:autoSpaceDE w:val="0"/>
        <w:autoSpaceDN w:val="0"/>
        <w:adjustRightInd w:val="0"/>
        <w:rPr>
          <w:color w:val="000000"/>
          <w:sz w:val="24"/>
          <w:szCs w:val="24"/>
        </w:rPr>
      </w:pPr>
    </w:p>
    <w:p w14:paraId="1C773751" w14:textId="77777777" w:rsidR="0048103E" w:rsidRPr="00BD4363" w:rsidRDefault="0048103E" w:rsidP="0048103E">
      <w:pPr>
        <w:autoSpaceDE w:val="0"/>
        <w:autoSpaceDN w:val="0"/>
        <w:adjustRightInd w:val="0"/>
        <w:ind w:left="851"/>
        <w:rPr>
          <w:i/>
          <w:color w:val="000000"/>
          <w:sz w:val="24"/>
          <w:szCs w:val="24"/>
          <w:u w:val="single"/>
        </w:rPr>
      </w:pPr>
      <w:r w:rsidRPr="00BD4363">
        <w:rPr>
          <w:color w:val="000000"/>
          <w:sz w:val="24"/>
          <w:szCs w:val="24"/>
          <w:u w:val="single"/>
        </w:rPr>
        <w:t>10.000 IE/ml (100 mg/ml) injektionsvæske, opløsning</w:t>
      </w:r>
    </w:p>
    <w:p w14:paraId="2491E622" w14:textId="77777777" w:rsidR="0048103E" w:rsidRPr="00BD4363" w:rsidRDefault="0048103E" w:rsidP="0048103E">
      <w:pPr>
        <w:autoSpaceDE w:val="0"/>
        <w:autoSpaceDN w:val="0"/>
        <w:adjustRightInd w:val="0"/>
        <w:ind w:left="851"/>
        <w:rPr>
          <w:i/>
          <w:color w:val="000000"/>
          <w:sz w:val="24"/>
          <w:szCs w:val="24"/>
          <w:u w:val="single"/>
        </w:rPr>
      </w:pPr>
      <w:r w:rsidRPr="00BD4363">
        <w:rPr>
          <w:i/>
          <w:color w:val="000000"/>
          <w:sz w:val="24"/>
          <w:szCs w:val="24"/>
          <w:u w:val="single"/>
        </w:rPr>
        <w:t>Fyldt injektionssprøjte:</w:t>
      </w:r>
    </w:p>
    <w:p w14:paraId="0C3679AD" w14:textId="77777777" w:rsidR="0048103E" w:rsidRPr="00BD4363" w:rsidRDefault="0048103E" w:rsidP="0048103E">
      <w:pPr>
        <w:autoSpaceDE w:val="0"/>
        <w:autoSpaceDN w:val="0"/>
        <w:adjustRightInd w:val="0"/>
        <w:ind w:left="851"/>
        <w:rPr>
          <w:i/>
          <w:color w:val="000000"/>
          <w:sz w:val="24"/>
          <w:szCs w:val="24"/>
        </w:rPr>
      </w:pPr>
      <w:r w:rsidRPr="00BD4363">
        <w:rPr>
          <w:i/>
          <w:color w:val="000000"/>
          <w:sz w:val="24"/>
          <w:szCs w:val="24"/>
        </w:rPr>
        <w:t>2.000 IE (20 </w:t>
      </w:r>
      <w:proofErr w:type="gramStart"/>
      <w:r w:rsidRPr="00BD4363">
        <w:rPr>
          <w:i/>
          <w:color w:val="000000"/>
          <w:sz w:val="24"/>
          <w:szCs w:val="24"/>
        </w:rPr>
        <w:t>mg)/</w:t>
      </w:r>
      <w:proofErr w:type="gramEnd"/>
      <w:r w:rsidRPr="00BD4363">
        <w:rPr>
          <w:i/>
          <w:color w:val="000000"/>
          <w:sz w:val="24"/>
          <w:szCs w:val="24"/>
        </w:rPr>
        <w:t>0,2 ml</w:t>
      </w:r>
    </w:p>
    <w:p w14:paraId="20E694BA"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 fyldt injektionssprøjte indeholder 2.000 IE enoxaparinnatrium anti-Xa-aktivitet (svarende til 20 mg) i 0,2 ml vand til injektionsvæsker.</w:t>
      </w:r>
    </w:p>
    <w:p w14:paraId="48E463DC" w14:textId="77777777" w:rsidR="0048103E" w:rsidRPr="00BD4363" w:rsidRDefault="0048103E" w:rsidP="0048103E">
      <w:pPr>
        <w:autoSpaceDE w:val="0"/>
        <w:autoSpaceDN w:val="0"/>
        <w:adjustRightInd w:val="0"/>
        <w:ind w:left="851"/>
        <w:outlineLvl w:val="0"/>
        <w:rPr>
          <w:i/>
          <w:color w:val="000000"/>
          <w:sz w:val="24"/>
          <w:szCs w:val="24"/>
        </w:rPr>
      </w:pPr>
      <w:r w:rsidRPr="00BD4363">
        <w:rPr>
          <w:i/>
          <w:color w:val="000000"/>
          <w:sz w:val="24"/>
          <w:szCs w:val="24"/>
        </w:rPr>
        <w:t>4.000 IE (40 </w:t>
      </w:r>
      <w:proofErr w:type="gramStart"/>
      <w:r w:rsidRPr="00BD4363">
        <w:rPr>
          <w:i/>
          <w:color w:val="000000"/>
          <w:sz w:val="24"/>
          <w:szCs w:val="24"/>
        </w:rPr>
        <w:t>mg)/</w:t>
      </w:r>
      <w:proofErr w:type="gramEnd"/>
      <w:r w:rsidRPr="00BD4363">
        <w:rPr>
          <w:i/>
          <w:color w:val="000000"/>
          <w:sz w:val="24"/>
          <w:szCs w:val="24"/>
        </w:rPr>
        <w:t>0,4 ml</w:t>
      </w:r>
    </w:p>
    <w:p w14:paraId="7CD7C2EA"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 fyldt injektionssprøjte indeholder 4.000 IE enoxaparinnatrium anti-Xa-aktivitet (svarende til 40 mg) i 0,4 ml vand til injektionsvæsker.</w:t>
      </w:r>
    </w:p>
    <w:p w14:paraId="7C5D7C99" w14:textId="77777777" w:rsidR="0048103E" w:rsidRPr="00BD4363" w:rsidRDefault="0048103E" w:rsidP="0048103E">
      <w:pPr>
        <w:autoSpaceDE w:val="0"/>
        <w:autoSpaceDN w:val="0"/>
        <w:adjustRightInd w:val="0"/>
        <w:ind w:left="851"/>
        <w:outlineLvl w:val="0"/>
        <w:rPr>
          <w:i/>
          <w:color w:val="000000"/>
          <w:sz w:val="24"/>
          <w:szCs w:val="24"/>
        </w:rPr>
      </w:pPr>
      <w:r w:rsidRPr="00BD4363">
        <w:rPr>
          <w:i/>
          <w:color w:val="000000"/>
          <w:sz w:val="24"/>
          <w:szCs w:val="24"/>
        </w:rPr>
        <w:t>6.000 IE (60 </w:t>
      </w:r>
      <w:proofErr w:type="gramStart"/>
      <w:r w:rsidRPr="00BD4363">
        <w:rPr>
          <w:i/>
          <w:color w:val="000000"/>
          <w:sz w:val="24"/>
          <w:szCs w:val="24"/>
        </w:rPr>
        <w:t>mg)/</w:t>
      </w:r>
      <w:proofErr w:type="gramEnd"/>
      <w:r w:rsidRPr="00BD4363">
        <w:rPr>
          <w:i/>
          <w:color w:val="000000"/>
          <w:sz w:val="24"/>
          <w:szCs w:val="24"/>
        </w:rPr>
        <w:t>0,6 ml</w:t>
      </w:r>
    </w:p>
    <w:p w14:paraId="2981E182"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 fyldt injektionssprøjte indeholder 6.000 IE enoxaparinnatrium anti-Xa-aktivitet (svarende til 60 mg) i 0,6 ml vand til injektionsvæsker.</w:t>
      </w:r>
    </w:p>
    <w:p w14:paraId="76B50FAA" w14:textId="77777777" w:rsidR="0048103E" w:rsidRPr="00BD4363" w:rsidRDefault="0048103E" w:rsidP="0048103E">
      <w:pPr>
        <w:autoSpaceDE w:val="0"/>
        <w:autoSpaceDN w:val="0"/>
        <w:adjustRightInd w:val="0"/>
        <w:ind w:left="851"/>
        <w:outlineLvl w:val="0"/>
        <w:rPr>
          <w:i/>
          <w:color w:val="000000"/>
          <w:sz w:val="24"/>
          <w:szCs w:val="24"/>
        </w:rPr>
      </w:pPr>
      <w:r w:rsidRPr="00BD4363">
        <w:rPr>
          <w:i/>
          <w:color w:val="000000"/>
          <w:sz w:val="24"/>
          <w:szCs w:val="24"/>
        </w:rPr>
        <w:t>8.000 IE (80 </w:t>
      </w:r>
      <w:proofErr w:type="gramStart"/>
      <w:r w:rsidRPr="00BD4363">
        <w:rPr>
          <w:i/>
          <w:color w:val="000000"/>
          <w:sz w:val="24"/>
          <w:szCs w:val="24"/>
        </w:rPr>
        <w:t>mg)/</w:t>
      </w:r>
      <w:proofErr w:type="gramEnd"/>
      <w:r w:rsidRPr="00BD4363">
        <w:rPr>
          <w:i/>
          <w:color w:val="000000"/>
          <w:sz w:val="24"/>
          <w:szCs w:val="24"/>
        </w:rPr>
        <w:t>0,8 ml</w:t>
      </w:r>
    </w:p>
    <w:p w14:paraId="1B26EBFD"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 fyldt injektionssprøjte indeholder 8.000 IE enoxaparinnatrium anti-Xa-aktivitet (svarende til 80 mg) i 0,8 ml vand til injektionsvæsker.</w:t>
      </w:r>
    </w:p>
    <w:p w14:paraId="3F380CDF" w14:textId="77777777" w:rsidR="0048103E" w:rsidRPr="00BD4363" w:rsidRDefault="0048103E" w:rsidP="0048103E">
      <w:pPr>
        <w:autoSpaceDE w:val="0"/>
        <w:autoSpaceDN w:val="0"/>
        <w:adjustRightInd w:val="0"/>
        <w:ind w:left="851"/>
        <w:outlineLvl w:val="0"/>
        <w:rPr>
          <w:i/>
          <w:color w:val="000000"/>
          <w:sz w:val="24"/>
          <w:szCs w:val="24"/>
        </w:rPr>
      </w:pPr>
      <w:r w:rsidRPr="00BD4363">
        <w:rPr>
          <w:i/>
          <w:color w:val="000000"/>
          <w:sz w:val="24"/>
          <w:szCs w:val="24"/>
        </w:rPr>
        <w:t>10.000 IE (100 </w:t>
      </w:r>
      <w:proofErr w:type="gramStart"/>
      <w:r w:rsidRPr="00BD4363">
        <w:rPr>
          <w:i/>
          <w:color w:val="000000"/>
          <w:sz w:val="24"/>
          <w:szCs w:val="24"/>
        </w:rPr>
        <w:t>mg)/</w:t>
      </w:r>
      <w:proofErr w:type="gramEnd"/>
      <w:r w:rsidRPr="00BD4363">
        <w:rPr>
          <w:i/>
          <w:color w:val="000000"/>
          <w:sz w:val="24"/>
          <w:szCs w:val="24"/>
        </w:rPr>
        <w:t>1 ml</w:t>
      </w:r>
    </w:p>
    <w:p w14:paraId="6452972F"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 fyldt injektionssprøjte indeholder 10.000 IE enoxaparinnatrium anti-Xa-aktivitet (svarende til 100 mg) i 1 ml vand til injektionsvæsker.</w:t>
      </w:r>
    </w:p>
    <w:p w14:paraId="4F7ECD8D" w14:textId="77777777" w:rsidR="0048103E" w:rsidRPr="00BD4363" w:rsidRDefault="0048103E" w:rsidP="0048103E">
      <w:pPr>
        <w:autoSpaceDE w:val="0"/>
        <w:autoSpaceDN w:val="0"/>
        <w:adjustRightInd w:val="0"/>
        <w:ind w:left="851"/>
        <w:rPr>
          <w:color w:val="000000"/>
          <w:sz w:val="24"/>
          <w:szCs w:val="24"/>
        </w:rPr>
      </w:pPr>
    </w:p>
    <w:p w14:paraId="4EA06E24" w14:textId="77777777" w:rsidR="0048103E" w:rsidRPr="00BD4363" w:rsidRDefault="0048103E" w:rsidP="0048103E">
      <w:pPr>
        <w:ind w:left="851"/>
        <w:textAlignment w:val="baseline"/>
        <w:rPr>
          <w:color w:val="000000"/>
          <w:sz w:val="24"/>
          <w:szCs w:val="24"/>
          <w:u w:val="single"/>
        </w:rPr>
      </w:pPr>
      <w:r w:rsidRPr="00BD4363">
        <w:rPr>
          <w:color w:val="000000"/>
          <w:sz w:val="24"/>
          <w:szCs w:val="24"/>
          <w:u w:val="single"/>
        </w:rPr>
        <w:t>15.000 IE/ml (150 mg/ml) injektionsvæske, opløsning</w:t>
      </w:r>
    </w:p>
    <w:p w14:paraId="7BAE45B3" w14:textId="77777777" w:rsidR="0048103E" w:rsidRPr="00BD4363" w:rsidRDefault="0048103E" w:rsidP="0048103E">
      <w:pPr>
        <w:ind w:left="851"/>
        <w:textAlignment w:val="baseline"/>
        <w:rPr>
          <w:i/>
          <w:color w:val="000000"/>
          <w:sz w:val="24"/>
          <w:szCs w:val="24"/>
          <w:u w:val="single"/>
        </w:rPr>
      </w:pPr>
      <w:r w:rsidRPr="00BD4363">
        <w:rPr>
          <w:i/>
          <w:color w:val="000000"/>
          <w:sz w:val="24"/>
          <w:szCs w:val="24"/>
          <w:u w:val="single"/>
        </w:rPr>
        <w:t>Fyldt injektionssprøjte:</w:t>
      </w:r>
    </w:p>
    <w:p w14:paraId="67B4D012" w14:textId="77777777" w:rsidR="0048103E" w:rsidRPr="00BD4363" w:rsidRDefault="0048103E" w:rsidP="0048103E">
      <w:pPr>
        <w:ind w:left="851"/>
        <w:textAlignment w:val="baseline"/>
        <w:rPr>
          <w:i/>
          <w:color w:val="000000"/>
          <w:spacing w:val="-1"/>
          <w:sz w:val="24"/>
          <w:szCs w:val="24"/>
        </w:rPr>
      </w:pPr>
      <w:r w:rsidRPr="00BD4363">
        <w:rPr>
          <w:i/>
          <w:color w:val="000000"/>
          <w:spacing w:val="-1"/>
          <w:sz w:val="24"/>
          <w:szCs w:val="24"/>
        </w:rPr>
        <w:t>12.000 IE (120 </w:t>
      </w:r>
      <w:proofErr w:type="gramStart"/>
      <w:r w:rsidRPr="00BD4363">
        <w:rPr>
          <w:i/>
          <w:color w:val="000000"/>
          <w:spacing w:val="-1"/>
          <w:sz w:val="24"/>
          <w:szCs w:val="24"/>
        </w:rPr>
        <w:t>mg)/</w:t>
      </w:r>
      <w:proofErr w:type="gramEnd"/>
      <w:r w:rsidRPr="00BD4363">
        <w:rPr>
          <w:i/>
          <w:color w:val="000000"/>
          <w:spacing w:val="-1"/>
          <w:sz w:val="24"/>
          <w:szCs w:val="24"/>
        </w:rPr>
        <w:t>0,8 ml</w:t>
      </w:r>
    </w:p>
    <w:p w14:paraId="1E9F400C" w14:textId="77777777" w:rsidR="0048103E" w:rsidRPr="00BD4363" w:rsidRDefault="0048103E" w:rsidP="0048103E">
      <w:pPr>
        <w:ind w:left="851"/>
        <w:textAlignment w:val="baseline"/>
        <w:rPr>
          <w:color w:val="000000"/>
          <w:sz w:val="24"/>
          <w:szCs w:val="24"/>
        </w:rPr>
      </w:pPr>
      <w:r w:rsidRPr="00BD4363">
        <w:rPr>
          <w:color w:val="000000"/>
          <w:sz w:val="24"/>
          <w:szCs w:val="24"/>
        </w:rPr>
        <w:t>En fyldt injektionssprøjte indeholder 12.000 IE enoxaparinnatrium anti-Xa-aktivitet (svarende til 120 mg) i 0,8 ml vand til injektionsvæsker.</w:t>
      </w:r>
    </w:p>
    <w:p w14:paraId="5E68C959" w14:textId="77777777" w:rsidR="0048103E" w:rsidRPr="00BD4363" w:rsidRDefault="0048103E" w:rsidP="0048103E">
      <w:pPr>
        <w:ind w:left="851"/>
        <w:textAlignment w:val="baseline"/>
        <w:outlineLvl w:val="0"/>
        <w:rPr>
          <w:i/>
          <w:color w:val="000000"/>
          <w:sz w:val="24"/>
          <w:szCs w:val="24"/>
        </w:rPr>
      </w:pPr>
      <w:r w:rsidRPr="00BD4363">
        <w:rPr>
          <w:i/>
          <w:color w:val="000000"/>
          <w:sz w:val="24"/>
          <w:szCs w:val="24"/>
        </w:rPr>
        <w:lastRenderedPageBreak/>
        <w:t>15.000 IE (150 </w:t>
      </w:r>
      <w:proofErr w:type="gramStart"/>
      <w:r w:rsidRPr="00BD4363">
        <w:rPr>
          <w:i/>
          <w:color w:val="000000"/>
          <w:sz w:val="24"/>
          <w:szCs w:val="24"/>
        </w:rPr>
        <w:t>mg)/</w:t>
      </w:r>
      <w:proofErr w:type="gramEnd"/>
      <w:r w:rsidRPr="00BD4363">
        <w:rPr>
          <w:i/>
          <w:color w:val="000000"/>
          <w:sz w:val="24"/>
          <w:szCs w:val="24"/>
        </w:rPr>
        <w:t>1 ml</w:t>
      </w:r>
    </w:p>
    <w:p w14:paraId="750155FD" w14:textId="77777777" w:rsidR="0048103E" w:rsidRPr="00BD4363" w:rsidRDefault="0048103E" w:rsidP="0048103E">
      <w:pPr>
        <w:ind w:left="851"/>
        <w:textAlignment w:val="baseline"/>
        <w:rPr>
          <w:color w:val="000000"/>
          <w:sz w:val="24"/>
          <w:szCs w:val="24"/>
        </w:rPr>
      </w:pPr>
      <w:r w:rsidRPr="00BD4363">
        <w:rPr>
          <w:color w:val="000000"/>
          <w:sz w:val="24"/>
          <w:szCs w:val="24"/>
        </w:rPr>
        <w:t>En fyldt injektionssprøjte indeholder 15.000 IE enoxaparinnatrium anti-Xa-aktivitet (svarende til 150 mg) i 1 ml vand til injektionsvæsker.</w:t>
      </w:r>
    </w:p>
    <w:p w14:paraId="4F4CB203" w14:textId="77777777" w:rsidR="0048103E" w:rsidRPr="00BD4363" w:rsidRDefault="0048103E" w:rsidP="0048103E">
      <w:pPr>
        <w:autoSpaceDE w:val="0"/>
        <w:autoSpaceDN w:val="0"/>
        <w:adjustRightInd w:val="0"/>
        <w:ind w:left="851"/>
        <w:rPr>
          <w:color w:val="000000"/>
          <w:sz w:val="24"/>
          <w:szCs w:val="24"/>
        </w:rPr>
      </w:pPr>
    </w:p>
    <w:p w14:paraId="4C55F488" w14:textId="77777777" w:rsidR="0048103E" w:rsidRPr="00BD4363" w:rsidRDefault="0048103E" w:rsidP="0048103E">
      <w:pPr>
        <w:autoSpaceDE w:val="0"/>
        <w:autoSpaceDN w:val="0"/>
        <w:adjustRightInd w:val="0"/>
        <w:ind w:left="851"/>
        <w:outlineLvl w:val="0"/>
        <w:rPr>
          <w:color w:val="000000"/>
          <w:sz w:val="24"/>
          <w:szCs w:val="24"/>
        </w:rPr>
      </w:pPr>
      <w:r w:rsidRPr="00BD4363">
        <w:rPr>
          <w:color w:val="000000"/>
          <w:sz w:val="24"/>
          <w:szCs w:val="24"/>
        </w:rPr>
        <w:t>Alle hjælpestoffer er anført under pkt. 6.1.</w:t>
      </w:r>
    </w:p>
    <w:p w14:paraId="1892DE46" w14:textId="77777777" w:rsidR="0048103E" w:rsidRPr="00BD4363" w:rsidRDefault="0048103E" w:rsidP="0048103E">
      <w:pPr>
        <w:autoSpaceDE w:val="0"/>
        <w:autoSpaceDN w:val="0"/>
        <w:adjustRightInd w:val="0"/>
        <w:ind w:left="851"/>
        <w:rPr>
          <w:color w:val="000000"/>
          <w:sz w:val="24"/>
          <w:szCs w:val="24"/>
        </w:rPr>
      </w:pPr>
    </w:p>
    <w:p w14:paraId="5565E73D" w14:textId="77777777" w:rsidR="0048103E" w:rsidRPr="00BD4363" w:rsidRDefault="0048103E" w:rsidP="0048103E">
      <w:pPr>
        <w:autoSpaceDE w:val="0"/>
        <w:autoSpaceDN w:val="0"/>
        <w:adjustRightInd w:val="0"/>
        <w:ind w:left="851"/>
        <w:rPr>
          <w:color w:val="000000"/>
          <w:sz w:val="24"/>
          <w:szCs w:val="24"/>
        </w:rPr>
      </w:pPr>
      <w:r w:rsidRPr="00BD4363">
        <w:rPr>
          <w:color w:val="000000"/>
          <w:sz w:val="24"/>
          <w:szCs w:val="24"/>
        </w:rPr>
        <w:t>Enoxaparinnatrium er et biologisk stof, der er fremstillet ved alkalisk depolymerisering af heparinbenzylester udvundet fra tarmmucosa fra svin.</w:t>
      </w:r>
    </w:p>
    <w:p w14:paraId="35ED6B7C" w14:textId="77777777" w:rsidR="000C25F4" w:rsidRPr="00BD4363" w:rsidRDefault="000C25F4" w:rsidP="000C25F4">
      <w:pPr>
        <w:tabs>
          <w:tab w:val="left" w:pos="851"/>
        </w:tabs>
        <w:ind w:left="851"/>
        <w:rPr>
          <w:sz w:val="24"/>
          <w:szCs w:val="24"/>
        </w:rPr>
      </w:pPr>
    </w:p>
    <w:p w14:paraId="704139BA" w14:textId="77777777" w:rsidR="000C25F4" w:rsidRPr="00BD4363" w:rsidRDefault="000C25F4" w:rsidP="000C25F4">
      <w:pPr>
        <w:tabs>
          <w:tab w:val="left" w:pos="851"/>
        </w:tabs>
        <w:ind w:left="851" w:hanging="851"/>
        <w:rPr>
          <w:b/>
          <w:sz w:val="24"/>
          <w:szCs w:val="24"/>
        </w:rPr>
      </w:pPr>
      <w:r w:rsidRPr="00BD4363">
        <w:rPr>
          <w:b/>
          <w:sz w:val="24"/>
          <w:szCs w:val="24"/>
        </w:rPr>
        <w:t>3.</w:t>
      </w:r>
      <w:r w:rsidRPr="00BD4363">
        <w:rPr>
          <w:b/>
          <w:sz w:val="24"/>
          <w:szCs w:val="24"/>
        </w:rPr>
        <w:tab/>
        <w:t>LÆGEMIDDELFORM</w:t>
      </w:r>
    </w:p>
    <w:p w14:paraId="115091EE" w14:textId="77777777" w:rsidR="000C25F4" w:rsidRPr="00BD4363" w:rsidRDefault="000C25F4" w:rsidP="000C25F4">
      <w:pPr>
        <w:pStyle w:val="Default"/>
        <w:ind w:left="851"/>
      </w:pPr>
      <w:r w:rsidRPr="00BD4363">
        <w:t>Injektionsvæske, opløsning i fyldt injektionssprøjte</w:t>
      </w:r>
    </w:p>
    <w:p w14:paraId="5AFB0697" w14:textId="77777777" w:rsidR="000C25F4" w:rsidRPr="00BD4363" w:rsidRDefault="000C25F4" w:rsidP="000C25F4">
      <w:pPr>
        <w:pStyle w:val="Default"/>
        <w:ind w:left="851"/>
      </w:pPr>
    </w:p>
    <w:p w14:paraId="6B38B25C" w14:textId="77777777" w:rsidR="000C25F4" w:rsidRPr="00BD4363" w:rsidRDefault="000C25F4" w:rsidP="000C25F4">
      <w:pPr>
        <w:pStyle w:val="Default"/>
        <w:ind w:left="851"/>
      </w:pPr>
      <w:r w:rsidRPr="00BD4363">
        <w:t>Klar, farveløs til lysegul opløsning.</w:t>
      </w:r>
    </w:p>
    <w:p w14:paraId="791F55A6" w14:textId="77777777" w:rsidR="000C25F4" w:rsidRPr="00BD4363" w:rsidRDefault="000C25F4" w:rsidP="000C25F4">
      <w:pPr>
        <w:tabs>
          <w:tab w:val="left" w:pos="851"/>
        </w:tabs>
        <w:ind w:left="851"/>
        <w:rPr>
          <w:sz w:val="24"/>
          <w:szCs w:val="24"/>
        </w:rPr>
      </w:pPr>
    </w:p>
    <w:p w14:paraId="4225C69A" w14:textId="77777777" w:rsidR="000C25F4" w:rsidRPr="00BD4363" w:rsidRDefault="000C25F4" w:rsidP="000C25F4">
      <w:pPr>
        <w:tabs>
          <w:tab w:val="left" w:pos="851"/>
        </w:tabs>
        <w:ind w:left="851"/>
        <w:rPr>
          <w:sz w:val="24"/>
          <w:szCs w:val="24"/>
        </w:rPr>
      </w:pPr>
    </w:p>
    <w:p w14:paraId="3E40E12E" w14:textId="77777777" w:rsidR="000C25F4" w:rsidRPr="00BD4363" w:rsidRDefault="000C25F4" w:rsidP="000C25F4">
      <w:pPr>
        <w:tabs>
          <w:tab w:val="left" w:pos="851"/>
        </w:tabs>
        <w:ind w:left="851" w:hanging="851"/>
        <w:rPr>
          <w:b/>
          <w:sz w:val="24"/>
          <w:szCs w:val="24"/>
        </w:rPr>
      </w:pPr>
      <w:r w:rsidRPr="00BD4363">
        <w:rPr>
          <w:b/>
          <w:sz w:val="24"/>
          <w:szCs w:val="24"/>
        </w:rPr>
        <w:t>4.</w:t>
      </w:r>
      <w:r w:rsidRPr="00BD4363">
        <w:rPr>
          <w:b/>
          <w:sz w:val="24"/>
          <w:szCs w:val="24"/>
        </w:rPr>
        <w:tab/>
        <w:t>KLINISKE OPLYSNINGER</w:t>
      </w:r>
    </w:p>
    <w:p w14:paraId="5A0B7661" w14:textId="77777777" w:rsidR="000C25F4" w:rsidRPr="00BD4363" w:rsidRDefault="000C25F4" w:rsidP="000C25F4">
      <w:pPr>
        <w:tabs>
          <w:tab w:val="left" w:pos="851"/>
        </w:tabs>
        <w:ind w:left="851"/>
        <w:rPr>
          <w:b/>
          <w:sz w:val="24"/>
          <w:szCs w:val="24"/>
        </w:rPr>
      </w:pPr>
    </w:p>
    <w:p w14:paraId="04C94AD2" w14:textId="77777777" w:rsidR="000C25F4" w:rsidRPr="00BD4363" w:rsidRDefault="000C25F4" w:rsidP="000C25F4">
      <w:pPr>
        <w:tabs>
          <w:tab w:val="left" w:pos="851"/>
        </w:tabs>
        <w:ind w:left="851" w:hanging="851"/>
        <w:rPr>
          <w:b/>
          <w:sz w:val="24"/>
          <w:szCs w:val="24"/>
          <w:u w:val="single"/>
        </w:rPr>
      </w:pPr>
      <w:r w:rsidRPr="00BD4363">
        <w:rPr>
          <w:b/>
          <w:sz w:val="24"/>
          <w:szCs w:val="24"/>
        </w:rPr>
        <w:t>4.1</w:t>
      </w:r>
      <w:r w:rsidRPr="00BD4363">
        <w:rPr>
          <w:b/>
          <w:sz w:val="24"/>
          <w:szCs w:val="24"/>
        </w:rPr>
        <w:tab/>
        <w:t>Terapeutiske indikationer</w:t>
      </w:r>
    </w:p>
    <w:p w14:paraId="2118C244" w14:textId="77777777" w:rsidR="0048103E" w:rsidRPr="00BD4363" w:rsidRDefault="0048103E" w:rsidP="0048103E">
      <w:pPr>
        <w:pStyle w:val="Default"/>
        <w:ind w:left="851"/>
      </w:pPr>
      <w:r w:rsidRPr="00BD4363">
        <w:t>Ghemaxan er indiceret til voksne til:</w:t>
      </w:r>
    </w:p>
    <w:p w14:paraId="4DE16B4A" w14:textId="77777777" w:rsidR="0048103E" w:rsidRPr="00BD4363" w:rsidRDefault="0048103E" w:rsidP="0048103E">
      <w:pPr>
        <w:numPr>
          <w:ilvl w:val="0"/>
          <w:numId w:val="10"/>
        </w:numPr>
        <w:tabs>
          <w:tab w:val="clear" w:pos="644"/>
          <w:tab w:val="left" w:pos="567"/>
        </w:tabs>
        <w:ind w:left="1134" w:right="432" w:hanging="283"/>
        <w:textAlignment w:val="baseline"/>
        <w:rPr>
          <w:color w:val="000000"/>
          <w:sz w:val="24"/>
          <w:szCs w:val="24"/>
        </w:rPr>
      </w:pPr>
      <w:r w:rsidRPr="00BD4363">
        <w:rPr>
          <w:sz w:val="24"/>
          <w:szCs w:val="24"/>
        </w:rPr>
        <w:t>Profylakse mod venøs tromboembolisk sygdom hos kirurgiske patienter med moderat og høj risiko, især hos patienter, der får foretaget ortopædisk eller generel kirurgi, herunder onkologisk kirurgi.</w:t>
      </w:r>
    </w:p>
    <w:p w14:paraId="5BDDE5C0" w14:textId="77777777" w:rsidR="0048103E" w:rsidRPr="00BD4363" w:rsidRDefault="0048103E" w:rsidP="0048103E">
      <w:pPr>
        <w:pStyle w:val="Default"/>
        <w:numPr>
          <w:ilvl w:val="0"/>
          <w:numId w:val="9"/>
        </w:numPr>
        <w:tabs>
          <w:tab w:val="left" w:pos="567"/>
        </w:tabs>
        <w:ind w:left="1134" w:hanging="283"/>
      </w:pPr>
      <w:r w:rsidRPr="00BD4363">
        <w:t>Profylakse mod venøs tromboembolisk sygdom hos medicinske patienter med akut sygdom (f.eks.</w:t>
      </w:r>
      <w:r w:rsidRPr="00BD4363" w:rsidDel="00155AFA">
        <w:t xml:space="preserve"> </w:t>
      </w:r>
      <w:r w:rsidRPr="00BD4363">
        <w:t>akut hjertesvigt, respirationssvigt, svære infektioner eller reumatisk sygdom) og nedsat mobilitet med øget risiko for venøs tromboemboli.</w:t>
      </w:r>
    </w:p>
    <w:p w14:paraId="02303CEF" w14:textId="77777777" w:rsidR="00CA138F" w:rsidRDefault="0048103E" w:rsidP="00CA138F">
      <w:pPr>
        <w:pStyle w:val="Default"/>
        <w:numPr>
          <w:ilvl w:val="0"/>
          <w:numId w:val="9"/>
        </w:numPr>
        <w:tabs>
          <w:tab w:val="left" w:pos="567"/>
        </w:tabs>
        <w:ind w:left="1134" w:hanging="283"/>
      </w:pPr>
      <w:r w:rsidRPr="00BD4363">
        <w:t>Behandling af dyb venetrombose (DVT) og lungeemboli (PE) med undtagelse af PE, hvor trombolytisk behandling eller operation sandsynligvis er nødvendigt.</w:t>
      </w:r>
    </w:p>
    <w:p w14:paraId="509BE232" w14:textId="49F98EF0" w:rsidR="00CA138F" w:rsidRPr="00BD4363" w:rsidRDefault="00CA138F" w:rsidP="00CA138F">
      <w:pPr>
        <w:pStyle w:val="Default"/>
        <w:numPr>
          <w:ilvl w:val="0"/>
          <w:numId w:val="9"/>
        </w:numPr>
        <w:tabs>
          <w:tab w:val="left" w:pos="567"/>
        </w:tabs>
        <w:ind w:left="1134" w:hanging="283"/>
      </w:pPr>
      <w:r>
        <w:t>Udvidet behandling af dyb venetrombose (DVT) og lungeemboli (PE) og forebyggelse af tilbagefald hos patienter med aktiv cancer.</w:t>
      </w:r>
    </w:p>
    <w:p w14:paraId="763CD5FB" w14:textId="77777777" w:rsidR="0048103E" w:rsidRPr="00BD4363" w:rsidRDefault="0048103E" w:rsidP="0048103E">
      <w:pPr>
        <w:pStyle w:val="Default"/>
        <w:numPr>
          <w:ilvl w:val="0"/>
          <w:numId w:val="9"/>
        </w:numPr>
        <w:tabs>
          <w:tab w:val="left" w:pos="567"/>
        </w:tabs>
        <w:ind w:left="1134" w:hanging="283"/>
      </w:pPr>
      <w:r w:rsidRPr="00BD4363">
        <w:t>Forebyggelse af trombose i det ekstrakorporale kredsløb under hæmodialyse.</w:t>
      </w:r>
    </w:p>
    <w:p w14:paraId="16E9EDD4" w14:textId="77777777" w:rsidR="0048103E" w:rsidRPr="00BD4363" w:rsidRDefault="0048103E" w:rsidP="0048103E">
      <w:pPr>
        <w:numPr>
          <w:ilvl w:val="0"/>
          <w:numId w:val="10"/>
        </w:numPr>
        <w:tabs>
          <w:tab w:val="left" w:pos="567"/>
        </w:tabs>
        <w:ind w:left="1134" w:hanging="283"/>
        <w:textAlignment w:val="baseline"/>
        <w:rPr>
          <w:color w:val="000000"/>
          <w:sz w:val="24"/>
          <w:szCs w:val="24"/>
        </w:rPr>
      </w:pPr>
      <w:r w:rsidRPr="00BD4363">
        <w:rPr>
          <w:color w:val="000000"/>
          <w:sz w:val="24"/>
          <w:szCs w:val="24"/>
        </w:rPr>
        <w:t>Akut koronarsyndrom:</w:t>
      </w:r>
    </w:p>
    <w:p w14:paraId="2755AA5F" w14:textId="77777777" w:rsidR="0048103E" w:rsidRPr="00BD4363" w:rsidRDefault="0048103E" w:rsidP="0048103E">
      <w:pPr>
        <w:tabs>
          <w:tab w:val="left" w:pos="851"/>
        </w:tabs>
        <w:ind w:left="1417" w:right="864" w:hanging="283"/>
        <w:textAlignment w:val="baseline"/>
        <w:rPr>
          <w:color w:val="000000"/>
          <w:sz w:val="24"/>
          <w:szCs w:val="24"/>
        </w:rPr>
      </w:pPr>
      <w:r w:rsidRPr="00BD4363">
        <w:rPr>
          <w:color w:val="000000"/>
          <w:sz w:val="24"/>
          <w:szCs w:val="24"/>
        </w:rPr>
        <w:t>-</w:t>
      </w:r>
      <w:r w:rsidRPr="00BD4363">
        <w:rPr>
          <w:color w:val="000000"/>
          <w:sz w:val="24"/>
          <w:szCs w:val="24"/>
        </w:rPr>
        <w:tab/>
        <w:t>Behandling af ustabil angina pectoris og myokardieinfarkt uden ST-elevation (NSTEMI) i kombination med oral acetylsalicylsyre.</w:t>
      </w:r>
    </w:p>
    <w:p w14:paraId="1C75B583" w14:textId="77777777" w:rsidR="0048103E" w:rsidRPr="00BD4363" w:rsidRDefault="0048103E" w:rsidP="0048103E">
      <w:pPr>
        <w:tabs>
          <w:tab w:val="left" w:pos="851"/>
        </w:tabs>
        <w:ind w:left="1417" w:right="72" w:hanging="283"/>
        <w:textAlignment w:val="baseline"/>
        <w:rPr>
          <w:color w:val="000000"/>
          <w:spacing w:val="-1"/>
          <w:sz w:val="24"/>
          <w:szCs w:val="24"/>
        </w:rPr>
      </w:pPr>
      <w:r w:rsidRPr="00BD4363">
        <w:rPr>
          <w:color w:val="000000"/>
          <w:spacing w:val="-1"/>
          <w:sz w:val="24"/>
          <w:szCs w:val="24"/>
        </w:rPr>
        <w:t>-</w:t>
      </w:r>
      <w:r w:rsidRPr="00BD4363">
        <w:rPr>
          <w:color w:val="000000"/>
          <w:spacing w:val="-1"/>
          <w:sz w:val="24"/>
          <w:szCs w:val="24"/>
        </w:rPr>
        <w:tab/>
        <w:t xml:space="preserve">Behandling af akut myokardieinfarkt med ST-elevation (STEMI), inklusive patienter, som skal i medicinsk behandling eller efterfølgende </w:t>
      </w:r>
      <w:r w:rsidRPr="00BD4363">
        <w:rPr>
          <w:spacing w:val="-5"/>
          <w:sz w:val="24"/>
          <w:szCs w:val="24"/>
        </w:rPr>
        <w:t>gennemgå</w:t>
      </w:r>
      <w:r w:rsidRPr="00BD4363">
        <w:rPr>
          <w:color w:val="000000"/>
          <w:spacing w:val="-1"/>
          <w:sz w:val="24"/>
          <w:szCs w:val="24"/>
        </w:rPr>
        <w:t xml:space="preserve"> perkutan koronar intervention (PCI).</w:t>
      </w:r>
    </w:p>
    <w:p w14:paraId="4780D13F" w14:textId="77777777" w:rsidR="000C25F4" w:rsidRPr="00BD4363" w:rsidRDefault="000C25F4" w:rsidP="000C25F4">
      <w:pPr>
        <w:tabs>
          <w:tab w:val="left" w:pos="851"/>
        </w:tabs>
        <w:ind w:left="851"/>
        <w:rPr>
          <w:sz w:val="24"/>
          <w:szCs w:val="24"/>
        </w:rPr>
      </w:pPr>
    </w:p>
    <w:p w14:paraId="33E82AD7" w14:textId="52AD2F40" w:rsidR="000C25F4" w:rsidRPr="00BD4363" w:rsidRDefault="000C25F4" w:rsidP="0014694F">
      <w:pPr>
        <w:keepNext/>
        <w:tabs>
          <w:tab w:val="left" w:pos="851"/>
        </w:tabs>
        <w:ind w:left="851" w:hanging="851"/>
        <w:rPr>
          <w:b/>
          <w:sz w:val="24"/>
          <w:szCs w:val="24"/>
        </w:rPr>
      </w:pPr>
      <w:r w:rsidRPr="00BD4363">
        <w:rPr>
          <w:b/>
          <w:sz w:val="24"/>
          <w:szCs w:val="24"/>
        </w:rPr>
        <w:t>4.2</w:t>
      </w:r>
      <w:r w:rsidRPr="00BD4363">
        <w:rPr>
          <w:b/>
          <w:sz w:val="24"/>
          <w:szCs w:val="24"/>
        </w:rPr>
        <w:tab/>
        <w:t xml:space="preserve">Dosering og </w:t>
      </w:r>
      <w:r w:rsidR="0048103E" w:rsidRPr="00BD4363">
        <w:rPr>
          <w:b/>
          <w:sz w:val="24"/>
          <w:szCs w:val="24"/>
        </w:rPr>
        <w:t>administration</w:t>
      </w:r>
    </w:p>
    <w:p w14:paraId="58FA7BEC" w14:textId="1C70E620" w:rsidR="00DC0AA3" w:rsidRPr="00BD4363" w:rsidRDefault="00DC0AA3" w:rsidP="0014694F">
      <w:pPr>
        <w:keepNext/>
        <w:tabs>
          <w:tab w:val="left" w:pos="851"/>
        </w:tabs>
        <w:ind w:left="851" w:hanging="851"/>
        <w:rPr>
          <w:b/>
          <w:sz w:val="24"/>
          <w:szCs w:val="24"/>
        </w:rPr>
      </w:pPr>
    </w:p>
    <w:p w14:paraId="323927DA" w14:textId="7C8C685F" w:rsidR="00DC0AA3" w:rsidRPr="00BD4363" w:rsidRDefault="00DC0AA3" w:rsidP="0014694F">
      <w:pPr>
        <w:pStyle w:val="Default"/>
        <w:keepNext/>
        <w:ind w:left="851"/>
        <w:outlineLvl w:val="0"/>
        <w:rPr>
          <w:b/>
        </w:rPr>
      </w:pPr>
      <w:r w:rsidRPr="00BD4363">
        <w:rPr>
          <w:b/>
        </w:rPr>
        <w:t xml:space="preserve">Dosering </w:t>
      </w:r>
    </w:p>
    <w:p w14:paraId="6CC0427C" w14:textId="77777777" w:rsidR="000C25F4" w:rsidRPr="00BD4363" w:rsidRDefault="000C25F4" w:rsidP="0014694F">
      <w:pPr>
        <w:pStyle w:val="Default"/>
        <w:keepNext/>
        <w:ind w:left="851"/>
        <w:outlineLvl w:val="0"/>
        <w:rPr>
          <w:u w:val="single"/>
        </w:rPr>
      </w:pPr>
    </w:p>
    <w:p w14:paraId="3E8191DB" w14:textId="77777777" w:rsidR="0048103E" w:rsidRPr="00BD4363" w:rsidRDefault="0048103E" w:rsidP="0014694F">
      <w:pPr>
        <w:pStyle w:val="Default"/>
        <w:keepNext/>
        <w:ind w:left="851"/>
        <w:rPr>
          <w:i/>
          <w:iCs/>
        </w:rPr>
      </w:pPr>
      <w:r w:rsidRPr="00BD4363">
        <w:rPr>
          <w:i/>
          <w:iCs/>
        </w:rPr>
        <w:t>Profylakse mod venøs tromboembolisk sygdom hos kirurgiske patienter med moderat og høj risiko</w:t>
      </w:r>
    </w:p>
    <w:p w14:paraId="0BC56690" w14:textId="77777777" w:rsidR="0048103E" w:rsidRPr="00BD4363" w:rsidRDefault="0048103E" w:rsidP="0048103E">
      <w:pPr>
        <w:pStyle w:val="Default"/>
        <w:tabs>
          <w:tab w:val="left" w:pos="1134"/>
        </w:tabs>
        <w:ind w:left="851"/>
      </w:pPr>
      <w:r w:rsidRPr="00BD4363">
        <w:t>Den enkelte patients risiko for tromboemboli kan estimeres ved hjælp af en valideret risikostratifikationsmodel.</w:t>
      </w:r>
    </w:p>
    <w:p w14:paraId="2EFC5A49" w14:textId="77777777" w:rsidR="0048103E" w:rsidRPr="00BD4363" w:rsidRDefault="0048103E" w:rsidP="0048103E">
      <w:pPr>
        <w:pStyle w:val="Default"/>
        <w:numPr>
          <w:ilvl w:val="0"/>
          <w:numId w:val="11"/>
        </w:numPr>
        <w:tabs>
          <w:tab w:val="left" w:pos="1134"/>
        </w:tabs>
        <w:ind w:left="1134" w:hanging="283"/>
      </w:pPr>
      <w:r w:rsidRPr="00BD4363">
        <w:t>Hos patienter med moderat risiko for tromboemboli er den anbefalede dosis 2.000 IE (20 mg) enoxaparinnatrium en gang dagligt som subkutan (s.c.) injektion. Præoperativ initiering med 2.000 IE (20 mg) enoxaparinnatrium (2 timer før det kirurgiske indgreb) har vist sig effektiv og sikker ved kirurgi med moderat risiko.</w:t>
      </w:r>
    </w:p>
    <w:p w14:paraId="2220704C" w14:textId="77777777" w:rsidR="0048103E" w:rsidRPr="00BD4363" w:rsidRDefault="0048103E" w:rsidP="0048103E">
      <w:pPr>
        <w:pStyle w:val="Default"/>
        <w:tabs>
          <w:tab w:val="left" w:pos="1134"/>
        </w:tabs>
        <w:ind w:left="1134" w:hanging="283"/>
      </w:pPr>
      <w:r w:rsidRPr="00BD4363">
        <w:lastRenderedPageBreak/>
        <w:tab/>
        <w:t>Hos patienter med moderat risiko bør enoxaparinnatrium gives i mindst 7-10 dage uanset rekonvalescens-status (f.eks. mobilitet). Profylakse bør fortsættes, indtil patienten ikke længere har signifikant reduceret mobilitet.</w:t>
      </w:r>
    </w:p>
    <w:p w14:paraId="5180DBEA" w14:textId="77777777" w:rsidR="0048103E" w:rsidRPr="00BD4363" w:rsidRDefault="0048103E" w:rsidP="0048103E">
      <w:pPr>
        <w:pStyle w:val="Default"/>
        <w:numPr>
          <w:ilvl w:val="0"/>
          <w:numId w:val="11"/>
        </w:numPr>
        <w:tabs>
          <w:tab w:val="left" w:pos="1134"/>
        </w:tabs>
        <w:ind w:left="1134" w:hanging="283"/>
      </w:pPr>
      <w:r w:rsidRPr="00BD4363">
        <w:t xml:space="preserve">Hos patienter med høj risiko </w:t>
      </w:r>
      <w:r w:rsidRPr="00BD4363">
        <w:rPr>
          <w:spacing w:val="-1"/>
        </w:rPr>
        <w:t>for tromboemboli</w:t>
      </w:r>
      <w:r w:rsidRPr="00BD4363">
        <w:t xml:space="preserve"> er den anbefalede dosis 4.000 IE (40 mg) enoxaparinnatrium en gang dagligt som s.c.-injektion, som så vidt muligt bør startes 12 timer før det kirurgiske indgreb. Hvis der er behov for at påbegynde profylaktisk behandling med enoxaparinnatrium mere end 12 timer før</w:t>
      </w:r>
      <w:r w:rsidRPr="00BD4363" w:rsidDel="00870139">
        <w:t xml:space="preserve"> </w:t>
      </w:r>
      <w:r w:rsidRPr="00BD4363">
        <w:t>det kirurgiske indgreb (f.eks. en højrisiko-patient, der venter på udskudt</w:t>
      </w:r>
      <w:r w:rsidRPr="00BD4363" w:rsidDel="008C01F3">
        <w:t xml:space="preserve"> </w:t>
      </w:r>
      <w:r w:rsidRPr="00BD4363">
        <w:t>ortopædkirurgi), bør den sidste injektion administreres senest 12 timer før det kirurgiske indgreb og genoptages 12 timer efter det kirurgiske indgreb.</w:t>
      </w:r>
    </w:p>
    <w:p w14:paraId="578184B6" w14:textId="77777777" w:rsidR="0048103E" w:rsidRPr="00BD4363" w:rsidRDefault="0048103E" w:rsidP="0048103E">
      <w:pPr>
        <w:pStyle w:val="Default"/>
        <w:numPr>
          <w:ilvl w:val="0"/>
          <w:numId w:val="24"/>
        </w:numPr>
        <w:tabs>
          <w:tab w:val="left" w:pos="851"/>
          <w:tab w:val="left" w:pos="1134"/>
        </w:tabs>
      </w:pPr>
      <w:r w:rsidRPr="00BD4363">
        <w:t>Hos patienter, der får foretaget et større ortopædkirurgisk indgreb, anbefales forlænget tromboseprofylakse på op til 5 uger.</w:t>
      </w:r>
    </w:p>
    <w:p w14:paraId="1ECD18C1" w14:textId="77777777" w:rsidR="0048103E" w:rsidRPr="00BD4363" w:rsidRDefault="0048103E" w:rsidP="0048103E">
      <w:pPr>
        <w:pStyle w:val="Default"/>
        <w:numPr>
          <w:ilvl w:val="0"/>
          <w:numId w:val="24"/>
        </w:numPr>
        <w:tabs>
          <w:tab w:val="left" w:pos="1134"/>
        </w:tabs>
      </w:pPr>
      <w:r w:rsidRPr="00BD4363">
        <w:t>Hos patienter med høj risiko for venøs tromboemboli (VTE), som får foretaget cancerkirurgi i abdomen eller bækken, anbefales forlænget tromboseprofylakse på op til 4 uger.</w:t>
      </w:r>
    </w:p>
    <w:p w14:paraId="3D3B6766" w14:textId="77777777" w:rsidR="0048103E" w:rsidRPr="00BD4363" w:rsidRDefault="0048103E" w:rsidP="0048103E">
      <w:pPr>
        <w:pStyle w:val="Default"/>
        <w:ind w:left="851"/>
        <w:rPr>
          <w:i/>
        </w:rPr>
      </w:pPr>
    </w:p>
    <w:p w14:paraId="2AFA923E" w14:textId="77777777" w:rsidR="0048103E" w:rsidRPr="00BD4363" w:rsidRDefault="0048103E" w:rsidP="0048103E">
      <w:pPr>
        <w:pStyle w:val="Default"/>
        <w:ind w:left="851"/>
        <w:outlineLvl w:val="0"/>
        <w:rPr>
          <w:i/>
          <w:iCs/>
        </w:rPr>
      </w:pPr>
      <w:r w:rsidRPr="00BD4363">
        <w:rPr>
          <w:i/>
          <w:iCs/>
        </w:rPr>
        <w:t>Profylakse mod venøs tromboemboli hos medicinske patienter</w:t>
      </w:r>
    </w:p>
    <w:p w14:paraId="69C9145C" w14:textId="77777777" w:rsidR="0048103E" w:rsidRPr="00BD4363" w:rsidRDefault="0048103E" w:rsidP="0048103E">
      <w:pPr>
        <w:pStyle w:val="Default"/>
        <w:ind w:left="851"/>
      </w:pPr>
      <w:r w:rsidRPr="00BD4363">
        <w:t>Den anbefalede dosis enoxaparinnatrium er 4.000 IE (40 mg) en gang dagligt som s.c.- injektion. Behandling med enoxaparinnatrium ordineres i mindst 6-14 dage, uanset rekonvalescens-status (f.eks. mobilitet). Der er ikke påvist behandlingsfordel ved behandling ud over 14 dage.</w:t>
      </w:r>
    </w:p>
    <w:p w14:paraId="621F0455" w14:textId="77777777" w:rsidR="0048103E" w:rsidRPr="00BD4363" w:rsidRDefault="0048103E" w:rsidP="0048103E">
      <w:pPr>
        <w:pStyle w:val="Default"/>
        <w:ind w:left="851"/>
      </w:pPr>
    </w:p>
    <w:p w14:paraId="5AF614D5" w14:textId="77777777" w:rsidR="0048103E" w:rsidRPr="00BD4363" w:rsidRDefault="0048103E" w:rsidP="0048103E">
      <w:pPr>
        <w:pStyle w:val="Default"/>
        <w:ind w:left="851"/>
        <w:outlineLvl w:val="0"/>
        <w:rPr>
          <w:i/>
          <w:iCs/>
        </w:rPr>
      </w:pPr>
      <w:r w:rsidRPr="00BD4363">
        <w:rPr>
          <w:i/>
          <w:iCs/>
        </w:rPr>
        <w:t>Behandling af DVT og PE</w:t>
      </w:r>
    </w:p>
    <w:p w14:paraId="2D8A150F" w14:textId="77777777" w:rsidR="0048103E" w:rsidRPr="00BD4363" w:rsidRDefault="0048103E" w:rsidP="0048103E">
      <w:pPr>
        <w:pStyle w:val="Default"/>
        <w:ind w:left="851"/>
      </w:pPr>
      <w:r w:rsidRPr="00BD4363">
        <w:t>Enoxaparinnatrium kan administreres subkutant, enten som 150 IE/kg (1,5 mg/kg) en gang dagligt eller 100 IE/kg (1 mg/kg) to gange dagligt.</w:t>
      </w:r>
    </w:p>
    <w:p w14:paraId="2556A696" w14:textId="77777777" w:rsidR="0048103E" w:rsidRPr="00BD4363" w:rsidRDefault="0048103E" w:rsidP="0048103E">
      <w:pPr>
        <w:ind w:left="851" w:right="72"/>
        <w:textAlignment w:val="baseline"/>
        <w:rPr>
          <w:color w:val="000000"/>
          <w:sz w:val="24"/>
          <w:szCs w:val="24"/>
        </w:rPr>
      </w:pPr>
      <w:r w:rsidRPr="00BD4363">
        <w:rPr>
          <w:color w:val="000000"/>
          <w:sz w:val="24"/>
          <w:szCs w:val="24"/>
        </w:rPr>
        <w:t>Lægen bør vælge behandling ud fra en individuel vurdering, herunder evaluering af risikoen for tromboemboli og blødning. Dosisregimet på 150 IE/kg (1,5 mg/kg) en gang dagligt anvendes hos ukomplicerede patienter med lav risiko for tilbagevendende VTE. Dosisregimet på 100 IE/kg (1 mg/kg) to gange dagligt skal anvendes hos alle andre patienter</w:t>
      </w:r>
      <w:r w:rsidRPr="00BD4363">
        <w:rPr>
          <w:sz w:val="24"/>
          <w:szCs w:val="24"/>
        </w:rPr>
        <w:t xml:space="preserve"> </w:t>
      </w:r>
      <w:r w:rsidRPr="00BD4363">
        <w:rPr>
          <w:color w:val="000000"/>
          <w:sz w:val="24"/>
          <w:szCs w:val="24"/>
        </w:rPr>
        <w:t>som f.eks. svært overvægtige patienter, patienter med symptomatisk PE, cancer, tilbagevendende VTE eller proksimal (vena iliaca) trombose.</w:t>
      </w:r>
    </w:p>
    <w:p w14:paraId="08417C92" w14:textId="77777777" w:rsidR="0048103E" w:rsidRPr="00BD4363" w:rsidRDefault="0048103E" w:rsidP="0048103E">
      <w:pPr>
        <w:ind w:left="851" w:right="72"/>
        <w:textAlignment w:val="baseline"/>
        <w:rPr>
          <w:color w:val="000000"/>
          <w:sz w:val="24"/>
          <w:szCs w:val="24"/>
        </w:rPr>
      </w:pPr>
    </w:p>
    <w:p w14:paraId="5354A9BB" w14:textId="05ED5D11" w:rsidR="0048103E" w:rsidRDefault="0048103E" w:rsidP="0048103E">
      <w:pPr>
        <w:ind w:left="851" w:right="140"/>
        <w:textAlignment w:val="baseline"/>
        <w:rPr>
          <w:color w:val="000000"/>
          <w:sz w:val="24"/>
          <w:szCs w:val="24"/>
        </w:rPr>
      </w:pPr>
      <w:r w:rsidRPr="00BD4363">
        <w:rPr>
          <w:color w:val="000000"/>
          <w:sz w:val="24"/>
          <w:szCs w:val="24"/>
        </w:rPr>
        <w:t>Behandling med enoxaparinnatrium ordineres gennemsnitligt i 10 dage. Behandling med oral antikoagulans bør initieres, når det er hensigtsmæssigt (se ”Skift mellem enoxaparinnatrium og orale antikoagulantia</w:t>
      </w:r>
      <w:r w:rsidRPr="00BD4363">
        <w:rPr>
          <w:color w:val="000000"/>
          <w:sz w:val="24"/>
          <w:szCs w:val="24"/>
          <w:cs/>
        </w:rPr>
        <w:t xml:space="preserve">" </w:t>
      </w:r>
      <w:r w:rsidRPr="00BD4363">
        <w:rPr>
          <w:color w:val="000000"/>
          <w:sz w:val="24"/>
          <w:szCs w:val="24"/>
        </w:rPr>
        <w:t>i slutningen af pkt. 4.2).</w:t>
      </w:r>
    </w:p>
    <w:p w14:paraId="7E17FA69" w14:textId="78EE98E9" w:rsidR="00CA138F" w:rsidRDefault="00CA138F" w:rsidP="0048103E">
      <w:pPr>
        <w:ind w:left="851" w:right="140"/>
        <w:textAlignment w:val="baseline"/>
        <w:rPr>
          <w:color w:val="000000"/>
          <w:sz w:val="24"/>
          <w:szCs w:val="24"/>
        </w:rPr>
      </w:pPr>
    </w:p>
    <w:p w14:paraId="36C3F6F4" w14:textId="77777777" w:rsidR="00CA138F" w:rsidRDefault="00CA138F" w:rsidP="00CA138F">
      <w:pPr>
        <w:ind w:left="851" w:right="140"/>
        <w:textAlignment w:val="baseline"/>
        <w:rPr>
          <w:color w:val="000000"/>
          <w:sz w:val="24"/>
          <w:szCs w:val="24"/>
        </w:rPr>
      </w:pPr>
      <w:r>
        <w:rPr>
          <w:color w:val="000000"/>
          <w:sz w:val="24"/>
          <w:szCs w:val="24"/>
        </w:rPr>
        <w:t>I den udvidede behandling af dyb venetrombose (DVT) og lungeemboli (PE) og forebyggelse af dets tilbagevenden hos patienter med aktiv cancer, bør lægen nøje vurdere patientens individuelle tromboemboliske og blødningsrisici.</w:t>
      </w:r>
    </w:p>
    <w:p w14:paraId="16E5BA65" w14:textId="77777777" w:rsidR="00CA138F" w:rsidRDefault="00CA138F" w:rsidP="00CA138F">
      <w:pPr>
        <w:ind w:left="851" w:right="140"/>
        <w:textAlignment w:val="baseline"/>
        <w:rPr>
          <w:color w:val="000000"/>
          <w:sz w:val="24"/>
          <w:szCs w:val="24"/>
        </w:rPr>
      </w:pPr>
      <w:r>
        <w:rPr>
          <w:color w:val="000000"/>
          <w:sz w:val="24"/>
          <w:szCs w:val="24"/>
        </w:rPr>
        <w:t>Den anbefalede dosis er 100 IE/kg (1 mg/kg) administreret to gange dagligt ved subkutan injektion i 5 til 10 dage, efterfulgt af en 150 IE/kg (1,5 mg/kg) én gang daglig subkutan injektion i op til 6 måneder. Fordelen ved kontinuerlig antikoagulantbehandling bør revurderes efter 6 måneders behandling.</w:t>
      </w:r>
    </w:p>
    <w:p w14:paraId="720049B7" w14:textId="77777777" w:rsidR="0048103E" w:rsidRPr="00BD4363" w:rsidRDefault="0048103E" w:rsidP="0048103E">
      <w:pPr>
        <w:pStyle w:val="Default"/>
        <w:ind w:left="851"/>
      </w:pPr>
    </w:p>
    <w:p w14:paraId="1018E912" w14:textId="77777777" w:rsidR="0048103E" w:rsidRPr="00BD4363" w:rsidRDefault="0048103E" w:rsidP="0048103E">
      <w:pPr>
        <w:pStyle w:val="Default"/>
        <w:ind w:left="851"/>
        <w:outlineLvl w:val="0"/>
        <w:rPr>
          <w:i/>
          <w:iCs/>
        </w:rPr>
      </w:pPr>
      <w:r w:rsidRPr="00BD4363">
        <w:rPr>
          <w:i/>
          <w:iCs/>
        </w:rPr>
        <w:t>Forebyggelse af trombose under hæmodialyse</w:t>
      </w:r>
    </w:p>
    <w:p w14:paraId="26B2071F" w14:textId="77777777" w:rsidR="0048103E" w:rsidRPr="00BD4363" w:rsidRDefault="0048103E" w:rsidP="0048103E">
      <w:pPr>
        <w:pStyle w:val="Default"/>
        <w:ind w:left="851"/>
      </w:pPr>
      <w:r w:rsidRPr="00BD4363">
        <w:t>Den anbefalede dosis er 100 IE/kg (1 mg/kg) enoxaparinnatrium.</w:t>
      </w:r>
    </w:p>
    <w:p w14:paraId="16C7F0DA" w14:textId="77777777" w:rsidR="0048103E" w:rsidRPr="00BD4363" w:rsidRDefault="0048103E" w:rsidP="0048103E">
      <w:pPr>
        <w:pStyle w:val="Default"/>
        <w:ind w:left="851"/>
      </w:pPr>
      <w:r w:rsidRPr="00BD4363">
        <w:t>Hos patienter med høj risiko for blødning bør dosis reduceres til 50 IE/kg (0,5 mg/kg) ved karadgang med dobbeltlumenkateter og 75 IE/kg (0,75 mg/kg) ved adgang med enkeltlumenkateter.</w:t>
      </w:r>
    </w:p>
    <w:p w14:paraId="0F6FA4B4" w14:textId="77777777" w:rsidR="0048103E" w:rsidRPr="00BD4363" w:rsidRDefault="0048103E" w:rsidP="0048103E">
      <w:pPr>
        <w:pStyle w:val="Default"/>
        <w:ind w:left="851"/>
      </w:pPr>
    </w:p>
    <w:p w14:paraId="490E4822" w14:textId="77777777" w:rsidR="0048103E" w:rsidRPr="00BD4363" w:rsidRDefault="0048103E" w:rsidP="0048103E">
      <w:pPr>
        <w:pStyle w:val="Default"/>
        <w:ind w:left="851"/>
      </w:pPr>
      <w:r w:rsidRPr="00BD4363">
        <w:lastRenderedPageBreak/>
        <w:t>Under hæmodialyse skal enoxaparinnatrium injiceres i dialysekredsløbets arterieslange ved dialysens begyndelse. Effekten af denne dosis er som regel tilstrækkelig for en 4-timers dialyse. Hvis der opdages fibrinringe, f.eks. ved en længere session end normalt, kan en yderligere dosis på 50 IE til 100 IE/kg (0,5 til 1 mg/kg) administreres.</w:t>
      </w:r>
    </w:p>
    <w:p w14:paraId="43F229C7" w14:textId="77777777" w:rsidR="0048103E" w:rsidRPr="00BD4363" w:rsidRDefault="0048103E" w:rsidP="0048103E">
      <w:pPr>
        <w:pStyle w:val="Default"/>
        <w:ind w:left="851"/>
      </w:pPr>
    </w:p>
    <w:p w14:paraId="3C398093" w14:textId="77777777" w:rsidR="0048103E" w:rsidRPr="00BD4363" w:rsidRDefault="0048103E" w:rsidP="0048103E">
      <w:pPr>
        <w:ind w:left="851" w:right="28"/>
        <w:textAlignment w:val="baseline"/>
        <w:rPr>
          <w:color w:val="000000"/>
          <w:sz w:val="24"/>
          <w:szCs w:val="24"/>
        </w:rPr>
      </w:pPr>
      <w:r w:rsidRPr="00BD4363">
        <w:rPr>
          <w:color w:val="000000"/>
          <w:sz w:val="24"/>
          <w:szCs w:val="24"/>
        </w:rPr>
        <w:t>Der foreligger ingen data for dialysepatienter, der samtidig anvender enoxaparinnatrium til profylakse eller behandling.</w:t>
      </w:r>
    </w:p>
    <w:p w14:paraId="0506539C" w14:textId="77777777" w:rsidR="0048103E" w:rsidRPr="00BD4363" w:rsidRDefault="0048103E" w:rsidP="0048103E">
      <w:pPr>
        <w:pStyle w:val="Default"/>
        <w:ind w:left="851"/>
      </w:pPr>
    </w:p>
    <w:p w14:paraId="5EC230BB" w14:textId="77777777" w:rsidR="0048103E" w:rsidRPr="00BD4363" w:rsidRDefault="0048103E" w:rsidP="0048103E">
      <w:pPr>
        <w:pStyle w:val="Default"/>
        <w:ind w:left="851"/>
        <w:rPr>
          <w:i/>
          <w:iCs/>
        </w:rPr>
      </w:pPr>
      <w:r w:rsidRPr="00BD4363">
        <w:rPr>
          <w:i/>
          <w:iCs/>
        </w:rPr>
        <w:t>Akut koronarsyndrom: behandling af ustabil angina pectoris, NSTEMI og akut STEMI</w:t>
      </w:r>
    </w:p>
    <w:p w14:paraId="5AD46474" w14:textId="77777777" w:rsidR="0048103E" w:rsidRPr="00BD4363" w:rsidRDefault="0048103E" w:rsidP="0048103E">
      <w:pPr>
        <w:pStyle w:val="Default"/>
        <w:numPr>
          <w:ilvl w:val="0"/>
          <w:numId w:val="14"/>
        </w:numPr>
        <w:ind w:left="1134" w:hanging="283"/>
      </w:pPr>
      <w:r w:rsidRPr="00BD4363">
        <w:t>Til behandling af ustabil angina pectoris og NSTEMI er den anbefalede dosis 100 IE/kg (1 mg/kg) enoxaparinnatrium som s.c.-injektion hver 12. time i kombination med trombocythæmmende behandling. Behandlingen bør gives i mindst 2 dage og fortsætte indtil patienten er stabiliseret klinisk. Den sædvanlige behandlingsvarighed er 2-8 dage.</w:t>
      </w:r>
    </w:p>
    <w:p w14:paraId="211E8CE9" w14:textId="77777777" w:rsidR="0048103E" w:rsidRPr="00BD4363" w:rsidRDefault="0048103E" w:rsidP="0048103E">
      <w:pPr>
        <w:pStyle w:val="Default"/>
        <w:ind w:left="1134"/>
      </w:pPr>
      <w:r w:rsidRPr="00BD4363">
        <w:t>Medmindre det er kontraindiceret anbefales acetylsalicylsyre til alle patienter med en initial oral startdosis på 150-300 mg (hos acetylsalicylsyre-naive patienter) og en langvarig vedligeholdelsesdosis på 75-325 mg/dag, uanset behandlingsstrategi.</w:t>
      </w:r>
    </w:p>
    <w:p w14:paraId="2C108729" w14:textId="77777777" w:rsidR="0048103E" w:rsidRPr="00BD4363" w:rsidRDefault="0048103E" w:rsidP="0048103E">
      <w:pPr>
        <w:numPr>
          <w:ilvl w:val="0"/>
          <w:numId w:val="12"/>
        </w:numPr>
        <w:ind w:left="1134" w:hanging="283"/>
        <w:rPr>
          <w:sz w:val="24"/>
          <w:szCs w:val="24"/>
        </w:rPr>
      </w:pPr>
      <w:r w:rsidRPr="00BD4363">
        <w:rPr>
          <w:sz w:val="24"/>
          <w:szCs w:val="24"/>
        </w:rPr>
        <w:t>Til behandling af akut STEMI er den anbefalede dosis enoxaparinnatrium en enkelt intravenøs (i.v) bolusdosis på 3.000 IE (30 mg) plus en 100 IE/kg (1 mg/kg) subkutan dosis efterfulgt af 100 IE/kg (1 mg/kg) subkutant hver 12. time (maks 10.000 IE (100 mg) ved hver af de første to subkutane doser). Passende</w:t>
      </w:r>
      <w:r w:rsidRPr="00BD4363">
        <w:rPr>
          <w:color w:val="000000"/>
          <w:sz w:val="24"/>
          <w:szCs w:val="24"/>
        </w:rPr>
        <w:t xml:space="preserve"> trombocythæmmende behandling som f.eks. oral acetylsalicylsyre (75 mg til 325 mg en gang dagligt), bør administreres samtidigt, medmindre der er kontraindikationer. Den anbefalede behandlingsvarighed er 8 dage, eller indtil patienten udskrives fra hospitalet afhængigt af, hvad der forekommer først. Ved administration i kombination med</w:t>
      </w:r>
      <w:r w:rsidRPr="00BD4363">
        <w:rPr>
          <w:sz w:val="24"/>
          <w:szCs w:val="24"/>
        </w:rPr>
        <w:t xml:space="preserve"> et trombolytikum (fibrinspecifikt eller ikke-fibrinspecifikt) skal enoxaparinnatrium gives mellem 15 minutter før og 30 minutter efter opstart af fibrinolytisk behandling.</w:t>
      </w:r>
    </w:p>
    <w:p w14:paraId="111DF26F" w14:textId="77777777" w:rsidR="0048103E" w:rsidRPr="00BD4363" w:rsidRDefault="0048103E" w:rsidP="0048103E">
      <w:pPr>
        <w:pStyle w:val="Default"/>
        <w:numPr>
          <w:ilvl w:val="0"/>
          <w:numId w:val="15"/>
        </w:numPr>
        <w:ind w:left="1134" w:hanging="283"/>
      </w:pPr>
      <w:r w:rsidRPr="00BD4363">
        <w:t xml:space="preserve">Dosering til patienter ≥ 75 år, se afsnittet </w:t>
      </w:r>
      <w:r w:rsidRPr="00BD4363">
        <w:rPr>
          <w:cs/>
        </w:rPr>
        <w:t>"</w:t>
      </w:r>
      <w:r w:rsidRPr="00BD4363">
        <w:t>Ældre</w:t>
      </w:r>
      <w:r w:rsidRPr="00BD4363">
        <w:rPr>
          <w:cs/>
        </w:rPr>
        <w:t>"</w:t>
      </w:r>
      <w:r w:rsidRPr="00BD4363">
        <w:t>.</w:t>
      </w:r>
    </w:p>
    <w:p w14:paraId="44EA4B30" w14:textId="77777777" w:rsidR="0048103E" w:rsidRPr="00BD4363" w:rsidRDefault="0048103E" w:rsidP="0048103E">
      <w:pPr>
        <w:pStyle w:val="Default"/>
        <w:numPr>
          <w:ilvl w:val="0"/>
          <w:numId w:val="15"/>
        </w:numPr>
        <w:ind w:left="1134" w:hanging="283"/>
      </w:pPr>
      <w:r w:rsidRPr="00BD4363">
        <w:t>Patienter, der har undergået PCI: Hvis den sidste subkutane dosis af enoxaparinnatrium blev givet mindre end 8 timer før ballonudvidelsen, er en yderligere dosis ikke nødvendig. Hvis den sidste subkutane dosis blev givet mere end 8 timer før ballonudvidelsen, skal der administrere en intravenøs bolusinjektion på 30 IE/kg (0,3 mg/kg) enoxaparinnatrium.</w:t>
      </w:r>
    </w:p>
    <w:p w14:paraId="6B53597C" w14:textId="77777777" w:rsidR="0048103E" w:rsidRPr="00BD4363" w:rsidRDefault="0048103E" w:rsidP="0048103E">
      <w:pPr>
        <w:pStyle w:val="Default"/>
        <w:ind w:left="851"/>
      </w:pPr>
    </w:p>
    <w:p w14:paraId="779CDD35" w14:textId="77777777" w:rsidR="0048103E" w:rsidRPr="00BD4363" w:rsidRDefault="0048103E" w:rsidP="0048103E">
      <w:pPr>
        <w:ind w:left="851"/>
        <w:textAlignment w:val="baseline"/>
        <w:outlineLvl w:val="0"/>
        <w:rPr>
          <w:i/>
          <w:iCs/>
          <w:color w:val="000000"/>
          <w:sz w:val="24"/>
          <w:szCs w:val="24"/>
        </w:rPr>
      </w:pPr>
      <w:r w:rsidRPr="00BD4363">
        <w:rPr>
          <w:i/>
          <w:iCs/>
          <w:color w:val="000000"/>
          <w:sz w:val="24"/>
          <w:szCs w:val="24"/>
        </w:rPr>
        <w:t>Pædiatrisk population</w:t>
      </w:r>
    </w:p>
    <w:p w14:paraId="57DF4180" w14:textId="77777777" w:rsidR="0048103E" w:rsidRPr="00BD4363" w:rsidRDefault="0048103E" w:rsidP="0048103E">
      <w:pPr>
        <w:pStyle w:val="Default"/>
        <w:ind w:left="851"/>
      </w:pPr>
      <w:r w:rsidRPr="00BD4363">
        <w:t>Enoxaparinnatriums sikkerhed og virkning hos den pædiatriske population er ikke klarlagt.</w:t>
      </w:r>
    </w:p>
    <w:p w14:paraId="2AE0A018" w14:textId="77777777" w:rsidR="0048103E" w:rsidRPr="00BD4363" w:rsidRDefault="0048103E" w:rsidP="0048103E">
      <w:pPr>
        <w:pStyle w:val="Default"/>
        <w:ind w:left="851"/>
        <w:rPr>
          <w:i/>
        </w:rPr>
      </w:pPr>
    </w:p>
    <w:p w14:paraId="066A9555" w14:textId="77777777" w:rsidR="0048103E" w:rsidRPr="00BD4363" w:rsidRDefault="0048103E" w:rsidP="0048103E">
      <w:pPr>
        <w:pStyle w:val="Default"/>
        <w:ind w:left="851"/>
        <w:outlineLvl w:val="0"/>
        <w:rPr>
          <w:i/>
          <w:iCs/>
        </w:rPr>
      </w:pPr>
      <w:r w:rsidRPr="00BD4363">
        <w:rPr>
          <w:i/>
          <w:iCs/>
        </w:rPr>
        <w:t>Ældre</w:t>
      </w:r>
    </w:p>
    <w:p w14:paraId="41EFA4D6" w14:textId="77777777" w:rsidR="0048103E" w:rsidRPr="00BD4363" w:rsidRDefault="0048103E" w:rsidP="0048103E">
      <w:pPr>
        <w:pStyle w:val="Default"/>
        <w:ind w:left="851"/>
      </w:pPr>
      <w:r w:rsidRPr="00BD4363">
        <w:t xml:space="preserve">For alle indikationer med undtagelse af STEMI, er dosisreduktion ikke nødvendig hos ældre, medmindre nyrefunktionen er nedsat (se </w:t>
      </w:r>
      <w:r w:rsidRPr="00BD4363">
        <w:rPr>
          <w:cs/>
        </w:rPr>
        <w:t>"</w:t>
      </w:r>
      <w:r w:rsidRPr="00BD4363">
        <w:t>Nedsat nyrefunktion</w:t>
      </w:r>
      <w:r w:rsidRPr="00BD4363">
        <w:rPr>
          <w:cs/>
        </w:rPr>
        <w:t xml:space="preserve">" </w:t>
      </w:r>
      <w:r w:rsidRPr="00BD4363">
        <w:t>nedenfor og pkt. 4.4).</w:t>
      </w:r>
    </w:p>
    <w:p w14:paraId="2193801C" w14:textId="77777777" w:rsidR="0048103E" w:rsidRPr="00BD4363" w:rsidRDefault="0048103E" w:rsidP="0048103E">
      <w:pPr>
        <w:pStyle w:val="Default"/>
        <w:ind w:left="851"/>
      </w:pPr>
      <w:r w:rsidRPr="00BD4363">
        <w:t xml:space="preserve">Ved behandling af akut STEMI hos ældre patienter </w:t>
      </w:r>
      <w:r w:rsidRPr="00BD4363">
        <w:rPr>
          <w:cs/>
        </w:rPr>
        <w:t>≥</w:t>
      </w:r>
      <w:r w:rsidRPr="00BD4363">
        <w:t> 75 år må der ikke gives initial intravenøs bolus. Dosering indledes med 75 IE/kg (0,75 mg/kg) subkutant hver 12. time (maks 7.500 IE (75 mg) ved hver af de to første subkutane doser skal efterfølges af 75 IE/kg (0,75 mg/kg) subkutant ved de resterende doser). For dosering til ældre med nedsat nyrefunktion, se ”Nedsat nyrefunktion” nedenfor og pkt. 4.4.</w:t>
      </w:r>
    </w:p>
    <w:p w14:paraId="32A667E6" w14:textId="77777777" w:rsidR="0048103E" w:rsidRPr="00BD4363" w:rsidRDefault="0048103E" w:rsidP="0048103E">
      <w:pPr>
        <w:pStyle w:val="Default"/>
        <w:ind w:left="851"/>
      </w:pPr>
    </w:p>
    <w:p w14:paraId="34EC9F19" w14:textId="77777777" w:rsidR="0048103E" w:rsidRPr="00BD4363" w:rsidRDefault="0048103E" w:rsidP="0014694F">
      <w:pPr>
        <w:pStyle w:val="Default"/>
        <w:keepNext/>
        <w:ind w:left="851"/>
        <w:outlineLvl w:val="0"/>
        <w:rPr>
          <w:i/>
          <w:iCs/>
        </w:rPr>
      </w:pPr>
      <w:r w:rsidRPr="00BD4363">
        <w:rPr>
          <w:i/>
          <w:iCs/>
        </w:rPr>
        <w:t>Nedsat leverfunktion</w:t>
      </w:r>
    </w:p>
    <w:p w14:paraId="459A4DED" w14:textId="02443326" w:rsidR="0048103E" w:rsidRPr="00BD4363" w:rsidRDefault="0048103E" w:rsidP="00D57DDA">
      <w:pPr>
        <w:pStyle w:val="Default"/>
        <w:tabs>
          <w:tab w:val="left" w:pos="9072"/>
        </w:tabs>
        <w:ind w:left="851"/>
      </w:pPr>
      <w:r w:rsidRPr="00BD4363">
        <w:t>Da der kun foreligger begrænsede data for patienter med nedsat leverfunktion (se pkt. 5.1 og 5.2), skal der udvises forsigtighed hos disse patienter (se pkt. 4.4).</w:t>
      </w:r>
    </w:p>
    <w:p w14:paraId="4BAC5271" w14:textId="77777777" w:rsidR="0048103E" w:rsidRPr="00BD4363" w:rsidRDefault="0048103E" w:rsidP="0048103E">
      <w:pPr>
        <w:pStyle w:val="Default"/>
        <w:ind w:left="851"/>
      </w:pPr>
    </w:p>
    <w:p w14:paraId="2CE38E9F" w14:textId="77777777" w:rsidR="0048103E" w:rsidRPr="00BD4363" w:rsidRDefault="0048103E" w:rsidP="005B4967">
      <w:pPr>
        <w:pStyle w:val="Default"/>
        <w:keepNext/>
        <w:ind w:left="851"/>
      </w:pPr>
      <w:r w:rsidRPr="00BD4363">
        <w:rPr>
          <w:i/>
          <w:iCs/>
        </w:rPr>
        <w:lastRenderedPageBreak/>
        <w:t>Nedsat nyrefunktion (se pkt. 4.4 og 5.2)</w:t>
      </w:r>
    </w:p>
    <w:p w14:paraId="30E32DDF" w14:textId="77777777" w:rsidR="0048103E" w:rsidRPr="00BD4363" w:rsidRDefault="0048103E" w:rsidP="0048103E">
      <w:pPr>
        <w:pStyle w:val="Default"/>
        <w:ind w:left="851"/>
      </w:pPr>
    </w:p>
    <w:p w14:paraId="1663A220" w14:textId="77777777" w:rsidR="0048103E" w:rsidRPr="00BD4363" w:rsidRDefault="0048103E" w:rsidP="0057797C">
      <w:pPr>
        <w:pStyle w:val="Default"/>
        <w:keepNext/>
        <w:numPr>
          <w:ilvl w:val="0"/>
          <w:numId w:val="12"/>
        </w:numPr>
        <w:ind w:left="1135" w:hanging="284"/>
        <w:rPr>
          <w:iCs/>
        </w:rPr>
      </w:pPr>
      <w:r w:rsidRPr="00BD4363">
        <w:rPr>
          <w:iCs/>
        </w:rPr>
        <w:t>Svært nedsat nyrefunktion</w:t>
      </w:r>
    </w:p>
    <w:p w14:paraId="074F5E80" w14:textId="77777777" w:rsidR="0048103E" w:rsidRPr="00BD4363" w:rsidRDefault="0048103E" w:rsidP="0048103E">
      <w:pPr>
        <w:pStyle w:val="Default"/>
        <w:ind w:left="851"/>
      </w:pPr>
      <w:r w:rsidRPr="00BD4363">
        <w:t>Bortset fra profylakse mod trombose i det ekstrakorporale kredsløb under dialyse bør enoxaparinnatrium ikke anvendes hos patienter med nyresygdom i slutstadiet (kreatinin-</w:t>
      </w:r>
      <w:r w:rsidRPr="00BD4363">
        <w:rPr>
          <w:i/>
          <w:iCs/>
        </w:rPr>
        <w:t>clearance</w:t>
      </w:r>
      <w:r w:rsidRPr="00BD4363">
        <w:t xml:space="preserve"> &lt; 15 ml/min) på grund af manglende data for denne population.</w:t>
      </w:r>
    </w:p>
    <w:p w14:paraId="0AE902CF" w14:textId="77777777" w:rsidR="0048103E" w:rsidRPr="00BD4363" w:rsidRDefault="0048103E" w:rsidP="0048103E">
      <w:pPr>
        <w:pStyle w:val="Default"/>
        <w:ind w:left="851"/>
      </w:pPr>
    </w:p>
    <w:p w14:paraId="281D7C6B" w14:textId="77777777" w:rsidR="0048103E" w:rsidRPr="00BD4363" w:rsidRDefault="0048103E" w:rsidP="0048103E">
      <w:pPr>
        <w:pStyle w:val="Default"/>
        <w:ind w:left="851"/>
      </w:pPr>
      <w:r w:rsidRPr="00BD4363">
        <w:t>Doseringstabel for patienter med svært nedsat nyrefunktion (kreatinin-</w:t>
      </w:r>
      <w:r w:rsidRPr="00BD4363">
        <w:rPr>
          <w:i/>
          <w:iCs/>
        </w:rPr>
        <w:t>clearance</w:t>
      </w:r>
      <w:r w:rsidRPr="00BD4363">
        <w:t xml:space="preserve"> 15-30 ml/min):</w:t>
      </w:r>
    </w:p>
    <w:p w14:paraId="0E3AD7B6" w14:textId="77777777" w:rsidR="0048103E" w:rsidRPr="00485998" w:rsidRDefault="0048103E" w:rsidP="0048103E">
      <w:pPr>
        <w:pStyle w:val="Default"/>
        <w:ind w:left="851"/>
      </w:pPr>
    </w:p>
    <w:tbl>
      <w:tblPr>
        <w:tblW w:w="8886" w:type="dxa"/>
        <w:tblInd w:w="843" w:type="dxa"/>
        <w:tblLayout w:type="fixed"/>
        <w:tblCellMar>
          <w:left w:w="0" w:type="dxa"/>
          <w:right w:w="0" w:type="dxa"/>
        </w:tblCellMar>
        <w:tblLook w:val="04A0" w:firstRow="1" w:lastRow="0" w:firstColumn="1" w:lastColumn="0" w:noHBand="0" w:noVBand="1"/>
      </w:tblPr>
      <w:tblGrid>
        <w:gridCol w:w="4277"/>
        <w:gridCol w:w="4609"/>
      </w:tblGrid>
      <w:tr w:rsidR="0048103E" w14:paraId="7B4FE6E8" w14:textId="77777777" w:rsidTr="0048103E">
        <w:trPr>
          <w:trHeight w:hRule="exact" w:val="433"/>
        </w:trPr>
        <w:tc>
          <w:tcPr>
            <w:tcW w:w="4277" w:type="dxa"/>
            <w:tcBorders>
              <w:top w:val="single" w:sz="6" w:space="0" w:color="000000"/>
              <w:left w:val="single" w:sz="6" w:space="0" w:color="000000"/>
              <w:bottom w:val="single" w:sz="6" w:space="0" w:color="000000"/>
              <w:right w:val="single" w:sz="6" w:space="0" w:color="000000"/>
            </w:tcBorders>
            <w:vAlign w:val="center"/>
          </w:tcPr>
          <w:p w14:paraId="0272157F" w14:textId="77777777" w:rsidR="0048103E" w:rsidRPr="00485998" w:rsidRDefault="0048103E" w:rsidP="0048103E">
            <w:pPr>
              <w:textAlignment w:val="baseline"/>
              <w:rPr>
                <w:color w:val="000000"/>
              </w:rPr>
            </w:pPr>
            <w:r w:rsidRPr="00485998">
              <w:rPr>
                <w:color w:val="000000"/>
              </w:rPr>
              <w:t>Indikation</w:t>
            </w:r>
          </w:p>
        </w:tc>
        <w:tc>
          <w:tcPr>
            <w:tcW w:w="4609" w:type="dxa"/>
            <w:tcBorders>
              <w:top w:val="single" w:sz="6" w:space="0" w:color="000000"/>
              <w:left w:val="single" w:sz="6" w:space="0" w:color="000000"/>
              <w:bottom w:val="single" w:sz="6" w:space="0" w:color="000000"/>
              <w:right w:val="single" w:sz="6" w:space="0" w:color="000000"/>
            </w:tcBorders>
            <w:vAlign w:val="center"/>
          </w:tcPr>
          <w:p w14:paraId="6DAF5B56" w14:textId="77777777" w:rsidR="0048103E" w:rsidRPr="00485998" w:rsidRDefault="0048103E" w:rsidP="0048103E">
            <w:pPr>
              <w:textAlignment w:val="baseline"/>
              <w:rPr>
                <w:color w:val="000000"/>
              </w:rPr>
            </w:pPr>
            <w:r w:rsidRPr="00485998">
              <w:rPr>
                <w:color w:val="000000"/>
              </w:rPr>
              <w:t>Dos</w:t>
            </w:r>
            <w:r>
              <w:rPr>
                <w:color w:val="000000"/>
              </w:rPr>
              <w:t>ering</w:t>
            </w:r>
          </w:p>
        </w:tc>
      </w:tr>
      <w:tr w:rsidR="0048103E" w14:paraId="22A7A4E8" w14:textId="77777777" w:rsidTr="0048103E">
        <w:trPr>
          <w:trHeight w:hRule="exact" w:val="845"/>
        </w:trPr>
        <w:tc>
          <w:tcPr>
            <w:tcW w:w="4277" w:type="dxa"/>
            <w:tcBorders>
              <w:top w:val="single" w:sz="6" w:space="0" w:color="000000"/>
              <w:left w:val="single" w:sz="6" w:space="0" w:color="000000"/>
              <w:bottom w:val="single" w:sz="6" w:space="0" w:color="000000"/>
              <w:right w:val="single" w:sz="6" w:space="0" w:color="000000"/>
            </w:tcBorders>
          </w:tcPr>
          <w:p w14:paraId="435A3C01" w14:textId="77777777" w:rsidR="0048103E" w:rsidRPr="00485998" w:rsidRDefault="0048103E" w:rsidP="0048103E">
            <w:pPr>
              <w:textAlignment w:val="baseline"/>
              <w:rPr>
                <w:color w:val="000000"/>
              </w:rPr>
            </w:pPr>
            <w:r w:rsidRPr="00485998">
              <w:rPr>
                <w:color w:val="000000"/>
              </w:rPr>
              <w:t xml:space="preserve">Profylakse </w:t>
            </w:r>
            <w:r>
              <w:rPr>
                <w:color w:val="000000"/>
              </w:rPr>
              <w:t>mod</w:t>
            </w:r>
            <w:r w:rsidRPr="00485998">
              <w:rPr>
                <w:color w:val="000000"/>
              </w:rPr>
              <w:t xml:space="preserve"> venøs tromboembolisk sygdom</w:t>
            </w:r>
          </w:p>
        </w:tc>
        <w:tc>
          <w:tcPr>
            <w:tcW w:w="4609" w:type="dxa"/>
            <w:tcBorders>
              <w:top w:val="single" w:sz="6" w:space="0" w:color="000000"/>
              <w:left w:val="single" w:sz="6" w:space="0" w:color="000000"/>
              <w:bottom w:val="single" w:sz="6" w:space="0" w:color="000000"/>
              <w:right w:val="single" w:sz="6" w:space="0" w:color="000000"/>
            </w:tcBorders>
          </w:tcPr>
          <w:p w14:paraId="77BCD797" w14:textId="77777777" w:rsidR="0048103E" w:rsidRPr="00485998" w:rsidRDefault="0048103E" w:rsidP="0048103E">
            <w:pPr>
              <w:textAlignment w:val="baseline"/>
              <w:rPr>
                <w:color w:val="000000"/>
              </w:rPr>
            </w:pPr>
            <w:r w:rsidRPr="00485998">
              <w:rPr>
                <w:color w:val="000000"/>
              </w:rPr>
              <w:t xml:space="preserve">2.000 IE (20 mg) s.c. </w:t>
            </w:r>
            <w:r>
              <w:rPr>
                <w:color w:val="000000"/>
              </w:rPr>
              <w:t>en</w:t>
            </w:r>
            <w:r w:rsidRPr="00485998">
              <w:rPr>
                <w:color w:val="000000"/>
              </w:rPr>
              <w:t xml:space="preserve"> gang </w:t>
            </w:r>
            <w:r>
              <w:rPr>
                <w:color w:val="000000"/>
              </w:rPr>
              <w:t>dagligt</w:t>
            </w:r>
          </w:p>
        </w:tc>
      </w:tr>
      <w:tr w:rsidR="0048103E" w14:paraId="242CA506" w14:textId="77777777" w:rsidTr="0048103E">
        <w:trPr>
          <w:trHeight w:hRule="exact" w:val="815"/>
        </w:trPr>
        <w:tc>
          <w:tcPr>
            <w:tcW w:w="4277" w:type="dxa"/>
            <w:tcBorders>
              <w:top w:val="single" w:sz="6" w:space="0" w:color="000000"/>
              <w:left w:val="single" w:sz="6" w:space="0" w:color="000000"/>
              <w:bottom w:val="single" w:sz="6" w:space="0" w:color="000000"/>
              <w:right w:val="single" w:sz="6" w:space="0" w:color="000000"/>
            </w:tcBorders>
          </w:tcPr>
          <w:p w14:paraId="146E253C" w14:textId="77777777" w:rsidR="0048103E" w:rsidRPr="00485998" w:rsidRDefault="0048103E" w:rsidP="0048103E">
            <w:pPr>
              <w:textAlignment w:val="baseline"/>
              <w:rPr>
                <w:color w:val="000000"/>
              </w:rPr>
            </w:pPr>
            <w:r w:rsidRPr="00485998">
              <w:rPr>
                <w:color w:val="000000"/>
              </w:rPr>
              <w:t>Behandling af DVT og PE</w:t>
            </w:r>
          </w:p>
        </w:tc>
        <w:tc>
          <w:tcPr>
            <w:tcW w:w="4609" w:type="dxa"/>
            <w:tcBorders>
              <w:top w:val="single" w:sz="6" w:space="0" w:color="000000"/>
              <w:left w:val="single" w:sz="6" w:space="0" w:color="000000"/>
              <w:bottom w:val="single" w:sz="6" w:space="0" w:color="000000"/>
              <w:right w:val="single" w:sz="6" w:space="0" w:color="000000"/>
            </w:tcBorders>
          </w:tcPr>
          <w:p w14:paraId="6097372D" w14:textId="77777777" w:rsidR="0048103E" w:rsidRPr="00485998" w:rsidRDefault="0048103E" w:rsidP="0048103E">
            <w:pPr>
              <w:textAlignment w:val="baseline"/>
              <w:rPr>
                <w:color w:val="000000"/>
              </w:rPr>
            </w:pPr>
            <w:r w:rsidRPr="00485998">
              <w:rPr>
                <w:color w:val="000000"/>
              </w:rPr>
              <w:t xml:space="preserve">100 IE/kg (1 mg/kg) legemsvægt s.c. </w:t>
            </w:r>
            <w:r>
              <w:rPr>
                <w:color w:val="000000"/>
              </w:rPr>
              <w:t>en</w:t>
            </w:r>
            <w:r w:rsidRPr="00485998">
              <w:rPr>
                <w:color w:val="000000"/>
              </w:rPr>
              <w:t xml:space="preserve"> gang </w:t>
            </w:r>
            <w:r>
              <w:rPr>
                <w:color w:val="000000"/>
              </w:rPr>
              <w:t>dagligt</w:t>
            </w:r>
          </w:p>
        </w:tc>
      </w:tr>
      <w:tr w:rsidR="00CA138F" w14:paraId="22D1C078" w14:textId="77777777" w:rsidTr="0048103E">
        <w:trPr>
          <w:trHeight w:hRule="exact" w:val="815"/>
        </w:trPr>
        <w:tc>
          <w:tcPr>
            <w:tcW w:w="4277" w:type="dxa"/>
            <w:tcBorders>
              <w:top w:val="single" w:sz="6" w:space="0" w:color="000000"/>
              <w:left w:val="single" w:sz="6" w:space="0" w:color="000000"/>
              <w:bottom w:val="single" w:sz="6" w:space="0" w:color="000000"/>
              <w:right w:val="single" w:sz="6" w:space="0" w:color="000000"/>
            </w:tcBorders>
          </w:tcPr>
          <w:p w14:paraId="62A057E1" w14:textId="231FF060" w:rsidR="00CA138F" w:rsidRPr="00485998" w:rsidRDefault="00CA138F" w:rsidP="0048103E">
            <w:pPr>
              <w:textAlignment w:val="baseline"/>
              <w:rPr>
                <w:color w:val="000000"/>
              </w:rPr>
            </w:pPr>
            <w:r>
              <w:rPr>
                <w:color w:val="000000"/>
              </w:rPr>
              <w:t>Udvidet behandling af DVT og PE hos patienter med aktiv cancer</w:t>
            </w:r>
          </w:p>
        </w:tc>
        <w:tc>
          <w:tcPr>
            <w:tcW w:w="4609" w:type="dxa"/>
            <w:tcBorders>
              <w:top w:val="single" w:sz="6" w:space="0" w:color="000000"/>
              <w:left w:val="single" w:sz="6" w:space="0" w:color="000000"/>
              <w:bottom w:val="single" w:sz="6" w:space="0" w:color="000000"/>
              <w:right w:val="single" w:sz="6" w:space="0" w:color="000000"/>
            </w:tcBorders>
          </w:tcPr>
          <w:p w14:paraId="3C584EBF" w14:textId="0825DE0D" w:rsidR="00CA138F" w:rsidRPr="00485998" w:rsidRDefault="00CA138F" w:rsidP="0048103E">
            <w:pPr>
              <w:textAlignment w:val="baseline"/>
              <w:rPr>
                <w:color w:val="000000"/>
              </w:rPr>
            </w:pPr>
            <w:r>
              <w:rPr>
                <w:color w:val="000000"/>
              </w:rPr>
              <w:t>100 IE/kg (1 mg/kg) legemsvægt s.c. en gang dagligt</w:t>
            </w:r>
          </w:p>
        </w:tc>
      </w:tr>
      <w:tr w:rsidR="0048103E" w14:paraId="7F8C2BCB" w14:textId="77777777" w:rsidTr="0048103E">
        <w:trPr>
          <w:trHeight w:hRule="exact" w:val="809"/>
        </w:trPr>
        <w:tc>
          <w:tcPr>
            <w:tcW w:w="4277" w:type="dxa"/>
            <w:tcBorders>
              <w:top w:val="single" w:sz="6" w:space="0" w:color="000000"/>
              <w:left w:val="single" w:sz="6" w:space="0" w:color="000000"/>
              <w:bottom w:val="single" w:sz="6" w:space="0" w:color="000000"/>
              <w:right w:val="single" w:sz="6" w:space="0" w:color="000000"/>
            </w:tcBorders>
          </w:tcPr>
          <w:p w14:paraId="5FC38B54" w14:textId="77777777" w:rsidR="0048103E" w:rsidRPr="00485998" w:rsidRDefault="0048103E" w:rsidP="0048103E">
            <w:pPr>
              <w:textAlignment w:val="baseline"/>
              <w:rPr>
                <w:color w:val="000000"/>
              </w:rPr>
            </w:pPr>
            <w:r w:rsidRPr="00485998">
              <w:rPr>
                <w:color w:val="000000"/>
              </w:rPr>
              <w:t xml:space="preserve">Behandling af ustabil angina </w:t>
            </w:r>
            <w:r>
              <w:rPr>
                <w:color w:val="000000"/>
              </w:rPr>
              <w:t xml:space="preserve">pectoris </w:t>
            </w:r>
            <w:r w:rsidRPr="00485998">
              <w:rPr>
                <w:color w:val="000000"/>
              </w:rPr>
              <w:t>og NSTEMI</w:t>
            </w:r>
          </w:p>
        </w:tc>
        <w:tc>
          <w:tcPr>
            <w:tcW w:w="4609" w:type="dxa"/>
            <w:tcBorders>
              <w:top w:val="single" w:sz="6" w:space="0" w:color="000000"/>
              <w:left w:val="single" w:sz="6" w:space="0" w:color="000000"/>
              <w:bottom w:val="single" w:sz="6" w:space="0" w:color="000000"/>
              <w:right w:val="single" w:sz="6" w:space="0" w:color="000000"/>
            </w:tcBorders>
          </w:tcPr>
          <w:p w14:paraId="6BC4FF89" w14:textId="77777777" w:rsidR="0048103E" w:rsidRPr="00485998" w:rsidRDefault="0048103E" w:rsidP="0048103E">
            <w:pPr>
              <w:textAlignment w:val="baseline"/>
              <w:rPr>
                <w:color w:val="000000"/>
              </w:rPr>
            </w:pPr>
            <w:r w:rsidRPr="00485998">
              <w:rPr>
                <w:color w:val="000000"/>
              </w:rPr>
              <w:t xml:space="preserve">100 IE/kg (1 mg/kg) legemsvægt s.c. </w:t>
            </w:r>
            <w:r>
              <w:rPr>
                <w:color w:val="000000"/>
              </w:rPr>
              <w:t>en</w:t>
            </w:r>
            <w:r w:rsidRPr="00485998">
              <w:rPr>
                <w:color w:val="000000"/>
              </w:rPr>
              <w:t xml:space="preserve"> gang </w:t>
            </w:r>
            <w:r>
              <w:rPr>
                <w:color w:val="000000"/>
              </w:rPr>
              <w:t>dagligt</w:t>
            </w:r>
          </w:p>
        </w:tc>
      </w:tr>
      <w:tr w:rsidR="0048103E" w14:paraId="21832D01" w14:textId="77777777" w:rsidTr="0048103E">
        <w:trPr>
          <w:trHeight w:hRule="exact" w:val="2484"/>
        </w:trPr>
        <w:tc>
          <w:tcPr>
            <w:tcW w:w="4277" w:type="dxa"/>
            <w:tcBorders>
              <w:top w:val="single" w:sz="6" w:space="0" w:color="000000"/>
              <w:left w:val="single" w:sz="6" w:space="0" w:color="000000"/>
              <w:bottom w:val="single" w:sz="6" w:space="0" w:color="000000"/>
              <w:right w:val="single" w:sz="6" w:space="0" w:color="000000"/>
            </w:tcBorders>
          </w:tcPr>
          <w:p w14:paraId="3F7902DB" w14:textId="77777777" w:rsidR="0048103E" w:rsidRPr="00485998" w:rsidRDefault="0048103E" w:rsidP="0048103E">
            <w:pPr>
              <w:textAlignment w:val="baseline"/>
              <w:rPr>
                <w:color w:val="000000"/>
              </w:rPr>
            </w:pPr>
            <w:r w:rsidRPr="00485998">
              <w:rPr>
                <w:color w:val="000000"/>
              </w:rPr>
              <w:t>Behandling af akut STEMI (patienter under 75 år)</w:t>
            </w:r>
          </w:p>
          <w:p w14:paraId="206F6BFE" w14:textId="77777777" w:rsidR="0048103E" w:rsidRDefault="0048103E" w:rsidP="0048103E">
            <w:pPr>
              <w:ind w:left="142"/>
              <w:textAlignment w:val="baseline"/>
              <w:rPr>
                <w:color w:val="000000"/>
              </w:rPr>
            </w:pPr>
          </w:p>
          <w:p w14:paraId="6D8EC058" w14:textId="77777777" w:rsidR="0048103E" w:rsidRDefault="0048103E" w:rsidP="0048103E">
            <w:pPr>
              <w:ind w:left="142"/>
              <w:textAlignment w:val="baseline"/>
              <w:rPr>
                <w:color w:val="000000"/>
              </w:rPr>
            </w:pPr>
          </w:p>
          <w:p w14:paraId="1875DE57" w14:textId="77777777" w:rsidR="0048103E" w:rsidRPr="00485998" w:rsidRDefault="0048103E" w:rsidP="0048103E">
            <w:pPr>
              <w:textAlignment w:val="baseline"/>
              <w:rPr>
                <w:color w:val="000000"/>
              </w:rPr>
            </w:pPr>
            <w:r w:rsidRPr="00485998">
              <w:rPr>
                <w:color w:val="000000"/>
              </w:rPr>
              <w:t>Behandling af akut STEMI (patienter over 75 år)</w:t>
            </w:r>
          </w:p>
        </w:tc>
        <w:tc>
          <w:tcPr>
            <w:tcW w:w="4609" w:type="dxa"/>
            <w:tcBorders>
              <w:top w:val="single" w:sz="6" w:space="0" w:color="000000"/>
              <w:left w:val="single" w:sz="6" w:space="0" w:color="000000"/>
              <w:bottom w:val="single" w:sz="6" w:space="0" w:color="000000"/>
              <w:right w:val="single" w:sz="6" w:space="0" w:color="000000"/>
            </w:tcBorders>
          </w:tcPr>
          <w:p w14:paraId="7CDF7882" w14:textId="77777777" w:rsidR="0048103E" w:rsidRPr="00485998" w:rsidRDefault="0048103E" w:rsidP="0048103E">
            <w:pPr>
              <w:ind w:right="36"/>
              <w:textAlignment w:val="baseline"/>
              <w:rPr>
                <w:color w:val="000000"/>
              </w:rPr>
            </w:pPr>
            <w:r w:rsidRPr="00485998">
              <w:rPr>
                <w:color w:val="000000"/>
              </w:rPr>
              <w:t>1</w:t>
            </w:r>
            <w:r>
              <w:rPr>
                <w:color w:val="000000"/>
              </w:rPr>
              <w:t>×</w:t>
            </w:r>
            <w:r w:rsidRPr="00485998">
              <w:rPr>
                <w:color w:val="000000"/>
              </w:rPr>
              <w:t>3.000 IE (30 mg) i.v.</w:t>
            </w:r>
            <w:r>
              <w:rPr>
                <w:color w:val="000000"/>
              </w:rPr>
              <w:t>-</w:t>
            </w:r>
            <w:r w:rsidRPr="00485998">
              <w:rPr>
                <w:color w:val="000000"/>
              </w:rPr>
              <w:t>bolus plus 100 IE/kg (1 mg/kg) legemsvægt s.c.</w:t>
            </w:r>
            <w:r>
              <w:t xml:space="preserve"> </w:t>
            </w:r>
            <w:r w:rsidRPr="004E424F">
              <w:rPr>
                <w:color w:val="000000"/>
              </w:rPr>
              <w:t>efterfulgt af</w:t>
            </w:r>
            <w:r w:rsidRPr="00485998">
              <w:rPr>
                <w:color w:val="000000"/>
              </w:rPr>
              <w:t xml:space="preserve"> 100 IE/kg (1 mg/kg) </w:t>
            </w:r>
            <w:r>
              <w:rPr>
                <w:color w:val="000000"/>
              </w:rPr>
              <w:t xml:space="preserve">legemsvægt </w:t>
            </w:r>
            <w:r w:rsidRPr="00485998">
              <w:rPr>
                <w:color w:val="000000"/>
              </w:rPr>
              <w:t xml:space="preserve">s.c. </w:t>
            </w:r>
            <w:r>
              <w:rPr>
                <w:color w:val="000000"/>
              </w:rPr>
              <w:t>en</w:t>
            </w:r>
            <w:r w:rsidRPr="00485998">
              <w:rPr>
                <w:color w:val="000000"/>
              </w:rPr>
              <w:t xml:space="preserve"> gang </w:t>
            </w:r>
            <w:r>
              <w:rPr>
                <w:color w:val="000000"/>
              </w:rPr>
              <w:t>dagligt</w:t>
            </w:r>
            <w:r w:rsidRPr="00485998" w:rsidDel="00E16EE6">
              <w:rPr>
                <w:color w:val="000000"/>
              </w:rPr>
              <w:t xml:space="preserve"> </w:t>
            </w:r>
          </w:p>
          <w:p w14:paraId="241F0951" w14:textId="77777777" w:rsidR="0048103E" w:rsidRDefault="0048103E" w:rsidP="0048103E">
            <w:pPr>
              <w:ind w:left="122" w:right="36"/>
              <w:textAlignment w:val="baseline"/>
              <w:rPr>
                <w:color w:val="000000"/>
              </w:rPr>
            </w:pPr>
          </w:p>
          <w:p w14:paraId="55B52617" w14:textId="77777777" w:rsidR="0048103E" w:rsidRPr="00485998" w:rsidRDefault="0048103E" w:rsidP="0048103E">
            <w:pPr>
              <w:ind w:right="36"/>
              <w:textAlignment w:val="baseline"/>
              <w:rPr>
                <w:color w:val="000000"/>
              </w:rPr>
            </w:pPr>
            <w:r w:rsidRPr="00485998">
              <w:rPr>
                <w:color w:val="000000"/>
              </w:rPr>
              <w:t>Ingen</w:t>
            </w:r>
            <w:r>
              <w:rPr>
                <w:color w:val="000000"/>
              </w:rPr>
              <w:t xml:space="preserve"> initial</w:t>
            </w:r>
            <w:r w:rsidRPr="00485998">
              <w:rPr>
                <w:color w:val="000000"/>
              </w:rPr>
              <w:t xml:space="preserve"> i.v.</w:t>
            </w:r>
            <w:r>
              <w:rPr>
                <w:color w:val="000000"/>
              </w:rPr>
              <w:t>-</w:t>
            </w:r>
            <w:r w:rsidRPr="00485998">
              <w:rPr>
                <w:color w:val="000000"/>
              </w:rPr>
              <w:t xml:space="preserve">bolus, 100 IE/kg (1 mg/kg) legemsvægt s.c. </w:t>
            </w:r>
            <w:r w:rsidRPr="004E424F">
              <w:rPr>
                <w:color w:val="000000"/>
              </w:rPr>
              <w:t>efterfulgt af</w:t>
            </w:r>
            <w:r w:rsidRPr="00485998">
              <w:rPr>
                <w:color w:val="000000"/>
              </w:rPr>
              <w:t xml:space="preserve"> 100 IE/kg (1 mg/kg) legemsvægt s.c. </w:t>
            </w:r>
            <w:r>
              <w:rPr>
                <w:color w:val="000000"/>
              </w:rPr>
              <w:t>en</w:t>
            </w:r>
            <w:r w:rsidRPr="00485998">
              <w:rPr>
                <w:color w:val="000000"/>
              </w:rPr>
              <w:t xml:space="preserve"> gang </w:t>
            </w:r>
            <w:r>
              <w:rPr>
                <w:color w:val="000000"/>
              </w:rPr>
              <w:t>dagligt</w:t>
            </w:r>
          </w:p>
        </w:tc>
      </w:tr>
    </w:tbl>
    <w:p w14:paraId="40624160" w14:textId="77777777" w:rsidR="0048103E" w:rsidRPr="00485998" w:rsidRDefault="0048103E" w:rsidP="0048103E">
      <w:pPr>
        <w:pStyle w:val="Default"/>
        <w:ind w:left="851"/>
      </w:pPr>
    </w:p>
    <w:p w14:paraId="1472DAB1" w14:textId="77777777" w:rsidR="0048103E" w:rsidRPr="00485998" w:rsidRDefault="0048103E" w:rsidP="0048103E">
      <w:pPr>
        <w:pStyle w:val="Default"/>
        <w:ind w:left="851"/>
        <w:outlineLvl w:val="0"/>
      </w:pPr>
      <w:r w:rsidRPr="00485998">
        <w:t>De anbefalede dosisjusteringer gælder ikke</w:t>
      </w:r>
      <w:r w:rsidRPr="0052031E">
        <w:t xml:space="preserve"> i forbindelse med</w:t>
      </w:r>
      <w:r>
        <w:t xml:space="preserve"> </w:t>
      </w:r>
      <w:r w:rsidRPr="00485998">
        <w:t>indikationen</w:t>
      </w:r>
      <w:r>
        <w:t xml:space="preserve"> </w:t>
      </w:r>
      <w:r w:rsidRPr="0052031E">
        <w:t>hæmodialyse</w:t>
      </w:r>
      <w:r w:rsidRPr="00485998">
        <w:t>.</w:t>
      </w:r>
    </w:p>
    <w:p w14:paraId="153C7179" w14:textId="77777777" w:rsidR="0048103E" w:rsidRPr="00485998" w:rsidRDefault="0048103E" w:rsidP="0048103E">
      <w:pPr>
        <w:pStyle w:val="Default"/>
        <w:ind w:left="851"/>
        <w:rPr>
          <w:i/>
        </w:rPr>
      </w:pPr>
    </w:p>
    <w:p w14:paraId="4AD9F923" w14:textId="77777777" w:rsidR="0048103E" w:rsidRPr="009651C7" w:rsidRDefault="0048103E" w:rsidP="0048103E">
      <w:pPr>
        <w:pStyle w:val="Default"/>
        <w:numPr>
          <w:ilvl w:val="0"/>
          <w:numId w:val="12"/>
        </w:numPr>
        <w:ind w:left="1134" w:hanging="283"/>
        <w:rPr>
          <w:iCs/>
        </w:rPr>
      </w:pPr>
      <w:r w:rsidRPr="009651C7">
        <w:rPr>
          <w:iCs/>
        </w:rPr>
        <w:t xml:space="preserve">Moderat og </w:t>
      </w:r>
      <w:r>
        <w:rPr>
          <w:iCs/>
        </w:rPr>
        <w:t>le</w:t>
      </w:r>
      <w:r w:rsidRPr="009651C7">
        <w:rPr>
          <w:iCs/>
        </w:rPr>
        <w:t>t nedsat nyrefunktion</w:t>
      </w:r>
    </w:p>
    <w:p w14:paraId="273786D0" w14:textId="77777777" w:rsidR="0048103E" w:rsidRPr="00485998" w:rsidRDefault="0048103E" w:rsidP="0048103E">
      <w:pPr>
        <w:pStyle w:val="Default"/>
        <w:ind w:left="851"/>
      </w:pPr>
      <w:r w:rsidRPr="00485998">
        <w:t xml:space="preserve">Selvom der ikke </w:t>
      </w:r>
      <w:r w:rsidRPr="001F7299">
        <w:t xml:space="preserve">anbefales dosisjustering for </w:t>
      </w:r>
      <w:r w:rsidRPr="00485998">
        <w:t xml:space="preserve">patienter med moderat nedsat </w:t>
      </w:r>
      <w:r w:rsidRPr="00260A37">
        <w:t xml:space="preserve">nyrefunktion </w:t>
      </w:r>
      <w:r w:rsidRPr="00485998">
        <w:t>(kreatinin</w:t>
      </w:r>
      <w:r>
        <w:t>-</w:t>
      </w:r>
      <w:r w:rsidRPr="009651C7">
        <w:rPr>
          <w:i/>
          <w:iCs/>
        </w:rPr>
        <w:t>clearance</w:t>
      </w:r>
      <w:r w:rsidRPr="00485998">
        <w:t xml:space="preserve"> 30-50 ml/min) </w:t>
      </w:r>
      <w:r>
        <w:t>eller let</w:t>
      </w:r>
      <w:r w:rsidRPr="00485998">
        <w:t xml:space="preserve"> nedsat </w:t>
      </w:r>
      <w:r w:rsidRPr="009461E2">
        <w:t xml:space="preserve">nyrefunktion </w:t>
      </w:r>
      <w:r w:rsidRPr="00485998">
        <w:t>(kreatinin</w:t>
      </w:r>
      <w:r>
        <w:t>-</w:t>
      </w:r>
      <w:r w:rsidRPr="009651C7">
        <w:rPr>
          <w:i/>
          <w:iCs/>
        </w:rPr>
        <w:t>clearance</w:t>
      </w:r>
      <w:r w:rsidRPr="00485998">
        <w:t xml:space="preserve"> 50-80 ml/min)</w:t>
      </w:r>
      <w:r>
        <w:t xml:space="preserve">, </w:t>
      </w:r>
      <w:r w:rsidRPr="002C6DE7">
        <w:t>tilrådes omhyggelig</w:t>
      </w:r>
      <w:r w:rsidRPr="00485998">
        <w:t xml:space="preserve"> klinisk monitorering.</w:t>
      </w:r>
    </w:p>
    <w:p w14:paraId="183B9DE6" w14:textId="77777777" w:rsidR="0048103E" w:rsidRPr="00485998" w:rsidRDefault="0048103E" w:rsidP="0048103E">
      <w:pPr>
        <w:pStyle w:val="Default"/>
        <w:ind w:left="851"/>
      </w:pPr>
    </w:p>
    <w:p w14:paraId="42254D35" w14:textId="77777777" w:rsidR="0048103E" w:rsidRPr="009651C7" w:rsidRDefault="0048103E" w:rsidP="0048103E">
      <w:pPr>
        <w:pStyle w:val="Default"/>
        <w:ind w:left="851"/>
        <w:outlineLvl w:val="0"/>
        <w:rPr>
          <w:bCs/>
          <w:u w:val="single"/>
        </w:rPr>
      </w:pPr>
      <w:r w:rsidRPr="009651C7">
        <w:rPr>
          <w:bCs/>
          <w:u w:val="single"/>
        </w:rPr>
        <w:t>Administration</w:t>
      </w:r>
    </w:p>
    <w:p w14:paraId="2C0FBD20" w14:textId="77777777" w:rsidR="0048103E" w:rsidRDefault="0048103E" w:rsidP="0048103E">
      <w:pPr>
        <w:pStyle w:val="Default"/>
        <w:ind w:left="851"/>
      </w:pPr>
      <w:r>
        <w:t>Ghemaxan</w:t>
      </w:r>
      <w:r w:rsidRPr="00485998">
        <w:t xml:space="preserve"> må ikke administreres intramuskulært.</w:t>
      </w:r>
    </w:p>
    <w:p w14:paraId="72D74A6A" w14:textId="77777777" w:rsidR="0048103E" w:rsidRPr="00485998" w:rsidRDefault="0048103E" w:rsidP="0048103E">
      <w:pPr>
        <w:pStyle w:val="Default"/>
        <w:ind w:left="851"/>
      </w:pPr>
    </w:p>
    <w:p w14:paraId="68076E79" w14:textId="77777777" w:rsidR="00CA138F" w:rsidRDefault="00CA138F" w:rsidP="00CA138F">
      <w:pPr>
        <w:pStyle w:val="Default"/>
        <w:ind w:left="851"/>
      </w:pPr>
      <w:r>
        <w:t>Enoxaparinnatrium bør administreres som subkutan injektion til profylakse mod venøs tromboembolisk sygdom efter et kirurgisk indgreb og til behandling af DVT og PE, udvidet behandling af DVT og PE hos patienter med aktiv cancer, ustabil angina pectoris og NSTEMI.</w:t>
      </w:r>
    </w:p>
    <w:p w14:paraId="10BDAD37" w14:textId="77777777" w:rsidR="0048103E" w:rsidRPr="00485998" w:rsidRDefault="0048103E" w:rsidP="0048103E">
      <w:pPr>
        <w:pStyle w:val="Default"/>
        <w:tabs>
          <w:tab w:val="left" w:pos="567"/>
        </w:tabs>
        <w:ind w:left="1134" w:hanging="283"/>
      </w:pPr>
      <w:r w:rsidRPr="00485998">
        <w:rPr>
          <w:cs/>
        </w:rPr>
        <w:t>•</w:t>
      </w:r>
      <w:r w:rsidRPr="00485998">
        <w:tab/>
      </w:r>
      <w:r>
        <w:t>Ved b</w:t>
      </w:r>
      <w:r w:rsidRPr="00485998">
        <w:t>ehandling af akut STEMI skal</w:t>
      </w:r>
      <w:r>
        <w:t xml:space="preserve"> behandlingen starte</w:t>
      </w:r>
      <w:r w:rsidRPr="00485998">
        <w:t xml:space="preserve"> med en enkelt </w:t>
      </w:r>
      <w:r w:rsidRPr="008A3223">
        <w:t>intravenøs</w:t>
      </w:r>
      <w:r w:rsidRPr="008A3223" w:rsidDel="008A3223">
        <w:t xml:space="preserve"> </w:t>
      </w:r>
      <w:r w:rsidRPr="00485998">
        <w:t>bolusinjektion</w:t>
      </w:r>
      <w:r>
        <w:t xml:space="preserve">, </w:t>
      </w:r>
      <w:r w:rsidRPr="009B6179">
        <w:t>umiddelbart efterfulgt af</w:t>
      </w:r>
      <w:r w:rsidRPr="00485998">
        <w:t xml:space="preserve"> en s</w:t>
      </w:r>
      <w:r>
        <w:t>ubkutan</w:t>
      </w:r>
      <w:r w:rsidRPr="00485998">
        <w:t xml:space="preserve"> injektion.</w:t>
      </w:r>
    </w:p>
    <w:p w14:paraId="57AAD0F9" w14:textId="77777777" w:rsidR="0048103E" w:rsidRPr="00485998" w:rsidRDefault="0048103E" w:rsidP="0048103E">
      <w:pPr>
        <w:pStyle w:val="Default"/>
        <w:tabs>
          <w:tab w:val="left" w:pos="567"/>
        </w:tabs>
        <w:ind w:left="1134" w:hanging="283"/>
      </w:pPr>
      <w:r w:rsidRPr="00485998">
        <w:rPr>
          <w:cs/>
        </w:rPr>
        <w:t>•</w:t>
      </w:r>
      <w:r w:rsidRPr="00485998">
        <w:tab/>
      </w:r>
      <w:r w:rsidRPr="001047E9">
        <w:t xml:space="preserve">Enoxaparinnatrium injiceres i dialysekredsløbets arterieslange for at forebygge trombose </w:t>
      </w:r>
      <w:r w:rsidRPr="00485998">
        <w:t xml:space="preserve">i det ekstrakorporale kredsløb </w:t>
      </w:r>
      <w:r>
        <w:t>under</w:t>
      </w:r>
      <w:r w:rsidRPr="00485998">
        <w:t xml:space="preserve"> hæmodialyse.</w:t>
      </w:r>
    </w:p>
    <w:p w14:paraId="4F1FD0EC" w14:textId="77777777" w:rsidR="0048103E" w:rsidRPr="00485998" w:rsidRDefault="0048103E" w:rsidP="0048103E">
      <w:pPr>
        <w:pStyle w:val="Default"/>
        <w:tabs>
          <w:tab w:val="left" w:pos="284"/>
        </w:tabs>
        <w:ind w:left="851"/>
      </w:pPr>
    </w:p>
    <w:p w14:paraId="129EE03A" w14:textId="77777777" w:rsidR="0048103E" w:rsidRPr="00485998" w:rsidRDefault="0048103E" w:rsidP="0048103E">
      <w:pPr>
        <w:pStyle w:val="Default"/>
        <w:ind w:left="851"/>
        <w:outlineLvl w:val="0"/>
      </w:pPr>
      <w:r w:rsidRPr="00485998">
        <w:t>Den fyldte engangssprøjte er klar til brug.</w:t>
      </w:r>
    </w:p>
    <w:p w14:paraId="740CD986" w14:textId="77777777" w:rsidR="0048103E" w:rsidRPr="00485998" w:rsidRDefault="0048103E" w:rsidP="0048103E">
      <w:pPr>
        <w:pStyle w:val="Default"/>
        <w:ind w:left="851"/>
      </w:pPr>
    </w:p>
    <w:p w14:paraId="2C01DC52" w14:textId="77777777" w:rsidR="0048103E" w:rsidRPr="00C344CA" w:rsidRDefault="0048103E" w:rsidP="0048103E">
      <w:pPr>
        <w:pStyle w:val="Default"/>
        <w:numPr>
          <w:ilvl w:val="0"/>
          <w:numId w:val="12"/>
        </w:numPr>
        <w:tabs>
          <w:tab w:val="left" w:pos="1134"/>
        </w:tabs>
        <w:ind w:left="851" w:firstLine="0"/>
      </w:pPr>
      <w:r w:rsidRPr="00C344CA">
        <w:t>Subkutan injektionsteknik</w:t>
      </w:r>
      <w:r>
        <w:t>:</w:t>
      </w:r>
    </w:p>
    <w:p w14:paraId="5E6E0C54" w14:textId="77777777" w:rsidR="0048103E" w:rsidRPr="00485998" w:rsidRDefault="0048103E" w:rsidP="0048103E">
      <w:pPr>
        <w:pStyle w:val="Default"/>
        <w:ind w:left="851"/>
      </w:pPr>
      <w:r w:rsidRPr="005F0727">
        <w:t xml:space="preserve">Injektionen udføres </w:t>
      </w:r>
      <w:r w:rsidRPr="00485998">
        <w:t xml:space="preserve">bedst, mens patienten ligger </w:t>
      </w:r>
      <w:r>
        <w:t>på ryggen</w:t>
      </w:r>
      <w:r w:rsidRPr="00485998">
        <w:t xml:space="preserve">. Enoxaparinnatrium administreres </w:t>
      </w:r>
      <w:r>
        <w:t>som</w:t>
      </w:r>
      <w:r w:rsidRPr="00485998">
        <w:t xml:space="preserve"> dyb s</w:t>
      </w:r>
      <w:r>
        <w:t>ubkutan</w:t>
      </w:r>
      <w:r w:rsidRPr="00485998">
        <w:t xml:space="preserve"> injektion.</w:t>
      </w:r>
    </w:p>
    <w:p w14:paraId="3EDBEADA" w14:textId="77777777" w:rsidR="0048103E" w:rsidRPr="00485998" w:rsidRDefault="0048103E" w:rsidP="0048103E">
      <w:pPr>
        <w:pStyle w:val="Default"/>
        <w:ind w:left="851"/>
      </w:pPr>
    </w:p>
    <w:p w14:paraId="15CD7C19" w14:textId="77777777" w:rsidR="0048103E" w:rsidRPr="00485998" w:rsidRDefault="0048103E" w:rsidP="0048103E">
      <w:pPr>
        <w:pStyle w:val="Default"/>
        <w:ind w:left="851"/>
      </w:pPr>
      <w:r w:rsidRPr="00EA51AC">
        <w:t>Hvis der anvendes en fyldt sprøjte, må luftboblen ikke fjernes fra sprøjten inden injektion, da dette kan medføre, at dosen bliver reduceret. Hvis mængden af lægemiddel skal justeres inden injektion på baggrund af patientens legemsvægt, anvendes en fyldt injektionssprøjte med måleskala for at kunne opnå den nødvendige volumen. Dette gøres ved at fjerne den overflødige volumen. Vær opmærksom på, at det i nogen tilfælde ikke er muligt at opnå en præcis dosis på grund af gradueringen på injektionssprøjten, og i sådanne tilfælde bør volumen rundes op til den nærmeste delestreg.</w:t>
      </w:r>
    </w:p>
    <w:p w14:paraId="071E88D4" w14:textId="77777777" w:rsidR="0048103E" w:rsidRPr="00485998" w:rsidRDefault="0048103E" w:rsidP="0048103E">
      <w:pPr>
        <w:pStyle w:val="Default"/>
        <w:ind w:left="851"/>
      </w:pPr>
    </w:p>
    <w:p w14:paraId="3973D3E7" w14:textId="77777777" w:rsidR="0048103E" w:rsidRDefault="0048103E" w:rsidP="0048103E">
      <w:pPr>
        <w:pStyle w:val="Default"/>
        <w:ind w:left="851"/>
      </w:pPr>
      <w:r w:rsidRPr="00084C74">
        <w:t xml:space="preserve">Injektionen skal gives skiftevis </w:t>
      </w:r>
      <w:r w:rsidRPr="00485998">
        <w:t xml:space="preserve">i venstre og højre anterolaterale eller posterolaterale abdominalvæg. </w:t>
      </w:r>
    </w:p>
    <w:p w14:paraId="2B95292C" w14:textId="77777777" w:rsidR="0048103E" w:rsidRDefault="0048103E" w:rsidP="0048103E">
      <w:pPr>
        <w:pStyle w:val="Default"/>
        <w:ind w:left="851"/>
      </w:pPr>
    </w:p>
    <w:p w14:paraId="1459582D" w14:textId="77777777" w:rsidR="0048103E" w:rsidRPr="00485998" w:rsidRDefault="0048103E" w:rsidP="0048103E">
      <w:pPr>
        <w:pStyle w:val="Default"/>
        <w:ind w:left="851"/>
      </w:pPr>
      <w:r>
        <w:t>Nålens</w:t>
      </w:r>
      <w:r w:rsidRPr="00485998">
        <w:t xml:space="preserve"> fulde længde skal indføres vertikalt i en hudfold, </w:t>
      </w:r>
      <w:r>
        <w:t>som</w:t>
      </w:r>
      <w:r w:rsidRPr="00485998">
        <w:t xml:space="preserve"> holdes mellem tommel- og pegefinger. Hudfolden må ikke slippes, før injektionen er fuldført. Der må ikke gnides på injektionsstedet efter </w:t>
      </w:r>
      <w:r w:rsidRPr="00447CD3">
        <w:t>endt injektion</w:t>
      </w:r>
      <w:r w:rsidRPr="00485998">
        <w:t>.</w:t>
      </w:r>
    </w:p>
    <w:p w14:paraId="42986BFF" w14:textId="77777777" w:rsidR="0048103E" w:rsidRPr="00485998" w:rsidRDefault="0048103E" w:rsidP="0048103E">
      <w:pPr>
        <w:pStyle w:val="Default"/>
        <w:ind w:left="851"/>
      </w:pPr>
    </w:p>
    <w:p w14:paraId="6C73F192" w14:textId="77777777" w:rsidR="0048103E" w:rsidRPr="00485998" w:rsidRDefault="0048103E" w:rsidP="0048103E">
      <w:pPr>
        <w:pStyle w:val="Default"/>
        <w:ind w:left="851"/>
        <w:outlineLvl w:val="0"/>
      </w:pPr>
      <w:r>
        <w:t xml:space="preserve">For de fyldte injektionssprøjter, der er </w:t>
      </w:r>
      <w:r w:rsidRPr="00BB7C79">
        <w:t>forsynet</w:t>
      </w:r>
      <w:r>
        <w:t xml:space="preserve"> </w:t>
      </w:r>
      <w:r w:rsidRPr="00D57DDA">
        <w:t>med nålebeskyttelse:</w:t>
      </w:r>
      <w:r>
        <w:t xml:space="preserve"> </w:t>
      </w:r>
      <w:r w:rsidRPr="00BB7C79">
        <w:t>Bemærk at</w:t>
      </w:r>
      <w:r>
        <w:t xml:space="preserve"> s</w:t>
      </w:r>
      <w:r w:rsidRPr="00485998">
        <w:t>ikkerhedssystemet</w:t>
      </w:r>
      <w:r w:rsidRPr="00BB7C79">
        <w:t xml:space="preserve"> </w:t>
      </w:r>
      <w:r>
        <w:t>udløses</w:t>
      </w:r>
      <w:r w:rsidRPr="00485998">
        <w:t xml:space="preserve"> </w:t>
      </w:r>
      <w:r>
        <w:t xml:space="preserve">ved </w:t>
      </w:r>
      <w:r w:rsidRPr="00485998">
        <w:t>slutning</w:t>
      </w:r>
      <w:r>
        <w:t>en</w:t>
      </w:r>
      <w:r w:rsidRPr="00485998">
        <w:t xml:space="preserve"> af injektionen (se </w:t>
      </w:r>
      <w:r w:rsidRPr="00B25823">
        <w:t>instruktioner</w:t>
      </w:r>
      <w:r w:rsidRPr="00485998">
        <w:t xml:space="preserve"> i pkt. 6.6).</w:t>
      </w:r>
    </w:p>
    <w:p w14:paraId="3707695F" w14:textId="77777777" w:rsidR="0048103E" w:rsidRPr="00485998" w:rsidRDefault="0048103E" w:rsidP="0048103E">
      <w:pPr>
        <w:pStyle w:val="Default"/>
        <w:ind w:left="851"/>
      </w:pPr>
    </w:p>
    <w:p w14:paraId="32623AC1" w14:textId="77777777" w:rsidR="0048103E" w:rsidRPr="00485998" w:rsidRDefault="0048103E" w:rsidP="0048103E">
      <w:pPr>
        <w:pStyle w:val="Default"/>
        <w:ind w:left="851"/>
      </w:pPr>
      <w:r>
        <w:t>Ved</w:t>
      </w:r>
      <w:r w:rsidRPr="00485998">
        <w:t xml:space="preserve"> selvadministration skal </w:t>
      </w:r>
      <w:r w:rsidRPr="008A76B1">
        <w:t xml:space="preserve">tilrådes patienten </w:t>
      </w:r>
      <w:r w:rsidRPr="00485998">
        <w:t xml:space="preserve">at følge </w:t>
      </w:r>
      <w:r w:rsidRPr="008A76B1">
        <w:t>anvisningerne</w:t>
      </w:r>
      <w:r w:rsidRPr="00485998">
        <w:t xml:space="preserve"> i indlægssedlen, </w:t>
      </w:r>
      <w:r>
        <w:t>som</w:t>
      </w:r>
      <w:r w:rsidRPr="00485998">
        <w:t xml:space="preserve"> ligger i pakningen</w:t>
      </w:r>
      <w:r w:rsidRPr="00A52B32">
        <w:t xml:space="preserve"> sammen med lægemidlet</w:t>
      </w:r>
      <w:r w:rsidRPr="00485998">
        <w:t>.</w:t>
      </w:r>
    </w:p>
    <w:p w14:paraId="7D74BE66" w14:textId="77777777" w:rsidR="0048103E" w:rsidRPr="00485998" w:rsidRDefault="0048103E" w:rsidP="0048103E">
      <w:pPr>
        <w:pStyle w:val="Default"/>
        <w:ind w:left="851"/>
      </w:pPr>
    </w:p>
    <w:p w14:paraId="02B9496B" w14:textId="77777777" w:rsidR="0048103E" w:rsidRPr="00485998" w:rsidRDefault="0048103E" w:rsidP="0048103E">
      <w:pPr>
        <w:pStyle w:val="Default"/>
        <w:numPr>
          <w:ilvl w:val="0"/>
          <w:numId w:val="12"/>
        </w:numPr>
        <w:tabs>
          <w:tab w:val="left" w:pos="1134"/>
        </w:tabs>
        <w:ind w:left="851" w:firstLine="0"/>
      </w:pPr>
      <w:r w:rsidRPr="00485998">
        <w:t>Intravenøs (bolus)</w:t>
      </w:r>
      <w:r>
        <w:t xml:space="preserve"> </w:t>
      </w:r>
      <w:r w:rsidRPr="00485998">
        <w:t>injektion (k</w:t>
      </w:r>
      <w:r>
        <w:t>un for indikationen akut STEMI):</w:t>
      </w:r>
    </w:p>
    <w:p w14:paraId="194232D0" w14:textId="77777777" w:rsidR="0048103E" w:rsidRPr="00485998" w:rsidRDefault="0048103E" w:rsidP="0048103E">
      <w:pPr>
        <w:pStyle w:val="Default"/>
        <w:ind w:left="851"/>
      </w:pPr>
      <w:r>
        <w:t>Ved</w:t>
      </w:r>
      <w:r w:rsidRPr="00485998">
        <w:t xml:space="preserve"> akut STEMI indledes </w:t>
      </w:r>
      <w:r w:rsidRPr="000E0754">
        <w:t xml:space="preserve">behandlingen </w:t>
      </w:r>
      <w:r w:rsidRPr="00485998">
        <w:t xml:space="preserve">med en enkelt </w:t>
      </w:r>
      <w:r w:rsidRPr="002C291C">
        <w:t xml:space="preserve">intravenøs </w:t>
      </w:r>
      <w:r w:rsidRPr="00485998">
        <w:t xml:space="preserve">bolusinjektion </w:t>
      </w:r>
      <w:r w:rsidRPr="00A8131E">
        <w:t xml:space="preserve">umiddelbart efterfulgt af </w:t>
      </w:r>
      <w:r w:rsidRPr="00485998">
        <w:t>en s</w:t>
      </w:r>
      <w:r>
        <w:t>ubkutan</w:t>
      </w:r>
      <w:r w:rsidRPr="00485998">
        <w:t xml:space="preserve"> injektion. Til </w:t>
      </w:r>
      <w:r>
        <w:t>i</w:t>
      </w:r>
      <w:r w:rsidRPr="00E341C9">
        <w:t>ntravenøs</w:t>
      </w:r>
      <w:r w:rsidRPr="00485998">
        <w:t xml:space="preserve"> injektion anvendes </w:t>
      </w:r>
      <w:r w:rsidRPr="00950DDF">
        <w:t xml:space="preserve">enten </w:t>
      </w:r>
      <w:r w:rsidRPr="00485998">
        <w:t>multidosis-hætteglas eller fyldt injektionssprøjte. Enoxaparinnatrium bør administreres i et i</w:t>
      </w:r>
      <w:r>
        <w:t>.</w:t>
      </w:r>
      <w:r w:rsidRPr="00485998">
        <w:t>v</w:t>
      </w:r>
      <w:r>
        <w:t>.-</w:t>
      </w:r>
      <w:r w:rsidRPr="00485998">
        <w:t>drop. Det</w:t>
      </w:r>
      <w:r>
        <w:t xml:space="preserve"> </w:t>
      </w:r>
      <w:r w:rsidRPr="00A83B89">
        <w:t>bør</w:t>
      </w:r>
      <w:r w:rsidRPr="00485998">
        <w:t xml:space="preserve"> ikke blandes eller </w:t>
      </w:r>
      <w:r w:rsidRPr="00264281">
        <w:t xml:space="preserve">administreres </w:t>
      </w:r>
      <w:r w:rsidRPr="00485998">
        <w:t>sammen med andre lægemidler. For at undgå a</w:t>
      </w:r>
      <w:r>
        <w:t>t</w:t>
      </w:r>
      <w:r w:rsidRPr="00485998">
        <w:t xml:space="preserve"> enoxaparinnatrium </w:t>
      </w:r>
      <w:r w:rsidRPr="001D5075">
        <w:t xml:space="preserve">blandes med </w:t>
      </w:r>
      <w:r w:rsidRPr="00485998">
        <w:t>andre lægemidler</w:t>
      </w:r>
      <w:r>
        <w:t>,</w:t>
      </w:r>
      <w:r w:rsidRPr="00485998">
        <w:t xml:space="preserve"> bør </w:t>
      </w:r>
      <w:r>
        <w:t>i.v.-</w:t>
      </w:r>
      <w:r w:rsidRPr="00485998">
        <w:t>drop</w:t>
      </w:r>
      <w:r>
        <w:t>pet</w:t>
      </w:r>
      <w:r w:rsidRPr="00485998">
        <w:t xml:space="preserve"> skylles igennem med en tilstrækkelig mængde </w:t>
      </w:r>
      <w:r w:rsidRPr="00C71FBF">
        <w:t xml:space="preserve">natriumchlorid- </w:t>
      </w:r>
      <w:r w:rsidRPr="00485998">
        <w:t xml:space="preserve">eller </w:t>
      </w:r>
      <w:r w:rsidRPr="005E100A">
        <w:t xml:space="preserve">glucoseinjektionsvæske </w:t>
      </w:r>
      <w:proofErr w:type="gramStart"/>
      <w:r w:rsidRPr="005E100A">
        <w:t xml:space="preserve">før </w:t>
      </w:r>
      <w:r w:rsidRPr="00485998">
        <w:t xml:space="preserve"> og</w:t>
      </w:r>
      <w:proofErr w:type="gramEnd"/>
      <w:r w:rsidRPr="00485998">
        <w:t xml:space="preserve"> efter den intravenøse bolus</w:t>
      </w:r>
      <w:r>
        <w:t>injektion</w:t>
      </w:r>
      <w:r w:rsidRPr="00485998">
        <w:t xml:space="preserve"> af enoxaparinnatrium</w:t>
      </w:r>
      <w:r>
        <w:t xml:space="preserve">, </w:t>
      </w:r>
      <w:r w:rsidRPr="00493C5C">
        <w:t>hvorved droppet renses</w:t>
      </w:r>
      <w:r w:rsidRPr="00485998">
        <w:t xml:space="preserve"> for lægemiddel. Enoxaparinnatrium kan uden risiko administreres sammen med 0,9 % </w:t>
      </w:r>
      <w:r w:rsidRPr="00555B91">
        <w:t>natriu</w:t>
      </w:r>
      <w:r>
        <w:t>m</w:t>
      </w:r>
      <w:r w:rsidRPr="00555B91">
        <w:t xml:space="preserve">chlorid- </w:t>
      </w:r>
      <w:r w:rsidRPr="00485998">
        <w:t xml:space="preserve">eller 5 % </w:t>
      </w:r>
      <w:r>
        <w:t>glucoseinjektionsvæske</w:t>
      </w:r>
      <w:r w:rsidRPr="00485998">
        <w:t>.</w:t>
      </w:r>
    </w:p>
    <w:p w14:paraId="1BA41E19" w14:textId="77777777" w:rsidR="0048103E" w:rsidRPr="00485998" w:rsidRDefault="0048103E" w:rsidP="0048103E">
      <w:pPr>
        <w:pStyle w:val="Default"/>
        <w:ind w:left="851"/>
      </w:pPr>
    </w:p>
    <w:p w14:paraId="022368F9" w14:textId="77777777" w:rsidR="0048103E" w:rsidRPr="00485998" w:rsidRDefault="0048103E" w:rsidP="0048103E">
      <w:pPr>
        <w:pStyle w:val="Default"/>
        <w:numPr>
          <w:ilvl w:val="0"/>
          <w:numId w:val="13"/>
        </w:numPr>
        <w:ind w:left="1843" w:hanging="283"/>
      </w:pPr>
      <w:r w:rsidRPr="00485998">
        <w:t>Indledende 3.000 IE (30 mg) bolus</w:t>
      </w:r>
    </w:p>
    <w:p w14:paraId="237EBB4D" w14:textId="77777777" w:rsidR="0048103E" w:rsidRPr="00485998" w:rsidRDefault="0048103E" w:rsidP="0048103E">
      <w:pPr>
        <w:pStyle w:val="Default"/>
        <w:ind w:left="851"/>
      </w:pPr>
      <w:r w:rsidRPr="00CB50AD">
        <w:t xml:space="preserve">Til den initiale 3.000 IE (30 mg) bolus anvendes en gradueret </w:t>
      </w:r>
      <w:r w:rsidRPr="00485998">
        <w:t xml:space="preserve">fyldt </w:t>
      </w:r>
      <w:r w:rsidRPr="00D13FD0">
        <w:t>injektionssprøjte med</w:t>
      </w:r>
      <w:r>
        <w:t xml:space="preserve"> </w:t>
      </w:r>
      <w:r w:rsidRPr="00485998">
        <w:t>enoxaparinnatrium</w:t>
      </w:r>
      <w:r>
        <w:t>, og den</w:t>
      </w:r>
      <w:r w:rsidRPr="00485998">
        <w:t xml:space="preserve"> overskydende volumen</w:t>
      </w:r>
      <w:r>
        <w:t xml:space="preserve"> presses ud</w:t>
      </w:r>
      <w:r w:rsidRPr="00485998">
        <w:t>, så de</w:t>
      </w:r>
      <w:r>
        <w:t>r</w:t>
      </w:r>
      <w:r w:rsidRPr="00485998">
        <w:t xml:space="preserve"> kun er 3.000 IE (30 mg)</w:t>
      </w:r>
      <w:r>
        <w:t xml:space="preserve"> </w:t>
      </w:r>
      <w:r w:rsidRPr="00EE63CC">
        <w:t>tilbage i sprøjten</w:t>
      </w:r>
      <w:r w:rsidRPr="00485998">
        <w:t xml:space="preserve">. 3.000 IE (30 mg) </w:t>
      </w:r>
      <w:r>
        <w:t xml:space="preserve">dosen kan </w:t>
      </w:r>
      <w:r w:rsidRPr="00485998">
        <w:t>injiceres direkte</w:t>
      </w:r>
      <w:r>
        <w:t xml:space="preserve"> </w:t>
      </w:r>
      <w:r w:rsidRPr="00485998">
        <w:t>i i</w:t>
      </w:r>
      <w:r>
        <w:t>.v.-</w:t>
      </w:r>
      <w:r w:rsidRPr="00485998">
        <w:t>droppet.</w:t>
      </w:r>
    </w:p>
    <w:p w14:paraId="4FE43E35" w14:textId="77777777" w:rsidR="0048103E" w:rsidRPr="00485998" w:rsidRDefault="0048103E" w:rsidP="0048103E">
      <w:pPr>
        <w:pStyle w:val="Default"/>
        <w:ind w:left="851"/>
      </w:pPr>
    </w:p>
    <w:p w14:paraId="023361CE" w14:textId="77777777" w:rsidR="0048103E" w:rsidRPr="00485998" w:rsidRDefault="0048103E" w:rsidP="0048103E">
      <w:pPr>
        <w:pStyle w:val="Default"/>
        <w:numPr>
          <w:ilvl w:val="0"/>
          <w:numId w:val="13"/>
        </w:numPr>
        <w:ind w:left="1843" w:hanging="283"/>
      </w:pPr>
      <w:r w:rsidRPr="00485998">
        <w:t>Yderligere bolus ved PCI</w:t>
      </w:r>
      <w:r>
        <w:t>, når</w:t>
      </w:r>
      <w:r w:rsidRPr="00485998">
        <w:t xml:space="preserve"> den sidste s</w:t>
      </w:r>
      <w:r>
        <w:t>ubkutane</w:t>
      </w:r>
      <w:r w:rsidRPr="00485998">
        <w:t xml:space="preserve"> administration blev givet mere end 8 timer </w:t>
      </w:r>
      <w:r w:rsidRPr="00640D81">
        <w:t xml:space="preserve">før </w:t>
      </w:r>
      <w:r w:rsidRPr="00485998">
        <w:t>ballonudvidelsen</w:t>
      </w:r>
    </w:p>
    <w:p w14:paraId="083BDA8E" w14:textId="77777777" w:rsidR="0048103E" w:rsidRPr="00485998" w:rsidRDefault="0048103E" w:rsidP="0048103E">
      <w:pPr>
        <w:pStyle w:val="Default"/>
        <w:ind w:left="851"/>
      </w:pPr>
      <w:r>
        <w:t>P</w:t>
      </w:r>
      <w:r w:rsidRPr="00485998">
        <w:t>atienter, der</w:t>
      </w:r>
      <w:r>
        <w:t xml:space="preserve"> </w:t>
      </w:r>
      <w:r w:rsidRPr="00BC7185">
        <w:t>undergår</w:t>
      </w:r>
      <w:r w:rsidRPr="00485998">
        <w:t xml:space="preserve"> PCI, skal </w:t>
      </w:r>
      <w:r>
        <w:t xml:space="preserve">have en </w:t>
      </w:r>
      <w:r w:rsidRPr="00797294">
        <w:t>yderligere intravenøs bolusinjektion</w:t>
      </w:r>
      <w:r w:rsidRPr="00485998">
        <w:t xml:space="preserve"> på 30 IE/kg (0,3 mg/kg)</w:t>
      </w:r>
      <w:r w:rsidRPr="00797294">
        <w:t xml:space="preserve"> </w:t>
      </w:r>
      <w:r>
        <w:t>e</w:t>
      </w:r>
      <w:r w:rsidRPr="00797294">
        <w:t>noxaparinnatrium</w:t>
      </w:r>
      <w:r w:rsidRPr="00485998">
        <w:t>, hvis den sidste s</w:t>
      </w:r>
      <w:r>
        <w:t>ubkutane dosis</w:t>
      </w:r>
      <w:r w:rsidRPr="00485998">
        <w:t xml:space="preserve"> blev givet mere end 8 timer </w:t>
      </w:r>
      <w:r w:rsidRPr="00EB5E07">
        <w:t>før</w:t>
      </w:r>
      <w:r>
        <w:t xml:space="preserve"> </w:t>
      </w:r>
      <w:r w:rsidRPr="00485998">
        <w:t>ballonudvidelsen.</w:t>
      </w:r>
    </w:p>
    <w:p w14:paraId="7B3C2E56" w14:textId="77777777" w:rsidR="0048103E" w:rsidRPr="00485998" w:rsidRDefault="0048103E" w:rsidP="0048103E">
      <w:pPr>
        <w:pStyle w:val="Default"/>
        <w:ind w:left="851"/>
      </w:pPr>
    </w:p>
    <w:p w14:paraId="4ECA8547" w14:textId="77777777" w:rsidR="0048103E" w:rsidRPr="00485998" w:rsidRDefault="0048103E" w:rsidP="0048103E">
      <w:pPr>
        <w:pStyle w:val="Default"/>
        <w:ind w:left="851"/>
      </w:pPr>
      <w:r w:rsidRPr="00485998">
        <w:lastRenderedPageBreak/>
        <w:t>For at sikre</w:t>
      </w:r>
      <w:r w:rsidRPr="00601F32">
        <w:t xml:space="preserve"> nøjagtigheden af</w:t>
      </w:r>
      <w:r w:rsidRPr="00485998">
        <w:t xml:space="preserve"> den lille volumen, der skal injiceres, anbefales det at fortynde lægemidlet til 300 IE/ml (3 mg/ml).</w:t>
      </w:r>
    </w:p>
    <w:p w14:paraId="4A67E303" w14:textId="77777777" w:rsidR="0048103E" w:rsidRPr="00485998" w:rsidRDefault="0048103E" w:rsidP="0048103E">
      <w:pPr>
        <w:pStyle w:val="Default"/>
        <w:ind w:left="851"/>
      </w:pPr>
      <w:r w:rsidRPr="00485998">
        <w:t xml:space="preserve">For at opnå </w:t>
      </w:r>
      <w:r w:rsidRPr="001353FD">
        <w:t xml:space="preserve">300 IE/ml (3 mg/ml) </w:t>
      </w:r>
      <w:r w:rsidRPr="00485998">
        <w:t xml:space="preserve">opløsning </w:t>
      </w:r>
      <w:r>
        <w:t>med en</w:t>
      </w:r>
      <w:r w:rsidRPr="00485998">
        <w:t xml:space="preserve"> fyldt </w:t>
      </w:r>
      <w:r>
        <w:t>injektions</w:t>
      </w:r>
      <w:r w:rsidRPr="00485998">
        <w:t xml:space="preserve">sprøjte med 6.000 IE (60 mg) enoxaparinnatrium anbefales det at </w:t>
      </w:r>
      <w:r>
        <w:t>anvende</w:t>
      </w:r>
      <w:r w:rsidRPr="00485998">
        <w:t xml:space="preserve"> en</w:t>
      </w:r>
      <w:r>
        <w:t xml:space="preserve"> 50 ml</w:t>
      </w:r>
      <w:r w:rsidRPr="00485998">
        <w:t xml:space="preserve"> infusionspose (dvs. enten </w:t>
      </w:r>
      <w:r>
        <w:t xml:space="preserve">med </w:t>
      </w:r>
      <w:r w:rsidRPr="00485998">
        <w:t>0,9 %</w:t>
      </w:r>
      <w:r w:rsidRPr="00515882">
        <w:t xml:space="preserve"> natriumchlorid- </w:t>
      </w:r>
      <w:r w:rsidRPr="00485998">
        <w:t xml:space="preserve">eller 5 % </w:t>
      </w:r>
      <w:r w:rsidRPr="00AE6206">
        <w:t>glucoseinfusionsvæske) på følgende måde:</w:t>
      </w:r>
    </w:p>
    <w:p w14:paraId="0E7CCB5A" w14:textId="77777777" w:rsidR="0048103E" w:rsidRPr="00485998" w:rsidRDefault="0048103E" w:rsidP="0048103E">
      <w:pPr>
        <w:pStyle w:val="Default"/>
        <w:ind w:left="851"/>
      </w:pPr>
      <w:r>
        <w:t>Udtag</w:t>
      </w:r>
      <w:r w:rsidRPr="00485998">
        <w:t xml:space="preserve"> 30 ml </w:t>
      </w:r>
      <w:r>
        <w:t>fra</w:t>
      </w:r>
      <w:r w:rsidRPr="00485998">
        <w:t xml:space="preserve"> infusionsposen med en sprøjte og </w:t>
      </w:r>
      <w:r>
        <w:t>kasser</w:t>
      </w:r>
      <w:r w:rsidRPr="00485998">
        <w:t xml:space="preserve"> væsken. </w:t>
      </w:r>
      <w:r w:rsidRPr="00930CAF">
        <w:t xml:space="preserve">Injicer </w:t>
      </w:r>
      <w:r w:rsidRPr="00485998">
        <w:t xml:space="preserve">hele indholdet </w:t>
      </w:r>
      <w:r>
        <w:t>af</w:t>
      </w:r>
      <w:r w:rsidRPr="00485998">
        <w:t xml:space="preserve"> den fyldte </w:t>
      </w:r>
      <w:r>
        <w:t>injektions</w:t>
      </w:r>
      <w:r w:rsidRPr="00485998">
        <w:t>sprøjte med 6.000 IE (60 mg) enoxaparinnatrium i de 20 ml, der er tilbage i posen. Bland indholdet i posen</w:t>
      </w:r>
      <w:r>
        <w:t xml:space="preserve"> </w:t>
      </w:r>
      <w:r w:rsidRPr="00AA03D8">
        <w:t>forsigtigt</w:t>
      </w:r>
      <w:r w:rsidRPr="00485998">
        <w:t xml:space="preserve">. </w:t>
      </w:r>
      <w:r>
        <w:t>Udtag</w:t>
      </w:r>
      <w:r w:rsidRPr="00485998">
        <w:t xml:space="preserve"> den nødvendige volumen fortyndet opløsning med en sprøjte </w:t>
      </w:r>
      <w:r w:rsidRPr="00E86EB6">
        <w:t xml:space="preserve">og injicer det </w:t>
      </w:r>
      <w:r w:rsidRPr="00485998">
        <w:t>i drop</w:t>
      </w:r>
      <w:r>
        <w:t>pet</w:t>
      </w:r>
      <w:r w:rsidRPr="00485998">
        <w:t xml:space="preserve">. </w:t>
      </w:r>
    </w:p>
    <w:p w14:paraId="6491E654" w14:textId="77777777" w:rsidR="0048103E" w:rsidRPr="00485998" w:rsidRDefault="0048103E" w:rsidP="0048103E">
      <w:pPr>
        <w:pStyle w:val="Default"/>
        <w:ind w:left="851"/>
      </w:pPr>
    </w:p>
    <w:p w14:paraId="4C3E0BEB" w14:textId="77777777" w:rsidR="0048103E" w:rsidRDefault="0048103E" w:rsidP="0048103E">
      <w:pPr>
        <w:pStyle w:val="Default"/>
        <w:ind w:left="851"/>
      </w:pPr>
      <w:r w:rsidRPr="00485998">
        <w:t xml:space="preserve">Efter fortynding kan den volumen, der skal injiceres, beregnes ved hjælp af følgende formel </w:t>
      </w:r>
    </w:p>
    <w:p w14:paraId="035C0354" w14:textId="77777777" w:rsidR="0048103E" w:rsidRDefault="0048103E" w:rsidP="0048103E">
      <w:pPr>
        <w:pStyle w:val="Default"/>
        <w:ind w:left="851"/>
      </w:pPr>
    </w:p>
    <w:p w14:paraId="7BF84F88" w14:textId="77777777" w:rsidR="0048103E" w:rsidRPr="00485998" w:rsidRDefault="0048103E" w:rsidP="0048103E">
      <w:pPr>
        <w:pStyle w:val="Default"/>
        <w:ind w:left="851"/>
      </w:pPr>
      <w:r w:rsidRPr="00485998">
        <w:t>[</w:t>
      </w:r>
      <w:r>
        <w:t>V</w:t>
      </w:r>
      <w:r w:rsidRPr="00485998">
        <w:t xml:space="preserve">olumen af fortyndet opløsning (ml) = </w:t>
      </w:r>
      <w:r>
        <w:t>p</w:t>
      </w:r>
      <w:r w:rsidRPr="00485998">
        <w:t xml:space="preserve">atientens vægt (kg) x 0,1] eller </w:t>
      </w:r>
      <w:r>
        <w:t>v</w:t>
      </w:r>
      <w:r w:rsidRPr="00004612">
        <w:t xml:space="preserve">ed hjælp </w:t>
      </w:r>
      <w:r>
        <w:t>af</w:t>
      </w:r>
      <w:r w:rsidRPr="00485998">
        <w:t xml:space="preserve"> nedenstående tabel. </w:t>
      </w:r>
      <w:r>
        <w:t>D</w:t>
      </w:r>
      <w:r w:rsidRPr="00004612">
        <w:t xml:space="preserve">et anbefales at tilberede opløsningen </w:t>
      </w:r>
      <w:r w:rsidRPr="00485998">
        <w:t>umiddelbart</w:t>
      </w:r>
      <w:r>
        <w:t xml:space="preserve"> </w:t>
      </w:r>
      <w:r w:rsidRPr="00AD6107">
        <w:t>før anvendelse</w:t>
      </w:r>
      <w:r w:rsidRPr="00485998">
        <w:t>.</w:t>
      </w:r>
    </w:p>
    <w:p w14:paraId="00100015" w14:textId="77777777" w:rsidR="0048103E" w:rsidRPr="00485998" w:rsidRDefault="0048103E" w:rsidP="0048103E">
      <w:pPr>
        <w:pStyle w:val="Default"/>
        <w:ind w:left="851"/>
      </w:pPr>
    </w:p>
    <w:p w14:paraId="00DFD9DC" w14:textId="77777777" w:rsidR="0048103E" w:rsidRPr="00485998" w:rsidRDefault="0048103E" w:rsidP="0048103E">
      <w:pPr>
        <w:pStyle w:val="Default"/>
        <w:keepNext/>
        <w:ind w:left="851"/>
        <w:outlineLvl w:val="0"/>
      </w:pPr>
      <w:r w:rsidRPr="00485998">
        <w:t xml:space="preserve">Volumen, der skal injiceres </w:t>
      </w:r>
      <w:r>
        <w:t>i et i.v.</w:t>
      </w:r>
      <w:r w:rsidRPr="00485998">
        <w:t xml:space="preserve"> drop efter fortynding til en ko</w:t>
      </w:r>
      <w:r>
        <w:t>ncentration på 300 IE (3 </w:t>
      </w:r>
      <w:proofErr w:type="gramStart"/>
      <w:r>
        <w:t>mg)/</w:t>
      </w:r>
      <w:proofErr w:type="gramEnd"/>
      <w:r>
        <w:t>ml</w:t>
      </w:r>
    </w:p>
    <w:p w14:paraId="26B57131" w14:textId="77777777" w:rsidR="0048103E" w:rsidRPr="00485998" w:rsidRDefault="0048103E" w:rsidP="0048103E">
      <w:pPr>
        <w:pStyle w:val="Default"/>
        <w:keepNext/>
        <w:ind w:left="851"/>
      </w:pPr>
    </w:p>
    <w:tbl>
      <w:tblPr>
        <w:tblW w:w="9248" w:type="dxa"/>
        <w:tblCellSpacing w:w="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2576"/>
        <w:gridCol w:w="1968"/>
        <w:gridCol w:w="1970"/>
        <w:gridCol w:w="2734"/>
      </w:tblGrid>
      <w:tr w:rsidR="0048103E" w14:paraId="1E7DFD5B" w14:textId="77777777" w:rsidTr="0048103E">
        <w:trPr>
          <w:tblCellSpacing w:w="0" w:type="dxa"/>
        </w:trPr>
        <w:tc>
          <w:tcPr>
            <w:tcW w:w="1393" w:type="pct"/>
            <w:hideMark/>
          </w:tcPr>
          <w:p w14:paraId="19C422A3" w14:textId="77777777" w:rsidR="0048103E" w:rsidRPr="00485998" w:rsidRDefault="0048103E" w:rsidP="0048103E">
            <w:pPr>
              <w:pStyle w:val="Default"/>
              <w:keepNext/>
              <w:ind w:left="108"/>
            </w:pPr>
            <w:r w:rsidRPr="00485998">
              <w:rPr>
                <w:b/>
              </w:rPr>
              <w:t>Vægt</w:t>
            </w:r>
          </w:p>
        </w:tc>
        <w:tc>
          <w:tcPr>
            <w:tcW w:w="2129" w:type="pct"/>
            <w:gridSpan w:val="2"/>
            <w:hideMark/>
          </w:tcPr>
          <w:p w14:paraId="1471881B" w14:textId="77777777" w:rsidR="0048103E" w:rsidRPr="009651C7" w:rsidRDefault="0048103E" w:rsidP="0048103E">
            <w:pPr>
              <w:pStyle w:val="Default"/>
              <w:keepNext/>
              <w:ind w:left="83"/>
              <w:rPr>
                <w:lang w:val="nb-NO"/>
              </w:rPr>
            </w:pPr>
            <w:r w:rsidRPr="009651C7">
              <w:rPr>
                <w:b/>
                <w:lang w:val="nb-NO"/>
              </w:rPr>
              <w:t>Ønsket dosis</w:t>
            </w:r>
          </w:p>
          <w:p w14:paraId="627F32D2" w14:textId="77777777" w:rsidR="0048103E" w:rsidRPr="009651C7" w:rsidRDefault="0048103E" w:rsidP="0048103E">
            <w:pPr>
              <w:pStyle w:val="Default"/>
              <w:keepNext/>
              <w:ind w:left="83"/>
              <w:rPr>
                <w:lang w:val="nb-NO"/>
              </w:rPr>
            </w:pPr>
            <w:r w:rsidRPr="009651C7">
              <w:rPr>
                <w:b/>
                <w:lang w:val="nb-NO"/>
              </w:rPr>
              <w:t>30 IE/kg (0,3 mg/kg)</w:t>
            </w:r>
          </w:p>
        </w:tc>
        <w:tc>
          <w:tcPr>
            <w:tcW w:w="1478" w:type="pct"/>
            <w:hideMark/>
          </w:tcPr>
          <w:p w14:paraId="44CD9946" w14:textId="54B673D8" w:rsidR="0048103E" w:rsidRPr="00485998" w:rsidRDefault="0048103E" w:rsidP="0048103E">
            <w:pPr>
              <w:pStyle w:val="Default"/>
              <w:keepNext/>
              <w:ind w:left="61"/>
            </w:pPr>
            <w:r w:rsidRPr="00485998">
              <w:rPr>
                <w:b/>
              </w:rPr>
              <w:t xml:space="preserve">Volumen, der skal injiceres efter fortynding til en </w:t>
            </w:r>
            <w:r w:rsidRPr="00E57321">
              <w:rPr>
                <w:b/>
              </w:rPr>
              <w:t>endelig</w:t>
            </w:r>
            <w:r>
              <w:rPr>
                <w:b/>
              </w:rPr>
              <w:t xml:space="preserve"> </w:t>
            </w:r>
            <w:r w:rsidRPr="00485998">
              <w:rPr>
                <w:b/>
              </w:rPr>
              <w:t xml:space="preserve">koncentration på 300 IE (3 </w:t>
            </w:r>
            <w:proofErr w:type="gramStart"/>
            <w:r w:rsidRPr="00485998">
              <w:rPr>
                <w:b/>
              </w:rPr>
              <w:t>mg)/</w:t>
            </w:r>
            <w:proofErr w:type="gramEnd"/>
            <w:r w:rsidRPr="00485998">
              <w:rPr>
                <w:b/>
              </w:rPr>
              <w:t>ml</w:t>
            </w:r>
          </w:p>
        </w:tc>
      </w:tr>
      <w:tr w:rsidR="0048103E" w14:paraId="286BF38E" w14:textId="77777777" w:rsidTr="0048103E">
        <w:trPr>
          <w:tblCellSpacing w:w="0" w:type="dxa"/>
        </w:trPr>
        <w:tc>
          <w:tcPr>
            <w:tcW w:w="1393" w:type="pct"/>
            <w:hideMark/>
          </w:tcPr>
          <w:p w14:paraId="626D4740" w14:textId="77777777" w:rsidR="0048103E" w:rsidRPr="00485998" w:rsidRDefault="0048103E" w:rsidP="0048103E">
            <w:pPr>
              <w:pStyle w:val="Default"/>
              <w:ind w:left="108"/>
            </w:pPr>
            <w:r w:rsidRPr="00485998">
              <w:rPr>
                <w:b/>
              </w:rPr>
              <w:t>[Kg]</w:t>
            </w:r>
          </w:p>
        </w:tc>
        <w:tc>
          <w:tcPr>
            <w:tcW w:w="1064" w:type="pct"/>
            <w:hideMark/>
          </w:tcPr>
          <w:p w14:paraId="15534F20" w14:textId="77777777" w:rsidR="0048103E" w:rsidRPr="00485998" w:rsidRDefault="0048103E" w:rsidP="0048103E">
            <w:pPr>
              <w:pStyle w:val="Default"/>
              <w:ind w:left="83"/>
            </w:pPr>
            <w:r w:rsidRPr="00485998">
              <w:rPr>
                <w:b/>
              </w:rPr>
              <w:t>IE</w:t>
            </w:r>
          </w:p>
        </w:tc>
        <w:tc>
          <w:tcPr>
            <w:tcW w:w="1065" w:type="pct"/>
            <w:hideMark/>
          </w:tcPr>
          <w:p w14:paraId="380F2F2E" w14:textId="77777777" w:rsidR="0048103E" w:rsidRPr="00485998" w:rsidRDefault="0048103E" w:rsidP="0048103E">
            <w:pPr>
              <w:pStyle w:val="Default"/>
              <w:ind w:left="83"/>
            </w:pPr>
            <w:r w:rsidRPr="00485998">
              <w:rPr>
                <w:b/>
              </w:rPr>
              <w:t>[mg]</w:t>
            </w:r>
          </w:p>
        </w:tc>
        <w:tc>
          <w:tcPr>
            <w:tcW w:w="1478" w:type="pct"/>
            <w:hideMark/>
          </w:tcPr>
          <w:p w14:paraId="3991C629" w14:textId="77777777" w:rsidR="0048103E" w:rsidRPr="00485998" w:rsidRDefault="0048103E" w:rsidP="0048103E">
            <w:pPr>
              <w:pStyle w:val="Default"/>
              <w:ind w:left="61"/>
              <w:jc w:val="center"/>
            </w:pPr>
            <w:r w:rsidRPr="00485998">
              <w:rPr>
                <w:b/>
              </w:rPr>
              <w:t>[ml]</w:t>
            </w:r>
          </w:p>
        </w:tc>
      </w:tr>
      <w:tr w:rsidR="0048103E" w14:paraId="6B41F789" w14:textId="77777777" w:rsidTr="0048103E">
        <w:trPr>
          <w:tblCellSpacing w:w="0" w:type="dxa"/>
        </w:trPr>
        <w:tc>
          <w:tcPr>
            <w:tcW w:w="1393" w:type="pct"/>
            <w:hideMark/>
          </w:tcPr>
          <w:p w14:paraId="506B4E33" w14:textId="77777777" w:rsidR="0048103E" w:rsidRPr="00485998" w:rsidRDefault="0048103E" w:rsidP="0048103E">
            <w:pPr>
              <w:pStyle w:val="Default"/>
              <w:ind w:left="108"/>
            </w:pPr>
            <w:r w:rsidRPr="00485998">
              <w:t>45</w:t>
            </w:r>
          </w:p>
        </w:tc>
        <w:tc>
          <w:tcPr>
            <w:tcW w:w="1064" w:type="pct"/>
            <w:hideMark/>
          </w:tcPr>
          <w:p w14:paraId="3FA3DC89" w14:textId="77777777" w:rsidR="0048103E" w:rsidRPr="00485998" w:rsidRDefault="0048103E" w:rsidP="0048103E">
            <w:pPr>
              <w:pStyle w:val="Default"/>
              <w:ind w:left="83"/>
            </w:pPr>
            <w:r w:rsidRPr="00485998">
              <w:t>1350</w:t>
            </w:r>
          </w:p>
        </w:tc>
        <w:tc>
          <w:tcPr>
            <w:tcW w:w="1065" w:type="pct"/>
            <w:hideMark/>
          </w:tcPr>
          <w:p w14:paraId="0C503DBA" w14:textId="77777777" w:rsidR="0048103E" w:rsidRPr="00485998" w:rsidRDefault="0048103E" w:rsidP="0048103E">
            <w:pPr>
              <w:pStyle w:val="Default"/>
              <w:ind w:left="83"/>
            </w:pPr>
            <w:r w:rsidRPr="00485998">
              <w:t>13,5</w:t>
            </w:r>
          </w:p>
        </w:tc>
        <w:tc>
          <w:tcPr>
            <w:tcW w:w="1478" w:type="pct"/>
            <w:hideMark/>
          </w:tcPr>
          <w:p w14:paraId="7D5CC6C2" w14:textId="77777777" w:rsidR="0048103E" w:rsidRPr="00485998" w:rsidRDefault="0048103E" w:rsidP="0048103E">
            <w:pPr>
              <w:pStyle w:val="Default"/>
              <w:ind w:left="61"/>
              <w:jc w:val="center"/>
            </w:pPr>
            <w:r w:rsidRPr="00485998">
              <w:t>4,5</w:t>
            </w:r>
          </w:p>
        </w:tc>
      </w:tr>
      <w:tr w:rsidR="0048103E" w14:paraId="4F6BA313" w14:textId="77777777" w:rsidTr="0048103E">
        <w:trPr>
          <w:tblCellSpacing w:w="0" w:type="dxa"/>
        </w:trPr>
        <w:tc>
          <w:tcPr>
            <w:tcW w:w="1393" w:type="pct"/>
            <w:hideMark/>
          </w:tcPr>
          <w:p w14:paraId="5CC234BC" w14:textId="77777777" w:rsidR="0048103E" w:rsidRPr="00485998" w:rsidRDefault="0048103E" w:rsidP="0048103E">
            <w:pPr>
              <w:pStyle w:val="Default"/>
              <w:ind w:left="108"/>
            </w:pPr>
            <w:r w:rsidRPr="00485998">
              <w:t>50</w:t>
            </w:r>
          </w:p>
        </w:tc>
        <w:tc>
          <w:tcPr>
            <w:tcW w:w="1064" w:type="pct"/>
            <w:hideMark/>
          </w:tcPr>
          <w:p w14:paraId="216DF4C7" w14:textId="77777777" w:rsidR="0048103E" w:rsidRPr="00485998" w:rsidRDefault="0048103E" w:rsidP="0048103E">
            <w:pPr>
              <w:pStyle w:val="Default"/>
              <w:ind w:left="83"/>
            </w:pPr>
            <w:r w:rsidRPr="00485998">
              <w:t>1500</w:t>
            </w:r>
          </w:p>
        </w:tc>
        <w:tc>
          <w:tcPr>
            <w:tcW w:w="1065" w:type="pct"/>
            <w:hideMark/>
          </w:tcPr>
          <w:p w14:paraId="12544007" w14:textId="77777777" w:rsidR="0048103E" w:rsidRPr="00485998" w:rsidRDefault="0048103E" w:rsidP="0048103E">
            <w:pPr>
              <w:pStyle w:val="Default"/>
              <w:ind w:left="83"/>
            </w:pPr>
            <w:r w:rsidRPr="00485998">
              <w:t>15</w:t>
            </w:r>
          </w:p>
        </w:tc>
        <w:tc>
          <w:tcPr>
            <w:tcW w:w="1478" w:type="pct"/>
            <w:hideMark/>
          </w:tcPr>
          <w:p w14:paraId="4528F5D4" w14:textId="77777777" w:rsidR="0048103E" w:rsidRPr="00485998" w:rsidRDefault="0048103E" w:rsidP="0048103E">
            <w:pPr>
              <w:pStyle w:val="Default"/>
              <w:ind w:left="61"/>
              <w:jc w:val="center"/>
            </w:pPr>
            <w:r w:rsidRPr="00485998">
              <w:t>5</w:t>
            </w:r>
          </w:p>
        </w:tc>
      </w:tr>
      <w:tr w:rsidR="0048103E" w14:paraId="586B03BA" w14:textId="77777777" w:rsidTr="0048103E">
        <w:trPr>
          <w:tblCellSpacing w:w="0" w:type="dxa"/>
        </w:trPr>
        <w:tc>
          <w:tcPr>
            <w:tcW w:w="1393" w:type="pct"/>
            <w:hideMark/>
          </w:tcPr>
          <w:p w14:paraId="6F5C00AB" w14:textId="77777777" w:rsidR="0048103E" w:rsidRPr="00485998" w:rsidRDefault="0048103E" w:rsidP="0048103E">
            <w:pPr>
              <w:pStyle w:val="Default"/>
              <w:ind w:left="108"/>
            </w:pPr>
            <w:r w:rsidRPr="00485998">
              <w:t>55</w:t>
            </w:r>
          </w:p>
        </w:tc>
        <w:tc>
          <w:tcPr>
            <w:tcW w:w="1064" w:type="pct"/>
            <w:hideMark/>
          </w:tcPr>
          <w:p w14:paraId="3792881F" w14:textId="77777777" w:rsidR="0048103E" w:rsidRPr="00485998" w:rsidRDefault="0048103E" w:rsidP="0048103E">
            <w:pPr>
              <w:pStyle w:val="Default"/>
              <w:ind w:left="83"/>
            </w:pPr>
            <w:r w:rsidRPr="00485998">
              <w:t>1650</w:t>
            </w:r>
          </w:p>
        </w:tc>
        <w:tc>
          <w:tcPr>
            <w:tcW w:w="1065" w:type="pct"/>
            <w:hideMark/>
          </w:tcPr>
          <w:p w14:paraId="0B7CEB9A" w14:textId="77777777" w:rsidR="0048103E" w:rsidRPr="00485998" w:rsidRDefault="0048103E" w:rsidP="0048103E">
            <w:pPr>
              <w:pStyle w:val="Default"/>
              <w:ind w:left="83"/>
            </w:pPr>
            <w:r w:rsidRPr="00485998">
              <w:t>16,5</w:t>
            </w:r>
          </w:p>
        </w:tc>
        <w:tc>
          <w:tcPr>
            <w:tcW w:w="1478" w:type="pct"/>
            <w:hideMark/>
          </w:tcPr>
          <w:p w14:paraId="52671A5B" w14:textId="77777777" w:rsidR="0048103E" w:rsidRPr="00485998" w:rsidRDefault="0048103E" w:rsidP="0048103E">
            <w:pPr>
              <w:pStyle w:val="Default"/>
              <w:ind w:left="61"/>
              <w:jc w:val="center"/>
            </w:pPr>
            <w:r w:rsidRPr="00485998">
              <w:t>5,5</w:t>
            </w:r>
          </w:p>
        </w:tc>
      </w:tr>
      <w:tr w:rsidR="0048103E" w14:paraId="252CAFED" w14:textId="77777777" w:rsidTr="0048103E">
        <w:trPr>
          <w:tblCellSpacing w:w="0" w:type="dxa"/>
        </w:trPr>
        <w:tc>
          <w:tcPr>
            <w:tcW w:w="1393" w:type="pct"/>
            <w:hideMark/>
          </w:tcPr>
          <w:p w14:paraId="1C7ADB47" w14:textId="77777777" w:rsidR="0048103E" w:rsidRPr="00485998" w:rsidRDefault="0048103E" w:rsidP="0048103E">
            <w:pPr>
              <w:pStyle w:val="Default"/>
              <w:ind w:left="108"/>
            </w:pPr>
            <w:r w:rsidRPr="00485998">
              <w:t>60</w:t>
            </w:r>
          </w:p>
        </w:tc>
        <w:tc>
          <w:tcPr>
            <w:tcW w:w="1064" w:type="pct"/>
            <w:hideMark/>
          </w:tcPr>
          <w:p w14:paraId="303AEB11" w14:textId="77777777" w:rsidR="0048103E" w:rsidRPr="00485998" w:rsidRDefault="0048103E" w:rsidP="0048103E">
            <w:pPr>
              <w:pStyle w:val="Default"/>
              <w:ind w:left="83"/>
            </w:pPr>
            <w:r w:rsidRPr="00485998">
              <w:t>1800</w:t>
            </w:r>
          </w:p>
        </w:tc>
        <w:tc>
          <w:tcPr>
            <w:tcW w:w="1065" w:type="pct"/>
            <w:hideMark/>
          </w:tcPr>
          <w:p w14:paraId="5F58AE76" w14:textId="77777777" w:rsidR="0048103E" w:rsidRPr="00485998" w:rsidRDefault="0048103E" w:rsidP="0048103E">
            <w:pPr>
              <w:pStyle w:val="Default"/>
              <w:ind w:left="83"/>
            </w:pPr>
            <w:r w:rsidRPr="00485998">
              <w:t>18</w:t>
            </w:r>
          </w:p>
        </w:tc>
        <w:tc>
          <w:tcPr>
            <w:tcW w:w="1478" w:type="pct"/>
            <w:hideMark/>
          </w:tcPr>
          <w:p w14:paraId="6829C30D" w14:textId="77777777" w:rsidR="0048103E" w:rsidRPr="00485998" w:rsidRDefault="0048103E" w:rsidP="0048103E">
            <w:pPr>
              <w:pStyle w:val="Default"/>
              <w:ind w:left="61"/>
              <w:jc w:val="center"/>
            </w:pPr>
            <w:r w:rsidRPr="00485998">
              <w:t>6</w:t>
            </w:r>
          </w:p>
        </w:tc>
      </w:tr>
      <w:tr w:rsidR="0048103E" w14:paraId="759640E0" w14:textId="77777777" w:rsidTr="0048103E">
        <w:trPr>
          <w:tblCellSpacing w:w="0" w:type="dxa"/>
        </w:trPr>
        <w:tc>
          <w:tcPr>
            <w:tcW w:w="1393" w:type="pct"/>
            <w:hideMark/>
          </w:tcPr>
          <w:p w14:paraId="3E65E7A5" w14:textId="77777777" w:rsidR="0048103E" w:rsidRPr="00485998" w:rsidRDefault="0048103E" w:rsidP="0048103E">
            <w:pPr>
              <w:pStyle w:val="Default"/>
              <w:ind w:left="108"/>
            </w:pPr>
            <w:r w:rsidRPr="00485998">
              <w:t>65</w:t>
            </w:r>
          </w:p>
        </w:tc>
        <w:tc>
          <w:tcPr>
            <w:tcW w:w="1064" w:type="pct"/>
            <w:hideMark/>
          </w:tcPr>
          <w:p w14:paraId="667488E5" w14:textId="77777777" w:rsidR="0048103E" w:rsidRPr="00485998" w:rsidRDefault="0048103E" w:rsidP="0048103E">
            <w:pPr>
              <w:pStyle w:val="Default"/>
              <w:ind w:left="83"/>
            </w:pPr>
            <w:r w:rsidRPr="00485998">
              <w:t>1950</w:t>
            </w:r>
          </w:p>
        </w:tc>
        <w:tc>
          <w:tcPr>
            <w:tcW w:w="1065" w:type="pct"/>
            <w:hideMark/>
          </w:tcPr>
          <w:p w14:paraId="1FB49EDF" w14:textId="77777777" w:rsidR="0048103E" w:rsidRPr="00485998" w:rsidRDefault="0048103E" w:rsidP="0048103E">
            <w:pPr>
              <w:pStyle w:val="Default"/>
              <w:ind w:left="83"/>
            </w:pPr>
            <w:r w:rsidRPr="00485998">
              <w:t>19,5</w:t>
            </w:r>
          </w:p>
        </w:tc>
        <w:tc>
          <w:tcPr>
            <w:tcW w:w="1478" w:type="pct"/>
            <w:hideMark/>
          </w:tcPr>
          <w:p w14:paraId="6F3F9724" w14:textId="77777777" w:rsidR="0048103E" w:rsidRPr="00485998" w:rsidRDefault="0048103E" w:rsidP="0048103E">
            <w:pPr>
              <w:pStyle w:val="Default"/>
              <w:ind w:left="61"/>
              <w:jc w:val="center"/>
            </w:pPr>
            <w:r w:rsidRPr="00485998">
              <w:t>6,5</w:t>
            </w:r>
          </w:p>
        </w:tc>
      </w:tr>
      <w:tr w:rsidR="0048103E" w14:paraId="56B9967C" w14:textId="77777777" w:rsidTr="0048103E">
        <w:trPr>
          <w:tblCellSpacing w:w="0" w:type="dxa"/>
        </w:trPr>
        <w:tc>
          <w:tcPr>
            <w:tcW w:w="1393" w:type="pct"/>
            <w:hideMark/>
          </w:tcPr>
          <w:p w14:paraId="2043DADF" w14:textId="77777777" w:rsidR="0048103E" w:rsidRPr="00485998" w:rsidRDefault="0048103E" w:rsidP="0048103E">
            <w:pPr>
              <w:pStyle w:val="Default"/>
              <w:ind w:left="108"/>
            </w:pPr>
            <w:r w:rsidRPr="00485998">
              <w:t>70</w:t>
            </w:r>
          </w:p>
        </w:tc>
        <w:tc>
          <w:tcPr>
            <w:tcW w:w="1064" w:type="pct"/>
            <w:hideMark/>
          </w:tcPr>
          <w:p w14:paraId="66305C79" w14:textId="77777777" w:rsidR="0048103E" w:rsidRPr="00485998" w:rsidRDefault="0048103E" w:rsidP="0048103E">
            <w:pPr>
              <w:pStyle w:val="Default"/>
              <w:ind w:left="83"/>
            </w:pPr>
            <w:r w:rsidRPr="00485998">
              <w:t>2100</w:t>
            </w:r>
          </w:p>
        </w:tc>
        <w:tc>
          <w:tcPr>
            <w:tcW w:w="1065" w:type="pct"/>
            <w:hideMark/>
          </w:tcPr>
          <w:p w14:paraId="68588863" w14:textId="77777777" w:rsidR="0048103E" w:rsidRPr="00485998" w:rsidRDefault="0048103E" w:rsidP="0048103E">
            <w:pPr>
              <w:pStyle w:val="Default"/>
              <w:ind w:left="83"/>
            </w:pPr>
            <w:r w:rsidRPr="00485998">
              <w:t>21</w:t>
            </w:r>
          </w:p>
        </w:tc>
        <w:tc>
          <w:tcPr>
            <w:tcW w:w="1478" w:type="pct"/>
            <w:hideMark/>
          </w:tcPr>
          <w:p w14:paraId="27753687" w14:textId="77777777" w:rsidR="0048103E" w:rsidRPr="00485998" w:rsidRDefault="0048103E" w:rsidP="0048103E">
            <w:pPr>
              <w:pStyle w:val="Default"/>
              <w:ind w:left="61"/>
              <w:jc w:val="center"/>
            </w:pPr>
            <w:r w:rsidRPr="00485998">
              <w:t>7</w:t>
            </w:r>
          </w:p>
        </w:tc>
      </w:tr>
      <w:tr w:rsidR="0048103E" w14:paraId="4EDB7AB1" w14:textId="77777777" w:rsidTr="0048103E">
        <w:trPr>
          <w:tblCellSpacing w:w="0" w:type="dxa"/>
        </w:trPr>
        <w:tc>
          <w:tcPr>
            <w:tcW w:w="1393" w:type="pct"/>
            <w:hideMark/>
          </w:tcPr>
          <w:p w14:paraId="28CEEACA" w14:textId="77777777" w:rsidR="0048103E" w:rsidRPr="00485998" w:rsidRDefault="0048103E" w:rsidP="0048103E">
            <w:pPr>
              <w:pStyle w:val="Default"/>
              <w:ind w:left="108"/>
            </w:pPr>
            <w:r w:rsidRPr="00485998">
              <w:t>75</w:t>
            </w:r>
          </w:p>
        </w:tc>
        <w:tc>
          <w:tcPr>
            <w:tcW w:w="1064" w:type="pct"/>
            <w:hideMark/>
          </w:tcPr>
          <w:p w14:paraId="251215C3" w14:textId="77777777" w:rsidR="0048103E" w:rsidRPr="00485998" w:rsidRDefault="0048103E" w:rsidP="0048103E">
            <w:pPr>
              <w:pStyle w:val="Default"/>
              <w:ind w:left="83"/>
            </w:pPr>
            <w:r w:rsidRPr="00485998">
              <w:t>2250</w:t>
            </w:r>
          </w:p>
        </w:tc>
        <w:tc>
          <w:tcPr>
            <w:tcW w:w="1065" w:type="pct"/>
            <w:hideMark/>
          </w:tcPr>
          <w:p w14:paraId="41D98D2A" w14:textId="77777777" w:rsidR="0048103E" w:rsidRPr="00485998" w:rsidRDefault="0048103E" w:rsidP="0048103E">
            <w:pPr>
              <w:pStyle w:val="Default"/>
              <w:ind w:left="83"/>
            </w:pPr>
            <w:r w:rsidRPr="00485998">
              <w:t>22,5</w:t>
            </w:r>
          </w:p>
        </w:tc>
        <w:tc>
          <w:tcPr>
            <w:tcW w:w="1478" w:type="pct"/>
            <w:hideMark/>
          </w:tcPr>
          <w:p w14:paraId="52096E5B" w14:textId="77777777" w:rsidR="0048103E" w:rsidRPr="00485998" w:rsidRDefault="0048103E" w:rsidP="0048103E">
            <w:pPr>
              <w:pStyle w:val="Default"/>
              <w:ind w:left="61"/>
              <w:jc w:val="center"/>
            </w:pPr>
            <w:r w:rsidRPr="00485998">
              <w:t>7,5</w:t>
            </w:r>
          </w:p>
        </w:tc>
      </w:tr>
      <w:tr w:rsidR="0048103E" w14:paraId="6EC56A34" w14:textId="77777777" w:rsidTr="0048103E">
        <w:trPr>
          <w:tblCellSpacing w:w="0" w:type="dxa"/>
        </w:trPr>
        <w:tc>
          <w:tcPr>
            <w:tcW w:w="1393" w:type="pct"/>
            <w:hideMark/>
          </w:tcPr>
          <w:p w14:paraId="54FEA5C7" w14:textId="77777777" w:rsidR="0048103E" w:rsidRPr="00485998" w:rsidRDefault="0048103E" w:rsidP="0048103E">
            <w:pPr>
              <w:pStyle w:val="Default"/>
              <w:ind w:left="108"/>
            </w:pPr>
            <w:r w:rsidRPr="00485998">
              <w:t>80</w:t>
            </w:r>
          </w:p>
        </w:tc>
        <w:tc>
          <w:tcPr>
            <w:tcW w:w="1064" w:type="pct"/>
            <w:hideMark/>
          </w:tcPr>
          <w:p w14:paraId="482A9617" w14:textId="77777777" w:rsidR="0048103E" w:rsidRPr="00485998" w:rsidRDefault="0048103E" w:rsidP="0048103E">
            <w:pPr>
              <w:pStyle w:val="Default"/>
              <w:ind w:left="83"/>
            </w:pPr>
            <w:r w:rsidRPr="00485998">
              <w:t>2400</w:t>
            </w:r>
          </w:p>
        </w:tc>
        <w:tc>
          <w:tcPr>
            <w:tcW w:w="1065" w:type="pct"/>
            <w:hideMark/>
          </w:tcPr>
          <w:p w14:paraId="24CCBF2F" w14:textId="77777777" w:rsidR="0048103E" w:rsidRPr="00485998" w:rsidRDefault="0048103E" w:rsidP="0048103E">
            <w:pPr>
              <w:pStyle w:val="Default"/>
              <w:ind w:left="83"/>
            </w:pPr>
            <w:r w:rsidRPr="00485998">
              <w:t>24</w:t>
            </w:r>
          </w:p>
        </w:tc>
        <w:tc>
          <w:tcPr>
            <w:tcW w:w="1478" w:type="pct"/>
            <w:hideMark/>
          </w:tcPr>
          <w:p w14:paraId="5DCF24D8" w14:textId="77777777" w:rsidR="0048103E" w:rsidRPr="00485998" w:rsidRDefault="0048103E" w:rsidP="0048103E">
            <w:pPr>
              <w:pStyle w:val="Default"/>
              <w:ind w:left="61"/>
              <w:jc w:val="center"/>
            </w:pPr>
            <w:r w:rsidRPr="00485998">
              <w:t>8</w:t>
            </w:r>
          </w:p>
        </w:tc>
      </w:tr>
      <w:tr w:rsidR="0048103E" w14:paraId="156E3604" w14:textId="77777777" w:rsidTr="0048103E">
        <w:trPr>
          <w:tblCellSpacing w:w="0" w:type="dxa"/>
        </w:trPr>
        <w:tc>
          <w:tcPr>
            <w:tcW w:w="1393" w:type="pct"/>
            <w:hideMark/>
          </w:tcPr>
          <w:p w14:paraId="268830C6" w14:textId="77777777" w:rsidR="0048103E" w:rsidRPr="00485998" w:rsidRDefault="0048103E" w:rsidP="0048103E">
            <w:pPr>
              <w:pStyle w:val="Default"/>
              <w:ind w:left="108"/>
            </w:pPr>
            <w:r w:rsidRPr="00485998">
              <w:t>85</w:t>
            </w:r>
          </w:p>
        </w:tc>
        <w:tc>
          <w:tcPr>
            <w:tcW w:w="1064" w:type="pct"/>
            <w:hideMark/>
          </w:tcPr>
          <w:p w14:paraId="51C3D45A" w14:textId="77777777" w:rsidR="0048103E" w:rsidRPr="00485998" w:rsidRDefault="0048103E" w:rsidP="0048103E">
            <w:pPr>
              <w:pStyle w:val="Default"/>
              <w:ind w:left="83"/>
            </w:pPr>
            <w:r w:rsidRPr="00485998">
              <w:t>2550</w:t>
            </w:r>
          </w:p>
        </w:tc>
        <w:tc>
          <w:tcPr>
            <w:tcW w:w="1065" w:type="pct"/>
            <w:hideMark/>
          </w:tcPr>
          <w:p w14:paraId="60B651EA" w14:textId="77777777" w:rsidR="0048103E" w:rsidRPr="00485998" w:rsidRDefault="0048103E" w:rsidP="0048103E">
            <w:pPr>
              <w:pStyle w:val="Default"/>
              <w:ind w:left="83"/>
            </w:pPr>
            <w:r w:rsidRPr="00485998">
              <w:t>25,5</w:t>
            </w:r>
          </w:p>
        </w:tc>
        <w:tc>
          <w:tcPr>
            <w:tcW w:w="1478" w:type="pct"/>
            <w:hideMark/>
          </w:tcPr>
          <w:p w14:paraId="4D717A50" w14:textId="77777777" w:rsidR="0048103E" w:rsidRPr="00485998" w:rsidRDefault="0048103E" w:rsidP="0048103E">
            <w:pPr>
              <w:pStyle w:val="Default"/>
              <w:ind w:left="61"/>
              <w:jc w:val="center"/>
            </w:pPr>
            <w:r w:rsidRPr="00485998">
              <w:t>8,5</w:t>
            </w:r>
          </w:p>
        </w:tc>
      </w:tr>
      <w:tr w:rsidR="0048103E" w14:paraId="0C4B337E" w14:textId="77777777" w:rsidTr="0048103E">
        <w:trPr>
          <w:tblCellSpacing w:w="0" w:type="dxa"/>
        </w:trPr>
        <w:tc>
          <w:tcPr>
            <w:tcW w:w="1393" w:type="pct"/>
            <w:hideMark/>
          </w:tcPr>
          <w:p w14:paraId="401B00F5" w14:textId="77777777" w:rsidR="0048103E" w:rsidRPr="00485998" w:rsidRDefault="0048103E" w:rsidP="0048103E">
            <w:pPr>
              <w:pStyle w:val="Default"/>
              <w:ind w:left="108"/>
            </w:pPr>
            <w:r w:rsidRPr="00485998">
              <w:t>90</w:t>
            </w:r>
          </w:p>
        </w:tc>
        <w:tc>
          <w:tcPr>
            <w:tcW w:w="1064" w:type="pct"/>
            <w:hideMark/>
          </w:tcPr>
          <w:p w14:paraId="6700981C" w14:textId="77777777" w:rsidR="0048103E" w:rsidRPr="00485998" w:rsidRDefault="0048103E" w:rsidP="0048103E">
            <w:pPr>
              <w:pStyle w:val="Default"/>
              <w:ind w:left="83"/>
            </w:pPr>
            <w:r w:rsidRPr="00485998">
              <w:t>2700</w:t>
            </w:r>
          </w:p>
        </w:tc>
        <w:tc>
          <w:tcPr>
            <w:tcW w:w="1065" w:type="pct"/>
            <w:hideMark/>
          </w:tcPr>
          <w:p w14:paraId="1CD85399" w14:textId="77777777" w:rsidR="0048103E" w:rsidRPr="00485998" w:rsidRDefault="0048103E" w:rsidP="0048103E">
            <w:pPr>
              <w:pStyle w:val="Default"/>
              <w:ind w:left="83"/>
            </w:pPr>
            <w:r w:rsidRPr="00485998">
              <w:t>27</w:t>
            </w:r>
          </w:p>
        </w:tc>
        <w:tc>
          <w:tcPr>
            <w:tcW w:w="1478" w:type="pct"/>
            <w:hideMark/>
          </w:tcPr>
          <w:p w14:paraId="320BDDDD" w14:textId="77777777" w:rsidR="0048103E" w:rsidRPr="00485998" w:rsidRDefault="0048103E" w:rsidP="0048103E">
            <w:pPr>
              <w:pStyle w:val="Default"/>
              <w:ind w:left="61"/>
              <w:jc w:val="center"/>
            </w:pPr>
            <w:r w:rsidRPr="00485998">
              <w:t>9</w:t>
            </w:r>
          </w:p>
        </w:tc>
      </w:tr>
      <w:tr w:rsidR="0048103E" w14:paraId="6DE72EA8" w14:textId="77777777" w:rsidTr="0048103E">
        <w:trPr>
          <w:tblCellSpacing w:w="0" w:type="dxa"/>
        </w:trPr>
        <w:tc>
          <w:tcPr>
            <w:tcW w:w="1393" w:type="pct"/>
            <w:hideMark/>
          </w:tcPr>
          <w:p w14:paraId="3C0311D6" w14:textId="77777777" w:rsidR="0048103E" w:rsidRPr="00485998" w:rsidRDefault="0048103E" w:rsidP="0048103E">
            <w:pPr>
              <w:pStyle w:val="Default"/>
              <w:ind w:left="108"/>
            </w:pPr>
            <w:r w:rsidRPr="00485998">
              <w:t>95</w:t>
            </w:r>
          </w:p>
        </w:tc>
        <w:tc>
          <w:tcPr>
            <w:tcW w:w="1064" w:type="pct"/>
            <w:hideMark/>
          </w:tcPr>
          <w:p w14:paraId="5CD006E6" w14:textId="77777777" w:rsidR="0048103E" w:rsidRPr="00485998" w:rsidRDefault="0048103E" w:rsidP="0048103E">
            <w:pPr>
              <w:pStyle w:val="Default"/>
              <w:ind w:left="83"/>
            </w:pPr>
            <w:r w:rsidRPr="00485998">
              <w:t>2850</w:t>
            </w:r>
          </w:p>
        </w:tc>
        <w:tc>
          <w:tcPr>
            <w:tcW w:w="1065" w:type="pct"/>
            <w:hideMark/>
          </w:tcPr>
          <w:p w14:paraId="33A57C53" w14:textId="77777777" w:rsidR="0048103E" w:rsidRPr="00485998" w:rsidRDefault="0048103E" w:rsidP="0048103E">
            <w:pPr>
              <w:pStyle w:val="Default"/>
              <w:ind w:left="83"/>
            </w:pPr>
            <w:r w:rsidRPr="00485998">
              <w:t>28,5</w:t>
            </w:r>
          </w:p>
        </w:tc>
        <w:tc>
          <w:tcPr>
            <w:tcW w:w="1478" w:type="pct"/>
            <w:hideMark/>
          </w:tcPr>
          <w:p w14:paraId="6E9F3CAA" w14:textId="77777777" w:rsidR="0048103E" w:rsidRPr="00485998" w:rsidRDefault="0048103E" w:rsidP="0048103E">
            <w:pPr>
              <w:pStyle w:val="Default"/>
              <w:ind w:left="61"/>
              <w:jc w:val="center"/>
            </w:pPr>
            <w:r w:rsidRPr="00485998">
              <w:t>9,5</w:t>
            </w:r>
          </w:p>
        </w:tc>
      </w:tr>
      <w:tr w:rsidR="0048103E" w14:paraId="061D6A0D" w14:textId="77777777" w:rsidTr="0048103E">
        <w:trPr>
          <w:tblCellSpacing w:w="0" w:type="dxa"/>
        </w:trPr>
        <w:tc>
          <w:tcPr>
            <w:tcW w:w="1393" w:type="pct"/>
            <w:hideMark/>
          </w:tcPr>
          <w:p w14:paraId="58F5C842" w14:textId="77777777" w:rsidR="0048103E" w:rsidRPr="00485998" w:rsidRDefault="0048103E" w:rsidP="0048103E">
            <w:pPr>
              <w:pStyle w:val="Default"/>
              <w:ind w:left="108"/>
            </w:pPr>
            <w:r w:rsidRPr="00485998">
              <w:t>100</w:t>
            </w:r>
          </w:p>
        </w:tc>
        <w:tc>
          <w:tcPr>
            <w:tcW w:w="1064" w:type="pct"/>
            <w:hideMark/>
          </w:tcPr>
          <w:p w14:paraId="68107519" w14:textId="77777777" w:rsidR="0048103E" w:rsidRPr="00485998" w:rsidRDefault="0048103E" w:rsidP="0048103E">
            <w:pPr>
              <w:pStyle w:val="Default"/>
              <w:ind w:left="83"/>
            </w:pPr>
            <w:r w:rsidRPr="00485998">
              <w:t>3000</w:t>
            </w:r>
          </w:p>
        </w:tc>
        <w:tc>
          <w:tcPr>
            <w:tcW w:w="1065" w:type="pct"/>
            <w:hideMark/>
          </w:tcPr>
          <w:p w14:paraId="5A693A37" w14:textId="77777777" w:rsidR="0048103E" w:rsidRPr="00485998" w:rsidRDefault="0048103E" w:rsidP="0048103E">
            <w:pPr>
              <w:pStyle w:val="Default"/>
              <w:ind w:left="83"/>
            </w:pPr>
            <w:r w:rsidRPr="00485998">
              <w:t>30</w:t>
            </w:r>
          </w:p>
        </w:tc>
        <w:tc>
          <w:tcPr>
            <w:tcW w:w="1478" w:type="pct"/>
            <w:hideMark/>
          </w:tcPr>
          <w:p w14:paraId="11EB2CAB" w14:textId="77777777" w:rsidR="0048103E" w:rsidRPr="00485998" w:rsidRDefault="0048103E" w:rsidP="0048103E">
            <w:pPr>
              <w:pStyle w:val="Default"/>
              <w:ind w:left="61"/>
              <w:jc w:val="center"/>
            </w:pPr>
            <w:r w:rsidRPr="00485998">
              <w:t>10</w:t>
            </w:r>
          </w:p>
        </w:tc>
      </w:tr>
      <w:tr w:rsidR="0048103E" w14:paraId="54F3439F" w14:textId="77777777" w:rsidTr="0048103E">
        <w:trPr>
          <w:tblCellSpacing w:w="0" w:type="dxa"/>
        </w:trPr>
        <w:tc>
          <w:tcPr>
            <w:tcW w:w="1393" w:type="pct"/>
            <w:hideMark/>
          </w:tcPr>
          <w:p w14:paraId="317A249A" w14:textId="77777777" w:rsidR="0048103E" w:rsidRPr="00485998" w:rsidRDefault="0048103E" w:rsidP="0048103E">
            <w:pPr>
              <w:pStyle w:val="Default"/>
              <w:ind w:left="108"/>
            </w:pPr>
            <w:r w:rsidRPr="00485998">
              <w:t>105</w:t>
            </w:r>
          </w:p>
        </w:tc>
        <w:tc>
          <w:tcPr>
            <w:tcW w:w="1064" w:type="pct"/>
            <w:hideMark/>
          </w:tcPr>
          <w:p w14:paraId="35DB0468" w14:textId="77777777" w:rsidR="0048103E" w:rsidRPr="00485998" w:rsidRDefault="0048103E" w:rsidP="0048103E">
            <w:pPr>
              <w:pStyle w:val="Default"/>
              <w:ind w:left="83"/>
            </w:pPr>
            <w:r w:rsidRPr="00485998">
              <w:t>3150</w:t>
            </w:r>
          </w:p>
        </w:tc>
        <w:tc>
          <w:tcPr>
            <w:tcW w:w="1065" w:type="pct"/>
            <w:hideMark/>
          </w:tcPr>
          <w:p w14:paraId="2E44E92B" w14:textId="77777777" w:rsidR="0048103E" w:rsidRPr="00485998" w:rsidRDefault="0048103E" w:rsidP="0048103E">
            <w:pPr>
              <w:pStyle w:val="Default"/>
              <w:ind w:left="83"/>
            </w:pPr>
            <w:r w:rsidRPr="00485998">
              <w:t>31,5</w:t>
            </w:r>
          </w:p>
        </w:tc>
        <w:tc>
          <w:tcPr>
            <w:tcW w:w="1478" w:type="pct"/>
            <w:hideMark/>
          </w:tcPr>
          <w:p w14:paraId="24B1D2DE" w14:textId="77777777" w:rsidR="0048103E" w:rsidRPr="00485998" w:rsidRDefault="0048103E" w:rsidP="0048103E">
            <w:pPr>
              <w:pStyle w:val="Default"/>
              <w:ind w:left="61"/>
              <w:jc w:val="center"/>
            </w:pPr>
            <w:r w:rsidRPr="00485998">
              <w:t>10,5</w:t>
            </w:r>
          </w:p>
        </w:tc>
      </w:tr>
      <w:tr w:rsidR="0048103E" w14:paraId="60DCE6C2" w14:textId="77777777" w:rsidTr="0048103E">
        <w:trPr>
          <w:tblCellSpacing w:w="0" w:type="dxa"/>
        </w:trPr>
        <w:tc>
          <w:tcPr>
            <w:tcW w:w="1393" w:type="pct"/>
            <w:hideMark/>
          </w:tcPr>
          <w:p w14:paraId="137614B7" w14:textId="77777777" w:rsidR="0048103E" w:rsidRPr="00485998" w:rsidRDefault="0048103E" w:rsidP="0048103E">
            <w:pPr>
              <w:pStyle w:val="Default"/>
              <w:ind w:left="108"/>
            </w:pPr>
            <w:r w:rsidRPr="00485998">
              <w:t>110</w:t>
            </w:r>
          </w:p>
        </w:tc>
        <w:tc>
          <w:tcPr>
            <w:tcW w:w="1064" w:type="pct"/>
            <w:hideMark/>
          </w:tcPr>
          <w:p w14:paraId="34055DD0" w14:textId="77777777" w:rsidR="0048103E" w:rsidRPr="00485998" w:rsidRDefault="0048103E" w:rsidP="0048103E">
            <w:pPr>
              <w:pStyle w:val="Default"/>
              <w:ind w:left="83"/>
            </w:pPr>
            <w:r w:rsidRPr="00485998">
              <w:t>3300</w:t>
            </w:r>
          </w:p>
        </w:tc>
        <w:tc>
          <w:tcPr>
            <w:tcW w:w="1065" w:type="pct"/>
            <w:hideMark/>
          </w:tcPr>
          <w:p w14:paraId="4CECCA48" w14:textId="77777777" w:rsidR="0048103E" w:rsidRPr="00485998" w:rsidRDefault="0048103E" w:rsidP="0048103E">
            <w:pPr>
              <w:pStyle w:val="Default"/>
              <w:ind w:left="83"/>
            </w:pPr>
            <w:r w:rsidRPr="00485998">
              <w:t>33</w:t>
            </w:r>
          </w:p>
        </w:tc>
        <w:tc>
          <w:tcPr>
            <w:tcW w:w="1478" w:type="pct"/>
            <w:hideMark/>
          </w:tcPr>
          <w:p w14:paraId="3318FE34" w14:textId="77777777" w:rsidR="0048103E" w:rsidRPr="00485998" w:rsidRDefault="0048103E" w:rsidP="0048103E">
            <w:pPr>
              <w:pStyle w:val="Default"/>
              <w:ind w:left="61"/>
              <w:jc w:val="center"/>
            </w:pPr>
            <w:r w:rsidRPr="00485998">
              <w:t>11</w:t>
            </w:r>
          </w:p>
        </w:tc>
      </w:tr>
      <w:tr w:rsidR="0048103E" w14:paraId="4F339DF4" w14:textId="77777777" w:rsidTr="0048103E">
        <w:trPr>
          <w:tblCellSpacing w:w="0" w:type="dxa"/>
        </w:trPr>
        <w:tc>
          <w:tcPr>
            <w:tcW w:w="1393" w:type="pct"/>
            <w:hideMark/>
          </w:tcPr>
          <w:p w14:paraId="158D8076" w14:textId="77777777" w:rsidR="0048103E" w:rsidRPr="00485998" w:rsidRDefault="0048103E" w:rsidP="0048103E">
            <w:pPr>
              <w:pStyle w:val="Default"/>
              <w:ind w:left="108"/>
            </w:pPr>
            <w:r w:rsidRPr="00485998">
              <w:t>115</w:t>
            </w:r>
          </w:p>
        </w:tc>
        <w:tc>
          <w:tcPr>
            <w:tcW w:w="1064" w:type="pct"/>
            <w:hideMark/>
          </w:tcPr>
          <w:p w14:paraId="7085FC7E" w14:textId="77777777" w:rsidR="0048103E" w:rsidRPr="00485998" w:rsidRDefault="0048103E" w:rsidP="0048103E">
            <w:pPr>
              <w:pStyle w:val="Default"/>
              <w:ind w:left="83"/>
            </w:pPr>
            <w:r w:rsidRPr="00485998">
              <w:t>3450</w:t>
            </w:r>
          </w:p>
        </w:tc>
        <w:tc>
          <w:tcPr>
            <w:tcW w:w="1065" w:type="pct"/>
            <w:hideMark/>
          </w:tcPr>
          <w:p w14:paraId="5F344E81" w14:textId="77777777" w:rsidR="0048103E" w:rsidRPr="00485998" w:rsidRDefault="0048103E" w:rsidP="0048103E">
            <w:pPr>
              <w:pStyle w:val="Default"/>
              <w:ind w:left="83"/>
            </w:pPr>
            <w:r w:rsidRPr="00485998">
              <w:t>34,5</w:t>
            </w:r>
          </w:p>
        </w:tc>
        <w:tc>
          <w:tcPr>
            <w:tcW w:w="1478" w:type="pct"/>
            <w:hideMark/>
          </w:tcPr>
          <w:p w14:paraId="74B497E2" w14:textId="77777777" w:rsidR="0048103E" w:rsidRPr="00485998" w:rsidRDefault="0048103E" w:rsidP="0048103E">
            <w:pPr>
              <w:pStyle w:val="Default"/>
              <w:ind w:left="61"/>
              <w:jc w:val="center"/>
            </w:pPr>
            <w:r w:rsidRPr="00485998">
              <w:t>11,5</w:t>
            </w:r>
          </w:p>
        </w:tc>
      </w:tr>
      <w:tr w:rsidR="0048103E" w14:paraId="40CC141A" w14:textId="77777777" w:rsidTr="0048103E">
        <w:trPr>
          <w:tblCellSpacing w:w="0" w:type="dxa"/>
        </w:trPr>
        <w:tc>
          <w:tcPr>
            <w:tcW w:w="1393" w:type="pct"/>
            <w:hideMark/>
          </w:tcPr>
          <w:p w14:paraId="0A3F865D" w14:textId="77777777" w:rsidR="0048103E" w:rsidRPr="00485998" w:rsidRDefault="0048103E" w:rsidP="0048103E">
            <w:pPr>
              <w:pStyle w:val="Default"/>
              <w:ind w:left="108"/>
            </w:pPr>
            <w:r w:rsidRPr="00485998">
              <w:t>120</w:t>
            </w:r>
          </w:p>
        </w:tc>
        <w:tc>
          <w:tcPr>
            <w:tcW w:w="1064" w:type="pct"/>
            <w:hideMark/>
          </w:tcPr>
          <w:p w14:paraId="421266C4" w14:textId="77777777" w:rsidR="0048103E" w:rsidRPr="00485998" w:rsidRDefault="0048103E" w:rsidP="0048103E">
            <w:pPr>
              <w:pStyle w:val="Default"/>
              <w:ind w:left="83"/>
            </w:pPr>
            <w:r w:rsidRPr="00485998">
              <w:t>3600</w:t>
            </w:r>
          </w:p>
        </w:tc>
        <w:tc>
          <w:tcPr>
            <w:tcW w:w="1065" w:type="pct"/>
            <w:hideMark/>
          </w:tcPr>
          <w:p w14:paraId="56FD43E5" w14:textId="77777777" w:rsidR="0048103E" w:rsidRPr="00485998" w:rsidRDefault="0048103E" w:rsidP="0048103E">
            <w:pPr>
              <w:pStyle w:val="Default"/>
              <w:ind w:left="83"/>
            </w:pPr>
            <w:r w:rsidRPr="00485998">
              <w:t>36</w:t>
            </w:r>
          </w:p>
        </w:tc>
        <w:tc>
          <w:tcPr>
            <w:tcW w:w="1478" w:type="pct"/>
            <w:hideMark/>
          </w:tcPr>
          <w:p w14:paraId="4D228819" w14:textId="77777777" w:rsidR="0048103E" w:rsidRPr="00485998" w:rsidRDefault="0048103E" w:rsidP="0048103E">
            <w:pPr>
              <w:pStyle w:val="Default"/>
              <w:ind w:left="61"/>
              <w:jc w:val="center"/>
            </w:pPr>
            <w:r w:rsidRPr="00485998">
              <w:t>12</w:t>
            </w:r>
          </w:p>
        </w:tc>
      </w:tr>
      <w:tr w:rsidR="0048103E" w14:paraId="0BD7716F" w14:textId="77777777" w:rsidTr="0048103E">
        <w:trPr>
          <w:tblCellSpacing w:w="0" w:type="dxa"/>
        </w:trPr>
        <w:tc>
          <w:tcPr>
            <w:tcW w:w="1393" w:type="pct"/>
            <w:hideMark/>
          </w:tcPr>
          <w:p w14:paraId="702C0E4C" w14:textId="77777777" w:rsidR="0048103E" w:rsidRPr="00485998" w:rsidRDefault="0048103E" w:rsidP="0048103E">
            <w:pPr>
              <w:pStyle w:val="Default"/>
              <w:ind w:left="108"/>
            </w:pPr>
            <w:r w:rsidRPr="00485998">
              <w:t>125</w:t>
            </w:r>
          </w:p>
        </w:tc>
        <w:tc>
          <w:tcPr>
            <w:tcW w:w="1064" w:type="pct"/>
            <w:hideMark/>
          </w:tcPr>
          <w:p w14:paraId="652D662E" w14:textId="77777777" w:rsidR="0048103E" w:rsidRPr="00485998" w:rsidRDefault="0048103E" w:rsidP="0048103E">
            <w:pPr>
              <w:pStyle w:val="Default"/>
              <w:ind w:left="83"/>
            </w:pPr>
            <w:r w:rsidRPr="00485998">
              <w:t>3750</w:t>
            </w:r>
          </w:p>
        </w:tc>
        <w:tc>
          <w:tcPr>
            <w:tcW w:w="1065" w:type="pct"/>
            <w:hideMark/>
          </w:tcPr>
          <w:p w14:paraId="19B5D432" w14:textId="77777777" w:rsidR="0048103E" w:rsidRPr="00485998" w:rsidRDefault="0048103E" w:rsidP="0048103E">
            <w:pPr>
              <w:pStyle w:val="Default"/>
              <w:ind w:left="83"/>
            </w:pPr>
            <w:r w:rsidRPr="00485998">
              <w:t>37,5</w:t>
            </w:r>
          </w:p>
        </w:tc>
        <w:tc>
          <w:tcPr>
            <w:tcW w:w="1478" w:type="pct"/>
            <w:hideMark/>
          </w:tcPr>
          <w:p w14:paraId="6F9A41B3" w14:textId="77777777" w:rsidR="0048103E" w:rsidRPr="00485998" w:rsidRDefault="0048103E" w:rsidP="0048103E">
            <w:pPr>
              <w:pStyle w:val="Default"/>
              <w:ind w:left="61"/>
              <w:jc w:val="center"/>
            </w:pPr>
            <w:r w:rsidRPr="00485998">
              <w:t>12,5</w:t>
            </w:r>
          </w:p>
        </w:tc>
      </w:tr>
      <w:tr w:rsidR="0048103E" w14:paraId="5A5C155E" w14:textId="77777777" w:rsidTr="0048103E">
        <w:trPr>
          <w:tblCellSpacing w:w="0" w:type="dxa"/>
        </w:trPr>
        <w:tc>
          <w:tcPr>
            <w:tcW w:w="1393" w:type="pct"/>
            <w:hideMark/>
          </w:tcPr>
          <w:p w14:paraId="6327571C" w14:textId="77777777" w:rsidR="0048103E" w:rsidRPr="00485998" w:rsidRDefault="0048103E" w:rsidP="0048103E">
            <w:pPr>
              <w:pStyle w:val="Default"/>
              <w:ind w:left="108"/>
            </w:pPr>
            <w:r w:rsidRPr="00485998">
              <w:t>130</w:t>
            </w:r>
          </w:p>
        </w:tc>
        <w:tc>
          <w:tcPr>
            <w:tcW w:w="1064" w:type="pct"/>
            <w:hideMark/>
          </w:tcPr>
          <w:p w14:paraId="7745B851" w14:textId="77777777" w:rsidR="0048103E" w:rsidRPr="00485998" w:rsidRDefault="0048103E" w:rsidP="0048103E">
            <w:pPr>
              <w:pStyle w:val="Default"/>
              <w:ind w:left="83"/>
            </w:pPr>
            <w:r w:rsidRPr="00485998">
              <w:t>3900</w:t>
            </w:r>
          </w:p>
        </w:tc>
        <w:tc>
          <w:tcPr>
            <w:tcW w:w="1065" w:type="pct"/>
            <w:hideMark/>
          </w:tcPr>
          <w:p w14:paraId="48BCF1E3" w14:textId="77777777" w:rsidR="0048103E" w:rsidRPr="00485998" w:rsidRDefault="0048103E" w:rsidP="0048103E">
            <w:pPr>
              <w:pStyle w:val="Default"/>
              <w:ind w:left="83"/>
            </w:pPr>
            <w:r w:rsidRPr="00485998">
              <w:t>39</w:t>
            </w:r>
          </w:p>
        </w:tc>
        <w:tc>
          <w:tcPr>
            <w:tcW w:w="1478" w:type="pct"/>
            <w:hideMark/>
          </w:tcPr>
          <w:p w14:paraId="1398720D" w14:textId="77777777" w:rsidR="0048103E" w:rsidRPr="00485998" w:rsidRDefault="0048103E" w:rsidP="0048103E">
            <w:pPr>
              <w:pStyle w:val="Default"/>
              <w:ind w:left="61"/>
              <w:jc w:val="center"/>
            </w:pPr>
            <w:r w:rsidRPr="00485998">
              <w:t>13</w:t>
            </w:r>
          </w:p>
        </w:tc>
      </w:tr>
      <w:tr w:rsidR="0048103E" w14:paraId="19B670C4" w14:textId="77777777" w:rsidTr="0048103E">
        <w:trPr>
          <w:tblCellSpacing w:w="0" w:type="dxa"/>
        </w:trPr>
        <w:tc>
          <w:tcPr>
            <w:tcW w:w="1393" w:type="pct"/>
            <w:hideMark/>
          </w:tcPr>
          <w:p w14:paraId="19AC9D47" w14:textId="77777777" w:rsidR="0048103E" w:rsidRPr="00485998" w:rsidRDefault="0048103E" w:rsidP="0048103E">
            <w:pPr>
              <w:pStyle w:val="Default"/>
              <w:ind w:left="108"/>
            </w:pPr>
            <w:r w:rsidRPr="00485998">
              <w:t>135</w:t>
            </w:r>
          </w:p>
        </w:tc>
        <w:tc>
          <w:tcPr>
            <w:tcW w:w="1064" w:type="pct"/>
            <w:hideMark/>
          </w:tcPr>
          <w:p w14:paraId="0E1A7660" w14:textId="77777777" w:rsidR="0048103E" w:rsidRPr="00485998" w:rsidRDefault="0048103E" w:rsidP="0048103E">
            <w:pPr>
              <w:pStyle w:val="Default"/>
              <w:ind w:left="83"/>
            </w:pPr>
            <w:r w:rsidRPr="00485998">
              <w:t>4050</w:t>
            </w:r>
          </w:p>
        </w:tc>
        <w:tc>
          <w:tcPr>
            <w:tcW w:w="1065" w:type="pct"/>
            <w:hideMark/>
          </w:tcPr>
          <w:p w14:paraId="283C0297" w14:textId="77777777" w:rsidR="0048103E" w:rsidRPr="00485998" w:rsidRDefault="0048103E" w:rsidP="0048103E">
            <w:pPr>
              <w:pStyle w:val="Default"/>
              <w:ind w:left="83"/>
            </w:pPr>
            <w:r w:rsidRPr="00485998">
              <w:t>40,5</w:t>
            </w:r>
          </w:p>
        </w:tc>
        <w:tc>
          <w:tcPr>
            <w:tcW w:w="1478" w:type="pct"/>
            <w:hideMark/>
          </w:tcPr>
          <w:p w14:paraId="213C19CC" w14:textId="77777777" w:rsidR="0048103E" w:rsidRPr="00485998" w:rsidRDefault="0048103E" w:rsidP="0048103E">
            <w:pPr>
              <w:pStyle w:val="Default"/>
              <w:ind w:left="61"/>
              <w:jc w:val="center"/>
            </w:pPr>
            <w:r w:rsidRPr="00485998">
              <w:t>13,5</w:t>
            </w:r>
          </w:p>
        </w:tc>
      </w:tr>
      <w:tr w:rsidR="0048103E" w14:paraId="73E5562D" w14:textId="77777777" w:rsidTr="0048103E">
        <w:trPr>
          <w:tblCellSpacing w:w="0" w:type="dxa"/>
        </w:trPr>
        <w:tc>
          <w:tcPr>
            <w:tcW w:w="1393" w:type="pct"/>
            <w:hideMark/>
          </w:tcPr>
          <w:p w14:paraId="0710D7E3" w14:textId="77777777" w:rsidR="0048103E" w:rsidRPr="00485998" w:rsidRDefault="0048103E" w:rsidP="0048103E">
            <w:pPr>
              <w:pStyle w:val="Default"/>
              <w:ind w:left="108"/>
            </w:pPr>
            <w:r w:rsidRPr="00485998">
              <w:t>140</w:t>
            </w:r>
          </w:p>
        </w:tc>
        <w:tc>
          <w:tcPr>
            <w:tcW w:w="1064" w:type="pct"/>
            <w:hideMark/>
          </w:tcPr>
          <w:p w14:paraId="2C36DA49" w14:textId="77777777" w:rsidR="0048103E" w:rsidRPr="00485998" w:rsidRDefault="0048103E" w:rsidP="0048103E">
            <w:pPr>
              <w:pStyle w:val="Default"/>
              <w:ind w:left="83"/>
            </w:pPr>
            <w:r w:rsidRPr="00485998">
              <w:t>4200</w:t>
            </w:r>
          </w:p>
        </w:tc>
        <w:tc>
          <w:tcPr>
            <w:tcW w:w="1065" w:type="pct"/>
            <w:hideMark/>
          </w:tcPr>
          <w:p w14:paraId="4F60EC8C" w14:textId="77777777" w:rsidR="0048103E" w:rsidRPr="00485998" w:rsidRDefault="0048103E" w:rsidP="0048103E">
            <w:pPr>
              <w:pStyle w:val="Default"/>
              <w:ind w:left="83"/>
            </w:pPr>
            <w:r w:rsidRPr="00485998">
              <w:t>42</w:t>
            </w:r>
          </w:p>
        </w:tc>
        <w:tc>
          <w:tcPr>
            <w:tcW w:w="1478" w:type="pct"/>
            <w:hideMark/>
          </w:tcPr>
          <w:p w14:paraId="545FA261" w14:textId="77777777" w:rsidR="0048103E" w:rsidRPr="00485998" w:rsidRDefault="0048103E" w:rsidP="0048103E">
            <w:pPr>
              <w:pStyle w:val="Default"/>
              <w:ind w:left="61"/>
              <w:jc w:val="center"/>
            </w:pPr>
            <w:r w:rsidRPr="00485998">
              <w:t>14</w:t>
            </w:r>
          </w:p>
        </w:tc>
      </w:tr>
      <w:tr w:rsidR="0048103E" w14:paraId="5A260E61" w14:textId="77777777" w:rsidTr="00A11ABC">
        <w:trPr>
          <w:tblCellSpacing w:w="0" w:type="dxa"/>
        </w:trPr>
        <w:tc>
          <w:tcPr>
            <w:tcW w:w="1393" w:type="pct"/>
            <w:tcBorders>
              <w:bottom w:val="nil"/>
            </w:tcBorders>
            <w:hideMark/>
          </w:tcPr>
          <w:p w14:paraId="4027EE9D" w14:textId="77777777" w:rsidR="0048103E" w:rsidRPr="00485998" w:rsidRDefault="0048103E" w:rsidP="00A11ABC">
            <w:pPr>
              <w:pStyle w:val="Default"/>
              <w:keepNext/>
              <w:ind w:left="108"/>
            </w:pPr>
            <w:r w:rsidRPr="00485998">
              <w:lastRenderedPageBreak/>
              <w:t>145</w:t>
            </w:r>
          </w:p>
        </w:tc>
        <w:tc>
          <w:tcPr>
            <w:tcW w:w="1064" w:type="pct"/>
            <w:tcBorders>
              <w:bottom w:val="nil"/>
            </w:tcBorders>
            <w:hideMark/>
          </w:tcPr>
          <w:p w14:paraId="56F9D706" w14:textId="77777777" w:rsidR="0048103E" w:rsidRPr="00485998" w:rsidRDefault="0048103E" w:rsidP="00A11ABC">
            <w:pPr>
              <w:pStyle w:val="Default"/>
              <w:keepNext/>
              <w:ind w:left="83"/>
            </w:pPr>
            <w:r w:rsidRPr="00485998">
              <w:t>4350</w:t>
            </w:r>
          </w:p>
        </w:tc>
        <w:tc>
          <w:tcPr>
            <w:tcW w:w="1065" w:type="pct"/>
            <w:tcBorders>
              <w:bottom w:val="nil"/>
            </w:tcBorders>
            <w:hideMark/>
          </w:tcPr>
          <w:p w14:paraId="49BAE0CA" w14:textId="77777777" w:rsidR="0048103E" w:rsidRPr="00485998" w:rsidRDefault="0048103E" w:rsidP="00A11ABC">
            <w:pPr>
              <w:pStyle w:val="Default"/>
              <w:keepNext/>
              <w:ind w:left="83"/>
            </w:pPr>
            <w:r w:rsidRPr="00485998">
              <w:t>43,5</w:t>
            </w:r>
          </w:p>
        </w:tc>
        <w:tc>
          <w:tcPr>
            <w:tcW w:w="1478" w:type="pct"/>
            <w:tcBorders>
              <w:bottom w:val="nil"/>
            </w:tcBorders>
            <w:hideMark/>
          </w:tcPr>
          <w:p w14:paraId="214E7688" w14:textId="77777777" w:rsidR="0048103E" w:rsidRPr="00485998" w:rsidRDefault="0048103E" w:rsidP="00A11ABC">
            <w:pPr>
              <w:pStyle w:val="Default"/>
              <w:keepNext/>
              <w:ind w:left="61"/>
              <w:jc w:val="center"/>
            </w:pPr>
            <w:r w:rsidRPr="00485998">
              <w:t>14,5</w:t>
            </w:r>
          </w:p>
        </w:tc>
      </w:tr>
      <w:tr w:rsidR="0048103E" w14:paraId="74C97F1B" w14:textId="77777777" w:rsidTr="00A11ABC">
        <w:trPr>
          <w:tblCellSpacing w:w="0" w:type="dxa"/>
        </w:trPr>
        <w:tc>
          <w:tcPr>
            <w:tcW w:w="1393" w:type="pct"/>
            <w:tcBorders>
              <w:top w:val="single" w:sz="4" w:space="0" w:color="auto"/>
            </w:tcBorders>
            <w:hideMark/>
          </w:tcPr>
          <w:p w14:paraId="01028A51" w14:textId="77777777" w:rsidR="0048103E" w:rsidRPr="00485998" w:rsidRDefault="0048103E" w:rsidP="0048103E">
            <w:pPr>
              <w:pStyle w:val="Default"/>
              <w:ind w:left="108"/>
            </w:pPr>
            <w:r w:rsidRPr="00485998">
              <w:t>150</w:t>
            </w:r>
          </w:p>
        </w:tc>
        <w:tc>
          <w:tcPr>
            <w:tcW w:w="1064" w:type="pct"/>
            <w:tcBorders>
              <w:top w:val="single" w:sz="4" w:space="0" w:color="auto"/>
            </w:tcBorders>
            <w:hideMark/>
          </w:tcPr>
          <w:p w14:paraId="5980E831" w14:textId="77777777" w:rsidR="0048103E" w:rsidRPr="00485998" w:rsidRDefault="0048103E" w:rsidP="0048103E">
            <w:pPr>
              <w:pStyle w:val="Default"/>
              <w:ind w:left="83"/>
            </w:pPr>
            <w:r w:rsidRPr="00485998">
              <w:t>4500</w:t>
            </w:r>
          </w:p>
        </w:tc>
        <w:tc>
          <w:tcPr>
            <w:tcW w:w="1065" w:type="pct"/>
            <w:tcBorders>
              <w:top w:val="single" w:sz="4" w:space="0" w:color="auto"/>
            </w:tcBorders>
            <w:hideMark/>
          </w:tcPr>
          <w:p w14:paraId="4158846E" w14:textId="77777777" w:rsidR="0048103E" w:rsidRPr="00485998" w:rsidRDefault="0048103E" w:rsidP="0048103E">
            <w:pPr>
              <w:pStyle w:val="Default"/>
              <w:ind w:left="83"/>
            </w:pPr>
            <w:r w:rsidRPr="00485998">
              <w:t>45</w:t>
            </w:r>
          </w:p>
        </w:tc>
        <w:tc>
          <w:tcPr>
            <w:tcW w:w="1478" w:type="pct"/>
            <w:tcBorders>
              <w:top w:val="single" w:sz="4" w:space="0" w:color="auto"/>
            </w:tcBorders>
            <w:hideMark/>
          </w:tcPr>
          <w:p w14:paraId="7BDD5316" w14:textId="77777777" w:rsidR="0048103E" w:rsidRPr="00485998" w:rsidRDefault="0048103E" w:rsidP="0048103E">
            <w:pPr>
              <w:pStyle w:val="Default"/>
              <w:ind w:left="61"/>
              <w:jc w:val="center"/>
            </w:pPr>
            <w:r w:rsidRPr="00485998">
              <w:t>15</w:t>
            </w:r>
          </w:p>
        </w:tc>
      </w:tr>
    </w:tbl>
    <w:p w14:paraId="711E226C" w14:textId="77777777" w:rsidR="0048103E" w:rsidRPr="00485998" w:rsidRDefault="0048103E" w:rsidP="0048103E">
      <w:pPr>
        <w:pStyle w:val="Default"/>
        <w:tabs>
          <w:tab w:val="left" w:pos="567"/>
        </w:tabs>
        <w:ind w:left="851"/>
      </w:pPr>
    </w:p>
    <w:p w14:paraId="2C1B6D91" w14:textId="77777777" w:rsidR="0048103E" w:rsidRPr="00485998" w:rsidRDefault="0048103E" w:rsidP="0048103E">
      <w:pPr>
        <w:pStyle w:val="Default"/>
        <w:tabs>
          <w:tab w:val="left" w:pos="567"/>
        </w:tabs>
        <w:ind w:left="851"/>
      </w:pPr>
      <w:r w:rsidRPr="00485998">
        <w:rPr>
          <w:cs/>
        </w:rPr>
        <w:t>•</w:t>
      </w:r>
      <w:r>
        <w:tab/>
        <w:t xml:space="preserve">Injektion i arterieslangen: </w:t>
      </w:r>
    </w:p>
    <w:p w14:paraId="33470F8B" w14:textId="77777777" w:rsidR="0048103E" w:rsidRDefault="0048103E" w:rsidP="0048103E">
      <w:pPr>
        <w:pStyle w:val="Default"/>
        <w:ind w:left="851"/>
      </w:pPr>
      <w:r w:rsidRPr="00C21B68">
        <w:t xml:space="preserve">Enoxaparinnatrium injiceres i </w:t>
      </w:r>
      <w:r w:rsidRPr="00485998">
        <w:t>dialysekredsløbets arterieslange for at forebygge tromb</w:t>
      </w:r>
      <w:r>
        <w:t>ose</w:t>
      </w:r>
      <w:r w:rsidRPr="00485998">
        <w:t xml:space="preserve"> i det ekstrakorporale kredsløb </w:t>
      </w:r>
      <w:r>
        <w:t>under</w:t>
      </w:r>
      <w:r w:rsidRPr="00485998">
        <w:t xml:space="preserve"> hæmodialyse.</w:t>
      </w:r>
    </w:p>
    <w:p w14:paraId="482C265B" w14:textId="77777777" w:rsidR="0048103E" w:rsidRPr="00485998" w:rsidRDefault="0048103E" w:rsidP="0048103E">
      <w:pPr>
        <w:pStyle w:val="Default"/>
        <w:ind w:left="851"/>
      </w:pPr>
    </w:p>
    <w:p w14:paraId="60C8493F" w14:textId="77777777" w:rsidR="0048103E" w:rsidRPr="00485998" w:rsidRDefault="0048103E" w:rsidP="0048103E">
      <w:pPr>
        <w:pStyle w:val="Default"/>
        <w:ind w:left="851"/>
        <w:outlineLvl w:val="0"/>
        <w:rPr>
          <w:u w:val="single"/>
        </w:rPr>
      </w:pPr>
      <w:r w:rsidRPr="00485998">
        <w:rPr>
          <w:u w:val="single"/>
        </w:rPr>
        <w:t>Skift mellem enoxaparinnatrium og orale antikoagulantia</w:t>
      </w:r>
    </w:p>
    <w:p w14:paraId="7EAEEE11" w14:textId="77777777" w:rsidR="0048103E" w:rsidRPr="00485998" w:rsidRDefault="0048103E" w:rsidP="0048103E">
      <w:pPr>
        <w:pStyle w:val="Default"/>
        <w:tabs>
          <w:tab w:val="left" w:pos="567"/>
        </w:tabs>
        <w:ind w:left="851"/>
      </w:pPr>
    </w:p>
    <w:p w14:paraId="17F00FDE" w14:textId="77777777" w:rsidR="0048103E" w:rsidRPr="00485998" w:rsidRDefault="0048103E" w:rsidP="0048103E">
      <w:pPr>
        <w:pStyle w:val="Default"/>
        <w:tabs>
          <w:tab w:val="left" w:pos="567"/>
        </w:tabs>
        <w:ind w:left="851"/>
      </w:pPr>
      <w:r w:rsidRPr="00485998">
        <w:rPr>
          <w:cs/>
        </w:rPr>
        <w:t>•</w:t>
      </w:r>
      <w:r w:rsidRPr="00485998">
        <w:tab/>
        <w:t>Skift mellem enoxaparinnatrium og vitamin K-antagonister (VKA)</w:t>
      </w:r>
    </w:p>
    <w:p w14:paraId="6F9D7DB4" w14:textId="77777777" w:rsidR="0048103E" w:rsidRDefault="0048103E" w:rsidP="0048103E">
      <w:pPr>
        <w:pStyle w:val="Default"/>
        <w:tabs>
          <w:tab w:val="left" w:pos="567"/>
        </w:tabs>
        <w:ind w:left="851"/>
      </w:pPr>
      <w:r>
        <w:t>Klinisk monitorering og laboratorieprøver [protrombintid udtrykt som International Normaliseret Ratio (INR)] skal intensiveres for at monitorere virkningen af VKA.</w:t>
      </w:r>
    </w:p>
    <w:p w14:paraId="07EC5C3A" w14:textId="77777777" w:rsidR="0048103E" w:rsidRDefault="0048103E" w:rsidP="0048103E">
      <w:pPr>
        <w:pStyle w:val="Default"/>
        <w:tabs>
          <w:tab w:val="left" w:pos="567"/>
        </w:tabs>
        <w:ind w:left="851"/>
      </w:pPr>
      <w:r>
        <w:t>Eftersom VKA først når deres maksimale virkning efter nogen tid, bør enoxaparinnatrium- behandlingen fortsættes ved en konstant dosis så længe, som det er nødvendigt for at fastholde INR inden for det ønskede terapeutiske område for indikationen i to på hinanden følgende prøver.</w:t>
      </w:r>
    </w:p>
    <w:p w14:paraId="119ADE09" w14:textId="77777777" w:rsidR="0048103E" w:rsidRPr="00485998" w:rsidRDefault="0048103E" w:rsidP="0048103E">
      <w:pPr>
        <w:pStyle w:val="Default"/>
        <w:ind w:left="851"/>
      </w:pPr>
      <w:r>
        <w:t>Hos patienter i behandling med VKA seponeres VKA, og den første dosis enoxaparinnatrium gives, når INR er nået under det terapeutiske interval</w:t>
      </w:r>
      <w:r w:rsidRPr="00485998">
        <w:t>.</w:t>
      </w:r>
    </w:p>
    <w:p w14:paraId="7D44C540" w14:textId="77777777" w:rsidR="0048103E" w:rsidRPr="00485998" w:rsidRDefault="0048103E" w:rsidP="0048103E">
      <w:pPr>
        <w:pStyle w:val="Default"/>
        <w:ind w:left="851"/>
      </w:pPr>
    </w:p>
    <w:p w14:paraId="52501B1D" w14:textId="77777777" w:rsidR="0048103E" w:rsidRPr="00485998" w:rsidRDefault="0048103E" w:rsidP="0048103E">
      <w:pPr>
        <w:pStyle w:val="Default"/>
        <w:tabs>
          <w:tab w:val="left" w:pos="567"/>
        </w:tabs>
        <w:ind w:left="851"/>
      </w:pPr>
      <w:r w:rsidRPr="00485998">
        <w:rPr>
          <w:cs/>
        </w:rPr>
        <w:t>•</w:t>
      </w:r>
      <w:r w:rsidRPr="00485998">
        <w:tab/>
        <w:t>Skift mellem enoxaparinnatrium og direkte orale antikoagulantia (DOA</w:t>
      </w:r>
      <w:r>
        <w:t>K</w:t>
      </w:r>
      <w:r w:rsidRPr="00485998">
        <w:t>)</w:t>
      </w:r>
    </w:p>
    <w:p w14:paraId="662D12E8" w14:textId="77777777" w:rsidR="0048103E" w:rsidRPr="00485998" w:rsidRDefault="0048103E" w:rsidP="0048103E">
      <w:pPr>
        <w:pStyle w:val="Default"/>
        <w:ind w:left="851"/>
      </w:pPr>
      <w:r w:rsidRPr="00485998">
        <w:t>Hos patienter</w:t>
      </w:r>
      <w:r>
        <w:t>, der får</w:t>
      </w:r>
      <w:r w:rsidRPr="00485998">
        <w:t xml:space="preserve"> enoxaparinnatrium</w:t>
      </w:r>
      <w:r>
        <w:t>,</w:t>
      </w:r>
      <w:r w:rsidRPr="00485998">
        <w:t xml:space="preserve"> seponeres enoxaparinnatrium</w:t>
      </w:r>
      <w:r>
        <w:t xml:space="preserve">, </w:t>
      </w:r>
      <w:r w:rsidRPr="00485998">
        <w:t>og DOA</w:t>
      </w:r>
      <w:r>
        <w:t>K</w:t>
      </w:r>
      <w:r w:rsidRPr="00485998">
        <w:t xml:space="preserve"> </w:t>
      </w:r>
      <w:r w:rsidRPr="000F6C06">
        <w:t xml:space="preserve">indledes </w:t>
      </w:r>
      <w:r w:rsidRPr="00485998">
        <w:t xml:space="preserve">0 til 2 timer </w:t>
      </w:r>
      <w:r w:rsidRPr="006D2D91">
        <w:t>før det tidspunkt, hvor den</w:t>
      </w:r>
      <w:r w:rsidRPr="00485998">
        <w:t xml:space="preserve"> næste planlagte administration af enoxaparinnatrium </w:t>
      </w:r>
      <w:r w:rsidRPr="006D2D91">
        <w:t>skulle foregå i overensstemmelse med vejledningen for DOAK</w:t>
      </w:r>
      <w:r w:rsidRPr="00485998">
        <w:t>.</w:t>
      </w:r>
    </w:p>
    <w:p w14:paraId="6A3B3348" w14:textId="77777777" w:rsidR="0048103E" w:rsidRPr="00485998" w:rsidRDefault="0048103E" w:rsidP="0048103E">
      <w:pPr>
        <w:pStyle w:val="Default"/>
        <w:ind w:left="851"/>
      </w:pPr>
    </w:p>
    <w:p w14:paraId="7C2B4BA9" w14:textId="77777777" w:rsidR="0048103E" w:rsidRPr="00485998" w:rsidRDefault="0048103E" w:rsidP="0048103E">
      <w:pPr>
        <w:pStyle w:val="Default"/>
        <w:ind w:left="851"/>
      </w:pPr>
      <w:r w:rsidRPr="00485998">
        <w:t>Hos patienter i behandling med DOA</w:t>
      </w:r>
      <w:r>
        <w:t>K</w:t>
      </w:r>
      <w:r w:rsidRPr="00485998">
        <w:t xml:space="preserve"> skal den første dosis enoxaparinnatrium gives på det tidspunkt, hvor den næste </w:t>
      </w:r>
      <w:r>
        <w:t>DOAK-</w:t>
      </w:r>
      <w:r w:rsidRPr="00485998">
        <w:t>dosis skulle tage</w:t>
      </w:r>
      <w:r>
        <w:t>s</w:t>
      </w:r>
      <w:r w:rsidRPr="00485998">
        <w:t>.</w:t>
      </w:r>
    </w:p>
    <w:p w14:paraId="240291ED" w14:textId="77777777" w:rsidR="0048103E" w:rsidRPr="00485998" w:rsidRDefault="0048103E" w:rsidP="0048103E">
      <w:pPr>
        <w:pStyle w:val="Default"/>
        <w:ind w:left="851"/>
      </w:pPr>
    </w:p>
    <w:p w14:paraId="11A4EA92" w14:textId="77777777" w:rsidR="0048103E" w:rsidRPr="00485998" w:rsidRDefault="0048103E" w:rsidP="0048103E">
      <w:pPr>
        <w:pStyle w:val="Default"/>
        <w:ind w:left="851"/>
        <w:outlineLvl w:val="0"/>
        <w:rPr>
          <w:u w:val="single"/>
        </w:rPr>
      </w:pPr>
      <w:r w:rsidRPr="00485998">
        <w:rPr>
          <w:u w:val="single"/>
        </w:rPr>
        <w:t>Administration ved spinal/epiduralanæstesi eller lumbalpunktur</w:t>
      </w:r>
    </w:p>
    <w:p w14:paraId="7EC7A2B9" w14:textId="77777777" w:rsidR="0048103E" w:rsidRPr="00485998" w:rsidRDefault="0048103E" w:rsidP="0048103E">
      <w:pPr>
        <w:pStyle w:val="Default"/>
        <w:ind w:left="851"/>
      </w:pPr>
      <w:r w:rsidRPr="00485998">
        <w:t xml:space="preserve">Hvis lægen beslutter at administrere </w:t>
      </w:r>
      <w:r>
        <w:t xml:space="preserve">et </w:t>
      </w:r>
      <w:r w:rsidRPr="00485998">
        <w:t>antikoagula</w:t>
      </w:r>
      <w:r>
        <w:t>ns</w:t>
      </w:r>
      <w:r w:rsidRPr="00485998">
        <w:t xml:space="preserve"> i forbindelse</w:t>
      </w:r>
      <w:r>
        <w:t xml:space="preserve"> med</w:t>
      </w:r>
      <w:r w:rsidRPr="00485998">
        <w:t xml:space="preserve"> spinal</w:t>
      </w:r>
      <w:r>
        <w:t>-</w:t>
      </w:r>
      <w:r w:rsidRPr="00485998">
        <w:t xml:space="preserve"> </w:t>
      </w:r>
      <w:r>
        <w:t>eller epidural</w:t>
      </w:r>
      <w:r w:rsidRPr="00485998">
        <w:t xml:space="preserve">anæstesi/analgesi eller lumbalpunktur, </w:t>
      </w:r>
      <w:r w:rsidRPr="007933E6">
        <w:t xml:space="preserve">anbefales tæt </w:t>
      </w:r>
      <w:r w:rsidRPr="00485998">
        <w:t>neurologisk monitorering på grund af risikoen for neuraksial</w:t>
      </w:r>
      <w:r>
        <w:t>t</w:t>
      </w:r>
      <w:r w:rsidRPr="00485998">
        <w:t xml:space="preserve"> hæmatom (se pkt. 4.4).</w:t>
      </w:r>
    </w:p>
    <w:p w14:paraId="4BBAA28B" w14:textId="77777777" w:rsidR="0048103E" w:rsidRPr="00485998" w:rsidRDefault="0048103E" w:rsidP="0048103E">
      <w:pPr>
        <w:pStyle w:val="Default"/>
        <w:ind w:left="851"/>
      </w:pPr>
    </w:p>
    <w:p w14:paraId="51FA9AC4" w14:textId="77777777" w:rsidR="0048103E" w:rsidRPr="00485998" w:rsidRDefault="0048103E" w:rsidP="0048103E">
      <w:pPr>
        <w:pStyle w:val="Default"/>
        <w:tabs>
          <w:tab w:val="left" w:pos="1418"/>
        </w:tabs>
        <w:ind w:left="1134" w:firstLine="1"/>
      </w:pPr>
      <w:r w:rsidRPr="00485998">
        <w:t>-</w:t>
      </w:r>
      <w:r w:rsidRPr="00485998">
        <w:tab/>
      </w:r>
      <w:r>
        <w:rPr>
          <w:i/>
        </w:rPr>
        <w:t>Ved</w:t>
      </w:r>
      <w:r w:rsidRPr="00485998">
        <w:rPr>
          <w:i/>
        </w:rPr>
        <w:t xml:space="preserve"> doser til profylakse</w:t>
      </w:r>
    </w:p>
    <w:p w14:paraId="16103D1A" w14:textId="77777777" w:rsidR="0048103E" w:rsidRDefault="0048103E" w:rsidP="0048103E">
      <w:pPr>
        <w:pStyle w:val="Default"/>
        <w:tabs>
          <w:tab w:val="left" w:pos="1418"/>
        </w:tabs>
        <w:ind w:left="1134" w:firstLine="1"/>
      </w:pPr>
      <w:r>
        <w:t>Kanyler eller katetre skal anlægges mindst 12 timer efter injektion af profylaktiske doser enoxaparinnatrium. Ved fortsat behandling skal der være et lignende interval på mindst 12 timer, før kateteret fjernes.</w:t>
      </w:r>
    </w:p>
    <w:p w14:paraId="0804D781" w14:textId="77777777" w:rsidR="0048103E" w:rsidRDefault="0048103E" w:rsidP="0048103E">
      <w:pPr>
        <w:pStyle w:val="Default"/>
        <w:tabs>
          <w:tab w:val="left" w:pos="1418"/>
        </w:tabs>
        <w:ind w:left="1134" w:firstLine="1"/>
      </w:pPr>
      <w:r>
        <w:t>Hos patienter med kreatinin-clearance 15-30 ml/min bør det overvejes at fordoble tiden til punktur/anlæggelse eller fjernelse af kateter til mindst 24 timer.</w:t>
      </w:r>
    </w:p>
    <w:p w14:paraId="3CCC2729" w14:textId="77777777" w:rsidR="0048103E" w:rsidRPr="00485998" w:rsidRDefault="0048103E" w:rsidP="0048103E">
      <w:pPr>
        <w:pStyle w:val="Default"/>
        <w:tabs>
          <w:tab w:val="left" w:pos="1418"/>
        </w:tabs>
        <w:ind w:left="1134" w:right="-1" w:firstLine="1"/>
      </w:pPr>
      <w:r>
        <w:t>Initiering af enoxaparinnatrium 2.000 IE (20 mg) 2 timer før operation er ikke forenelig med neuraksial anæstesi.</w:t>
      </w:r>
      <w:r w:rsidRPr="00485998" w:rsidDel="007C4B96">
        <w:t xml:space="preserve"> </w:t>
      </w:r>
    </w:p>
    <w:p w14:paraId="7F072BAE" w14:textId="77777777" w:rsidR="0048103E" w:rsidRPr="00485998" w:rsidRDefault="0048103E" w:rsidP="0048103E">
      <w:pPr>
        <w:pStyle w:val="Default"/>
        <w:tabs>
          <w:tab w:val="left" w:pos="1418"/>
        </w:tabs>
        <w:ind w:left="1134" w:right="-1" w:firstLine="1"/>
      </w:pPr>
    </w:p>
    <w:p w14:paraId="51239F9B" w14:textId="77777777" w:rsidR="0048103E" w:rsidRPr="00485998" w:rsidRDefault="0048103E" w:rsidP="0048103E">
      <w:pPr>
        <w:pStyle w:val="Default"/>
        <w:tabs>
          <w:tab w:val="left" w:pos="1418"/>
        </w:tabs>
        <w:ind w:left="1134" w:firstLine="1"/>
      </w:pPr>
      <w:r w:rsidRPr="00485998">
        <w:t>-</w:t>
      </w:r>
      <w:r w:rsidRPr="00485998">
        <w:tab/>
      </w:r>
      <w:r>
        <w:t>Ved</w:t>
      </w:r>
      <w:r w:rsidRPr="00485998">
        <w:rPr>
          <w:i/>
        </w:rPr>
        <w:t xml:space="preserve"> doser til behandling</w:t>
      </w:r>
    </w:p>
    <w:p w14:paraId="5EAEDEA4" w14:textId="77777777" w:rsidR="0048103E" w:rsidRDefault="0048103E" w:rsidP="0048103E">
      <w:pPr>
        <w:pStyle w:val="Default"/>
        <w:tabs>
          <w:tab w:val="left" w:pos="1418"/>
        </w:tabs>
        <w:ind w:left="1134" w:firstLine="1"/>
      </w:pPr>
      <w:r>
        <w:t>Kanyler eller katetre skal anlægges mindst 24 timer efter injektion af kurative doser enoxaparinnatrium (se også pkt. 4.3). Ved fortsat behandling skal der være et lignende interval på mindst 24 timer, før kateteret fjernes.</w:t>
      </w:r>
    </w:p>
    <w:p w14:paraId="75A0118A" w14:textId="77777777" w:rsidR="0048103E" w:rsidRDefault="0048103E" w:rsidP="0048103E">
      <w:pPr>
        <w:pStyle w:val="Default"/>
        <w:tabs>
          <w:tab w:val="left" w:pos="1418"/>
        </w:tabs>
        <w:ind w:left="1134" w:firstLine="1"/>
      </w:pPr>
      <w:r>
        <w:t>Hos patienter med kreatinin-clearance 15-30 ml/min bør det overvejes at fordoble tiden til punktur/anlæggelse eller fjernelse af kateter til mindst 48 timer.</w:t>
      </w:r>
    </w:p>
    <w:p w14:paraId="18CDE4C7" w14:textId="77777777" w:rsidR="0048103E" w:rsidRPr="00485998" w:rsidRDefault="0048103E" w:rsidP="0048103E">
      <w:pPr>
        <w:pStyle w:val="Default"/>
        <w:tabs>
          <w:tab w:val="left" w:pos="1418"/>
        </w:tabs>
        <w:ind w:left="1134" w:firstLine="1"/>
      </w:pPr>
      <w:r>
        <w:t>For at opnå, at der går tilstrækkelig tid inden anlæggelse eller fjernelse af et kateter, bør patienter, der får to daglige doser (dvs. 75 IE/kg (0,75 mg/kg) to gange dagligt eller 100 IE/kg (1 mg/kg) to gange dagligt), ikke at få den anden enoxaparinnatrium-dosis</w:t>
      </w:r>
      <w:r w:rsidRPr="00485998">
        <w:t>.</w:t>
      </w:r>
    </w:p>
    <w:p w14:paraId="2DCE73B2" w14:textId="77777777" w:rsidR="0048103E" w:rsidRPr="00485998" w:rsidRDefault="0048103E" w:rsidP="0048103E">
      <w:pPr>
        <w:pStyle w:val="Default"/>
        <w:ind w:left="851"/>
      </w:pPr>
    </w:p>
    <w:p w14:paraId="64393F7D" w14:textId="77777777" w:rsidR="0048103E" w:rsidRPr="00485998" w:rsidRDefault="0048103E" w:rsidP="0048103E">
      <w:pPr>
        <w:pStyle w:val="Default"/>
        <w:ind w:left="851"/>
      </w:pPr>
      <w:r w:rsidRPr="00AE489A">
        <w:lastRenderedPageBreak/>
        <w:t>Anti-Xa-niveau er stadig detekterbart på disse tidspunkter, og udsat anlæggelse eller fjernelse af et kateter er ikke garanti for, at der ikke forekommer neuraksialt hæmatom</w:t>
      </w:r>
      <w:r w:rsidRPr="00485998">
        <w:t>.</w:t>
      </w:r>
    </w:p>
    <w:p w14:paraId="008867A8" w14:textId="1FDA4A9B" w:rsidR="000C25F4" w:rsidRPr="00C84483" w:rsidRDefault="0048103E" w:rsidP="0048103E">
      <w:pPr>
        <w:pStyle w:val="Default"/>
        <w:ind w:left="851"/>
      </w:pPr>
      <w:r w:rsidRPr="000B7C0E">
        <w:t xml:space="preserve">På samme måde </w:t>
      </w:r>
      <w:r w:rsidRPr="00485998">
        <w:t xml:space="preserve">bør </w:t>
      </w:r>
      <w:r>
        <w:t>det</w:t>
      </w:r>
      <w:r w:rsidRPr="00485998">
        <w:t xml:space="preserve"> overvejes ikke at </w:t>
      </w:r>
      <w:r>
        <w:t>anvende</w:t>
      </w:r>
      <w:r w:rsidRPr="00485998">
        <w:t xml:space="preserve"> enoxaparinnatrium før mindst 4 timer efter spinal/epiduralpunktur eller efter fjernelse af kateteret. Udsættelsen skal baseres på en </w:t>
      </w:r>
      <w:r w:rsidRPr="005A3C05">
        <w:t>benefit/risk-</w:t>
      </w:r>
      <w:r w:rsidRPr="00485998">
        <w:t>vurdering</w:t>
      </w:r>
      <w:r>
        <w:t>, hvor både</w:t>
      </w:r>
      <w:r w:rsidRPr="00485998">
        <w:t xml:space="preserve"> risikoen for trombose og risikoen for blødning </w:t>
      </w:r>
      <w:r>
        <w:t>under proceduren</w:t>
      </w:r>
      <w:r w:rsidRPr="00485998">
        <w:t xml:space="preserve"> og patientens risikofaktorer</w:t>
      </w:r>
      <w:r w:rsidRPr="004265DF">
        <w:t xml:space="preserve"> tages i betragtning</w:t>
      </w:r>
      <w:r w:rsidRPr="00485998">
        <w:t>.</w:t>
      </w:r>
    </w:p>
    <w:p w14:paraId="0BFD454B" w14:textId="77777777" w:rsidR="000C25F4" w:rsidRPr="00C84483" w:rsidRDefault="000C25F4" w:rsidP="000C25F4">
      <w:pPr>
        <w:tabs>
          <w:tab w:val="left" w:pos="851"/>
        </w:tabs>
        <w:ind w:left="851"/>
      </w:pPr>
    </w:p>
    <w:p w14:paraId="0E57F6A3" w14:textId="77777777" w:rsidR="000C25F4" w:rsidRPr="00F83367" w:rsidRDefault="000C25F4" w:rsidP="000C25F4">
      <w:pPr>
        <w:tabs>
          <w:tab w:val="left" w:pos="851"/>
        </w:tabs>
        <w:ind w:left="851" w:hanging="851"/>
        <w:rPr>
          <w:b/>
          <w:sz w:val="24"/>
          <w:szCs w:val="24"/>
        </w:rPr>
      </w:pPr>
      <w:r w:rsidRPr="00F83367">
        <w:rPr>
          <w:b/>
          <w:sz w:val="24"/>
          <w:szCs w:val="24"/>
        </w:rPr>
        <w:t>4.3</w:t>
      </w:r>
      <w:r w:rsidRPr="00F83367">
        <w:rPr>
          <w:b/>
          <w:sz w:val="24"/>
          <w:szCs w:val="24"/>
        </w:rPr>
        <w:tab/>
        <w:t>Kontraindikationer</w:t>
      </w:r>
    </w:p>
    <w:p w14:paraId="48F8826D" w14:textId="77777777" w:rsidR="0048103E" w:rsidRPr="00485998" w:rsidRDefault="0048103E" w:rsidP="0048103E">
      <w:pPr>
        <w:pStyle w:val="Default"/>
        <w:ind w:left="851"/>
      </w:pPr>
      <w:r w:rsidRPr="00485998">
        <w:t>Enoxaparinnatrium er kontraindiceret hos patienter med:</w:t>
      </w:r>
    </w:p>
    <w:p w14:paraId="00B06BD7" w14:textId="77777777" w:rsidR="0048103E" w:rsidRPr="00485998" w:rsidRDefault="0048103E" w:rsidP="0048103E">
      <w:pPr>
        <w:pStyle w:val="Default"/>
        <w:numPr>
          <w:ilvl w:val="0"/>
          <w:numId w:val="12"/>
        </w:numPr>
        <w:ind w:left="1134" w:hanging="283"/>
      </w:pPr>
      <w:r w:rsidRPr="00485998">
        <w:t>Overfølsomhed over for enoxaparinnatrium, heparin eller derivater her</w:t>
      </w:r>
      <w:r>
        <w:t>af,</w:t>
      </w:r>
      <w:r w:rsidRPr="00485998">
        <w:t xml:space="preserve"> </w:t>
      </w:r>
      <w:r>
        <w:t xml:space="preserve">inklusive </w:t>
      </w:r>
      <w:r w:rsidRPr="00485998">
        <w:t xml:space="preserve">andre </w:t>
      </w:r>
      <w:r w:rsidRPr="00785695">
        <w:t xml:space="preserve">lavmolekylære </w:t>
      </w:r>
      <w:r w:rsidRPr="00485998">
        <w:t>hepariner eller over for et eller flere af hjælpestofferne anført i pkt. 6.1.</w:t>
      </w:r>
    </w:p>
    <w:p w14:paraId="0B25BB39" w14:textId="77777777" w:rsidR="0048103E" w:rsidRPr="00485998" w:rsidRDefault="0048103E" w:rsidP="0048103E">
      <w:pPr>
        <w:pStyle w:val="Default"/>
        <w:numPr>
          <w:ilvl w:val="0"/>
          <w:numId w:val="12"/>
        </w:numPr>
        <w:ind w:left="1134" w:hanging="283"/>
      </w:pPr>
      <w:r w:rsidRPr="00485998">
        <w:t>Anamnese med immunmedieret heparin-induceret trombocytopeni (HIT) inden for de s</w:t>
      </w:r>
      <w:r>
        <w:t>eneste</w:t>
      </w:r>
      <w:r w:rsidRPr="00485998">
        <w:t xml:space="preserve"> 100 dage eller ved tilstedeværelse af cirkulerende antistoffer (se også pkt. 4.4);</w:t>
      </w:r>
    </w:p>
    <w:p w14:paraId="418C4250" w14:textId="77777777" w:rsidR="0048103E" w:rsidRPr="00485998" w:rsidRDefault="0048103E" w:rsidP="0048103E">
      <w:pPr>
        <w:pStyle w:val="Default"/>
        <w:numPr>
          <w:ilvl w:val="0"/>
          <w:numId w:val="12"/>
        </w:numPr>
        <w:ind w:left="1134" w:hanging="283"/>
      </w:pPr>
      <w:r w:rsidRPr="00485998">
        <w:t>Aktiv, klinisk signifikant blødning og tilstande med en høj blødningrisiko</w:t>
      </w:r>
      <w:r>
        <w:t>, inklusive</w:t>
      </w:r>
      <w:r w:rsidRPr="00485998">
        <w:t xml:space="preserve"> nylig </w:t>
      </w:r>
      <w:r w:rsidRPr="00C315D0">
        <w:t xml:space="preserve">hjerneblødning, gastrointestinalt ulcus, tilstedeværelse af </w:t>
      </w:r>
      <w:proofErr w:type="gramStart"/>
      <w:r w:rsidRPr="00C315D0">
        <w:t>malignt neoplasme</w:t>
      </w:r>
      <w:proofErr w:type="gramEnd"/>
      <w:r w:rsidRPr="00C315D0">
        <w:t xml:space="preserve"> med høj blødningsrisiko, nylig hjerne-, ryg- eller øjenkirurgi, øsofageale varicer eller mistanke herom, arteriovenøse misdannelser, vaskulære aneurismer eller svære intraspinale eller intracerebrale vaskulære abnormiteter</w:t>
      </w:r>
      <w:r w:rsidRPr="00485998">
        <w:t>;</w:t>
      </w:r>
    </w:p>
    <w:p w14:paraId="3CD8DCC7" w14:textId="77777777" w:rsidR="0048103E" w:rsidRPr="00C84483" w:rsidRDefault="0048103E" w:rsidP="0048103E">
      <w:pPr>
        <w:pStyle w:val="Default"/>
        <w:numPr>
          <w:ilvl w:val="0"/>
          <w:numId w:val="12"/>
        </w:numPr>
        <w:ind w:left="1134" w:hanging="283"/>
      </w:pPr>
      <w:r w:rsidRPr="00485998">
        <w:t>Spinal</w:t>
      </w:r>
      <w:r>
        <w:t>-</w:t>
      </w:r>
      <w:r w:rsidRPr="00485998">
        <w:t xml:space="preserve"> eller epiduralanæstesi eller lok</w:t>
      </w:r>
      <w:r>
        <w:t>al/</w:t>
      </w:r>
      <w:r w:rsidRPr="00485998">
        <w:t xml:space="preserve">regional anæstesi, </w:t>
      </w:r>
      <w:r>
        <w:t>når</w:t>
      </w:r>
      <w:r w:rsidRPr="00485998">
        <w:t xml:space="preserve"> enoxaparinnatrium</w:t>
      </w:r>
      <w:r w:rsidRPr="009E37F9">
        <w:t xml:space="preserve"> er blevet anvendt</w:t>
      </w:r>
      <w:r w:rsidRPr="00485998">
        <w:t xml:space="preserve"> til behandling inden for de forudgående 24 timer (se pkt. 4.4).</w:t>
      </w:r>
    </w:p>
    <w:p w14:paraId="67E6B2B1" w14:textId="77777777" w:rsidR="000C25F4" w:rsidRPr="00F83367" w:rsidRDefault="000C25F4" w:rsidP="0048103E">
      <w:pPr>
        <w:tabs>
          <w:tab w:val="left" w:pos="851"/>
        </w:tabs>
        <w:rPr>
          <w:sz w:val="24"/>
          <w:szCs w:val="24"/>
        </w:rPr>
      </w:pPr>
    </w:p>
    <w:p w14:paraId="1862135C" w14:textId="77777777" w:rsidR="000C25F4" w:rsidRPr="00F83367" w:rsidRDefault="000C25F4" w:rsidP="000C25F4">
      <w:pPr>
        <w:tabs>
          <w:tab w:val="left" w:pos="851"/>
        </w:tabs>
        <w:ind w:left="851" w:hanging="851"/>
        <w:rPr>
          <w:b/>
          <w:sz w:val="24"/>
          <w:szCs w:val="24"/>
        </w:rPr>
      </w:pPr>
      <w:r w:rsidRPr="00F83367">
        <w:rPr>
          <w:b/>
          <w:sz w:val="24"/>
          <w:szCs w:val="24"/>
        </w:rPr>
        <w:t>4.4</w:t>
      </w:r>
      <w:r w:rsidRPr="00F83367">
        <w:rPr>
          <w:b/>
          <w:sz w:val="24"/>
          <w:szCs w:val="24"/>
        </w:rPr>
        <w:tab/>
        <w:t>Særlige advarsler og forsigtighedsregler vedrørende brugen</w:t>
      </w:r>
    </w:p>
    <w:p w14:paraId="705F9822" w14:textId="77777777" w:rsidR="0048103E" w:rsidRPr="00F83367" w:rsidRDefault="0048103E" w:rsidP="0048103E">
      <w:pPr>
        <w:pStyle w:val="Default"/>
        <w:tabs>
          <w:tab w:val="left" w:pos="567"/>
        </w:tabs>
        <w:ind w:left="851"/>
      </w:pPr>
    </w:p>
    <w:p w14:paraId="1E5C3E6C" w14:textId="77777777" w:rsidR="0048103E" w:rsidRPr="00485998" w:rsidRDefault="0048103E" w:rsidP="0048103E">
      <w:pPr>
        <w:pStyle w:val="Default"/>
        <w:numPr>
          <w:ilvl w:val="0"/>
          <w:numId w:val="13"/>
        </w:numPr>
        <w:tabs>
          <w:tab w:val="left" w:pos="1134"/>
        </w:tabs>
        <w:ind w:left="1134" w:hanging="283"/>
      </w:pPr>
      <w:r w:rsidRPr="00485998">
        <w:rPr>
          <w:i/>
        </w:rPr>
        <w:t>Generelt</w:t>
      </w:r>
    </w:p>
    <w:p w14:paraId="53D388A1" w14:textId="77777777" w:rsidR="0048103E" w:rsidRPr="00485998" w:rsidRDefault="0048103E" w:rsidP="0048103E">
      <w:pPr>
        <w:pStyle w:val="Default"/>
        <w:tabs>
          <w:tab w:val="left" w:pos="851"/>
        </w:tabs>
        <w:ind w:left="851"/>
      </w:pPr>
      <w:r>
        <w:t>Enoxaparinnatrium er ikke substituerbart (enhed for enhed) med andre lavmolekylære hepariner. Disse lægemidler er forskellige for så vidt angår fremstillingsproces, molekylvægt, specifik anti-Xa- og anti- IIa-aktivitet, enheder, dosering og klinisk virkning og sikkerhed. Dette resulterer i variationer i deres farmakokinetik og biologiske aktivitet (f.eks. antitrombin-aktivitet og trombocyt-interaktioner). Særlig opmærksomhed og overholdelse af brugervejledningen for de enkelte registrerede lægemidler er derfor nødvendig</w:t>
      </w:r>
      <w:r w:rsidRPr="00485998">
        <w:t>.</w:t>
      </w:r>
    </w:p>
    <w:p w14:paraId="752D68B1" w14:textId="77777777" w:rsidR="0048103E" w:rsidRPr="00485998" w:rsidRDefault="0048103E" w:rsidP="0048103E">
      <w:pPr>
        <w:pStyle w:val="Default"/>
        <w:tabs>
          <w:tab w:val="left" w:pos="1134"/>
        </w:tabs>
        <w:ind w:left="1134" w:hanging="283"/>
      </w:pPr>
    </w:p>
    <w:p w14:paraId="6A165731" w14:textId="77777777" w:rsidR="0048103E" w:rsidRPr="00485998" w:rsidRDefault="0048103E" w:rsidP="0048103E">
      <w:pPr>
        <w:pStyle w:val="Default"/>
        <w:numPr>
          <w:ilvl w:val="0"/>
          <w:numId w:val="13"/>
        </w:numPr>
        <w:tabs>
          <w:tab w:val="left" w:pos="1134"/>
        </w:tabs>
        <w:ind w:left="1134" w:hanging="283"/>
      </w:pPr>
      <w:r w:rsidRPr="00227504">
        <w:rPr>
          <w:i/>
        </w:rPr>
        <w:t>Anamnese med heparin-induceret trombocytopeni (HIT) (&gt;100 dage)</w:t>
      </w:r>
      <w:r w:rsidRPr="00227504" w:rsidDel="00227504">
        <w:rPr>
          <w:i/>
        </w:rPr>
        <w:t xml:space="preserve"> </w:t>
      </w:r>
    </w:p>
    <w:p w14:paraId="761BED9B" w14:textId="77777777" w:rsidR="0048103E" w:rsidRDefault="0048103E" w:rsidP="0048103E">
      <w:pPr>
        <w:pStyle w:val="Default"/>
        <w:tabs>
          <w:tab w:val="left" w:pos="1134"/>
        </w:tabs>
        <w:ind w:left="851"/>
      </w:pPr>
      <w:r>
        <w:t>Anvendelse af enoxaparinnatrium hos patienter med immunmedieret HIT inden for de seneste 100 dage eller ved tilstedeværelse af cirkulerende antistoffer er kontraindiceret (se pkt. 4.3). Cirkulerende antistoffer kan være til stede i flere år.</w:t>
      </w:r>
    </w:p>
    <w:p w14:paraId="28774859" w14:textId="77777777" w:rsidR="0048103E" w:rsidRDefault="0048103E" w:rsidP="0048103E">
      <w:pPr>
        <w:pStyle w:val="Default"/>
        <w:tabs>
          <w:tab w:val="left" w:pos="1134"/>
        </w:tabs>
        <w:ind w:left="851"/>
      </w:pPr>
      <w:r>
        <w:t>Enoxaparinnatrium skal anvendes med ekstrem forsigtighed hos patienter med heparin-induceret trombocytopeni i anamnesen (&gt;100 dage) uden cirkulerende antistoffer.</w:t>
      </w:r>
    </w:p>
    <w:p w14:paraId="031F4DAF" w14:textId="77777777" w:rsidR="0048103E" w:rsidRPr="00485998" w:rsidRDefault="0048103E" w:rsidP="0048103E">
      <w:pPr>
        <w:pStyle w:val="Default"/>
        <w:tabs>
          <w:tab w:val="left" w:pos="1134"/>
        </w:tabs>
        <w:ind w:left="851"/>
      </w:pPr>
      <w:r>
        <w:t>Beslutningen om at anvende enoxaparinnatrium i sådanne tilfælde må kun træffes efter en omhyggelig benefit/risk-vurdering og efter at have overvejet anden behandling uden heparin (f.eks. danaparoidnatrium eller lepirudin).</w:t>
      </w:r>
      <w:r w:rsidRPr="00485998" w:rsidDel="00F70F57">
        <w:t xml:space="preserve"> </w:t>
      </w:r>
    </w:p>
    <w:p w14:paraId="62F3F3C3" w14:textId="77777777" w:rsidR="0048103E" w:rsidRPr="00485998" w:rsidRDefault="0048103E" w:rsidP="0048103E">
      <w:pPr>
        <w:pStyle w:val="Default"/>
        <w:tabs>
          <w:tab w:val="left" w:pos="1134"/>
        </w:tabs>
        <w:ind w:left="1134" w:hanging="283"/>
      </w:pPr>
    </w:p>
    <w:p w14:paraId="0DE403A0" w14:textId="77777777" w:rsidR="00CA138F" w:rsidRDefault="00CA138F" w:rsidP="00CA138F">
      <w:pPr>
        <w:pStyle w:val="Default"/>
        <w:numPr>
          <w:ilvl w:val="0"/>
          <w:numId w:val="27"/>
        </w:numPr>
        <w:tabs>
          <w:tab w:val="left" w:pos="1134"/>
        </w:tabs>
        <w:ind w:left="1134" w:hanging="283"/>
      </w:pPr>
      <w:r>
        <w:rPr>
          <w:i/>
        </w:rPr>
        <w:t>Monitorering af trombocyttal</w:t>
      </w:r>
    </w:p>
    <w:p w14:paraId="7F6BBF34" w14:textId="1EAFD3D0" w:rsidR="00CA138F" w:rsidRDefault="00CA138F" w:rsidP="00CA138F">
      <w:pPr>
        <w:pStyle w:val="Default"/>
        <w:tabs>
          <w:tab w:val="left" w:pos="1134"/>
        </w:tabs>
        <w:ind w:left="851"/>
      </w:pPr>
      <w:r>
        <w:t>Hos patienter med cancer med et trombocyttal under 80 G/l kan antikoagulerings</w:t>
      </w:r>
      <w:r>
        <w:softHyphen/>
        <w:t>behandling kun overvejes sag til sag, og omhyggelig overvågning anbefales.</w:t>
      </w:r>
    </w:p>
    <w:p w14:paraId="639322ED" w14:textId="77777777" w:rsidR="00CA138F" w:rsidRDefault="00CA138F" w:rsidP="00CA138F">
      <w:pPr>
        <w:pStyle w:val="Default"/>
        <w:tabs>
          <w:tab w:val="left" w:pos="1134"/>
        </w:tabs>
        <w:ind w:left="851"/>
      </w:pPr>
    </w:p>
    <w:p w14:paraId="51348F13" w14:textId="77777777" w:rsidR="0048103E" w:rsidRDefault="0048103E" w:rsidP="0048103E">
      <w:pPr>
        <w:pStyle w:val="Default"/>
        <w:tabs>
          <w:tab w:val="left" w:pos="1134"/>
        </w:tabs>
        <w:ind w:left="851"/>
      </w:pPr>
      <w:r>
        <w:t>Risiko for antistofmedieret HIT eksisterer også for lavmolekylære hepariner. Skulle trombocytopeni opstå, sker det oftest mellem den 5. og 21. dag efter behandlingsstart med enoxaparinnatrium.</w:t>
      </w:r>
    </w:p>
    <w:p w14:paraId="6861AF41" w14:textId="77777777" w:rsidR="0048103E" w:rsidRDefault="0048103E" w:rsidP="0048103E">
      <w:pPr>
        <w:pStyle w:val="Default"/>
        <w:tabs>
          <w:tab w:val="left" w:pos="1134"/>
        </w:tabs>
        <w:ind w:left="851"/>
      </w:pPr>
      <w:r>
        <w:lastRenderedPageBreak/>
        <w:t>Risikoen for HIT er øget hos postoperative patienter og især efter hjertekirurgi og hos cancerpatienter. Det anbefales derfor, at trombocyttallet måles inden behandlingsstart med enoxaparinnatrium og regelmæssigt under behandlingen.</w:t>
      </w:r>
    </w:p>
    <w:p w14:paraId="068D4B46" w14:textId="77777777" w:rsidR="0048103E" w:rsidRDefault="0048103E" w:rsidP="0048103E">
      <w:pPr>
        <w:pStyle w:val="Default"/>
        <w:tabs>
          <w:tab w:val="left" w:pos="1134"/>
        </w:tabs>
        <w:ind w:left="851"/>
      </w:pPr>
      <w:r>
        <w:t>Hvis der opstår kliniske symptomer, der tyder på HIT (ethvert nyt tilfælde af arteriel og/eller venøs tromboemboli, smertefuld hudlæsion omkring injektionsstedet, enhver allergisk eller anafylaktoid reaktion i løbet af behandlingen), bør trombocyttallet måles. Patienten skal informeres om, at disse symptomer kan opstå, og at patienten, i givet fald, skal fortælle det til egen læge.</w:t>
      </w:r>
    </w:p>
    <w:p w14:paraId="758D7D2A" w14:textId="77777777" w:rsidR="0048103E" w:rsidRPr="00485998" w:rsidRDefault="0048103E" w:rsidP="0048103E">
      <w:pPr>
        <w:pStyle w:val="Default"/>
        <w:tabs>
          <w:tab w:val="left" w:pos="1134"/>
        </w:tabs>
        <w:ind w:left="851"/>
      </w:pPr>
      <w:r>
        <w:t>I praksis betyder det, at hvis der observeres et signifikant fald i trombocyttallet (30-50 % af initialværdien), skal behandlingen med enoxaparinnatrium straks afbrydes og patienten skiftes over til en anden antikoagulansbehandling uden heparin</w:t>
      </w:r>
      <w:r w:rsidRPr="00485998">
        <w:t>.</w:t>
      </w:r>
    </w:p>
    <w:p w14:paraId="5007B210" w14:textId="77777777" w:rsidR="0048103E" w:rsidRPr="00485998" w:rsidRDefault="0048103E" w:rsidP="0048103E">
      <w:pPr>
        <w:pStyle w:val="Default"/>
        <w:tabs>
          <w:tab w:val="left" w:pos="1134"/>
        </w:tabs>
        <w:ind w:left="1134" w:hanging="283"/>
      </w:pPr>
    </w:p>
    <w:p w14:paraId="5246E8C0" w14:textId="77777777" w:rsidR="0048103E" w:rsidRPr="00485998" w:rsidRDefault="0048103E" w:rsidP="0048103E">
      <w:pPr>
        <w:pStyle w:val="Default"/>
        <w:numPr>
          <w:ilvl w:val="0"/>
          <w:numId w:val="17"/>
        </w:numPr>
        <w:tabs>
          <w:tab w:val="left" w:pos="1134"/>
        </w:tabs>
        <w:ind w:left="1134" w:hanging="283"/>
        <w:rPr>
          <w:i/>
          <w:spacing w:val="1"/>
        </w:rPr>
      </w:pPr>
      <w:r w:rsidRPr="00485998">
        <w:rPr>
          <w:i/>
          <w:spacing w:val="1"/>
        </w:rPr>
        <w:t>Blødning</w:t>
      </w:r>
    </w:p>
    <w:p w14:paraId="055BFEE5" w14:textId="77777777" w:rsidR="0048103E" w:rsidRDefault="0048103E" w:rsidP="0048103E">
      <w:pPr>
        <w:pStyle w:val="Default"/>
        <w:tabs>
          <w:tab w:val="left" w:pos="1134"/>
        </w:tabs>
        <w:ind w:left="851"/>
      </w:pPr>
      <w:r>
        <w:t>Som med andre antikoagulantia kan der forekomme blødning alle steder. Hvis der opstår blødning, bør blødningens oprindelse undersøges og passende behandling initieres.</w:t>
      </w:r>
    </w:p>
    <w:p w14:paraId="354E554F" w14:textId="77777777" w:rsidR="0048103E" w:rsidRPr="00485998" w:rsidRDefault="0048103E" w:rsidP="0048103E">
      <w:pPr>
        <w:pStyle w:val="Default"/>
        <w:tabs>
          <w:tab w:val="left" w:pos="1134"/>
        </w:tabs>
        <w:ind w:left="851"/>
      </w:pPr>
      <w:r>
        <w:t>I lighed med andre antikoagulantia bør enoxaparinnatrium anvendes med forsigtighed ved øget blødningsrisiko som f.eks.</w:t>
      </w:r>
      <w:r w:rsidRPr="00485998">
        <w:t>:</w:t>
      </w:r>
    </w:p>
    <w:p w14:paraId="192B816E" w14:textId="77777777" w:rsidR="0048103E" w:rsidRPr="00485998" w:rsidRDefault="0048103E" w:rsidP="0048103E">
      <w:pPr>
        <w:pStyle w:val="Default"/>
        <w:tabs>
          <w:tab w:val="left" w:pos="284"/>
          <w:tab w:val="left" w:pos="1134"/>
        </w:tabs>
        <w:ind w:left="851"/>
      </w:pPr>
      <w:r w:rsidRPr="00485998">
        <w:t>-</w:t>
      </w:r>
      <w:r w:rsidRPr="00485998">
        <w:tab/>
        <w:t>nedsat hæmostase,</w:t>
      </w:r>
    </w:p>
    <w:p w14:paraId="3511289C" w14:textId="77777777" w:rsidR="0048103E" w:rsidRPr="00485998" w:rsidRDefault="0048103E" w:rsidP="0048103E">
      <w:pPr>
        <w:pStyle w:val="Default"/>
        <w:tabs>
          <w:tab w:val="left" w:pos="284"/>
          <w:tab w:val="left" w:pos="1134"/>
        </w:tabs>
        <w:ind w:left="851"/>
      </w:pPr>
      <w:r w:rsidRPr="00485998">
        <w:t>-</w:t>
      </w:r>
      <w:r w:rsidRPr="00485998">
        <w:tab/>
      </w:r>
      <w:r>
        <w:t>mavesår</w:t>
      </w:r>
      <w:r w:rsidRPr="00485998">
        <w:t xml:space="preserve"> i anamnesen,</w:t>
      </w:r>
    </w:p>
    <w:p w14:paraId="6E4FC5BB" w14:textId="77777777" w:rsidR="0048103E" w:rsidRPr="00485998" w:rsidRDefault="0048103E" w:rsidP="0048103E">
      <w:pPr>
        <w:pStyle w:val="Default"/>
        <w:tabs>
          <w:tab w:val="left" w:pos="284"/>
          <w:tab w:val="left" w:pos="1134"/>
        </w:tabs>
        <w:ind w:left="851"/>
      </w:pPr>
      <w:r w:rsidRPr="00485998">
        <w:t>-</w:t>
      </w:r>
      <w:r w:rsidRPr="00485998">
        <w:tab/>
        <w:t>nylig iskæmisk apopleksi</w:t>
      </w:r>
    </w:p>
    <w:p w14:paraId="056187B4" w14:textId="77777777" w:rsidR="0048103E" w:rsidRPr="00485998" w:rsidRDefault="0048103E" w:rsidP="0048103E">
      <w:pPr>
        <w:pStyle w:val="Default"/>
        <w:tabs>
          <w:tab w:val="left" w:pos="284"/>
          <w:tab w:val="left" w:pos="1134"/>
        </w:tabs>
        <w:ind w:left="851"/>
      </w:pPr>
      <w:r w:rsidRPr="00485998">
        <w:t>-</w:t>
      </w:r>
      <w:r w:rsidRPr="00485998">
        <w:tab/>
        <w:t>svær arteriel hypertension,</w:t>
      </w:r>
    </w:p>
    <w:p w14:paraId="099FC61B" w14:textId="77777777" w:rsidR="0048103E" w:rsidRPr="00485998" w:rsidRDefault="0048103E" w:rsidP="0048103E">
      <w:pPr>
        <w:pStyle w:val="Default"/>
        <w:tabs>
          <w:tab w:val="left" w:pos="284"/>
          <w:tab w:val="left" w:pos="1134"/>
        </w:tabs>
        <w:ind w:left="851"/>
      </w:pPr>
      <w:r w:rsidRPr="00485998">
        <w:t>-</w:t>
      </w:r>
      <w:r w:rsidRPr="00485998">
        <w:tab/>
        <w:t>nylig diabetisk retinopati,</w:t>
      </w:r>
    </w:p>
    <w:p w14:paraId="517FB8BF" w14:textId="77777777" w:rsidR="0048103E" w:rsidRPr="00485998" w:rsidRDefault="0048103E" w:rsidP="0048103E">
      <w:pPr>
        <w:pStyle w:val="Default"/>
        <w:tabs>
          <w:tab w:val="left" w:pos="284"/>
          <w:tab w:val="left" w:pos="1134"/>
        </w:tabs>
        <w:ind w:left="851"/>
      </w:pPr>
      <w:r w:rsidRPr="00485998">
        <w:t>-</w:t>
      </w:r>
      <w:r w:rsidRPr="00485998">
        <w:tab/>
        <w:t>neurokirurgi</w:t>
      </w:r>
      <w:r>
        <w:t xml:space="preserve"> eller </w:t>
      </w:r>
      <w:r w:rsidRPr="00370829">
        <w:t>øjenoperation</w:t>
      </w:r>
      <w:r w:rsidRPr="00485998">
        <w:t>,</w:t>
      </w:r>
    </w:p>
    <w:p w14:paraId="2BDF6768" w14:textId="77777777" w:rsidR="0048103E" w:rsidRPr="00485998" w:rsidRDefault="0048103E" w:rsidP="0048103E">
      <w:pPr>
        <w:pStyle w:val="Default"/>
        <w:tabs>
          <w:tab w:val="left" w:pos="284"/>
          <w:tab w:val="left" w:pos="1134"/>
        </w:tabs>
        <w:ind w:left="851"/>
      </w:pPr>
      <w:r w:rsidRPr="00485998">
        <w:t>-</w:t>
      </w:r>
      <w:r w:rsidRPr="00485998">
        <w:tab/>
        <w:t>samtidig brug af lægemidler, der påvirker hæmostasen (se pkt. 4.5)</w:t>
      </w:r>
    </w:p>
    <w:p w14:paraId="348EC976" w14:textId="77777777" w:rsidR="0048103E" w:rsidRPr="00485998" w:rsidRDefault="0048103E" w:rsidP="0048103E">
      <w:pPr>
        <w:pStyle w:val="Default"/>
        <w:tabs>
          <w:tab w:val="left" w:pos="1134"/>
        </w:tabs>
        <w:ind w:left="851"/>
      </w:pPr>
    </w:p>
    <w:p w14:paraId="64D3950C" w14:textId="77777777" w:rsidR="0048103E" w:rsidRPr="00F83367" w:rsidRDefault="0048103E" w:rsidP="0048103E">
      <w:pPr>
        <w:numPr>
          <w:ilvl w:val="0"/>
          <w:numId w:val="10"/>
        </w:numPr>
        <w:tabs>
          <w:tab w:val="clear" w:pos="644"/>
          <w:tab w:val="left" w:pos="1134"/>
        </w:tabs>
        <w:ind w:left="1134" w:hanging="283"/>
        <w:textAlignment w:val="baseline"/>
        <w:rPr>
          <w:i/>
          <w:color w:val="000000"/>
          <w:sz w:val="24"/>
          <w:szCs w:val="24"/>
        </w:rPr>
      </w:pPr>
      <w:r w:rsidRPr="00F83367">
        <w:rPr>
          <w:i/>
          <w:color w:val="000000"/>
          <w:sz w:val="24"/>
          <w:szCs w:val="24"/>
        </w:rPr>
        <w:t>Laboratorieanalyser</w:t>
      </w:r>
    </w:p>
    <w:p w14:paraId="2409DDC1" w14:textId="77777777" w:rsidR="0048103E" w:rsidRPr="00F83367" w:rsidRDefault="0048103E" w:rsidP="0048103E">
      <w:pPr>
        <w:tabs>
          <w:tab w:val="left" w:pos="1134"/>
        </w:tabs>
        <w:ind w:left="851"/>
        <w:textAlignment w:val="baseline"/>
        <w:rPr>
          <w:color w:val="000000"/>
          <w:sz w:val="24"/>
          <w:szCs w:val="24"/>
        </w:rPr>
      </w:pPr>
      <w:r w:rsidRPr="00F83367">
        <w:rPr>
          <w:color w:val="000000"/>
          <w:sz w:val="24"/>
          <w:szCs w:val="24"/>
        </w:rPr>
        <w:t>Ved doser anvendt profylaktisk mod venøs tromboemboli påvirker enoxaparinnatrium ikke blødningstiden og generelle koagulationsparametre i signifikant grad, og det påvirker heller ikke trombocytaggregation eller binding af fibrinogen til trombocytter.</w:t>
      </w:r>
    </w:p>
    <w:p w14:paraId="298CFA46" w14:textId="77777777" w:rsidR="0048103E" w:rsidRPr="00F83367" w:rsidRDefault="0048103E" w:rsidP="0048103E">
      <w:pPr>
        <w:tabs>
          <w:tab w:val="left" w:pos="1134"/>
        </w:tabs>
        <w:ind w:left="851"/>
        <w:textAlignment w:val="baseline"/>
        <w:rPr>
          <w:color w:val="000000"/>
          <w:sz w:val="24"/>
          <w:szCs w:val="24"/>
        </w:rPr>
      </w:pPr>
      <w:r w:rsidRPr="00F83367">
        <w:rPr>
          <w:color w:val="000000"/>
          <w:sz w:val="24"/>
          <w:szCs w:val="24"/>
        </w:rPr>
        <w:t>Ved højere doser kan der forekomme forlængelse af aktiveret partiel tromboplastintid (aPTT) og aktiveret koagulationstid (ACT). Forlænget aPTT og ACT er ikke lineært korreleret med øget antitrombotisk aktivitet af enoxaparinnatrium. Derfor er måling af aPTT og ACT uegnet og upålideligt til monitorering af enoxaparinnatriums aktivitet.</w:t>
      </w:r>
    </w:p>
    <w:p w14:paraId="206A1C02" w14:textId="77777777" w:rsidR="0048103E" w:rsidRPr="00F83367" w:rsidRDefault="0048103E" w:rsidP="0048103E">
      <w:pPr>
        <w:pStyle w:val="Default"/>
        <w:tabs>
          <w:tab w:val="left" w:pos="1134"/>
        </w:tabs>
        <w:ind w:left="1134" w:hanging="283"/>
      </w:pPr>
    </w:p>
    <w:p w14:paraId="21C144A2" w14:textId="77777777" w:rsidR="0048103E" w:rsidRPr="00485998" w:rsidRDefault="0048103E" w:rsidP="0048103E">
      <w:pPr>
        <w:pStyle w:val="Default"/>
        <w:numPr>
          <w:ilvl w:val="0"/>
          <w:numId w:val="16"/>
        </w:numPr>
        <w:tabs>
          <w:tab w:val="left" w:pos="1134"/>
        </w:tabs>
        <w:ind w:left="1134" w:hanging="283"/>
        <w:rPr>
          <w:i/>
        </w:rPr>
      </w:pPr>
      <w:r w:rsidRPr="00485998">
        <w:rPr>
          <w:i/>
        </w:rPr>
        <w:t>Spinal</w:t>
      </w:r>
      <w:r>
        <w:rPr>
          <w:i/>
        </w:rPr>
        <w:t>-</w:t>
      </w:r>
      <w:r w:rsidRPr="00485998">
        <w:rPr>
          <w:i/>
        </w:rPr>
        <w:t>/epiduralanæstesi eller lumbalpunktur</w:t>
      </w:r>
    </w:p>
    <w:p w14:paraId="0E72AE68" w14:textId="77777777" w:rsidR="0048103E" w:rsidRDefault="0048103E" w:rsidP="0048103E">
      <w:pPr>
        <w:pStyle w:val="Default"/>
        <w:tabs>
          <w:tab w:val="left" w:pos="1134"/>
        </w:tabs>
        <w:ind w:left="851"/>
      </w:pPr>
      <w:r>
        <w:t>Der må ikke udføres spinal-/epiduralanæstesi eller lumbalpunktur inden for 24 timer efter administration af terapeutiske doser enoxaparinnatrium (se også pkt. 4.3).</w:t>
      </w:r>
    </w:p>
    <w:p w14:paraId="60997E0E" w14:textId="77777777" w:rsidR="0048103E" w:rsidRDefault="0048103E" w:rsidP="0048103E">
      <w:pPr>
        <w:pStyle w:val="Default"/>
        <w:tabs>
          <w:tab w:val="left" w:pos="1134"/>
        </w:tabs>
        <w:ind w:left="851"/>
      </w:pPr>
      <w:r>
        <w:t>I forbindelse med samtidig brug af enoxaparinnatrium og spinal-/epiduralanæstesi eller spinalpunktur er der set tilfælde af neuraksialt hæmatom, som resultererede i langvarig eller permanent paralyse.</w:t>
      </w:r>
    </w:p>
    <w:p w14:paraId="7B85DAB7" w14:textId="77777777" w:rsidR="0048103E" w:rsidRDefault="0048103E" w:rsidP="0048103E">
      <w:pPr>
        <w:pStyle w:val="Default"/>
        <w:tabs>
          <w:tab w:val="left" w:pos="1134"/>
        </w:tabs>
        <w:ind w:left="851"/>
      </w:pPr>
      <w:r>
        <w:t>Disse tilfælde er sjældne ved enoxaparinnatrium-doser på 4.000 IE (40 mg) en gang dagligt eller lavere. Risikoen er øget ved brug af postoperative epidurale katetre, ved samtidig anvendelse af lægemidler, der påvirker hæmostasen som f.eks. non-steroide antiinflammatoriske stoffer (NSAID), ved traumatiserende eller gentagen spinal- eller epiduralpunktur og hos patienter med spinalkirurgi eller spinal deformation i anamnesen.</w:t>
      </w:r>
    </w:p>
    <w:p w14:paraId="59249371" w14:textId="77777777" w:rsidR="0048103E" w:rsidRDefault="0048103E" w:rsidP="0048103E">
      <w:pPr>
        <w:pStyle w:val="Default"/>
        <w:tabs>
          <w:tab w:val="left" w:pos="1134"/>
        </w:tabs>
        <w:ind w:left="851"/>
      </w:pPr>
    </w:p>
    <w:p w14:paraId="6B3944B8" w14:textId="77777777" w:rsidR="0048103E" w:rsidRDefault="0048103E" w:rsidP="0048103E">
      <w:pPr>
        <w:pStyle w:val="Default"/>
        <w:tabs>
          <w:tab w:val="left" w:pos="1134"/>
        </w:tabs>
        <w:ind w:left="851"/>
      </w:pPr>
      <w:r>
        <w:t xml:space="preserve">For at mindske den potentielle risiko for blødning ved samtidig brug af enoxaparinnatrium og spinal- eller epiduralanæstesi/analgesi eller spinalpunktur skal den farmakokinetiske profil af enoxaparinnatrium tages i betragtning (se pkt. 5.2). Det anbefales at </w:t>
      </w:r>
      <w:r w:rsidRPr="001E62AA">
        <w:t>anlægge og</w:t>
      </w:r>
      <w:r>
        <w:t xml:space="preserve"> fjerne epiduralkatetre eller udføre lumbalpunktur på et tidspunkt, hvor enoxaparins antitrombotiske virkning er lav. Den præcise tid, der er nødvendig for at nå en </w:t>
      </w:r>
      <w:r>
        <w:lastRenderedPageBreak/>
        <w:t>tilstrækkeligt lav antikoagulerende virkning hos den enkelte patient, er imidlertid ikke kendt. Yderligere overvejelser kan være nødvendige hos patienter med kreatinin-clearance 15-30 ml/minut, eftersom enoxaparin elimineres langsommere (se pkt. 4.2).</w:t>
      </w:r>
    </w:p>
    <w:p w14:paraId="0F0E2B8D" w14:textId="77777777" w:rsidR="0048103E" w:rsidRDefault="0048103E" w:rsidP="0048103E">
      <w:pPr>
        <w:pStyle w:val="Default"/>
        <w:tabs>
          <w:tab w:val="left" w:pos="1134"/>
        </w:tabs>
        <w:ind w:left="851"/>
      </w:pPr>
    </w:p>
    <w:p w14:paraId="2DA9787F" w14:textId="77777777" w:rsidR="0048103E" w:rsidRDefault="0048103E" w:rsidP="0048103E">
      <w:pPr>
        <w:pStyle w:val="Default"/>
        <w:tabs>
          <w:tab w:val="left" w:pos="1134"/>
        </w:tabs>
        <w:ind w:left="851"/>
      </w:pPr>
      <w:r>
        <w:t xml:space="preserve">Hvis lægen beslutter at give antikoagulans i forbindelse med spinal-/epidural anæstesi/analgesi eller lumbalpunktur, er regelmæssig monitorering af patienten nødvendig for at opdage ethvert symptom på neurologisk svækkelse såsom rygsmerter langs midtlinjen, sensoriske og motoriske gener (følelsesløshed eller svaghed i </w:t>
      </w:r>
      <w:r w:rsidRPr="001E62AA">
        <w:t>underekstremiteterne) eller dysfunktion</w:t>
      </w:r>
      <w:r>
        <w:t xml:space="preserve"> af tarme og/eller urinblære.</w:t>
      </w:r>
    </w:p>
    <w:p w14:paraId="5980636C" w14:textId="77777777" w:rsidR="0048103E" w:rsidRPr="00485998" w:rsidRDefault="0048103E" w:rsidP="0048103E">
      <w:pPr>
        <w:pStyle w:val="Default"/>
        <w:tabs>
          <w:tab w:val="left" w:pos="1134"/>
        </w:tabs>
        <w:ind w:left="851"/>
      </w:pPr>
      <w:r>
        <w:t>Patienterne skal informeres om straks at kontakte lægen, hvis de får et eller flere af ovenstående symptomer. Hvis der er mistanke om symptomer på spinalt hæmatom, skal akut diagnosticering og behandling iværksættes og spinal dekompression overvejes, selv om denne behandling muligvis ikke forebygger eller reverserer neurologiske sequelae</w:t>
      </w:r>
      <w:r w:rsidRPr="00485998">
        <w:t>.</w:t>
      </w:r>
    </w:p>
    <w:p w14:paraId="4BE804E0" w14:textId="77777777" w:rsidR="00D57DDA" w:rsidRPr="00485998" w:rsidRDefault="00D57DDA" w:rsidP="0048103E">
      <w:pPr>
        <w:pStyle w:val="Default"/>
        <w:tabs>
          <w:tab w:val="left" w:pos="1134"/>
        </w:tabs>
        <w:ind w:left="1134" w:hanging="283"/>
      </w:pPr>
    </w:p>
    <w:p w14:paraId="307D6313" w14:textId="77777777" w:rsidR="0048103E" w:rsidRPr="00F83367" w:rsidRDefault="0048103E" w:rsidP="0048103E">
      <w:pPr>
        <w:numPr>
          <w:ilvl w:val="0"/>
          <w:numId w:val="10"/>
        </w:numPr>
        <w:tabs>
          <w:tab w:val="clear" w:pos="644"/>
          <w:tab w:val="left" w:pos="1134"/>
        </w:tabs>
        <w:ind w:left="1134" w:hanging="283"/>
        <w:textAlignment w:val="baseline"/>
        <w:rPr>
          <w:i/>
          <w:color w:val="000000"/>
          <w:sz w:val="24"/>
          <w:szCs w:val="24"/>
        </w:rPr>
      </w:pPr>
      <w:r w:rsidRPr="00F83367">
        <w:rPr>
          <w:i/>
          <w:color w:val="000000"/>
          <w:sz w:val="24"/>
          <w:szCs w:val="24"/>
        </w:rPr>
        <w:t>Hudnekrose/kutan vasculitis</w:t>
      </w:r>
    </w:p>
    <w:p w14:paraId="554EA073" w14:textId="77777777" w:rsidR="0048103E" w:rsidRPr="00F83367" w:rsidRDefault="0048103E" w:rsidP="0048103E">
      <w:pPr>
        <w:tabs>
          <w:tab w:val="left" w:pos="1134"/>
        </w:tabs>
        <w:ind w:left="851"/>
        <w:textAlignment w:val="baseline"/>
        <w:rPr>
          <w:color w:val="000000"/>
          <w:sz w:val="24"/>
          <w:szCs w:val="24"/>
        </w:rPr>
      </w:pPr>
      <w:r w:rsidRPr="00F83367">
        <w:rPr>
          <w:color w:val="000000"/>
          <w:spacing w:val="1"/>
          <w:sz w:val="24"/>
          <w:szCs w:val="24"/>
        </w:rPr>
        <w:t xml:space="preserve">Der er rapporteret om hudnekrose og kutan vasculitis med lavmolekylære hepariner, hvilket bør medføre øjeblikkelig </w:t>
      </w:r>
      <w:r w:rsidRPr="00F83367">
        <w:rPr>
          <w:color w:val="000000"/>
          <w:sz w:val="24"/>
          <w:szCs w:val="24"/>
        </w:rPr>
        <w:t>seponering.</w:t>
      </w:r>
    </w:p>
    <w:p w14:paraId="446E3FBB" w14:textId="77777777" w:rsidR="0048103E" w:rsidRPr="00F83367" w:rsidRDefault="0048103E" w:rsidP="0048103E">
      <w:pPr>
        <w:pStyle w:val="Default"/>
        <w:tabs>
          <w:tab w:val="left" w:pos="1134"/>
        </w:tabs>
        <w:ind w:left="1134" w:hanging="283"/>
      </w:pPr>
    </w:p>
    <w:p w14:paraId="548FCE9C" w14:textId="77777777" w:rsidR="0048103E" w:rsidRPr="00485998" w:rsidRDefault="0048103E" w:rsidP="0048103E">
      <w:pPr>
        <w:pStyle w:val="Default"/>
        <w:numPr>
          <w:ilvl w:val="0"/>
          <w:numId w:val="16"/>
        </w:numPr>
        <w:tabs>
          <w:tab w:val="left" w:pos="1134"/>
        </w:tabs>
        <w:ind w:left="1134" w:hanging="283"/>
        <w:rPr>
          <w:i/>
        </w:rPr>
      </w:pPr>
      <w:r w:rsidRPr="00485998">
        <w:rPr>
          <w:i/>
        </w:rPr>
        <w:t xml:space="preserve">Perkutan koronar </w:t>
      </w:r>
      <w:r w:rsidRPr="00D47AC2">
        <w:rPr>
          <w:i/>
        </w:rPr>
        <w:t xml:space="preserve">intervention </w:t>
      </w:r>
      <w:r>
        <w:rPr>
          <w:i/>
        </w:rPr>
        <w:t>(PCI)</w:t>
      </w:r>
    </w:p>
    <w:p w14:paraId="2BF6232B" w14:textId="77777777" w:rsidR="0048103E" w:rsidRPr="00485998" w:rsidRDefault="0048103E" w:rsidP="0048103E">
      <w:pPr>
        <w:pStyle w:val="Default"/>
        <w:tabs>
          <w:tab w:val="left" w:pos="1134"/>
        </w:tabs>
        <w:ind w:left="851"/>
      </w:pPr>
      <w:r w:rsidRPr="002558FB">
        <w:t>For at minimere risikoen for blødning i forbindelse med vaskulær instrumentering ved behandling af ustabil angina pectoris, NSTEMI og akut STEMI skal de anbefalede intervaller mellem enoxaparinnatrium-doserne overholdes nøje. Det er vigtigt at opnå hæmostase ved punkturstedet efter PCI. Hvis der anvendes en lukkeanordning, kan sheathen fjernes med det samme. Hvis en manuel kompressionsmetode anvendes, skal sheathen fjernes 6 timer efter den sidste intravenøse/subkutane injektion af enoxaparinnatrium. Hvis behandling med enoxaparinnatrium skal fortsætte, må næste planlagte dosis ikke gives tidligere end 6 til 8 timer efter fjernelse af sheathen. Operationsstedet skal observeres for tegn på blødning eller hæmatomdannelse</w:t>
      </w:r>
      <w:r w:rsidRPr="00485998">
        <w:t>.</w:t>
      </w:r>
    </w:p>
    <w:p w14:paraId="1CB00310" w14:textId="77777777" w:rsidR="0048103E" w:rsidRPr="00F83367" w:rsidRDefault="0048103E" w:rsidP="0048103E">
      <w:pPr>
        <w:pStyle w:val="Default"/>
        <w:tabs>
          <w:tab w:val="left" w:pos="1134"/>
        </w:tabs>
        <w:ind w:left="1134" w:hanging="283"/>
      </w:pPr>
    </w:p>
    <w:p w14:paraId="27723982" w14:textId="77777777" w:rsidR="0048103E" w:rsidRPr="00F83367" w:rsidRDefault="0048103E" w:rsidP="0048103E">
      <w:pPr>
        <w:numPr>
          <w:ilvl w:val="0"/>
          <w:numId w:val="10"/>
        </w:numPr>
        <w:tabs>
          <w:tab w:val="clear" w:pos="644"/>
          <w:tab w:val="left" w:pos="1134"/>
        </w:tabs>
        <w:ind w:left="1134" w:hanging="283"/>
        <w:textAlignment w:val="baseline"/>
        <w:rPr>
          <w:i/>
          <w:color w:val="000000"/>
          <w:sz w:val="24"/>
          <w:szCs w:val="24"/>
        </w:rPr>
      </w:pPr>
      <w:r w:rsidRPr="00F83367">
        <w:rPr>
          <w:i/>
          <w:color w:val="000000"/>
          <w:sz w:val="24"/>
          <w:szCs w:val="24"/>
        </w:rPr>
        <w:t>Akut infektiøs endocarditis</w:t>
      </w:r>
    </w:p>
    <w:p w14:paraId="6414E8A5" w14:textId="77777777" w:rsidR="0048103E" w:rsidRPr="00F83367" w:rsidRDefault="0048103E" w:rsidP="0048103E">
      <w:pPr>
        <w:tabs>
          <w:tab w:val="left" w:pos="1134"/>
        </w:tabs>
        <w:ind w:left="851" w:right="72"/>
        <w:textAlignment w:val="baseline"/>
        <w:rPr>
          <w:color w:val="000000"/>
          <w:sz w:val="24"/>
          <w:szCs w:val="24"/>
        </w:rPr>
      </w:pPr>
      <w:r w:rsidRPr="00F83367">
        <w:rPr>
          <w:color w:val="000000"/>
          <w:sz w:val="24"/>
          <w:szCs w:val="24"/>
        </w:rPr>
        <w:t>Anvendelse af heparin anbefales sædvanligvis ikke til patienter med akut infektiøs endocarditis på grund af risikoen for cerebral blødning. Hvis behandling med heparin anses for absolut nødvendig, skal beslutningen være baseret på en omhyggelig benefit/risk-vurdering hos den enkelte patient.</w:t>
      </w:r>
    </w:p>
    <w:p w14:paraId="112DF988" w14:textId="77777777" w:rsidR="0048103E" w:rsidRPr="00F83367" w:rsidRDefault="0048103E" w:rsidP="0048103E">
      <w:pPr>
        <w:tabs>
          <w:tab w:val="left" w:pos="1134"/>
        </w:tabs>
        <w:ind w:left="1134" w:right="72" w:hanging="283"/>
        <w:textAlignment w:val="baseline"/>
        <w:rPr>
          <w:color w:val="000000"/>
          <w:sz w:val="24"/>
          <w:szCs w:val="24"/>
        </w:rPr>
      </w:pPr>
    </w:p>
    <w:p w14:paraId="2BCA85FD" w14:textId="77777777" w:rsidR="0048103E" w:rsidRPr="00F83367" w:rsidRDefault="0048103E" w:rsidP="0048103E">
      <w:pPr>
        <w:pStyle w:val="Default"/>
        <w:numPr>
          <w:ilvl w:val="0"/>
          <w:numId w:val="10"/>
        </w:numPr>
        <w:tabs>
          <w:tab w:val="clear" w:pos="644"/>
          <w:tab w:val="left" w:pos="1134"/>
        </w:tabs>
        <w:ind w:left="1134" w:hanging="283"/>
        <w:textAlignment w:val="baseline"/>
        <w:rPr>
          <w:i/>
        </w:rPr>
      </w:pPr>
      <w:r w:rsidRPr="00F83367">
        <w:rPr>
          <w:i/>
        </w:rPr>
        <w:t>Hjerteklapprotese</w:t>
      </w:r>
    </w:p>
    <w:p w14:paraId="1382FB80" w14:textId="77777777" w:rsidR="0048103E" w:rsidRPr="00485998" w:rsidRDefault="0048103E" w:rsidP="0048103E">
      <w:pPr>
        <w:pStyle w:val="Default"/>
        <w:tabs>
          <w:tab w:val="left" w:pos="284"/>
          <w:tab w:val="left" w:pos="1134"/>
        </w:tabs>
        <w:ind w:left="851"/>
        <w:textAlignment w:val="baseline"/>
      </w:pPr>
      <w:r w:rsidRPr="006148B7">
        <w:t>Anvendelsen af enoxaparinnatrium som tromboseprofylakse er ikke undersøgt fyldestgørende hos patienter med hjerteklapprotese. Isolerede tilfælde af hjerteklaptrombose er rapporteret hos patienter med hjerteklapprotese, der havde fået enoxaparinnatrium som tromboseprofylakse. Konfunderende faktorer, inklusive underliggende sygdomme og utilstrækkelige kliniske data, begrænser evalueringen af disse tilfælde. Nogle af disse tilfælde optrådte hos gravide kvinder, hvor trombose medførte maternel og føtal død</w:t>
      </w:r>
      <w:r w:rsidRPr="00485998">
        <w:t>.</w:t>
      </w:r>
    </w:p>
    <w:p w14:paraId="22F72702" w14:textId="77777777" w:rsidR="0048103E" w:rsidRPr="00F83367" w:rsidRDefault="0048103E" w:rsidP="0048103E">
      <w:pPr>
        <w:pStyle w:val="Default"/>
        <w:tabs>
          <w:tab w:val="left" w:pos="284"/>
          <w:tab w:val="left" w:pos="1134"/>
        </w:tabs>
        <w:ind w:left="1134" w:hanging="283"/>
        <w:textAlignment w:val="baseline"/>
      </w:pPr>
    </w:p>
    <w:p w14:paraId="7EA03278" w14:textId="77777777" w:rsidR="0048103E" w:rsidRPr="00F83367" w:rsidRDefault="0048103E" w:rsidP="0048103E">
      <w:pPr>
        <w:pStyle w:val="Default"/>
        <w:numPr>
          <w:ilvl w:val="0"/>
          <w:numId w:val="16"/>
        </w:numPr>
        <w:tabs>
          <w:tab w:val="left" w:pos="1134"/>
        </w:tabs>
        <w:ind w:left="1134" w:hanging="283"/>
        <w:textAlignment w:val="baseline"/>
        <w:rPr>
          <w:i/>
        </w:rPr>
      </w:pPr>
      <w:r w:rsidRPr="00F83367">
        <w:rPr>
          <w:i/>
        </w:rPr>
        <w:t>Gravide kvinder med hjerteklapprotese</w:t>
      </w:r>
    </w:p>
    <w:p w14:paraId="09F5FC2D" w14:textId="3E355B30" w:rsidR="0048103E" w:rsidRPr="00F83367" w:rsidRDefault="0048103E" w:rsidP="00D57DDA">
      <w:pPr>
        <w:tabs>
          <w:tab w:val="left" w:pos="1134"/>
        </w:tabs>
        <w:ind w:left="851" w:right="72"/>
        <w:textAlignment w:val="baseline"/>
        <w:rPr>
          <w:color w:val="000000"/>
          <w:sz w:val="24"/>
          <w:szCs w:val="24"/>
        </w:rPr>
      </w:pPr>
      <w:r w:rsidRPr="00F83367">
        <w:rPr>
          <w:color w:val="000000"/>
          <w:sz w:val="24"/>
          <w:szCs w:val="24"/>
        </w:rPr>
        <w:t xml:space="preserve">Anvendelse af enoxaparinnatrium som tromboseprofylakse er ikke undersøgt fyldestgørende hos gravide kvinder med hjerteklapprotese. I et klinisk studie med gravide kvinder med hjerteklapprotese, der fik enoxaparinnatrium (100 IE/kg (1 mg/kg) to gange dagligt) for at nedsætte risikoen for tromboemboli, opstod der blodpropper hos 2 ud af 8 kvinder. Dette resulterede i blokering af hjerteklappen og medførte maternel og føtal død. Der findes isolerede postmarketing rapporter vedrørende hjerteklaptromboser hos gravide </w:t>
      </w:r>
      <w:r w:rsidRPr="00F83367">
        <w:rPr>
          <w:color w:val="000000"/>
          <w:sz w:val="24"/>
          <w:szCs w:val="24"/>
        </w:rPr>
        <w:lastRenderedPageBreak/>
        <w:t>kvinder med hjerteklapprotese, der fik enoxaparinnatrium som tromboseprofylakse. Gravide kvinder med hjerteklapprotese kan have højere risiko for tromboemboli.</w:t>
      </w:r>
    </w:p>
    <w:p w14:paraId="3CD7F728" w14:textId="77777777" w:rsidR="0048103E" w:rsidRPr="00F83367" w:rsidRDefault="0048103E" w:rsidP="0048103E">
      <w:pPr>
        <w:tabs>
          <w:tab w:val="left" w:pos="1134"/>
        </w:tabs>
        <w:ind w:left="851" w:right="72"/>
        <w:textAlignment w:val="baseline"/>
        <w:rPr>
          <w:color w:val="000000"/>
          <w:sz w:val="24"/>
          <w:szCs w:val="24"/>
        </w:rPr>
      </w:pPr>
    </w:p>
    <w:p w14:paraId="443184D6" w14:textId="77777777" w:rsidR="0048103E" w:rsidRPr="00485998" w:rsidRDefault="0048103E" w:rsidP="0048103E">
      <w:pPr>
        <w:pStyle w:val="Default"/>
        <w:numPr>
          <w:ilvl w:val="0"/>
          <w:numId w:val="16"/>
        </w:numPr>
        <w:tabs>
          <w:tab w:val="left" w:pos="1134"/>
        </w:tabs>
        <w:ind w:left="1134" w:hanging="283"/>
        <w:rPr>
          <w:i/>
        </w:rPr>
      </w:pPr>
      <w:r w:rsidRPr="00485998">
        <w:rPr>
          <w:i/>
        </w:rPr>
        <w:t>Ældre</w:t>
      </w:r>
    </w:p>
    <w:p w14:paraId="3AC1CE46" w14:textId="77777777" w:rsidR="0048103E" w:rsidRPr="00485998" w:rsidRDefault="0048103E" w:rsidP="0048103E">
      <w:pPr>
        <w:pStyle w:val="Default"/>
        <w:tabs>
          <w:tab w:val="left" w:pos="1134"/>
        </w:tabs>
        <w:ind w:left="851"/>
      </w:pPr>
      <w:r w:rsidRPr="00160340">
        <w:t>Der ses ingen øget blødningstendens hos ældre inden for de profylaktiske dosisintervaller. Ældre patienter (især patienter ≥ 80 år) kan have en øget risiko for blødningskomplikationer ved doser i de terapeutiske dosisintervaller. Omhyggelig klinisk overvågning tilrådes, og dosisreduktion kan overvejes hos patienter over 75 år, der behandles for STEMI (se pkt. 4.2 og 5.2)</w:t>
      </w:r>
      <w:r>
        <w:t>.</w:t>
      </w:r>
    </w:p>
    <w:p w14:paraId="381326AD" w14:textId="77777777" w:rsidR="0048103E" w:rsidRPr="00485998" w:rsidRDefault="0048103E" w:rsidP="0048103E">
      <w:pPr>
        <w:pStyle w:val="Default"/>
        <w:tabs>
          <w:tab w:val="left" w:pos="1134"/>
        </w:tabs>
        <w:ind w:left="1134" w:hanging="283"/>
      </w:pPr>
    </w:p>
    <w:p w14:paraId="51BF8D1E" w14:textId="77777777" w:rsidR="0048103E" w:rsidRPr="0057797C" w:rsidRDefault="0048103E" w:rsidP="0048103E">
      <w:pPr>
        <w:pStyle w:val="Default"/>
        <w:numPr>
          <w:ilvl w:val="0"/>
          <w:numId w:val="16"/>
        </w:numPr>
        <w:tabs>
          <w:tab w:val="left" w:pos="1134"/>
        </w:tabs>
        <w:ind w:left="1134" w:hanging="283"/>
        <w:rPr>
          <w:i/>
        </w:rPr>
      </w:pPr>
      <w:r w:rsidRPr="0057797C">
        <w:rPr>
          <w:i/>
        </w:rPr>
        <w:t>Nedsat nyrefunktion</w:t>
      </w:r>
    </w:p>
    <w:p w14:paraId="3C95A2AC" w14:textId="77777777" w:rsidR="0048103E" w:rsidRPr="0057797C" w:rsidRDefault="0048103E" w:rsidP="0048103E">
      <w:pPr>
        <w:pStyle w:val="Default"/>
        <w:tabs>
          <w:tab w:val="left" w:pos="1134"/>
        </w:tabs>
        <w:ind w:left="851"/>
      </w:pPr>
      <w:r w:rsidRPr="0057797C">
        <w:t>Eksponeringen for enoxaparinnatrium er øget hos patienter med nedsat nyrefunktion, hvilket øger risikoen for blødning. Hos disse patienter anbefales omhyggelig klinisk overvågning og biologisk monitorering ved måling af anti-Xa-aktivitet kan overvejes (se pkt. 4.2 og 5.2).</w:t>
      </w:r>
    </w:p>
    <w:p w14:paraId="538E741A" w14:textId="77777777" w:rsidR="0048103E" w:rsidRPr="0057797C" w:rsidRDefault="0048103E" w:rsidP="0048103E">
      <w:pPr>
        <w:pStyle w:val="Default"/>
        <w:tabs>
          <w:tab w:val="left" w:pos="1134"/>
        </w:tabs>
        <w:ind w:left="851"/>
      </w:pPr>
      <w:r w:rsidRPr="0057797C">
        <w:t>Enoxaparinnatrium bør ikke anvendes hos patienter med nyresygdom i slutstadiet (kreatinin-</w:t>
      </w:r>
      <w:r w:rsidRPr="0057797C">
        <w:rPr>
          <w:i/>
          <w:iCs/>
        </w:rPr>
        <w:t>clearance</w:t>
      </w:r>
      <w:r w:rsidRPr="0057797C">
        <w:t xml:space="preserve"> &lt;15 ml/min) på grund af manglende data for denne population, undtagen ved profylakse mod trombose i det ekstrakorporale kredsløb under dialyse.</w:t>
      </w:r>
    </w:p>
    <w:p w14:paraId="1B08FE90" w14:textId="77777777" w:rsidR="0048103E" w:rsidRPr="0057797C" w:rsidRDefault="0048103E" w:rsidP="0048103E">
      <w:pPr>
        <w:pStyle w:val="Default"/>
        <w:tabs>
          <w:tab w:val="left" w:pos="1134"/>
        </w:tabs>
        <w:ind w:left="851"/>
      </w:pPr>
      <w:r w:rsidRPr="0057797C">
        <w:t>Hos patienter med svært nedsat nyrefunktion (kreatinin-</w:t>
      </w:r>
      <w:r w:rsidRPr="0057797C">
        <w:rPr>
          <w:i/>
          <w:iCs/>
        </w:rPr>
        <w:t>clearance</w:t>
      </w:r>
      <w:r w:rsidRPr="0057797C">
        <w:t xml:space="preserve"> 15-30 ml/min.) anbefales det at justere dosis (både terapeutiske og profylaktiske doser), eftersom eksponeringen for enoxaparinnatrium er signifikant øget (se pkt. 4.2).</w:t>
      </w:r>
    </w:p>
    <w:p w14:paraId="431A8A1E" w14:textId="77777777" w:rsidR="0048103E" w:rsidRPr="0057797C" w:rsidRDefault="0048103E" w:rsidP="0048103E">
      <w:pPr>
        <w:pStyle w:val="Default"/>
        <w:tabs>
          <w:tab w:val="left" w:pos="1134"/>
        </w:tabs>
        <w:ind w:left="851"/>
      </w:pPr>
      <w:r w:rsidRPr="0057797C">
        <w:t>Dosisjustering ikke er nødvendig hos patienter med moderat (kreatinin-c</w:t>
      </w:r>
      <w:r w:rsidRPr="0057797C">
        <w:rPr>
          <w:i/>
          <w:iCs/>
        </w:rPr>
        <w:t>learanc</w:t>
      </w:r>
      <w:r w:rsidRPr="0057797C">
        <w:t>e 30-50 ml/min.) og let (kreatinin-clearance 50-80 ml/min.) nedsat nyrefunktion.</w:t>
      </w:r>
    </w:p>
    <w:p w14:paraId="6C317664" w14:textId="77777777" w:rsidR="0048103E" w:rsidRPr="0057797C" w:rsidRDefault="0048103E" w:rsidP="0048103E">
      <w:pPr>
        <w:pStyle w:val="Default"/>
        <w:tabs>
          <w:tab w:val="left" w:pos="1134"/>
        </w:tabs>
        <w:ind w:left="851"/>
      </w:pPr>
    </w:p>
    <w:p w14:paraId="4097BDD5" w14:textId="77777777" w:rsidR="0048103E" w:rsidRPr="0057797C" w:rsidRDefault="0048103E" w:rsidP="0048103E">
      <w:pPr>
        <w:numPr>
          <w:ilvl w:val="0"/>
          <w:numId w:val="10"/>
        </w:numPr>
        <w:tabs>
          <w:tab w:val="clear" w:pos="644"/>
          <w:tab w:val="left" w:pos="1134"/>
        </w:tabs>
        <w:ind w:left="1134" w:hanging="283"/>
        <w:textAlignment w:val="baseline"/>
        <w:rPr>
          <w:i/>
          <w:color w:val="000000"/>
          <w:spacing w:val="1"/>
          <w:sz w:val="24"/>
          <w:szCs w:val="24"/>
        </w:rPr>
      </w:pPr>
      <w:r w:rsidRPr="0057797C">
        <w:rPr>
          <w:i/>
          <w:color w:val="000000"/>
          <w:spacing w:val="1"/>
          <w:sz w:val="24"/>
          <w:szCs w:val="24"/>
        </w:rPr>
        <w:t>Nedsat leverfunktion</w:t>
      </w:r>
    </w:p>
    <w:p w14:paraId="185A769D" w14:textId="77777777" w:rsidR="0048103E" w:rsidRPr="0057797C" w:rsidRDefault="0048103E" w:rsidP="0048103E">
      <w:pPr>
        <w:pStyle w:val="Default"/>
        <w:tabs>
          <w:tab w:val="left" w:pos="1134"/>
        </w:tabs>
        <w:ind w:left="851"/>
      </w:pPr>
      <w:r w:rsidRPr="0057797C">
        <w:t>Enoxaparinnatrium bør anvendes med forsigtighed hos patienter med nedsat leverfunktion på grund af en potentiel øget risiko for blødning. Dosisjustering baseret på monitorering af anti-Xa-niveau er upålidelig hos patienter med levercirrose og anbefales ikke (se pkt. 5.2).</w:t>
      </w:r>
    </w:p>
    <w:p w14:paraId="61851D88" w14:textId="77777777" w:rsidR="0048103E" w:rsidRPr="0057797C" w:rsidRDefault="0048103E" w:rsidP="0048103E">
      <w:pPr>
        <w:pStyle w:val="Default"/>
        <w:tabs>
          <w:tab w:val="left" w:pos="1134"/>
        </w:tabs>
        <w:ind w:left="1134" w:hanging="283"/>
      </w:pPr>
    </w:p>
    <w:p w14:paraId="4ACAC299" w14:textId="77777777" w:rsidR="0048103E" w:rsidRPr="0057797C" w:rsidRDefault="0048103E" w:rsidP="0048103E">
      <w:pPr>
        <w:pStyle w:val="Default"/>
        <w:numPr>
          <w:ilvl w:val="0"/>
          <w:numId w:val="16"/>
        </w:numPr>
        <w:tabs>
          <w:tab w:val="left" w:pos="1134"/>
        </w:tabs>
        <w:ind w:left="1134" w:hanging="283"/>
        <w:rPr>
          <w:i/>
        </w:rPr>
      </w:pPr>
      <w:r w:rsidRPr="0057797C">
        <w:rPr>
          <w:i/>
        </w:rPr>
        <w:t>Patienter med lav legemsvægt</w:t>
      </w:r>
    </w:p>
    <w:p w14:paraId="5F983967" w14:textId="77777777" w:rsidR="0048103E" w:rsidRPr="0057797C" w:rsidRDefault="0048103E" w:rsidP="0048103E">
      <w:pPr>
        <w:pStyle w:val="Default"/>
        <w:tabs>
          <w:tab w:val="left" w:pos="1134"/>
        </w:tabs>
        <w:ind w:left="851"/>
      </w:pPr>
      <w:r w:rsidRPr="0057797C">
        <w:t>Der er set en øget eksponering for enoxaparinnatrium ved profylaktiske doser (ikke vægt-justeret) hos kvinder med lav legemsvægt (&lt; 45 kg) og mænd med lav legemsvægt (&lt; 57 kg), hvilket kan øge risikoen for blødning. Derfor tilrådes omhyggelig klinisk overvågning af disse patienter (se pkt. 5.2).</w:t>
      </w:r>
    </w:p>
    <w:p w14:paraId="6DDF0BBE" w14:textId="77777777" w:rsidR="0048103E" w:rsidRPr="0057797C" w:rsidRDefault="0048103E" w:rsidP="0048103E">
      <w:pPr>
        <w:pStyle w:val="Default"/>
        <w:tabs>
          <w:tab w:val="left" w:pos="1134"/>
        </w:tabs>
        <w:ind w:left="1134" w:hanging="283"/>
        <w:rPr>
          <w:b/>
          <w:u w:val="single"/>
        </w:rPr>
      </w:pPr>
    </w:p>
    <w:p w14:paraId="20D2645F" w14:textId="77777777" w:rsidR="0048103E" w:rsidRPr="0057797C" w:rsidRDefault="0048103E" w:rsidP="0048103E">
      <w:pPr>
        <w:pStyle w:val="Default"/>
        <w:numPr>
          <w:ilvl w:val="0"/>
          <w:numId w:val="16"/>
        </w:numPr>
        <w:tabs>
          <w:tab w:val="left" w:pos="1134"/>
        </w:tabs>
        <w:ind w:left="1134" w:hanging="283"/>
        <w:rPr>
          <w:i/>
        </w:rPr>
      </w:pPr>
      <w:r w:rsidRPr="0057797C">
        <w:rPr>
          <w:i/>
        </w:rPr>
        <w:t>Svært overvægtige patienter</w:t>
      </w:r>
    </w:p>
    <w:p w14:paraId="42615D2A" w14:textId="77777777" w:rsidR="0048103E" w:rsidRPr="0057797C" w:rsidRDefault="0048103E" w:rsidP="0048103E">
      <w:pPr>
        <w:pStyle w:val="Default"/>
        <w:tabs>
          <w:tab w:val="left" w:pos="1134"/>
        </w:tabs>
        <w:ind w:left="851"/>
      </w:pPr>
      <w:r w:rsidRPr="0057797C">
        <w:t>Svært overvægtige patienter har en højere risiko for tromboemboli. Sikkerheden og virkningen af profylaktiske doser hos svært overvægtige patienter (BMI &gt; 30 kg/m2) er ikke helt fastlagt, og der er ikke konsensus for dosisjustering. Disse patienter bør observeres nøje for symptomer på tromboemboli.</w:t>
      </w:r>
    </w:p>
    <w:p w14:paraId="2C3FE721" w14:textId="77777777" w:rsidR="0048103E" w:rsidRPr="0057797C" w:rsidRDefault="0048103E" w:rsidP="0048103E">
      <w:pPr>
        <w:pStyle w:val="Default"/>
        <w:tabs>
          <w:tab w:val="left" w:pos="1134"/>
        </w:tabs>
        <w:ind w:left="1134" w:hanging="283"/>
      </w:pPr>
    </w:p>
    <w:p w14:paraId="2A92B2C8" w14:textId="77777777" w:rsidR="0048103E" w:rsidRPr="0057797C" w:rsidRDefault="0048103E" w:rsidP="0048103E">
      <w:pPr>
        <w:numPr>
          <w:ilvl w:val="0"/>
          <w:numId w:val="13"/>
        </w:numPr>
        <w:tabs>
          <w:tab w:val="left" w:pos="1134"/>
        </w:tabs>
        <w:ind w:left="1134" w:hanging="283"/>
        <w:textAlignment w:val="baseline"/>
        <w:rPr>
          <w:i/>
          <w:color w:val="000000"/>
          <w:spacing w:val="-3"/>
          <w:sz w:val="24"/>
          <w:szCs w:val="24"/>
        </w:rPr>
      </w:pPr>
      <w:r w:rsidRPr="0057797C">
        <w:rPr>
          <w:i/>
          <w:color w:val="000000"/>
          <w:spacing w:val="-3"/>
          <w:sz w:val="24"/>
          <w:szCs w:val="24"/>
        </w:rPr>
        <w:t>Hyperkaliæmi</w:t>
      </w:r>
    </w:p>
    <w:p w14:paraId="58E17BAB" w14:textId="77777777" w:rsidR="0048103E" w:rsidRPr="0057797C" w:rsidRDefault="0048103E" w:rsidP="0048103E">
      <w:pPr>
        <w:tabs>
          <w:tab w:val="left" w:pos="1134"/>
        </w:tabs>
        <w:ind w:left="851" w:right="216"/>
        <w:textAlignment w:val="baseline"/>
        <w:rPr>
          <w:color w:val="000000"/>
          <w:sz w:val="24"/>
          <w:szCs w:val="24"/>
        </w:rPr>
      </w:pPr>
      <w:r w:rsidRPr="0057797C">
        <w:rPr>
          <w:color w:val="000000"/>
          <w:sz w:val="24"/>
          <w:szCs w:val="24"/>
        </w:rPr>
        <w:t>Hepariner kan hæmme sekretion af aldosteron fra binyrerne, hvilket fører til hyperkaliæmi (se pkt. 4.8), især hos patienter med diabetes mellitus, kronisk nyresvigt eller eksisterende metabolisk acidose og patienter, der får lægemidler, der øger kaliumkoncentrationen (se pkt. 4.5). Plasmakalium skal monitoreres regelmæssigt, særligt hos patienter i risikogruppe.</w:t>
      </w:r>
    </w:p>
    <w:p w14:paraId="5D52473B" w14:textId="77777777" w:rsidR="0048103E" w:rsidRPr="0057797C" w:rsidRDefault="0048103E" w:rsidP="0048103E">
      <w:pPr>
        <w:tabs>
          <w:tab w:val="left" w:pos="1134"/>
        </w:tabs>
        <w:ind w:left="1134" w:right="216" w:hanging="283"/>
        <w:textAlignment w:val="baseline"/>
        <w:rPr>
          <w:color w:val="000000"/>
          <w:sz w:val="24"/>
          <w:szCs w:val="24"/>
        </w:rPr>
      </w:pPr>
    </w:p>
    <w:p w14:paraId="388382CB" w14:textId="77777777" w:rsidR="0048103E" w:rsidRPr="0057797C" w:rsidRDefault="0048103E" w:rsidP="00A11ABC">
      <w:pPr>
        <w:keepNext/>
        <w:numPr>
          <w:ilvl w:val="0"/>
          <w:numId w:val="18"/>
        </w:numPr>
        <w:tabs>
          <w:tab w:val="left" w:pos="1134"/>
        </w:tabs>
        <w:ind w:left="1135" w:hanging="284"/>
        <w:textAlignment w:val="baseline"/>
        <w:rPr>
          <w:i/>
          <w:color w:val="000000"/>
          <w:spacing w:val="-2"/>
          <w:sz w:val="24"/>
          <w:szCs w:val="24"/>
        </w:rPr>
      </w:pPr>
      <w:r w:rsidRPr="0057797C">
        <w:rPr>
          <w:i/>
          <w:color w:val="000000"/>
          <w:spacing w:val="-2"/>
          <w:sz w:val="24"/>
          <w:szCs w:val="24"/>
        </w:rPr>
        <w:lastRenderedPageBreak/>
        <w:t>Sporbarhed</w:t>
      </w:r>
    </w:p>
    <w:p w14:paraId="283D6FDA" w14:textId="77777777" w:rsidR="0048103E" w:rsidRPr="0057797C" w:rsidRDefault="0048103E" w:rsidP="0048103E">
      <w:pPr>
        <w:tabs>
          <w:tab w:val="left" w:pos="1134"/>
        </w:tabs>
        <w:ind w:left="851" w:right="28"/>
        <w:textAlignment w:val="baseline"/>
        <w:rPr>
          <w:color w:val="000000"/>
          <w:sz w:val="24"/>
          <w:szCs w:val="24"/>
        </w:rPr>
      </w:pPr>
      <w:r w:rsidRPr="0057797C">
        <w:rPr>
          <w:color w:val="000000"/>
          <w:sz w:val="24"/>
          <w:szCs w:val="24"/>
        </w:rPr>
        <w:t>Lavmolekylære hepariner er biologiske lægemidler. For at forbedre sporbarheden af lavmolekylære hepariner anbefales det, at læger og sundhedspersonale noterer handelsnavn og batchnummer på det administrerede lægemiddel i patientjournalen.</w:t>
      </w:r>
    </w:p>
    <w:p w14:paraId="57F8CA52" w14:textId="77777777" w:rsidR="0048103E" w:rsidRPr="0057797C" w:rsidRDefault="0048103E" w:rsidP="0048103E">
      <w:pPr>
        <w:tabs>
          <w:tab w:val="left" w:pos="64"/>
          <w:tab w:val="left" w:pos="216"/>
          <w:tab w:val="left" w:pos="284"/>
          <w:tab w:val="left" w:pos="1134"/>
        </w:tabs>
        <w:ind w:left="1134" w:hanging="283"/>
        <w:textAlignment w:val="baseline"/>
        <w:rPr>
          <w:color w:val="000000"/>
          <w:sz w:val="24"/>
          <w:szCs w:val="24"/>
        </w:rPr>
      </w:pPr>
    </w:p>
    <w:p w14:paraId="7E769A9B" w14:textId="77777777" w:rsidR="0048103E" w:rsidRPr="0057797C" w:rsidRDefault="0048103E" w:rsidP="0014694F">
      <w:pPr>
        <w:keepNext/>
        <w:numPr>
          <w:ilvl w:val="0"/>
          <w:numId w:val="18"/>
        </w:numPr>
        <w:tabs>
          <w:tab w:val="left" w:pos="1134"/>
        </w:tabs>
        <w:ind w:left="1135" w:hanging="284"/>
        <w:textAlignment w:val="baseline"/>
        <w:rPr>
          <w:i/>
          <w:color w:val="000000"/>
          <w:spacing w:val="-2"/>
          <w:sz w:val="24"/>
          <w:szCs w:val="24"/>
        </w:rPr>
      </w:pPr>
      <w:r w:rsidRPr="0057797C">
        <w:rPr>
          <w:i/>
          <w:color w:val="000000"/>
          <w:spacing w:val="-2"/>
          <w:sz w:val="24"/>
          <w:szCs w:val="24"/>
        </w:rPr>
        <w:t>Natriumindhold</w:t>
      </w:r>
    </w:p>
    <w:p w14:paraId="19FFFD2B" w14:textId="27161EF3" w:rsidR="000C25F4" w:rsidRPr="0057797C" w:rsidRDefault="0048103E" w:rsidP="0048103E">
      <w:pPr>
        <w:tabs>
          <w:tab w:val="left" w:pos="1134"/>
        </w:tabs>
        <w:ind w:left="851" w:right="28"/>
        <w:textAlignment w:val="baseline"/>
        <w:rPr>
          <w:color w:val="000000"/>
          <w:sz w:val="24"/>
          <w:szCs w:val="24"/>
        </w:rPr>
      </w:pPr>
      <w:r w:rsidRPr="0057797C">
        <w:rPr>
          <w:color w:val="000000"/>
          <w:sz w:val="24"/>
          <w:szCs w:val="24"/>
        </w:rPr>
        <w:t>Denne medicin indeholder mindre end 1 mmol (23 mg) natrium pr. dosis, dvs. det er i det væsentlige natriumfrit.</w:t>
      </w:r>
    </w:p>
    <w:p w14:paraId="4458FB0D" w14:textId="77777777" w:rsidR="0057797C" w:rsidRPr="0057797C" w:rsidRDefault="0057797C" w:rsidP="0057797C">
      <w:pPr>
        <w:tabs>
          <w:tab w:val="left" w:pos="1134"/>
        </w:tabs>
        <w:ind w:left="851" w:right="28"/>
        <w:textAlignment w:val="baseline"/>
        <w:rPr>
          <w:color w:val="000000"/>
          <w:sz w:val="24"/>
          <w:szCs w:val="24"/>
        </w:rPr>
      </w:pPr>
    </w:p>
    <w:p w14:paraId="24A3FA5D" w14:textId="77777777" w:rsidR="0057797C" w:rsidRPr="0057797C" w:rsidRDefault="0057797C" w:rsidP="0057797C">
      <w:pPr>
        <w:pStyle w:val="Listeafsnit"/>
        <w:numPr>
          <w:ilvl w:val="0"/>
          <w:numId w:val="25"/>
        </w:numPr>
        <w:tabs>
          <w:tab w:val="left" w:pos="1134"/>
        </w:tabs>
        <w:ind w:right="28"/>
        <w:textAlignment w:val="baseline"/>
        <w:rPr>
          <w:i/>
          <w:iCs/>
          <w:color w:val="000000"/>
          <w:sz w:val="24"/>
          <w:szCs w:val="24"/>
        </w:rPr>
      </w:pPr>
      <w:r w:rsidRPr="0057797C">
        <w:rPr>
          <w:i/>
          <w:iCs/>
          <w:color w:val="000000"/>
          <w:sz w:val="24"/>
          <w:szCs w:val="24"/>
        </w:rPr>
        <w:t xml:space="preserve">Akut generaliseret eksantematøs pustulose </w:t>
      </w:r>
    </w:p>
    <w:p w14:paraId="41C8970E" w14:textId="77777777" w:rsidR="0057797C" w:rsidRPr="0057797C" w:rsidRDefault="0057797C" w:rsidP="0057797C">
      <w:pPr>
        <w:tabs>
          <w:tab w:val="left" w:pos="1134"/>
        </w:tabs>
        <w:ind w:left="851" w:right="28"/>
        <w:textAlignment w:val="baseline"/>
        <w:rPr>
          <w:color w:val="000000"/>
          <w:sz w:val="24"/>
          <w:szCs w:val="24"/>
        </w:rPr>
      </w:pPr>
      <w:r w:rsidRPr="0057797C">
        <w:rPr>
          <w:color w:val="000000"/>
          <w:sz w:val="24"/>
          <w:szCs w:val="24"/>
        </w:rPr>
        <w:t>Akut generaliseret eksantematøs pustulose (AGEP) er blevet rapporteret med en frekvens, der ikke er kendt i forbindelse med enoxaparinbehandling. På ordinationstidspunktet bør patienterne informeres om tegn og symptomer og overvåges nøje for hudreaktioner. Hvis der opstår tegn og symptomer, der tyder på disse reaktioner, skal enoxaparin seponeres øjeblikkeligt og en alternativ behandling overvejes (efter behov).</w:t>
      </w:r>
    </w:p>
    <w:p w14:paraId="70E60BA0" w14:textId="77777777" w:rsidR="0057797C" w:rsidRPr="00C84483" w:rsidRDefault="0057797C" w:rsidP="000C25F4">
      <w:pPr>
        <w:tabs>
          <w:tab w:val="left" w:pos="851"/>
        </w:tabs>
        <w:ind w:left="851"/>
      </w:pPr>
    </w:p>
    <w:p w14:paraId="7615668C" w14:textId="77777777" w:rsidR="000C25F4" w:rsidRPr="00F83367" w:rsidRDefault="000C25F4" w:rsidP="000C25F4">
      <w:pPr>
        <w:tabs>
          <w:tab w:val="left" w:pos="851"/>
        </w:tabs>
        <w:ind w:left="851" w:hanging="851"/>
        <w:rPr>
          <w:b/>
          <w:sz w:val="24"/>
          <w:szCs w:val="24"/>
        </w:rPr>
      </w:pPr>
      <w:r w:rsidRPr="00C84483">
        <w:rPr>
          <w:b/>
        </w:rPr>
        <w:t>4.5</w:t>
      </w:r>
      <w:r w:rsidRPr="00C84483">
        <w:rPr>
          <w:b/>
        </w:rPr>
        <w:tab/>
      </w:r>
      <w:r w:rsidRPr="00F83367">
        <w:rPr>
          <w:b/>
          <w:sz w:val="24"/>
          <w:szCs w:val="24"/>
        </w:rPr>
        <w:t>Interaktion med andre lægemidler og andre former for interaktion</w:t>
      </w:r>
    </w:p>
    <w:p w14:paraId="1444B43C" w14:textId="77777777" w:rsidR="00F36616" w:rsidRPr="00F83367" w:rsidRDefault="00F36616" w:rsidP="00F36616">
      <w:pPr>
        <w:ind w:left="851"/>
        <w:textAlignment w:val="baseline"/>
        <w:rPr>
          <w:color w:val="000000"/>
          <w:sz w:val="24"/>
          <w:szCs w:val="24"/>
          <w:u w:val="single"/>
        </w:rPr>
      </w:pPr>
    </w:p>
    <w:p w14:paraId="2AC3260F"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Samtidig anvendelse frarådes:</w:t>
      </w:r>
    </w:p>
    <w:p w14:paraId="1B97D323" w14:textId="77777777" w:rsidR="00F36616" w:rsidRPr="00F83367" w:rsidRDefault="00F36616" w:rsidP="00F36616">
      <w:pPr>
        <w:numPr>
          <w:ilvl w:val="0"/>
          <w:numId w:val="18"/>
        </w:numPr>
        <w:tabs>
          <w:tab w:val="left" w:pos="1134"/>
        </w:tabs>
        <w:ind w:left="851" w:firstLine="0"/>
        <w:textAlignment w:val="baseline"/>
        <w:rPr>
          <w:i/>
          <w:color w:val="000000"/>
          <w:sz w:val="24"/>
          <w:szCs w:val="24"/>
        </w:rPr>
      </w:pPr>
      <w:r w:rsidRPr="00F83367">
        <w:rPr>
          <w:i/>
          <w:color w:val="000000"/>
          <w:sz w:val="24"/>
          <w:szCs w:val="24"/>
        </w:rPr>
        <w:t>Lægemidler, der påvirker hæmostasen (se pkt. 4.4)</w:t>
      </w:r>
    </w:p>
    <w:p w14:paraId="2A8B9658" w14:textId="77777777" w:rsidR="00F36616" w:rsidRPr="00F83367" w:rsidRDefault="00F36616" w:rsidP="00F36616">
      <w:pPr>
        <w:pStyle w:val="Default"/>
        <w:tabs>
          <w:tab w:val="left" w:pos="1134"/>
        </w:tabs>
        <w:ind w:left="851"/>
      </w:pPr>
      <w:r w:rsidRPr="00F83367">
        <w:t xml:space="preserve">Inden behandling med enoxaparinnatrium initieres, bør behandling med lægemidler, som påvirker hæmostasen, seponeres, medmindre brugen er tvingende nødvendig. Hvis kombinationen er indiceret, bør enoxaparinnatrium anvendes under omhyggelig klinisk og laboratoriemæssig overvågning, når det er hensigtsmæssigt. </w:t>
      </w:r>
    </w:p>
    <w:p w14:paraId="48138363" w14:textId="77777777" w:rsidR="00F36616" w:rsidRPr="00F83367" w:rsidRDefault="00F36616" w:rsidP="00F36616">
      <w:pPr>
        <w:pStyle w:val="Default"/>
        <w:tabs>
          <w:tab w:val="left" w:pos="1134"/>
        </w:tabs>
        <w:ind w:left="851"/>
      </w:pPr>
      <w:r w:rsidRPr="00F83367">
        <w:t>Disse lægemidler omfatter:</w:t>
      </w:r>
    </w:p>
    <w:p w14:paraId="2FA44981" w14:textId="77777777" w:rsidR="00F36616" w:rsidRPr="00F83367" w:rsidRDefault="00F36616" w:rsidP="00F83367">
      <w:pPr>
        <w:pStyle w:val="Default"/>
        <w:tabs>
          <w:tab w:val="left" w:pos="1134"/>
        </w:tabs>
        <w:ind w:left="1304" w:hanging="170"/>
      </w:pPr>
      <w:r w:rsidRPr="00F83367">
        <w:t>-</w:t>
      </w:r>
      <w:r w:rsidRPr="00F83367">
        <w:tab/>
        <w:t>Systemiske salicylater, acetylsalicylsyre i antiinflammatoriske doser og NSAID’er, herunder ketorolac,</w:t>
      </w:r>
    </w:p>
    <w:p w14:paraId="4CA499DA" w14:textId="77777777" w:rsidR="00F36616" w:rsidRPr="00F83367" w:rsidRDefault="00F36616" w:rsidP="00F83367">
      <w:pPr>
        <w:pStyle w:val="Default"/>
        <w:tabs>
          <w:tab w:val="left" w:pos="1134"/>
        </w:tabs>
        <w:ind w:left="1304" w:hanging="170"/>
      </w:pPr>
      <w:r w:rsidRPr="00F83367">
        <w:t>-</w:t>
      </w:r>
      <w:r w:rsidRPr="00F83367">
        <w:tab/>
        <w:t>Andre trombolytika (f.eks. alteplase, reteplase, streptokinase, tenecteplase, urokinase) og antikoagulantia (se pkt. 4.2).</w:t>
      </w:r>
    </w:p>
    <w:p w14:paraId="61AF1EAE" w14:textId="77777777" w:rsidR="00F36616" w:rsidRPr="00F83367" w:rsidRDefault="00F36616" w:rsidP="00F36616">
      <w:pPr>
        <w:tabs>
          <w:tab w:val="left" w:pos="284"/>
          <w:tab w:val="left" w:pos="1134"/>
        </w:tabs>
        <w:ind w:left="851" w:right="144"/>
        <w:textAlignment w:val="baseline"/>
        <w:rPr>
          <w:color w:val="000000"/>
          <w:sz w:val="24"/>
          <w:szCs w:val="24"/>
        </w:rPr>
      </w:pPr>
    </w:p>
    <w:p w14:paraId="1638D4ED" w14:textId="77777777" w:rsidR="00F36616" w:rsidRPr="00F83367" w:rsidRDefault="00F36616" w:rsidP="00F36616">
      <w:pPr>
        <w:tabs>
          <w:tab w:val="left" w:pos="1134"/>
        </w:tabs>
        <w:ind w:left="851"/>
        <w:textAlignment w:val="baseline"/>
        <w:outlineLvl w:val="0"/>
        <w:rPr>
          <w:color w:val="000000"/>
          <w:sz w:val="24"/>
          <w:szCs w:val="24"/>
          <w:u w:val="single"/>
        </w:rPr>
      </w:pPr>
      <w:r w:rsidRPr="00F83367">
        <w:rPr>
          <w:color w:val="000000"/>
          <w:sz w:val="24"/>
          <w:szCs w:val="24"/>
          <w:u w:val="single"/>
        </w:rPr>
        <w:t>Samtidig anvendelse kan ske med forsigtighed:</w:t>
      </w:r>
    </w:p>
    <w:p w14:paraId="1D4D482A" w14:textId="77777777" w:rsidR="00F36616" w:rsidRPr="00F83367" w:rsidRDefault="00F36616" w:rsidP="00F36616">
      <w:pPr>
        <w:tabs>
          <w:tab w:val="left" w:pos="1134"/>
        </w:tabs>
        <w:ind w:left="851"/>
        <w:textAlignment w:val="baseline"/>
        <w:rPr>
          <w:sz w:val="24"/>
          <w:szCs w:val="24"/>
        </w:rPr>
      </w:pPr>
      <w:r w:rsidRPr="00F83367">
        <w:rPr>
          <w:sz w:val="24"/>
          <w:szCs w:val="24"/>
        </w:rPr>
        <w:t>Følgende lægemidler kan med forsigtighed administreres samtidigt med enoxaparinnatrium:</w:t>
      </w:r>
    </w:p>
    <w:p w14:paraId="38D63259" w14:textId="77777777" w:rsidR="00F36616" w:rsidRPr="00F83367" w:rsidRDefault="00F36616" w:rsidP="00F36616">
      <w:pPr>
        <w:numPr>
          <w:ilvl w:val="0"/>
          <w:numId w:val="18"/>
        </w:numPr>
        <w:tabs>
          <w:tab w:val="left" w:pos="1134"/>
        </w:tabs>
        <w:ind w:left="851" w:firstLine="0"/>
        <w:textAlignment w:val="baseline"/>
        <w:rPr>
          <w:i/>
          <w:color w:val="000000"/>
          <w:spacing w:val="-1"/>
          <w:sz w:val="24"/>
          <w:szCs w:val="24"/>
        </w:rPr>
      </w:pPr>
      <w:r w:rsidRPr="00F83367">
        <w:rPr>
          <w:i/>
          <w:color w:val="000000"/>
          <w:spacing w:val="-1"/>
          <w:sz w:val="24"/>
          <w:szCs w:val="24"/>
        </w:rPr>
        <w:t>Andre lægemidler, der påvirker hæmostasen, som f.eks.:</w:t>
      </w:r>
    </w:p>
    <w:p w14:paraId="0C5657ED" w14:textId="382291AA" w:rsidR="00F36616" w:rsidRPr="00F83367" w:rsidRDefault="00F36616" w:rsidP="00F36616">
      <w:pPr>
        <w:tabs>
          <w:tab w:val="left" w:pos="1418"/>
        </w:tabs>
        <w:ind w:left="1418" w:hanging="284"/>
        <w:textAlignment w:val="baseline"/>
        <w:rPr>
          <w:color w:val="000000"/>
          <w:sz w:val="24"/>
          <w:szCs w:val="24"/>
        </w:rPr>
      </w:pPr>
      <w:r w:rsidRPr="00F83367">
        <w:rPr>
          <w:color w:val="000000"/>
          <w:sz w:val="24"/>
          <w:szCs w:val="24"/>
        </w:rPr>
        <w:t>-</w:t>
      </w:r>
      <w:r w:rsidRPr="00F83367">
        <w:rPr>
          <w:color w:val="000000"/>
          <w:sz w:val="24"/>
          <w:szCs w:val="24"/>
        </w:rPr>
        <w:tab/>
        <w:t>Trombocytfunktionshæmmere, inklusiv</w:t>
      </w:r>
      <w:r w:rsidR="00F83367">
        <w:rPr>
          <w:color w:val="000000"/>
          <w:sz w:val="24"/>
          <w:szCs w:val="24"/>
        </w:rPr>
        <w:t>e</w:t>
      </w:r>
      <w:r w:rsidRPr="00F83367">
        <w:rPr>
          <w:color w:val="000000"/>
          <w:sz w:val="24"/>
          <w:szCs w:val="24"/>
        </w:rPr>
        <w:t xml:space="preserve"> acetylsalicylsyre i antiaggregerende dosis (kardiobeskyttelse), clopidogrel, ticlopidin og glykoprotein IIb/IIIa-antagonister indiceret ved akut koronarsyndrom på grund af blødningsrisikoen,</w:t>
      </w:r>
    </w:p>
    <w:p w14:paraId="6777DF89" w14:textId="77777777" w:rsidR="00F36616" w:rsidRPr="00F83367" w:rsidRDefault="00F36616" w:rsidP="00F36616">
      <w:pPr>
        <w:tabs>
          <w:tab w:val="left" w:pos="1418"/>
        </w:tabs>
        <w:ind w:left="1418" w:hanging="284"/>
        <w:textAlignment w:val="baseline"/>
        <w:rPr>
          <w:color w:val="000000"/>
          <w:spacing w:val="-8"/>
          <w:sz w:val="24"/>
          <w:szCs w:val="24"/>
        </w:rPr>
      </w:pPr>
      <w:r w:rsidRPr="00F83367">
        <w:rPr>
          <w:color w:val="000000"/>
          <w:spacing w:val="-8"/>
          <w:sz w:val="24"/>
          <w:szCs w:val="24"/>
        </w:rPr>
        <w:t>-</w:t>
      </w:r>
      <w:r w:rsidRPr="00F83367">
        <w:rPr>
          <w:color w:val="000000"/>
          <w:spacing w:val="-8"/>
          <w:sz w:val="24"/>
          <w:szCs w:val="24"/>
        </w:rPr>
        <w:tab/>
        <w:t>Dextran 40,</w:t>
      </w:r>
    </w:p>
    <w:p w14:paraId="7CC76CB3" w14:textId="77777777" w:rsidR="00F36616" w:rsidRPr="00F83367" w:rsidRDefault="00F36616" w:rsidP="00F36616">
      <w:pPr>
        <w:tabs>
          <w:tab w:val="left" w:pos="1418"/>
        </w:tabs>
        <w:ind w:left="1418" w:hanging="284"/>
        <w:textAlignment w:val="baseline"/>
        <w:rPr>
          <w:color w:val="000000"/>
          <w:spacing w:val="-4"/>
          <w:sz w:val="24"/>
          <w:szCs w:val="24"/>
        </w:rPr>
      </w:pPr>
      <w:r w:rsidRPr="00F83367">
        <w:rPr>
          <w:color w:val="000000"/>
          <w:spacing w:val="-4"/>
          <w:sz w:val="24"/>
          <w:szCs w:val="24"/>
        </w:rPr>
        <w:t>-</w:t>
      </w:r>
      <w:r w:rsidRPr="00F83367">
        <w:rPr>
          <w:color w:val="000000"/>
          <w:spacing w:val="-4"/>
          <w:sz w:val="24"/>
          <w:szCs w:val="24"/>
        </w:rPr>
        <w:tab/>
        <w:t>Systemiske glukokortikoider.</w:t>
      </w:r>
    </w:p>
    <w:p w14:paraId="09A1F861" w14:textId="77777777" w:rsidR="00F36616" w:rsidRPr="00F83367" w:rsidRDefault="00F36616" w:rsidP="00F36616">
      <w:pPr>
        <w:tabs>
          <w:tab w:val="left" w:pos="1080"/>
          <w:tab w:val="left" w:pos="1134"/>
        </w:tabs>
        <w:ind w:left="851"/>
        <w:textAlignment w:val="baseline"/>
        <w:rPr>
          <w:sz w:val="24"/>
          <w:szCs w:val="24"/>
        </w:rPr>
      </w:pPr>
    </w:p>
    <w:p w14:paraId="25C263B4" w14:textId="77777777" w:rsidR="00F36616" w:rsidRPr="00F83367" w:rsidRDefault="00F36616" w:rsidP="00F36616">
      <w:pPr>
        <w:numPr>
          <w:ilvl w:val="0"/>
          <w:numId w:val="18"/>
        </w:numPr>
        <w:tabs>
          <w:tab w:val="left" w:pos="1134"/>
        </w:tabs>
        <w:ind w:left="851" w:firstLine="0"/>
        <w:textAlignment w:val="baseline"/>
        <w:rPr>
          <w:i/>
          <w:color w:val="000000"/>
          <w:sz w:val="24"/>
          <w:szCs w:val="24"/>
        </w:rPr>
      </w:pPr>
      <w:r w:rsidRPr="00F83367">
        <w:rPr>
          <w:i/>
          <w:color w:val="000000"/>
          <w:sz w:val="24"/>
          <w:szCs w:val="24"/>
        </w:rPr>
        <w:t>Lægemidler, der øger kaliumkoncentrationen:</w:t>
      </w:r>
    </w:p>
    <w:p w14:paraId="2D77A84A" w14:textId="77777777" w:rsidR="00F36616" w:rsidRPr="00F83367" w:rsidRDefault="00F36616" w:rsidP="00F36616">
      <w:pPr>
        <w:tabs>
          <w:tab w:val="left" w:pos="1134"/>
          <w:tab w:val="left" w:pos="9072"/>
        </w:tabs>
        <w:ind w:left="851"/>
        <w:textAlignment w:val="baseline"/>
        <w:rPr>
          <w:color w:val="000000"/>
          <w:sz w:val="24"/>
          <w:szCs w:val="24"/>
        </w:rPr>
      </w:pPr>
      <w:r w:rsidRPr="00F83367">
        <w:rPr>
          <w:color w:val="000000"/>
          <w:sz w:val="24"/>
          <w:szCs w:val="24"/>
        </w:rPr>
        <w:t>Lægemidler, der øger serumkalium, kan administreres samtidig med enoxaparinnatrium under omhyggelig klinisk og laboratoriemæssig overvågning (se pkt. 4.4. og 4.8).</w:t>
      </w:r>
    </w:p>
    <w:p w14:paraId="54A2F77F" w14:textId="77777777" w:rsidR="000C25F4" w:rsidRPr="00F83367" w:rsidRDefault="000C25F4" w:rsidP="000C25F4">
      <w:pPr>
        <w:tabs>
          <w:tab w:val="left" w:pos="851"/>
        </w:tabs>
        <w:ind w:left="851"/>
        <w:rPr>
          <w:sz w:val="24"/>
          <w:szCs w:val="24"/>
        </w:rPr>
      </w:pPr>
    </w:p>
    <w:p w14:paraId="0AFDABBD" w14:textId="419A9644" w:rsidR="000C25F4" w:rsidRPr="00F83367" w:rsidRDefault="000C25F4" w:rsidP="000C25F4">
      <w:pPr>
        <w:tabs>
          <w:tab w:val="left" w:pos="851"/>
        </w:tabs>
        <w:ind w:left="851" w:hanging="851"/>
        <w:rPr>
          <w:b/>
          <w:sz w:val="24"/>
          <w:szCs w:val="24"/>
        </w:rPr>
      </w:pPr>
      <w:r w:rsidRPr="00F83367">
        <w:rPr>
          <w:b/>
          <w:sz w:val="24"/>
          <w:szCs w:val="24"/>
        </w:rPr>
        <w:t>4.6</w:t>
      </w:r>
      <w:r w:rsidRPr="00F83367">
        <w:rPr>
          <w:b/>
          <w:sz w:val="24"/>
          <w:szCs w:val="24"/>
        </w:rPr>
        <w:tab/>
      </w:r>
      <w:r w:rsidR="00F36616" w:rsidRPr="00F83367">
        <w:rPr>
          <w:b/>
          <w:sz w:val="24"/>
          <w:szCs w:val="24"/>
        </w:rPr>
        <w:t>Fertilitet, g</w:t>
      </w:r>
      <w:r w:rsidRPr="00F83367">
        <w:rPr>
          <w:b/>
          <w:sz w:val="24"/>
          <w:szCs w:val="24"/>
        </w:rPr>
        <w:t>raviditet og amning</w:t>
      </w:r>
    </w:p>
    <w:p w14:paraId="29D37163" w14:textId="77777777" w:rsidR="00F36616" w:rsidRPr="00F83367" w:rsidRDefault="00F36616" w:rsidP="00F36616">
      <w:pPr>
        <w:pStyle w:val="Default"/>
        <w:tabs>
          <w:tab w:val="left" w:pos="567"/>
        </w:tabs>
      </w:pPr>
    </w:p>
    <w:p w14:paraId="2FB1A368" w14:textId="77777777" w:rsidR="00F36616" w:rsidRPr="00485998" w:rsidRDefault="00F36616" w:rsidP="00F36616">
      <w:pPr>
        <w:pStyle w:val="Default"/>
        <w:ind w:left="851"/>
        <w:outlineLvl w:val="0"/>
        <w:rPr>
          <w:u w:val="single"/>
        </w:rPr>
      </w:pPr>
      <w:r w:rsidRPr="00485998">
        <w:rPr>
          <w:u w:val="single"/>
        </w:rPr>
        <w:t>Graviditet</w:t>
      </w:r>
    </w:p>
    <w:p w14:paraId="4CD68859" w14:textId="77777777" w:rsidR="00F36616" w:rsidRDefault="00F36616" w:rsidP="00F36616">
      <w:pPr>
        <w:pStyle w:val="Default"/>
        <w:ind w:left="851"/>
      </w:pPr>
      <w:r>
        <w:t>Der er ingen evidens for, at enoxaparin passerer placentabarrieren i andet og tredje trimester hos mennesker. Der foreligger ingen information om første trimester.</w:t>
      </w:r>
    </w:p>
    <w:p w14:paraId="5D39A7AE" w14:textId="77777777" w:rsidR="00F36616" w:rsidRDefault="00F36616" w:rsidP="00F36616">
      <w:pPr>
        <w:pStyle w:val="Default"/>
        <w:ind w:left="851"/>
      </w:pPr>
      <w:r>
        <w:t>Dyrestudier har ikke påvist evidens for føtotoksicitet eller teratogenicitet (se pkt. 5.3). Dyrestudier har vist, at enoxaparins passage over placenta er minimal.</w:t>
      </w:r>
    </w:p>
    <w:p w14:paraId="07E2A6E4" w14:textId="77777777" w:rsidR="00F36616" w:rsidRDefault="00F36616" w:rsidP="00F36616">
      <w:pPr>
        <w:pStyle w:val="Default"/>
        <w:ind w:left="851"/>
      </w:pPr>
      <w:r>
        <w:lastRenderedPageBreak/>
        <w:t>Enoxaparinnatrium bør kun anvendes under graviditet, hvis lægen har fastlagt et klart behov.</w:t>
      </w:r>
    </w:p>
    <w:p w14:paraId="1D2922CA" w14:textId="77777777" w:rsidR="00F36616" w:rsidRDefault="00F36616" w:rsidP="00F36616">
      <w:pPr>
        <w:pStyle w:val="Default"/>
        <w:ind w:left="851"/>
      </w:pPr>
    </w:p>
    <w:p w14:paraId="4E286E6E" w14:textId="77777777" w:rsidR="00F36616" w:rsidRDefault="00F36616" w:rsidP="00F36616">
      <w:pPr>
        <w:pStyle w:val="Default"/>
        <w:ind w:left="851"/>
      </w:pPr>
      <w:r>
        <w:t>Gravide kvinder, der får enoxaparinnatrium, bør monitoreres tæt for tegn på blødning eller overdreven antikoagulation og bør advares om risikoen for blødning. Overordnet set antyder data, at der ikke er en øget risiko for blødning, trombocytopeni eller osteoporose sammenlignet med den observerede risiko hos ikke-gravide kvinder, på nær den øgede risiko hos gravide kvinder med hjerteklapprotese (se pkt. 4.4).</w:t>
      </w:r>
    </w:p>
    <w:p w14:paraId="00216402" w14:textId="77777777" w:rsidR="00F36616" w:rsidRDefault="00F36616" w:rsidP="00F36616">
      <w:pPr>
        <w:pStyle w:val="Default"/>
        <w:ind w:left="851"/>
      </w:pPr>
    </w:p>
    <w:p w14:paraId="1C063F60" w14:textId="77777777" w:rsidR="00F36616" w:rsidRPr="00485998" w:rsidRDefault="00F36616" w:rsidP="00F36616">
      <w:pPr>
        <w:pStyle w:val="Default"/>
        <w:ind w:left="851"/>
      </w:pPr>
      <w:r>
        <w:t>Hvis der er planlagt epiduralanæstesi, anbefales det at seponere enoxaparin før anæstesien (se pkt. 4.4)</w:t>
      </w:r>
      <w:r w:rsidRPr="00485998">
        <w:t>).</w:t>
      </w:r>
    </w:p>
    <w:p w14:paraId="465440D0" w14:textId="77777777" w:rsidR="00F36616" w:rsidRPr="00485998" w:rsidRDefault="00F36616" w:rsidP="00D57DDA">
      <w:pPr>
        <w:pStyle w:val="Default"/>
      </w:pPr>
    </w:p>
    <w:p w14:paraId="194C1E7D" w14:textId="77777777" w:rsidR="00F36616" w:rsidRPr="00485998" w:rsidRDefault="00F36616" w:rsidP="00F36616">
      <w:pPr>
        <w:pStyle w:val="Default"/>
        <w:ind w:left="851"/>
        <w:outlineLvl w:val="0"/>
        <w:rPr>
          <w:u w:val="single"/>
        </w:rPr>
      </w:pPr>
      <w:r w:rsidRPr="00485998">
        <w:rPr>
          <w:u w:val="single"/>
        </w:rPr>
        <w:t>Amning</w:t>
      </w:r>
    </w:p>
    <w:p w14:paraId="183A4F6B" w14:textId="77777777" w:rsidR="00F36616" w:rsidRPr="00485998" w:rsidRDefault="00F36616" w:rsidP="00F36616">
      <w:pPr>
        <w:pStyle w:val="Default"/>
        <w:ind w:left="851"/>
      </w:pPr>
      <w:r w:rsidRPr="00485998">
        <w:t xml:space="preserve">Det </w:t>
      </w:r>
      <w:r>
        <w:t>vides ikke</w:t>
      </w:r>
      <w:r w:rsidRPr="00485998">
        <w:t xml:space="preserve">, om uomdannet enoxaparin udskilles i human mælk. Hos diegivende rotter er </w:t>
      </w:r>
      <w:r>
        <w:t xml:space="preserve">koncentrationen </w:t>
      </w:r>
      <w:r w:rsidRPr="00485998">
        <w:t xml:space="preserve">af enoxaparin </w:t>
      </w:r>
      <w:r>
        <w:t>og</w:t>
      </w:r>
      <w:r w:rsidRPr="00485998">
        <w:t xml:space="preserve"> dets metabolitter i mælken meget lav. Oral absorption af enoxaparin er usandsynlig. </w:t>
      </w:r>
      <w:r>
        <w:t>Ghemaxan</w:t>
      </w:r>
      <w:r w:rsidRPr="00485998">
        <w:t xml:space="preserve"> kan anvendes under am</w:t>
      </w:r>
      <w:r>
        <w:t>meperioden</w:t>
      </w:r>
      <w:r w:rsidRPr="00485998">
        <w:t>.</w:t>
      </w:r>
    </w:p>
    <w:p w14:paraId="10058395" w14:textId="77777777" w:rsidR="00F36616" w:rsidRPr="00485998" w:rsidRDefault="00F36616" w:rsidP="00F36616">
      <w:pPr>
        <w:pStyle w:val="Default"/>
        <w:ind w:left="851"/>
      </w:pPr>
    </w:p>
    <w:p w14:paraId="3E959816" w14:textId="77777777" w:rsidR="00F36616" w:rsidRPr="00485998" w:rsidRDefault="00F36616" w:rsidP="00F36616">
      <w:pPr>
        <w:pStyle w:val="Default"/>
        <w:ind w:left="851"/>
        <w:outlineLvl w:val="0"/>
        <w:rPr>
          <w:u w:val="single"/>
        </w:rPr>
      </w:pPr>
      <w:r w:rsidRPr="00485998">
        <w:rPr>
          <w:u w:val="single"/>
        </w:rPr>
        <w:t>Fertilitet</w:t>
      </w:r>
    </w:p>
    <w:p w14:paraId="0BF85D3C" w14:textId="77777777" w:rsidR="00F36616" w:rsidRPr="00C84483" w:rsidRDefault="00F36616" w:rsidP="00F36616">
      <w:pPr>
        <w:pStyle w:val="Default"/>
        <w:ind w:left="851"/>
      </w:pPr>
      <w:r w:rsidRPr="00485998">
        <w:t xml:space="preserve">Der </w:t>
      </w:r>
      <w:r>
        <w:t>foreligg</w:t>
      </w:r>
      <w:r w:rsidRPr="00485998">
        <w:t xml:space="preserve">er ingen kliniske data </w:t>
      </w:r>
      <w:r>
        <w:t>for</w:t>
      </w:r>
      <w:r w:rsidRPr="00485998">
        <w:t xml:space="preserve"> enoxaparinnatrium </w:t>
      </w:r>
      <w:r>
        <w:t>v</w:t>
      </w:r>
      <w:r w:rsidRPr="00B51F8C">
        <w:t>edrørende</w:t>
      </w:r>
      <w:r w:rsidRPr="00485998">
        <w:t xml:space="preserve"> fertilitet. Dyrestudier vis</w:t>
      </w:r>
      <w:r>
        <w:t>er</w:t>
      </w:r>
      <w:r w:rsidRPr="00485998">
        <w:t xml:space="preserve"> ingen indvirkning på fertilitet (se pkt. 5.3).</w:t>
      </w:r>
    </w:p>
    <w:p w14:paraId="1864BDDF" w14:textId="77777777" w:rsidR="000C25F4" w:rsidRPr="00F83367" w:rsidRDefault="000C25F4" w:rsidP="000C25F4">
      <w:pPr>
        <w:tabs>
          <w:tab w:val="left" w:pos="851"/>
        </w:tabs>
        <w:ind w:left="851"/>
        <w:rPr>
          <w:sz w:val="24"/>
          <w:szCs w:val="24"/>
        </w:rPr>
      </w:pPr>
    </w:p>
    <w:p w14:paraId="5F5FDC46" w14:textId="12EA5B4F" w:rsidR="000C25F4" w:rsidRPr="00F83367" w:rsidRDefault="000C25F4" w:rsidP="00F36616">
      <w:pPr>
        <w:tabs>
          <w:tab w:val="left" w:pos="851"/>
        </w:tabs>
        <w:ind w:left="851" w:hanging="851"/>
        <w:rPr>
          <w:b/>
          <w:sz w:val="24"/>
          <w:szCs w:val="24"/>
        </w:rPr>
      </w:pPr>
      <w:r w:rsidRPr="00F83367">
        <w:rPr>
          <w:b/>
          <w:sz w:val="24"/>
          <w:szCs w:val="24"/>
        </w:rPr>
        <w:t>4.7</w:t>
      </w:r>
      <w:r w:rsidRPr="00F83367">
        <w:rPr>
          <w:b/>
          <w:sz w:val="24"/>
          <w:szCs w:val="24"/>
        </w:rPr>
        <w:tab/>
        <w:t xml:space="preserve">Virkning på evnen til at føre motorkøretøj </w:t>
      </w:r>
      <w:r w:rsidR="00037883">
        <w:rPr>
          <w:b/>
          <w:sz w:val="24"/>
          <w:szCs w:val="24"/>
        </w:rPr>
        <w:t>og</w:t>
      </w:r>
      <w:r w:rsidRPr="00F83367">
        <w:rPr>
          <w:b/>
          <w:sz w:val="24"/>
          <w:szCs w:val="24"/>
        </w:rPr>
        <w:t xml:space="preserve"> betjene maskiner</w:t>
      </w:r>
    </w:p>
    <w:p w14:paraId="7B926595" w14:textId="77777777" w:rsidR="000C25F4" w:rsidRPr="00F83367" w:rsidRDefault="000C25F4" w:rsidP="000C25F4">
      <w:pPr>
        <w:pStyle w:val="Default"/>
        <w:ind w:left="851"/>
      </w:pPr>
      <w:r w:rsidRPr="00F83367">
        <w:t>Enoxaparinnatrium påvirker ikke eller kun i ubetydelig grad evnen til at føre motorkøretøj og betjene maskiner.</w:t>
      </w:r>
    </w:p>
    <w:p w14:paraId="46594327" w14:textId="77777777" w:rsidR="00D57DDA" w:rsidRPr="00C84483" w:rsidRDefault="00D57DDA" w:rsidP="000C25F4">
      <w:pPr>
        <w:tabs>
          <w:tab w:val="left" w:pos="851"/>
        </w:tabs>
        <w:ind w:left="851"/>
      </w:pPr>
    </w:p>
    <w:p w14:paraId="2AC9C0FA" w14:textId="77777777" w:rsidR="000C25F4" w:rsidRPr="00F83367" w:rsidRDefault="000C25F4" w:rsidP="000C25F4">
      <w:pPr>
        <w:tabs>
          <w:tab w:val="left" w:pos="851"/>
        </w:tabs>
        <w:ind w:left="851" w:hanging="851"/>
        <w:rPr>
          <w:b/>
          <w:sz w:val="24"/>
          <w:szCs w:val="24"/>
        </w:rPr>
      </w:pPr>
      <w:r w:rsidRPr="00F83367">
        <w:rPr>
          <w:b/>
          <w:sz w:val="24"/>
          <w:szCs w:val="24"/>
        </w:rPr>
        <w:t>4.8</w:t>
      </w:r>
      <w:r w:rsidRPr="00F83367">
        <w:rPr>
          <w:b/>
          <w:sz w:val="24"/>
          <w:szCs w:val="24"/>
        </w:rPr>
        <w:tab/>
        <w:t>Bivirkninger</w:t>
      </w:r>
    </w:p>
    <w:p w14:paraId="66CC70DC" w14:textId="77777777" w:rsidR="00F36616" w:rsidRPr="00F83367" w:rsidRDefault="00F36616" w:rsidP="00F36616">
      <w:pPr>
        <w:ind w:left="851"/>
        <w:textAlignment w:val="baseline"/>
        <w:rPr>
          <w:color w:val="000000"/>
          <w:sz w:val="24"/>
          <w:szCs w:val="24"/>
          <w:u w:val="single"/>
        </w:rPr>
      </w:pPr>
    </w:p>
    <w:p w14:paraId="4C1291A5"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Resumé af sikkerhedsprofilen</w:t>
      </w:r>
    </w:p>
    <w:p w14:paraId="7F6A4C17" w14:textId="77777777" w:rsidR="00F36616" w:rsidRPr="00F83367" w:rsidRDefault="00F36616" w:rsidP="00F36616">
      <w:pPr>
        <w:ind w:left="851"/>
        <w:textAlignment w:val="baseline"/>
        <w:rPr>
          <w:color w:val="000000"/>
          <w:sz w:val="24"/>
          <w:szCs w:val="24"/>
        </w:rPr>
      </w:pPr>
      <w:r w:rsidRPr="00F83367">
        <w:rPr>
          <w:color w:val="000000"/>
          <w:sz w:val="24"/>
          <w:szCs w:val="24"/>
        </w:rPr>
        <w:t>Enoxaparinnatrium blev evalueret hos flere end 15.000 patienter, der fik enoxaparinnatrium i kliniske studier, udført med et referenceprodukt. Studierne inkluderede 1.776 patienter med risiko for tromboemboliske komplikationer, der fik enoxaparinnatrium profylaktisk mod dyb venetrombose efter ortopædisk eller abdominal operation, 1.169 akut syge medicinske patienter med svært nedsat mobilitet, der fik enoxaparinnatrium profylaktisk mod dyb venetrombose, 559 patienter, der fik enoxaparin til behandling af DVT med eller uden lungeemboli, 1.578 patienter, der fik enoxaparinnatrium til behandling af ustabil angina pectoris eller myokardieinfarkt uden Q-taksudvikling, og 10.176 patienter, der fik enoxaparin til behandling af akut STEMI.</w:t>
      </w:r>
    </w:p>
    <w:p w14:paraId="2BF616CD" w14:textId="77777777" w:rsidR="00F36616" w:rsidRPr="00F83367" w:rsidRDefault="00F36616" w:rsidP="00F36616">
      <w:pPr>
        <w:ind w:left="851"/>
        <w:textAlignment w:val="baseline"/>
        <w:rPr>
          <w:color w:val="000000"/>
          <w:sz w:val="24"/>
          <w:szCs w:val="24"/>
        </w:rPr>
      </w:pPr>
    </w:p>
    <w:p w14:paraId="1AD58779" w14:textId="77777777" w:rsidR="00F36616" w:rsidRPr="00F83367" w:rsidRDefault="00F36616" w:rsidP="00F36616">
      <w:pPr>
        <w:ind w:left="851"/>
        <w:textAlignment w:val="baseline"/>
        <w:rPr>
          <w:color w:val="000000"/>
          <w:sz w:val="24"/>
          <w:szCs w:val="24"/>
        </w:rPr>
      </w:pPr>
      <w:r w:rsidRPr="00F83367">
        <w:rPr>
          <w:color w:val="000000"/>
          <w:sz w:val="24"/>
          <w:szCs w:val="24"/>
        </w:rPr>
        <w:t>Doseringsregimet af enoxaparinnatrium administreret i disse kliniske studier varierede afhængigt af indikationen. Dosis var 4.000 IE (40 mg) enoxaparinnatrium subkutant en gang dagligt som profylaktisk behandling af DVT efter kirurgi og hos akut syge medicinske patienter med svært nedsat mobilitet. Ved behandling af DVT med eller uden lungeemboli fik patienterne enten 100 IE/kg</w:t>
      </w:r>
    </w:p>
    <w:p w14:paraId="0CBAEE00" w14:textId="77777777" w:rsidR="00F36616" w:rsidRPr="00F83367" w:rsidRDefault="00F36616" w:rsidP="00F36616">
      <w:pPr>
        <w:ind w:left="851"/>
        <w:textAlignment w:val="baseline"/>
        <w:rPr>
          <w:color w:val="000000"/>
          <w:sz w:val="24"/>
          <w:szCs w:val="24"/>
        </w:rPr>
      </w:pPr>
      <w:r w:rsidRPr="00F83367">
        <w:rPr>
          <w:color w:val="000000"/>
          <w:sz w:val="24"/>
          <w:szCs w:val="24"/>
        </w:rPr>
        <w:t>(1 mg/kg) enoxaparinnatrium subkutant hver 12. time eller 150 IE/kg (1,5 mg/kg) subkutant en gang dagligt. I det kliniske studie med behandling af ustabil angina pectoris og myokardieinfarkt uden Q- taksudvikling var dosis 100 IE/kg (1 mg/kg) subkutant hver 12. time, og i det kliniske studie til behandling af akut STEMI var doseringsregimet 3.000 IE (30 mg) enoxaparinnatrium som intravenøs bolus efterfulgt af 100 IE/kg (1 mg/kg) subkutant hver 12. time.</w:t>
      </w:r>
    </w:p>
    <w:p w14:paraId="7A491C96" w14:textId="77777777" w:rsidR="00F36616" w:rsidRPr="00F83367" w:rsidRDefault="00F36616" w:rsidP="00F36616">
      <w:pPr>
        <w:ind w:left="851"/>
        <w:textAlignment w:val="baseline"/>
        <w:rPr>
          <w:color w:val="000000"/>
          <w:sz w:val="24"/>
          <w:szCs w:val="24"/>
        </w:rPr>
      </w:pPr>
    </w:p>
    <w:p w14:paraId="61DA953C" w14:textId="43BD92CE" w:rsidR="00F36616" w:rsidRDefault="00F36616" w:rsidP="00F36616">
      <w:pPr>
        <w:ind w:left="851"/>
        <w:textAlignment w:val="baseline"/>
        <w:rPr>
          <w:color w:val="000000"/>
          <w:spacing w:val="-2"/>
          <w:sz w:val="24"/>
          <w:szCs w:val="24"/>
        </w:rPr>
      </w:pPr>
      <w:r w:rsidRPr="00F83367">
        <w:rPr>
          <w:color w:val="000000"/>
          <w:sz w:val="24"/>
          <w:szCs w:val="24"/>
        </w:rPr>
        <w:lastRenderedPageBreak/>
        <w:t>I kliniske studier var blødning, trombocytopeni og trombocytose de hyppigst rapporterede bivirkninger (se pkt. 4.4 og ”Beskrivelse af udvalgte bivirkninger” nedenfor</w:t>
      </w:r>
      <w:r w:rsidRPr="00F83367">
        <w:rPr>
          <w:color w:val="000000"/>
          <w:spacing w:val="-2"/>
          <w:sz w:val="24"/>
          <w:szCs w:val="24"/>
        </w:rPr>
        <w:t>).</w:t>
      </w:r>
    </w:p>
    <w:p w14:paraId="5AB5D003" w14:textId="0BF9E181" w:rsidR="00037883" w:rsidRDefault="00037883" w:rsidP="00F36616">
      <w:pPr>
        <w:ind w:left="851"/>
        <w:textAlignment w:val="baseline"/>
        <w:rPr>
          <w:color w:val="000000"/>
          <w:spacing w:val="-2"/>
          <w:sz w:val="24"/>
          <w:szCs w:val="24"/>
        </w:rPr>
      </w:pPr>
    </w:p>
    <w:p w14:paraId="6BA54370" w14:textId="77777777" w:rsidR="00037883" w:rsidRDefault="00037883" w:rsidP="00037883">
      <w:pPr>
        <w:ind w:left="851"/>
        <w:textAlignment w:val="baseline"/>
        <w:rPr>
          <w:color w:val="000000"/>
          <w:spacing w:val="-2"/>
          <w:sz w:val="24"/>
          <w:szCs w:val="24"/>
        </w:rPr>
      </w:pPr>
      <w:r>
        <w:rPr>
          <w:color w:val="000000"/>
          <w:spacing w:val="-2"/>
          <w:sz w:val="24"/>
          <w:szCs w:val="24"/>
        </w:rPr>
        <w:t>Enoxaparins sikkerhedsprofil til udvidet behandling af DVT og PE hos patienter med aktiv cancer svarer til dets sikkerhedsprofil til behandling af DVT og PE.</w:t>
      </w:r>
    </w:p>
    <w:p w14:paraId="522A7462" w14:textId="77777777" w:rsidR="00F83367" w:rsidRPr="00F83367" w:rsidRDefault="00F83367" w:rsidP="00F83367">
      <w:pPr>
        <w:ind w:left="851"/>
        <w:textAlignment w:val="baseline"/>
        <w:rPr>
          <w:color w:val="000000"/>
          <w:spacing w:val="-2"/>
          <w:sz w:val="24"/>
          <w:szCs w:val="24"/>
        </w:rPr>
      </w:pPr>
    </w:p>
    <w:p w14:paraId="41BFBA41" w14:textId="77777777" w:rsidR="00F83367" w:rsidRPr="00F83367" w:rsidRDefault="00F83367" w:rsidP="00F83367">
      <w:pPr>
        <w:ind w:left="851"/>
        <w:textAlignment w:val="baseline"/>
        <w:rPr>
          <w:color w:val="000000"/>
          <w:spacing w:val="-2"/>
          <w:sz w:val="24"/>
          <w:szCs w:val="24"/>
        </w:rPr>
      </w:pPr>
      <w:r w:rsidRPr="00F83367">
        <w:rPr>
          <w:color w:val="000000"/>
          <w:spacing w:val="-2"/>
          <w:sz w:val="24"/>
          <w:szCs w:val="24"/>
        </w:rPr>
        <w:t>Akut generaliseret eksantematøs pustulose (AGEP) er blevet rapporteret i forbindelse med enoxaparinbehandling (se pkt. 4.4).</w:t>
      </w:r>
    </w:p>
    <w:p w14:paraId="199C0A9F" w14:textId="77777777" w:rsidR="00F36616" w:rsidRPr="00F83367" w:rsidRDefault="00F36616" w:rsidP="00F36616">
      <w:pPr>
        <w:ind w:left="851" w:right="360"/>
        <w:textAlignment w:val="baseline"/>
        <w:rPr>
          <w:color w:val="000000"/>
          <w:spacing w:val="-2"/>
          <w:sz w:val="24"/>
          <w:szCs w:val="24"/>
        </w:rPr>
      </w:pPr>
    </w:p>
    <w:p w14:paraId="125037DA" w14:textId="77777777" w:rsidR="00F36616" w:rsidRPr="00F83367" w:rsidRDefault="00F36616" w:rsidP="00F36616">
      <w:pPr>
        <w:ind w:left="851"/>
        <w:textAlignment w:val="baseline"/>
        <w:outlineLvl w:val="0"/>
        <w:rPr>
          <w:color w:val="000000"/>
          <w:spacing w:val="-1"/>
          <w:sz w:val="24"/>
          <w:szCs w:val="24"/>
          <w:u w:val="single"/>
        </w:rPr>
      </w:pPr>
      <w:r w:rsidRPr="00F83367">
        <w:rPr>
          <w:color w:val="000000"/>
          <w:spacing w:val="-1"/>
          <w:sz w:val="24"/>
          <w:szCs w:val="24"/>
          <w:u w:val="single"/>
        </w:rPr>
        <w:t xml:space="preserve">Tabel over bivirkninger </w:t>
      </w:r>
    </w:p>
    <w:p w14:paraId="2A7B619D" w14:textId="092823CD" w:rsidR="00F36616" w:rsidRDefault="00F36616" w:rsidP="00F36616">
      <w:pPr>
        <w:pStyle w:val="Default"/>
        <w:ind w:left="851"/>
      </w:pPr>
      <w:r w:rsidRPr="00F83367">
        <w:t>Andre bivirkninger, der blev observeret i kliniske studier eller indberettet efter markedsføringen (* betegner bivirkninger indberettet efter markedsføring) er anført nedenfor.</w:t>
      </w:r>
    </w:p>
    <w:p w14:paraId="63F21709" w14:textId="77777777" w:rsidR="0014694F" w:rsidRPr="00F83367" w:rsidRDefault="0014694F" w:rsidP="00F36616">
      <w:pPr>
        <w:pStyle w:val="Default"/>
        <w:ind w:left="851"/>
      </w:pPr>
    </w:p>
    <w:p w14:paraId="5A5C9F72" w14:textId="77777777" w:rsidR="00F36616" w:rsidRPr="00F83367" w:rsidRDefault="00F36616" w:rsidP="00F36616">
      <w:pPr>
        <w:ind w:left="851"/>
        <w:textAlignment w:val="baseline"/>
        <w:rPr>
          <w:color w:val="000000"/>
          <w:sz w:val="24"/>
          <w:szCs w:val="24"/>
        </w:rPr>
      </w:pPr>
      <w:r w:rsidRPr="00F83367">
        <w:rPr>
          <w:sz w:val="24"/>
          <w:szCs w:val="24"/>
        </w:rPr>
        <w:t>Hyppigheden er defineret på følgende måde: meget almindelig (</w:t>
      </w:r>
      <w:r w:rsidRPr="00F83367">
        <w:rPr>
          <w:sz w:val="24"/>
          <w:szCs w:val="24"/>
          <w:cs/>
        </w:rPr>
        <w:t xml:space="preserve">≥ </w:t>
      </w:r>
      <w:r w:rsidRPr="00F83367">
        <w:rPr>
          <w:sz w:val="24"/>
          <w:szCs w:val="24"/>
        </w:rPr>
        <w:t>1/10), almindelig (</w:t>
      </w:r>
      <w:r w:rsidRPr="00F83367">
        <w:rPr>
          <w:sz w:val="24"/>
          <w:szCs w:val="24"/>
          <w:cs/>
        </w:rPr>
        <w:t xml:space="preserve">≥ </w:t>
      </w:r>
      <w:r w:rsidRPr="00F83367">
        <w:rPr>
          <w:sz w:val="24"/>
          <w:szCs w:val="24"/>
        </w:rPr>
        <w:t>1/100 til &lt; 1/10), ikke almindelig (</w:t>
      </w:r>
      <w:r w:rsidRPr="00F83367">
        <w:rPr>
          <w:sz w:val="24"/>
          <w:szCs w:val="24"/>
          <w:cs/>
        </w:rPr>
        <w:t xml:space="preserve">≥ </w:t>
      </w:r>
      <w:r w:rsidRPr="00F83367">
        <w:rPr>
          <w:sz w:val="24"/>
          <w:szCs w:val="24"/>
        </w:rPr>
        <w:t>1/1.000 til &lt; 1/100), sjælden (</w:t>
      </w:r>
      <w:r w:rsidRPr="00F83367">
        <w:rPr>
          <w:sz w:val="24"/>
          <w:szCs w:val="24"/>
          <w:cs/>
        </w:rPr>
        <w:t xml:space="preserve">≥ </w:t>
      </w:r>
      <w:r w:rsidRPr="00F83367">
        <w:rPr>
          <w:sz w:val="24"/>
          <w:szCs w:val="24"/>
        </w:rPr>
        <w:t xml:space="preserve">1/10.000 til &lt; 1/1.000), meget sjælden (&lt; 1/10.000), ikke kendt (kan ikke estimeres ud fra forhåndenværende data). </w:t>
      </w:r>
      <w:r w:rsidRPr="00F83367">
        <w:rPr>
          <w:color w:val="000000"/>
          <w:sz w:val="24"/>
          <w:szCs w:val="24"/>
        </w:rPr>
        <w:t>Inden for hver systemorganklasse er bivirkningerne opstillet efter, hvor alvorlige de er. De alvorligste bivirkninger er anført først.</w:t>
      </w:r>
    </w:p>
    <w:p w14:paraId="2E5DC955" w14:textId="77777777" w:rsidR="00F36616" w:rsidRPr="00485998" w:rsidRDefault="00F36616" w:rsidP="00F36616">
      <w:pPr>
        <w:ind w:left="851"/>
        <w:textAlignment w:val="baseline"/>
        <w:rPr>
          <w:color w:val="000000"/>
        </w:rPr>
      </w:pPr>
    </w:p>
    <w:p w14:paraId="5F019174" w14:textId="77777777" w:rsidR="00F36616" w:rsidRPr="00F83367" w:rsidRDefault="00F36616" w:rsidP="00F36616">
      <w:pPr>
        <w:ind w:left="851"/>
        <w:textAlignment w:val="baseline"/>
        <w:outlineLvl w:val="0"/>
        <w:rPr>
          <w:i/>
          <w:color w:val="000000"/>
          <w:spacing w:val="-1"/>
          <w:sz w:val="24"/>
          <w:szCs w:val="24"/>
        </w:rPr>
      </w:pPr>
      <w:r w:rsidRPr="00F83367">
        <w:rPr>
          <w:i/>
          <w:color w:val="000000"/>
          <w:spacing w:val="-1"/>
          <w:sz w:val="24"/>
          <w:szCs w:val="24"/>
        </w:rPr>
        <w:t>Blod og lymfesystem</w:t>
      </w:r>
    </w:p>
    <w:p w14:paraId="5A35E53B" w14:textId="77777777" w:rsidR="00F36616" w:rsidRPr="00F83367" w:rsidRDefault="00F36616" w:rsidP="00F36616">
      <w:pPr>
        <w:numPr>
          <w:ilvl w:val="0"/>
          <w:numId w:val="19"/>
        </w:numPr>
        <w:tabs>
          <w:tab w:val="clear" w:pos="-432"/>
          <w:tab w:val="left" w:pos="1134"/>
        </w:tabs>
        <w:ind w:left="1134" w:hanging="283"/>
        <w:textAlignment w:val="baseline"/>
        <w:rPr>
          <w:color w:val="000000"/>
          <w:sz w:val="24"/>
          <w:szCs w:val="24"/>
        </w:rPr>
      </w:pPr>
      <w:r w:rsidRPr="00F83367">
        <w:rPr>
          <w:color w:val="000000"/>
          <w:sz w:val="24"/>
          <w:szCs w:val="24"/>
        </w:rPr>
        <w:t>Almindelig: blødning, hæmoragisk anæmi*, trombocytopeni, trombocytose</w:t>
      </w:r>
    </w:p>
    <w:p w14:paraId="60A7FD52" w14:textId="77777777" w:rsidR="00F36616" w:rsidRPr="00F83367" w:rsidRDefault="00F36616" w:rsidP="00F36616">
      <w:pPr>
        <w:numPr>
          <w:ilvl w:val="0"/>
          <w:numId w:val="19"/>
        </w:numPr>
        <w:tabs>
          <w:tab w:val="clear" w:pos="-432"/>
          <w:tab w:val="left" w:pos="1134"/>
        </w:tabs>
        <w:ind w:left="1134" w:hanging="283"/>
        <w:textAlignment w:val="baseline"/>
        <w:rPr>
          <w:color w:val="000000"/>
          <w:sz w:val="24"/>
          <w:szCs w:val="24"/>
        </w:rPr>
      </w:pPr>
      <w:r w:rsidRPr="00F83367">
        <w:rPr>
          <w:color w:val="000000"/>
          <w:sz w:val="24"/>
          <w:szCs w:val="24"/>
        </w:rPr>
        <w:t>Sjælden: eosinofili*</w:t>
      </w:r>
    </w:p>
    <w:p w14:paraId="27AE1A6B" w14:textId="77777777" w:rsidR="00F36616" w:rsidRPr="00F83367" w:rsidRDefault="00F36616" w:rsidP="00F36616">
      <w:pPr>
        <w:numPr>
          <w:ilvl w:val="0"/>
          <w:numId w:val="19"/>
        </w:numPr>
        <w:tabs>
          <w:tab w:val="clear" w:pos="-432"/>
          <w:tab w:val="left" w:pos="1134"/>
        </w:tabs>
        <w:ind w:left="1134" w:right="216" w:hanging="283"/>
        <w:textAlignment w:val="baseline"/>
        <w:rPr>
          <w:color w:val="000000"/>
          <w:sz w:val="24"/>
          <w:szCs w:val="24"/>
        </w:rPr>
      </w:pPr>
      <w:r w:rsidRPr="00F83367">
        <w:rPr>
          <w:color w:val="000000"/>
          <w:sz w:val="24"/>
          <w:szCs w:val="24"/>
        </w:rPr>
        <w:t>Sjælden: tilfælde af immun-allergisk trombocytopeni med trombose; i nogle af tilfælde blev trombose kompliceret af organinfarkt eller iskæmi i ekstremitet (se pkt. 4.4).</w:t>
      </w:r>
    </w:p>
    <w:p w14:paraId="5D38365D" w14:textId="77777777" w:rsidR="00F36616" w:rsidRPr="00F83367" w:rsidRDefault="00F36616" w:rsidP="00F36616">
      <w:pPr>
        <w:tabs>
          <w:tab w:val="left" w:pos="284"/>
        </w:tabs>
        <w:ind w:left="851" w:right="216"/>
        <w:textAlignment w:val="baseline"/>
        <w:rPr>
          <w:color w:val="000000"/>
          <w:sz w:val="24"/>
          <w:szCs w:val="24"/>
        </w:rPr>
      </w:pPr>
    </w:p>
    <w:p w14:paraId="508A702A" w14:textId="77777777" w:rsidR="00F36616" w:rsidRPr="00F83367" w:rsidRDefault="00F36616" w:rsidP="00F36616">
      <w:pPr>
        <w:ind w:left="851"/>
        <w:textAlignment w:val="baseline"/>
        <w:outlineLvl w:val="0"/>
        <w:rPr>
          <w:i/>
          <w:color w:val="000000"/>
          <w:spacing w:val="-2"/>
          <w:sz w:val="24"/>
          <w:szCs w:val="24"/>
        </w:rPr>
      </w:pPr>
      <w:r w:rsidRPr="00F83367">
        <w:rPr>
          <w:i/>
          <w:color w:val="000000"/>
          <w:spacing w:val="-2"/>
          <w:sz w:val="24"/>
          <w:szCs w:val="24"/>
        </w:rPr>
        <w:t>Immunsystemet</w:t>
      </w:r>
    </w:p>
    <w:p w14:paraId="69FDE80D"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Almindelig: allergisk reaktion</w:t>
      </w:r>
    </w:p>
    <w:p w14:paraId="4CBC3109"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Sjælden: anafylaktiske/anafylaktoide reaktioner inklusive shock*</w:t>
      </w:r>
    </w:p>
    <w:p w14:paraId="6AB1F8D7" w14:textId="77777777" w:rsidR="00F36616" w:rsidRPr="00F83367" w:rsidRDefault="00F36616" w:rsidP="00F36616">
      <w:pPr>
        <w:tabs>
          <w:tab w:val="left" w:pos="284"/>
        </w:tabs>
        <w:ind w:left="851"/>
        <w:textAlignment w:val="baseline"/>
        <w:rPr>
          <w:color w:val="000000"/>
          <w:sz w:val="24"/>
          <w:szCs w:val="24"/>
        </w:rPr>
      </w:pPr>
    </w:p>
    <w:p w14:paraId="48A43063" w14:textId="77777777" w:rsidR="00F36616" w:rsidRPr="00F83367" w:rsidRDefault="00F36616" w:rsidP="00F36616">
      <w:pPr>
        <w:ind w:left="851"/>
        <w:textAlignment w:val="baseline"/>
        <w:outlineLvl w:val="0"/>
        <w:rPr>
          <w:i/>
          <w:color w:val="000000"/>
          <w:spacing w:val="-2"/>
          <w:sz w:val="24"/>
          <w:szCs w:val="24"/>
        </w:rPr>
      </w:pPr>
      <w:r w:rsidRPr="00F83367">
        <w:rPr>
          <w:i/>
          <w:color w:val="000000"/>
          <w:spacing w:val="-2"/>
          <w:sz w:val="24"/>
          <w:szCs w:val="24"/>
        </w:rPr>
        <w:t>Nervesystemet</w:t>
      </w:r>
    </w:p>
    <w:p w14:paraId="5DE12F76"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Almindelig: hovedpine*</w:t>
      </w:r>
    </w:p>
    <w:p w14:paraId="18A2294E" w14:textId="77777777" w:rsidR="00D57DDA" w:rsidRPr="00F83367" w:rsidRDefault="00D57DDA" w:rsidP="00F36616">
      <w:pPr>
        <w:ind w:left="851"/>
        <w:textAlignment w:val="baseline"/>
        <w:rPr>
          <w:i/>
          <w:color w:val="000000"/>
          <w:spacing w:val="-3"/>
          <w:sz w:val="24"/>
          <w:szCs w:val="24"/>
        </w:rPr>
      </w:pPr>
    </w:p>
    <w:p w14:paraId="08400EC5" w14:textId="77777777" w:rsidR="00F36616" w:rsidRPr="00F83367" w:rsidRDefault="00F36616" w:rsidP="00F36616">
      <w:pPr>
        <w:ind w:left="851"/>
        <w:textAlignment w:val="baseline"/>
        <w:outlineLvl w:val="0"/>
        <w:rPr>
          <w:i/>
          <w:color w:val="000000"/>
          <w:spacing w:val="-3"/>
          <w:sz w:val="24"/>
          <w:szCs w:val="24"/>
        </w:rPr>
      </w:pPr>
      <w:r w:rsidRPr="00F83367">
        <w:rPr>
          <w:i/>
          <w:color w:val="000000"/>
          <w:spacing w:val="-3"/>
          <w:sz w:val="24"/>
          <w:szCs w:val="24"/>
        </w:rPr>
        <w:t>Vaskulære sygdomme</w:t>
      </w:r>
    </w:p>
    <w:p w14:paraId="1C834501" w14:textId="77777777" w:rsidR="00F36616" w:rsidRPr="00F83367" w:rsidRDefault="00F36616" w:rsidP="00F36616">
      <w:pPr>
        <w:numPr>
          <w:ilvl w:val="0"/>
          <w:numId w:val="19"/>
        </w:numPr>
        <w:tabs>
          <w:tab w:val="clear" w:pos="-432"/>
          <w:tab w:val="left" w:pos="567"/>
        </w:tabs>
        <w:ind w:left="1134" w:right="432" w:hanging="283"/>
        <w:textAlignment w:val="baseline"/>
        <w:rPr>
          <w:color w:val="000000"/>
          <w:spacing w:val="-1"/>
          <w:sz w:val="24"/>
          <w:szCs w:val="24"/>
        </w:rPr>
      </w:pPr>
      <w:r w:rsidRPr="00F83367">
        <w:rPr>
          <w:color w:val="000000"/>
          <w:spacing w:val="-1"/>
          <w:sz w:val="24"/>
          <w:szCs w:val="24"/>
        </w:rPr>
        <w:t>Sjælden: spinalt hæmatom* (eller neuraksialt hæmatom). Disse reaktioner har resulteret i varierende grader af neurologiske skader, inklusive langvarig eller permanent parese (se pkt. 4.4).</w:t>
      </w:r>
    </w:p>
    <w:p w14:paraId="72FAFBFF" w14:textId="77777777" w:rsidR="00F36616" w:rsidRPr="00F83367" w:rsidRDefault="00F36616" w:rsidP="00F36616">
      <w:pPr>
        <w:ind w:left="851"/>
        <w:textAlignment w:val="baseline"/>
        <w:rPr>
          <w:i/>
          <w:color w:val="000000"/>
          <w:spacing w:val="-2"/>
          <w:sz w:val="24"/>
          <w:szCs w:val="24"/>
        </w:rPr>
      </w:pPr>
    </w:p>
    <w:p w14:paraId="21A24E2A" w14:textId="77777777" w:rsidR="00F36616" w:rsidRPr="00F83367" w:rsidRDefault="00F36616" w:rsidP="00F36616">
      <w:pPr>
        <w:ind w:left="851"/>
        <w:textAlignment w:val="baseline"/>
        <w:outlineLvl w:val="0"/>
        <w:rPr>
          <w:i/>
          <w:color w:val="000000"/>
          <w:spacing w:val="-2"/>
          <w:sz w:val="24"/>
          <w:szCs w:val="24"/>
        </w:rPr>
      </w:pPr>
      <w:r w:rsidRPr="00F83367">
        <w:rPr>
          <w:i/>
          <w:color w:val="000000"/>
          <w:spacing w:val="-2"/>
          <w:sz w:val="24"/>
          <w:szCs w:val="24"/>
        </w:rPr>
        <w:t>Lever og galdeveje</w:t>
      </w:r>
    </w:p>
    <w:p w14:paraId="6A9D63B8" w14:textId="77777777" w:rsidR="00F36616" w:rsidRPr="00F83367" w:rsidRDefault="00F36616" w:rsidP="00F36616">
      <w:pPr>
        <w:numPr>
          <w:ilvl w:val="0"/>
          <w:numId w:val="19"/>
        </w:numPr>
        <w:tabs>
          <w:tab w:val="clear" w:pos="-432"/>
          <w:tab w:val="left" w:pos="567"/>
        </w:tabs>
        <w:ind w:left="1134" w:right="504" w:hanging="283"/>
        <w:textAlignment w:val="baseline"/>
        <w:rPr>
          <w:color w:val="000000"/>
          <w:sz w:val="24"/>
          <w:szCs w:val="24"/>
        </w:rPr>
      </w:pPr>
      <w:r w:rsidRPr="00F83367">
        <w:rPr>
          <w:color w:val="000000"/>
          <w:sz w:val="24"/>
          <w:szCs w:val="24"/>
        </w:rPr>
        <w:t>Meget almindelig: forhøjede leverenzymer (hovedsageligt aminotransferaser</w:t>
      </w:r>
      <w:r w:rsidRPr="00F83367" w:rsidDel="00D02DF1">
        <w:rPr>
          <w:color w:val="000000"/>
          <w:sz w:val="24"/>
          <w:szCs w:val="24"/>
        </w:rPr>
        <w:t xml:space="preserve"> </w:t>
      </w:r>
      <w:r w:rsidRPr="00F83367">
        <w:rPr>
          <w:color w:val="000000"/>
          <w:sz w:val="24"/>
          <w:szCs w:val="24"/>
        </w:rPr>
        <w:t>&gt; 3 gange normal øvre grænse)</w:t>
      </w:r>
    </w:p>
    <w:p w14:paraId="3307681B"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Ikke almindelig: hepatocellulær leverskade*</w:t>
      </w:r>
    </w:p>
    <w:p w14:paraId="3E319A9E"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Sjælden: kolestatisk leverskade*</w:t>
      </w:r>
    </w:p>
    <w:p w14:paraId="10056BD4" w14:textId="77777777" w:rsidR="00F36616" w:rsidRPr="00F83367" w:rsidRDefault="00F36616" w:rsidP="00F36616">
      <w:pPr>
        <w:tabs>
          <w:tab w:val="left" w:pos="0"/>
          <w:tab w:val="left" w:pos="284"/>
        </w:tabs>
        <w:ind w:left="851"/>
        <w:textAlignment w:val="baseline"/>
        <w:rPr>
          <w:color w:val="000000"/>
          <w:sz w:val="24"/>
          <w:szCs w:val="24"/>
        </w:rPr>
      </w:pPr>
    </w:p>
    <w:p w14:paraId="3B0661FB" w14:textId="77777777" w:rsidR="00F36616" w:rsidRPr="00F83367" w:rsidRDefault="00F36616" w:rsidP="00F36616">
      <w:pPr>
        <w:ind w:left="851"/>
        <w:textAlignment w:val="baseline"/>
        <w:outlineLvl w:val="0"/>
        <w:rPr>
          <w:i/>
          <w:color w:val="000000"/>
          <w:spacing w:val="-1"/>
          <w:sz w:val="24"/>
          <w:szCs w:val="24"/>
        </w:rPr>
      </w:pPr>
      <w:r w:rsidRPr="00F83367">
        <w:rPr>
          <w:i/>
          <w:color w:val="000000"/>
          <w:spacing w:val="-1"/>
          <w:sz w:val="24"/>
          <w:szCs w:val="24"/>
        </w:rPr>
        <w:t>Hud og subkutane væv</w:t>
      </w:r>
    </w:p>
    <w:p w14:paraId="7EE9BC56"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Almindelig: urticaria, pruritus, erytem</w:t>
      </w:r>
    </w:p>
    <w:p w14:paraId="67EB2D7F"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Ikke almindelig: bulløs dermatitis</w:t>
      </w:r>
    </w:p>
    <w:p w14:paraId="443D3D86" w14:textId="77777777" w:rsidR="00F36616" w:rsidRPr="00F83367" w:rsidRDefault="00F36616" w:rsidP="00F36616">
      <w:pPr>
        <w:numPr>
          <w:ilvl w:val="0"/>
          <w:numId w:val="19"/>
        </w:numPr>
        <w:tabs>
          <w:tab w:val="clear" w:pos="-432"/>
          <w:tab w:val="left" w:pos="567"/>
        </w:tabs>
        <w:ind w:left="1134" w:hanging="283"/>
        <w:textAlignment w:val="baseline"/>
        <w:rPr>
          <w:color w:val="000000"/>
          <w:sz w:val="24"/>
          <w:szCs w:val="24"/>
        </w:rPr>
      </w:pPr>
      <w:r w:rsidRPr="00F83367">
        <w:rPr>
          <w:color w:val="000000"/>
          <w:sz w:val="24"/>
          <w:szCs w:val="24"/>
        </w:rPr>
        <w:t>Sjælden: alopeci*</w:t>
      </w:r>
    </w:p>
    <w:p w14:paraId="6F4B339E" w14:textId="77777777" w:rsidR="00F83367" w:rsidRPr="00F83367" w:rsidRDefault="00F83367" w:rsidP="00F83367">
      <w:pPr>
        <w:numPr>
          <w:ilvl w:val="0"/>
          <w:numId w:val="19"/>
        </w:numPr>
        <w:tabs>
          <w:tab w:val="left" w:pos="567"/>
        </w:tabs>
        <w:ind w:left="1134" w:right="648" w:hanging="283"/>
        <w:textAlignment w:val="baseline"/>
        <w:rPr>
          <w:color w:val="000000"/>
          <w:sz w:val="24"/>
          <w:szCs w:val="24"/>
        </w:rPr>
      </w:pPr>
      <w:r w:rsidRPr="00F83367">
        <w:rPr>
          <w:color w:val="000000"/>
          <w:sz w:val="24"/>
          <w:szCs w:val="24"/>
        </w:rPr>
        <w:t xml:space="preserve">Sjælden: kutan vaskulitis*, hudnekrose*, der sædvanligvis forekommer på injektionsstedet (disse fænomener forudgås normalt af purpura eller erytematøs </w:t>
      </w:r>
      <w:r w:rsidRPr="00F83367">
        <w:rPr>
          <w:color w:val="000000"/>
          <w:sz w:val="24"/>
          <w:szCs w:val="24"/>
        </w:rPr>
        <w:lastRenderedPageBreak/>
        <w:t xml:space="preserve">plaque, infiltreret og smertefuld). Knuder på injektionsstedet* (inflammatoriske knuder, der ikke var cystisk indkapsling af enoxaparin). De forsvinder efter et par dage og bør ikke forårsage behandlingsafbrydelse. </w:t>
      </w:r>
    </w:p>
    <w:p w14:paraId="330822B2" w14:textId="77777777" w:rsidR="00F83367" w:rsidRPr="00F83367" w:rsidRDefault="00F83367" w:rsidP="00F83367">
      <w:pPr>
        <w:numPr>
          <w:ilvl w:val="0"/>
          <w:numId w:val="19"/>
        </w:numPr>
        <w:tabs>
          <w:tab w:val="left" w:pos="567"/>
        </w:tabs>
        <w:ind w:left="1134" w:right="648" w:hanging="283"/>
        <w:textAlignment w:val="baseline"/>
        <w:rPr>
          <w:color w:val="000000"/>
          <w:sz w:val="24"/>
          <w:szCs w:val="24"/>
        </w:rPr>
      </w:pPr>
      <w:r w:rsidRPr="00F83367">
        <w:rPr>
          <w:color w:val="000000"/>
          <w:sz w:val="24"/>
          <w:szCs w:val="24"/>
        </w:rPr>
        <w:t>Ikke kendt: Akut generaliseret eksantematøs pustulose (AGEP)</w:t>
      </w:r>
    </w:p>
    <w:p w14:paraId="26527D73" w14:textId="77777777" w:rsidR="00F36616" w:rsidRPr="00F83367" w:rsidRDefault="00F36616" w:rsidP="00F36616">
      <w:pPr>
        <w:tabs>
          <w:tab w:val="left" w:pos="284"/>
        </w:tabs>
        <w:ind w:left="851" w:right="288"/>
        <w:textAlignment w:val="baseline"/>
        <w:rPr>
          <w:color w:val="000000"/>
          <w:sz w:val="24"/>
          <w:szCs w:val="24"/>
        </w:rPr>
      </w:pPr>
    </w:p>
    <w:p w14:paraId="45A35974" w14:textId="77777777" w:rsidR="00F36616" w:rsidRPr="00F83367" w:rsidRDefault="00F36616" w:rsidP="00F36616">
      <w:pPr>
        <w:ind w:left="851"/>
        <w:textAlignment w:val="baseline"/>
        <w:outlineLvl w:val="0"/>
        <w:rPr>
          <w:i/>
          <w:color w:val="000000"/>
          <w:spacing w:val="-1"/>
          <w:sz w:val="24"/>
          <w:szCs w:val="24"/>
        </w:rPr>
      </w:pPr>
      <w:r w:rsidRPr="00F83367">
        <w:rPr>
          <w:i/>
          <w:color w:val="000000"/>
          <w:spacing w:val="-1"/>
          <w:sz w:val="24"/>
          <w:szCs w:val="24"/>
        </w:rPr>
        <w:t>Knogler, led, muskler og bindevæv</w:t>
      </w:r>
    </w:p>
    <w:p w14:paraId="26AB8538" w14:textId="77777777" w:rsidR="00F36616" w:rsidRPr="00F83367" w:rsidRDefault="00F36616" w:rsidP="00F36616">
      <w:pPr>
        <w:numPr>
          <w:ilvl w:val="0"/>
          <w:numId w:val="19"/>
        </w:numPr>
        <w:tabs>
          <w:tab w:val="clear" w:pos="-432"/>
          <w:tab w:val="left" w:pos="567"/>
        </w:tabs>
        <w:ind w:left="1134" w:hanging="283"/>
        <w:textAlignment w:val="baseline"/>
        <w:rPr>
          <w:color w:val="000000"/>
          <w:spacing w:val="41"/>
          <w:sz w:val="24"/>
          <w:szCs w:val="24"/>
        </w:rPr>
      </w:pPr>
      <w:bookmarkStart w:id="1" w:name="_Hlk38032682"/>
      <w:r w:rsidRPr="00F83367">
        <w:rPr>
          <w:color w:val="000000"/>
          <w:sz w:val="24"/>
          <w:szCs w:val="24"/>
        </w:rPr>
        <w:t>Sjælden</w:t>
      </w:r>
      <w:bookmarkEnd w:id="1"/>
      <w:r w:rsidRPr="00F83367">
        <w:rPr>
          <w:color w:val="000000"/>
          <w:sz w:val="24"/>
          <w:szCs w:val="24"/>
        </w:rPr>
        <w:t>: osteoporose* efter langvarig behandling (længere end 3 måneder)</w:t>
      </w:r>
    </w:p>
    <w:p w14:paraId="1D227329" w14:textId="77777777" w:rsidR="00F36616" w:rsidRPr="00F83367" w:rsidRDefault="00F36616" w:rsidP="00F36616">
      <w:pPr>
        <w:tabs>
          <w:tab w:val="left" w:pos="567"/>
        </w:tabs>
        <w:ind w:left="851"/>
        <w:textAlignment w:val="baseline"/>
        <w:rPr>
          <w:color w:val="000000"/>
          <w:spacing w:val="41"/>
          <w:sz w:val="24"/>
          <w:szCs w:val="24"/>
        </w:rPr>
      </w:pPr>
    </w:p>
    <w:p w14:paraId="4DA8C01D" w14:textId="77777777" w:rsidR="00F36616" w:rsidRPr="00F83367" w:rsidRDefault="00F36616" w:rsidP="0014694F">
      <w:pPr>
        <w:keepNext/>
        <w:tabs>
          <w:tab w:val="left" w:pos="851"/>
        </w:tabs>
        <w:ind w:left="851"/>
        <w:textAlignment w:val="baseline"/>
        <w:outlineLvl w:val="0"/>
        <w:rPr>
          <w:i/>
          <w:color w:val="000000"/>
          <w:sz w:val="24"/>
          <w:szCs w:val="24"/>
        </w:rPr>
      </w:pPr>
      <w:r w:rsidRPr="00F83367">
        <w:rPr>
          <w:i/>
          <w:color w:val="000000"/>
          <w:sz w:val="24"/>
          <w:szCs w:val="24"/>
        </w:rPr>
        <w:t>Almene symptomer og reaktioner på administrationsstedet</w:t>
      </w:r>
    </w:p>
    <w:p w14:paraId="5DDEF8AB" w14:textId="77777777" w:rsidR="00F36616" w:rsidRPr="00F83367" w:rsidRDefault="00F36616" w:rsidP="00F36616">
      <w:pPr>
        <w:numPr>
          <w:ilvl w:val="0"/>
          <w:numId w:val="10"/>
        </w:numPr>
        <w:tabs>
          <w:tab w:val="left" w:pos="576"/>
        </w:tabs>
        <w:ind w:left="1134" w:right="720" w:hanging="283"/>
        <w:textAlignment w:val="baseline"/>
        <w:rPr>
          <w:color w:val="000000"/>
          <w:sz w:val="24"/>
          <w:szCs w:val="24"/>
        </w:rPr>
      </w:pPr>
      <w:r w:rsidRPr="00F83367">
        <w:rPr>
          <w:color w:val="000000"/>
          <w:sz w:val="24"/>
          <w:szCs w:val="24"/>
        </w:rPr>
        <w:t>Almindelig: hæmatom på injektionsstedet, smerter på injektionsstedet, andre reaktioner på injektionsstedet (såsom ødem, blødning, overfølsomhed, inflammation, udfyldning, smerter eller reaktioner)</w:t>
      </w:r>
    </w:p>
    <w:p w14:paraId="4DF693AF" w14:textId="77777777" w:rsidR="00F36616" w:rsidRPr="00F83367" w:rsidRDefault="00F36616" w:rsidP="00F36616">
      <w:pPr>
        <w:numPr>
          <w:ilvl w:val="0"/>
          <w:numId w:val="10"/>
        </w:numPr>
        <w:tabs>
          <w:tab w:val="left" w:pos="576"/>
        </w:tabs>
        <w:ind w:left="1134" w:hanging="283"/>
        <w:textAlignment w:val="baseline"/>
        <w:rPr>
          <w:color w:val="000000"/>
          <w:sz w:val="24"/>
          <w:szCs w:val="24"/>
        </w:rPr>
      </w:pPr>
      <w:r w:rsidRPr="00F83367">
        <w:rPr>
          <w:color w:val="000000"/>
          <w:sz w:val="24"/>
          <w:szCs w:val="24"/>
        </w:rPr>
        <w:t>Ikke almindelig: lokal irritation, hudnekrose på injektionsstedet</w:t>
      </w:r>
    </w:p>
    <w:p w14:paraId="078C7911" w14:textId="77777777" w:rsidR="00F36616" w:rsidRPr="00F83367" w:rsidRDefault="00F36616" w:rsidP="00F36616">
      <w:pPr>
        <w:tabs>
          <w:tab w:val="left" w:pos="0"/>
          <w:tab w:val="left" w:pos="284"/>
          <w:tab w:val="left" w:pos="576"/>
        </w:tabs>
        <w:ind w:left="851"/>
        <w:textAlignment w:val="baseline"/>
        <w:rPr>
          <w:color w:val="000000"/>
          <w:sz w:val="24"/>
          <w:szCs w:val="24"/>
        </w:rPr>
      </w:pPr>
    </w:p>
    <w:p w14:paraId="330D4882" w14:textId="77777777" w:rsidR="00F36616" w:rsidRPr="00F83367" w:rsidRDefault="00F36616" w:rsidP="00F36616">
      <w:pPr>
        <w:tabs>
          <w:tab w:val="left" w:pos="0"/>
          <w:tab w:val="left" w:pos="284"/>
        </w:tabs>
        <w:ind w:left="851"/>
        <w:textAlignment w:val="baseline"/>
        <w:outlineLvl w:val="0"/>
        <w:rPr>
          <w:i/>
          <w:color w:val="000000"/>
          <w:sz w:val="24"/>
          <w:szCs w:val="24"/>
        </w:rPr>
      </w:pPr>
      <w:r w:rsidRPr="00F83367">
        <w:rPr>
          <w:i/>
          <w:color w:val="000000"/>
          <w:sz w:val="24"/>
          <w:szCs w:val="24"/>
        </w:rPr>
        <w:t>Undersøgelser</w:t>
      </w:r>
    </w:p>
    <w:p w14:paraId="1FA37A12" w14:textId="77777777" w:rsidR="00F36616" w:rsidRPr="00F83367" w:rsidRDefault="00F36616" w:rsidP="00F36616">
      <w:pPr>
        <w:numPr>
          <w:ilvl w:val="0"/>
          <w:numId w:val="10"/>
        </w:numPr>
        <w:tabs>
          <w:tab w:val="clear" w:pos="644"/>
          <w:tab w:val="left" w:pos="576"/>
        </w:tabs>
        <w:ind w:left="1134" w:hanging="283"/>
        <w:textAlignment w:val="baseline"/>
        <w:rPr>
          <w:color w:val="000000"/>
          <w:sz w:val="24"/>
          <w:szCs w:val="24"/>
        </w:rPr>
      </w:pPr>
      <w:r w:rsidRPr="00F83367">
        <w:rPr>
          <w:color w:val="000000"/>
          <w:sz w:val="24"/>
          <w:szCs w:val="24"/>
        </w:rPr>
        <w:t>Sjælden: hyperkaliæmi* (se pkt. 4.4 og 4.5).</w:t>
      </w:r>
    </w:p>
    <w:p w14:paraId="5D8ECC05" w14:textId="77777777" w:rsidR="00F36616" w:rsidRPr="00485998" w:rsidRDefault="00F36616" w:rsidP="00F36616">
      <w:pPr>
        <w:pStyle w:val="Default"/>
        <w:tabs>
          <w:tab w:val="left" w:pos="0"/>
          <w:tab w:val="left" w:pos="284"/>
        </w:tabs>
        <w:ind w:left="851"/>
      </w:pPr>
    </w:p>
    <w:p w14:paraId="4A35C098" w14:textId="77777777" w:rsidR="00F36616" w:rsidRPr="00485998" w:rsidRDefault="00F36616" w:rsidP="00F36616">
      <w:pPr>
        <w:pStyle w:val="Default"/>
        <w:tabs>
          <w:tab w:val="left" w:pos="0"/>
          <w:tab w:val="left" w:pos="284"/>
        </w:tabs>
        <w:ind w:left="851"/>
        <w:outlineLvl w:val="0"/>
        <w:rPr>
          <w:u w:val="single"/>
        </w:rPr>
      </w:pPr>
      <w:r w:rsidRPr="00485998">
        <w:rPr>
          <w:u w:val="single"/>
        </w:rPr>
        <w:t>Beskrivelse af udvalgte bivirkninger</w:t>
      </w:r>
    </w:p>
    <w:p w14:paraId="0B2A6CD3" w14:textId="77777777" w:rsidR="00F36616" w:rsidRPr="00485998" w:rsidRDefault="00F36616" w:rsidP="00F36616">
      <w:pPr>
        <w:pStyle w:val="Default"/>
        <w:tabs>
          <w:tab w:val="left" w:pos="0"/>
          <w:tab w:val="left" w:pos="284"/>
        </w:tabs>
        <w:ind w:left="851"/>
        <w:outlineLvl w:val="0"/>
        <w:rPr>
          <w:i/>
        </w:rPr>
      </w:pPr>
      <w:r w:rsidRPr="00485998">
        <w:rPr>
          <w:i/>
        </w:rPr>
        <w:t>Blødning</w:t>
      </w:r>
    </w:p>
    <w:p w14:paraId="759D99D0" w14:textId="77777777" w:rsidR="00F36616" w:rsidRDefault="00F36616" w:rsidP="00F36616">
      <w:pPr>
        <w:pStyle w:val="Default"/>
        <w:tabs>
          <w:tab w:val="left" w:pos="0"/>
          <w:tab w:val="left" w:pos="284"/>
        </w:tabs>
        <w:ind w:left="851"/>
      </w:pPr>
      <w:r>
        <w:t>Blødning inkluderer alvorlige blødninger, der blev rapporteret hos højst 4,2 % af patienterne (kirurgiske patienter). Nogle af disse tilfælde var dødelige. Hos kirurgiske patienter blev blødning betragtet som alvorlig: (1) hvis blødningen medførte en klinisk signifikant hændelse, eller (2) hvis blødningen var ledsaget af fald i hæmoglobinkoncentrationen på ≥ 2 g/dl eller transfusion af 2 eller flere enheder blod. Retroperitoneale og intrakranielle blødninger blev altid anset som alvorlige.</w:t>
      </w:r>
    </w:p>
    <w:p w14:paraId="3A22C57C" w14:textId="77777777" w:rsidR="00F36616" w:rsidRPr="00485998" w:rsidRDefault="00F36616" w:rsidP="00F36616">
      <w:pPr>
        <w:pStyle w:val="Default"/>
        <w:tabs>
          <w:tab w:val="left" w:pos="0"/>
          <w:tab w:val="left" w:pos="284"/>
        </w:tabs>
        <w:ind w:left="851"/>
      </w:pPr>
      <w:r>
        <w:t xml:space="preserve">Som med andre antikoagulantia kan der forekomme blødning ved tilstedeværelse af tilknyttede risikofaktorer såsom organiske læsioner, der er tilbøjelige til at bløde, invasive indgreb eller samtidig brug af lægemidler, der påvirker hæmostasen </w:t>
      </w:r>
      <w:r w:rsidRPr="00485998">
        <w:t>(se pkt.  4.4 og 4.5).</w:t>
      </w:r>
    </w:p>
    <w:p w14:paraId="5F6FF469" w14:textId="77777777" w:rsidR="00037883" w:rsidRDefault="00037883" w:rsidP="00037883">
      <w:pPr>
        <w:pStyle w:val="Default"/>
        <w:tabs>
          <w:tab w:val="left" w:pos="0"/>
          <w:tab w:val="left" w:pos="284"/>
        </w:tabs>
        <w:ind w:left="851"/>
      </w:pPr>
    </w:p>
    <w:tbl>
      <w:tblPr>
        <w:tblW w:w="0" w:type="auto"/>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18"/>
        <w:gridCol w:w="1418"/>
        <w:gridCol w:w="1418"/>
        <w:gridCol w:w="1418"/>
        <w:gridCol w:w="1418"/>
        <w:gridCol w:w="1418"/>
        <w:gridCol w:w="1418"/>
      </w:tblGrid>
      <w:tr w:rsidR="00037883" w14:paraId="0D0ECE3F" w14:textId="77777777" w:rsidTr="00037883">
        <w:tc>
          <w:tcPr>
            <w:tcW w:w="1418" w:type="dxa"/>
            <w:tcBorders>
              <w:top w:val="outset" w:sz="6" w:space="0" w:color="auto"/>
              <w:left w:val="outset" w:sz="6" w:space="0" w:color="auto"/>
              <w:bottom w:val="outset" w:sz="6" w:space="0" w:color="auto"/>
              <w:right w:val="outset" w:sz="6" w:space="0" w:color="auto"/>
            </w:tcBorders>
            <w:vAlign w:val="center"/>
            <w:hideMark/>
          </w:tcPr>
          <w:p w14:paraId="65005A0D" w14:textId="45B46BA2" w:rsidR="00037883" w:rsidRDefault="00037883">
            <w:pPr>
              <w:pStyle w:val="Default"/>
              <w:keepNext/>
              <w:ind w:left="104"/>
              <w:rPr>
                <w:b/>
              </w:rPr>
            </w:pPr>
            <w:r>
              <w:rPr>
                <w:b/>
              </w:rPr>
              <w:t>System</w:t>
            </w:r>
            <w:r w:rsidR="00A11ABC">
              <w:rPr>
                <w:b/>
              </w:rPr>
              <w:softHyphen/>
            </w:r>
            <w:r>
              <w:rPr>
                <w:b/>
              </w:rPr>
              <w:t>organ</w:t>
            </w:r>
            <w:r>
              <w:rPr>
                <w:b/>
              </w:rPr>
              <w:softHyphen/>
              <w:t>klasse</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98B92DE" w14:textId="77777777" w:rsidR="00037883" w:rsidRDefault="00037883">
            <w:pPr>
              <w:pStyle w:val="Default"/>
              <w:keepNext/>
              <w:ind w:left="110"/>
              <w:rPr>
                <w:b/>
              </w:rPr>
            </w:pPr>
            <w:r>
              <w:rPr>
                <w:b/>
              </w:rPr>
              <w:t>Profylakse hos operations- patienter</w:t>
            </w:r>
          </w:p>
        </w:tc>
        <w:tc>
          <w:tcPr>
            <w:tcW w:w="1418" w:type="dxa"/>
            <w:tcBorders>
              <w:top w:val="outset" w:sz="6" w:space="0" w:color="auto"/>
              <w:left w:val="outset" w:sz="6" w:space="0" w:color="auto"/>
              <w:bottom w:val="outset" w:sz="6" w:space="0" w:color="auto"/>
              <w:right w:val="outset" w:sz="6" w:space="0" w:color="auto"/>
            </w:tcBorders>
            <w:vAlign w:val="center"/>
            <w:hideMark/>
          </w:tcPr>
          <w:p w14:paraId="5A8E28F0" w14:textId="77777777" w:rsidR="00037883" w:rsidRDefault="00037883">
            <w:pPr>
              <w:pStyle w:val="Default"/>
              <w:keepNext/>
              <w:ind w:left="109"/>
              <w:rPr>
                <w:b/>
              </w:rPr>
            </w:pPr>
            <w:r>
              <w:rPr>
                <w:b/>
              </w:rPr>
              <w:t>Profylakse hos medicinske patienter</w:t>
            </w:r>
          </w:p>
        </w:tc>
        <w:tc>
          <w:tcPr>
            <w:tcW w:w="1418" w:type="dxa"/>
            <w:tcBorders>
              <w:top w:val="outset" w:sz="6" w:space="0" w:color="auto"/>
              <w:left w:val="outset" w:sz="6" w:space="0" w:color="auto"/>
              <w:bottom w:val="outset" w:sz="6" w:space="0" w:color="auto"/>
              <w:right w:val="outset" w:sz="6" w:space="0" w:color="auto"/>
            </w:tcBorders>
            <w:vAlign w:val="center"/>
            <w:hideMark/>
          </w:tcPr>
          <w:p w14:paraId="1AC5544F" w14:textId="77777777" w:rsidR="00037883" w:rsidRDefault="00037883">
            <w:pPr>
              <w:pStyle w:val="Default"/>
              <w:keepNext/>
              <w:ind w:left="109"/>
              <w:rPr>
                <w:b/>
              </w:rPr>
            </w:pPr>
            <w:r>
              <w:rPr>
                <w:b/>
              </w:rPr>
              <w:t>Behandling af patienter med DVT med eller uden PE</w:t>
            </w:r>
          </w:p>
        </w:tc>
        <w:tc>
          <w:tcPr>
            <w:tcW w:w="1418" w:type="dxa"/>
            <w:tcBorders>
              <w:top w:val="outset" w:sz="6" w:space="0" w:color="auto"/>
              <w:left w:val="outset" w:sz="6" w:space="0" w:color="auto"/>
              <w:bottom w:val="outset" w:sz="6" w:space="0" w:color="auto"/>
              <w:right w:val="outset" w:sz="6" w:space="0" w:color="auto"/>
            </w:tcBorders>
            <w:hideMark/>
          </w:tcPr>
          <w:p w14:paraId="1F401B5D" w14:textId="77777777" w:rsidR="00037883" w:rsidRDefault="00037883">
            <w:pPr>
              <w:pStyle w:val="Default"/>
              <w:keepNext/>
              <w:ind w:left="113"/>
              <w:rPr>
                <w:b/>
              </w:rPr>
            </w:pPr>
            <w:r>
              <w:rPr>
                <w:b/>
              </w:rPr>
              <w:t>Udvidet behandling af DVT og PE hos patienter med aktiv cancer</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9668F41" w14:textId="29F2CA05" w:rsidR="00037883" w:rsidRDefault="00037883">
            <w:pPr>
              <w:pStyle w:val="Default"/>
              <w:keepNext/>
              <w:ind w:left="113"/>
              <w:rPr>
                <w:b/>
              </w:rPr>
            </w:pPr>
            <w:r>
              <w:rPr>
                <w:b/>
              </w:rPr>
              <w:t>Behandling af patienter med ustabil angina pectoris og MI uden Q-</w:t>
            </w:r>
            <w:r>
              <w:t xml:space="preserve"> </w:t>
            </w:r>
            <w:r>
              <w:rPr>
                <w:b/>
              </w:rPr>
              <w:t>taksudvik</w:t>
            </w:r>
            <w:r w:rsidR="00C43225">
              <w:rPr>
                <w:b/>
              </w:rPr>
              <w:softHyphen/>
            </w:r>
            <w:r>
              <w:rPr>
                <w:b/>
              </w:rPr>
              <w:t xml:space="preserve">ling </w:t>
            </w:r>
          </w:p>
        </w:tc>
        <w:tc>
          <w:tcPr>
            <w:tcW w:w="1418" w:type="dxa"/>
            <w:tcBorders>
              <w:top w:val="outset" w:sz="6" w:space="0" w:color="auto"/>
              <w:left w:val="outset" w:sz="6" w:space="0" w:color="auto"/>
              <w:bottom w:val="outset" w:sz="6" w:space="0" w:color="auto"/>
              <w:right w:val="outset" w:sz="6" w:space="0" w:color="auto"/>
            </w:tcBorders>
            <w:vAlign w:val="center"/>
            <w:hideMark/>
          </w:tcPr>
          <w:p w14:paraId="6E92B3F6" w14:textId="77777777" w:rsidR="00037883" w:rsidRDefault="00037883">
            <w:pPr>
              <w:pStyle w:val="Default"/>
              <w:keepNext/>
              <w:ind w:left="113"/>
              <w:rPr>
                <w:b/>
              </w:rPr>
            </w:pPr>
            <w:r>
              <w:rPr>
                <w:b/>
              </w:rPr>
              <w:t>Behandling af patienter med akut STEMI</w:t>
            </w:r>
          </w:p>
        </w:tc>
      </w:tr>
      <w:tr w:rsidR="00037883" w14:paraId="59A2D33B" w14:textId="77777777" w:rsidTr="00037883">
        <w:tc>
          <w:tcPr>
            <w:tcW w:w="1418" w:type="dxa"/>
            <w:tcBorders>
              <w:top w:val="outset" w:sz="6" w:space="0" w:color="auto"/>
              <w:left w:val="outset" w:sz="6" w:space="0" w:color="auto"/>
              <w:bottom w:val="outset" w:sz="6" w:space="0" w:color="auto"/>
              <w:right w:val="outset" w:sz="6" w:space="0" w:color="auto"/>
            </w:tcBorders>
            <w:hideMark/>
          </w:tcPr>
          <w:p w14:paraId="0C0AED54" w14:textId="77777777" w:rsidR="00037883" w:rsidRDefault="00037883">
            <w:pPr>
              <w:pStyle w:val="Default"/>
              <w:keepNext/>
              <w:ind w:left="104"/>
            </w:pPr>
            <w:r>
              <w:rPr>
                <w:i/>
              </w:rPr>
              <w:t>Blod og lymfesystem</w:t>
            </w:r>
          </w:p>
        </w:tc>
        <w:tc>
          <w:tcPr>
            <w:tcW w:w="1418" w:type="dxa"/>
            <w:tcBorders>
              <w:top w:val="outset" w:sz="6" w:space="0" w:color="auto"/>
              <w:left w:val="outset" w:sz="6" w:space="0" w:color="auto"/>
              <w:bottom w:val="outset" w:sz="6" w:space="0" w:color="auto"/>
              <w:right w:val="outset" w:sz="6" w:space="0" w:color="auto"/>
            </w:tcBorders>
            <w:hideMark/>
          </w:tcPr>
          <w:p w14:paraId="1A3F69F6" w14:textId="77777777" w:rsidR="00037883" w:rsidRDefault="00037883">
            <w:pPr>
              <w:pStyle w:val="Default"/>
              <w:keepNext/>
              <w:ind w:left="110"/>
              <w:rPr>
                <w:lang w:val="nb-NO"/>
              </w:rPr>
            </w:pPr>
            <w:r>
              <w:rPr>
                <w:i/>
                <w:lang w:val="nb-NO"/>
              </w:rPr>
              <w:t>Meget almindelig</w:t>
            </w:r>
            <w:r>
              <w:rPr>
                <w:lang w:val="nb-NO"/>
              </w:rPr>
              <w:t>:</w:t>
            </w:r>
          </w:p>
          <w:p w14:paraId="0DD0CFEC" w14:textId="77777777" w:rsidR="00037883" w:rsidRDefault="00037883">
            <w:pPr>
              <w:pStyle w:val="Default"/>
              <w:keepNext/>
              <w:ind w:left="110"/>
              <w:rPr>
                <w:lang w:val="nb-NO"/>
              </w:rPr>
            </w:pPr>
            <w:r>
              <w:rPr>
                <w:lang w:val="nb-NO"/>
              </w:rPr>
              <w:t>Blødning</w:t>
            </w:r>
            <w:r>
              <w:rPr>
                <w:vertAlign w:val="superscript"/>
                <w:lang w:val="nb-NO"/>
              </w:rPr>
              <w:t>a</w:t>
            </w:r>
          </w:p>
          <w:p w14:paraId="1EC54423" w14:textId="77777777" w:rsidR="00037883" w:rsidRDefault="00037883">
            <w:pPr>
              <w:pStyle w:val="Default"/>
              <w:keepNext/>
              <w:ind w:left="110"/>
              <w:rPr>
                <w:lang w:val="nb-NO"/>
              </w:rPr>
            </w:pPr>
            <w:r>
              <w:rPr>
                <w:i/>
                <w:lang w:val="nb-NO"/>
              </w:rPr>
              <w:t>Sjælden:</w:t>
            </w:r>
          </w:p>
          <w:p w14:paraId="10D3BD6C" w14:textId="77777777" w:rsidR="00037883" w:rsidRDefault="00037883">
            <w:pPr>
              <w:pStyle w:val="Default"/>
              <w:keepNext/>
              <w:ind w:left="110"/>
              <w:rPr>
                <w:lang w:val="nb-NO"/>
              </w:rPr>
            </w:pPr>
            <w:r>
              <w:rPr>
                <w:lang w:val="nb-NO"/>
              </w:rPr>
              <w:t>Retroperitoneal blødning</w:t>
            </w:r>
          </w:p>
        </w:tc>
        <w:tc>
          <w:tcPr>
            <w:tcW w:w="1418" w:type="dxa"/>
            <w:tcBorders>
              <w:top w:val="outset" w:sz="6" w:space="0" w:color="auto"/>
              <w:left w:val="outset" w:sz="6" w:space="0" w:color="auto"/>
              <w:bottom w:val="outset" w:sz="6" w:space="0" w:color="auto"/>
              <w:right w:val="outset" w:sz="6" w:space="0" w:color="auto"/>
            </w:tcBorders>
            <w:hideMark/>
          </w:tcPr>
          <w:p w14:paraId="26168F62" w14:textId="77777777" w:rsidR="00037883" w:rsidRDefault="00037883">
            <w:pPr>
              <w:pStyle w:val="Default"/>
              <w:keepNext/>
              <w:ind w:left="109"/>
            </w:pPr>
            <w:r>
              <w:rPr>
                <w:i/>
              </w:rPr>
              <w:t>Almindelig:</w:t>
            </w:r>
          </w:p>
          <w:p w14:paraId="4A877074" w14:textId="77777777" w:rsidR="00037883" w:rsidRDefault="00037883">
            <w:pPr>
              <w:pStyle w:val="Default"/>
              <w:keepNext/>
              <w:ind w:left="109"/>
            </w:pPr>
            <w:r>
              <w:t>Blødning</w:t>
            </w:r>
            <w:r>
              <w:rPr>
                <w:vertAlign w:val="superscript"/>
              </w:rPr>
              <w:t>a</w:t>
            </w:r>
          </w:p>
        </w:tc>
        <w:tc>
          <w:tcPr>
            <w:tcW w:w="1418" w:type="dxa"/>
            <w:tcBorders>
              <w:top w:val="outset" w:sz="6" w:space="0" w:color="auto"/>
              <w:left w:val="outset" w:sz="6" w:space="0" w:color="auto"/>
              <w:bottom w:val="outset" w:sz="6" w:space="0" w:color="auto"/>
              <w:right w:val="outset" w:sz="6" w:space="0" w:color="auto"/>
            </w:tcBorders>
            <w:hideMark/>
          </w:tcPr>
          <w:p w14:paraId="48F1E16A" w14:textId="77777777" w:rsidR="00037883" w:rsidRDefault="00037883">
            <w:pPr>
              <w:pStyle w:val="Default"/>
              <w:keepNext/>
              <w:ind w:left="109"/>
              <w:rPr>
                <w:lang w:val="nb-NO"/>
              </w:rPr>
            </w:pPr>
            <w:r>
              <w:rPr>
                <w:i/>
                <w:lang w:val="nb-NO"/>
              </w:rPr>
              <w:t>Meget almindelig:</w:t>
            </w:r>
          </w:p>
          <w:p w14:paraId="02618018" w14:textId="77777777" w:rsidR="00037883" w:rsidRDefault="00037883">
            <w:pPr>
              <w:pStyle w:val="Default"/>
              <w:keepNext/>
              <w:ind w:left="109"/>
              <w:rPr>
                <w:lang w:val="nb-NO"/>
              </w:rPr>
            </w:pPr>
            <w:r>
              <w:rPr>
                <w:lang w:val="nb-NO"/>
              </w:rPr>
              <w:t>Blødning</w:t>
            </w:r>
            <w:r>
              <w:rPr>
                <w:vertAlign w:val="superscript"/>
                <w:lang w:val="nb-NO"/>
              </w:rPr>
              <w:t>a</w:t>
            </w:r>
          </w:p>
          <w:p w14:paraId="717BD15D" w14:textId="77777777" w:rsidR="00037883" w:rsidRDefault="00037883">
            <w:pPr>
              <w:pStyle w:val="Default"/>
              <w:keepNext/>
              <w:ind w:left="109"/>
              <w:rPr>
                <w:lang w:val="nb-NO"/>
              </w:rPr>
            </w:pPr>
            <w:r>
              <w:rPr>
                <w:i/>
                <w:lang w:val="nb-NO"/>
              </w:rPr>
              <w:t>Ikke almindelig:</w:t>
            </w:r>
          </w:p>
          <w:p w14:paraId="361BC2EA" w14:textId="77777777" w:rsidR="00037883" w:rsidRDefault="00037883">
            <w:pPr>
              <w:pStyle w:val="Default"/>
              <w:keepNext/>
              <w:ind w:left="109"/>
              <w:rPr>
                <w:lang w:val="nb-NO"/>
              </w:rPr>
            </w:pPr>
            <w:r>
              <w:rPr>
                <w:lang w:val="nb-NO"/>
              </w:rPr>
              <w:t>Intrakraniel blødning, retroperitoneal blødning</w:t>
            </w:r>
          </w:p>
        </w:tc>
        <w:tc>
          <w:tcPr>
            <w:tcW w:w="1418" w:type="dxa"/>
            <w:tcBorders>
              <w:top w:val="outset" w:sz="6" w:space="0" w:color="auto"/>
              <w:left w:val="outset" w:sz="6" w:space="0" w:color="auto"/>
              <w:bottom w:val="outset" w:sz="6" w:space="0" w:color="auto"/>
              <w:right w:val="outset" w:sz="6" w:space="0" w:color="auto"/>
            </w:tcBorders>
            <w:hideMark/>
          </w:tcPr>
          <w:p w14:paraId="62116B97" w14:textId="77777777" w:rsidR="00037883" w:rsidRDefault="00037883">
            <w:pPr>
              <w:pStyle w:val="Default"/>
              <w:keepNext/>
              <w:ind w:left="113"/>
              <w:rPr>
                <w:i/>
                <w:lang w:val="nb-NO"/>
              </w:rPr>
            </w:pPr>
            <w:r>
              <w:rPr>
                <w:i/>
                <w:lang w:val="nb-NO"/>
              </w:rPr>
              <w:t>Almindelig</w:t>
            </w:r>
            <w:r>
              <w:rPr>
                <w:i/>
                <w:vertAlign w:val="superscript"/>
                <w:lang w:val="nb-NO"/>
              </w:rPr>
              <w:t>b</w:t>
            </w:r>
            <w:r>
              <w:rPr>
                <w:i/>
                <w:lang w:val="nb-NO"/>
              </w:rPr>
              <w:t xml:space="preserve">: </w:t>
            </w:r>
            <w:r>
              <w:rPr>
                <w:iCs/>
                <w:lang w:val="nb-NO"/>
              </w:rPr>
              <w:t>Blødning</w:t>
            </w:r>
          </w:p>
        </w:tc>
        <w:tc>
          <w:tcPr>
            <w:tcW w:w="1418" w:type="dxa"/>
            <w:tcBorders>
              <w:top w:val="outset" w:sz="6" w:space="0" w:color="auto"/>
              <w:left w:val="outset" w:sz="6" w:space="0" w:color="auto"/>
              <w:bottom w:val="outset" w:sz="6" w:space="0" w:color="auto"/>
              <w:right w:val="outset" w:sz="6" w:space="0" w:color="auto"/>
            </w:tcBorders>
            <w:hideMark/>
          </w:tcPr>
          <w:p w14:paraId="51595EDD" w14:textId="77777777" w:rsidR="00037883" w:rsidRDefault="00037883">
            <w:pPr>
              <w:pStyle w:val="Default"/>
              <w:keepNext/>
              <w:ind w:left="113"/>
              <w:rPr>
                <w:lang w:val="nb-NO"/>
              </w:rPr>
            </w:pPr>
            <w:r>
              <w:rPr>
                <w:i/>
                <w:lang w:val="nb-NO"/>
              </w:rPr>
              <w:t>Almindelig:</w:t>
            </w:r>
          </w:p>
          <w:p w14:paraId="6C992A69" w14:textId="77777777" w:rsidR="00037883" w:rsidRDefault="00037883">
            <w:pPr>
              <w:pStyle w:val="Default"/>
              <w:keepNext/>
              <w:ind w:left="113"/>
              <w:rPr>
                <w:lang w:val="nb-NO"/>
              </w:rPr>
            </w:pPr>
            <w:r>
              <w:rPr>
                <w:lang w:val="nb-NO"/>
              </w:rPr>
              <w:t>Blødning</w:t>
            </w:r>
            <w:r>
              <w:rPr>
                <w:vertAlign w:val="superscript"/>
                <w:lang w:val="nb-NO"/>
              </w:rPr>
              <w:t>a</w:t>
            </w:r>
          </w:p>
          <w:p w14:paraId="4AFCEE16" w14:textId="77777777" w:rsidR="00037883" w:rsidRDefault="00037883">
            <w:pPr>
              <w:pStyle w:val="Default"/>
              <w:keepNext/>
              <w:ind w:left="113"/>
              <w:rPr>
                <w:lang w:val="nb-NO"/>
              </w:rPr>
            </w:pPr>
            <w:r>
              <w:rPr>
                <w:i/>
                <w:lang w:val="nb-NO"/>
              </w:rPr>
              <w:t>Sjælden:</w:t>
            </w:r>
          </w:p>
          <w:p w14:paraId="6446AA37" w14:textId="77777777" w:rsidR="00037883" w:rsidRDefault="00037883">
            <w:pPr>
              <w:pStyle w:val="Default"/>
              <w:keepNext/>
              <w:ind w:left="113"/>
              <w:rPr>
                <w:lang w:val="nb-NO"/>
              </w:rPr>
            </w:pPr>
            <w:r>
              <w:rPr>
                <w:lang w:val="nb-NO"/>
              </w:rPr>
              <w:t>Retroperito</w:t>
            </w:r>
            <w:r>
              <w:rPr>
                <w:lang w:val="nb-NO"/>
              </w:rPr>
              <w:softHyphen/>
              <w:t>neal blødning</w:t>
            </w:r>
          </w:p>
        </w:tc>
        <w:tc>
          <w:tcPr>
            <w:tcW w:w="1418" w:type="dxa"/>
            <w:tcBorders>
              <w:top w:val="outset" w:sz="6" w:space="0" w:color="auto"/>
              <w:left w:val="outset" w:sz="6" w:space="0" w:color="auto"/>
              <w:bottom w:val="outset" w:sz="6" w:space="0" w:color="auto"/>
              <w:right w:val="outset" w:sz="6" w:space="0" w:color="auto"/>
            </w:tcBorders>
            <w:hideMark/>
          </w:tcPr>
          <w:p w14:paraId="05FCF339" w14:textId="77777777" w:rsidR="00037883" w:rsidRDefault="00037883">
            <w:pPr>
              <w:pStyle w:val="Default"/>
              <w:keepNext/>
              <w:ind w:left="113"/>
              <w:rPr>
                <w:lang w:val="nb-NO"/>
              </w:rPr>
            </w:pPr>
            <w:r>
              <w:rPr>
                <w:i/>
                <w:lang w:val="nb-NO"/>
              </w:rPr>
              <w:t>Almindelig:</w:t>
            </w:r>
          </w:p>
          <w:p w14:paraId="540B931E" w14:textId="77777777" w:rsidR="00037883" w:rsidRDefault="00037883">
            <w:pPr>
              <w:pStyle w:val="Default"/>
              <w:keepNext/>
              <w:ind w:left="113"/>
              <w:rPr>
                <w:lang w:val="nb-NO"/>
              </w:rPr>
            </w:pPr>
            <w:r>
              <w:rPr>
                <w:lang w:val="nb-NO"/>
              </w:rPr>
              <w:t>Blødning</w:t>
            </w:r>
            <w:r>
              <w:rPr>
                <w:vertAlign w:val="superscript"/>
                <w:lang w:val="nb-NO"/>
              </w:rPr>
              <w:t>a</w:t>
            </w:r>
          </w:p>
          <w:p w14:paraId="5B17D5B1" w14:textId="77777777" w:rsidR="00037883" w:rsidRDefault="00037883">
            <w:pPr>
              <w:pStyle w:val="Default"/>
              <w:keepNext/>
              <w:ind w:left="113"/>
              <w:rPr>
                <w:lang w:val="nb-NO"/>
              </w:rPr>
            </w:pPr>
            <w:r>
              <w:rPr>
                <w:i/>
                <w:lang w:val="nb-NO"/>
              </w:rPr>
              <w:t>Ikke almindelig:</w:t>
            </w:r>
          </w:p>
          <w:p w14:paraId="3C6DC171" w14:textId="77777777" w:rsidR="00037883" w:rsidRDefault="00037883">
            <w:pPr>
              <w:pStyle w:val="Default"/>
              <w:keepNext/>
              <w:ind w:left="113"/>
              <w:rPr>
                <w:lang w:val="nb-NO"/>
              </w:rPr>
            </w:pPr>
            <w:r>
              <w:rPr>
                <w:lang w:val="nb-NO"/>
              </w:rPr>
              <w:t>Intrakraniel blødning, retroperitoneal blødning</w:t>
            </w:r>
          </w:p>
        </w:tc>
      </w:tr>
    </w:tbl>
    <w:p w14:paraId="568E6DB3" w14:textId="77777777" w:rsidR="00037883" w:rsidRDefault="00037883" w:rsidP="00037883">
      <w:pPr>
        <w:pStyle w:val="Default"/>
        <w:ind w:left="851"/>
        <w:rPr>
          <w:lang w:val="nb-NO"/>
        </w:rPr>
      </w:pPr>
      <w:r>
        <w:rPr>
          <w:vertAlign w:val="superscript"/>
          <w:lang w:val="nb-NO"/>
        </w:rPr>
        <w:t>a</w:t>
      </w:r>
      <w:r>
        <w:rPr>
          <w:lang w:val="nb-NO"/>
        </w:rPr>
        <w:t>: såsom hæmatom, ekkymoser andre steder end på injektionsstedet, sårhæmatom, hæmaturi, epistaxis og gastrointestinal blødning.</w:t>
      </w:r>
    </w:p>
    <w:p w14:paraId="3113621E" w14:textId="77777777" w:rsidR="00037883" w:rsidRDefault="00037883" w:rsidP="00037883">
      <w:pPr>
        <w:pStyle w:val="Default"/>
        <w:ind w:left="851"/>
        <w:rPr>
          <w:lang w:val="nb-NO"/>
        </w:rPr>
      </w:pPr>
      <w:r>
        <w:rPr>
          <w:vertAlign w:val="superscript"/>
          <w:lang w:val="nb-NO"/>
        </w:rPr>
        <w:t>b</w:t>
      </w:r>
      <w:r>
        <w:rPr>
          <w:lang w:val="nb-NO"/>
        </w:rPr>
        <w:t>: hyppighed baseret på et retrospektivt studie med 3526 patienter (se pkt. 5.1)</w:t>
      </w:r>
    </w:p>
    <w:p w14:paraId="4FA7D690" w14:textId="77777777" w:rsidR="00037883" w:rsidRDefault="00037883" w:rsidP="00037883">
      <w:pPr>
        <w:pStyle w:val="Default"/>
        <w:ind w:left="851"/>
        <w:rPr>
          <w:lang w:val="nb-NO"/>
        </w:rPr>
      </w:pPr>
    </w:p>
    <w:p w14:paraId="74DF3EF5" w14:textId="77777777" w:rsidR="00037883" w:rsidRDefault="00037883" w:rsidP="00037883">
      <w:pPr>
        <w:pStyle w:val="Default"/>
        <w:keepNext/>
        <w:ind w:left="851"/>
        <w:outlineLvl w:val="0"/>
        <w:rPr>
          <w:i/>
        </w:rPr>
      </w:pPr>
      <w:r>
        <w:rPr>
          <w:i/>
        </w:rPr>
        <w:lastRenderedPageBreak/>
        <w:t>Trombocytopeni og trombocytose</w:t>
      </w:r>
    </w:p>
    <w:p w14:paraId="337F2561" w14:textId="77777777" w:rsidR="00037883" w:rsidRDefault="00037883" w:rsidP="00037883">
      <w:pPr>
        <w:pStyle w:val="Default"/>
        <w:keepNext/>
        <w:ind w:left="851"/>
      </w:pPr>
    </w:p>
    <w:tbl>
      <w:tblPr>
        <w:tblW w:w="1048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74"/>
        <w:gridCol w:w="1462"/>
        <w:gridCol w:w="1554"/>
        <w:gridCol w:w="1417"/>
        <w:gridCol w:w="1559"/>
        <w:gridCol w:w="1418"/>
        <w:gridCol w:w="1701"/>
      </w:tblGrid>
      <w:tr w:rsidR="00037883" w14:paraId="6D6D0B56" w14:textId="77777777" w:rsidTr="00037883">
        <w:tc>
          <w:tcPr>
            <w:tcW w:w="1373" w:type="dxa"/>
            <w:tcBorders>
              <w:top w:val="outset" w:sz="6" w:space="0" w:color="auto"/>
              <w:left w:val="outset" w:sz="6" w:space="0" w:color="auto"/>
              <w:bottom w:val="outset" w:sz="6" w:space="0" w:color="auto"/>
              <w:right w:val="outset" w:sz="6" w:space="0" w:color="auto"/>
            </w:tcBorders>
            <w:vAlign w:val="center"/>
            <w:hideMark/>
          </w:tcPr>
          <w:p w14:paraId="2FC9D521" w14:textId="01DD3A23" w:rsidR="00037883" w:rsidRDefault="00037883">
            <w:pPr>
              <w:pStyle w:val="Default"/>
              <w:keepNext/>
              <w:ind w:left="104"/>
              <w:rPr>
                <w:b/>
              </w:rPr>
            </w:pPr>
            <w:r>
              <w:rPr>
                <w:b/>
              </w:rPr>
              <w:t>System</w:t>
            </w:r>
            <w:r w:rsidR="00C43225">
              <w:rPr>
                <w:b/>
              </w:rPr>
              <w:softHyphen/>
            </w:r>
            <w:r>
              <w:rPr>
                <w:b/>
              </w:rPr>
              <w:t>organ</w:t>
            </w:r>
            <w:r>
              <w:rPr>
                <w:b/>
              </w:rPr>
              <w:softHyphen/>
              <w:t>klasse</w:t>
            </w:r>
          </w:p>
        </w:tc>
        <w:tc>
          <w:tcPr>
            <w:tcW w:w="1461" w:type="dxa"/>
            <w:tcBorders>
              <w:top w:val="outset" w:sz="6" w:space="0" w:color="auto"/>
              <w:left w:val="outset" w:sz="6" w:space="0" w:color="auto"/>
              <w:bottom w:val="outset" w:sz="6" w:space="0" w:color="auto"/>
              <w:right w:val="outset" w:sz="6" w:space="0" w:color="auto"/>
            </w:tcBorders>
            <w:vAlign w:val="center"/>
            <w:hideMark/>
          </w:tcPr>
          <w:p w14:paraId="6D021320" w14:textId="77777777" w:rsidR="00037883" w:rsidRDefault="00037883">
            <w:pPr>
              <w:pStyle w:val="Default"/>
              <w:keepNext/>
              <w:ind w:left="112"/>
              <w:rPr>
                <w:b/>
              </w:rPr>
            </w:pPr>
            <w:r>
              <w:rPr>
                <w:b/>
              </w:rPr>
              <w:t>Profylakse hos operations- patienter</w:t>
            </w:r>
          </w:p>
        </w:tc>
        <w:tc>
          <w:tcPr>
            <w:tcW w:w="1553" w:type="dxa"/>
            <w:tcBorders>
              <w:top w:val="outset" w:sz="6" w:space="0" w:color="auto"/>
              <w:left w:val="outset" w:sz="6" w:space="0" w:color="auto"/>
              <w:bottom w:val="outset" w:sz="6" w:space="0" w:color="auto"/>
              <w:right w:val="outset" w:sz="6" w:space="0" w:color="auto"/>
            </w:tcBorders>
            <w:vAlign w:val="center"/>
            <w:hideMark/>
          </w:tcPr>
          <w:p w14:paraId="03A49F0D" w14:textId="77777777" w:rsidR="00037883" w:rsidRDefault="00037883">
            <w:pPr>
              <w:pStyle w:val="Default"/>
              <w:keepNext/>
              <w:ind w:left="113"/>
              <w:rPr>
                <w:b/>
              </w:rPr>
            </w:pPr>
            <w:r>
              <w:rPr>
                <w:b/>
              </w:rPr>
              <w:t>Profylakse hos medicinske patienter</w:t>
            </w:r>
          </w:p>
        </w:tc>
        <w:tc>
          <w:tcPr>
            <w:tcW w:w="1417" w:type="dxa"/>
            <w:tcBorders>
              <w:top w:val="outset" w:sz="6" w:space="0" w:color="auto"/>
              <w:left w:val="outset" w:sz="6" w:space="0" w:color="auto"/>
              <w:bottom w:val="outset" w:sz="6" w:space="0" w:color="auto"/>
              <w:right w:val="outset" w:sz="6" w:space="0" w:color="auto"/>
            </w:tcBorders>
            <w:vAlign w:val="center"/>
            <w:hideMark/>
          </w:tcPr>
          <w:p w14:paraId="5D7662E7" w14:textId="77777777" w:rsidR="00037883" w:rsidRDefault="00037883">
            <w:pPr>
              <w:pStyle w:val="Default"/>
              <w:keepNext/>
              <w:ind w:left="113"/>
              <w:rPr>
                <w:b/>
              </w:rPr>
            </w:pPr>
            <w:r>
              <w:rPr>
                <w:b/>
              </w:rPr>
              <w:t>Behandling af patienter med DVT med eller uden PE</w:t>
            </w:r>
          </w:p>
        </w:tc>
        <w:tc>
          <w:tcPr>
            <w:tcW w:w="1559" w:type="dxa"/>
            <w:tcBorders>
              <w:top w:val="outset" w:sz="6" w:space="0" w:color="auto"/>
              <w:left w:val="outset" w:sz="6" w:space="0" w:color="auto"/>
              <w:bottom w:val="outset" w:sz="6" w:space="0" w:color="auto"/>
              <w:right w:val="outset" w:sz="6" w:space="0" w:color="auto"/>
            </w:tcBorders>
            <w:hideMark/>
          </w:tcPr>
          <w:p w14:paraId="21BD2611" w14:textId="77777777" w:rsidR="00037883" w:rsidRDefault="00037883">
            <w:pPr>
              <w:pStyle w:val="Default"/>
              <w:keepNext/>
              <w:ind w:left="111"/>
              <w:rPr>
                <w:b/>
              </w:rPr>
            </w:pPr>
            <w:r>
              <w:rPr>
                <w:b/>
              </w:rPr>
              <w:t>Udvidet behandling af DVT og PE hos patienter med aktiv cancer</w:t>
            </w:r>
          </w:p>
        </w:tc>
        <w:tc>
          <w:tcPr>
            <w:tcW w:w="1418" w:type="dxa"/>
            <w:tcBorders>
              <w:top w:val="outset" w:sz="6" w:space="0" w:color="auto"/>
              <w:left w:val="outset" w:sz="6" w:space="0" w:color="auto"/>
              <w:bottom w:val="outset" w:sz="6" w:space="0" w:color="auto"/>
              <w:right w:val="outset" w:sz="6" w:space="0" w:color="auto"/>
            </w:tcBorders>
            <w:vAlign w:val="center"/>
            <w:hideMark/>
          </w:tcPr>
          <w:p w14:paraId="706A0E19" w14:textId="1F0BFCED" w:rsidR="00037883" w:rsidRDefault="00037883">
            <w:pPr>
              <w:pStyle w:val="Default"/>
              <w:keepNext/>
              <w:ind w:left="111"/>
              <w:rPr>
                <w:b/>
              </w:rPr>
            </w:pPr>
            <w:r>
              <w:rPr>
                <w:b/>
              </w:rPr>
              <w:t>Behandling af patienter med ustabil angina pectoris og MI uden Q-</w:t>
            </w:r>
            <w:r>
              <w:t xml:space="preserve"> </w:t>
            </w:r>
            <w:r>
              <w:rPr>
                <w:b/>
              </w:rPr>
              <w:t>taksudvik</w:t>
            </w:r>
            <w:r w:rsidR="00C43225">
              <w:rPr>
                <w:b/>
              </w:rPr>
              <w:softHyphen/>
            </w:r>
            <w:r>
              <w:rPr>
                <w:b/>
              </w:rPr>
              <w:t>ling</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FABD091" w14:textId="77777777" w:rsidR="00037883" w:rsidRDefault="00037883">
            <w:pPr>
              <w:pStyle w:val="Default"/>
              <w:keepNext/>
              <w:ind w:left="111"/>
              <w:rPr>
                <w:b/>
              </w:rPr>
            </w:pPr>
            <w:r>
              <w:rPr>
                <w:b/>
              </w:rPr>
              <w:t>Behandling af patienter med akut STEMI</w:t>
            </w:r>
          </w:p>
        </w:tc>
      </w:tr>
      <w:tr w:rsidR="00037883" w14:paraId="504A1656" w14:textId="77777777" w:rsidTr="00037883">
        <w:tc>
          <w:tcPr>
            <w:tcW w:w="1373" w:type="dxa"/>
            <w:tcBorders>
              <w:top w:val="outset" w:sz="6" w:space="0" w:color="auto"/>
              <w:left w:val="outset" w:sz="6" w:space="0" w:color="auto"/>
              <w:bottom w:val="outset" w:sz="6" w:space="0" w:color="auto"/>
              <w:right w:val="outset" w:sz="6" w:space="0" w:color="auto"/>
            </w:tcBorders>
            <w:hideMark/>
          </w:tcPr>
          <w:p w14:paraId="0B58D915" w14:textId="77777777" w:rsidR="00037883" w:rsidRDefault="00037883">
            <w:pPr>
              <w:pStyle w:val="Default"/>
              <w:keepNext/>
              <w:ind w:left="104"/>
            </w:pPr>
            <w:r>
              <w:rPr>
                <w:i/>
              </w:rPr>
              <w:t>Blod og lymfesystem</w:t>
            </w:r>
          </w:p>
        </w:tc>
        <w:tc>
          <w:tcPr>
            <w:tcW w:w="1461" w:type="dxa"/>
            <w:tcBorders>
              <w:top w:val="outset" w:sz="6" w:space="0" w:color="auto"/>
              <w:left w:val="outset" w:sz="6" w:space="0" w:color="auto"/>
              <w:bottom w:val="outset" w:sz="6" w:space="0" w:color="auto"/>
              <w:right w:val="outset" w:sz="6" w:space="0" w:color="auto"/>
            </w:tcBorders>
            <w:hideMark/>
          </w:tcPr>
          <w:p w14:paraId="6A8CB166" w14:textId="77777777" w:rsidR="00037883" w:rsidRDefault="00037883">
            <w:pPr>
              <w:pStyle w:val="Default"/>
              <w:keepNext/>
              <w:ind w:left="112"/>
            </w:pPr>
            <w:r>
              <w:rPr>
                <w:i/>
              </w:rPr>
              <w:t>Meget almindelig</w:t>
            </w:r>
            <w:r>
              <w:t>:</w:t>
            </w:r>
          </w:p>
          <w:p w14:paraId="327E8DCB" w14:textId="77777777" w:rsidR="00037883" w:rsidRDefault="00037883">
            <w:pPr>
              <w:pStyle w:val="Default"/>
              <w:keepNext/>
              <w:ind w:left="112"/>
            </w:pPr>
            <w:r>
              <w:t>Trombo-cytose*</w:t>
            </w:r>
          </w:p>
          <w:p w14:paraId="3C126243" w14:textId="77777777" w:rsidR="00037883" w:rsidRDefault="00037883">
            <w:pPr>
              <w:pStyle w:val="Default"/>
              <w:keepNext/>
              <w:ind w:left="112"/>
            </w:pPr>
            <w:r>
              <w:rPr>
                <w:i/>
              </w:rPr>
              <w:t>Almindelig:</w:t>
            </w:r>
          </w:p>
          <w:p w14:paraId="2850830D" w14:textId="77777777" w:rsidR="00037883" w:rsidRDefault="00037883">
            <w:pPr>
              <w:pStyle w:val="Default"/>
              <w:keepNext/>
              <w:ind w:left="112"/>
            </w:pPr>
            <w:r>
              <w:t>Trombocyto</w:t>
            </w:r>
            <w:r>
              <w:softHyphen/>
              <w:t>peni</w:t>
            </w:r>
          </w:p>
        </w:tc>
        <w:tc>
          <w:tcPr>
            <w:tcW w:w="1553" w:type="dxa"/>
            <w:tcBorders>
              <w:top w:val="outset" w:sz="6" w:space="0" w:color="auto"/>
              <w:left w:val="outset" w:sz="6" w:space="0" w:color="auto"/>
              <w:bottom w:val="outset" w:sz="6" w:space="0" w:color="auto"/>
              <w:right w:val="outset" w:sz="6" w:space="0" w:color="auto"/>
            </w:tcBorders>
            <w:hideMark/>
          </w:tcPr>
          <w:p w14:paraId="33C053FA" w14:textId="77777777" w:rsidR="00037883" w:rsidRDefault="00037883">
            <w:pPr>
              <w:pStyle w:val="Default"/>
              <w:keepNext/>
              <w:ind w:left="113"/>
            </w:pPr>
            <w:r>
              <w:rPr>
                <w:i/>
              </w:rPr>
              <w:t>Ikke almindelig:</w:t>
            </w:r>
          </w:p>
          <w:p w14:paraId="746277E2" w14:textId="77777777" w:rsidR="00037883" w:rsidRDefault="00037883">
            <w:pPr>
              <w:pStyle w:val="Default"/>
              <w:keepNext/>
              <w:ind w:left="113"/>
            </w:pPr>
            <w:r>
              <w:t>Trombocyto</w:t>
            </w:r>
            <w:r>
              <w:softHyphen/>
              <w:t xml:space="preserve">peni </w:t>
            </w:r>
          </w:p>
        </w:tc>
        <w:tc>
          <w:tcPr>
            <w:tcW w:w="1417" w:type="dxa"/>
            <w:tcBorders>
              <w:top w:val="outset" w:sz="6" w:space="0" w:color="auto"/>
              <w:left w:val="outset" w:sz="6" w:space="0" w:color="auto"/>
              <w:bottom w:val="outset" w:sz="6" w:space="0" w:color="auto"/>
              <w:right w:val="outset" w:sz="6" w:space="0" w:color="auto"/>
            </w:tcBorders>
            <w:hideMark/>
          </w:tcPr>
          <w:p w14:paraId="009DFFAF" w14:textId="77777777" w:rsidR="00037883" w:rsidRDefault="00037883">
            <w:pPr>
              <w:pStyle w:val="Default"/>
              <w:keepNext/>
              <w:ind w:left="113"/>
            </w:pPr>
            <w:r>
              <w:rPr>
                <w:i/>
              </w:rPr>
              <w:t>Meget almindelig</w:t>
            </w:r>
            <w:r>
              <w:t>:</w:t>
            </w:r>
          </w:p>
          <w:p w14:paraId="48668350" w14:textId="77777777" w:rsidR="00037883" w:rsidRDefault="00037883">
            <w:pPr>
              <w:pStyle w:val="Default"/>
              <w:keepNext/>
              <w:ind w:left="113"/>
            </w:pPr>
            <w:r>
              <w:t>Trombo-cytose*</w:t>
            </w:r>
          </w:p>
          <w:p w14:paraId="1FC86A62" w14:textId="77777777" w:rsidR="00037883" w:rsidRDefault="00037883">
            <w:pPr>
              <w:pStyle w:val="Default"/>
              <w:keepNext/>
              <w:ind w:left="113"/>
            </w:pPr>
            <w:r>
              <w:rPr>
                <w:i/>
              </w:rPr>
              <w:t>Almindelig:</w:t>
            </w:r>
          </w:p>
          <w:p w14:paraId="66A5FA21" w14:textId="77777777" w:rsidR="00037883" w:rsidRDefault="00037883">
            <w:pPr>
              <w:pStyle w:val="Default"/>
              <w:keepNext/>
              <w:ind w:left="113"/>
            </w:pPr>
            <w:r>
              <w:t>Trombocytopeni</w:t>
            </w:r>
          </w:p>
        </w:tc>
        <w:tc>
          <w:tcPr>
            <w:tcW w:w="1559" w:type="dxa"/>
            <w:tcBorders>
              <w:top w:val="outset" w:sz="6" w:space="0" w:color="auto"/>
              <w:left w:val="outset" w:sz="6" w:space="0" w:color="auto"/>
              <w:bottom w:val="outset" w:sz="6" w:space="0" w:color="auto"/>
              <w:right w:val="outset" w:sz="6" w:space="0" w:color="auto"/>
            </w:tcBorders>
            <w:hideMark/>
          </w:tcPr>
          <w:p w14:paraId="0879BD9A" w14:textId="77777777" w:rsidR="00037883" w:rsidRDefault="00037883">
            <w:pPr>
              <w:pStyle w:val="Default"/>
              <w:keepNext/>
              <w:ind w:left="111"/>
              <w:rPr>
                <w:i/>
              </w:rPr>
            </w:pPr>
            <w:r>
              <w:rPr>
                <w:i/>
              </w:rPr>
              <w:t>Ikke kendt:</w:t>
            </w:r>
          </w:p>
          <w:p w14:paraId="416B68DB" w14:textId="77777777" w:rsidR="00037883" w:rsidRDefault="00037883">
            <w:pPr>
              <w:pStyle w:val="Default"/>
              <w:keepNext/>
              <w:ind w:left="111"/>
              <w:rPr>
                <w:iCs/>
              </w:rPr>
            </w:pPr>
            <w:r>
              <w:rPr>
                <w:iCs/>
              </w:rPr>
              <w:t>Trombo-cytopeni</w:t>
            </w:r>
          </w:p>
        </w:tc>
        <w:tc>
          <w:tcPr>
            <w:tcW w:w="1418" w:type="dxa"/>
            <w:tcBorders>
              <w:top w:val="outset" w:sz="6" w:space="0" w:color="auto"/>
              <w:left w:val="outset" w:sz="6" w:space="0" w:color="auto"/>
              <w:bottom w:val="outset" w:sz="6" w:space="0" w:color="auto"/>
              <w:right w:val="outset" w:sz="6" w:space="0" w:color="auto"/>
            </w:tcBorders>
            <w:hideMark/>
          </w:tcPr>
          <w:p w14:paraId="50A25DF8" w14:textId="77777777" w:rsidR="00037883" w:rsidRDefault="00037883">
            <w:pPr>
              <w:pStyle w:val="Default"/>
              <w:keepNext/>
              <w:ind w:left="111"/>
            </w:pPr>
            <w:r>
              <w:rPr>
                <w:i/>
              </w:rPr>
              <w:t>Ikke almindelig:</w:t>
            </w:r>
          </w:p>
          <w:p w14:paraId="7FFBC6B6" w14:textId="77777777" w:rsidR="00037883" w:rsidRDefault="00037883">
            <w:pPr>
              <w:pStyle w:val="Default"/>
              <w:keepNext/>
              <w:ind w:left="111"/>
            </w:pPr>
            <w:r>
              <w:t>Trombo-cyto</w:t>
            </w:r>
            <w:r>
              <w:softHyphen/>
              <w:t>peni</w:t>
            </w:r>
          </w:p>
        </w:tc>
        <w:tc>
          <w:tcPr>
            <w:tcW w:w="1701" w:type="dxa"/>
            <w:tcBorders>
              <w:top w:val="outset" w:sz="6" w:space="0" w:color="auto"/>
              <w:left w:val="outset" w:sz="6" w:space="0" w:color="auto"/>
              <w:bottom w:val="outset" w:sz="6" w:space="0" w:color="auto"/>
              <w:right w:val="outset" w:sz="6" w:space="0" w:color="auto"/>
            </w:tcBorders>
            <w:hideMark/>
          </w:tcPr>
          <w:p w14:paraId="7903293A" w14:textId="77777777" w:rsidR="00037883" w:rsidRDefault="00037883">
            <w:pPr>
              <w:pStyle w:val="Default"/>
              <w:keepNext/>
              <w:ind w:left="111"/>
            </w:pPr>
            <w:r>
              <w:rPr>
                <w:i/>
              </w:rPr>
              <w:t>Almindelig:</w:t>
            </w:r>
            <w:r>
              <w:t xml:space="preserve"> </w:t>
            </w:r>
          </w:p>
          <w:p w14:paraId="095192AE" w14:textId="77777777" w:rsidR="00037883" w:rsidRDefault="00037883">
            <w:pPr>
              <w:pStyle w:val="Default"/>
              <w:keepNext/>
              <w:ind w:left="111"/>
            </w:pPr>
            <w:r>
              <w:t>Trombocytose*</w:t>
            </w:r>
          </w:p>
          <w:p w14:paraId="1974D363" w14:textId="77777777" w:rsidR="00037883" w:rsidRDefault="00037883">
            <w:pPr>
              <w:pStyle w:val="Default"/>
              <w:keepNext/>
              <w:ind w:left="111"/>
            </w:pPr>
            <w:r>
              <w:t>Trombocyto</w:t>
            </w:r>
            <w:r>
              <w:softHyphen/>
              <w:t>peni</w:t>
            </w:r>
          </w:p>
          <w:p w14:paraId="31DE3CF4" w14:textId="77777777" w:rsidR="00037883" w:rsidRDefault="00037883">
            <w:pPr>
              <w:pStyle w:val="Default"/>
              <w:keepNext/>
              <w:ind w:left="111"/>
            </w:pPr>
            <w:r>
              <w:rPr>
                <w:i/>
              </w:rPr>
              <w:t>Meget sjælden:</w:t>
            </w:r>
          </w:p>
          <w:p w14:paraId="35D53B20" w14:textId="77777777" w:rsidR="00037883" w:rsidRDefault="00037883">
            <w:pPr>
              <w:pStyle w:val="Default"/>
              <w:keepNext/>
              <w:ind w:left="111"/>
            </w:pPr>
            <w:r>
              <w:t>Immun-allergisk trombocytopeni</w:t>
            </w:r>
          </w:p>
        </w:tc>
      </w:tr>
    </w:tbl>
    <w:p w14:paraId="7C4D9357" w14:textId="77777777" w:rsidR="00F36616" w:rsidRPr="00485998" w:rsidRDefault="00F36616" w:rsidP="00F36616">
      <w:pPr>
        <w:pStyle w:val="Default"/>
        <w:ind w:left="851"/>
      </w:pPr>
      <w:r w:rsidRPr="00485998">
        <w:t xml:space="preserve">*: </w:t>
      </w:r>
      <w:r w:rsidRPr="008E12B6">
        <w:t>Forhøjet trombocyttal &gt;400 10</w:t>
      </w:r>
      <w:r w:rsidRPr="008E12B6">
        <w:rPr>
          <w:vertAlign w:val="superscript"/>
        </w:rPr>
        <w:t>9</w:t>
      </w:r>
      <w:r w:rsidRPr="008E12B6">
        <w:t xml:space="preserve">/l </w:t>
      </w:r>
    </w:p>
    <w:p w14:paraId="593BEB6A" w14:textId="77777777" w:rsidR="00F36616" w:rsidRPr="00485998" w:rsidRDefault="00F36616" w:rsidP="00F36616">
      <w:pPr>
        <w:pStyle w:val="Default"/>
        <w:ind w:left="851"/>
      </w:pPr>
    </w:p>
    <w:p w14:paraId="6AC32D1A" w14:textId="77777777" w:rsidR="00F36616" w:rsidRPr="00F83367" w:rsidRDefault="00F36616" w:rsidP="00F36616">
      <w:pPr>
        <w:pStyle w:val="Default"/>
        <w:ind w:left="851"/>
        <w:outlineLvl w:val="0"/>
        <w:rPr>
          <w:u w:val="single"/>
        </w:rPr>
      </w:pPr>
      <w:r w:rsidRPr="00F83367">
        <w:rPr>
          <w:u w:val="single"/>
        </w:rPr>
        <w:t>Pædiatrisk population</w:t>
      </w:r>
    </w:p>
    <w:p w14:paraId="5CA6385A" w14:textId="77777777" w:rsidR="00F36616" w:rsidRPr="00F83367" w:rsidRDefault="00F36616" w:rsidP="00F36616">
      <w:pPr>
        <w:pStyle w:val="Default"/>
        <w:ind w:left="851"/>
        <w:outlineLvl w:val="0"/>
      </w:pPr>
      <w:r w:rsidRPr="00F83367">
        <w:t>Enoxaparinnatriums sikkerhed og virkning hos den pædiatriske population er ikke klarlagt (se pkt. 4.2).</w:t>
      </w:r>
    </w:p>
    <w:p w14:paraId="6FCCC2D6" w14:textId="77777777" w:rsidR="00F36616" w:rsidRPr="00F83367" w:rsidRDefault="00F36616" w:rsidP="00F36616">
      <w:pPr>
        <w:pStyle w:val="Default"/>
        <w:ind w:left="851"/>
      </w:pPr>
    </w:p>
    <w:p w14:paraId="1D5B8C66" w14:textId="77777777" w:rsidR="00F36616" w:rsidRPr="00F83367" w:rsidRDefault="00F36616" w:rsidP="00F36616">
      <w:pPr>
        <w:autoSpaceDE w:val="0"/>
        <w:autoSpaceDN w:val="0"/>
        <w:ind w:left="851"/>
        <w:rPr>
          <w:sz w:val="24"/>
          <w:szCs w:val="24"/>
          <w:u w:val="single"/>
        </w:rPr>
      </w:pPr>
      <w:r w:rsidRPr="00F83367">
        <w:rPr>
          <w:sz w:val="24"/>
          <w:szCs w:val="24"/>
          <w:u w:val="single"/>
        </w:rPr>
        <w:t>Indberetning af formodede bivirkninger</w:t>
      </w:r>
    </w:p>
    <w:p w14:paraId="5C25D3E2" w14:textId="7535936A" w:rsidR="00F36616" w:rsidRPr="00F83367" w:rsidRDefault="00F36616" w:rsidP="00F36616">
      <w:pPr>
        <w:ind w:left="851"/>
        <w:rPr>
          <w:sz w:val="24"/>
          <w:szCs w:val="24"/>
        </w:rPr>
      </w:pPr>
      <w:r w:rsidRPr="00F83367">
        <w:rPr>
          <w:sz w:val="24"/>
          <w:szCs w:val="24"/>
        </w:rPr>
        <w:t xml:space="preserve">Når lægemidlet er godkendt, er indberetning af formodede bivirkninger vigtig. Det muliggør løbende monitorering af benefit/risk-forholdet for lægemidlet. </w:t>
      </w:r>
      <w:r w:rsidR="00F83367" w:rsidRPr="00F83367">
        <w:rPr>
          <w:sz w:val="24"/>
          <w:szCs w:val="24"/>
        </w:rPr>
        <w:t>S</w:t>
      </w:r>
      <w:r w:rsidRPr="00F83367">
        <w:rPr>
          <w:sz w:val="24"/>
          <w:szCs w:val="24"/>
        </w:rPr>
        <w:t>undhedsperson</w:t>
      </w:r>
      <w:r w:rsidR="00F83367" w:rsidRPr="00F83367">
        <w:rPr>
          <w:sz w:val="24"/>
          <w:szCs w:val="24"/>
        </w:rPr>
        <w:t>er</w:t>
      </w:r>
      <w:r w:rsidRPr="00F83367">
        <w:rPr>
          <w:sz w:val="24"/>
          <w:szCs w:val="24"/>
        </w:rPr>
        <w:t xml:space="preserve"> anmodes om at indberette alle formodede bivirkninger via:</w:t>
      </w:r>
    </w:p>
    <w:p w14:paraId="323E7319" w14:textId="77777777" w:rsidR="00F36616" w:rsidRPr="00F83367" w:rsidRDefault="00F36616" w:rsidP="00F36616">
      <w:pPr>
        <w:ind w:left="851"/>
        <w:rPr>
          <w:sz w:val="24"/>
          <w:szCs w:val="24"/>
        </w:rPr>
      </w:pPr>
    </w:p>
    <w:p w14:paraId="20D25270" w14:textId="77777777" w:rsidR="00F36616" w:rsidRPr="00F83367" w:rsidRDefault="00F36616" w:rsidP="00F36616">
      <w:pPr>
        <w:ind w:left="851"/>
        <w:rPr>
          <w:sz w:val="24"/>
          <w:szCs w:val="24"/>
        </w:rPr>
      </w:pPr>
      <w:r w:rsidRPr="00F83367">
        <w:rPr>
          <w:sz w:val="24"/>
          <w:szCs w:val="24"/>
        </w:rPr>
        <w:t>Lægemiddelstyrelsen</w:t>
      </w:r>
    </w:p>
    <w:p w14:paraId="3FB149AF" w14:textId="77777777" w:rsidR="00F36616" w:rsidRPr="00F83367" w:rsidRDefault="00F36616" w:rsidP="00F36616">
      <w:pPr>
        <w:ind w:left="851"/>
        <w:rPr>
          <w:sz w:val="24"/>
          <w:szCs w:val="24"/>
        </w:rPr>
      </w:pPr>
      <w:r w:rsidRPr="00F83367">
        <w:rPr>
          <w:sz w:val="24"/>
          <w:szCs w:val="24"/>
        </w:rPr>
        <w:t>Axel Heides Gade 1</w:t>
      </w:r>
    </w:p>
    <w:p w14:paraId="0F64A4DB" w14:textId="77777777" w:rsidR="00F36616" w:rsidRPr="00F83367" w:rsidRDefault="00F36616" w:rsidP="00F36616">
      <w:pPr>
        <w:ind w:left="851"/>
        <w:rPr>
          <w:sz w:val="24"/>
          <w:szCs w:val="24"/>
        </w:rPr>
      </w:pPr>
      <w:r w:rsidRPr="00F83367">
        <w:rPr>
          <w:sz w:val="24"/>
          <w:szCs w:val="24"/>
        </w:rPr>
        <w:t>DK-2300 København S</w:t>
      </w:r>
    </w:p>
    <w:p w14:paraId="231516B7" w14:textId="77777777" w:rsidR="00F36616" w:rsidRPr="00D503B8" w:rsidRDefault="00F36616" w:rsidP="00F36616">
      <w:pPr>
        <w:ind w:left="851"/>
        <w:rPr>
          <w:sz w:val="24"/>
          <w:szCs w:val="24"/>
        </w:rPr>
      </w:pPr>
      <w:r w:rsidRPr="00D503B8">
        <w:rPr>
          <w:sz w:val="24"/>
          <w:szCs w:val="24"/>
        </w:rPr>
        <w:t>Websted: www.meldenbivirkning.dk</w:t>
      </w:r>
    </w:p>
    <w:p w14:paraId="32461776" w14:textId="77777777" w:rsidR="000C25F4" w:rsidRPr="00D503B8" w:rsidRDefault="000C25F4" w:rsidP="000C25F4">
      <w:pPr>
        <w:pStyle w:val="Sidehoved"/>
        <w:tabs>
          <w:tab w:val="left" w:pos="851"/>
        </w:tabs>
        <w:ind w:left="851"/>
        <w:rPr>
          <w:szCs w:val="24"/>
        </w:rPr>
      </w:pPr>
    </w:p>
    <w:p w14:paraId="45FEC8CF" w14:textId="77777777" w:rsidR="000C25F4" w:rsidRPr="00D503B8" w:rsidRDefault="000C25F4" w:rsidP="000C25F4">
      <w:pPr>
        <w:tabs>
          <w:tab w:val="left" w:pos="851"/>
        </w:tabs>
        <w:ind w:left="851" w:hanging="851"/>
        <w:rPr>
          <w:b/>
          <w:sz w:val="24"/>
          <w:szCs w:val="24"/>
        </w:rPr>
      </w:pPr>
      <w:r w:rsidRPr="00D503B8">
        <w:rPr>
          <w:b/>
          <w:sz w:val="24"/>
          <w:szCs w:val="24"/>
        </w:rPr>
        <w:t>4.9</w:t>
      </w:r>
      <w:r w:rsidRPr="00D503B8">
        <w:rPr>
          <w:b/>
          <w:sz w:val="24"/>
          <w:szCs w:val="24"/>
        </w:rPr>
        <w:tab/>
        <w:t>Overdosering</w:t>
      </w:r>
    </w:p>
    <w:p w14:paraId="2C10DD5F" w14:textId="77777777" w:rsidR="00F36616" w:rsidRPr="00D503B8" w:rsidRDefault="00F36616" w:rsidP="00F36616">
      <w:pPr>
        <w:ind w:left="851"/>
        <w:textAlignment w:val="baseline"/>
        <w:rPr>
          <w:color w:val="000000"/>
          <w:sz w:val="24"/>
          <w:szCs w:val="24"/>
          <w:u w:val="single"/>
        </w:rPr>
      </w:pPr>
    </w:p>
    <w:p w14:paraId="1E0942CE" w14:textId="77777777" w:rsidR="00F36616" w:rsidRPr="00D503B8" w:rsidRDefault="00F36616" w:rsidP="00F36616">
      <w:pPr>
        <w:ind w:left="851"/>
        <w:textAlignment w:val="baseline"/>
        <w:outlineLvl w:val="0"/>
        <w:rPr>
          <w:color w:val="000000"/>
          <w:sz w:val="24"/>
          <w:szCs w:val="24"/>
          <w:u w:val="single"/>
        </w:rPr>
      </w:pPr>
      <w:r w:rsidRPr="00D503B8">
        <w:rPr>
          <w:color w:val="000000"/>
          <w:sz w:val="24"/>
          <w:szCs w:val="24"/>
          <w:u w:val="single"/>
        </w:rPr>
        <w:t>Symptomer</w:t>
      </w:r>
    </w:p>
    <w:p w14:paraId="6454A2A3" w14:textId="77777777" w:rsidR="00F36616" w:rsidRPr="00F83367" w:rsidRDefault="00F36616" w:rsidP="00F36616">
      <w:pPr>
        <w:pStyle w:val="Default"/>
        <w:ind w:left="851"/>
      </w:pPr>
      <w:r w:rsidRPr="00F83367">
        <w:t>Utilsigtet overdosering med enoxaparinnatrium efter intravenøs, ekstrakorporal eller subkutan administration kan medføre blødningskomplikationer. Det er ikke sandsynligt, at enoxaparinnatrium absorberes selv efter høje oralt administrerede doser.</w:t>
      </w:r>
    </w:p>
    <w:p w14:paraId="1DF04433" w14:textId="77777777" w:rsidR="00F36616" w:rsidRPr="00F83367" w:rsidRDefault="00F36616" w:rsidP="00F36616">
      <w:pPr>
        <w:ind w:left="851"/>
        <w:textAlignment w:val="baseline"/>
        <w:rPr>
          <w:color w:val="000000"/>
          <w:sz w:val="24"/>
          <w:szCs w:val="24"/>
          <w:u w:val="single"/>
        </w:rPr>
      </w:pPr>
    </w:p>
    <w:p w14:paraId="25750B1B" w14:textId="77777777" w:rsidR="00F36616" w:rsidRPr="00F83367" w:rsidRDefault="00F36616" w:rsidP="00F36616">
      <w:pPr>
        <w:ind w:left="851"/>
        <w:textAlignment w:val="baseline"/>
        <w:outlineLvl w:val="0"/>
        <w:rPr>
          <w:color w:val="000000"/>
          <w:sz w:val="24"/>
          <w:szCs w:val="24"/>
          <w:u w:val="single"/>
        </w:rPr>
      </w:pPr>
      <w:r w:rsidRPr="00F83367">
        <w:rPr>
          <w:sz w:val="24"/>
          <w:szCs w:val="24"/>
          <w:u w:val="single"/>
        </w:rPr>
        <w:t>Behandling</w:t>
      </w:r>
    </w:p>
    <w:p w14:paraId="1637D597" w14:textId="77777777" w:rsidR="00F36616" w:rsidRPr="00F83367" w:rsidRDefault="00F36616" w:rsidP="00F36616">
      <w:pPr>
        <w:pStyle w:val="Default"/>
        <w:ind w:left="851"/>
      </w:pPr>
      <w:r w:rsidRPr="00F83367">
        <w:t xml:space="preserve">Den antikoagulerende virkning kan i stort omfang neutraliseres ved langsom intravenøs injektion af protamin. Protamindosis afhænger af den injicerede dosis enoxaparinnatrium: 1 mg protamin neutraliserer den antikoagulerende aktivitet af 100 IE (1 mg) enoxaparinnatrium, hvis enoxaparinnatrium er blevet administreret inden for de seneste 8 timer. Hvis enoxaparinnatrium blev administreret mere end 8 timer inden administration af protamin, eller hvis det fastlægges, at det er nødvendigt at give en dosis protamin mere, kan protamin gives som infusion i en dosis på 0,5 mg pr. 100 IE (1 mg) enoxaparinnatrium. 12 timer efter injektion af enoxaparinnatrium er det muligvis ikke nødvendigt at administrere protamin. Selv høje doser protamin neutraliserer imidlertid ikke </w:t>
      </w:r>
      <w:r w:rsidRPr="00F83367">
        <w:lastRenderedPageBreak/>
        <w:t>enoxaparinnatriums anti-Xa-aktivitet fuldt ud (maks. ca. 60 %) (se produktresuméet for protaminsalte).</w:t>
      </w:r>
    </w:p>
    <w:p w14:paraId="6E84A65A" w14:textId="77777777" w:rsidR="000C25F4" w:rsidRPr="00F83367" w:rsidRDefault="000C25F4" w:rsidP="000C25F4">
      <w:pPr>
        <w:tabs>
          <w:tab w:val="left" w:pos="851"/>
        </w:tabs>
        <w:ind w:left="851"/>
        <w:rPr>
          <w:sz w:val="24"/>
          <w:szCs w:val="24"/>
        </w:rPr>
      </w:pPr>
    </w:p>
    <w:p w14:paraId="71EEAF19" w14:textId="77777777" w:rsidR="000C25F4" w:rsidRPr="00F83367" w:rsidRDefault="000C25F4" w:rsidP="000C25F4">
      <w:pPr>
        <w:tabs>
          <w:tab w:val="left" w:pos="851"/>
        </w:tabs>
        <w:ind w:left="851" w:hanging="851"/>
        <w:rPr>
          <w:b/>
          <w:sz w:val="24"/>
          <w:szCs w:val="24"/>
        </w:rPr>
      </w:pPr>
      <w:r w:rsidRPr="00F83367">
        <w:rPr>
          <w:b/>
          <w:sz w:val="24"/>
          <w:szCs w:val="24"/>
        </w:rPr>
        <w:t>4.10</w:t>
      </w:r>
      <w:r w:rsidRPr="00F83367">
        <w:rPr>
          <w:b/>
          <w:sz w:val="24"/>
          <w:szCs w:val="24"/>
        </w:rPr>
        <w:tab/>
        <w:t>Udlevering</w:t>
      </w:r>
    </w:p>
    <w:p w14:paraId="6CC03B34" w14:textId="77777777" w:rsidR="000C25F4" w:rsidRPr="00F83367" w:rsidRDefault="000C25F4" w:rsidP="000C25F4">
      <w:pPr>
        <w:tabs>
          <w:tab w:val="left" w:pos="851"/>
        </w:tabs>
        <w:ind w:left="851"/>
        <w:rPr>
          <w:sz w:val="24"/>
          <w:szCs w:val="24"/>
        </w:rPr>
      </w:pPr>
      <w:r w:rsidRPr="00F83367">
        <w:rPr>
          <w:sz w:val="24"/>
          <w:szCs w:val="24"/>
        </w:rPr>
        <w:t>B</w:t>
      </w:r>
    </w:p>
    <w:p w14:paraId="25AC341A" w14:textId="77777777" w:rsidR="000C25F4" w:rsidRPr="00F83367" w:rsidRDefault="000C25F4" w:rsidP="000C25F4">
      <w:pPr>
        <w:tabs>
          <w:tab w:val="left" w:pos="851"/>
        </w:tabs>
        <w:ind w:left="851"/>
        <w:rPr>
          <w:sz w:val="24"/>
          <w:szCs w:val="24"/>
        </w:rPr>
      </w:pPr>
    </w:p>
    <w:p w14:paraId="5A5786CF" w14:textId="77777777" w:rsidR="000C25F4" w:rsidRPr="00F83367" w:rsidRDefault="000C25F4" w:rsidP="000C25F4">
      <w:pPr>
        <w:tabs>
          <w:tab w:val="left" w:pos="851"/>
        </w:tabs>
        <w:ind w:left="851"/>
        <w:rPr>
          <w:sz w:val="24"/>
          <w:szCs w:val="24"/>
        </w:rPr>
      </w:pPr>
    </w:p>
    <w:p w14:paraId="6ADBAA55" w14:textId="77777777" w:rsidR="000C25F4" w:rsidRPr="00F83367" w:rsidRDefault="000C25F4" w:rsidP="000C25F4">
      <w:pPr>
        <w:tabs>
          <w:tab w:val="left" w:pos="851"/>
        </w:tabs>
        <w:ind w:left="851" w:hanging="851"/>
        <w:rPr>
          <w:b/>
          <w:sz w:val="24"/>
          <w:szCs w:val="24"/>
        </w:rPr>
      </w:pPr>
      <w:r w:rsidRPr="00F83367">
        <w:rPr>
          <w:b/>
          <w:sz w:val="24"/>
          <w:szCs w:val="24"/>
        </w:rPr>
        <w:t>5.</w:t>
      </w:r>
      <w:r w:rsidRPr="00F83367">
        <w:rPr>
          <w:b/>
          <w:sz w:val="24"/>
          <w:szCs w:val="24"/>
        </w:rPr>
        <w:tab/>
        <w:t>FARMAKOLOGISKE EGENSKABER</w:t>
      </w:r>
    </w:p>
    <w:p w14:paraId="5780D507" w14:textId="77777777" w:rsidR="000C25F4" w:rsidRPr="00F83367" w:rsidRDefault="000C25F4" w:rsidP="000C25F4">
      <w:pPr>
        <w:tabs>
          <w:tab w:val="left" w:pos="851"/>
        </w:tabs>
        <w:ind w:left="851"/>
        <w:rPr>
          <w:sz w:val="24"/>
          <w:szCs w:val="24"/>
        </w:rPr>
      </w:pPr>
    </w:p>
    <w:p w14:paraId="04795FE3" w14:textId="77777777" w:rsidR="000C25F4" w:rsidRPr="00F83367" w:rsidRDefault="000C25F4" w:rsidP="000C25F4">
      <w:pPr>
        <w:tabs>
          <w:tab w:val="num" w:pos="851"/>
        </w:tabs>
        <w:ind w:left="851" w:hanging="851"/>
        <w:rPr>
          <w:b/>
          <w:sz w:val="24"/>
          <w:szCs w:val="24"/>
        </w:rPr>
      </w:pPr>
      <w:r w:rsidRPr="00F83367">
        <w:rPr>
          <w:b/>
          <w:sz w:val="24"/>
          <w:szCs w:val="24"/>
        </w:rPr>
        <w:t>5.1</w:t>
      </w:r>
      <w:r w:rsidRPr="00F83367">
        <w:rPr>
          <w:b/>
          <w:sz w:val="24"/>
          <w:szCs w:val="24"/>
        </w:rPr>
        <w:tab/>
        <w:t>Farmakodynamiske egenskaber</w:t>
      </w:r>
    </w:p>
    <w:p w14:paraId="37DE3362" w14:textId="5DF937FD" w:rsidR="00F36616" w:rsidRDefault="00037883" w:rsidP="00037883">
      <w:pPr>
        <w:tabs>
          <w:tab w:val="left" w:pos="851"/>
        </w:tabs>
        <w:ind w:left="851" w:hanging="851"/>
        <w:rPr>
          <w:color w:val="000000"/>
          <w:sz w:val="24"/>
          <w:szCs w:val="24"/>
          <w:u w:val="single"/>
        </w:rPr>
      </w:pPr>
      <w:r>
        <w:rPr>
          <w:b/>
          <w:sz w:val="24"/>
          <w:szCs w:val="24"/>
        </w:rPr>
        <w:tab/>
      </w:r>
      <w:r w:rsidRPr="00037883">
        <w:rPr>
          <w:sz w:val="24"/>
          <w:szCs w:val="24"/>
        </w:rPr>
        <w:t>Farmakoterapeutisk klassifikation</w:t>
      </w:r>
      <w:r>
        <w:rPr>
          <w:sz w:val="24"/>
          <w:szCs w:val="24"/>
        </w:rPr>
        <w:t xml:space="preserve">: </w:t>
      </w:r>
      <w:r w:rsidRPr="00F83367">
        <w:t>Antitrombosemidler, heparin-gruppen</w:t>
      </w:r>
      <w:r>
        <w:t>.</w:t>
      </w:r>
      <w:r>
        <w:t xml:space="preserve"> </w:t>
      </w:r>
      <w:r w:rsidRPr="00F83367">
        <w:t>ATC-kode: B01A B05.</w:t>
      </w:r>
    </w:p>
    <w:p w14:paraId="1CCFE59F" w14:textId="77777777" w:rsidR="00037883" w:rsidRPr="00F83367" w:rsidRDefault="00037883" w:rsidP="00F36616">
      <w:pPr>
        <w:ind w:left="851"/>
        <w:textAlignment w:val="baseline"/>
        <w:rPr>
          <w:color w:val="000000"/>
          <w:sz w:val="24"/>
          <w:szCs w:val="24"/>
          <w:u w:val="single"/>
        </w:rPr>
      </w:pPr>
    </w:p>
    <w:p w14:paraId="62660799"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Farmakodynamisk virkning</w:t>
      </w:r>
    </w:p>
    <w:p w14:paraId="7F3E5FFB" w14:textId="77777777" w:rsidR="00F36616" w:rsidRPr="00F83367" w:rsidRDefault="00F36616" w:rsidP="00F36616">
      <w:pPr>
        <w:ind w:left="851" w:right="432"/>
        <w:textAlignment w:val="baseline"/>
        <w:rPr>
          <w:sz w:val="24"/>
          <w:szCs w:val="24"/>
        </w:rPr>
      </w:pPr>
      <w:r w:rsidRPr="00F83367">
        <w:rPr>
          <w:sz w:val="24"/>
          <w:szCs w:val="24"/>
        </w:rPr>
        <w:t>Enoxaparin er et lavmolekylært heparin med en gennemsnitlig molekylvægt på ca. 4.500 dalton, i hvilken standard-heparins antitrombotiske og antikoagulerende aktivitet er blevet adskilt.</w:t>
      </w:r>
      <w:r w:rsidRPr="00F83367">
        <w:rPr>
          <w:color w:val="000000"/>
          <w:sz w:val="24"/>
          <w:szCs w:val="24"/>
        </w:rPr>
        <w:t xml:space="preserve"> Det aktive lægemiddel </w:t>
      </w:r>
      <w:r w:rsidRPr="00F83367">
        <w:rPr>
          <w:sz w:val="24"/>
          <w:szCs w:val="24"/>
        </w:rPr>
        <w:t>er natriumsaltet.</w:t>
      </w:r>
    </w:p>
    <w:p w14:paraId="16F51380" w14:textId="77777777" w:rsidR="00F36616" w:rsidRPr="00F83367" w:rsidRDefault="00F36616" w:rsidP="00F36616">
      <w:pPr>
        <w:ind w:left="851" w:right="432"/>
        <w:textAlignment w:val="baseline"/>
        <w:rPr>
          <w:sz w:val="24"/>
          <w:szCs w:val="24"/>
        </w:rPr>
      </w:pPr>
    </w:p>
    <w:p w14:paraId="52F9DDF4" w14:textId="77777777" w:rsidR="00F36616" w:rsidRPr="00F83367" w:rsidRDefault="00F36616" w:rsidP="00F36616">
      <w:pPr>
        <w:ind w:left="851" w:right="432"/>
        <w:textAlignment w:val="baseline"/>
        <w:rPr>
          <w:sz w:val="24"/>
          <w:szCs w:val="24"/>
        </w:rPr>
      </w:pPr>
      <w:r w:rsidRPr="00F83367">
        <w:rPr>
          <w:i/>
          <w:sz w:val="24"/>
          <w:szCs w:val="24"/>
        </w:rPr>
        <w:t>In vitro</w:t>
      </w:r>
      <w:r w:rsidRPr="00F83367">
        <w:rPr>
          <w:sz w:val="24"/>
          <w:szCs w:val="24"/>
        </w:rPr>
        <w:t xml:space="preserve"> har oprenset enoxaparinnatrium en høj anti-Xa-aktivitet (ca. 100 IE/mg) og en lav anti-IIa- eller antitrombin-aktivitet (ca. 28 IE/mg) med en ratio på 3,6. Disse antikoagulerende aktiviteter medieres af antitrombin III (ATIII), hvilket resulterer i antitrombotisk virkning hos mennesker.</w:t>
      </w:r>
    </w:p>
    <w:p w14:paraId="56C4CC48" w14:textId="77777777" w:rsidR="00F36616" w:rsidRPr="00F83367" w:rsidRDefault="00F36616" w:rsidP="00F36616">
      <w:pPr>
        <w:ind w:left="851" w:right="432"/>
        <w:textAlignment w:val="baseline"/>
        <w:rPr>
          <w:sz w:val="24"/>
          <w:szCs w:val="24"/>
        </w:rPr>
      </w:pPr>
    </w:p>
    <w:p w14:paraId="56DDBC8C" w14:textId="77777777" w:rsidR="00F36616" w:rsidRPr="00F83367" w:rsidRDefault="00F36616" w:rsidP="00F36616">
      <w:pPr>
        <w:ind w:left="851" w:right="432"/>
        <w:textAlignment w:val="baseline"/>
        <w:rPr>
          <w:sz w:val="24"/>
          <w:szCs w:val="24"/>
        </w:rPr>
      </w:pPr>
      <w:r w:rsidRPr="00F83367">
        <w:rPr>
          <w:sz w:val="24"/>
          <w:szCs w:val="24"/>
        </w:rPr>
        <w:t>Udover dets anti-Xa- og anti-IIa-aktivitet er der identificeret yderligere antitrombotiske og antiinflammatoriske egenskaber hos enoxaparin i studier hos raske forsøgspersoner og patienter såvel som i nonkliniske modeller.</w:t>
      </w:r>
    </w:p>
    <w:p w14:paraId="13973143" w14:textId="77777777" w:rsidR="00F36616" w:rsidRPr="00F83367" w:rsidRDefault="00F36616" w:rsidP="00F36616">
      <w:pPr>
        <w:ind w:left="851" w:right="432"/>
        <w:textAlignment w:val="baseline"/>
        <w:rPr>
          <w:sz w:val="24"/>
          <w:szCs w:val="24"/>
        </w:rPr>
      </w:pPr>
      <w:r w:rsidRPr="00F83367">
        <w:rPr>
          <w:sz w:val="24"/>
          <w:szCs w:val="24"/>
        </w:rPr>
        <w:t xml:space="preserve">Disse inkluderer ATIII-afhængig hæmning af andre koagulationsfaktorer som faktor VIIa, induktion af endogen </w:t>
      </w:r>
      <w:r w:rsidRPr="00F83367">
        <w:rPr>
          <w:i/>
          <w:iCs/>
          <w:sz w:val="24"/>
          <w:szCs w:val="24"/>
        </w:rPr>
        <w:t>Tissue Factor Pathway Inhibitor</w:t>
      </w:r>
      <w:r w:rsidRPr="00F83367">
        <w:rPr>
          <w:sz w:val="24"/>
          <w:szCs w:val="24"/>
        </w:rPr>
        <w:t xml:space="preserve"> (TFPI)-afgivelse og reduceret afgivelse af von Willebrand-faktor (vWF) fra det vaskulære endotel til blodcirkulationen. Disse faktorer bidrager til enoxaparinnatriums samlede antitrombotiske effekt.</w:t>
      </w:r>
    </w:p>
    <w:p w14:paraId="2A49881F" w14:textId="77777777" w:rsidR="00F36616" w:rsidRPr="00F83367" w:rsidRDefault="00F36616" w:rsidP="00F36616">
      <w:pPr>
        <w:ind w:left="851" w:right="432"/>
        <w:textAlignment w:val="baseline"/>
        <w:rPr>
          <w:sz w:val="24"/>
          <w:szCs w:val="24"/>
        </w:rPr>
      </w:pPr>
      <w:r w:rsidRPr="00F83367">
        <w:rPr>
          <w:sz w:val="24"/>
          <w:szCs w:val="24"/>
        </w:rPr>
        <w:t>Når enoxaparinnatrium anvendes som profylaktisk behandling, påvirker det ikke aPTT i signifikant grad. Når det anvendes som kurativ behandling, kan aPTT være forlænget med 1,5-2,2 gange kontroltiden ved maksimal aktivitet.</w:t>
      </w:r>
    </w:p>
    <w:p w14:paraId="61F7CA40" w14:textId="77777777" w:rsidR="00F36616" w:rsidRPr="00F83367" w:rsidRDefault="00F36616" w:rsidP="00F36616">
      <w:pPr>
        <w:ind w:left="851" w:right="432"/>
        <w:textAlignment w:val="baseline"/>
        <w:rPr>
          <w:sz w:val="24"/>
          <w:szCs w:val="24"/>
        </w:rPr>
      </w:pPr>
    </w:p>
    <w:p w14:paraId="7A16F3E8"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Klinisk virkning og sikkerhed</w:t>
      </w:r>
    </w:p>
    <w:p w14:paraId="5D97F262" w14:textId="77777777" w:rsidR="00F36616" w:rsidRPr="00F83367" w:rsidRDefault="00F36616" w:rsidP="00F36616">
      <w:pPr>
        <w:ind w:left="851"/>
        <w:textAlignment w:val="baseline"/>
        <w:rPr>
          <w:color w:val="000000"/>
          <w:sz w:val="24"/>
          <w:szCs w:val="24"/>
          <w:u w:val="single"/>
        </w:rPr>
      </w:pPr>
    </w:p>
    <w:p w14:paraId="293A710B"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Forebyggelse af venøs tromboembolisk sygdom i forbindelse med kirurgi</w:t>
      </w:r>
    </w:p>
    <w:p w14:paraId="420F8BDC" w14:textId="77777777" w:rsidR="00F36616" w:rsidRPr="00F83367" w:rsidRDefault="00F36616" w:rsidP="00F36616">
      <w:pPr>
        <w:ind w:left="851"/>
        <w:textAlignment w:val="baseline"/>
        <w:rPr>
          <w:color w:val="000000"/>
          <w:sz w:val="24"/>
          <w:szCs w:val="24"/>
        </w:rPr>
      </w:pPr>
    </w:p>
    <w:p w14:paraId="69756118" w14:textId="77777777" w:rsidR="00F36616" w:rsidRPr="00F83367" w:rsidRDefault="00F36616" w:rsidP="00F36616">
      <w:pPr>
        <w:numPr>
          <w:ilvl w:val="0"/>
          <w:numId w:val="20"/>
        </w:numPr>
        <w:tabs>
          <w:tab w:val="clear" w:pos="432"/>
          <w:tab w:val="left" w:pos="576"/>
        </w:tabs>
        <w:ind w:left="851"/>
        <w:textAlignment w:val="baseline"/>
        <w:rPr>
          <w:color w:val="000000"/>
          <w:sz w:val="24"/>
          <w:szCs w:val="24"/>
        </w:rPr>
      </w:pPr>
      <w:r w:rsidRPr="00F83367">
        <w:rPr>
          <w:color w:val="000000"/>
          <w:sz w:val="24"/>
          <w:szCs w:val="24"/>
        </w:rPr>
        <w:t>Forlænget profylakse mod VTE efter ortopædkirurgi</w:t>
      </w:r>
    </w:p>
    <w:p w14:paraId="571ABE51" w14:textId="77777777" w:rsidR="00F36616" w:rsidRPr="00F83367" w:rsidRDefault="00F36616" w:rsidP="00F36616">
      <w:pPr>
        <w:ind w:left="851" w:right="288"/>
        <w:textAlignment w:val="baseline"/>
        <w:rPr>
          <w:color w:val="000000"/>
          <w:sz w:val="24"/>
          <w:szCs w:val="24"/>
        </w:rPr>
      </w:pPr>
      <w:r w:rsidRPr="00F83367">
        <w:rPr>
          <w:color w:val="000000"/>
          <w:sz w:val="24"/>
          <w:szCs w:val="24"/>
        </w:rPr>
        <w:t>I et dobbeltblindt studie vedrørende forlænget profylakse hos patienter, der fik foretaget hoftealloplastik, blev 179 patienter uden venøs tromboembolisk sygdom, som initialt blev behandlet med enoxaparinnatrium 4.000 IE (40 mg) subkutant under deres hospitalsindlæggelse, randomiseret til behandling efter udskrivning med enten enoxaparinnatrium 4.000 IE (40 mg) (n=90) subkutant en gang dagligt i 3 uger eller til placebo (n=89). Forekomsten af DVT i løbet af den forlængede profylakse var signifikant lavere for enoxaparinnatrium end for placebo. Der blev ikke rapporteret PE. Der forekom ingen alvorlig blødning.</w:t>
      </w:r>
    </w:p>
    <w:p w14:paraId="38041925" w14:textId="77777777" w:rsidR="00F36616" w:rsidRPr="00F83367" w:rsidRDefault="00F36616" w:rsidP="00F36616">
      <w:pPr>
        <w:ind w:left="851" w:right="288"/>
        <w:textAlignment w:val="baseline"/>
        <w:rPr>
          <w:color w:val="000000"/>
          <w:sz w:val="24"/>
          <w:szCs w:val="24"/>
        </w:rPr>
      </w:pPr>
      <w:r w:rsidRPr="00F83367">
        <w:rPr>
          <w:color w:val="000000"/>
          <w:sz w:val="24"/>
          <w:szCs w:val="24"/>
        </w:rPr>
        <w:t>Effektdata er vist i nedenstående tabel.</w:t>
      </w:r>
    </w:p>
    <w:p w14:paraId="1045739D" w14:textId="77777777" w:rsidR="00F36616" w:rsidRPr="00F83367" w:rsidRDefault="00F36616" w:rsidP="00F36616">
      <w:pPr>
        <w:keepNext/>
        <w:ind w:left="851"/>
        <w:textAlignment w:val="baseline"/>
        <w:rPr>
          <w:color w:val="000000"/>
          <w:sz w:val="24"/>
          <w:szCs w:val="24"/>
        </w:rPr>
      </w:pPr>
    </w:p>
    <w:tbl>
      <w:tblPr>
        <w:tblW w:w="0" w:type="auto"/>
        <w:tblInd w:w="763" w:type="dxa"/>
        <w:tblLayout w:type="fixed"/>
        <w:tblCellMar>
          <w:left w:w="0" w:type="dxa"/>
          <w:right w:w="0" w:type="dxa"/>
        </w:tblCellMar>
        <w:tblLook w:val="04A0" w:firstRow="1" w:lastRow="0" w:firstColumn="1" w:lastColumn="0" w:noHBand="0" w:noVBand="1"/>
      </w:tblPr>
      <w:tblGrid>
        <w:gridCol w:w="3547"/>
        <w:gridCol w:w="2199"/>
        <w:gridCol w:w="2202"/>
      </w:tblGrid>
      <w:tr w:rsidR="00F36616" w14:paraId="107922F1" w14:textId="77777777" w:rsidTr="00F36616">
        <w:trPr>
          <w:trHeight w:hRule="exact" w:val="1148"/>
        </w:trPr>
        <w:tc>
          <w:tcPr>
            <w:tcW w:w="3547" w:type="dxa"/>
            <w:tcBorders>
              <w:top w:val="single" w:sz="4" w:space="0" w:color="000000"/>
              <w:left w:val="single" w:sz="4" w:space="0" w:color="000000"/>
              <w:bottom w:val="single" w:sz="4" w:space="0" w:color="000000"/>
              <w:right w:val="single" w:sz="4" w:space="0" w:color="000000"/>
            </w:tcBorders>
          </w:tcPr>
          <w:p w14:paraId="53711956" w14:textId="77777777" w:rsidR="00F36616" w:rsidRPr="00485998" w:rsidRDefault="00F36616" w:rsidP="00F36616">
            <w:pPr>
              <w:keepNext/>
              <w:ind w:left="83"/>
              <w:textAlignment w:val="baseline"/>
              <w:rPr>
                <w:color w:val="000000"/>
              </w:rPr>
            </w:pPr>
          </w:p>
        </w:tc>
        <w:tc>
          <w:tcPr>
            <w:tcW w:w="2199" w:type="dxa"/>
            <w:tcBorders>
              <w:top w:val="single" w:sz="4" w:space="0" w:color="000000"/>
              <w:left w:val="single" w:sz="4" w:space="0" w:color="000000"/>
              <w:bottom w:val="single" w:sz="4" w:space="0" w:color="000000"/>
              <w:right w:val="single" w:sz="4" w:space="0" w:color="000000"/>
            </w:tcBorders>
          </w:tcPr>
          <w:p w14:paraId="34E5E723" w14:textId="77777777" w:rsidR="00F36616" w:rsidRPr="00485998" w:rsidRDefault="00F36616" w:rsidP="00F36616">
            <w:pPr>
              <w:keepNext/>
              <w:ind w:left="80"/>
              <w:textAlignment w:val="baseline"/>
              <w:rPr>
                <w:b/>
                <w:color w:val="000000"/>
              </w:rPr>
            </w:pPr>
            <w:r w:rsidRPr="00485998">
              <w:rPr>
                <w:b/>
                <w:color w:val="000000"/>
              </w:rPr>
              <w:t xml:space="preserve">Enoxaparinnatrium 4.000 IE (40 mg) </w:t>
            </w:r>
            <w:r>
              <w:rPr>
                <w:b/>
                <w:color w:val="000000"/>
              </w:rPr>
              <w:t>s.c. en</w:t>
            </w:r>
            <w:r w:rsidRPr="00485998">
              <w:rPr>
                <w:b/>
                <w:color w:val="000000"/>
              </w:rPr>
              <w:t xml:space="preserve"> gang dag</w:t>
            </w:r>
            <w:r>
              <w:rPr>
                <w:b/>
                <w:color w:val="000000"/>
              </w:rPr>
              <w:t>ligt</w:t>
            </w:r>
          </w:p>
          <w:p w14:paraId="72E0FCF5" w14:textId="77777777" w:rsidR="00F36616" w:rsidRPr="00485998" w:rsidRDefault="00F36616" w:rsidP="00F36616">
            <w:pPr>
              <w:keepNext/>
              <w:ind w:left="80"/>
              <w:textAlignment w:val="baseline"/>
              <w:rPr>
                <w:b/>
                <w:color w:val="000000"/>
              </w:rPr>
            </w:pPr>
            <w:r w:rsidRPr="00485998">
              <w:rPr>
                <w:b/>
                <w:color w:val="000000"/>
              </w:rPr>
              <w:t xml:space="preserve"> </w:t>
            </w:r>
            <w:r>
              <w:rPr>
                <w:b/>
                <w:color w:val="000000"/>
              </w:rPr>
              <w:t xml:space="preserve">n </w:t>
            </w:r>
            <w:r w:rsidRPr="00485998">
              <w:rPr>
                <w:b/>
                <w:color w:val="000000"/>
              </w:rPr>
              <w:t>(%)</w:t>
            </w:r>
          </w:p>
        </w:tc>
        <w:tc>
          <w:tcPr>
            <w:tcW w:w="2202" w:type="dxa"/>
            <w:tcBorders>
              <w:top w:val="single" w:sz="4" w:space="0" w:color="000000"/>
              <w:left w:val="single" w:sz="4" w:space="0" w:color="000000"/>
              <w:bottom w:val="single" w:sz="4" w:space="0" w:color="000000"/>
              <w:right w:val="single" w:sz="4" w:space="0" w:color="000000"/>
            </w:tcBorders>
            <w:vAlign w:val="bottom"/>
          </w:tcPr>
          <w:p w14:paraId="3C553BA4" w14:textId="77777777" w:rsidR="00F36616" w:rsidRPr="00485998" w:rsidRDefault="00F36616" w:rsidP="00F36616">
            <w:pPr>
              <w:keepNext/>
              <w:ind w:left="149"/>
              <w:textAlignment w:val="baseline"/>
              <w:rPr>
                <w:b/>
                <w:color w:val="000000"/>
              </w:rPr>
            </w:pPr>
            <w:r w:rsidRPr="00485998">
              <w:rPr>
                <w:b/>
                <w:color w:val="000000"/>
              </w:rPr>
              <w:t>Placebo</w:t>
            </w:r>
            <w:r>
              <w:rPr>
                <w:b/>
                <w:color w:val="000000"/>
              </w:rPr>
              <w:t xml:space="preserve"> s.c.</w:t>
            </w:r>
          </w:p>
          <w:p w14:paraId="2CDDC724" w14:textId="77777777" w:rsidR="00F36616" w:rsidRPr="00485998" w:rsidRDefault="00F36616" w:rsidP="00F36616">
            <w:pPr>
              <w:keepNext/>
              <w:ind w:left="149"/>
              <w:textAlignment w:val="baseline"/>
              <w:rPr>
                <w:b/>
                <w:color w:val="000000"/>
              </w:rPr>
            </w:pPr>
            <w:r>
              <w:rPr>
                <w:b/>
                <w:color w:val="000000"/>
              </w:rPr>
              <w:t>en</w:t>
            </w:r>
            <w:r w:rsidRPr="00485998">
              <w:rPr>
                <w:b/>
                <w:color w:val="000000"/>
              </w:rPr>
              <w:t xml:space="preserve"> gang dag</w:t>
            </w:r>
            <w:r>
              <w:rPr>
                <w:b/>
                <w:color w:val="000000"/>
              </w:rPr>
              <w:t>ligt</w:t>
            </w:r>
          </w:p>
          <w:p w14:paraId="532D6B45" w14:textId="77777777" w:rsidR="00F36616" w:rsidRPr="00485998" w:rsidRDefault="00F36616" w:rsidP="00F36616">
            <w:pPr>
              <w:keepNext/>
              <w:ind w:left="149"/>
              <w:textAlignment w:val="baseline"/>
              <w:rPr>
                <w:b/>
                <w:color w:val="000000"/>
              </w:rPr>
            </w:pPr>
            <w:r w:rsidRPr="00485998">
              <w:rPr>
                <w:b/>
                <w:color w:val="000000"/>
              </w:rPr>
              <w:t>n (%)</w:t>
            </w:r>
          </w:p>
        </w:tc>
      </w:tr>
      <w:tr w:rsidR="00F36616" w14:paraId="0D2652FB" w14:textId="77777777" w:rsidTr="00F36616">
        <w:trPr>
          <w:trHeight w:hRule="exact" w:val="528"/>
        </w:trPr>
        <w:tc>
          <w:tcPr>
            <w:tcW w:w="3547" w:type="dxa"/>
            <w:tcBorders>
              <w:top w:val="single" w:sz="4" w:space="0" w:color="000000"/>
              <w:left w:val="single" w:sz="4" w:space="0" w:color="000000"/>
              <w:bottom w:val="single" w:sz="4" w:space="0" w:color="000000"/>
              <w:right w:val="single" w:sz="4" w:space="0" w:color="000000"/>
            </w:tcBorders>
          </w:tcPr>
          <w:p w14:paraId="123E281C" w14:textId="77777777" w:rsidR="00F36616" w:rsidRPr="00485998" w:rsidRDefault="00F36616" w:rsidP="00F36616">
            <w:pPr>
              <w:keepNext/>
              <w:ind w:left="83"/>
              <w:textAlignment w:val="baseline"/>
              <w:rPr>
                <w:b/>
                <w:color w:val="000000"/>
              </w:rPr>
            </w:pPr>
            <w:r w:rsidRPr="00485998">
              <w:rPr>
                <w:b/>
                <w:color w:val="000000"/>
              </w:rPr>
              <w:t>Alle patienter behandlet med forlænget profylakse</w:t>
            </w:r>
          </w:p>
        </w:tc>
        <w:tc>
          <w:tcPr>
            <w:tcW w:w="2199" w:type="dxa"/>
            <w:tcBorders>
              <w:top w:val="single" w:sz="4" w:space="0" w:color="000000"/>
              <w:left w:val="single" w:sz="4" w:space="0" w:color="000000"/>
              <w:bottom w:val="single" w:sz="4" w:space="0" w:color="000000"/>
              <w:right w:val="single" w:sz="4" w:space="0" w:color="000000"/>
            </w:tcBorders>
          </w:tcPr>
          <w:p w14:paraId="75956241" w14:textId="77777777" w:rsidR="00F36616" w:rsidRPr="00485998" w:rsidRDefault="00F36616" w:rsidP="00F36616">
            <w:pPr>
              <w:keepNext/>
              <w:ind w:left="80"/>
              <w:textAlignment w:val="baseline"/>
              <w:rPr>
                <w:color w:val="000000"/>
              </w:rPr>
            </w:pPr>
            <w:r w:rsidRPr="00485998">
              <w:rPr>
                <w:color w:val="000000"/>
              </w:rPr>
              <w:t>90 (100)</w:t>
            </w:r>
          </w:p>
        </w:tc>
        <w:tc>
          <w:tcPr>
            <w:tcW w:w="2202" w:type="dxa"/>
            <w:tcBorders>
              <w:top w:val="single" w:sz="4" w:space="0" w:color="000000"/>
              <w:left w:val="single" w:sz="4" w:space="0" w:color="000000"/>
              <w:bottom w:val="single" w:sz="4" w:space="0" w:color="000000"/>
              <w:right w:val="single" w:sz="4" w:space="0" w:color="000000"/>
            </w:tcBorders>
          </w:tcPr>
          <w:p w14:paraId="7EE75EA1" w14:textId="77777777" w:rsidR="00F36616" w:rsidRPr="00485998" w:rsidRDefault="00F36616" w:rsidP="00F36616">
            <w:pPr>
              <w:keepNext/>
              <w:ind w:left="149"/>
              <w:textAlignment w:val="baseline"/>
              <w:rPr>
                <w:color w:val="000000"/>
              </w:rPr>
            </w:pPr>
            <w:r w:rsidRPr="00485998">
              <w:rPr>
                <w:color w:val="000000"/>
              </w:rPr>
              <w:t>89 (100)</w:t>
            </w:r>
          </w:p>
        </w:tc>
      </w:tr>
      <w:tr w:rsidR="00F36616" w14:paraId="4BFB84EB" w14:textId="77777777" w:rsidTr="00F36616">
        <w:trPr>
          <w:trHeight w:hRule="exact" w:val="274"/>
        </w:trPr>
        <w:tc>
          <w:tcPr>
            <w:tcW w:w="3547" w:type="dxa"/>
            <w:tcBorders>
              <w:top w:val="single" w:sz="4" w:space="0" w:color="000000"/>
              <w:left w:val="single" w:sz="4" w:space="0" w:color="000000"/>
              <w:bottom w:val="single" w:sz="4" w:space="0" w:color="000000"/>
              <w:right w:val="single" w:sz="4" w:space="0" w:color="000000"/>
            </w:tcBorders>
            <w:vAlign w:val="center"/>
          </w:tcPr>
          <w:p w14:paraId="124A30D7" w14:textId="77777777" w:rsidR="00F36616" w:rsidRPr="00485998" w:rsidRDefault="00F36616" w:rsidP="00F36616">
            <w:pPr>
              <w:keepNext/>
              <w:ind w:left="83"/>
              <w:textAlignment w:val="baseline"/>
              <w:rPr>
                <w:b/>
                <w:color w:val="000000"/>
              </w:rPr>
            </w:pPr>
            <w:r w:rsidRPr="00485998">
              <w:rPr>
                <w:b/>
                <w:color w:val="000000"/>
              </w:rPr>
              <w:t xml:space="preserve">VTE </w:t>
            </w:r>
            <w:r>
              <w:rPr>
                <w:b/>
                <w:color w:val="000000"/>
              </w:rPr>
              <w:t>totalt</w:t>
            </w:r>
          </w:p>
        </w:tc>
        <w:tc>
          <w:tcPr>
            <w:tcW w:w="2199" w:type="dxa"/>
            <w:tcBorders>
              <w:top w:val="single" w:sz="4" w:space="0" w:color="000000"/>
              <w:left w:val="single" w:sz="4" w:space="0" w:color="000000"/>
              <w:bottom w:val="single" w:sz="4" w:space="0" w:color="000000"/>
              <w:right w:val="single" w:sz="4" w:space="0" w:color="000000"/>
            </w:tcBorders>
            <w:vAlign w:val="center"/>
          </w:tcPr>
          <w:p w14:paraId="434070C9" w14:textId="77777777" w:rsidR="00F36616" w:rsidRPr="00485998" w:rsidRDefault="00F36616" w:rsidP="00F36616">
            <w:pPr>
              <w:keepNext/>
              <w:ind w:left="80"/>
              <w:textAlignment w:val="baseline"/>
              <w:rPr>
                <w:color w:val="000000"/>
              </w:rPr>
            </w:pPr>
            <w:r w:rsidRPr="00485998">
              <w:rPr>
                <w:color w:val="000000"/>
              </w:rPr>
              <w:t>6 (6,6)</w:t>
            </w:r>
          </w:p>
        </w:tc>
        <w:tc>
          <w:tcPr>
            <w:tcW w:w="2202" w:type="dxa"/>
            <w:tcBorders>
              <w:top w:val="single" w:sz="4" w:space="0" w:color="000000"/>
              <w:left w:val="single" w:sz="4" w:space="0" w:color="000000"/>
              <w:bottom w:val="single" w:sz="4" w:space="0" w:color="000000"/>
              <w:right w:val="single" w:sz="4" w:space="0" w:color="000000"/>
            </w:tcBorders>
            <w:vAlign w:val="center"/>
          </w:tcPr>
          <w:p w14:paraId="1A33B034" w14:textId="77777777" w:rsidR="00F36616" w:rsidRPr="00485998" w:rsidRDefault="00F36616" w:rsidP="00F36616">
            <w:pPr>
              <w:keepNext/>
              <w:ind w:left="149"/>
              <w:textAlignment w:val="baseline"/>
              <w:rPr>
                <w:color w:val="000000"/>
              </w:rPr>
            </w:pPr>
            <w:r w:rsidRPr="00485998">
              <w:rPr>
                <w:color w:val="000000"/>
              </w:rPr>
              <w:t>18 (20,2)</w:t>
            </w:r>
          </w:p>
        </w:tc>
      </w:tr>
      <w:tr w:rsidR="00F36616" w14:paraId="67DE7595" w14:textId="77777777" w:rsidTr="00F36616">
        <w:trPr>
          <w:trHeight w:hRule="exact" w:val="268"/>
        </w:trPr>
        <w:tc>
          <w:tcPr>
            <w:tcW w:w="3547" w:type="dxa"/>
            <w:tcBorders>
              <w:top w:val="single" w:sz="4" w:space="0" w:color="000000"/>
              <w:left w:val="single" w:sz="4" w:space="0" w:color="000000"/>
              <w:bottom w:val="single" w:sz="4" w:space="0" w:color="000000"/>
              <w:right w:val="single" w:sz="4" w:space="0" w:color="000000"/>
            </w:tcBorders>
            <w:vAlign w:val="center"/>
          </w:tcPr>
          <w:p w14:paraId="0B2716E6" w14:textId="77777777" w:rsidR="00F36616" w:rsidRPr="00485998" w:rsidRDefault="00F36616" w:rsidP="00F36616">
            <w:pPr>
              <w:keepNext/>
              <w:numPr>
                <w:ilvl w:val="0"/>
                <w:numId w:val="21"/>
              </w:numPr>
              <w:tabs>
                <w:tab w:val="left" w:pos="504"/>
              </w:tabs>
              <w:ind w:left="83"/>
              <w:textAlignment w:val="baseline"/>
              <w:rPr>
                <w:color w:val="000000"/>
              </w:rPr>
            </w:pPr>
            <w:r w:rsidRPr="00485998">
              <w:rPr>
                <w:color w:val="000000"/>
              </w:rPr>
              <w:t xml:space="preserve">DVT </w:t>
            </w:r>
            <w:r>
              <w:rPr>
                <w:color w:val="000000"/>
              </w:rPr>
              <w:t>totalt</w:t>
            </w:r>
            <w:r w:rsidRPr="00485998">
              <w:rPr>
                <w:color w:val="000000"/>
              </w:rPr>
              <w:t xml:space="preserve"> (%)</w:t>
            </w:r>
          </w:p>
        </w:tc>
        <w:tc>
          <w:tcPr>
            <w:tcW w:w="2199" w:type="dxa"/>
            <w:tcBorders>
              <w:top w:val="single" w:sz="4" w:space="0" w:color="000000"/>
              <w:left w:val="single" w:sz="4" w:space="0" w:color="000000"/>
              <w:bottom w:val="single" w:sz="4" w:space="0" w:color="000000"/>
              <w:right w:val="single" w:sz="4" w:space="0" w:color="000000"/>
            </w:tcBorders>
            <w:vAlign w:val="center"/>
          </w:tcPr>
          <w:p w14:paraId="75A61BC4" w14:textId="77777777" w:rsidR="00F36616" w:rsidRPr="00485998" w:rsidRDefault="00F36616" w:rsidP="00F36616">
            <w:pPr>
              <w:keepNext/>
              <w:ind w:left="80"/>
              <w:textAlignment w:val="baseline"/>
              <w:rPr>
                <w:color w:val="000000"/>
              </w:rPr>
            </w:pPr>
            <w:r w:rsidRPr="00485998">
              <w:rPr>
                <w:color w:val="000000"/>
              </w:rPr>
              <w:t>6 (6,</w:t>
            </w:r>
            <w:proofErr w:type="gramStart"/>
            <w:r w:rsidRPr="00485998">
              <w:rPr>
                <w:color w:val="000000"/>
              </w:rPr>
              <w:t>6)*</w:t>
            </w:r>
            <w:proofErr w:type="gramEnd"/>
          </w:p>
        </w:tc>
        <w:tc>
          <w:tcPr>
            <w:tcW w:w="2202" w:type="dxa"/>
            <w:tcBorders>
              <w:top w:val="single" w:sz="4" w:space="0" w:color="000000"/>
              <w:left w:val="single" w:sz="4" w:space="0" w:color="000000"/>
              <w:bottom w:val="single" w:sz="4" w:space="0" w:color="000000"/>
              <w:right w:val="single" w:sz="4" w:space="0" w:color="000000"/>
            </w:tcBorders>
            <w:vAlign w:val="center"/>
          </w:tcPr>
          <w:p w14:paraId="00842079" w14:textId="77777777" w:rsidR="00F36616" w:rsidRPr="00485998" w:rsidRDefault="00F36616" w:rsidP="00F36616">
            <w:pPr>
              <w:keepNext/>
              <w:ind w:left="149"/>
              <w:textAlignment w:val="baseline"/>
              <w:rPr>
                <w:color w:val="000000"/>
              </w:rPr>
            </w:pPr>
            <w:r w:rsidRPr="00485998">
              <w:rPr>
                <w:color w:val="000000"/>
              </w:rPr>
              <w:t>18 (20,2)</w:t>
            </w:r>
          </w:p>
        </w:tc>
      </w:tr>
      <w:tr w:rsidR="00F36616" w14:paraId="30E8CF54" w14:textId="77777777" w:rsidTr="00F36616">
        <w:trPr>
          <w:trHeight w:hRule="exact" w:val="269"/>
        </w:trPr>
        <w:tc>
          <w:tcPr>
            <w:tcW w:w="3547" w:type="dxa"/>
            <w:tcBorders>
              <w:top w:val="single" w:sz="4" w:space="0" w:color="000000"/>
              <w:left w:val="single" w:sz="4" w:space="0" w:color="000000"/>
              <w:bottom w:val="single" w:sz="4" w:space="0" w:color="000000"/>
              <w:right w:val="single" w:sz="4" w:space="0" w:color="000000"/>
            </w:tcBorders>
            <w:vAlign w:val="center"/>
          </w:tcPr>
          <w:p w14:paraId="5C51B4BD" w14:textId="77777777" w:rsidR="00F36616" w:rsidRPr="00485998" w:rsidRDefault="00F36616" w:rsidP="00F36616">
            <w:pPr>
              <w:keepNext/>
              <w:numPr>
                <w:ilvl w:val="0"/>
                <w:numId w:val="21"/>
              </w:numPr>
              <w:tabs>
                <w:tab w:val="left" w:pos="504"/>
              </w:tabs>
              <w:ind w:left="83"/>
              <w:textAlignment w:val="baseline"/>
              <w:rPr>
                <w:color w:val="000000"/>
              </w:rPr>
            </w:pPr>
            <w:r w:rsidRPr="00485998">
              <w:rPr>
                <w:color w:val="000000"/>
              </w:rPr>
              <w:t>Proksimal DVT (%)</w:t>
            </w:r>
          </w:p>
        </w:tc>
        <w:tc>
          <w:tcPr>
            <w:tcW w:w="2199" w:type="dxa"/>
            <w:tcBorders>
              <w:top w:val="single" w:sz="4" w:space="0" w:color="000000"/>
              <w:left w:val="single" w:sz="4" w:space="0" w:color="000000"/>
              <w:bottom w:val="single" w:sz="4" w:space="0" w:color="000000"/>
              <w:right w:val="single" w:sz="4" w:space="0" w:color="000000"/>
            </w:tcBorders>
            <w:vAlign w:val="center"/>
          </w:tcPr>
          <w:p w14:paraId="458F9346" w14:textId="77777777" w:rsidR="00F36616" w:rsidRPr="00485998" w:rsidRDefault="00F36616" w:rsidP="00F36616">
            <w:pPr>
              <w:keepNext/>
              <w:ind w:left="80"/>
              <w:textAlignment w:val="baseline"/>
              <w:rPr>
                <w:color w:val="000000"/>
              </w:rPr>
            </w:pPr>
            <w:r w:rsidRPr="00485998">
              <w:rPr>
                <w:color w:val="000000"/>
              </w:rPr>
              <w:t>5 (5,</w:t>
            </w:r>
            <w:proofErr w:type="gramStart"/>
            <w:r w:rsidRPr="00485998">
              <w:rPr>
                <w:color w:val="000000"/>
              </w:rPr>
              <w:t>6)</w:t>
            </w:r>
            <w:r w:rsidRPr="00485998">
              <w:rPr>
                <w:color w:val="000000"/>
                <w:vertAlign w:val="superscript"/>
              </w:rPr>
              <w:t>#</w:t>
            </w:r>
            <w:proofErr w:type="gramEnd"/>
            <w:r w:rsidRPr="00485998">
              <w:rPr>
                <w:color w:val="000000"/>
              </w:rPr>
              <w:t xml:space="preserve"> </w:t>
            </w:r>
          </w:p>
        </w:tc>
        <w:tc>
          <w:tcPr>
            <w:tcW w:w="2202" w:type="dxa"/>
            <w:tcBorders>
              <w:top w:val="single" w:sz="4" w:space="0" w:color="000000"/>
              <w:left w:val="single" w:sz="4" w:space="0" w:color="000000"/>
              <w:bottom w:val="single" w:sz="4" w:space="0" w:color="000000"/>
              <w:right w:val="single" w:sz="4" w:space="0" w:color="000000"/>
            </w:tcBorders>
            <w:vAlign w:val="center"/>
          </w:tcPr>
          <w:p w14:paraId="3011AB63" w14:textId="77777777" w:rsidR="00F36616" w:rsidRPr="00485998" w:rsidRDefault="00F36616" w:rsidP="00F36616">
            <w:pPr>
              <w:keepNext/>
              <w:ind w:left="149"/>
              <w:textAlignment w:val="baseline"/>
              <w:rPr>
                <w:color w:val="000000"/>
              </w:rPr>
            </w:pPr>
            <w:r w:rsidRPr="00485998">
              <w:rPr>
                <w:color w:val="000000"/>
              </w:rPr>
              <w:t>7 (8,8)</w:t>
            </w:r>
          </w:p>
        </w:tc>
      </w:tr>
      <w:tr w:rsidR="00F36616" w14:paraId="5F2A670B" w14:textId="77777777" w:rsidTr="00F36616">
        <w:trPr>
          <w:trHeight w:hRule="exact" w:val="538"/>
        </w:trPr>
        <w:tc>
          <w:tcPr>
            <w:tcW w:w="7948" w:type="dxa"/>
            <w:gridSpan w:val="3"/>
            <w:tcBorders>
              <w:top w:val="single" w:sz="4" w:space="0" w:color="000000"/>
              <w:left w:val="single" w:sz="4" w:space="0" w:color="000000"/>
              <w:bottom w:val="single" w:sz="4" w:space="0" w:color="000000"/>
              <w:right w:val="single" w:sz="4" w:space="0" w:color="000000"/>
            </w:tcBorders>
            <w:vAlign w:val="center"/>
          </w:tcPr>
          <w:p w14:paraId="6E66A59A" w14:textId="77777777" w:rsidR="00F36616" w:rsidRPr="00485998" w:rsidRDefault="00F36616" w:rsidP="00F36616">
            <w:pPr>
              <w:keepNext/>
              <w:ind w:left="149"/>
              <w:textAlignment w:val="baseline"/>
              <w:rPr>
                <w:color w:val="000000"/>
              </w:rPr>
            </w:pPr>
            <w:r w:rsidRPr="00485998">
              <w:rPr>
                <w:color w:val="000000"/>
              </w:rPr>
              <w:t xml:space="preserve">*p-værdi </w:t>
            </w:r>
            <w:r w:rsidRPr="009651C7">
              <w:rPr>
                <w:i/>
                <w:iCs/>
                <w:color w:val="000000"/>
              </w:rPr>
              <w:t>versus</w:t>
            </w:r>
            <w:r w:rsidRPr="00485998">
              <w:rPr>
                <w:color w:val="000000"/>
              </w:rPr>
              <w:t xml:space="preserve"> placebo = 0,008</w:t>
            </w:r>
          </w:p>
          <w:p w14:paraId="72EBE7D9" w14:textId="77777777" w:rsidR="00F36616" w:rsidRPr="00485998" w:rsidRDefault="00F36616" w:rsidP="00F36616">
            <w:pPr>
              <w:keepNext/>
              <w:ind w:left="149"/>
              <w:textAlignment w:val="baseline"/>
              <w:rPr>
                <w:color w:val="000000"/>
              </w:rPr>
            </w:pPr>
            <w:r w:rsidRPr="00485998">
              <w:rPr>
                <w:color w:val="000000"/>
              </w:rPr>
              <w:t xml:space="preserve">#p-værdi </w:t>
            </w:r>
            <w:r w:rsidRPr="009651C7">
              <w:rPr>
                <w:i/>
                <w:iCs/>
                <w:color w:val="000000"/>
              </w:rPr>
              <w:t>versus</w:t>
            </w:r>
            <w:r w:rsidRPr="00485998">
              <w:rPr>
                <w:color w:val="000000"/>
              </w:rPr>
              <w:t xml:space="preserve"> placebo = 0,537</w:t>
            </w:r>
          </w:p>
        </w:tc>
      </w:tr>
    </w:tbl>
    <w:p w14:paraId="78BFEA88" w14:textId="77777777" w:rsidR="00F36616" w:rsidRPr="00F83367" w:rsidRDefault="00F36616" w:rsidP="00F36616">
      <w:pPr>
        <w:ind w:left="851"/>
        <w:rPr>
          <w:sz w:val="24"/>
          <w:szCs w:val="24"/>
        </w:rPr>
      </w:pPr>
    </w:p>
    <w:p w14:paraId="759565EE" w14:textId="77777777" w:rsidR="00F36616" w:rsidRPr="00F83367" w:rsidRDefault="00F36616" w:rsidP="00F36616">
      <w:pPr>
        <w:ind w:left="851" w:right="288"/>
        <w:textAlignment w:val="baseline"/>
        <w:rPr>
          <w:color w:val="000000"/>
          <w:sz w:val="24"/>
          <w:szCs w:val="24"/>
        </w:rPr>
      </w:pPr>
      <w:r w:rsidRPr="00F83367">
        <w:rPr>
          <w:color w:val="000000"/>
          <w:sz w:val="24"/>
          <w:szCs w:val="24"/>
        </w:rPr>
        <w:t xml:space="preserve">I et andet dobbeltblindt studie blev 262 patienter uden VTE-sygdom, som havde gennemgået hoftealloplastik og initialt blev behandlet med enoxaparinnatrium 4.000 IE (40 mg) s.c. under deres hospitalsindlæggelse, randomiseret til behandling efter udskrivning med enten enoxaparinnatrium 4.000 IE (40 mg) (n=131) s.c. en gang dagligt i 3 uger eller til placebo (n=131). I lighed med det første studie var forekomsten af VTE i løbet af den forlængede profylakse signifikant lavere for enoxaparinnatrium end for placebo både hvad angår VTE totalt (enoxaparinnatrium 21 [16 %] </w:t>
      </w:r>
      <w:r w:rsidRPr="00F83367">
        <w:rPr>
          <w:i/>
          <w:iCs/>
          <w:color w:val="000000"/>
          <w:sz w:val="24"/>
          <w:szCs w:val="24"/>
        </w:rPr>
        <w:t>versus</w:t>
      </w:r>
      <w:r w:rsidRPr="00F83367">
        <w:rPr>
          <w:color w:val="000000"/>
          <w:sz w:val="24"/>
          <w:szCs w:val="24"/>
        </w:rPr>
        <w:t xml:space="preserve"> placebo 45 [34,4 %]; p=0,001) og proksimal DVT (enoxaparinnatrium 8 [6,1 %] </w:t>
      </w:r>
      <w:r w:rsidRPr="00F83367">
        <w:rPr>
          <w:i/>
          <w:iCs/>
          <w:color w:val="000000"/>
          <w:sz w:val="24"/>
          <w:szCs w:val="24"/>
        </w:rPr>
        <w:t>versus</w:t>
      </w:r>
      <w:r w:rsidRPr="00F83367">
        <w:rPr>
          <w:color w:val="000000"/>
          <w:sz w:val="24"/>
          <w:szCs w:val="24"/>
        </w:rPr>
        <w:t xml:space="preserve"> placebo 28 [21,4 %]; p=&lt;0,001). Der blev ikke observeret nogen forskel i alvorlige blødningshændelser mellem enoxaparinnatrium-gruppen og placebogruppen.</w:t>
      </w:r>
    </w:p>
    <w:p w14:paraId="7F74457B" w14:textId="77777777" w:rsidR="00F36616" w:rsidRPr="00F83367" w:rsidRDefault="00F36616" w:rsidP="00F36616">
      <w:pPr>
        <w:ind w:left="851" w:right="288"/>
        <w:textAlignment w:val="baseline"/>
        <w:rPr>
          <w:color w:val="000000"/>
          <w:sz w:val="24"/>
          <w:szCs w:val="24"/>
        </w:rPr>
      </w:pPr>
    </w:p>
    <w:p w14:paraId="2A9A80C9" w14:textId="77777777" w:rsidR="00F36616" w:rsidRPr="00F83367" w:rsidRDefault="00F36616" w:rsidP="00F36616">
      <w:pPr>
        <w:numPr>
          <w:ilvl w:val="0"/>
          <w:numId w:val="20"/>
        </w:numPr>
        <w:tabs>
          <w:tab w:val="clear" w:pos="432"/>
          <w:tab w:val="left" w:pos="576"/>
        </w:tabs>
        <w:ind w:left="851"/>
        <w:textAlignment w:val="baseline"/>
        <w:rPr>
          <w:color w:val="000000"/>
          <w:sz w:val="24"/>
          <w:szCs w:val="24"/>
        </w:rPr>
      </w:pPr>
      <w:r w:rsidRPr="00F83367">
        <w:rPr>
          <w:color w:val="000000"/>
          <w:sz w:val="24"/>
          <w:szCs w:val="24"/>
        </w:rPr>
        <w:t>Forlænget DVT-profylakse efter cancerkirurgi</w:t>
      </w:r>
    </w:p>
    <w:p w14:paraId="044B77AA" w14:textId="77777777" w:rsidR="00F36616" w:rsidRPr="00F83367" w:rsidRDefault="00F36616" w:rsidP="00F36616">
      <w:pPr>
        <w:ind w:left="851" w:right="288"/>
        <w:textAlignment w:val="baseline"/>
        <w:rPr>
          <w:color w:val="000000"/>
          <w:sz w:val="24"/>
          <w:szCs w:val="24"/>
        </w:rPr>
      </w:pPr>
      <w:r w:rsidRPr="00F83367">
        <w:rPr>
          <w:color w:val="000000"/>
          <w:sz w:val="24"/>
          <w:szCs w:val="24"/>
        </w:rPr>
        <w:t xml:space="preserve">Et dobbeltblindt multicenterstudie sammenlignede fire ugers behandling og en uges behandling med enoxaparinnatrium-profylakse med hensyn til sikkerhed og virkning hos 332 patienter, der fik foretaget planlagt kirurgi for abdominal- eller bækkencancer. Patienterne fik enoxaparinnatrium (4.000 IE (40 mg) subkutant) dagligt i 6 til 10 dage og blev derefter randomiseret til at få enten enoxaparinnatrium eller placebo i yderligere 21 dage. Der blev foretaget bilateral flebografi mellem dag 25 og dag 31 eller tidligere, hvis der opstod symptomer på venøs tromboemboli. Patienterne blev fulgt i tre måneder. Profylakse med enoxaparinnatrium i fire uger efter kirurgi for abdominal- eller bækkencancer reducerede signifikant forekomsten af trombose påvist ved flebografi sammenlignet med profylakse med enoxaparinnatrium i en uge. Hyppigheden af venøs tromboemboli ved afslutningen af den dobbeltblinde fase var 12,0 % (n=20) i placebogruppen og 4,8 % (n=8) i enoxaparinnatrium-gruppen; p=0,02. Denne forskel var opretholdt efter tre måneder [13,8 % </w:t>
      </w:r>
      <w:r w:rsidRPr="00F83367">
        <w:rPr>
          <w:i/>
          <w:iCs/>
          <w:color w:val="000000"/>
          <w:sz w:val="24"/>
          <w:szCs w:val="24"/>
        </w:rPr>
        <w:t>versus</w:t>
      </w:r>
      <w:r w:rsidRPr="00F83367">
        <w:rPr>
          <w:color w:val="000000"/>
          <w:sz w:val="24"/>
          <w:szCs w:val="24"/>
        </w:rPr>
        <w:t xml:space="preserve"> 5,5 % (n=23 </w:t>
      </w:r>
      <w:r w:rsidRPr="00F83367">
        <w:rPr>
          <w:i/>
          <w:iCs/>
          <w:color w:val="000000"/>
          <w:sz w:val="24"/>
          <w:szCs w:val="24"/>
        </w:rPr>
        <w:t>versus</w:t>
      </w:r>
      <w:r w:rsidRPr="00F83367">
        <w:rPr>
          <w:color w:val="000000"/>
          <w:sz w:val="24"/>
          <w:szCs w:val="24"/>
        </w:rPr>
        <w:t xml:space="preserve"> 9), p=0,01]. Der var ingen forskel i hyppigheden af blødning eller andre komplikationer i den dobbeltblinde periode eller i opfølgningsperioden.</w:t>
      </w:r>
    </w:p>
    <w:p w14:paraId="5E3A63A9" w14:textId="77777777" w:rsidR="00F36616" w:rsidRPr="00F83367" w:rsidRDefault="00F36616" w:rsidP="00F36616">
      <w:pPr>
        <w:ind w:left="851" w:right="288"/>
        <w:textAlignment w:val="baseline"/>
        <w:rPr>
          <w:color w:val="000000"/>
          <w:sz w:val="24"/>
          <w:szCs w:val="24"/>
        </w:rPr>
      </w:pPr>
    </w:p>
    <w:p w14:paraId="010E3F5D" w14:textId="77777777" w:rsidR="00F36616" w:rsidRPr="00F83367" w:rsidRDefault="00F36616" w:rsidP="00F36616">
      <w:pPr>
        <w:ind w:left="851" w:right="360"/>
        <w:textAlignment w:val="baseline"/>
        <w:rPr>
          <w:i/>
          <w:color w:val="000000"/>
          <w:sz w:val="24"/>
          <w:szCs w:val="24"/>
        </w:rPr>
      </w:pPr>
      <w:r w:rsidRPr="00F83367">
        <w:rPr>
          <w:i/>
          <w:color w:val="000000"/>
          <w:sz w:val="24"/>
          <w:szCs w:val="24"/>
        </w:rPr>
        <w:t>Profylakse mod venøs tromboembolisk sygdom hos medicinske patienter med en akut sygdom, der forventes at medføre begrænset mobilitet</w:t>
      </w:r>
    </w:p>
    <w:p w14:paraId="1AA174A8" w14:textId="77777777" w:rsidR="00F36616" w:rsidRPr="00F83367" w:rsidRDefault="00F36616" w:rsidP="00F36616">
      <w:pPr>
        <w:ind w:left="851" w:right="360"/>
        <w:textAlignment w:val="baseline"/>
        <w:rPr>
          <w:color w:val="000000"/>
          <w:sz w:val="24"/>
          <w:szCs w:val="24"/>
        </w:rPr>
      </w:pPr>
      <w:r w:rsidRPr="00F83367">
        <w:rPr>
          <w:color w:val="000000"/>
          <w:sz w:val="24"/>
          <w:szCs w:val="24"/>
        </w:rPr>
        <w:t xml:space="preserve">I et dobbeltblindt multicenterstudie med parallelle grupper blev enoxaparinnatrium 2.000 IE (20 mg) eller 4.000 IE (40 mg) subkutant en gang dagligt sammenlignet med placebo til profylakse mod DVT hos medicinske patienter med svært begrænset mobilitet under akut sygdom (defineret som gådistance &lt;10 meter i ≤3 dage). Studiet inkluderede patienter med hjerteinsufficiens (NYHA-klasse III eller IV); akut respirationssvigt eller kompliceret kronisk respirationssvigt og akut infektion eller akut reumatisme; hvis det var associeret med mindst en VTE-risikofaktor (alder ≥75 år, </w:t>
      </w:r>
      <w:r w:rsidRPr="00F83367">
        <w:rPr>
          <w:color w:val="000000"/>
          <w:sz w:val="24"/>
          <w:szCs w:val="24"/>
        </w:rPr>
        <w:lastRenderedPageBreak/>
        <w:t>cancer, tidligere VTE, fedme, varikøse vener, hormonbehandling og kronisk hjerte- eller respirationsinsufficiens).</w:t>
      </w:r>
    </w:p>
    <w:p w14:paraId="3F050868" w14:textId="77777777" w:rsidR="00F36616" w:rsidRPr="00F83367" w:rsidRDefault="00F36616" w:rsidP="00F36616">
      <w:pPr>
        <w:ind w:left="851" w:right="360"/>
        <w:textAlignment w:val="baseline"/>
        <w:rPr>
          <w:color w:val="000000"/>
          <w:sz w:val="24"/>
          <w:szCs w:val="24"/>
        </w:rPr>
      </w:pPr>
      <w:r w:rsidRPr="00F83367">
        <w:rPr>
          <w:color w:val="000000"/>
          <w:sz w:val="24"/>
          <w:szCs w:val="24"/>
        </w:rPr>
        <w:t>I alt 1.102 patienter deltog i studiet, og 1.073 patienter blev behandlet. Behandlingen varede i 6 til 14 dage (median varighed 7 dage). Ved en dosis på 4.000 IE (40 mg) subkutant en gang dagligt reducerede enoxaparinnatrium signifikant forekomsten af VTE sammenlignet med placebo. Effektdata er vist i nedenstående tabel.</w:t>
      </w:r>
    </w:p>
    <w:p w14:paraId="3F2045AD" w14:textId="77777777" w:rsidR="00F36616" w:rsidRPr="00F83367" w:rsidRDefault="00F36616" w:rsidP="00F36616">
      <w:pPr>
        <w:ind w:left="851" w:right="216"/>
        <w:textAlignment w:val="baseline"/>
        <w:rPr>
          <w:color w:val="000000"/>
          <w:sz w:val="24"/>
          <w:szCs w:val="24"/>
        </w:rPr>
      </w:pPr>
    </w:p>
    <w:tbl>
      <w:tblPr>
        <w:tblW w:w="0" w:type="auto"/>
        <w:tblInd w:w="846" w:type="dxa"/>
        <w:tblLayout w:type="fixed"/>
        <w:tblCellMar>
          <w:left w:w="0" w:type="dxa"/>
          <w:right w:w="0" w:type="dxa"/>
        </w:tblCellMar>
        <w:tblLook w:val="04A0" w:firstRow="1" w:lastRow="0" w:firstColumn="1" w:lastColumn="0" w:noHBand="0" w:noVBand="1"/>
      </w:tblPr>
      <w:tblGrid>
        <w:gridCol w:w="2698"/>
        <w:gridCol w:w="2025"/>
        <w:gridCol w:w="2074"/>
        <w:gridCol w:w="1623"/>
      </w:tblGrid>
      <w:tr w:rsidR="00F36616" w14:paraId="3CBBD381" w14:textId="77777777" w:rsidTr="00F36616">
        <w:trPr>
          <w:trHeight w:hRule="exact" w:val="1702"/>
        </w:trPr>
        <w:tc>
          <w:tcPr>
            <w:tcW w:w="2698" w:type="dxa"/>
            <w:tcBorders>
              <w:top w:val="single" w:sz="4" w:space="0" w:color="000000"/>
              <w:left w:val="single" w:sz="4" w:space="0" w:color="000000"/>
              <w:bottom w:val="single" w:sz="4" w:space="0" w:color="000000"/>
              <w:right w:val="single" w:sz="4" w:space="0" w:color="000000"/>
            </w:tcBorders>
          </w:tcPr>
          <w:p w14:paraId="541DCF5E" w14:textId="77777777" w:rsidR="00F36616" w:rsidRPr="00485998" w:rsidRDefault="00F36616" w:rsidP="00F36616">
            <w:pPr>
              <w:ind w:left="142"/>
              <w:textAlignment w:val="baseline"/>
              <w:rPr>
                <w:color w:val="000000"/>
              </w:rPr>
            </w:pPr>
            <w:r w:rsidRPr="00485998">
              <w:rPr>
                <w:color w:val="000000"/>
              </w:rPr>
              <w:t xml:space="preserve"> </w:t>
            </w:r>
          </w:p>
        </w:tc>
        <w:tc>
          <w:tcPr>
            <w:tcW w:w="2025" w:type="dxa"/>
            <w:tcBorders>
              <w:top w:val="single" w:sz="4" w:space="0" w:color="000000"/>
              <w:left w:val="single" w:sz="4" w:space="0" w:color="000000"/>
              <w:bottom w:val="single" w:sz="4" w:space="0" w:color="000000"/>
              <w:right w:val="single" w:sz="4" w:space="0" w:color="000000"/>
            </w:tcBorders>
          </w:tcPr>
          <w:p w14:paraId="16A93AF8" w14:textId="77777777" w:rsidR="00F36616" w:rsidRPr="00485998" w:rsidRDefault="00F36616" w:rsidP="00F36616">
            <w:pPr>
              <w:ind w:left="137"/>
              <w:textAlignment w:val="baseline"/>
              <w:rPr>
                <w:b/>
                <w:color w:val="000000"/>
              </w:rPr>
            </w:pPr>
            <w:r w:rsidRPr="00485998">
              <w:rPr>
                <w:b/>
                <w:color w:val="000000"/>
              </w:rPr>
              <w:t>Enoxaparin</w:t>
            </w:r>
            <w:r>
              <w:rPr>
                <w:b/>
                <w:color w:val="000000"/>
              </w:rPr>
              <w:softHyphen/>
            </w:r>
            <w:r w:rsidRPr="00485998">
              <w:rPr>
                <w:b/>
                <w:color w:val="000000"/>
              </w:rPr>
              <w:t>natrium</w:t>
            </w:r>
            <w:r w:rsidRPr="00485998">
              <w:br/>
            </w:r>
            <w:r w:rsidRPr="00485998">
              <w:rPr>
                <w:b/>
                <w:color w:val="000000"/>
              </w:rPr>
              <w:t>2.000 IE (20 mg)</w:t>
            </w:r>
            <w:r w:rsidRPr="00485998">
              <w:br/>
            </w:r>
            <w:r>
              <w:rPr>
                <w:b/>
                <w:color w:val="000000"/>
              </w:rPr>
              <w:t>s.c. en</w:t>
            </w:r>
            <w:r w:rsidRPr="00485998">
              <w:rPr>
                <w:b/>
                <w:color w:val="000000"/>
              </w:rPr>
              <w:t xml:space="preserve"> gang dag</w:t>
            </w:r>
            <w:r>
              <w:rPr>
                <w:b/>
                <w:color w:val="000000"/>
              </w:rPr>
              <w:t>ligt</w:t>
            </w:r>
            <w:r w:rsidRPr="00485998">
              <w:br/>
            </w:r>
            <w:r w:rsidRPr="00485998">
              <w:rPr>
                <w:b/>
                <w:color w:val="000000"/>
              </w:rPr>
              <w:t>n (%)</w:t>
            </w:r>
          </w:p>
        </w:tc>
        <w:tc>
          <w:tcPr>
            <w:tcW w:w="2074" w:type="dxa"/>
            <w:tcBorders>
              <w:top w:val="single" w:sz="4" w:space="0" w:color="000000"/>
              <w:left w:val="single" w:sz="4" w:space="0" w:color="000000"/>
              <w:bottom w:val="single" w:sz="4" w:space="0" w:color="000000"/>
              <w:right w:val="single" w:sz="4" w:space="0" w:color="000000"/>
            </w:tcBorders>
          </w:tcPr>
          <w:p w14:paraId="7547EC32" w14:textId="77777777" w:rsidR="00F36616" w:rsidRPr="00485998" w:rsidRDefault="00F36616" w:rsidP="00F36616">
            <w:pPr>
              <w:ind w:left="96"/>
              <w:textAlignment w:val="baseline"/>
              <w:rPr>
                <w:b/>
                <w:color w:val="000000"/>
              </w:rPr>
            </w:pPr>
            <w:r w:rsidRPr="00485998">
              <w:rPr>
                <w:b/>
                <w:color w:val="000000"/>
              </w:rPr>
              <w:t>Enoxaparin</w:t>
            </w:r>
            <w:r>
              <w:rPr>
                <w:b/>
                <w:color w:val="000000"/>
              </w:rPr>
              <w:softHyphen/>
            </w:r>
            <w:r w:rsidRPr="00485998">
              <w:rPr>
                <w:b/>
                <w:color w:val="000000"/>
              </w:rPr>
              <w:t>natrium</w:t>
            </w:r>
            <w:r w:rsidRPr="00485998">
              <w:br/>
            </w:r>
            <w:r w:rsidRPr="00485998">
              <w:rPr>
                <w:b/>
                <w:color w:val="000000"/>
              </w:rPr>
              <w:t>4.000 IE (40 mg)</w:t>
            </w:r>
            <w:r w:rsidRPr="00485998">
              <w:br/>
            </w:r>
            <w:r>
              <w:rPr>
                <w:b/>
                <w:color w:val="000000"/>
              </w:rPr>
              <w:t>s.c. en</w:t>
            </w:r>
            <w:r w:rsidRPr="00485998">
              <w:rPr>
                <w:b/>
                <w:color w:val="000000"/>
              </w:rPr>
              <w:t xml:space="preserve"> gang dag</w:t>
            </w:r>
            <w:r>
              <w:rPr>
                <w:b/>
                <w:color w:val="000000"/>
              </w:rPr>
              <w:t>ligt</w:t>
            </w:r>
            <w:r w:rsidRPr="00485998">
              <w:rPr>
                <w:b/>
                <w:color w:val="000000"/>
              </w:rPr>
              <w:t xml:space="preserve"> </w:t>
            </w:r>
            <w:r w:rsidRPr="00485998">
              <w:br/>
            </w:r>
            <w:r w:rsidRPr="00485998">
              <w:rPr>
                <w:b/>
                <w:color w:val="000000"/>
              </w:rPr>
              <w:t>n (%)</w:t>
            </w:r>
          </w:p>
        </w:tc>
        <w:tc>
          <w:tcPr>
            <w:tcW w:w="1623" w:type="dxa"/>
            <w:tcBorders>
              <w:top w:val="single" w:sz="4" w:space="0" w:color="000000"/>
              <w:left w:val="single" w:sz="4" w:space="0" w:color="000000"/>
              <w:bottom w:val="single" w:sz="4" w:space="0" w:color="000000"/>
              <w:right w:val="single" w:sz="4" w:space="0" w:color="000000"/>
            </w:tcBorders>
          </w:tcPr>
          <w:p w14:paraId="633D2B87" w14:textId="77777777" w:rsidR="00F36616" w:rsidRPr="00485998" w:rsidRDefault="00F36616" w:rsidP="00F36616">
            <w:pPr>
              <w:ind w:left="149"/>
              <w:textAlignment w:val="baseline"/>
              <w:rPr>
                <w:b/>
                <w:color w:val="000000"/>
              </w:rPr>
            </w:pPr>
            <w:r w:rsidRPr="00485998">
              <w:rPr>
                <w:b/>
                <w:color w:val="000000"/>
              </w:rPr>
              <w:t>Placebo</w:t>
            </w:r>
            <w:r w:rsidRPr="00485998">
              <w:br/>
            </w:r>
            <w:r w:rsidRPr="00485998">
              <w:rPr>
                <w:b/>
                <w:color w:val="000000"/>
              </w:rPr>
              <w:t>n (%)</w:t>
            </w:r>
          </w:p>
        </w:tc>
      </w:tr>
      <w:tr w:rsidR="00F36616" w14:paraId="6D69CB5C" w14:textId="77777777" w:rsidTr="00F36616">
        <w:trPr>
          <w:trHeight w:hRule="exact" w:val="933"/>
        </w:trPr>
        <w:tc>
          <w:tcPr>
            <w:tcW w:w="2698" w:type="dxa"/>
            <w:tcBorders>
              <w:top w:val="single" w:sz="4" w:space="0" w:color="000000"/>
              <w:left w:val="single" w:sz="4" w:space="0" w:color="000000"/>
              <w:bottom w:val="single" w:sz="4" w:space="0" w:color="000000"/>
              <w:right w:val="single" w:sz="4" w:space="0" w:color="000000"/>
            </w:tcBorders>
          </w:tcPr>
          <w:p w14:paraId="0CADC034" w14:textId="77777777" w:rsidR="00F36616" w:rsidRPr="00485998" w:rsidRDefault="00F36616" w:rsidP="00F36616">
            <w:pPr>
              <w:ind w:left="142"/>
              <w:textAlignment w:val="baseline"/>
              <w:rPr>
                <w:b/>
                <w:color w:val="000000"/>
              </w:rPr>
            </w:pPr>
            <w:r w:rsidRPr="00485998">
              <w:rPr>
                <w:b/>
                <w:color w:val="000000"/>
              </w:rPr>
              <w:t>Alle behandlede medicinske patienter under akut sygdom</w:t>
            </w:r>
          </w:p>
        </w:tc>
        <w:tc>
          <w:tcPr>
            <w:tcW w:w="2025" w:type="dxa"/>
            <w:tcBorders>
              <w:top w:val="single" w:sz="4" w:space="0" w:color="000000"/>
              <w:left w:val="single" w:sz="4" w:space="0" w:color="000000"/>
              <w:bottom w:val="single" w:sz="4" w:space="0" w:color="000000"/>
              <w:right w:val="single" w:sz="4" w:space="0" w:color="000000"/>
            </w:tcBorders>
          </w:tcPr>
          <w:p w14:paraId="00B3312F" w14:textId="77777777" w:rsidR="00F36616" w:rsidRPr="00485998" w:rsidRDefault="00F36616" w:rsidP="00F36616">
            <w:pPr>
              <w:ind w:left="279"/>
              <w:textAlignment w:val="baseline"/>
              <w:rPr>
                <w:color w:val="000000"/>
              </w:rPr>
            </w:pPr>
            <w:r w:rsidRPr="00485998">
              <w:rPr>
                <w:color w:val="000000"/>
              </w:rPr>
              <w:t>287 (100)</w:t>
            </w:r>
          </w:p>
        </w:tc>
        <w:tc>
          <w:tcPr>
            <w:tcW w:w="2074" w:type="dxa"/>
            <w:tcBorders>
              <w:top w:val="single" w:sz="4" w:space="0" w:color="000000"/>
              <w:left w:val="single" w:sz="4" w:space="0" w:color="000000"/>
              <w:bottom w:val="single" w:sz="4" w:space="0" w:color="000000"/>
              <w:right w:val="single" w:sz="4" w:space="0" w:color="000000"/>
            </w:tcBorders>
          </w:tcPr>
          <w:p w14:paraId="75728494" w14:textId="77777777" w:rsidR="00F36616" w:rsidRPr="00485998" w:rsidRDefault="00F36616" w:rsidP="00F36616">
            <w:pPr>
              <w:ind w:left="279"/>
              <w:textAlignment w:val="baseline"/>
              <w:rPr>
                <w:color w:val="000000"/>
              </w:rPr>
            </w:pPr>
            <w:r w:rsidRPr="00485998">
              <w:rPr>
                <w:color w:val="000000"/>
              </w:rPr>
              <w:t>291</w:t>
            </w:r>
            <w:r>
              <w:rPr>
                <w:color w:val="000000"/>
              </w:rPr>
              <w:t xml:space="preserve"> </w:t>
            </w:r>
            <w:r w:rsidRPr="00485998">
              <w:rPr>
                <w:color w:val="000000"/>
              </w:rPr>
              <w:t>(100)</w:t>
            </w:r>
          </w:p>
        </w:tc>
        <w:tc>
          <w:tcPr>
            <w:tcW w:w="1623" w:type="dxa"/>
            <w:tcBorders>
              <w:top w:val="single" w:sz="4" w:space="0" w:color="000000"/>
              <w:left w:val="single" w:sz="4" w:space="0" w:color="000000"/>
              <w:bottom w:val="single" w:sz="4" w:space="0" w:color="000000"/>
              <w:right w:val="single" w:sz="4" w:space="0" w:color="000000"/>
            </w:tcBorders>
          </w:tcPr>
          <w:p w14:paraId="45551DEC" w14:textId="77777777" w:rsidR="00F36616" w:rsidRPr="00485998" w:rsidRDefault="00F36616" w:rsidP="00F36616">
            <w:pPr>
              <w:ind w:left="279"/>
              <w:textAlignment w:val="baseline"/>
              <w:rPr>
                <w:color w:val="000000"/>
              </w:rPr>
            </w:pPr>
            <w:r w:rsidRPr="00485998">
              <w:rPr>
                <w:color w:val="000000"/>
              </w:rPr>
              <w:t>288 (100)</w:t>
            </w:r>
          </w:p>
        </w:tc>
      </w:tr>
      <w:tr w:rsidR="00F36616" w14:paraId="48B77407" w14:textId="77777777" w:rsidTr="00F36616">
        <w:trPr>
          <w:trHeight w:hRule="exact" w:val="360"/>
        </w:trPr>
        <w:tc>
          <w:tcPr>
            <w:tcW w:w="2698" w:type="dxa"/>
            <w:tcBorders>
              <w:top w:val="single" w:sz="4" w:space="0" w:color="000000"/>
              <w:left w:val="single" w:sz="4" w:space="0" w:color="000000"/>
              <w:bottom w:val="single" w:sz="4" w:space="0" w:color="000000"/>
              <w:right w:val="single" w:sz="4" w:space="0" w:color="000000"/>
            </w:tcBorders>
            <w:vAlign w:val="center"/>
          </w:tcPr>
          <w:p w14:paraId="0EAB8674" w14:textId="77777777" w:rsidR="00F36616" w:rsidRPr="00485998" w:rsidRDefault="00F36616" w:rsidP="00F36616">
            <w:pPr>
              <w:ind w:left="142"/>
              <w:textAlignment w:val="baseline"/>
              <w:rPr>
                <w:b/>
                <w:color w:val="000000"/>
              </w:rPr>
            </w:pPr>
            <w:r w:rsidRPr="00485998">
              <w:rPr>
                <w:b/>
                <w:color w:val="000000"/>
              </w:rPr>
              <w:t xml:space="preserve">VTE </w:t>
            </w:r>
            <w:r>
              <w:rPr>
                <w:b/>
                <w:color w:val="000000"/>
              </w:rPr>
              <w:t>totalt</w:t>
            </w:r>
            <w:r w:rsidRPr="00485998">
              <w:rPr>
                <w:b/>
                <w:color w:val="00000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14:paraId="6551D7B2" w14:textId="77777777" w:rsidR="00F36616" w:rsidRPr="00485998" w:rsidRDefault="00F36616" w:rsidP="00F36616">
            <w:pPr>
              <w:ind w:left="279"/>
              <w:textAlignment w:val="baseline"/>
              <w:rPr>
                <w:color w:val="000000"/>
              </w:rPr>
            </w:pPr>
            <w:r w:rsidRPr="00485998">
              <w:rPr>
                <w:color w:val="000000"/>
              </w:rPr>
              <w:t>43 (15,0)</w:t>
            </w:r>
          </w:p>
        </w:tc>
        <w:tc>
          <w:tcPr>
            <w:tcW w:w="2074" w:type="dxa"/>
            <w:tcBorders>
              <w:top w:val="single" w:sz="4" w:space="0" w:color="000000"/>
              <w:left w:val="single" w:sz="4" w:space="0" w:color="000000"/>
              <w:bottom w:val="single" w:sz="4" w:space="0" w:color="000000"/>
              <w:right w:val="single" w:sz="4" w:space="0" w:color="000000"/>
            </w:tcBorders>
            <w:vAlign w:val="center"/>
          </w:tcPr>
          <w:p w14:paraId="0FCCB36A" w14:textId="77777777" w:rsidR="00F36616" w:rsidRPr="00485998" w:rsidRDefault="00F36616" w:rsidP="00F36616">
            <w:pPr>
              <w:ind w:left="279"/>
              <w:textAlignment w:val="baseline"/>
              <w:rPr>
                <w:color w:val="000000"/>
              </w:rPr>
            </w:pPr>
            <w:r w:rsidRPr="00485998">
              <w:rPr>
                <w:color w:val="000000"/>
              </w:rPr>
              <w:t>16 (5,</w:t>
            </w:r>
            <w:proofErr w:type="gramStart"/>
            <w:r w:rsidRPr="00485998">
              <w:rPr>
                <w:color w:val="000000"/>
              </w:rPr>
              <w:t>5)*</w:t>
            </w:r>
            <w:proofErr w:type="gramEnd"/>
          </w:p>
        </w:tc>
        <w:tc>
          <w:tcPr>
            <w:tcW w:w="1623" w:type="dxa"/>
            <w:tcBorders>
              <w:top w:val="single" w:sz="4" w:space="0" w:color="000000"/>
              <w:left w:val="single" w:sz="4" w:space="0" w:color="000000"/>
              <w:bottom w:val="single" w:sz="4" w:space="0" w:color="000000"/>
              <w:right w:val="single" w:sz="4" w:space="0" w:color="000000"/>
            </w:tcBorders>
            <w:vAlign w:val="center"/>
          </w:tcPr>
          <w:p w14:paraId="3B0BA4A0" w14:textId="77777777" w:rsidR="00F36616" w:rsidRPr="00485998" w:rsidRDefault="00F36616" w:rsidP="00F36616">
            <w:pPr>
              <w:ind w:left="279"/>
              <w:textAlignment w:val="baseline"/>
              <w:rPr>
                <w:color w:val="000000"/>
              </w:rPr>
            </w:pPr>
            <w:r w:rsidRPr="00485998">
              <w:rPr>
                <w:color w:val="000000"/>
              </w:rPr>
              <w:t>43 (14,9)</w:t>
            </w:r>
          </w:p>
        </w:tc>
      </w:tr>
      <w:tr w:rsidR="00F36616" w14:paraId="48B2AC9C" w14:textId="77777777" w:rsidTr="00F36616">
        <w:trPr>
          <w:trHeight w:hRule="exact" w:val="360"/>
        </w:trPr>
        <w:tc>
          <w:tcPr>
            <w:tcW w:w="2698" w:type="dxa"/>
            <w:tcBorders>
              <w:top w:val="single" w:sz="4" w:space="0" w:color="000000"/>
              <w:left w:val="single" w:sz="4" w:space="0" w:color="000000"/>
              <w:bottom w:val="single" w:sz="4" w:space="0" w:color="000000"/>
              <w:right w:val="single" w:sz="4" w:space="0" w:color="000000"/>
            </w:tcBorders>
            <w:vAlign w:val="center"/>
          </w:tcPr>
          <w:p w14:paraId="40EB0B95" w14:textId="77777777" w:rsidR="00F36616" w:rsidRPr="00485998" w:rsidRDefault="00F36616" w:rsidP="00F36616">
            <w:pPr>
              <w:numPr>
                <w:ilvl w:val="0"/>
                <w:numId w:val="21"/>
              </w:numPr>
              <w:tabs>
                <w:tab w:val="left" w:pos="504"/>
              </w:tabs>
              <w:ind w:left="142"/>
              <w:textAlignment w:val="baseline"/>
              <w:rPr>
                <w:color w:val="000000"/>
              </w:rPr>
            </w:pPr>
            <w:r w:rsidRPr="00485998">
              <w:rPr>
                <w:color w:val="000000"/>
              </w:rPr>
              <w:t xml:space="preserve">DVT </w:t>
            </w:r>
            <w:r>
              <w:rPr>
                <w:color w:val="000000"/>
              </w:rPr>
              <w:t>totalt</w:t>
            </w:r>
            <w:r w:rsidRPr="00485998">
              <w:rPr>
                <w:color w:val="000000"/>
              </w:rPr>
              <w:t xml:space="preserve"> (%)</w:t>
            </w:r>
          </w:p>
        </w:tc>
        <w:tc>
          <w:tcPr>
            <w:tcW w:w="2025" w:type="dxa"/>
            <w:tcBorders>
              <w:top w:val="single" w:sz="4" w:space="0" w:color="000000"/>
              <w:left w:val="single" w:sz="4" w:space="0" w:color="000000"/>
              <w:bottom w:val="single" w:sz="4" w:space="0" w:color="000000"/>
              <w:right w:val="single" w:sz="4" w:space="0" w:color="000000"/>
            </w:tcBorders>
            <w:vAlign w:val="center"/>
          </w:tcPr>
          <w:p w14:paraId="14282135" w14:textId="77777777" w:rsidR="00F36616" w:rsidRPr="00485998" w:rsidRDefault="00F36616" w:rsidP="00F36616">
            <w:pPr>
              <w:ind w:left="279"/>
              <w:textAlignment w:val="baseline"/>
              <w:rPr>
                <w:color w:val="000000"/>
              </w:rPr>
            </w:pPr>
            <w:r w:rsidRPr="00485998">
              <w:rPr>
                <w:color w:val="000000"/>
              </w:rPr>
              <w:t>43 (15,0)</w:t>
            </w:r>
          </w:p>
        </w:tc>
        <w:tc>
          <w:tcPr>
            <w:tcW w:w="2074" w:type="dxa"/>
            <w:tcBorders>
              <w:top w:val="single" w:sz="4" w:space="0" w:color="000000"/>
              <w:left w:val="single" w:sz="4" w:space="0" w:color="000000"/>
              <w:bottom w:val="single" w:sz="4" w:space="0" w:color="000000"/>
              <w:right w:val="single" w:sz="4" w:space="0" w:color="000000"/>
            </w:tcBorders>
            <w:vAlign w:val="center"/>
          </w:tcPr>
          <w:p w14:paraId="628EAC11" w14:textId="77777777" w:rsidR="00F36616" w:rsidRPr="00485998" w:rsidRDefault="00F36616" w:rsidP="00F36616">
            <w:pPr>
              <w:ind w:left="279"/>
              <w:textAlignment w:val="baseline"/>
              <w:rPr>
                <w:color w:val="000000"/>
              </w:rPr>
            </w:pPr>
            <w:r w:rsidRPr="00485998">
              <w:rPr>
                <w:color w:val="000000"/>
              </w:rPr>
              <w:t>16 (5,5)</w:t>
            </w:r>
          </w:p>
        </w:tc>
        <w:tc>
          <w:tcPr>
            <w:tcW w:w="1623" w:type="dxa"/>
            <w:tcBorders>
              <w:top w:val="single" w:sz="4" w:space="0" w:color="000000"/>
              <w:left w:val="single" w:sz="4" w:space="0" w:color="000000"/>
              <w:bottom w:val="single" w:sz="4" w:space="0" w:color="000000"/>
              <w:right w:val="single" w:sz="4" w:space="0" w:color="000000"/>
            </w:tcBorders>
            <w:vAlign w:val="center"/>
          </w:tcPr>
          <w:p w14:paraId="166C02C3" w14:textId="77777777" w:rsidR="00F36616" w:rsidRPr="00485998" w:rsidRDefault="00F36616" w:rsidP="00F36616">
            <w:pPr>
              <w:ind w:left="279"/>
              <w:textAlignment w:val="baseline"/>
              <w:rPr>
                <w:color w:val="000000"/>
              </w:rPr>
            </w:pPr>
            <w:r w:rsidRPr="00485998">
              <w:rPr>
                <w:color w:val="000000"/>
              </w:rPr>
              <w:t>40 (13,9)</w:t>
            </w:r>
          </w:p>
        </w:tc>
      </w:tr>
      <w:tr w:rsidR="00F36616" w14:paraId="3A7F5E22" w14:textId="77777777" w:rsidTr="00F36616">
        <w:trPr>
          <w:trHeight w:hRule="exact" w:val="360"/>
        </w:trPr>
        <w:tc>
          <w:tcPr>
            <w:tcW w:w="2698" w:type="dxa"/>
            <w:tcBorders>
              <w:top w:val="single" w:sz="4" w:space="0" w:color="000000"/>
              <w:left w:val="single" w:sz="4" w:space="0" w:color="000000"/>
              <w:bottom w:val="single" w:sz="4" w:space="0" w:color="000000"/>
              <w:right w:val="single" w:sz="4" w:space="0" w:color="000000"/>
            </w:tcBorders>
            <w:vAlign w:val="center"/>
          </w:tcPr>
          <w:p w14:paraId="0994B83D" w14:textId="77777777" w:rsidR="00F36616" w:rsidRPr="00485998" w:rsidRDefault="00F36616" w:rsidP="00F36616">
            <w:pPr>
              <w:numPr>
                <w:ilvl w:val="0"/>
                <w:numId w:val="21"/>
              </w:numPr>
              <w:tabs>
                <w:tab w:val="left" w:pos="504"/>
              </w:tabs>
              <w:ind w:left="142"/>
              <w:textAlignment w:val="baseline"/>
              <w:rPr>
                <w:color w:val="000000"/>
              </w:rPr>
            </w:pPr>
            <w:r w:rsidRPr="00485998">
              <w:rPr>
                <w:color w:val="000000"/>
              </w:rPr>
              <w:t>Proksimal DVT (%)</w:t>
            </w:r>
          </w:p>
        </w:tc>
        <w:tc>
          <w:tcPr>
            <w:tcW w:w="2025" w:type="dxa"/>
            <w:tcBorders>
              <w:top w:val="single" w:sz="4" w:space="0" w:color="000000"/>
              <w:left w:val="single" w:sz="4" w:space="0" w:color="000000"/>
              <w:bottom w:val="single" w:sz="4" w:space="0" w:color="000000"/>
              <w:right w:val="single" w:sz="4" w:space="0" w:color="000000"/>
            </w:tcBorders>
            <w:vAlign w:val="center"/>
          </w:tcPr>
          <w:p w14:paraId="296CAE4A" w14:textId="77777777" w:rsidR="00F36616" w:rsidRPr="00485998" w:rsidRDefault="00F36616" w:rsidP="00F36616">
            <w:pPr>
              <w:ind w:left="279"/>
              <w:textAlignment w:val="baseline"/>
              <w:rPr>
                <w:color w:val="000000"/>
              </w:rPr>
            </w:pPr>
            <w:r w:rsidRPr="00485998">
              <w:rPr>
                <w:color w:val="000000"/>
              </w:rPr>
              <w:t>13 (4,5)</w:t>
            </w:r>
          </w:p>
        </w:tc>
        <w:tc>
          <w:tcPr>
            <w:tcW w:w="2074" w:type="dxa"/>
            <w:tcBorders>
              <w:top w:val="single" w:sz="4" w:space="0" w:color="000000"/>
              <w:left w:val="single" w:sz="4" w:space="0" w:color="000000"/>
              <w:bottom w:val="single" w:sz="4" w:space="0" w:color="000000"/>
              <w:right w:val="single" w:sz="4" w:space="0" w:color="000000"/>
            </w:tcBorders>
            <w:vAlign w:val="center"/>
          </w:tcPr>
          <w:p w14:paraId="49671437" w14:textId="77777777" w:rsidR="00F36616" w:rsidRPr="00485998" w:rsidRDefault="00F36616" w:rsidP="00F36616">
            <w:pPr>
              <w:ind w:left="279"/>
              <w:textAlignment w:val="baseline"/>
              <w:rPr>
                <w:color w:val="000000"/>
              </w:rPr>
            </w:pPr>
            <w:r w:rsidRPr="00485998">
              <w:rPr>
                <w:color w:val="000000"/>
              </w:rPr>
              <w:t>5 (1,7)</w:t>
            </w:r>
          </w:p>
        </w:tc>
        <w:tc>
          <w:tcPr>
            <w:tcW w:w="1623" w:type="dxa"/>
            <w:tcBorders>
              <w:top w:val="single" w:sz="4" w:space="0" w:color="000000"/>
              <w:left w:val="single" w:sz="4" w:space="0" w:color="000000"/>
              <w:bottom w:val="single" w:sz="4" w:space="0" w:color="000000"/>
              <w:right w:val="single" w:sz="4" w:space="0" w:color="000000"/>
            </w:tcBorders>
            <w:vAlign w:val="center"/>
          </w:tcPr>
          <w:p w14:paraId="127F58D3" w14:textId="77777777" w:rsidR="00F36616" w:rsidRPr="00485998" w:rsidRDefault="00F36616" w:rsidP="00F36616">
            <w:pPr>
              <w:ind w:left="279"/>
              <w:textAlignment w:val="baseline"/>
              <w:rPr>
                <w:color w:val="000000"/>
              </w:rPr>
            </w:pPr>
            <w:r w:rsidRPr="00485998">
              <w:rPr>
                <w:color w:val="000000"/>
              </w:rPr>
              <w:t>14 (4,9)</w:t>
            </w:r>
          </w:p>
        </w:tc>
      </w:tr>
      <w:tr w:rsidR="00F36616" w14:paraId="025E1C63" w14:textId="77777777" w:rsidTr="00F36616">
        <w:trPr>
          <w:trHeight w:hRule="exact" w:val="1005"/>
        </w:trPr>
        <w:tc>
          <w:tcPr>
            <w:tcW w:w="8420" w:type="dxa"/>
            <w:gridSpan w:val="4"/>
            <w:tcBorders>
              <w:top w:val="single" w:sz="4" w:space="0" w:color="000000"/>
              <w:left w:val="single" w:sz="4" w:space="0" w:color="000000"/>
              <w:bottom w:val="single" w:sz="4" w:space="0" w:color="000000"/>
              <w:right w:val="single" w:sz="4" w:space="0" w:color="000000"/>
            </w:tcBorders>
          </w:tcPr>
          <w:p w14:paraId="434B2321" w14:textId="77777777" w:rsidR="00F36616" w:rsidRPr="00485998" w:rsidRDefault="00F36616" w:rsidP="00F36616">
            <w:pPr>
              <w:ind w:left="149"/>
              <w:textAlignment w:val="baseline"/>
              <w:rPr>
                <w:color w:val="000000"/>
              </w:rPr>
            </w:pPr>
            <w:r w:rsidRPr="00485998">
              <w:rPr>
                <w:color w:val="000000"/>
              </w:rPr>
              <w:t xml:space="preserve">VTE = </w:t>
            </w:r>
            <w:r w:rsidRPr="005D410D">
              <w:rPr>
                <w:color w:val="000000"/>
              </w:rPr>
              <w:t>Venetromboemboliske</w:t>
            </w:r>
            <w:r w:rsidRPr="005D410D" w:rsidDel="005D410D">
              <w:rPr>
                <w:color w:val="000000"/>
              </w:rPr>
              <w:t xml:space="preserve"> </w:t>
            </w:r>
            <w:r w:rsidRPr="00485998">
              <w:rPr>
                <w:color w:val="000000"/>
              </w:rPr>
              <w:t xml:space="preserve">hændelser, som omfattede DVT, PE og død, der </w:t>
            </w:r>
            <w:r w:rsidRPr="005D410D">
              <w:rPr>
                <w:color w:val="000000"/>
              </w:rPr>
              <w:t>anses for at være et resultat af tromboembolisk sygdom</w:t>
            </w:r>
          </w:p>
          <w:p w14:paraId="348F8E98" w14:textId="77777777" w:rsidR="00F36616" w:rsidRPr="00485998" w:rsidRDefault="00F36616" w:rsidP="00F36616">
            <w:pPr>
              <w:ind w:left="149"/>
              <w:textAlignment w:val="baseline"/>
              <w:rPr>
                <w:color w:val="000000"/>
              </w:rPr>
            </w:pPr>
            <w:r w:rsidRPr="00485998">
              <w:rPr>
                <w:color w:val="000000"/>
              </w:rPr>
              <w:t xml:space="preserve">* p-værdi </w:t>
            </w:r>
            <w:r w:rsidRPr="009651C7">
              <w:rPr>
                <w:i/>
                <w:iCs/>
                <w:color w:val="000000"/>
              </w:rPr>
              <w:t>versus</w:t>
            </w:r>
            <w:r w:rsidRPr="00485998">
              <w:rPr>
                <w:color w:val="000000"/>
              </w:rPr>
              <w:t xml:space="preserve"> placebo = 0,0002</w:t>
            </w:r>
          </w:p>
        </w:tc>
      </w:tr>
    </w:tbl>
    <w:p w14:paraId="6F73BA29" w14:textId="77777777" w:rsidR="00F36616" w:rsidRPr="00F83367" w:rsidRDefault="00F36616" w:rsidP="00F36616">
      <w:pPr>
        <w:ind w:left="851"/>
        <w:rPr>
          <w:sz w:val="24"/>
          <w:szCs w:val="24"/>
        </w:rPr>
      </w:pPr>
    </w:p>
    <w:p w14:paraId="45B99994" w14:textId="77777777" w:rsidR="00F36616" w:rsidRPr="00F83367" w:rsidRDefault="00F36616" w:rsidP="00F36616">
      <w:pPr>
        <w:ind w:left="851" w:right="360"/>
        <w:textAlignment w:val="baseline"/>
        <w:rPr>
          <w:color w:val="000000"/>
          <w:sz w:val="24"/>
          <w:szCs w:val="24"/>
        </w:rPr>
      </w:pPr>
      <w:r w:rsidRPr="00F83367">
        <w:rPr>
          <w:color w:val="000000"/>
          <w:sz w:val="24"/>
          <w:szCs w:val="24"/>
        </w:rPr>
        <w:t xml:space="preserve">Ca. 3 måneder efter studiestart var hyppigheden af VTE stadig signifikant lavere i gruppen, der fik 4.000 IE (40 mg) enoxaparinnatrium </w:t>
      </w:r>
      <w:r w:rsidRPr="00F83367">
        <w:rPr>
          <w:i/>
          <w:iCs/>
          <w:color w:val="000000"/>
          <w:sz w:val="24"/>
          <w:szCs w:val="24"/>
        </w:rPr>
        <w:t>versus</w:t>
      </w:r>
      <w:r w:rsidRPr="00F83367">
        <w:rPr>
          <w:color w:val="000000"/>
          <w:sz w:val="24"/>
          <w:szCs w:val="24"/>
        </w:rPr>
        <w:t xml:space="preserve"> placebogruppen. Den samlede forekomst af blødning og af alvorlig blødning var henholdsvis</w:t>
      </w:r>
      <w:r w:rsidRPr="00F83367" w:rsidDel="00B24E5E">
        <w:rPr>
          <w:color w:val="000000"/>
          <w:sz w:val="24"/>
          <w:szCs w:val="24"/>
        </w:rPr>
        <w:t xml:space="preserve"> </w:t>
      </w:r>
      <w:r w:rsidRPr="00F83367">
        <w:rPr>
          <w:color w:val="000000"/>
          <w:sz w:val="24"/>
          <w:szCs w:val="24"/>
        </w:rPr>
        <w:t>8,6 % og 1,1 % i placebogruppen, 11,7 % og 0,3% i gruppen, der fik enoxaparinnatrium 2.000 IE (20 mg), og 12,6 % og 1,7 % i gruppen, der fik enoxaparinnatrium 4.000 IE (40 mg).</w:t>
      </w:r>
    </w:p>
    <w:p w14:paraId="7C4595B5" w14:textId="77777777" w:rsidR="00F36616" w:rsidRPr="00F83367" w:rsidRDefault="00F36616" w:rsidP="00F36616">
      <w:pPr>
        <w:ind w:left="851" w:right="360"/>
        <w:textAlignment w:val="baseline"/>
        <w:rPr>
          <w:color w:val="000000"/>
          <w:sz w:val="24"/>
          <w:szCs w:val="24"/>
        </w:rPr>
      </w:pPr>
    </w:p>
    <w:p w14:paraId="148D43E2"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Behandling af dyb venetrombose med eller uden lungeemboli</w:t>
      </w:r>
    </w:p>
    <w:p w14:paraId="0A71E3C9" w14:textId="77777777" w:rsidR="00F36616" w:rsidRPr="00F83367" w:rsidRDefault="00F36616" w:rsidP="00F36616">
      <w:pPr>
        <w:ind w:left="851" w:right="142"/>
        <w:textAlignment w:val="baseline"/>
        <w:rPr>
          <w:color w:val="000000"/>
          <w:spacing w:val="1"/>
          <w:sz w:val="24"/>
          <w:szCs w:val="24"/>
        </w:rPr>
      </w:pPr>
      <w:r w:rsidRPr="00F83367">
        <w:rPr>
          <w:color w:val="000000"/>
          <w:spacing w:val="1"/>
          <w:sz w:val="24"/>
          <w:szCs w:val="24"/>
        </w:rPr>
        <w:t>I et multicenterstudie med parallelle grupper blev 900 patienter med akut DVT i underekstremiteterne med eller uden PE randomiseret til behandling under hospitalsindlæggelse med enten (i) enoxaparinnatrium 150 IE/kg (1,5 mg/kg) s.c. en gang dagligt, (ii) enoxaparinnatrium 100 IE/kg (1 mg/kg) s.c. hver 12. time eller (iii) i.v.-bolusdosis af (5.000 IE) heparin efterfulgt af kontinuerlig infusion (administreret for at opnå en aPTT på 55 til 85 sekunder). I alt 900 patienter blev randomiseret i studiet, og alle patienter blev behandlet. Alle patienter fik også warfarinnatrium (dosis justeres i henhold til protrombintid for at opnå INR på 2,0 til 3,0) inden for 72 timer efter initiering af enoxaparinnatrium eller standard-heparin og fortsatte behandlingen i 90 dage. Enoxaparinnatrium eller standard-heparin blev administreret i mindst 5 dage, og indtil det tilsigtede INR for warfarinnatrium blev nået. Begge enoxaparinnatrium-behandlinger var ækvivalente med behandling med standard- heparin med hensyn til at reducere risikoen for recidiverende venøs tromboemboli (DVT og/eller PE). Effektdata er vist i nedenstående tabel.</w:t>
      </w:r>
    </w:p>
    <w:p w14:paraId="4E3C4FB7" w14:textId="77777777" w:rsidR="00F36616" w:rsidRPr="00F83367" w:rsidRDefault="00F36616" w:rsidP="00F36616">
      <w:pPr>
        <w:ind w:left="851" w:right="142"/>
        <w:textAlignment w:val="baseline"/>
        <w:rPr>
          <w:color w:val="000000"/>
          <w:spacing w:val="1"/>
          <w:sz w:val="24"/>
          <w:szCs w:val="24"/>
        </w:rPr>
      </w:pPr>
    </w:p>
    <w:tbl>
      <w:tblPr>
        <w:tblW w:w="9171" w:type="dxa"/>
        <w:tblInd w:w="846" w:type="dxa"/>
        <w:tblLayout w:type="fixed"/>
        <w:tblCellMar>
          <w:left w:w="0" w:type="dxa"/>
          <w:right w:w="0" w:type="dxa"/>
        </w:tblCellMar>
        <w:tblLook w:val="04A0" w:firstRow="1" w:lastRow="0" w:firstColumn="1" w:lastColumn="0" w:noHBand="0" w:noVBand="1"/>
      </w:tblPr>
      <w:tblGrid>
        <w:gridCol w:w="1984"/>
        <w:gridCol w:w="2547"/>
        <w:gridCol w:w="2556"/>
        <w:gridCol w:w="2084"/>
      </w:tblGrid>
      <w:tr w:rsidR="00F36616" w14:paraId="3D9EF4D0" w14:textId="77777777" w:rsidTr="00F36616">
        <w:trPr>
          <w:trHeight w:hRule="exact" w:val="1435"/>
        </w:trPr>
        <w:tc>
          <w:tcPr>
            <w:tcW w:w="1984" w:type="dxa"/>
            <w:tcBorders>
              <w:top w:val="single" w:sz="4" w:space="0" w:color="000000"/>
              <w:left w:val="single" w:sz="4" w:space="0" w:color="000000"/>
              <w:bottom w:val="single" w:sz="4" w:space="0" w:color="000000"/>
              <w:right w:val="single" w:sz="4" w:space="0" w:color="000000"/>
            </w:tcBorders>
          </w:tcPr>
          <w:p w14:paraId="7ACAF412" w14:textId="77777777" w:rsidR="00F36616" w:rsidRPr="00485998" w:rsidRDefault="00F36616" w:rsidP="00F36616">
            <w:pPr>
              <w:ind w:left="142"/>
              <w:textAlignment w:val="baseline"/>
              <w:rPr>
                <w:color w:val="000000"/>
              </w:rPr>
            </w:pPr>
            <w:r w:rsidRPr="00485998">
              <w:rPr>
                <w:color w:val="000000"/>
              </w:rPr>
              <w:lastRenderedPageBreak/>
              <w:t xml:space="preserve"> </w:t>
            </w:r>
          </w:p>
        </w:tc>
        <w:tc>
          <w:tcPr>
            <w:tcW w:w="2547" w:type="dxa"/>
            <w:tcBorders>
              <w:top w:val="single" w:sz="4" w:space="0" w:color="000000"/>
              <w:left w:val="single" w:sz="4" w:space="0" w:color="000000"/>
              <w:bottom w:val="single" w:sz="4" w:space="0" w:color="000000"/>
              <w:right w:val="single" w:sz="4" w:space="0" w:color="000000"/>
            </w:tcBorders>
          </w:tcPr>
          <w:p w14:paraId="57025983" w14:textId="77777777" w:rsidR="00F36616" w:rsidRPr="00485998" w:rsidRDefault="00F36616" w:rsidP="00F36616">
            <w:pPr>
              <w:ind w:left="137"/>
              <w:textAlignment w:val="baseline"/>
              <w:rPr>
                <w:b/>
                <w:color w:val="000000"/>
              </w:rPr>
            </w:pPr>
            <w:r w:rsidRPr="00485998">
              <w:rPr>
                <w:b/>
                <w:color w:val="000000"/>
              </w:rPr>
              <w:t>Enoxaparinnatrium</w:t>
            </w:r>
            <w:r w:rsidRPr="00485998">
              <w:br/>
            </w:r>
            <w:r w:rsidRPr="00485998">
              <w:rPr>
                <w:b/>
                <w:color w:val="000000"/>
              </w:rPr>
              <w:t>150 IE/kg (1,5 mg/kg)</w:t>
            </w:r>
            <w:r w:rsidRPr="00485998">
              <w:br/>
            </w:r>
            <w:r>
              <w:rPr>
                <w:b/>
                <w:color w:val="000000"/>
              </w:rPr>
              <w:t>s.c. en</w:t>
            </w:r>
            <w:r w:rsidRPr="00485998">
              <w:rPr>
                <w:b/>
                <w:color w:val="000000"/>
              </w:rPr>
              <w:t xml:space="preserve"> gang dag</w:t>
            </w:r>
            <w:r>
              <w:rPr>
                <w:b/>
                <w:color w:val="000000"/>
              </w:rPr>
              <w:t>ligt</w:t>
            </w:r>
            <w:r w:rsidRPr="00485998">
              <w:br/>
            </w:r>
            <w:r w:rsidRPr="00485998">
              <w:rPr>
                <w:b/>
                <w:color w:val="000000"/>
              </w:rPr>
              <w:t>n (%)</w:t>
            </w:r>
          </w:p>
        </w:tc>
        <w:tc>
          <w:tcPr>
            <w:tcW w:w="2556" w:type="dxa"/>
            <w:tcBorders>
              <w:top w:val="single" w:sz="4" w:space="0" w:color="000000"/>
              <w:left w:val="single" w:sz="4" w:space="0" w:color="000000"/>
              <w:bottom w:val="single" w:sz="4" w:space="0" w:color="000000"/>
              <w:right w:val="single" w:sz="4" w:space="0" w:color="000000"/>
            </w:tcBorders>
          </w:tcPr>
          <w:p w14:paraId="1030E3EA" w14:textId="77777777" w:rsidR="00F36616" w:rsidRPr="00485998" w:rsidRDefault="00F36616" w:rsidP="00F36616">
            <w:pPr>
              <w:ind w:left="184"/>
              <w:textAlignment w:val="baseline"/>
              <w:rPr>
                <w:b/>
                <w:color w:val="000000"/>
              </w:rPr>
            </w:pPr>
            <w:r w:rsidRPr="00485998">
              <w:rPr>
                <w:b/>
                <w:color w:val="000000"/>
              </w:rPr>
              <w:t>Enoxaparinnatrium</w:t>
            </w:r>
            <w:r w:rsidRPr="00485998">
              <w:br/>
            </w:r>
            <w:r w:rsidRPr="00485998">
              <w:rPr>
                <w:b/>
                <w:color w:val="000000"/>
              </w:rPr>
              <w:t>100 IE/kg (1 mg/kg)</w:t>
            </w:r>
            <w:r w:rsidRPr="00485998">
              <w:br/>
            </w:r>
            <w:r>
              <w:rPr>
                <w:b/>
                <w:color w:val="000000"/>
              </w:rPr>
              <w:t xml:space="preserve">s.c. </w:t>
            </w:r>
            <w:r w:rsidRPr="00485998">
              <w:rPr>
                <w:b/>
                <w:color w:val="000000"/>
              </w:rPr>
              <w:t>to gange dag</w:t>
            </w:r>
            <w:r>
              <w:rPr>
                <w:b/>
                <w:color w:val="000000"/>
              </w:rPr>
              <w:t>ligt</w:t>
            </w:r>
            <w:r w:rsidRPr="00485998">
              <w:br/>
            </w:r>
            <w:r w:rsidRPr="00485998">
              <w:rPr>
                <w:b/>
                <w:color w:val="000000"/>
              </w:rPr>
              <w:t>n (%)</w:t>
            </w:r>
          </w:p>
        </w:tc>
        <w:tc>
          <w:tcPr>
            <w:tcW w:w="2084" w:type="dxa"/>
            <w:tcBorders>
              <w:top w:val="single" w:sz="4" w:space="0" w:color="000000"/>
              <w:left w:val="single" w:sz="4" w:space="0" w:color="000000"/>
              <w:bottom w:val="single" w:sz="4" w:space="0" w:color="000000"/>
              <w:right w:val="single" w:sz="4" w:space="0" w:color="000000"/>
            </w:tcBorders>
          </w:tcPr>
          <w:p w14:paraId="3EA43C02" w14:textId="77777777" w:rsidR="00F36616" w:rsidRPr="00485998" w:rsidRDefault="00F36616" w:rsidP="00F36616">
            <w:pPr>
              <w:ind w:left="91"/>
              <w:textAlignment w:val="baseline"/>
              <w:rPr>
                <w:b/>
                <w:color w:val="000000"/>
              </w:rPr>
            </w:pPr>
            <w:r w:rsidRPr="00D54924">
              <w:rPr>
                <w:b/>
                <w:color w:val="000000"/>
              </w:rPr>
              <w:t>Intravenøs heparinbehandling justeret i henhold til aPTT</w:t>
            </w:r>
            <w:r w:rsidRPr="00485998">
              <w:br/>
            </w:r>
            <w:r w:rsidRPr="00485998">
              <w:rPr>
                <w:b/>
                <w:color w:val="000000"/>
              </w:rPr>
              <w:t>n (%)</w:t>
            </w:r>
          </w:p>
        </w:tc>
      </w:tr>
      <w:tr w:rsidR="00F36616" w14:paraId="4F2ED86F" w14:textId="77777777" w:rsidTr="00F36616">
        <w:trPr>
          <w:trHeight w:hRule="exact" w:val="293"/>
        </w:trPr>
        <w:tc>
          <w:tcPr>
            <w:tcW w:w="1984" w:type="dxa"/>
            <w:tcBorders>
              <w:top w:val="single" w:sz="4" w:space="0" w:color="000000"/>
              <w:left w:val="single" w:sz="4" w:space="0" w:color="000000"/>
              <w:bottom w:val="nil"/>
              <w:right w:val="single" w:sz="4" w:space="0" w:color="000000"/>
            </w:tcBorders>
            <w:vAlign w:val="center"/>
          </w:tcPr>
          <w:p w14:paraId="1622B279" w14:textId="77777777" w:rsidR="00F36616" w:rsidRPr="00485998" w:rsidRDefault="00F36616" w:rsidP="00F36616">
            <w:pPr>
              <w:ind w:left="142"/>
              <w:textAlignment w:val="baseline"/>
              <w:rPr>
                <w:b/>
                <w:color w:val="000000"/>
              </w:rPr>
            </w:pPr>
            <w:r w:rsidRPr="00485998">
              <w:rPr>
                <w:b/>
                <w:color w:val="000000"/>
              </w:rPr>
              <w:t>Alle behandlede DVT-</w:t>
            </w:r>
          </w:p>
        </w:tc>
        <w:tc>
          <w:tcPr>
            <w:tcW w:w="2547" w:type="dxa"/>
            <w:tcBorders>
              <w:top w:val="single" w:sz="4" w:space="0" w:color="000000"/>
              <w:left w:val="single" w:sz="4" w:space="0" w:color="000000"/>
              <w:bottom w:val="nil"/>
              <w:right w:val="single" w:sz="4" w:space="0" w:color="000000"/>
            </w:tcBorders>
            <w:vAlign w:val="center"/>
          </w:tcPr>
          <w:p w14:paraId="4C257671" w14:textId="77777777" w:rsidR="00F36616" w:rsidRPr="00485998" w:rsidRDefault="00F36616" w:rsidP="00F36616">
            <w:pPr>
              <w:ind w:left="137"/>
              <w:textAlignment w:val="baseline"/>
              <w:rPr>
                <w:color w:val="000000"/>
              </w:rPr>
            </w:pPr>
            <w:r w:rsidRPr="00485998">
              <w:rPr>
                <w:color w:val="000000"/>
              </w:rPr>
              <w:t>298 (100)</w:t>
            </w:r>
          </w:p>
        </w:tc>
        <w:tc>
          <w:tcPr>
            <w:tcW w:w="2556" w:type="dxa"/>
            <w:tcBorders>
              <w:top w:val="single" w:sz="4" w:space="0" w:color="000000"/>
              <w:left w:val="single" w:sz="4" w:space="0" w:color="000000"/>
              <w:bottom w:val="nil"/>
              <w:right w:val="single" w:sz="4" w:space="0" w:color="000000"/>
            </w:tcBorders>
            <w:vAlign w:val="center"/>
          </w:tcPr>
          <w:p w14:paraId="543DA684" w14:textId="77777777" w:rsidR="00F36616" w:rsidRPr="00485998" w:rsidRDefault="00F36616" w:rsidP="00F36616">
            <w:pPr>
              <w:ind w:left="184"/>
              <w:textAlignment w:val="baseline"/>
              <w:rPr>
                <w:color w:val="000000"/>
              </w:rPr>
            </w:pPr>
            <w:r w:rsidRPr="00485998">
              <w:rPr>
                <w:color w:val="000000"/>
              </w:rPr>
              <w:t>312 (100)</w:t>
            </w:r>
          </w:p>
        </w:tc>
        <w:tc>
          <w:tcPr>
            <w:tcW w:w="2084" w:type="dxa"/>
            <w:tcBorders>
              <w:top w:val="single" w:sz="4" w:space="0" w:color="000000"/>
              <w:left w:val="single" w:sz="4" w:space="0" w:color="000000"/>
              <w:bottom w:val="nil"/>
              <w:right w:val="single" w:sz="4" w:space="0" w:color="000000"/>
            </w:tcBorders>
            <w:vAlign w:val="center"/>
          </w:tcPr>
          <w:p w14:paraId="5C29EB25" w14:textId="77777777" w:rsidR="00F36616" w:rsidRPr="00485998" w:rsidRDefault="00F36616" w:rsidP="00F36616">
            <w:pPr>
              <w:ind w:left="91"/>
              <w:textAlignment w:val="baseline"/>
              <w:rPr>
                <w:color w:val="000000"/>
              </w:rPr>
            </w:pPr>
            <w:r w:rsidRPr="00485998">
              <w:rPr>
                <w:color w:val="000000"/>
              </w:rPr>
              <w:t>290 (100)</w:t>
            </w:r>
          </w:p>
        </w:tc>
      </w:tr>
      <w:tr w:rsidR="00F36616" w14:paraId="4830D97E" w14:textId="77777777" w:rsidTr="00F36616">
        <w:trPr>
          <w:trHeight w:hRule="exact" w:val="826"/>
        </w:trPr>
        <w:tc>
          <w:tcPr>
            <w:tcW w:w="1984" w:type="dxa"/>
            <w:tcBorders>
              <w:top w:val="nil"/>
              <w:left w:val="single" w:sz="4" w:space="0" w:color="000000"/>
              <w:bottom w:val="single" w:sz="4" w:space="0" w:color="000000"/>
              <w:right w:val="single" w:sz="4" w:space="0" w:color="000000"/>
            </w:tcBorders>
          </w:tcPr>
          <w:p w14:paraId="53320D0A" w14:textId="77777777" w:rsidR="00F36616" w:rsidRPr="00485998" w:rsidRDefault="00F36616" w:rsidP="00F36616">
            <w:pPr>
              <w:ind w:left="142"/>
              <w:textAlignment w:val="baseline"/>
              <w:rPr>
                <w:b/>
                <w:color w:val="000000"/>
              </w:rPr>
            </w:pPr>
            <w:r w:rsidRPr="00485998">
              <w:rPr>
                <w:b/>
                <w:color w:val="000000"/>
              </w:rPr>
              <w:t xml:space="preserve">patienter med </w:t>
            </w:r>
            <w:r>
              <w:rPr>
                <w:b/>
                <w:color w:val="000000"/>
              </w:rPr>
              <w:t xml:space="preserve">DVT med </w:t>
            </w:r>
            <w:r w:rsidRPr="00485998">
              <w:rPr>
                <w:b/>
                <w:color w:val="000000"/>
              </w:rPr>
              <w:t>eller uden PE</w:t>
            </w:r>
          </w:p>
        </w:tc>
        <w:tc>
          <w:tcPr>
            <w:tcW w:w="2547" w:type="dxa"/>
            <w:tcBorders>
              <w:top w:val="nil"/>
              <w:left w:val="single" w:sz="4" w:space="0" w:color="000000"/>
              <w:bottom w:val="single" w:sz="4" w:space="0" w:color="000000"/>
              <w:right w:val="single" w:sz="4" w:space="0" w:color="000000"/>
            </w:tcBorders>
          </w:tcPr>
          <w:p w14:paraId="422B15FE" w14:textId="77777777" w:rsidR="00F36616" w:rsidRPr="00485998" w:rsidRDefault="00F36616" w:rsidP="00F36616">
            <w:pPr>
              <w:ind w:left="137"/>
              <w:textAlignment w:val="baseline"/>
              <w:rPr>
                <w:color w:val="000000"/>
              </w:rPr>
            </w:pPr>
            <w:r w:rsidRPr="00485998">
              <w:rPr>
                <w:color w:val="000000"/>
              </w:rPr>
              <w:t xml:space="preserve"> </w:t>
            </w:r>
          </w:p>
        </w:tc>
        <w:tc>
          <w:tcPr>
            <w:tcW w:w="2556" w:type="dxa"/>
            <w:tcBorders>
              <w:top w:val="nil"/>
              <w:left w:val="single" w:sz="4" w:space="0" w:color="000000"/>
              <w:bottom w:val="single" w:sz="4" w:space="0" w:color="000000"/>
              <w:right w:val="single" w:sz="4" w:space="0" w:color="000000"/>
            </w:tcBorders>
          </w:tcPr>
          <w:p w14:paraId="09F7978E" w14:textId="77777777" w:rsidR="00F36616" w:rsidRPr="00485998" w:rsidRDefault="00F36616" w:rsidP="00F36616">
            <w:pPr>
              <w:ind w:left="184"/>
              <w:textAlignment w:val="baseline"/>
              <w:rPr>
                <w:color w:val="000000"/>
              </w:rPr>
            </w:pPr>
            <w:r w:rsidRPr="00485998">
              <w:rPr>
                <w:color w:val="000000"/>
              </w:rPr>
              <w:t xml:space="preserve"> </w:t>
            </w:r>
          </w:p>
        </w:tc>
        <w:tc>
          <w:tcPr>
            <w:tcW w:w="2084" w:type="dxa"/>
            <w:tcBorders>
              <w:top w:val="nil"/>
              <w:left w:val="single" w:sz="4" w:space="0" w:color="000000"/>
              <w:bottom w:val="single" w:sz="4" w:space="0" w:color="000000"/>
              <w:right w:val="single" w:sz="4" w:space="0" w:color="000000"/>
            </w:tcBorders>
          </w:tcPr>
          <w:p w14:paraId="7A7DD3BC" w14:textId="77777777" w:rsidR="00F36616" w:rsidRPr="00485998" w:rsidRDefault="00F36616" w:rsidP="00F36616">
            <w:pPr>
              <w:ind w:left="91"/>
              <w:textAlignment w:val="baseline"/>
              <w:rPr>
                <w:color w:val="000000"/>
              </w:rPr>
            </w:pPr>
            <w:r w:rsidRPr="00485998">
              <w:rPr>
                <w:color w:val="000000"/>
              </w:rPr>
              <w:t xml:space="preserve"> </w:t>
            </w:r>
          </w:p>
        </w:tc>
      </w:tr>
      <w:tr w:rsidR="00F36616" w14:paraId="75778263" w14:textId="77777777" w:rsidTr="00F36616">
        <w:trPr>
          <w:trHeight w:hRule="exact" w:val="360"/>
        </w:trPr>
        <w:tc>
          <w:tcPr>
            <w:tcW w:w="1984" w:type="dxa"/>
            <w:tcBorders>
              <w:top w:val="single" w:sz="4" w:space="0" w:color="000000"/>
              <w:left w:val="single" w:sz="4" w:space="0" w:color="000000"/>
              <w:bottom w:val="single" w:sz="4" w:space="0" w:color="000000"/>
              <w:right w:val="single" w:sz="4" w:space="0" w:color="000000"/>
            </w:tcBorders>
            <w:vAlign w:val="center"/>
          </w:tcPr>
          <w:p w14:paraId="15149CE7" w14:textId="77777777" w:rsidR="00F36616" w:rsidRPr="00485998" w:rsidRDefault="00F36616" w:rsidP="00F36616">
            <w:pPr>
              <w:ind w:left="142"/>
              <w:textAlignment w:val="baseline"/>
              <w:rPr>
                <w:b/>
                <w:color w:val="000000"/>
              </w:rPr>
            </w:pPr>
            <w:r w:rsidRPr="00485998">
              <w:rPr>
                <w:b/>
                <w:color w:val="000000"/>
              </w:rPr>
              <w:t xml:space="preserve">VTE </w:t>
            </w:r>
            <w:r>
              <w:rPr>
                <w:b/>
                <w:color w:val="000000"/>
              </w:rPr>
              <w:t>totalt</w:t>
            </w:r>
            <w:r w:rsidRPr="00485998">
              <w:rPr>
                <w:b/>
                <w:color w:val="000000"/>
              </w:rPr>
              <w:t xml:space="preserve"> (%)</w:t>
            </w:r>
          </w:p>
        </w:tc>
        <w:tc>
          <w:tcPr>
            <w:tcW w:w="2547" w:type="dxa"/>
            <w:tcBorders>
              <w:top w:val="single" w:sz="4" w:space="0" w:color="000000"/>
              <w:left w:val="single" w:sz="4" w:space="0" w:color="000000"/>
              <w:bottom w:val="single" w:sz="4" w:space="0" w:color="000000"/>
              <w:right w:val="single" w:sz="4" w:space="0" w:color="000000"/>
            </w:tcBorders>
            <w:vAlign w:val="center"/>
          </w:tcPr>
          <w:p w14:paraId="52D4137F" w14:textId="77777777" w:rsidR="00F36616" w:rsidRPr="00485998" w:rsidRDefault="00F36616" w:rsidP="00F36616">
            <w:pPr>
              <w:ind w:left="137"/>
              <w:textAlignment w:val="baseline"/>
              <w:rPr>
                <w:color w:val="000000"/>
              </w:rPr>
            </w:pPr>
            <w:r w:rsidRPr="00485998">
              <w:rPr>
                <w:color w:val="000000"/>
              </w:rPr>
              <w:t>13 (4,</w:t>
            </w:r>
            <w:proofErr w:type="gramStart"/>
            <w:r w:rsidRPr="00485998">
              <w:rPr>
                <w:color w:val="000000"/>
              </w:rPr>
              <w:t>4)*</w:t>
            </w:r>
            <w:proofErr w:type="gramEnd"/>
          </w:p>
        </w:tc>
        <w:tc>
          <w:tcPr>
            <w:tcW w:w="2556" w:type="dxa"/>
            <w:tcBorders>
              <w:top w:val="single" w:sz="4" w:space="0" w:color="000000"/>
              <w:left w:val="single" w:sz="4" w:space="0" w:color="000000"/>
              <w:bottom w:val="single" w:sz="4" w:space="0" w:color="000000"/>
              <w:right w:val="single" w:sz="4" w:space="0" w:color="000000"/>
            </w:tcBorders>
            <w:vAlign w:val="center"/>
          </w:tcPr>
          <w:p w14:paraId="2CFCD737" w14:textId="77777777" w:rsidR="00F36616" w:rsidRPr="00485998" w:rsidRDefault="00F36616" w:rsidP="00F36616">
            <w:pPr>
              <w:ind w:left="184"/>
              <w:textAlignment w:val="baseline"/>
              <w:rPr>
                <w:color w:val="000000"/>
              </w:rPr>
            </w:pPr>
            <w:r w:rsidRPr="00485998">
              <w:rPr>
                <w:color w:val="000000"/>
              </w:rPr>
              <w:t>9 (2,</w:t>
            </w:r>
            <w:proofErr w:type="gramStart"/>
            <w:r w:rsidRPr="00485998">
              <w:rPr>
                <w:color w:val="000000"/>
              </w:rPr>
              <w:t>9)*</w:t>
            </w:r>
            <w:proofErr w:type="gramEnd"/>
          </w:p>
        </w:tc>
        <w:tc>
          <w:tcPr>
            <w:tcW w:w="2084" w:type="dxa"/>
            <w:tcBorders>
              <w:top w:val="single" w:sz="4" w:space="0" w:color="000000"/>
              <w:left w:val="single" w:sz="4" w:space="0" w:color="000000"/>
              <w:bottom w:val="single" w:sz="4" w:space="0" w:color="000000"/>
              <w:right w:val="single" w:sz="4" w:space="0" w:color="000000"/>
            </w:tcBorders>
            <w:vAlign w:val="center"/>
          </w:tcPr>
          <w:p w14:paraId="7AD917EB" w14:textId="77777777" w:rsidR="00F36616" w:rsidRPr="00485998" w:rsidRDefault="00F36616" w:rsidP="00F36616">
            <w:pPr>
              <w:ind w:left="91"/>
              <w:textAlignment w:val="baseline"/>
              <w:rPr>
                <w:color w:val="000000"/>
              </w:rPr>
            </w:pPr>
            <w:r w:rsidRPr="00485998">
              <w:rPr>
                <w:color w:val="000000"/>
              </w:rPr>
              <w:t>12 (4,1)</w:t>
            </w:r>
          </w:p>
        </w:tc>
      </w:tr>
      <w:tr w:rsidR="00F36616" w14:paraId="53414EE0" w14:textId="77777777" w:rsidTr="00F36616">
        <w:trPr>
          <w:trHeight w:hRule="exact" w:val="360"/>
        </w:trPr>
        <w:tc>
          <w:tcPr>
            <w:tcW w:w="1984" w:type="dxa"/>
            <w:tcBorders>
              <w:top w:val="single" w:sz="4" w:space="0" w:color="000000"/>
              <w:left w:val="single" w:sz="4" w:space="0" w:color="000000"/>
              <w:bottom w:val="single" w:sz="4" w:space="0" w:color="000000"/>
              <w:right w:val="single" w:sz="4" w:space="0" w:color="000000"/>
            </w:tcBorders>
            <w:vAlign w:val="center"/>
          </w:tcPr>
          <w:p w14:paraId="04D1FF16" w14:textId="77777777" w:rsidR="00F36616" w:rsidRPr="00485998" w:rsidRDefault="00F36616" w:rsidP="00F36616">
            <w:pPr>
              <w:numPr>
                <w:ilvl w:val="0"/>
                <w:numId w:val="21"/>
              </w:numPr>
              <w:tabs>
                <w:tab w:val="left" w:pos="504"/>
              </w:tabs>
              <w:ind w:left="142"/>
              <w:textAlignment w:val="baseline"/>
              <w:rPr>
                <w:color w:val="000000"/>
              </w:rPr>
            </w:pPr>
            <w:r>
              <w:rPr>
                <w:color w:val="000000"/>
              </w:rPr>
              <w:t xml:space="preserve">Kun </w:t>
            </w:r>
            <w:r w:rsidRPr="00485998">
              <w:rPr>
                <w:color w:val="000000"/>
              </w:rPr>
              <w:t>DVT (%)</w:t>
            </w:r>
          </w:p>
        </w:tc>
        <w:tc>
          <w:tcPr>
            <w:tcW w:w="2547" w:type="dxa"/>
            <w:tcBorders>
              <w:top w:val="single" w:sz="4" w:space="0" w:color="000000"/>
              <w:left w:val="single" w:sz="4" w:space="0" w:color="000000"/>
              <w:bottom w:val="single" w:sz="4" w:space="0" w:color="000000"/>
              <w:right w:val="single" w:sz="4" w:space="0" w:color="000000"/>
            </w:tcBorders>
            <w:vAlign w:val="center"/>
          </w:tcPr>
          <w:p w14:paraId="0733B0DC" w14:textId="77777777" w:rsidR="00F36616" w:rsidRPr="00485998" w:rsidRDefault="00F36616" w:rsidP="00F36616">
            <w:pPr>
              <w:ind w:left="137"/>
              <w:textAlignment w:val="baseline"/>
              <w:rPr>
                <w:color w:val="000000"/>
              </w:rPr>
            </w:pPr>
            <w:r w:rsidRPr="00485998">
              <w:rPr>
                <w:color w:val="000000"/>
              </w:rPr>
              <w:t>11 (3,7)</w:t>
            </w:r>
          </w:p>
        </w:tc>
        <w:tc>
          <w:tcPr>
            <w:tcW w:w="2556" w:type="dxa"/>
            <w:tcBorders>
              <w:top w:val="single" w:sz="4" w:space="0" w:color="000000"/>
              <w:left w:val="single" w:sz="4" w:space="0" w:color="000000"/>
              <w:bottom w:val="single" w:sz="4" w:space="0" w:color="000000"/>
              <w:right w:val="single" w:sz="4" w:space="0" w:color="000000"/>
            </w:tcBorders>
            <w:vAlign w:val="center"/>
          </w:tcPr>
          <w:p w14:paraId="65148E6F" w14:textId="77777777" w:rsidR="00F36616" w:rsidRPr="00485998" w:rsidRDefault="00F36616" w:rsidP="00F36616">
            <w:pPr>
              <w:ind w:left="184"/>
              <w:textAlignment w:val="baseline"/>
              <w:rPr>
                <w:color w:val="000000"/>
              </w:rPr>
            </w:pPr>
            <w:r w:rsidRPr="00485998">
              <w:rPr>
                <w:color w:val="000000"/>
              </w:rPr>
              <w:t>7 (2,2)</w:t>
            </w:r>
          </w:p>
        </w:tc>
        <w:tc>
          <w:tcPr>
            <w:tcW w:w="2084" w:type="dxa"/>
            <w:tcBorders>
              <w:top w:val="single" w:sz="4" w:space="0" w:color="000000"/>
              <w:left w:val="single" w:sz="4" w:space="0" w:color="000000"/>
              <w:bottom w:val="single" w:sz="4" w:space="0" w:color="000000"/>
              <w:right w:val="single" w:sz="4" w:space="0" w:color="000000"/>
            </w:tcBorders>
            <w:vAlign w:val="center"/>
          </w:tcPr>
          <w:p w14:paraId="60A92019" w14:textId="77777777" w:rsidR="00F36616" w:rsidRPr="00485998" w:rsidRDefault="00F36616" w:rsidP="00F36616">
            <w:pPr>
              <w:ind w:left="91"/>
              <w:textAlignment w:val="baseline"/>
              <w:rPr>
                <w:color w:val="000000"/>
              </w:rPr>
            </w:pPr>
            <w:r w:rsidRPr="00485998">
              <w:rPr>
                <w:color w:val="000000"/>
              </w:rPr>
              <w:t>8 (2,8)</w:t>
            </w:r>
          </w:p>
        </w:tc>
      </w:tr>
      <w:tr w:rsidR="00F36616" w14:paraId="4FFD8B13" w14:textId="77777777" w:rsidTr="00F36616">
        <w:trPr>
          <w:trHeight w:hRule="exact" w:val="575"/>
        </w:trPr>
        <w:tc>
          <w:tcPr>
            <w:tcW w:w="1984" w:type="dxa"/>
            <w:tcBorders>
              <w:top w:val="single" w:sz="4" w:space="0" w:color="000000"/>
              <w:left w:val="single" w:sz="4" w:space="0" w:color="000000"/>
              <w:bottom w:val="single" w:sz="4" w:space="0" w:color="000000"/>
              <w:right w:val="single" w:sz="4" w:space="0" w:color="000000"/>
            </w:tcBorders>
            <w:vAlign w:val="center"/>
          </w:tcPr>
          <w:p w14:paraId="0B7BC184" w14:textId="77777777" w:rsidR="00F36616" w:rsidRPr="00485998" w:rsidRDefault="00F36616" w:rsidP="00F36616">
            <w:pPr>
              <w:numPr>
                <w:ilvl w:val="0"/>
                <w:numId w:val="21"/>
              </w:numPr>
              <w:tabs>
                <w:tab w:val="left" w:pos="504"/>
                <w:tab w:val="right" w:pos="2016"/>
              </w:tabs>
              <w:ind w:left="142"/>
              <w:textAlignment w:val="baseline"/>
              <w:rPr>
                <w:color w:val="000000"/>
              </w:rPr>
            </w:pPr>
            <w:r w:rsidRPr="00485998">
              <w:rPr>
                <w:color w:val="000000"/>
              </w:rPr>
              <w:t>Proksimal DVT (%)</w:t>
            </w:r>
          </w:p>
        </w:tc>
        <w:tc>
          <w:tcPr>
            <w:tcW w:w="2547" w:type="dxa"/>
            <w:tcBorders>
              <w:top w:val="single" w:sz="4" w:space="0" w:color="000000"/>
              <w:left w:val="single" w:sz="4" w:space="0" w:color="000000"/>
              <w:bottom w:val="single" w:sz="4" w:space="0" w:color="000000"/>
              <w:right w:val="single" w:sz="4" w:space="0" w:color="000000"/>
            </w:tcBorders>
            <w:vAlign w:val="center"/>
          </w:tcPr>
          <w:p w14:paraId="25BBAC23" w14:textId="77777777" w:rsidR="00F36616" w:rsidRPr="00485998" w:rsidRDefault="00F36616" w:rsidP="00F36616">
            <w:pPr>
              <w:ind w:left="137"/>
              <w:textAlignment w:val="baseline"/>
              <w:rPr>
                <w:color w:val="000000"/>
              </w:rPr>
            </w:pPr>
            <w:r w:rsidRPr="00485998">
              <w:rPr>
                <w:color w:val="000000"/>
              </w:rPr>
              <w:t>9 (3,0)</w:t>
            </w:r>
          </w:p>
        </w:tc>
        <w:tc>
          <w:tcPr>
            <w:tcW w:w="2556" w:type="dxa"/>
            <w:tcBorders>
              <w:top w:val="single" w:sz="4" w:space="0" w:color="000000"/>
              <w:left w:val="single" w:sz="4" w:space="0" w:color="000000"/>
              <w:bottom w:val="single" w:sz="4" w:space="0" w:color="000000"/>
              <w:right w:val="single" w:sz="4" w:space="0" w:color="000000"/>
            </w:tcBorders>
            <w:vAlign w:val="center"/>
          </w:tcPr>
          <w:p w14:paraId="2BC7839F" w14:textId="77777777" w:rsidR="00F36616" w:rsidRPr="00485998" w:rsidRDefault="00F36616" w:rsidP="00F36616">
            <w:pPr>
              <w:ind w:left="184"/>
              <w:textAlignment w:val="baseline"/>
              <w:rPr>
                <w:color w:val="000000"/>
              </w:rPr>
            </w:pPr>
            <w:r w:rsidRPr="00485998">
              <w:rPr>
                <w:color w:val="000000"/>
              </w:rPr>
              <w:t>6 (1,9)</w:t>
            </w:r>
          </w:p>
        </w:tc>
        <w:tc>
          <w:tcPr>
            <w:tcW w:w="2084" w:type="dxa"/>
            <w:tcBorders>
              <w:top w:val="single" w:sz="4" w:space="0" w:color="000000"/>
              <w:left w:val="single" w:sz="4" w:space="0" w:color="000000"/>
              <w:bottom w:val="single" w:sz="4" w:space="0" w:color="000000"/>
              <w:right w:val="single" w:sz="4" w:space="0" w:color="000000"/>
            </w:tcBorders>
            <w:vAlign w:val="center"/>
          </w:tcPr>
          <w:p w14:paraId="20113A7D" w14:textId="77777777" w:rsidR="00F36616" w:rsidRPr="00485998" w:rsidRDefault="00F36616" w:rsidP="00F36616">
            <w:pPr>
              <w:ind w:left="91"/>
              <w:textAlignment w:val="baseline"/>
              <w:rPr>
                <w:color w:val="000000"/>
              </w:rPr>
            </w:pPr>
            <w:r w:rsidRPr="00485998">
              <w:rPr>
                <w:color w:val="000000"/>
              </w:rPr>
              <w:t>7 (2,4)</w:t>
            </w:r>
          </w:p>
        </w:tc>
      </w:tr>
      <w:tr w:rsidR="00F36616" w14:paraId="4950866F" w14:textId="77777777" w:rsidTr="00F36616">
        <w:trPr>
          <w:trHeight w:hRule="exact" w:val="355"/>
        </w:trPr>
        <w:tc>
          <w:tcPr>
            <w:tcW w:w="1984" w:type="dxa"/>
            <w:tcBorders>
              <w:top w:val="single" w:sz="4" w:space="0" w:color="000000"/>
              <w:left w:val="single" w:sz="4" w:space="0" w:color="000000"/>
              <w:bottom w:val="single" w:sz="4" w:space="0" w:color="000000"/>
              <w:right w:val="single" w:sz="4" w:space="0" w:color="000000"/>
            </w:tcBorders>
            <w:vAlign w:val="center"/>
          </w:tcPr>
          <w:p w14:paraId="4CCD448C" w14:textId="77777777" w:rsidR="00F36616" w:rsidRPr="00485998" w:rsidRDefault="00F36616" w:rsidP="00F36616">
            <w:pPr>
              <w:numPr>
                <w:ilvl w:val="0"/>
                <w:numId w:val="21"/>
              </w:numPr>
              <w:tabs>
                <w:tab w:val="left" w:pos="504"/>
              </w:tabs>
              <w:ind w:left="142"/>
              <w:textAlignment w:val="baseline"/>
              <w:rPr>
                <w:color w:val="000000"/>
              </w:rPr>
            </w:pPr>
            <w:r w:rsidRPr="00485998">
              <w:rPr>
                <w:color w:val="000000"/>
              </w:rPr>
              <w:t>PE (%)</w:t>
            </w:r>
          </w:p>
        </w:tc>
        <w:tc>
          <w:tcPr>
            <w:tcW w:w="2547" w:type="dxa"/>
            <w:tcBorders>
              <w:top w:val="single" w:sz="4" w:space="0" w:color="000000"/>
              <w:left w:val="single" w:sz="4" w:space="0" w:color="000000"/>
              <w:bottom w:val="single" w:sz="4" w:space="0" w:color="000000"/>
              <w:right w:val="single" w:sz="4" w:space="0" w:color="000000"/>
            </w:tcBorders>
            <w:vAlign w:val="center"/>
          </w:tcPr>
          <w:p w14:paraId="79CB973B" w14:textId="77777777" w:rsidR="00F36616" w:rsidRPr="00485998" w:rsidRDefault="00F36616" w:rsidP="00F36616">
            <w:pPr>
              <w:ind w:left="137"/>
              <w:textAlignment w:val="baseline"/>
              <w:rPr>
                <w:color w:val="000000"/>
              </w:rPr>
            </w:pPr>
            <w:r w:rsidRPr="00485998">
              <w:rPr>
                <w:color w:val="000000"/>
              </w:rPr>
              <w:t>2 (0,7)</w:t>
            </w:r>
          </w:p>
        </w:tc>
        <w:tc>
          <w:tcPr>
            <w:tcW w:w="2556" w:type="dxa"/>
            <w:tcBorders>
              <w:top w:val="single" w:sz="4" w:space="0" w:color="000000"/>
              <w:left w:val="single" w:sz="4" w:space="0" w:color="000000"/>
              <w:bottom w:val="single" w:sz="4" w:space="0" w:color="000000"/>
              <w:right w:val="single" w:sz="4" w:space="0" w:color="000000"/>
            </w:tcBorders>
            <w:vAlign w:val="center"/>
          </w:tcPr>
          <w:p w14:paraId="1275B39D" w14:textId="77777777" w:rsidR="00F36616" w:rsidRPr="00485998" w:rsidRDefault="00F36616" w:rsidP="00F36616">
            <w:pPr>
              <w:ind w:left="184"/>
              <w:textAlignment w:val="baseline"/>
              <w:rPr>
                <w:color w:val="000000"/>
              </w:rPr>
            </w:pPr>
            <w:r w:rsidRPr="00485998">
              <w:rPr>
                <w:color w:val="000000"/>
              </w:rPr>
              <w:t>2 (0,6)</w:t>
            </w:r>
          </w:p>
        </w:tc>
        <w:tc>
          <w:tcPr>
            <w:tcW w:w="2084" w:type="dxa"/>
            <w:tcBorders>
              <w:top w:val="single" w:sz="4" w:space="0" w:color="000000"/>
              <w:left w:val="single" w:sz="4" w:space="0" w:color="000000"/>
              <w:bottom w:val="single" w:sz="4" w:space="0" w:color="000000"/>
              <w:right w:val="single" w:sz="4" w:space="0" w:color="000000"/>
            </w:tcBorders>
            <w:vAlign w:val="center"/>
          </w:tcPr>
          <w:p w14:paraId="48784735" w14:textId="77777777" w:rsidR="00F36616" w:rsidRPr="00485998" w:rsidRDefault="00F36616" w:rsidP="00F36616">
            <w:pPr>
              <w:ind w:left="91"/>
              <w:textAlignment w:val="baseline"/>
              <w:rPr>
                <w:color w:val="000000"/>
              </w:rPr>
            </w:pPr>
            <w:r w:rsidRPr="00485998">
              <w:rPr>
                <w:color w:val="000000"/>
              </w:rPr>
              <w:t>4 (1,4)</w:t>
            </w:r>
          </w:p>
        </w:tc>
      </w:tr>
      <w:tr w:rsidR="00F36616" w14:paraId="5155AA91" w14:textId="77777777" w:rsidTr="00F36616">
        <w:trPr>
          <w:trHeight w:hRule="exact" w:val="278"/>
        </w:trPr>
        <w:tc>
          <w:tcPr>
            <w:tcW w:w="9171" w:type="dxa"/>
            <w:gridSpan w:val="4"/>
            <w:tcBorders>
              <w:top w:val="single" w:sz="4" w:space="0" w:color="000000"/>
              <w:left w:val="single" w:sz="4" w:space="0" w:color="000000"/>
              <w:bottom w:val="nil"/>
              <w:right w:val="single" w:sz="4" w:space="0" w:color="000000"/>
            </w:tcBorders>
            <w:vAlign w:val="center"/>
          </w:tcPr>
          <w:p w14:paraId="3142236C" w14:textId="77777777" w:rsidR="00F36616" w:rsidRPr="00485998" w:rsidRDefault="00F36616" w:rsidP="00F36616">
            <w:pPr>
              <w:ind w:left="91"/>
              <w:textAlignment w:val="baseline"/>
              <w:rPr>
                <w:color w:val="000000"/>
              </w:rPr>
            </w:pPr>
            <w:r w:rsidRPr="00485998">
              <w:rPr>
                <w:color w:val="000000"/>
              </w:rPr>
              <w:t xml:space="preserve">VTE = </w:t>
            </w:r>
            <w:r w:rsidRPr="005015B5">
              <w:rPr>
                <w:color w:val="000000"/>
              </w:rPr>
              <w:t>venetromboembolisk</w:t>
            </w:r>
            <w:r w:rsidRPr="00485998">
              <w:rPr>
                <w:color w:val="000000"/>
              </w:rPr>
              <w:t xml:space="preserve"> hændelse (DVT og/eller PE)</w:t>
            </w:r>
          </w:p>
        </w:tc>
      </w:tr>
      <w:tr w:rsidR="00F36616" w14:paraId="0D32AC2D" w14:textId="77777777" w:rsidTr="00F36616">
        <w:trPr>
          <w:trHeight w:hRule="exact" w:val="264"/>
        </w:trPr>
        <w:tc>
          <w:tcPr>
            <w:tcW w:w="9171" w:type="dxa"/>
            <w:gridSpan w:val="4"/>
            <w:tcBorders>
              <w:top w:val="nil"/>
              <w:left w:val="single" w:sz="4" w:space="0" w:color="000000"/>
              <w:bottom w:val="nil"/>
              <w:right w:val="single" w:sz="4" w:space="0" w:color="000000"/>
            </w:tcBorders>
            <w:vAlign w:val="center"/>
          </w:tcPr>
          <w:p w14:paraId="5E7D6FB0" w14:textId="77777777" w:rsidR="00F36616" w:rsidRPr="00485998" w:rsidRDefault="00F36616" w:rsidP="00F36616">
            <w:pPr>
              <w:ind w:left="91"/>
              <w:textAlignment w:val="baseline"/>
              <w:rPr>
                <w:color w:val="000000"/>
              </w:rPr>
            </w:pPr>
            <w:r w:rsidRPr="00485998">
              <w:rPr>
                <w:color w:val="000000"/>
              </w:rPr>
              <w:t>*95 %</w:t>
            </w:r>
            <w:r>
              <w:rPr>
                <w:color w:val="000000"/>
              </w:rPr>
              <w:t xml:space="preserve"> </w:t>
            </w:r>
            <w:r w:rsidRPr="00485998">
              <w:rPr>
                <w:color w:val="000000"/>
              </w:rPr>
              <w:t xml:space="preserve">konfidensintervaller for behandlingsforskelle for </w:t>
            </w:r>
            <w:r>
              <w:rPr>
                <w:color w:val="000000"/>
              </w:rPr>
              <w:t xml:space="preserve">totalt antal </w:t>
            </w:r>
            <w:r w:rsidRPr="00485998">
              <w:rPr>
                <w:color w:val="000000"/>
              </w:rPr>
              <w:t>VTE var:</w:t>
            </w:r>
          </w:p>
        </w:tc>
      </w:tr>
      <w:tr w:rsidR="00F36616" w14:paraId="6D2C504E" w14:textId="77777777" w:rsidTr="00F36616">
        <w:trPr>
          <w:trHeight w:hRule="exact" w:val="260"/>
        </w:trPr>
        <w:tc>
          <w:tcPr>
            <w:tcW w:w="9171" w:type="dxa"/>
            <w:gridSpan w:val="4"/>
            <w:tcBorders>
              <w:top w:val="nil"/>
              <w:left w:val="single" w:sz="4" w:space="0" w:color="000000"/>
              <w:bottom w:val="nil"/>
              <w:right w:val="single" w:sz="4" w:space="0" w:color="000000"/>
            </w:tcBorders>
            <w:vAlign w:val="center"/>
          </w:tcPr>
          <w:p w14:paraId="6C03E9C6" w14:textId="77777777" w:rsidR="00F36616" w:rsidRPr="00485998" w:rsidRDefault="00F36616" w:rsidP="00F36616">
            <w:pPr>
              <w:tabs>
                <w:tab w:val="left" w:pos="648"/>
              </w:tabs>
              <w:ind w:left="91"/>
              <w:textAlignment w:val="baseline"/>
              <w:rPr>
                <w:color w:val="000000"/>
              </w:rPr>
            </w:pPr>
            <w:r w:rsidRPr="00485998">
              <w:rPr>
                <w:color w:val="000000"/>
              </w:rPr>
              <w:t>-</w:t>
            </w:r>
            <w:r w:rsidRPr="00485998">
              <w:rPr>
                <w:color w:val="000000"/>
              </w:rPr>
              <w:tab/>
              <w:t xml:space="preserve">enoxaparinnatrium </w:t>
            </w:r>
            <w:r>
              <w:rPr>
                <w:color w:val="000000"/>
              </w:rPr>
              <w:t>en</w:t>
            </w:r>
            <w:r w:rsidRPr="00485998">
              <w:rPr>
                <w:color w:val="000000"/>
              </w:rPr>
              <w:t xml:space="preserve"> gang dag</w:t>
            </w:r>
            <w:r>
              <w:rPr>
                <w:color w:val="000000"/>
              </w:rPr>
              <w:t>ligt</w:t>
            </w:r>
            <w:r w:rsidRPr="00485998">
              <w:rPr>
                <w:color w:val="000000"/>
              </w:rPr>
              <w:t xml:space="preserve"> </w:t>
            </w:r>
            <w:r w:rsidRPr="009651C7">
              <w:rPr>
                <w:i/>
                <w:iCs/>
                <w:color w:val="000000"/>
              </w:rPr>
              <w:t>versus</w:t>
            </w:r>
            <w:r w:rsidRPr="00485998">
              <w:rPr>
                <w:color w:val="000000"/>
              </w:rPr>
              <w:t xml:space="preserve"> heparin (-3,0 til 3,5)</w:t>
            </w:r>
          </w:p>
        </w:tc>
      </w:tr>
      <w:tr w:rsidR="00F36616" w14:paraId="3ADDCDD9" w14:textId="77777777" w:rsidTr="00F36616">
        <w:trPr>
          <w:trHeight w:hRule="exact" w:val="254"/>
        </w:trPr>
        <w:tc>
          <w:tcPr>
            <w:tcW w:w="9171" w:type="dxa"/>
            <w:gridSpan w:val="4"/>
            <w:tcBorders>
              <w:top w:val="nil"/>
              <w:left w:val="single" w:sz="4" w:space="0" w:color="000000"/>
              <w:bottom w:val="single" w:sz="4" w:space="0" w:color="000000"/>
              <w:right w:val="single" w:sz="4" w:space="0" w:color="000000"/>
            </w:tcBorders>
            <w:vAlign w:val="center"/>
          </w:tcPr>
          <w:p w14:paraId="5811B872" w14:textId="77777777" w:rsidR="00F36616" w:rsidRPr="00485998" w:rsidRDefault="00F36616" w:rsidP="00F36616">
            <w:pPr>
              <w:tabs>
                <w:tab w:val="left" w:pos="648"/>
              </w:tabs>
              <w:ind w:left="91"/>
              <w:textAlignment w:val="baseline"/>
              <w:rPr>
                <w:color w:val="000000"/>
              </w:rPr>
            </w:pPr>
            <w:r w:rsidRPr="00485998">
              <w:rPr>
                <w:color w:val="000000"/>
              </w:rPr>
              <w:t>-</w:t>
            </w:r>
            <w:r w:rsidRPr="00485998">
              <w:rPr>
                <w:color w:val="000000"/>
              </w:rPr>
              <w:tab/>
              <w:t xml:space="preserve">enoxaparinnatrium hver 12. time </w:t>
            </w:r>
            <w:r w:rsidRPr="009651C7">
              <w:rPr>
                <w:i/>
                <w:iCs/>
                <w:color w:val="000000"/>
              </w:rPr>
              <w:t>versus</w:t>
            </w:r>
            <w:r w:rsidRPr="00485998">
              <w:rPr>
                <w:color w:val="000000"/>
              </w:rPr>
              <w:t xml:space="preserve"> heparin (-4,2 til 1,7)</w:t>
            </w:r>
          </w:p>
        </w:tc>
      </w:tr>
    </w:tbl>
    <w:p w14:paraId="6A2ECEE7" w14:textId="77777777" w:rsidR="00F36616" w:rsidRPr="00F83367" w:rsidRDefault="00F36616" w:rsidP="00F36616">
      <w:pPr>
        <w:ind w:left="851"/>
        <w:rPr>
          <w:sz w:val="24"/>
          <w:szCs w:val="24"/>
        </w:rPr>
      </w:pPr>
    </w:p>
    <w:p w14:paraId="2C0481AA" w14:textId="77777777" w:rsidR="00D57DDA" w:rsidRPr="00F83367" w:rsidRDefault="00F36616" w:rsidP="00F36616">
      <w:pPr>
        <w:ind w:left="851" w:right="216"/>
        <w:textAlignment w:val="baseline"/>
        <w:rPr>
          <w:color w:val="000000"/>
          <w:sz w:val="24"/>
          <w:szCs w:val="24"/>
        </w:rPr>
      </w:pPr>
      <w:r w:rsidRPr="00F83367">
        <w:rPr>
          <w:color w:val="000000"/>
          <w:sz w:val="24"/>
          <w:szCs w:val="24"/>
        </w:rPr>
        <w:t>Alvorlig blødning blev observeret hos henholdsvis 1,7 % i gruppen med enoxaparinnatrium 150 IE/kg (1,5 mg/kg) en gang dagligt, hos 1,3 % i gruppen med enoxaparinnatrium 100 IE/kg (1 mg/kg) to gange dagligt og hos 2,1 % i heparin-gruppen.</w:t>
      </w:r>
    </w:p>
    <w:p w14:paraId="20C4624A" w14:textId="5480412C" w:rsidR="00F36616" w:rsidRDefault="00F36616" w:rsidP="00D57DDA">
      <w:pPr>
        <w:ind w:right="216"/>
        <w:textAlignment w:val="baseline"/>
        <w:rPr>
          <w:color w:val="000000"/>
          <w:sz w:val="24"/>
          <w:szCs w:val="24"/>
        </w:rPr>
      </w:pPr>
    </w:p>
    <w:p w14:paraId="2278CAAC" w14:textId="77777777" w:rsidR="00037883" w:rsidRDefault="00037883" w:rsidP="00037883">
      <w:pPr>
        <w:ind w:left="851" w:right="216"/>
        <w:textAlignment w:val="baseline"/>
        <w:rPr>
          <w:i/>
          <w:iCs/>
          <w:color w:val="000000"/>
          <w:sz w:val="24"/>
          <w:szCs w:val="24"/>
        </w:rPr>
      </w:pPr>
      <w:r>
        <w:rPr>
          <w:i/>
          <w:iCs/>
          <w:color w:val="000000"/>
          <w:sz w:val="24"/>
          <w:szCs w:val="24"/>
        </w:rPr>
        <w:t>Udvidet behandling af dyb venetrombose (DVT) og lungeemboli (PE) og forebyggelse af tilbagefald hos patienter med aktiv cancer</w:t>
      </w:r>
    </w:p>
    <w:p w14:paraId="0F03DA2A" w14:textId="77777777" w:rsidR="00037883" w:rsidRDefault="00037883" w:rsidP="00037883">
      <w:pPr>
        <w:ind w:left="851" w:right="216"/>
        <w:textAlignment w:val="baseline"/>
        <w:rPr>
          <w:color w:val="000000"/>
          <w:sz w:val="24"/>
          <w:szCs w:val="24"/>
        </w:rPr>
      </w:pPr>
      <w:r>
        <w:rPr>
          <w:color w:val="000000"/>
          <w:sz w:val="24"/>
          <w:szCs w:val="24"/>
        </w:rPr>
        <w:t>I kliniske forsøg med et begrænset antal patienter blev rapporterede forekomster af tilbagevendende VTE hos patienter behandlet med enoxaparin givet en eller to gange dagligt i 3 til 6 måneder at være sammenlignelig med dem med warfarin.</w:t>
      </w:r>
    </w:p>
    <w:p w14:paraId="21D54125" w14:textId="77777777" w:rsidR="00037883" w:rsidRDefault="00037883" w:rsidP="00037883">
      <w:pPr>
        <w:ind w:left="851" w:right="216"/>
        <w:textAlignment w:val="baseline"/>
        <w:rPr>
          <w:color w:val="000000"/>
          <w:sz w:val="24"/>
          <w:szCs w:val="24"/>
        </w:rPr>
      </w:pPr>
    </w:p>
    <w:p w14:paraId="0D30F1A6" w14:textId="77777777" w:rsidR="00037883" w:rsidRDefault="00037883" w:rsidP="00037883">
      <w:pPr>
        <w:ind w:left="851" w:right="216"/>
        <w:textAlignment w:val="baseline"/>
        <w:rPr>
          <w:color w:val="000000"/>
          <w:sz w:val="24"/>
          <w:szCs w:val="24"/>
        </w:rPr>
      </w:pPr>
      <w:r>
        <w:rPr>
          <w:color w:val="000000"/>
          <w:sz w:val="24"/>
          <w:szCs w:val="24"/>
        </w:rPr>
        <w:t>Effektivitet blev vurderet ud fra kohorteundersøgelse på 4.451 patienter med symptomatisk VTE og aktiv kræft fra det multinationale register RIETE hos patienter med VTE og andre trombotiske diagnoser. 3.526 patienter fik s.c. enoxaparin i op til 6 måneder og 925 patienter fik tinzaparin eller dalteparin s.c. Blandt de 3.526 patienter, der modtog enoxaparinbehandling, blev 891 patienter behandlet med 1,5 mg/kg én gang dagligt som initialt behandling og udvidet behandling op til 6 måneder (en gang dagligt), 1.854 patienter fik initialt 1,0 mg/kg to gange dagligt og udvidet behandling op til 6 måneder (to gange dagligt), og 687 patienter fik 1,0 mg/kg to gange dagligt som indledende behandling efterfulgt af 1,5 mg/kg en gang dagligt (to gange dagligt-en gang dagligt) som den udvidete behandling op til 6 måneder. Den gennemsnitlige og mediane behandlingsvarighed indtil regime ændring var henholdsvis 17 dage og 8 dage. Der var ingen signifikant forskel for VTE-tilbagefaldshastighed mellem de to behandlingsgrupper (se tabel), i det enoxaparin opfyldte det på forhånd specificerede kriterium for non inferioritet på 1,5 (HR justeret med relevante kovariater 0,817, 95% CI: 0,499-1,336). Der var ingen statistisk signifikant forskel mellem de to behandlingsgrupper med hensyn til de relative risici for alvorlig (dødelig eller ikke-dødelig) blødning og død af alle årsager (se tabel).</w:t>
      </w:r>
    </w:p>
    <w:p w14:paraId="29B3328A" w14:textId="77777777" w:rsidR="00037883" w:rsidRDefault="00037883" w:rsidP="00037883">
      <w:pPr>
        <w:ind w:left="851" w:right="216" w:firstLine="453"/>
        <w:textAlignment w:val="baseline"/>
        <w:rPr>
          <w:color w:val="000000"/>
          <w:sz w:val="24"/>
          <w:szCs w:val="24"/>
        </w:rPr>
      </w:pPr>
    </w:p>
    <w:p w14:paraId="5AA6ABAD" w14:textId="77777777" w:rsidR="00037883" w:rsidRDefault="00037883" w:rsidP="00A11ABC">
      <w:pPr>
        <w:keepNext/>
        <w:ind w:left="851" w:right="215"/>
        <w:textAlignment w:val="baseline"/>
        <w:rPr>
          <w:b/>
          <w:bCs/>
          <w:color w:val="000000"/>
          <w:sz w:val="24"/>
          <w:szCs w:val="24"/>
        </w:rPr>
      </w:pPr>
      <w:r>
        <w:rPr>
          <w:b/>
          <w:bCs/>
          <w:color w:val="000000"/>
          <w:sz w:val="24"/>
          <w:szCs w:val="24"/>
        </w:rPr>
        <w:lastRenderedPageBreak/>
        <w:t>Tabel. Effekt- og sikkerhedsresultater i RIETECAT-studiet</w:t>
      </w:r>
    </w:p>
    <w:p w14:paraId="4714F9FE" w14:textId="77777777" w:rsidR="00037883" w:rsidRDefault="00037883" w:rsidP="00A11ABC">
      <w:pPr>
        <w:keepNext/>
        <w:ind w:left="851" w:right="215" w:firstLine="453"/>
        <w:textAlignment w:val="baseline"/>
        <w:rPr>
          <w:color w:val="000000"/>
          <w:sz w:val="24"/>
          <w:szCs w:val="24"/>
        </w:rPr>
      </w:pPr>
    </w:p>
    <w:tbl>
      <w:tblPr>
        <w:tblStyle w:val="TableNormal"/>
        <w:tblW w:w="0" w:type="auto"/>
        <w:tblInd w:w="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4"/>
        <w:gridCol w:w="1775"/>
        <w:gridCol w:w="1984"/>
        <w:gridCol w:w="2668"/>
      </w:tblGrid>
      <w:tr w:rsidR="00037883" w:rsidRPr="00037883" w14:paraId="13F35053" w14:textId="77777777" w:rsidTr="00037883">
        <w:trPr>
          <w:trHeight w:val="760"/>
        </w:trPr>
        <w:tc>
          <w:tcPr>
            <w:tcW w:w="2144" w:type="dxa"/>
            <w:tcBorders>
              <w:top w:val="single" w:sz="4" w:space="0" w:color="000000"/>
              <w:left w:val="single" w:sz="4" w:space="0" w:color="000000"/>
              <w:bottom w:val="single" w:sz="4" w:space="0" w:color="000000"/>
              <w:right w:val="single" w:sz="4" w:space="0" w:color="000000"/>
            </w:tcBorders>
          </w:tcPr>
          <w:p w14:paraId="0AC75F91" w14:textId="77777777" w:rsidR="00037883" w:rsidRPr="00037883" w:rsidRDefault="00037883">
            <w:pPr>
              <w:spacing w:before="11"/>
              <w:rPr>
                <w:rFonts w:ascii="Times New Roman" w:hAnsi="Times New Roman" w:cs="Times New Roman"/>
                <w:b/>
                <w:sz w:val="22"/>
                <w:lang w:val="sv-SE"/>
              </w:rPr>
            </w:pPr>
          </w:p>
          <w:p w14:paraId="1DA9EC6F" w14:textId="77777777" w:rsidR="00037883" w:rsidRPr="00037883" w:rsidRDefault="00037883">
            <w:pPr>
              <w:ind w:left="107"/>
              <w:rPr>
                <w:rFonts w:ascii="Times New Roman" w:hAnsi="Times New Roman" w:cs="Times New Roman"/>
                <w:b/>
                <w:sz w:val="22"/>
              </w:rPr>
            </w:pPr>
            <w:r w:rsidRPr="00037883">
              <w:rPr>
                <w:rFonts w:ascii="Times New Roman" w:hAnsi="Times New Roman" w:cs="Times New Roman"/>
                <w:b/>
                <w:spacing w:val="-2"/>
                <w:sz w:val="22"/>
              </w:rPr>
              <w:t>Resultat</w:t>
            </w:r>
          </w:p>
        </w:tc>
        <w:tc>
          <w:tcPr>
            <w:tcW w:w="1775" w:type="dxa"/>
            <w:tcBorders>
              <w:top w:val="single" w:sz="4" w:space="0" w:color="000000"/>
              <w:left w:val="single" w:sz="4" w:space="0" w:color="000000"/>
              <w:bottom w:val="single" w:sz="4" w:space="0" w:color="000000"/>
              <w:right w:val="single" w:sz="4" w:space="0" w:color="000000"/>
            </w:tcBorders>
            <w:hideMark/>
          </w:tcPr>
          <w:p w14:paraId="1AE01EFD" w14:textId="77777777" w:rsidR="00037883" w:rsidRPr="00037883" w:rsidRDefault="00037883">
            <w:pPr>
              <w:spacing w:before="125"/>
              <w:ind w:left="441" w:hanging="214"/>
              <w:rPr>
                <w:rFonts w:ascii="Times New Roman" w:hAnsi="Times New Roman" w:cs="Times New Roman"/>
                <w:b/>
                <w:sz w:val="22"/>
              </w:rPr>
            </w:pPr>
            <w:r w:rsidRPr="00037883">
              <w:rPr>
                <w:rFonts w:ascii="Times New Roman" w:hAnsi="Times New Roman" w:cs="Times New Roman"/>
                <w:b/>
                <w:spacing w:val="-2"/>
                <w:sz w:val="22"/>
              </w:rPr>
              <w:t>Enoxaparin n=3526</w:t>
            </w:r>
          </w:p>
        </w:tc>
        <w:tc>
          <w:tcPr>
            <w:tcW w:w="1984" w:type="dxa"/>
            <w:tcBorders>
              <w:top w:val="single" w:sz="4" w:space="0" w:color="000000"/>
              <w:left w:val="single" w:sz="4" w:space="0" w:color="000000"/>
              <w:bottom w:val="single" w:sz="4" w:space="0" w:color="000000"/>
              <w:right w:val="single" w:sz="4" w:space="0" w:color="000000"/>
            </w:tcBorders>
            <w:hideMark/>
          </w:tcPr>
          <w:p w14:paraId="2311A063" w14:textId="77777777" w:rsidR="00037883" w:rsidRPr="00037883" w:rsidRDefault="00037883">
            <w:pPr>
              <w:widowControl/>
              <w:adjustRightInd w:val="0"/>
              <w:jc w:val="center"/>
              <w:rPr>
                <w:rFonts w:ascii="Times New Roman" w:hAnsi="Times New Roman" w:cs="Times New Roman"/>
                <w:b/>
                <w:sz w:val="22"/>
              </w:rPr>
            </w:pPr>
            <w:r w:rsidRPr="00037883">
              <w:rPr>
                <w:rFonts w:ascii="Times New Roman" w:hAnsi="Times New Roman" w:cs="Times New Roman"/>
                <w:b/>
                <w:sz w:val="22"/>
              </w:rPr>
              <w:t>Andre LMWH</w:t>
            </w:r>
          </w:p>
          <w:p w14:paraId="7642AC96" w14:textId="77777777" w:rsidR="00037883" w:rsidRPr="00037883" w:rsidRDefault="00037883">
            <w:pPr>
              <w:widowControl/>
              <w:adjustRightInd w:val="0"/>
              <w:jc w:val="center"/>
              <w:rPr>
                <w:rFonts w:ascii="Times New Roman" w:hAnsi="Times New Roman" w:cs="Times New Roman"/>
                <w:b/>
                <w:sz w:val="22"/>
              </w:rPr>
            </w:pPr>
            <w:r w:rsidRPr="00037883">
              <w:rPr>
                <w:rFonts w:ascii="Times New Roman" w:hAnsi="Times New Roman" w:cs="Times New Roman"/>
                <w:b/>
                <w:spacing w:val="-2"/>
                <w:sz w:val="22"/>
              </w:rPr>
              <w:t>n=925</w:t>
            </w:r>
          </w:p>
        </w:tc>
        <w:tc>
          <w:tcPr>
            <w:tcW w:w="2668" w:type="dxa"/>
            <w:tcBorders>
              <w:top w:val="single" w:sz="4" w:space="0" w:color="000000"/>
              <w:left w:val="single" w:sz="4" w:space="0" w:color="000000"/>
              <w:bottom w:val="single" w:sz="4" w:space="0" w:color="000000"/>
              <w:right w:val="single" w:sz="4" w:space="0" w:color="000000"/>
            </w:tcBorders>
            <w:hideMark/>
          </w:tcPr>
          <w:p w14:paraId="76E3E04A" w14:textId="77777777" w:rsidR="00037883" w:rsidRPr="00037883" w:rsidRDefault="00037883">
            <w:pPr>
              <w:spacing w:line="252" w:lineRule="exact"/>
              <w:ind w:left="286" w:hanging="53"/>
              <w:jc w:val="center"/>
              <w:rPr>
                <w:rFonts w:ascii="Times New Roman" w:hAnsi="Times New Roman" w:cs="Times New Roman"/>
                <w:b/>
                <w:sz w:val="22"/>
                <w:lang w:val="sv-SE"/>
              </w:rPr>
            </w:pPr>
            <w:r w:rsidRPr="00037883">
              <w:rPr>
                <w:rFonts w:ascii="Times New Roman" w:hAnsi="Times New Roman" w:cs="Times New Roman"/>
                <w:b/>
                <w:sz w:val="22"/>
                <w:lang w:val="sv-SE"/>
              </w:rPr>
              <w:t xml:space="preserve">Justerede risiko enoxaparin/ </w:t>
            </w:r>
          </w:p>
          <w:p w14:paraId="1F206302" w14:textId="77777777" w:rsidR="00037883" w:rsidRPr="00037883" w:rsidRDefault="00037883">
            <w:pPr>
              <w:spacing w:line="252" w:lineRule="exact"/>
              <w:ind w:left="286" w:hanging="53"/>
              <w:jc w:val="center"/>
              <w:rPr>
                <w:rFonts w:ascii="Times New Roman" w:hAnsi="Times New Roman" w:cs="Times New Roman"/>
                <w:b/>
                <w:sz w:val="22"/>
                <w:lang w:val="sv-SE"/>
              </w:rPr>
            </w:pPr>
            <w:r w:rsidRPr="00037883">
              <w:rPr>
                <w:rFonts w:ascii="Times New Roman" w:hAnsi="Times New Roman" w:cs="Times New Roman"/>
                <w:b/>
                <w:sz w:val="22"/>
                <w:lang w:val="sv-SE"/>
              </w:rPr>
              <w:t xml:space="preserve">anden LMWH </w:t>
            </w:r>
          </w:p>
          <w:p w14:paraId="3882FB66" w14:textId="77777777" w:rsidR="00037883" w:rsidRPr="00037883" w:rsidRDefault="00037883">
            <w:pPr>
              <w:spacing w:line="252" w:lineRule="exact"/>
              <w:ind w:left="286" w:hanging="53"/>
              <w:jc w:val="center"/>
              <w:rPr>
                <w:rFonts w:ascii="Times New Roman" w:hAnsi="Times New Roman" w:cs="Times New Roman"/>
                <w:b/>
                <w:sz w:val="22"/>
              </w:rPr>
            </w:pPr>
            <w:r w:rsidRPr="00037883">
              <w:rPr>
                <w:rFonts w:ascii="Times New Roman" w:hAnsi="Times New Roman" w:cs="Times New Roman"/>
                <w:b/>
                <w:sz w:val="22"/>
                <w:lang w:val="sv-SE"/>
              </w:rPr>
              <w:t>[95 % konfidensinterval]</w:t>
            </w:r>
          </w:p>
        </w:tc>
      </w:tr>
      <w:tr w:rsidR="00037883" w:rsidRPr="00037883" w14:paraId="640574F9" w14:textId="77777777" w:rsidTr="00037883">
        <w:trPr>
          <w:trHeight w:val="251"/>
        </w:trPr>
        <w:tc>
          <w:tcPr>
            <w:tcW w:w="2144" w:type="dxa"/>
            <w:tcBorders>
              <w:top w:val="single" w:sz="4" w:space="0" w:color="000000"/>
              <w:left w:val="single" w:sz="4" w:space="0" w:color="000000"/>
              <w:bottom w:val="single" w:sz="4" w:space="0" w:color="000000"/>
              <w:right w:val="single" w:sz="4" w:space="0" w:color="000000"/>
            </w:tcBorders>
            <w:hideMark/>
          </w:tcPr>
          <w:p w14:paraId="785D3293" w14:textId="77777777" w:rsidR="00037883" w:rsidRPr="00037883" w:rsidRDefault="00037883">
            <w:pPr>
              <w:spacing w:line="232" w:lineRule="exact"/>
              <w:ind w:left="107"/>
              <w:rPr>
                <w:rFonts w:ascii="Times New Roman" w:hAnsi="Times New Roman" w:cs="Times New Roman"/>
                <w:sz w:val="22"/>
                <w:highlight w:val="yellow"/>
              </w:rPr>
            </w:pPr>
            <w:r w:rsidRPr="00037883">
              <w:rPr>
                <w:rFonts w:ascii="Times New Roman" w:hAnsi="Times New Roman" w:cs="Times New Roman"/>
                <w:sz w:val="22"/>
              </w:rPr>
              <w:t>VTE gentagelse</w:t>
            </w:r>
          </w:p>
        </w:tc>
        <w:tc>
          <w:tcPr>
            <w:tcW w:w="1775" w:type="dxa"/>
            <w:tcBorders>
              <w:top w:val="single" w:sz="4" w:space="0" w:color="000000"/>
              <w:left w:val="single" w:sz="4" w:space="0" w:color="000000"/>
              <w:bottom w:val="single" w:sz="4" w:space="0" w:color="000000"/>
              <w:right w:val="single" w:sz="4" w:space="0" w:color="000000"/>
            </w:tcBorders>
            <w:hideMark/>
          </w:tcPr>
          <w:p w14:paraId="2A6A3AF9" w14:textId="77777777" w:rsidR="00037883" w:rsidRPr="00037883" w:rsidRDefault="00037883">
            <w:pPr>
              <w:spacing w:line="232" w:lineRule="exact"/>
              <w:ind w:left="221" w:right="214"/>
              <w:jc w:val="center"/>
              <w:rPr>
                <w:rFonts w:ascii="Times New Roman" w:hAnsi="Times New Roman" w:cs="Times New Roman"/>
                <w:sz w:val="22"/>
              </w:rPr>
            </w:pPr>
            <w:r w:rsidRPr="00037883">
              <w:rPr>
                <w:rFonts w:ascii="Times New Roman" w:hAnsi="Times New Roman" w:cs="Times New Roman"/>
                <w:sz w:val="22"/>
              </w:rPr>
              <w:t xml:space="preserve">70 </w:t>
            </w:r>
            <w:r w:rsidRPr="00037883">
              <w:rPr>
                <w:rFonts w:ascii="Times New Roman" w:hAnsi="Times New Roman" w:cs="Times New Roman"/>
                <w:spacing w:val="-2"/>
                <w:sz w:val="22"/>
              </w:rPr>
              <w:t>(2,0 %)</w:t>
            </w:r>
          </w:p>
        </w:tc>
        <w:tc>
          <w:tcPr>
            <w:tcW w:w="1984" w:type="dxa"/>
            <w:tcBorders>
              <w:top w:val="single" w:sz="4" w:space="0" w:color="000000"/>
              <w:left w:val="single" w:sz="4" w:space="0" w:color="000000"/>
              <w:bottom w:val="single" w:sz="4" w:space="0" w:color="000000"/>
              <w:right w:val="single" w:sz="4" w:space="0" w:color="000000"/>
            </w:tcBorders>
            <w:hideMark/>
          </w:tcPr>
          <w:p w14:paraId="486528D1" w14:textId="77777777" w:rsidR="00037883" w:rsidRPr="00037883" w:rsidRDefault="00037883">
            <w:pPr>
              <w:spacing w:line="232" w:lineRule="exact"/>
              <w:ind w:left="357" w:right="350"/>
              <w:jc w:val="center"/>
              <w:rPr>
                <w:rFonts w:ascii="Times New Roman" w:hAnsi="Times New Roman" w:cs="Times New Roman"/>
                <w:sz w:val="22"/>
              </w:rPr>
            </w:pPr>
            <w:r w:rsidRPr="00037883">
              <w:rPr>
                <w:rFonts w:ascii="Times New Roman" w:hAnsi="Times New Roman" w:cs="Times New Roman"/>
                <w:sz w:val="22"/>
              </w:rPr>
              <w:t xml:space="preserve">23 </w:t>
            </w:r>
            <w:r w:rsidRPr="00037883">
              <w:rPr>
                <w:rFonts w:ascii="Times New Roman" w:hAnsi="Times New Roman" w:cs="Times New Roman"/>
                <w:spacing w:val="-2"/>
                <w:sz w:val="22"/>
              </w:rPr>
              <w:t>(2,5 %)</w:t>
            </w:r>
          </w:p>
        </w:tc>
        <w:tc>
          <w:tcPr>
            <w:tcW w:w="2668" w:type="dxa"/>
            <w:tcBorders>
              <w:top w:val="single" w:sz="4" w:space="0" w:color="000000"/>
              <w:left w:val="single" w:sz="4" w:space="0" w:color="000000"/>
              <w:bottom w:val="single" w:sz="4" w:space="0" w:color="000000"/>
              <w:right w:val="single" w:sz="4" w:space="0" w:color="000000"/>
            </w:tcBorders>
            <w:hideMark/>
          </w:tcPr>
          <w:p w14:paraId="6BDBA2E7" w14:textId="77777777" w:rsidR="00037883" w:rsidRPr="00037883" w:rsidRDefault="00037883">
            <w:pPr>
              <w:spacing w:line="232" w:lineRule="exact"/>
              <w:ind w:right="556"/>
              <w:jc w:val="right"/>
              <w:rPr>
                <w:rFonts w:ascii="Times New Roman" w:hAnsi="Times New Roman" w:cs="Times New Roman"/>
                <w:sz w:val="22"/>
              </w:rPr>
            </w:pPr>
            <w:r w:rsidRPr="00037883">
              <w:rPr>
                <w:rFonts w:ascii="Times New Roman" w:hAnsi="Times New Roman" w:cs="Times New Roman"/>
                <w:sz w:val="22"/>
              </w:rPr>
              <w:t>0,817,</w:t>
            </w:r>
            <w:r w:rsidRPr="00037883">
              <w:rPr>
                <w:rFonts w:ascii="Times New Roman" w:hAnsi="Times New Roman" w:cs="Times New Roman"/>
                <w:spacing w:val="-3"/>
                <w:sz w:val="22"/>
              </w:rPr>
              <w:t xml:space="preserve"> </w:t>
            </w:r>
            <w:r w:rsidRPr="00037883">
              <w:rPr>
                <w:rFonts w:ascii="Times New Roman" w:hAnsi="Times New Roman" w:cs="Times New Roman"/>
                <w:sz w:val="22"/>
              </w:rPr>
              <w:t>[</w:t>
            </w:r>
            <w:r w:rsidRPr="00037883">
              <w:rPr>
                <w:rFonts w:ascii="Times New Roman" w:hAnsi="Times New Roman" w:cs="Times New Roman"/>
                <w:spacing w:val="-3"/>
                <w:sz w:val="22"/>
              </w:rPr>
              <w:t xml:space="preserve"> </w:t>
            </w:r>
            <w:r w:rsidRPr="00037883">
              <w:rPr>
                <w:rFonts w:ascii="Times New Roman" w:hAnsi="Times New Roman" w:cs="Times New Roman"/>
                <w:sz w:val="22"/>
              </w:rPr>
              <w:t>0,499-</w:t>
            </w:r>
            <w:r w:rsidRPr="00037883">
              <w:rPr>
                <w:rFonts w:ascii="Times New Roman" w:hAnsi="Times New Roman" w:cs="Times New Roman"/>
                <w:spacing w:val="-2"/>
                <w:sz w:val="22"/>
              </w:rPr>
              <w:t>1,336]</w:t>
            </w:r>
          </w:p>
        </w:tc>
      </w:tr>
      <w:tr w:rsidR="00037883" w:rsidRPr="00037883" w14:paraId="248ECB01" w14:textId="77777777" w:rsidTr="00037883">
        <w:trPr>
          <w:trHeight w:val="253"/>
        </w:trPr>
        <w:tc>
          <w:tcPr>
            <w:tcW w:w="2144" w:type="dxa"/>
            <w:tcBorders>
              <w:top w:val="single" w:sz="4" w:space="0" w:color="000000"/>
              <w:left w:val="single" w:sz="4" w:space="0" w:color="000000"/>
              <w:bottom w:val="single" w:sz="4" w:space="0" w:color="000000"/>
              <w:right w:val="single" w:sz="4" w:space="0" w:color="000000"/>
            </w:tcBorders>
            <w:hideMark/>
          </w:tcPr>
          <w:p w14:paraId="40655471" w14:textId="77777777" w:rsidR="00037883" w:rsidRPr="00037883" w:rsidRDefault="00037883">
            <w:pPr>
              <w:spacing w:line="234" w:lineRule="exact"/>
              <w:ind w:left="107"/>
              <w:rPr>
                <w:rFonts w:ascii="Times New Roman" w:hAnsi="Times New Roman" w:cs="Times New Roman"/>
                <w:sz w:val="22"/>
                <w:highlight w:val="yellow"/>
              </w:rPr>
            </w:pPr>
            <w:r w:rsidRPr="00037883">
              <w:rPr>
                <w:rFonts w:ascii="Times New Roman" w:hAnsi="Times New Roman" w:cs="Times New Roman"/>
                <w:sz w:val="22"/>
              </w:rPr>
              <w:t>Alvorlig blødning</w:t>
            </w:r>
          </w:p>
        </w:tc>
        <w:tc>
          <w:tcPr>
            <w:tcW w:w="1775" w:type="dxa"/>
            <w:tcBorders>
              <w:top w:val="single" w:sz="4" w:space="0" w:color="000000"/>
              <w:left w:val="single" w:sz="4" w:space="0" w:color="000000"/>
              <w:bottom w:val="single" w:sz="4" w:space="0" w:color="000000"/>
              <w:right w:val="single" w:sz="4" w:space="0" w:color="000000"/>
            </w:tcBorders>
            <w:hideMark/>
          </w:tcPr>
          <w:p w14:paraId="0A6540AE" w14:textId="77777777" w:rsidR="00037883" w:rsidRPr="00037883" w:rsidRDefault="00037883">
            <w:pPr>
              <w:spacing w:line="234" w:lineRule="exact"/>
              <w:ind w:left="221" w:right="217"/>
              <w:jc w:val="center"/>
              <w:rPr>
                <w:rFonts w:ascii="Times New Roman" w:hAnsi="Times New Roman" w:cs="Times New Roman"/>
                <w:sz w:val="22"/>
              </w:rPr>
            </w:pPr>
            <w:r w:rsidRPr="00037883">
              <w:rPr>
                <w:rFonts w:ascii="Times New Roman" w:hAnsi="Times New Roman" w:cs="Times New Roman"/>
                <w:sz w:val="22"/>
              </w:rPr>
              <w:t xml:space="preserve">111 </w:t>
            </w:r>
            <w:r w:rsidRPr="00037883">
              <w:rPr>
                <w:rFonts w:ascii="Times New Roman" w:hAnsi="Times New Roman" w:cs="Times New Roman"/>
                <w:spacing w:val="-2"/>
                <w:sz w:val="22"/>
              </w:rPr>
              <w:t>(3,1 %)</w:t>
            </w:r>
          </w:p>
        </w:tc>
        <w:tc>
          <w:tcPr>
            <w:tcW w:w="1984" w:type="dxa"/>
            <w:tcBorders>
              <w:top w:val="single" w:sz="4" w:space="0" w:color="000000"/>
              <w:left w:val="single" w:sz="4" w:space="0" w:color="000000"/>
              <w:bottom w:val="single" w:sz="4" w:space="0" w:color="000000"/>
              <w:right w:val="single" w:sz="4" w:space="0" w:color="000000"/>
            </w:tcBorders>
            <w:hideMark/>
          </w:tcPr>
          <w:p w14:paraId="696F0D94" w14:textId="77777777" w:rsidR="00037883" w:rsidRPr="00037883" w:rsidRDefault="00037883">
            <w:pPr>
              <w:spacing w:line="234" w:lineRule="exact"/>
              <w:ind w:left="355" w:right="350"/>
              <w:jc w:val="center"/>
              <w:rPr>
                <w:rFonts w:ascii="Times New Roman" w:hAnsi="Times New Roman" w:cs="Times New Roman"/>
                <w:sz w:val="22"/>
              </w:rPr>
            </w:pPr>
            <w:r w:rsidRPr="00037883">
              <w:rPr>
                <w:rFonts w:ascii="Times New Roman" w:hAnsi="Times New Roman" w:cs="Times New Roman"/>
                <w:sz w:val="22"/>
              </w:rPr>
              <w:t xml:space="preserve">18 </w:t>
            </w:r>
            <w:r w:rsidRPr="00037883">
              <w:rPr>
                <w:rFonts w:ascii="Times New Roman" w:hAnsi="Times New Roman" w:cs="Times New Roman"/>
                <w:spacing w:val="-2"/>
                <w:sz w:val="22"/>
              </w:rPr>
              <w:t>(1,9 %)</w:t>
            </w:r>
          </w:p>
        </w:tc>
        <w:tc>
          <w:tcPr>
            <w:tcW w:w="2668" w:type="dxa"/>
            <w:tcBorders>
              <w:top w:val="single" w:sz="4" w:space="0" w:color="000000"/>
              <w:left w:val="single" w:sz="4" w:space="0" w:color="000000"/>
              <w:bottom w:val="single" w:sz="4" w:space="0" w:color="000000"/>
              <w:right w:val="single" w:sz="4" w:space="0" w:color="000000"/>
            </w:tcBorders>
            <w:hideMark/>
          </w:tcPr>
          <w:p w14:paraId="6468D3B6" w14:textId="77777777" w:rsidR="00037883" w:rsidRPr="00037883" w:rsidRDefault="00037883">
            <w:pPr>
              <w:spacing w:line="234" w:lineRule="exact"/>
              <w:ind w:right="556"/>
              <w:jc w:val="right"/>
              <w:rPr>
                <w:rFonts w:ascii="Times New Roman" w:hAnsi="Times New Roman" w:cs="Times New Roman"/>
                <w:sz w:val="22"/>
              </w:rPr>
            </w:pPr>
            <w:r w:rsidRPr="00037883">
              <w:rPr>
                <w:rFonts w:ascii="Times New Roman" w:hAnsi="Times New Roman" w:cs="Times New Roman"/>
                <w:sz w:val="22"/>
              </w:rPr>
              <w:t>1,522,</w:t>
            </w:r>
            <w:r w:rsidRPr="00037883">
              <w:rPr>
                <w:rFonts w:ascii="Times New Roman" w:hAnsi="Times New Roman" w:cs="Times New Roman"/>
                <w:spacing w:val="-3"/>
                <w:sz w:val="22"/>
              </w:rPr>
              <w:t xml:space="preserve"> </w:t>
            </w:r>
            <w:r w:rsidRPr="00037883">
              <w:rPr>
                <w:rFonts w:ascii="Times New Roman" w:hAnsi="Times New Roman" w:cs="Times New Roman"/>
                <w:sz w:val="22"/>
              </w:rPr>
              <w:t>[</w:t>
            </w:r>
            <w:r w:rsidRPr="00037883">
              <w:rPr>
                <w:rFonts w:ascii="Times New Roman" w:hAnsi="Times New Roman" w:cs="Times New Roman"/>
                <w:spacing w:val="-3"/>
                <w:sz w:val="22"/>
              </w:rPr>
              <w:t xml:space="preserve"> </w:t>
            </w:r>
            <w:r w:rsidRPr="00037883">
              <w:rPr>
                <w:rFonts w:ascii="Times New Roman" w:hAnsi="Times New Roman" w:cs="Times New Roman"/>
                <w:sz w:val="22"/>
              </w:rPr>
              <w:t>0,899-</w:t>
            </w:r>
            <w:r w:rsidRPr="00037883">
              <w:rPr>
                <w:rFonts w:ascii="Times New Roman" w:hAnsi="Times New Roman" w:cs="Times New Roman"/>
                <w:spacing w:val="-2"/>
                <w:sz w:val="22"/>
              </w:rPr>
              <w:t>2,577]</w:t>
            </w:r>
          </w:p>
        </w:tc>
      </w:tr>
      <w:tr w:rsidR="00037883" w:rsidRPr="00037883" w14:paraId="44C3EE83" w14:textId="77777777" w:rsidTr="00037883">
        <w:trPr>
          <w:trHeight w:val="251"/>
        </w:trPr>
        <w:tc>
          <w:tcPr>
            <w:tcW w:w="2144" w:type="dxa"/>
            <w:tcBorders>
              <w:top w:val="single" w:sz="4" w:space="0" w:color="000000"/>
              <w:left w:val="single" w:sz="4" w:space="0" w:color="000000"/>
              <w:bottom w:val="single" w:sz="4" w:space="0" w:color="000000"/>
              <w:right w:val="single" w:sz="4" w:space="0" w:color="000000"/>
            </w:tcBorders>
            <w:hideMark/>
          </w:tcPr>
          <w:p w14:paraId="150EAFB2" w14:textId="77777777" w:rsidR="00037883" w:rsidRPr="00037883" w:rsidRDefault="00037883">
            <w:pPr>
              <w:spacing w:line="232" w:lineRule="exact"/>
              <w:ind w:left="107"/>
              <w:rPr>
                <w:rFonts w:ascii="Times New Roman" w:hAnsi="Times New Roman" w:cs="Times New Roman"/>
                <w:sz w:val="22"/>
                <w:highlight w:val="yellow"/>
              </w:rPr>
            </w:pPr>
            <w:r w:rsidRPr="00037883">
              <w:rPr>
                <w:rFonts w:ascii="Times New Roman" w:hAnsi="Times New Roman" w:cs="Times New Roman"/>
                <w:sz w:val="22"/>
              </w:rPr>
              <w:t>Ikke alvorlig blødning</w:t>
            </w:r>
          </w:p>
        </w:tc>
        <w:tc>
          <w:tcPr>
            <w:tcW w:w="1775" w:type="dxa"/>
            <w:tcBorders>
              <w:top w:val="single" w:sz="4" w:space="0" w:color="000000"/>
              <w:left w:val="single" w:sz="4" w:space="0" w:color="000000"/>
              <w:bottom w:val="single" w:sz="4" w:space="0" w:color="000000"/>
              <w:right w:val="single" w:sz="4" w:space="0" w:color="000000"/>
            </w:tcBorders>
            <w:hideMark/>
          </w:tcPr>
          <w:p w14:paraId="6F76FA55" w14:textId="77777777" w:rsidR="00037883" w:rsidRPr="00037883" w:rsidRDefault="00037883">
            <w:pPr>
              <w:spacing w:line="232" w:lineRule="exact"/>
              <w:ind w:left="221" w:right="214"/>
              <w:jc w:val="center"/>
              <w:rPr>
                <w:rFonts w:ascii="Times New Roman" w:hAnsi="Times New Roman" w:cs="Times New Roman"/>
                <w:sz w:val="22"/>
              </w:rPr>
            </w:pPr>
            <w:r w:rsidRPr="00037883">
              <w:rPr>
                <w:rFonts w:ascii="Times New Roman" w:hAnsi="Times New Roman" w:cs="Times New Roman"/>
                <w:sz w:val="22"/>
              </w:rPr>
              <w:t xml:space="preserve">87 </w:t>
            </w:r>
            <w:r w:rsidRPr="00037883">
              <w:rPr>
                <w:rFonts w:ascii="Times New Roman" w:hAnsi="Times New Roman" w:cs="Times New Roman"/>
                <w:spacing w:val="-2"/>
                <w:sz w:val="22"/>
              </w:rPr>
              <w:t>(2,5 %)</w:t>
            </w:r>
          </w:p>
        </w:tc>
        <w:tc>
          <w:tcPr>
            <w:tcW w:w="1984" w:type="dxa"/>
            <w:tcBorders>
              <w:top w:val="single" w:sz="4" w:space="0" w:color="000000"/>
              <w:left w:val="single" w:sz="4" w:space="0" w:color="000000"/>
              <w:bottom w:val="single" w:sz="4" w:space="0" w:color="000000"/>
              <w:right w:val="single" w:sz="4" w:space="0" w:color="000000"/>
            </w:tcBorders>
            <w:hideMark/>
          </w:tcPr>
          <w:p w14:paraId="426E7156" w14:textId="77777777" w:rsidR="00037883" w:rsidRPr="00037883" w:rsidRDefault="00037883">
            <w:pPr>
              <w:spacing w:line="232" w:lineRule="exact"/>
              <w:ind w:left="355" w:right="350"/>
              <w:jc w:val="center"/>
              <w:rPr>
                <w:rFonts w:ascii="Times New Roman" w:hAnsi="Times New Roman" w:cs="Times New Roman"/>
                <w:sz w:val="22"/>
              </w:rPr>
            </w:pPr>
            <w:r w:rsidRPr="00037883">
              <w:rPr>
                <w:rFonts w:ascii="Times New Roman" w:hAnsi="Times New Roman" w:cs="Times New Roman"/>
                <w:sz w:val="22"/>
              </w:rPr>
              <w:t xml:space="preserve">24 </w:t>
            </w:r>
            <w:r w:rsidRPr="00037883">
              <w:rPr>
                <w:rFonts w:ascii="Times New Roman" w:hAnsi="Times New Roman" w:cs="Times New Roman"/>
                <w:spacing w:val="-2"/>
                <w:sz w:val="22"/>
              </w:rPr>
              <w:t>(2,6 %)</w:t>
            </w:r>
          </w:p>
        </w:tc>
        <w:tc>
          <w:tcPr>
            <w:tcW w:w="2668" w:type="dxa"/>
            <w:tcBorders>
              <w:top w:val="single" w:sz="4" w:space="0" w:color="000000"/>
              <w:left w:val="single" w:sz="4" w:space="0" w:color="000000"/>
              <w:bottom w:val="single" w:sz="4" w:space="0" w:color="000000"/>
              <w:right w:val="single" w:sz="4" w:space="0" w:color="000000"/>
            </w:tcBorders>
            <w:hideMark/>
          </w:tcPr>
          <w:p w14:paraId="21FEBDCC" w14:textId="77777777" w:rsidR="00037883" w:rsidRPr="00037883" w:rsidRDefault="00037883">
            <w:pPr>
              <w:spacing w:line="232" w:lineRule="exact"/>
              <w:ind w:right="585"/>
              <w:jc w:val="right"/>
              <w:rPr>
                <w:rFonts w:ascii="Times New Roman" w:hAnsi="Times New Roman" w:cs="Times New Roman"/>
                <w:sz w:val="22"/>
              </w:rPr>
            </w:pPr>
            <w:r w:rsidRPr="00037883">
              <w:rPr>
                <w:rFonts w:ascii="Times New Roman" w:hAnsi="Times New Roman" w:cs="Times New Roman"/>
                <w:sz w:val="22"/>
              </w:rPr>
              <w:t>0,881,</w:t>
            </w:r>
            <w:r w:rsidRPr="00037883">
              <w:rPr>
                <w:rFonts w:ascii="Times New Roman" w:hAnsi="Times New Roman" w:cs="Times New Roman"/>
                <w:spacing w:val="-6"/>
                <w:sz w:val="22"/>
              </w:rPr>
              <w:t xml:space="preserve"> </w:t>
            </w:r>
            <w:r w:rsidRPr="00037883">
              <w:rPr>
                <w:rFonts w:ascii="Times New Roman" w:hAnsi="Times New Roman" w:cs="Times New Roman"/>
                <w:sz w:val="22"/>
              </w:rPr>
              <w:t>[0,550-</w:t>
            </w:r>
            <w:r w:rsidRPr="00037883">
              <w:rPr>
                <w:rFonts w:ascii="Times New Roman" w:hAnsi="Times New Roman" w:cs="Times New Roman"/>
                <w:spacing w:val="-2"/>
                <w:sz w:val="22"/>
              </w:rPr>
              <w:t>1,410]</w:t>
            </w:r>
          </w:p>
        </w:tc>
      </w:tr>
      <w:tr w:rsidR="00037883" w:rsidRPr="00037883" w14:paraId="61869AD6" w14:textId="77777777" w:rsidTr="00037883">
        <w:trPr>
          <w:trHeight w:val="253"/>
        </w:trPr>
        <w:tc>
          <w:tcPr>
            <w:tcW w:w="2144" w:type="dxa"/>
            <w:tcBorders>
              <w:top w:val="single" w:sz="4" w:space="0" w:color="000000"/>
              <w:left w:val="single" w:sz="4" w:space="0" w:color="000000"/>
              <w:bottom w:val="single" w:sz="4" w:space="0" w:color="000000"/>
              <w:right w:val="single" w:sz="4" w:space="0" w:color="000000"/>
            </w:tcBorders>
            <w:hideMark/>
          </w:tcPr>
          <w:p w14:paraId="2BA1E24B" w14:textId="77777777" w:rsidR="00037883" w:rsidRPr="00037883" w:rsidRDefault="00037883">
            <w:pPr>
              <w:spacing w:line="234" w:lineRule="exact"/>
              <w:ind w:left="107"/>
              <w:rPr>
                <w:rFonts w:ascii="Times New Roman" w:hAnsi="Times New Roman" w:cs="Times New Roman"/>
                <w:sz w:val="22"/>
                <w:highlight w:val="yellow"/>
              </w:rPr>
            </w:pPr>
            <w:r w:rsidRPr="00037883">
              <w:rPr>
                <w:rFonts w:ascii="Times New Roman" w:hAnsi="Times New Roman" w:cs="Times New Roman"/>
                <w:sz w:val="22"/>
              </w:rPr>
              <w:t>Døde (samlet)</w:t>
            </w:r>
          </w:p>
        </w:tc>
        <w:tc>
          <w:tcPr>
            <w:tcW w:w="1775" w:type="dxa"/>
            <w:tcBorders>
              <w:top w:val="single" w:sz="4" w:space="0" w:color="000000"/>
              <w:left w:val="single" w:sz="4" w:space="0" w:color="000000"/>
              <w:bottom w:val="single" w:sz="4" w:space="0" w:color="000000"/>
              <w:right w:val="single" w:sz="4" w:space="0" w:color="000000"/>
            </w:tcBorders>
            <w:hideMark/>
          </w:tcPr>
          <w:p w14:paraId="7C7334C1" w14:textId="77777777" w:rsidR="00037883" w:rsidRPr="00037883" w:rsidRDefault="00037883">
            <w:pPr>
              <w:spacing w:line="234" w:lineRule="exact"/>
              <w:ind w:left="221" w:right="217"/>
              <w:jc w:val="center"/>
              <w:rPr>
                <w:rFonts w:ascii="Times New Roman" w:hAnsi="Times New Roman" w:cs="Times New Roman"/>
                <w:sz w:val="22"/>
              </w:rPr>
            </w:pPr>
            <w:r w:rsidRPr="00037883">
              <w:rPr>
                <w:rFonts w:ascii="Times New Roman" w:hAnsi="Times New Roman" w:cs="Times New Roman"/>
                <w:sz w:val="22"/>
              </w:rPr>
              <w:t xml:space="preserve">666 </w:t>
            </w:r>
            <w:r w:rsidRPr="00037883">
              <w:rPr>
                <w:rFonts w:ascii="Times New Roman" w:hAnsi="Times New Roman" w:cs="Times New Roman"/>
                <w:spacing w:val="-2"/>
                <w:sz w:val="22"/>
              </w:rPr>
              <w:t>(18,9 %)</w:t>
            </w:r>
          </w:p>
        </w:tc>
        <w:tc>
          <w:tcPr>
            <w:tcW w:w="1984" w:type="dxa"/>
            <w:tcBorders>
              <w:top w:val="single" w:sz="4" w:space="0" w:color="000000"/>
              <w:left w:val="single" w:sz="4" w:space="0" w:color="000000"/>
              <w:bottom w:val="single" w:sz="4" w:space="0" w:color="000000"/>
              <w:right w:val="single" w:sz="4" w:space="0" w:color="000000"/>
            </w:tcBorders>
            <w:hideMark/>
          </w:tcPr>
          <w:p w14:paraId="6ABBC453" w14:textId="77777777" w:rsidR="00037883" w:rsidRPr="00037883" w:rsidRDefault="00037883">
            <w:pPr>
              <w:spacing w:line="234" w:lineRule="exact"/>
              <w:ind w:left="358" w:right="350"/>
              <w:jc w:val="center"/>
              <w:rPr>
                <w:rFonts w:ascii="Times New Roman" w:hAnsi="Times New Roman" w:cs="Times New Roman"/>
                <w:sz w:val="22"/>
              </w:rPr>
            </w:pPr>
            <w:r w:rsidRPr="00037883">
              <w:rPr>
                <w:rFonts w:ascii="Times New Roman" w:hAnsi="Times New Roman" w:cs="Times New Roman"/>
                <w:sz w:val="22"/>
              </w:rPr>
              <w:t xml:space="preserve">157 </w:t>
            </w:r>
            <w:r w:rsidRPr="00037883">
              <w:rPr>
                <w:rFonts w:ascii="Times New Roman" w:hAnsi="Times New Roman" w:cs="Times New Roman"/>
                <w:spacing w:val="-2"/>
                <w:sz w:val="22"/>
              </w:rPr>
              <w:t>(17,0 %)</w:t>
            </w:r>
          </w:p>
        </w:tc>
        <w:tc>
          <w:tcPr>
            <w:tcW w:w="2668" w:type="dxa"/>
            <w:tcBorders>
              <w:top w:val="single" w:sz="4" w:space="0" w:color="000000"/>
              <w:left w:val="single" w:sz="4" w:space="0" w:color="000000"/>
              <w:bottom w:val="single" w:sz="4" w:space="0" w:color="000000"/>
              <w:right w:val="single" w:sz="4" w:space="0" w:color="000000"/>
            </w:tcBorders>
            <w:hideMark/>
          </w:tcPr>
          <w:p w14:paraId="406799DD" w14:textId="77777777" w:rsidR="00037883" w:rsidRPr="00037883" w:rsidRDefault="00037883">
            <w:pPr>
              <w:spacing w:line="234" w:lineRule="exact"/>
              <w:ind w:right="556"/>
              <w:jc w:val="right"/>
              <w:rPr>
                <w:rFonts w:ascii="Times New Roman" w:hAnsi="Times New Roman" w:cs="Times New Roman"/>
                <w:sz w:val="22"/>
              </w:rPr>
            </w:pPr>
            <w:r w:rsidRPr="00037883">
              <w:rPr>
                <w:rFonts w:ascii="Times New Roman" w:hAnsi="Times New Roman" w:cs="Times New Roman"/>
                <w:sz w:val="22"/>
              </w:rPr>
              <w:t>0,974,</w:t>
            </w:r>
            <w:r w:rsidRPr="00037883">
              <w:rPr>
                <w:rFonts w:ascii="Times New Roman" w:hAnsi="Times New Roman" w:cs="Times New Roman"/>
                <w:spacing w:val="-3"/>
                <w:sz w:val="22"/>
              </w:rPr>
              <w:t xml:space="preserve"> </w:t>
            </w:r>
            <w:r w:rsidRPr="00037883">
              <w:rPr>
                <w:rFonts w:ascii="Times New Roman" w:hAnsi="Times New Roman" w:cs="Times New Roman"/>
                <w:sz w:val="22"/>
              </w:rPr>
              <w:t>[</w:t>
            </w:r>
            <w:r w:rsidRPr="00037883">
              <w:rPr>
                <w:rFonts w:ascii="Times New Roman" w:hAnsi="Times New Roman" w:cs="Times New Roman"/>
                <w:spacing w:val="-3"/>
                <w:sz w:val="22"/>
              </w:rPr>
              <w:t xml:space="preserve"> </w:t>
            </w:r>
            <w:r w:rsidRPr="00037883">
              <w:rPr>
                <w:rFonts w:ascii="Times New Roman" w:hAnsi="Times New Roman" w:cs="Times New Roman"/>
                <w:sz w:val="22"/>
              </w:rPr>
              <w:t>0,813-</w:t>
            </w:r>
            <w:r w:rsidRPr="00037883">
              <w:rPr>
                <w:rFonts w:ascii="Times New Roman" w:hAnsi="Times New Roman" w:cs="Times New Roman"/>
                <w:spacing w:val="-2"/>
                <w:sz w:val="22"/>
              </w:rPr>
              <w:t>1,165]</w:t>
            </w:r>
          </w:p>
        </w:tc>
      </w:tr>
    </w:tbl>
    <w:p w14:paraId="03EEDEA2" w14:textId="77777777" w:rsidR="00037883" w:rsidRDefault="00037883" w:rsidP="00037883">
      <w:pPr>
        <w:ind w:right="216"/>
        <w:textAlignment w:val="baseline"/>
        <w:rPr>
          <w:color w:val="000000"/>
          <w:sz w:val="24"/>
          <w:szCs w:val="24"/>
        </w:rPr>
      </w:pPr>
    </w:p>
    <w:p w14:paraId="7DDFACFD" w14:textId="77777777" w:rsidR="00037883" w:rsidRDefault="00037883" w:rsidP="00037883">
      <w:pPr>
        <w:ind w:left="851" w:right="216"/>
        <w:textAlignment w:val="baseline"/>
        <w:rPr>
          <w:color w:val="000000"/>
          <w:sz w:val="24"/>
          <w:szCs w:val="24"/>
        </w:rPr>
      </w:pPr>
      <w:r>
        <w:rPr>
          <w:color w:val="000000"/>
          <w:sz w:val="24"/>
          <w:szCs w:val="24"/>
        </w:rPr>
        <w:t>En oversigt over resultater pr. behandlingsregime, der blev brugt i RIETECAT-undersøgelsen blandt 6-måneders behandling, er angivet nedenfor:</w:t>
      </w:r>
    </w:p>
    <w:p w14:paraId="08FC5256" w14:textId="77777777" w:rsidR="00037883" w:rsidRDefault="00037883" w:rsidP="00037883">
      <w:pPr>
        <w:ind w:left="851" w:right="216"/>
        <w:textAlignment w:val="baseline"/>
        <w:rPr>
          <w:color w:val="000000"/>
          <w:sz w:val="24"/>
          <w:szCs w:val="24"/>
        </w:rPr>
      </w:pPr>
    </w:p>
    <w:p w14:paraId="52EF5A6C" w14:textId="77777777" w:rsidR="00037883" w:rsidRDefault="00037883" w:rsidP="00037883">
      <w:pPr>
        <w:ind w:left="851" w:right="216"/>
        <w:textAlignment w:val="baseline"/>
        <w:rPr>
          <w:b/>
          <w:bCs/>
          <w:color w:val="000000"/>
          <w:sz w:val="24"/>
          <w:szCs w:val="24"/>
        </w:rPr>
      </w:pPr>
      <w:r>
        <w:rPr>
          <w:b/>
          <w:bCs/>
          <w:color w:val="000000"/>
          <w:sz w:val="24"/>
          <w:szCs w:val="24"/>
        </w:rPr>
        <w:t>Tabel. 6-måneders resultat hos patienter, der afslutter 6-måneders behandling, efter forskellige regimer</w:t>
      </w:r>
    </w:p>
    <w:p w14:paraId="436CCF61" w14:textId="77777777" w:rsidR="00037883" w:rsidRDefault="00037883" w:rsidP="00037883">
      <w:pPr>
        <w:ind w:left="851" w:right="216"/>
        <w:textAlignment w:val="baseline"/>
        <w:rPr>
          <w:color w:val="000000"/>
          <w:sz w:val="24"/>
          <w:szCs w:val="24"/>
        </w:rPr>
      </w:pPr>
    </w:p>
    <w:tbl>
      <w:tblPr>
        <w:tblStyle w:val="TableNormal1"/>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8"/>
        <w:gridCol w:w="1127"/>
        <w:gridCol w:w="1133"/>
        <w:gridCol w:w="1136"/>
        <w:gridCol w:w="1102"/>
        <w:gridCol w:w="1148"/>
        <w:gridCol w:w="1153"/>
        <w:gridCol w:w="1277"/>
      </w:tblGrid>
      <w:tr w:rsidR="00037883" w:rsidRPr="00A11ABC" w14:paraId="3436B696" w14:textId="77777777" w:rsidTr="00C43225">
        <w:trPr>
          <w:trHeight w:val="290"/>
        </w:trPr>
        <w:tc>
          <w:tcPr>
            <w:tcW w:w="1408"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14:paraId="405C9687" w14:textId="77777777" w:rsidR="00037883" w:rsidRPr="00A11ABC" w:rsidRDefault="00037883" w:rsidP="00B06579">
            <w:pPr>
              <w:spacing w:before="9"/>
              <w:rPr>
                <w:rFonts w:ascii="Times New Roman" w:eastAsia="Calibri" w:hAnsi="Times New Roman" w:cs="Times New Roman"/>
                <w:b/>
                <w:sz w:val="22"/>
                <w:lang w:val="da-DK"/>
              </w:rPr>
            </w:pPr>
          </w:p>
          <w:p w14:paraId="3B078E2A" w14:textId="07811D5F" w:rsidR="00037883" w:rsidRPr="00A11ABC" w:rsidRDefault="00037883" w:rsidP="00B06579">
            <w:pPr>
              <w:spacing w:before="1"/>
              <w:ind w:hanging="2"/>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 xml:space="preserve">Resultat </w:t>
            </w:r>
            <w:r w:rsidRPr="00A11ABC">
              <w:rPr>
                <w:rFonts w:ascii="Times New Roman" w:eastAsia="Calibri" w:hAnsi="Times New Roman" w:cs="Times New Roman"/>
                <w:b/>
                <w:sz w:val="22"/>
                <w:lang w:val="da-DK"/>
              </w:rPr>
              <w:t>N</w:t>
            </w:r>
            <w:r w:rsidR="00C43225">
              <w:rPr>
                <w:rFonts w:ascii="Times New Roman" w:eastAsia="Calibri" w:hAnsi="Times New Roman" w:cs="Times New Roman"/>
                <w:b/>
                <w:sz w:val="22"/>
                <w:lang w:val="da-DK"/>
              </w:rPr>
              <w:t> </w:t>
            </w:r>
            <w:r w:rsidRPr="00A11ABC">
              <w:rPr>
                <w:rFonts w:ascii="Times New Roman" w:eastAsia="Calibri" w:hAnsi="Times New Roman" w:cs="Times New Roman"/>
                <w:b/>
                <w:sz w:val="22"/>
                <w:lang w:val="da-DK"/>
              </w:rPr>
              <w:t>(%) (95</w:t>
            </w:r>
            <w:r w:rsidR="00C43225">
              <w:rPr>
                <w:rFonts w:ascii="Times New Roman" w:eastAsia="Calibri" w:hAnsi="Times New Roman" w:cs="Times New Roman"/>
                <w:b/>
                <w:sz w:val="22"/>
                <w:lang w:val="da-DK"/>
              </w:rPr>
              <w:t> </w:t>
            </w:r>
            <w:r w:rsidRPr="00A11ABC">
              <w:rPr>
                <w:rFonts w:ascii="Times New Roman" w:eastAsia="Calibri" w:hAnsi="Times New Roman" w:cs="Times New Roman"/>
                <w:b/>
                <w:sz w:val="22"/>
                <w:lang w:val="da-DK"/>
              </w:rPr>
              <w:t>%</w:t>
            </w:r>
            <w:r w:rsidR="00C43225">
              <w:rPr>
                <w:rFonts w:ascii="Times New Roman" w:hAnsi="Times New Roman" w:cs="Times New Roman"/>
                <w:sz w:val="22"/>
                <w:lang w:val="da-DK"/>
              </w:rPr>
              <w:t> </w:t>
            </w:r>
            <w:r w:rsidRPr="00A11ABC">
              <w:rPr>
                <w:rFonts w:ascii="Times New Roman" w:eastAsia="Calibri" w:hAnsi="Times New Roman" w:cs="Times New Roman"/>
                <w:b/>
                <w:sz w:val="22"/>
                <w:lang w:val="da-DK"/>
              </w:rPr>
              <w:t>CI)</w:t>
            </w:r>
          </w:p>
        </w:tc>
        <w:tc>
          <w:tcPr>
            <w:tcW w:w="1127" w:type="dxa"/>
            <w:vMerge w:val="restart"/>
            <w:tcBorders>
              <w:top w:val="single" w:sz="4" w:space="0" w:color="000000"/>
              <w:left w:val="single" w:sz="4" w:space="0" w:color="000000"/>
              <w:bottom w:val="single" w:sz="4" w:space="0" w:color="000000"/>
              <w:right w:val="single" w:sz="4" w:space="0" w:color="000000"/>
            </w:tcBorders>
            <w:tcMar>
              <w:left w:w="11" w:type="dxa"/>
              <w:right w:w="11" w:type="dxa"/>
            </w:tcMar>
          </w:tcPr>
          <w:p w14:paraId="2BE5A1EC" w14:textId="77777777" w:rsidR="00037883" w:rsidRPr="00A11ABC" w:rsidRDefault="00037883" w:rsidP="00B06579">
            <w:pPr>
              <w:spacing w:before="9"/>
              <w:rPr>
                <w:rFonts w:ascii="Times New Roman" w:eastAsia="Calibri" w:hAnsi="Times New Roman" w:cs="Times New Roman"/>
                <w:b/>
                <w:sz w:val="22"/>
                <w:lang w:val="da-DK"/>
              </w:rPr>
            </w:pPr>
          </w:p>
          <w:p w14:paraId="2381AB36" w14:textId="77777777" w:rsidR="00037883" w:rsidRPr="00A11ABC" w:rsidRDefault="00037883" w:rsidP="00B06579">
            <w:pPr>
              <w:spacing w:before="1"/>
              <w:ind w:hanging="2"/>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Enoxaparin alle regimer</w:t>
            </w:r>
          </w:p>
        </w:tc>
        <w:tc>
          <w:tcPr>
            <w:tcW w:w="5672" w:type="dxa"/>
            <w:gridSpan w:val="5"/>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4091ED3D" w14:textId="77777777" w:rsidR="00037883" w:rsidRPr="00A11ABC" w:rsidRDefault="00037883" w:rsidP="00C43225">
            <w:pPr>
              <w:spacing w:before="15"/>
              <w:jc w:val="center"/>
              <w:rPr>
                <w:rFonts w:ascii="Times New Roman" w:eastAsia="Calibri" w:hAnsi="Times New Roman" w:cs="Times New Roman"/>
                <w:b/>
                <w:sz w:val="22"/>
                <w:lang w:val="da-DK"/>
              </w:rPr>
            </w:pPr>
            <w:r w:rsidRPr="00A11ABC">
              <w:rPr>
                <w:rFonts w:ascii="Times New Roman" w:eastAsia="Calibri" w:hAnsi="Times New Roman" w:cs="Times New Roman"/>
                <w:b/>
                <w:sz w:val="22"/>
                <w:lang w:val="da-DK"/>
              </w:rPr>
              <w:t>Enoxaparin alle regimer</w:t>
            </w:r>
          </w:p>
        </w:tc>
        <w:tc>
          <w:tcPr>
            <w:tcW w:w="1277"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14:paraId="394726F6" w14:textId="77777777" w:rsidR="00037883" w:rsidRPr="00A11ABC" w:rsidRDefault="00037883" w:rsidP="00B06579">
            <w:pPr>
              <w:spacing w:before="9"/>
              <w:rPr>
                <w:rFonts w:ascii="Times New Roman" w:eastAsia="Calibri" w:hAnsi="Times New Roman" w:cs="Times New Roman"/>
                <w:b/>
                <w:sz w:val="22"/>
                <w:lang w:val="da-DK"/>
              </w:rPr>
            </w:pPr>
          </w:p>
          <w:p w14:paraId="79AE711F" w14:textId="77777777" w:rsidR="00037883" w:rsidRPr="00A11ABC" w:rsidRDefault="00037883" w:rsidP="00B06579">
            <w:pPr>
              <w:jc w:val="center"/>
              <w:rPr>
                <w:rFonts w:ascii="Times New Roman" w:eastAsia="Calibri" w:hAnsi="Times New Roman" w:cs="Times New Roman"/>
                <w:b/>
                <w:sz w:val="22"/>
                <w:lang w:val="da-DK"/>
              </w:rPr>
            </w:pPr>
            <w:r w:rsidRPr="00A11ABC">
              <w:rPr>
                <w:rFonts w:ascii="Times New Roman" w:eastAsia="Calibri" w:hAnsi="Times New Roman" w:cs="Times New Roman"/>
                <w:b/>
                <w:spacing w:val="-5"/>
                <w:sz w:val="22"/>
                <w:lang w:val="da-DK"/>
              </w:rPr>
              <w:t>EU-godkendte LMWHs</w:t>
            </w:r>
          </w:p>
        </w:tc>
      </w:tr>
      <w:tr w:rsidR="00037883" w:rsidRPr="00A11ABC" w14:paraId="7F7A9CBF" w14:textId="77777777" w:rsidTr="00C43225">
        <w:trPr>
          <w:trHeight w:val="1010"/>
        </w:trPr>
        <w:tc>
          <w:tcPr>
            <w:tcW w:w="9484"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320769F1" w14:textId="77777777" w:rsidR="00037883" w:rsidRPr="00A11ABC" w:rsidRDefault="00037883" w:rsidP="00B06579">
            <w:pPr>
              <w:rPr>
                <w:rFonts w:ascii="Times New Roman" w:eastAsia="Calibri" w:hAnsi="Times New Roman" w:cs="Times New Roman"/>
                <w:b/>
                <w:sz w:val="22"/>
                <w:lang w:val="da-DK"/>
              </w:rPr>
            </w:pPr>
          </w:p>
        </w:tc>
        <w:tc>
          <w:tcPr>
            <w:tcW w:w="1127"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61780709" w14:textId="77777777" w:rsidR="00037883" w:rsidRPr="00A11ABC" w:rsidRDefault="00037883" w:rsidP="00B06579">
            <w:pPr>
              <w:rPr>
                <w:rFonts w:ascii="Times New Roman" w:eastAsia="Calibri" w:hAnsi="Times New Roman" w:cs="Times New Roman"/>
                <w:b/>
                <w:sz w:val="22"/>
                <w:lang w:val="da-DK"/>
              </w:rPr>
            </w:pPr>
          </w:p>
        </w:tc>
        <w:tc>
          <w:tcPr>
            <w:tcW w:w="1133" w:type="dxa"/>
            <w:tcBorders>
              <w:top w:val="single" w:sz="4" w:space="0" w:color="000000"/>
              <w:left w:val="single" w:sz="4" w:space="0" w:color="000000"/>
              <w:bottom w:val="single" w:sz="4" w:space="0" w:color="000000"/>
              <w:right w:val="single" w:sz="4" w:space="0" w:color="000000"/>
            </w:tcBorders>
            <w:tcMar>
              <w:left w:w="40" w:type="dxa"/>
              <w:right w:w="11" w:type="dxa"/>
            </w:tcMar>
          </w:tcPr>
          <w:p w14:paraId="54B2BEDB" w14:textId="77777777" w:rsidR="00037883" w:rsidRPr="00A11ABC" w:rsidRDefault="00037883" w:rsidP="00B06579">
            <w:pPr>
              <w:spacing w:before="8"/>
              <w:rPr>
                <w:rFonts w:ascii="Times New Roman" w:eastAsia="Calibri" w:hAnsi="Times New Roman" w:cs="Times New Roman"/>
                <w:b/>
                <w:sz w:val="22"/>
                <w:lang w:val="da-DK"/>
              </w:rPr>
            </w:pPr>
          </w:p>
          <w:p w14:paraId="6850C88C" w14:textId="77777777" w:rsidR="00037883" w:rsidRPr="00A11ABC" w:rsidRDefault="00037883" w:rsidP="00C43225">
            <w:pPr>
              <w:spacing w:before="1"/>
              <w:ind w:hanging="82"/>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Enoxaparin OD</w:t>
            </w:r>
          </w:p>
        </w:tc>
        <w:tc>
          <w:tcPr>
            <w:tcW w:w="113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2A9FC3" w14:textId="77777777" w:rsidR="00037883" w:rsidRPr="00A11ABC" w:rsidRDefault="00037883" w:rsidP="00B06579">
            <w:pPr>
              <w:spacing w:before="8"/>
              <w:rPr>
                <w:rFonts w:ascii="Times New Roman" w:eastAsia="Calibri" w:hAnsi="Times New Roman" w:cs="Times New Roman"/>
                <w:b/>
                <w:sz w:val="22"/>
                <w:lang w:val="da-DK"/>
              </w:rPr>
            </w:pPr>
          </w:p>
          <w:p w14:paraId="443FF42D" w14:textId="77777777" w:rsidR="00037883" w:rsidRPr="00A11ABC" w:rsidRDefault="00037883" w:rsidP="00C43225">
            <w:pPr>
              <w:spacing w:before="1"/>
              <w:ind w:hanging="51"/>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Enoxaparin BID</w:t>
            </w:r>
          </w:p>
        </w:tc>
        <w:tc>
          <w:tcPr>
            <w:tcW w:w="1102"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64873165" w14:textId="77777777" w:rsidR="00037883" w:rsidRPr="00A11ABC" w:rsidRDefault="00037883" w:rsidP="00B06579">
            <w:pPr>
              <w:spacing w:before="123"/>
              <w:ind w:hanging="51"/>
              <w:jc w:val="both"/>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Enoxaparin BID til OD</w:t>
            </w:r>
          </w:p>
        </w:tc>
        <w:tc>
          <w:tcPr>
            <w:tcW w:w="1148" w:type="dxa"/>
            <w:tcBorders>
              <w:top w:val="single" w:sz="4" w:space="0" w:color="000000"/>
              <w:left w:val="single" w:sz="4" w:space="0" w:color="000000"/>
              <w:bottom w:val="single" w:sz="4" w:space="0" w:color="000000"/>
              <w:right w:val="single" w:sz="4" w:space="0" w:color="000000"/>
            </w:tcBorders>
            <w:tcMar>
              <w:left w:w="11" w:type="dxa"/>
              <w:right w:w="11" w:type="dxa"/>
            </w:tcMar>
            <w:hideMark/>
          </w:tcPr>
          <w:p w14:paraId="317EE1BC" w14:textId="77777777" w:rsidR="00037883" w:rsidRPr="00A11ABC" w:rsidRDefault="00037883" w:rsidP="00B06579">
            <w:pPr>
              <w:spacing w:before="123"/>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Enoxaparin OD til BID</w:t>
            </w:r>
          </w:p>
        </w:tc>
        <w:tc>
          <w:tcPr>
            <w:tcW w:w="1153" w:type="dxa"/>
            <w:tcBorders>
              <w:top w:val="single" w:sz="4" w:space="0" w:color="000000"/>
              <w:left w:val="single" w:sz="4" w:space="0" w:color="000000"/>
              <w:bottom w:val="single" w:sz="4" w:space="0" w:color="000000"/>
              <w:right w:val="single" w:sz="4" w:space="0" w:color="000000"/>
            </w:tcBorders>
            <w:tcMar>
              <w:left w:w="28" w:type="dxa"/>
              <w:right w:w="28" w:type="dxa"/>
            </w:tcMar>
            <w:hideMark/>
          </w:tcPr>
          <w:p w14:paraId="22665AB9" w14:textId="3541E7FE" w:rsidR="00A11ABC" w:rsidRDefault="00037883" w:rsidP="00B06579">
            <w:pPr>
              <w:jc w:val="center"/>
              <w:rPr>
                <w:rFonts w:ascii="Times New Roman" w:eastAsia="Calibri" w:hAnsi="Times New Roman" w:cs="Times New Roman"/>
                <w:b/>
                <w:spacing w:val="-2"/>
                <w:sz w:val="22"/>
                <w:lang w:val="da-DK"/>
              </w:rPr>
            </w:pPr>
            <w:r w:rsidRPr="00A11ABC">
              <w:rPr>
                <w:rFonts w:ascii="Times New Roman" w:eastAsia="Calibri" w:hAnsi="Times New Roman" w:cs="Times New Roman"/>
                <w:b/>
                <w:spacing w:val="-2"/>
                <w:sz w:val="22"/>
                <w:lang w:val="da-DK"/>
              </w:rPr>
              <w:t xml:space="preserve">Enoxaparin </w:t>
            </w:r>
          </w:p>
          <w:p w14:paraId="6BA6AE4E" w14:textId="4FCA63E0" w:rsidR="00037883" w:rsidRPr="00A11ABC" w:rsidRDefault="00037883" w:rsidP="00B06579">
            <w:pPr>
              <w:jc w:val="center"/>
              <w:rPr>
                <w:rFonts w:ascii="Times New Roman" w:eastAsia="Calibri" w:hAnsi="Times New Roman" w:cs="Times New Roman"/>
                <w:b/>
                <w:sz w:val="22"/>
                <w:lang w:val="da-DK"/>
              </w:rPr>
            </w:pPr>
            <w:r w:rsidRPr="00A11ABC">
              <w:rPr>
                <w:rFonts w:ascii="Times New Roman" w:eastAsia="Calibri" w:hAnsi="Times New Roman" w:cs="Times New Roman"/>
                <w:b/>
                <w:spacing w:val="-2"/>
                <w:sz w:val="22"/>
                <w:lang w:val="da-DK"/>
              </w:rPr>
              <w:t>Mere end et switch</w:t>
            </w:r>
          </w:p>
        </w:tc>
        <w:tc>
          <w:tcPr>
            <w:tcW w:w="1277" w:type="dxa"/>
            <w:vMerge/>
            <w:tcBorders>
              <w:top w:val="single" w:sz="4" w:space="0" w:color="000000"/>
              <w:left w:val="single" w:sz="4" w:space="0" w:color="000000"/>
              <w:bottom w:val="single" w:sz="4" w:space="0" w:color="000000"/>
              <w:right w:val="single" w:sz="4" w:space="0" w:color="000000"/>
            </w:tcBorders>
            <w:tcMar>
              <w:left w:w="28" w:type="dxa"/>
              <w:right w:w="28" w:type="dxa"/>
            </w:tcMar>
            <w:vAlign w:val="center"/>
            <w:hideMark/>
          </w:tcPr>
          <w:p w14:paraId="7479CB56" w14:textId="77777777" w:rsidR="00037883" w:rsidRPr="00A11ABC" w:rsidRDefault="00037883" w:rsidP="00B06579">
            <w:pPr>
              <w:rPr>
                <w:rFonts w:ascii="Times New Roman" w:eastAsia="Calibri" w:hAnsi="Times New Roman" w:cs="Times New Roman"/>
                <w:b/>
                <w:sz w:val="22"/>
                <w:lang w:val="da-DK"/>
              </w:rPr>
            </w:pPr>
          </w:p>
        </w:tc>
      </w:tr>
      <w:tr w:rsidR="00037883" w:rsidRPr="00A11ABC" w14:paraId="2E0534EE" w14:textId="77777777" w:rsidTr="00037883">
        <w:trPr>
          <w:trHeight w:val="290"/>
        </w:trPr>
        <w:tc>
          <w:tcPr>
            <w:tcW w:w="1408" w:type="dxa"/>
            <w:tcBorders>
              <w:top w:val="single" w:sz="4" w:space="0" w:color="000000"/>
              <w:left w:val="single" w:sz="4" w:space="0" w:color="000000"/>
              <w:bottom w:val="single" w:sz="4" w:space="0" w:color="000000"/>
              <w:right w:val="single" w:sz="4" w:space="0" w:color="000000"/>
            </w:tcBorders>
          </w:tcPr>
          <w:p w14:paraId="1DDC4AFE" w14:textId="77777777" w:rsidR="00037883" w:rsidRPr="00A11ABC" w:rsidRDefault="00037883">
            <w:pPr>
              <w:rPr>
                <w:rFonts w:ascii="Times New Roman" w:eastAsia="Calibri" w:hAnsi="Times New Roman" w:cs="Times New Roman"/>
                <w:sz w:val="22"/>
                <w:lang w:val="da-DK"/>
              </w:rPr>
            </w:pPr>
          </w:p>
        </w:tc>
        <w:tc>
          <w:tcPr>
            <w:tcW w:w="1127" w:type="dxa"/>
            <w:tcBorders>
              <w:top w:val="single" w:sz="4" w:space="0" w:color="000000"/>
              <w:left w:val="single" w:sz="4" w:space="0" w:color="000000"/>
              <w:bottom w:val="single" w:sz="4" w:space="0" w:color="000000"/>
              <w:right w:val="single" w:sz="4" w:space="0" w:color="000000"/>
            </w:tcBorders>
            <w:hideMark/>
          </w:tcPr>
          <w:p w14:paraId="2735B2A4" w14:textId="77777777" w:rsidR="00037883" w:rsidRPr="00A11ABC" w:rsidRDefault="00037883">
            <w:pPr>
              <w:spacing w:before="13"/>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N=1432</w:t>
            </w:r>
          </w:p>
        </w:tc>
        <w:tc>
          <w:tcPr>
            <w:tcW w:w="1133" w:type="dxa"/>
            <w:tcBorders>
              <w:top w:val="single" w:sz="4" w:space="0" w:color="000000"/>
              <w:left w:val="single" w:sz="4" w:space="0" w:color="000000"/>
              <w:bottom w:val="single" w:sz="4" w:space="0" w:color="000000"/>
              <w:right w:val="single" w:sz="4" w:space="0" w:color="000000"/>
            </w:tcBorders>
            <w:hideMark/>
          </w:tcPr>
          <w:p w14:paraId="5212F22D" w14:textId="77777777" w:rsidR="00037883" w:rsidRPr="00A11ABC" w:rsidRDefault="00037883">
            <w:pPr>
              <w:spacing w:before="13"/>
              <w:ind w:left="191" w:right="187"/>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N=444</w:t>
            </w:r>
          </w:p>
        </w:tc>
        <w:tc>
          <w:tcPr>
            <w:tcW w:w="1136" w:type="dxa"/>
            <w:tcBorders>
              <w:top w:val="single" w:sz="4" w:space="0" w:color="000000"/>
              <w:left w:val="single" w:sz="4" w:space="0" w:color="000000"/>
              <w:bottom w:val="single" w:sz="4" w:space="0" w:color="000000"/>
              <w:right w:val="single" w:sz="4" w:space="0" w:color="000000"/>
            </w:tcBorders>
            <w:hideMark/>
          </w:tcPr>
          <w:p w14:paraId="3BE195D2" w14:textId="77777777" w:rsidR="00037883" w:rsidRPr="00A11ABC" w:rsidRDefault="00037883">
            <w:pPr>
              <w:spacing w:before="13"/>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N=529</w:t>
            </w:r>
          </w:p>
        </w:tc>
        <w:tc>
          <w:tcPr>
            <w:tcW w:w="1102" w:type="dxa"/>
            <w:tcBorders>
              <w:top w:val="single" w:sz="4" w:space="0" w:color="000000"/>
              <w:left w:val="single" w:sz="4" w:space="0" w:color="000000"/>
              <w:bottom w:val="single" w:sz="4" w:space="0" w:color="000000"/>
              <w:right w:val="single" w:sz="4" w:space="0" w:color="000000"/>
            </w:tcBorders>
            <w:hideMark/>
          </w:tcPr>
          <w:p w14:paraId="583D5B3A" w14:textId="77777777" w:rsidR="00037883" w:rsidRPr="00A11ABC" w:rsidRDefault="00037883">
            <w:pPr>
              <w:spacing w:before="13"/>
              <w:ind w:left="176" w:right="17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N=406</w:t>
            </w:r>
          </w:p>
        </w:tc>
        <w:tc>
          <w:tcPr>
            <w:tcW w:w="1148" w:type="dxa"/>
            <w:tcBorders>
              <w:top w:val="single" w:sz="4" w:space="0" w:color="000000"/>
              <w:left w:val="single" w:sz="4" w:space="0" w:color="000000"/>
              <w:bottom w:val="single" w:sz="4" w:space="0" w:color="000000"/>
              <w:right w:val="single" w:sz="4" w:space="0" w:color="000000"/>
            </w:tcBorders>
            <w:hideMark/>
          </w:tcPr>
          <w:p w14:paraId="44E193EA" w14:textId="77777777" w:rsidR="00037883" w:rsidRPr="00A11ABC" w:rsidRDefault="00037883">
            <w:pPr>
              <w:spacing w:before="13"/>
              <w:ind w:left="101"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N=14</w:t>
            </w:r>
          </w:p>
        </w:tc>
        <w:tc>
          <w:tcPr>
            <w:tcW w:w="1153" w:type="dxa"/>
            <w:tcBorders>
              <w:top w:val="single" w:sz="4" w:space="0" w:color="000000"/>
              <w:left w:val="single" w:sz="4" w:space="0" w:color="000000"/>
              <w:bottom w:val="single" w:sz="4" w:space="0" w:color="000000"/>
              <w:right w:val="single" w:sz="4" w:space="0" w:color="000000"/>
            </w:tcBorders>
            <w:hideMark/>
          </w:tcPr>
          <w:p w14:paraId="1CF45BAA" w14:textId="77777777" w:rsidR="00037883" w:rsidRPr="00A11ABC" w:rsidRDefault="00037883">
            <w:pPr>
              <w:spacing w:before="13"/>
              <w:ind w:left="108"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N=39</w:t>
            </w:r>
          </w:p>
        </w:tc>
        <w:tc>
          <w:tcPr>
            <w:tcW w:w="1277" w:type="dxa"/>
            <w:tcBorders>
              <w:top w:val="single" w:sz="4" w:space="0" w:color="000000"/>
              <w:left w:val="single" w:sz="4" w:space="0" w:color="000000"/>
              <w:bottom w:val="single" w:sz="4" w:space="0" w:color="000000"/>
              <w:right w:val="single" w:sz="4" w:space="0" w:color="000000"/>
            </w:tcBorders>
            <w:hideMark/>
          </w:tcPr>
          <w:p w14:paraId="656D528F" w14:textId="77777777" w:rsidR="00037883" w:rsidRPr="00A11ABC" w:rsidRDefault="00037883">
            <w:pPr>
              <w:spacing w:before="13"/>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N=428</w:t>
            </w:r>
          </w:p>
        </w:tc>
      </w:tr>
      <w:tr w:rsidR="00037883" w:rsidRPr="00A11ABC" w14:paraId="3869D242" w14:textId="77777777" w:rsidTr="00037883">
        <w:trPr>
          <w:trHeight w:val="252"/>
        </w:trPr>
        <w:tc>
          <w:tcPr>
            <w:tcW w:w="1408" w:type="dxa"/>
            <w:tcBorders>
              <w:top w:val="single" w:sz="4" w:space="0" w:color="000000"/>
              <w:left w:val="single" w:sz="4" w:space="0" w:color="000000"/>
              <w:bottom w:val="nil"/>
              <w:right w:val="single" w:sz="4" w:space="0" w:color="000000"/>
            </w:tcBorders>
          </w:tcPr>
          <w:p w14:paraId="18CC6767" w14:textId="77777777" w:rsidR="00037883" w:rsidRPr="00A11ABC" w:rsidRDefault="00037883">
            <w:pPr>
              <w:rPr>
                <w:rFonts w:ascii="Times New Roman" w:eastAsia="Calibri" w:hAnsi="Times New Roman" w:cs="Times New Roman"/>
                <w:sz w:val="22"/>
                <w:lang w:val="da-DK"/>
              </w:rPr>
            </w:pPr>
          </w:p>
        </w:tc>
        <w:tc>
          <w:tcPr>
            <w:tcW w:w="1127" w:type="dxa"/>
            <w:tcBorders>
              <w:top w:val="single" w:sz="4" w:space="0" w:color="000000"/>
              <w:left w:val="single" w:sz="4" w:space="0" w:color="000000"/>
              <w:bottom w:val="nil"/>
              <w:right w:val="single" w:sz="4" w:space="0" w:color="000000"/>
            </w:tcBorders>
            <w:hideMark/>
          </w:tcPr>
          <w:p w14:paraId="74A7A532" w14:textId="77777777" w:rsidR="00037883" w:rsidRPr="00A11ABC" w:rsidRDefault="00037883">
            <w:pPr>
              <w:spacing w:line="233" w:lineRule="exact"/>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70</w:t>
            </w:r>
          </w:p>
        </w:tc>
        <w:tc>
          <w:tcPr>
            <w:tcW w:w="1133" w:type="dxa"/>
            <w:tcBorders>
              <w:top w:val="single" w:sz="4" w:space="0" w:color="000000"/>
              <w:left w:val="single" w:sz="4" w:space="0" w:color="000000"/>
              <w:bottom w:val="nil"/>
              <w:right w:val="single" w:sz="4" w:space="0" w:color="000000"/>
            </w:tcBorders>
            <w:hideMark/>
          </w:tcPr>
          <w:p w14:paraId="5E7953A4" w14:textId="77777777" w:rsidR="00037883" w:rsidRPr="00A11ABC" w:rsidRDefault="00037883">
            <w:pPr>
              <w:spacing w:line="233" w:lineRule="exact"/>
              <w:ind w:left="191" w:right="187"/>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33</w:t>
            </w:r>
          </w:p>
        </w:tc>
        <w:tc>
          <w:tcPr>
            <w:tcW w:w="1136" w:type="dxa"/>
            <w:tcBorders>
              <w:top w:val="single" w:sz="4" w:space="0" w:color="000000"/>
              <w:left w:val="single" w:sz="4" w:space="0" w:color="000000"/>
              <w:bottom w:val="nil"/>
              <w:right w:val="single" w:sz="4" w:space="0" w:color="000000"/>
            </w:tcBorders>
            <w:hideMark/>
          </w:tcPr>
          <w:p w14:paraId="6F8AAABE" w14:textId="77777777" w:rsidR="00037883" w:rsidRPr="00A11ABC" w:rsidRDefault="00037883">
            <w:pPr>
              <w:spacing w:line="233"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22</w:t>
            </w:r>
          </w:p>
        </w:tc>
        <w:tc>
          <w:tcPr>
            <w:tcW w:w="1102" w:type="dxa"/>
            <w:tcBorders>
              <w:top w:val="single" w:sz="4" w:space="0" w:color="000000"/>
              <w:left w:val="single" w:sz="4" w:space="0" w:color="000000"/>
              <w:bottom w:val="nil"/>
              <w:right w:val="single" w:sz="4" w:space="0" w:color="000000"/>
            </w:tcBorders>
            <w:hideMark/>
          </w:tcPr>
          <w:p w14:paraId="35C53801" w14:textId="77777777" w:rsidR="00037883" w:rsidRPr="00A11ABC" w:rsidRDefault="00037883">
            <w:pPr>
              <w:spacing w:line="233" w:lineRule="exact"/>
              <w:ind w:left="174"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10</w:t>
            </w:r>
          </w:p>
        </w:tc>
        <w:tc>
          <w:tcPr>
            <w:tcW w:w="1148" w:type="dxa"/>
            <w:tcBorders>
              <w:top w:val="single" w:sz="4" w:space="0" w:color="000000"/>
              <w:left w:val="single" w:sz="4" w:space="0" w:color="000000"/>
              <w:bottom w:val="nil"/>
              <w:right w:val="single" w:sz="4" w:space="0" w:color="000000"/>
            </w:tcBorders>
            <w:hideMark/>
          </w:tcPr>
          <w:p w14:paraId="6A02574D" w14:textId="77777777" w:rsidR="00037883" w:rsidRPr="00A11ABC" w:rsidRDefault="00037883">
            <w:pPr>
              <w:spacing w:line="233" w:lineRule="exact"/>
              <w:ind w:left="1"/>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1</w:t>
            </w:r>
          </w:p>
        </w:tc>
        <w:tc>
          <w:tcPr>
            <w:tcW w:w="1153" w:type="dxa"/>
            <w:tcBorders>
              <w:top w:val="single" w:sz="4" w:space="0" w:color="000000"/>
              <w:left w:val="single" w:sz="4" w:space="0" w:color="000000"/>
              <w:bottom w:val="nil"/>
              <w:right w:val="single" w:sz="4" w:space="0" w:color="000000"/>
            </w:tcBorders>
            <w:hideMark/>
          </w:tcPr>
          <w:p w14:paraId="76DC161D" w14:textId="77777777" w:rsidR="00037883" w:rsidRPr="00A11ABC" w:rsidRDefault="00037883">
            <w:pPr>
              <w:spacing w:line="233" w:lineRule="exact"/>
              <w:ind w:left="6"/>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4</w:t>
            </w:r>
          </w:p>
        </w:tc>
        <w:tc>
          <w:tcPr>
            <w:tcW w:w="1277" w:type="dxa"/>
            <w:tcBorders>
              <w:top w:val="single" w:sz="4" w:space="0" w:color="000000"/>
              <w:left w:val="single" w:sz="4" w:space="0" w:color="000000"/>
              <w:bottom w:val="nil"/>
              <w:right w:val="single" w:sz="4" w:space="0" w:color="000000"/>
            </w:tcBorders>
            <w:hideMark/>
          </w:tcPr>
          <w:p w14:paraId="74493B03" w14:textId="77777777" w:rsidR="00037883" w:rsidRPr="00A11ABC" w:rsidRDefault="00037883">
            <w:pPr>
              <w:spacing w:line="233" w:lineRule="exact"/>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23</w:t>
            </w:r>
          </w:p>
        </w:tc>
      </w:tr>
      <w:tr w:rsidR="00037883" w:rsidRPr="00A11ABC" w14:paraId="23AD9644" w14:textId="77777777" w:rsidTr="00037883">
        <w:trPr>
          <w:trHeight w:val="252"/>
        </w:trPr>
        <w:tc>
          <w:tcPr>
            <w:tcW w:w="1408" w:type="dxa"/>
            <w:tcBorders>
              <w:top w:val="nil"/>
              <w:left w:val="single" w:sz="4" w:space="0" w:color="000000"/>
              <w:bottom w:val="nil"/>
              <w:right w:val="single" w:sz="4" w:space="0" w:color="000000"/>
            </w:tcBorders>
            <w:hideMark/>
          </w:tcPr>
          <w:p w14:paraId="4EB404AB" w14:textId="77777777" w:rsidR="00037883" w:rsidRPr="00A11ABC" w:rsidRDefault="00037883">
            <w:pPr>
              <w:spacing w:line="232" w:lineRule="exact"/>
              <w:ind w:left="116"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Gentagelse</w:t>
            </w:r>
          </w:p>
        </w:tc>
        <w:tc>
          <w:tcPr>
            <w:tcW w:w="1127" w:type="dxa"/>
            <w:tcBorders>
              <w:top w:val="nil"/>
              <w:left w:val="single" w:sz="4" w:space="0" w:color="000000"/>
              <w:bottom w:val="nil"/>
              <w:right w:val="single" w:sz="4" w:space="0" w:color="000000"/>
            </w:tcBorders>
            <w:hideMark/>
          </w:tcPr>
          <w:p w14:paraId="6B23F407" w14:textId="77777777" w:rsidR="00037883" w:rsidRPr="00A11ABC" w:rsidRDefault="00037883">
            <w:pPr>
              <w:spacing w:line="232"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(4,9 %)</w:t>
            </w:r>
          </w:p>
        </w:tc>
        <w:tc>
          <w:tcPr>
            <w:tcW w:w="1133" w:type="dxa"/>
            <w:tcBorders>
              <w:top w:val="nil"/>
              <w:left w:val="single" w:sz="4" w:space="0" w:color="000000"/>
              <w:bottom w:val="nil"/>
              <w:right w:val="single" w:sz="4" w:space="0" w:color="000000"/>
            </w:tcBorders>
            <w:hideMark/>
          </w:tcPr>
          <w:p w14:paraId="5D559D90" w14:textId="77777777" w:rsidR="00037883" w:rsidRPr="00A11ABC" w:rsidRDefault="00037883">
            <w:pPr>
              <w:spacing w:line="232" w:lineRule="exact"/>
              <w:ind w:left="188"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(7,4 %)</w:t>
            </w:r>
          </w:p>
        </w:tc>
        <w:tc>
          <w:tcPr>
            <w:tcW w:w="1136" w:type="dxa"/>
            <w:tcBorders>
              <w:top w:val="nil"/>
              <w:left w:val="single" w:sz="4" w:space="0" w:color="000000"/>
              <w:bottom w:val="nil"/>
              <w:right w:val="single" w:sz="4" w:space="0" w:color="000000"/>
            </w:tcBorders>
            <w:hideMark/>
          </w:tcPr>
          <w:p w14:paraId="388A823E" w14:textId="77777777" w:rsidR="00037883" w:rsidRPr="00A11ABC" w:rsidRDefault="00037883">
            <w:pPr>
              <w:spacing w:line="232"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(4,2 %)</w:t>
            </w:r>
          </w:p>
        </w:tc>
        <w:tc>
          <w:tcPr>
            <w:tcW w:w="1102" w:type="dxa"/>
            <w:tcBorders>
              <w:top w:val="nil"/>
              <w:left w:val="single" w:sz="4" w:space="0" w:color="000000"/>
              <w:bottom w:val="nil"/>
              <w:right w:val="single" w:sz="4" w:space="0" w:color="000000"/>
            </w:tcBorders>
            <w:hideMark/>
          </w:tcPr>
          <w:p w14:paraId="34B351B3" w14:textId="77777777" w:rsidR="00037883" w:rsidRPr="00A11ABC" w:rsidRDefault="00037883">
            <w:pPr>
              <w:spacing w:line="232" w:lineRule="exact"/>
              <w:ind w:left="175"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(2,5 %)</w:t>
            </w:r>
          </w:p>
        </w:tc>
        <w:tc>
          <w:tcPr>
            <w:tcW w:w="1148" w:type="dxa"/>
            <w:tcBorders>
              <w:top w:val="nil"/>
              <w:left w:val="single" w:sz="4" w:space="0" w:color="000000"/>
              <w:bottom w:val="nil"/>
              <w:right w:val="single" w:sz="4" w:space="0" w:color="000000"/>
            </w:tcBorders>
            <w:hideMark/>
          </w:tcPr>
          <w:p w14:paraId="5E521D50" w14:textId="77777777" w:rsidR="00037883" w:rsidRPr="00A11ABC" w:rsidRDefault="00037883">
            <w:pPr>
              <w:spacing w:line="232" w:lineRule="exact"/>
              <w:ind w:left="102"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(7,1 %)</w:t>
            </w:r>
          </w:p>
        </w:tc>
        <w:tc>
          <w:tcPr>
            <w:tcW w:w="1153" w:type="dxa"/>
            <w:tcBorders>
              <w:top w:val="nil"/>
              <w:left w:val="single" w:sz="4" w:space="0" w:color="000000"/>
              <w:bottom w:val="nil"/>
              <w:right w:val="single" w:sz="4" w:space="0" w:color="000000"/>
            </w:tcBorders>
            <w:hideMark/>
          </w:tcPr>
          <w:p w14:paraId="0F3B6560" w14:textId="77777777" w:rsidR="00037883" w:rsidRPr="00A11ABC" w:rsidRDefault="00037883">
            <w:pPr>
              <w:spacing w:line="232"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(10,3 %)</w:t>
            </w:r>
          </w:p>
        </w:tc>
        <w:tc>
          <w:tcPr>
            <w:tcW w:w="1277" w:type="dxa"/>
            <w:tcBorders>
              <w:top w:val="nil"/>
              <w:left w:val="single" w:sz="4" w:space="0" w:color="000000"/>
              <w:bottom w:val="nil"/>
              <w:right w:val="single" w:sz="4" w:space="0" w:color="000000"/>
            </w:tcBorders>
            <w:hideMark/>
          </w:tcPr>
          <w:p w14:paraId="74ACC925" w14:textId="77777777" w:rsidR="00037883" w:rsidRPr="00A11ABC" w:rsidRDefault="00037883">
            <w:pPr>
              <w:spacing w:line="232" w:lineRule="exact"/>
              <w:ind w:left="123"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(5,4 %)</w:t>
            </w:r>
          </w:p>
        </w:tc>
      </w:tr>
      <w:tr w:rsidR="00037883" w:rsidRPr="00A11ABC" w14:paraId="121BE367" w14:textId="77777777" w:rsidTr="00037883">
        <w:trPr>
          <w:trHeight w:val="253"/>
        </w:trPr>
        <w:tc>
          <w:tcPr>
            <w:tcW w:w="1408" w:type="dxa"/>
            <w:tcBorders>
              <w:top w:val="nil"/>
              <w:left w:val="single" w:sz="4" w:space="0" w:color="000000"/>
              <w:bottom w:val="nil"/>
              <w:right w:val="single" w:sz="4" w:space="0" w:color="000000"/>
            </w:tcBorders>
            <w:hideMark/>
          </w:tcPr>
          <w:p w14:paraId="556A7210" w14:textId="77777777" w:rsidR="00037883" w:rsidRPr="00A11ABC" w:rsidRDefault="00037883">
            <w:pPr>
              <w:spacing w:line="233" w:lineRule="exact"/>
              <w:ind w:left="121" w:right="109"/>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af</w:t>
            </w:r>
            <w:r w:rsidRPr="00A11ABC">
              <w:rPr>
                <w:rFonts w:ascii="Times New Roman" w:eastAsia="Calibri" w:hAnsi="Times New Roman" w:cs="Times New Roman"/>
                <w:spacing w:val="-2"/>
                <w:sz w:val="22"/>
                <w:lang w:val="da-DK"/>
              </w:rPr>
              <w:t xml:space="preserve"> </w:t>
            </w:r>
            <w:r w:rsidRPr="00A11ABC">
              <w:rPr>
                <w:rFonts w:ascii="Times New Roman" w:eastAsia="Calibri" w:hAnsi="Times New Roman" w:cs="Times New Roman"/>
                <w:spacing w:val="-5"/>
                <w:sz w:val="22"/>
                <w:lang w:val="da-DK"/>
              </w:rPr>
              <w:t>VTE</w:t>
            </w:r>
          </w:p>
        </w:tc>
        <w:tc>
          <w:tcPr>
            <w:tcW w:w="1127" w:type="dxa"/>
            <w:tcBorders>
              <w:top w:val="nil"/>
              <w:left w:val="single" w:sz="4" w:space="0" w:color="000000"/>
              <w:bottom w:val="nil"/>
              <w:right w:val="single" w:sz="4" w:space="0" w:color="000000"/>
            </w:tcBorders>
            <w:hideMark/>
          </w:tcPr>
          <w:p w14:paraId="6FA6B4F7" w14:textId="77777777" w:rsidR="00037883" w:rsidRPr="00A11ABC" w:rsidRDefault="00037883">
            <w:pPr>
              <w:spacing w:line="233" w:lineRule="exact"/>
              <w:ind w:left="190" w:right="18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(3,8 %-</w:t>
            </w:r>
          </w:p>
        </w:tc>
        <w:tc>
          <w:tcPr>
            <w:tcW w:w="1133" w:type="dxa"/>
            <w:tcBorders>
              <w:top w:val="nil"/>
              <w:left w:val="single" w:sz="4" w:space="0" w:color="000000"/>
              <w:bottom w:val="nil"/>
              <w:right w:val="single" w:sz="4" w:space="0" w:color="000000"/>
            </w:tcBorders>
            <w:hideMark/>
          </w:tcPr>
          <w:p w14:paraId="697949CF" w14:textId="77777777" w:rsidR="00037883" w:rsidRPr="00A11ABC" w:rsidRDefault="00037883">
            <w:pPr>
              <w:spacing w:line="233" w:lineRule="exact"/>
              <w:ind w:left="191" w:right="186"/>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(5,0 %-</w:t>
            </w:r>
          </w:p>
        </w:tc>
        <w:tc>
          <w:tcPr>
            <w:tcW w:w="1136" w:type="dxa"/>
            <w:tcBorders>
              <w:top w:val="nil"/>
              <w:left w:val="single" w:sz="4" w:space="0" w:color="000000"/>
              <w:bottom w:val="nil"/>
              <w:right w:val="single" w:sz="4" w:space="0" w:color="000000"/>
            </w:tcBorders>
            <w:hideMark/>
          </w:tcPr>
          <w:p w14:paraId="6D11818F" w14:textId="77777777" w:rsidR="00037883" w:rsidRPr="00A11ABC" w:rsidRDefault="00037883">
            <w:pPr>
              <w:spacing w:line="233" w:lineRule="exact"/>
              <w:ind w:left="190" w:right="18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(2,5 %-</w:t>
            </w:r>
          </w:p>
        </w:tc>
        <w:tc>
          <w:tcPr>
            <w:tcW w:w="1102" w:type="dxa"/>
            <w:tcBorders>
              <w:top w:val="nil"/>
              <w:left w:val="single" w:sz="4" w:space="0" w:color="000000"/>
              <w:bottom w:val="nil"/>
              <w:right w:val="single" w:sz="4" w:space="0" w:color="000000"/>
            </w:tcBorders>
            <w:hideMark/>
          </w:tcPr>
          <w:p w14:paraId="53A43259" w14:textId="77777777" w:rsidR="00037883" w:rsidRPr="00A11ABC" w:rsidRDefault="00037883">
            <w:pPr>
              <w:spacing w:line="233" w:lineRule="exact"/>
              <w:ind w:left="176"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(0,9 %-</w:t>
            </w:r>
          </w:p>
        </w:tc>
        <w:tc>
          <w:tcPr>
            <w:tcW w:w="1148" w:type="dxa"/>
            <w:tcBorders>
              <w:top w:val="nil"/>
              <w:left w:val="single" w:sz="4" w:space="0" w:color="000000"/>
              <w:bottom w:val="nil"/>
              <w:right w:val="single" w:sz="4" w:space="0" w:color="000000"/>
            </w:tcBorders>
            <w:hideMark/>
          </w:tcPr>
          <w:p w14:paraId="5D2C73A5" w14:textId="77777777" w:rsidR="00037883" w:rsidRPr="00A11ABC" w:rsidRDefault="00037883">
            <w:pPr>
              <w:spacing w:line="233" w:lineRule="exact"/>
              <w:ind w:left="106" w:right="98"/>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(0 %-</w:t>
            </w:r>
          </w:p>
        </w:tc>
        <w:tc>
          <w:tcPr>
            <w:tcW w:w="1153" w:type="dxa"/>
            <w:tcBorders>
              <w:top w:val="nil"/>
              <w:left w:val="single" w:sz="4" w:space="0" w:color="000000"/>
              <w:bottom w:val="nil"/>
              <w:right w:val="single" w:sz="4" w:space="0" w:color="000000"/>
            </w:tcBorders>
            <w:hideMark/>
          </w:tcPr>
          <w:p w14:paraId="0D5D6FB0"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(0,3 %-</w:t>
            </w:r>
          </w:p>
        </w:tc>
        <w:tc>
          <w:tcPr>
            <w:tcW w:w="1277" w:type="dxa"/>
            <w:tcBorders>
              <w:top w:val="nil"/>
              <w:left w:val="single" w:sz="4" w:space="0" w:color="000000"/>
              <w:bottom w:val="nil"/>
              <w:right w:val="single" w:sz="4" w:space="0" w:color="000000"/>
            </w:tcBorders>
            <w:hideMark/>
          </w:tcPr>
          <w:p w14:paraId="5492783F" w14:textId="77777777" w:rsidR="00037883" w:rsidRPr="00A11ABC" w:rsidRDefault="00037883">
            <w:pPr>
              <w:spacing w:line="233" w:lineRule="exact"/>
              <w:ind w:left="127" w:right="12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(3,2 %-</w:t>
            </w:r>
          </w:p>
        </w:tc>
      </w:tr>
      <w:tr w:rsidR="00037883" w:rsidRPr="00A11ABC" w14:paraId="60F13CCE" w14:textId="77777777" w:rsidTr="00037883">
        <w:trPr>
          <w:trHeight w:val="254"/>
        </w:trPr>
        <w:tc>
          <w:tcPr>
            <w:tcW w:w="1408" w:type="dxa"/>
            <w:tcBorders>
              <w:top w:val="nil"/>
              <w:left w:val="single" w:sz="4" w:space="0" w:color="000000"/>
              <w:bottom w:val="single" w:sz="4" w:space="0" w:color="000000"/>
              <w:right w:val="single" w:sz="4" w:space="0" w:color="000000"/>
            </w:tcBorders>
          </w:tcPr>
          <w:p w14:paraId="52EFAA14" w14:textId="77777777" w:rsidR="00037883" w:rsidRPr="00A11ABC" w:rsidRDefault="00037883">
            <w:pPr>
              <w:rPr>
                <w:rFonts w:ascii="Times New Roman" w:eastAsia="Calibri" w:hAnsi="Times New Roman" w:cs="Times New Roman"/>
                <w:sz w:val="22"/>
                <w:lang w:val="da-DK"/>
              </w:rPr>
            </w:pPr>
          </w:p>
        </w:tc>
        <w:tc>
          <w:tcPr>
            <w:tcW w:w="1127" w:type="dxa"/>
            <w:tcBorders>
              <w:top w:val="nil"/>
              <w:left w:val="single" w:sz="4" w:space="0" w:color="000000"/>
              <w:bottom w:val="single" w:sz="4" w:space="0" w:color="000000"/>
              <w:right w:val="single" w:sz="4" w:space="0" w:color="000000"/>
            </w:tcBorders>
            <w:hideMark/>
          </w:tcPr>
          <w:p w14:paraId="4F5C9BEE" w14:textId="77777777" w:rsidR="00037883" w:rsidRPr="00A11ABC" w:rsidRDefault="00037883">
            <w:pPr>
              <w:spacing w:line="234"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6,0 %)</w:t>
            </w:r>
          </w:p>
        </w:tc>
        <w:tc>
          <w:tcPr>
            <w:tcW w:w="1133" w:type="dxa"/>
            <w:tcBorders>
              <w:top w:val="nil"/>
              <w:left w:val="single" w:sz="4" w:space="0" w:color="000000"/>
              <w:bottom w:val="single" w:sz="4" w:space="0" w:color="000000"/>
              <w:right w:val="single" w:sz="4" w:space="0" w:color="000000"/>
            </w:tcBorders>
            <w:hideMark/>
          </w:tcPr>
          <w:p w14:paraId="2ED6CB0F" w14:textId="77777777" w:rsidR="00037883" w:rsidRPr="00A11ABC" w:rsidRDefault="00037883">
            <w:pPr>
              <w:spacing w:line="234" w:lineRule="exact"/>
              <w:ind w:left="191"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9,9 %)</w:t>
            </w:r>
          </w:p>
        </w:tc>
        <w:tc>
          <w:tcPr>
            <w:tcW w:w="1136" w:type="dxa"/>
            <w:tcBorders>
              <w:top w:val="nil"/>
              <w:left w:val="single" w:sz="4" w:space="0" w:color="000000"/>
              <w:bottom w:val="single" w:sz="4" w:space="0" w:color="000000"/>
              <w:right w:val="single" w:sz="4" w:space="0" w:color="000000"/>
            </w:tcBorders>
            <w:hideMark/>
          </w:tcPr>
          <w:p w14:paraId="0138D0E0" w14:textId="77777777" w:rsidR="00037883" w:rsidRPr="00A11ABC" w:rsidRDefault="00037883">
            <w:pPr>
              <w:spacing w:line="234" w:lineRule="exact"/>
              <w:ind w:left="188"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5,9 %)</w:t>
            </w:r>
          </w:p>
        </w:tc>
        <w:tc>
          <w:tcPr>
            <w:tcW w:w="1102" w:type="dxa"/>
            <w:tcBorders>
              <w:top w:val="nil"/>
              <w:left w:val="single" w:sz="4" w:space="0" w:color="000000"/>
              <w:bottom w:val="single" w:sz="4" w:space="0" w:color="000000"/>
              <w:right w:val="single" w:sz="4" w:space="0" w:color="000000"/>
            </w:tcBorders>
            <w:hideMark/>
          </w:tcPr>
          <w:p w14:paraId="7BB1CD5B" w14:textId="77777777" w:rsidR="00037883" w:rsidRPr="00A11ABC" w:rsidRDefault="00037883">
            <w:pPr>
              <w:spacing w:line="234" w:lineRule="exact"/>
              <w:ind w:left="176" w:right="17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4,0 %)</w:t>
            </w:r>
          </w:p>
        </w:tc>
        <w:tc>
          <w:tcPr>
            <w:tcW w:w="1148" w:type="dxa"/>
            <w:tcBorders>
              <w:top w:val="nil"/>
              <w:left w:val="single" w:sz="4" w:space="0" w:color="000000"/>
              <w:bottom w:val="single" w:sz="4" w:space="0" w:color="000000"/>
              <w:right w:val="single" w:sz="4" w:space="0" w:color="000000"/>
            </w:tcBorders>
            <w:hideMark/>
          </w:tcPr>
          <w:p w14:paraId="6F200DCC" w14:textId="77777777" w:rsidR="00037883" w:rsidRPr="00A11ABC" w:rsidRDefault="00037883">
            <w:pPr>
              <w:spacing w:line="234" w:lineRule="exact"/>
              <w:ind w:left="105"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22,6 %)</w:t>
            </w:r>
          </w:p>
        </w:tc>
        <w:tc>
          <w:tcPr>
            <w:tcW w:w="1153" w:type="dxa"/>
            <w:tcBorders>
              <w:top w:val="nil"/>
              <w:left w:val="single" w:sz="4" w:space="0" w:color="000000"/>
              <w:bottom w:val="single" w:sz="4" w:space="0" w:color="000000"/>
              <w:right w:val="single" w:sz="4" w:space="0" w:color="000000"/>
            </w:tcBorders>
            <w:hideMark/>
          </w:tcPr>
          <w:p w14:paraId="3BBE4C83" w14:textId="77777777" w:rsidR="00037883" w:rsidRPr="00A11ABC" w:rsidRDefault="00037883">
            <w:pPr>
              <w:spacing w:line="234" w:lineRule="exact"/>
              <w:ind w:left="108"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20,2 %)</w:t>
            </w:r>
          </w:p>
        </w:tc>
        <w:tc>
          <w:tcPr>
            <w:tcW w:w="1277" w:type="dxa"/>
            <w:tcBorders>
              <w:top w:val="nil"/>
              <w:left w:val="single" w:sz="4" w:space="0" w:color="000000"/>
              <w:bottom w:val="single" w:sz="4" w:space="0" w:color="000000"/>
              <w:right w:val="single" w:sz="4" w:space="0" w:color="000000"/>
            </w:tcBorders>
            <w:hideMark/>
          </w:tcPr>
          <w:p w14:paraId="0E8A0BBE" w14:textId="77777777" w:rsidR="00037883" w:rsidRPr="00A11ABC" w:rsidRDefault="00037883">
            <w:pPr>
              <w:spacing w:line="234" w:lineRule="exact"/>
              <w:ind w:left="125"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7,5 %)</w:t>
            </w:r>
          </w:p>
        </w:tc>
      </w:tr>
      <w:tr w:rsidR="00037883" w:rsidRPr="00A11ABC" w14:paraId="61DD7E79" w14:textId="77777777" w:rsidTr="00037883">
        <w:trPr>
          <w:trHeight w:val="252"/>
        </w:trPr>
        <w:tc>
          <w:tcPr>
            <w:tcW w:w="1408" w:type="dxa"/>
            <w:tcBorders>
              <w:top w:val="single" w:sz="4" w:space="0" w:color="000000"/>
              <w:left w:val="single" w:sz="4" w:space="0" w:color="000000"/>
              <w:bottom w:val="nil"/>
              <w:right w:val="single" w:sz="4" w:space="0" w:color="000000"/>
            </w:tcBorders>
            <w:hideMark/>
          </w:tcPr>
          <w:p w14:paraId="21B6A14D" w14:textId="77777777" w:rsidR="00037883" w:rsidRPr="00A11ABC" w:rsidRDefault="00037883">
            <w:pPr>
              <w:spacing w:line="232" w:lineRule="exact"/>
              <w:ind w:left="118"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Alvorlig</w:t>
            </w:r>
          </w:p>
        </w:tc>
        <w:tc>
          <w:tcPr>
            <w:tcW w:w="1127" w:type="dxa"/>
            <w:tcBorders>
              <w:top w:val="single" w:sz="4" w:space="0" w:color="000000"/>
              <w:left w:val="single" w:sz="4" w:space="0" w:color="000000"/>
              <w:bottom w:val="nil"/>
              <w:right w:val="single" w:sz="4" w:space="0" w:color="000000"/>
            </w:tcBorders>
            <w:hideMark/>
          </w:tcPr>
          <w:p w14:paraId="7656C11D" w14:textId="77777777" w:rsidR="00037883" w:rsidRPr="00A11ABC" w:rsidRDefault="00037883">
            <w:pPr>
              <w:spacing w:line="232" w:lineRule="exact"/>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111</w:t>
            </w:r>
          </w:p>
        </w:tc>
        <w:tc>
          <w:tcPr>
            <w:tcW w:w="1133" w:type="dxa"/>
            <w:tcBorders>
              <w:top w:val="single" w:sz="4" w:space="0" w:color="000000"/>
              <w:left w:val="single" w:sz="4" w:space="0" w:color="000000"/>
              <w:bottom w:val="nil"/>
              <w:right w:val="single" w:sz="4" w:space="0" w:color="000000"/>
            </w:tcBorders>
            <w:hideMark/>
          </w:tcPr>
          <w:p w14:paraId="793B73F0" w14:textId="77777777" w:rsidR="00037883" w:rsidRPr="00A11ABC" w:rsidRDefault="00037883">
            <w:pPr>
              <w:spacing w:line="232" w:lineRule="exact"/>
              <w:ind w:left="191" w:right="187"/>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31</w:t>
            </w:r>
          </w:p>
        </w:tc>
        <w:tc>
          <w:tcPr>
            <w:tcW w:w="1136" w:type="dxa"/>
            <w:tcBorders>
              <w:top w:val="single" w:sz="4" w:space="0" w:color="000000"/>
              <w:left w:val="single" w:sz="4" w:space="0" w:color="000000"/>
              <w:bottom w:val="nil"/>
              <w:right w:val="single" w:sz="4" w:space="0" w:color="000000"/>
            </w:tcBorders>
            <w:hideMark/>
          </w:tcPr>
          <w:p w14:paraId="78DBA882" w14:textId="77777777" w:rsidR="00037883" w:rsidRPr="00A11ABC" w:rsidRDefault="00037883">
            <w:pPr>
              <w:spacing w:line="232"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52</w:t>
            </w:r>
          </w:p>
        </w:tc>
        <w:tc>
          <w:tcPr>
            <w:tcW w:w="1102" w:type="dxa"/>
            <w:tcBorders>
              <w:top w:val="single" w:sz="4" w:space="0" w:color="000000"/>
              <w:left w:val="single" w:sz="4" w:space="0" w:color="000000"/>
              <w:bottom w:val="nil"/>
              <w:right w:val="single" w:sz="4" w:space="0" w:color="000000"/>
            </w:tcBorders>
            <w:hideMark/>
          </w:tcPr>
          <w:p w14:paraId="1DDC79D7" w14:textId="77777777" w:rsidR="00037883" w:rsidRPr="00A11ABC" w:rsidRDefault="00037883">
            <w:pPr>
              <w:spacing w:line="232" w:lineRule="exact"/>
              <w:ind w:left="174"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21</w:t>
            </w:r>
          </w:p>
        </w:tc>
        <w:tc>
          <w:tcPr>
            <w:tcW w:w="1148" w:type="dxa"/>
            <w:tcBorders>
              <w:top w:val="single" w:sz="4" w:space="0" w:color="000000"/>
              <w:left w:val="single" w:sz="4" w:space="0" w:color="000000"/>
              <w:bottom w:val="nil"/>
              <w:right w:val="single" w:sz="4" w:space="0" w:color="000000"/>
            </w:tcBorders>
            <w:hideMark/>
          </w:tcPr>
          <w:p w14:paraId="2E3AF543" w14:textId="77777777" w:rsidR="00037883" w:rsidRPr="00A11ABC" w:rsidRDefault="00037883">
            <w:pPr>
              <w:spacing w:line="232" w:lineRule="exact"/>
              <w:ind w:left="1"/>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1</w:t>
            </w:r>
          </w:p>
        </w:tc>
        <w:tc>
          <w:tcPr>
            <w:tcW w:w="1153" w:type="dxa"/>
            <w:tcBorders>
              <w:top w:val="single" w:sz="4" w:space="0" w:color="000000"/>
              <w:left w:val="single" w:sz="4" w:space="0" w:color="000000"/>
              <w:bottom w:val="nil"/>
              <w:right w:val="single" w:sz="4" w:space="0" w:color="000000"/>
            </w:tcBorders>
            <w:hideMark/>
          </w:tcPr>
          <w:p w14:paraId="26DFE21C" w14:textId="77777777" w:rsidR="00037883" w:rsidRPr="00A11ABC" w:rsidRDefault="00037883">
            <w:pPr>
              <w:spacing w:line="232" w:lineRule="exact"/>
              <w:ind w:left="6"/>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6</w:t>
            </w:r>
          </w:p>
        </w:tc>
        <w:tc>
          <w:tcPr>
            <w:tcW w:w="1277" w:type="dxa"/>
            <w:tcBorders>
              <w:top w:val="single" w:sz="4" w:space="0" w:color="000000"/>
              <w:left w:val="single" w:sz="4" w:space="0" w:color="000000"/>
              <w:bottom w:val="nil"/>
              <w:right w:val="single" w:sz="4" w:space="0" w:color="000000"/>
            </w:tcBorders>
            <w:hideMark/>
          </w:tcPr>
          <w:p w14:paraId="75F20CAF" w14:textId="77777777" w:rsidR="00037883" w:rsidRPr="00A11ABC" w:rsidRDefault="00037883">
            <w:pPr>
              <w:spacing w:line="232" w:lineRule="exact"/>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18</w:t>
            </w:r>
          </w:p>
        </w:tc>
      </w:tr>
      <w:tr w:rsidR="00037883" w:rsidRPr="00A11ABC" w14:paraId="546C79E6" w14:textId="77777777" w:rsidTr="00037883">
        <w:trPr>
          <w:trHeight w:val="253"/>
        </w:trPr>
        <w:tc>
          <w:tcPr>
            <w:tcW w:w="1408" w:type="dxa"/>
            <w:tcBorders>
              <w:top w:val="nil"/>
              <w:left w:val="single" w:sz="4" w:space="0" w:color="000000"/>
              <w:bottom w:val="nil"/>
              <w:right w:val="single" w:sz="4" w:space="0" w:color="000000"/>
            </w:tcBorders>
            <w:hideMark/>
          </w:tcPr>
          <w:p w14:paraId="0949CD30" w14:textId="77777777" w:rsidR="00037883" w:rsidRPr="00A11ABC" w:rsidRDefault="00037883">
            <w:pPr>
              <w:spacing w:line="233" w:lineRule="exact"/>
              <w:ind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blødning</w:t>
            </w:r>
          </w:p>
        </w:tc>
        <w:tc>
          <w:tcPr>
            <w:tcW w:w="1127" w:type="dxa"/>
            <w:tcBorders>
              <w:top w:val="nil"/>
              <w:left w:val="single" w:sz="4" w:space="0" w:color="000000"/>
              <w:bottom w:val="nil"/>
              <w:right w:val="single" w:sz="4" w:space="0" w:color="000000"/>
            </w:tcBorders>
            <w:hideMark/>
          </w:tcPr>
          <w:p w14:paraId="6F516D1F"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(7,8 %)</w:t>
            </w:r>
          </w:p>
        </w:tc>
        <w:tc>
          <w:tcPr>
            <w:tcW w:w="1133" w:type="dxa"/>
            <w:tcBorders>
              <w:top w:val="nil"/>
              <w:left w:val="single" w:sz="4" w:space="0" w:color="000000"/>
              <w:bottom w:val="nil"/>
              <w:right w:val="single" w:sz="4" w:space="0" w:color="000000"/>
            </w:tcBorders>
            <w:hideMark/>
          </w:tcPr>
          <w:p w14:paraId="21D4316E" w14:textId="77777777" w:rsidR="00037883" w:rsidRPr="00A11ABC" w:rsidRDefault="00037883">
            <w:pPr>
              <w:spacing w:line="233" w:lineRule="exact"/>
              <w:ind w:left="188"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(7,0 %)</w:t>
            </w:r>
          </w:p>
        </w:tc>
        <w:tc>
          <w:tcPr>
            <w:tcW w:w="1136" w:type="dxa"/>
            <w:tcBorders>
              <w:top w:val="nil"/>
              <w:left w:val="single" w:sz="4" w:space="0" w:color="000000"/>
              <w:bottom w:val="nil"/>
              <w:right w:val="single" w:sz="4" w:space="0" w:color="000000"/>
            </w:tcBorders>
            <w:hideMark/>
          </w:tcPr>
          <w:p w14:paraId="6479037A"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(9,8 %)</w:t>
            </w:r>
          </w:p>
        </w:tc>
        <w:tc>
          <w:tcPr>
            <w:tcW w:w="1102" w:type="dxa"/>
            <w:tcBorders>
              <w:top w:val="nil"/>
              <w:left w:val="single" w:sz="4" w:space="0" w:color="000000"/>
              <w:bottom w:val="nil"/>
              <w:right w:val="single" w:sz="4" w:space="0" w:color="000000"/>
            </w:tcBorders>
            <w:hideMark/>
          </w:tcPr>
          <w:p w14:paraId="11875A35" w14:textId="77777777" w:rsidR="00037883" w:rsidRPr="00A11ABC" w:rsidRDefault="00037883">
            <w:pPr>
              <w:spacing w:line="233" w:lineRule="exact"/>
              <w:ind w:left="175"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(5,2 %)</w:t>
            </w:r>
          </w:p>
        </w:tc>
        <w:tc>
          <w:tcPr>
            <w:tcW w:w="1148" w:type="dxa"/>
            <w:tcBorders>
              <w:top w:val="nil"/>
              <w:left w:val="single" w:sz="4" w:space="0" w:color="000000"/>
              <w:bottom w:val="nil"/>
              <w:right w:val="single" w:sz="4" w:space="0" w:color="000000"/>
            </w:tcBorders>
            <w:hideMark/>
          </w:tcPr>
          <w:p w14:paraId="109C5289" w14:textId="77777777" w:rsidR="00037883" w:rsidRPr="00A11ABC" w:rsidRDefault="00037883">
            <w:pPr>
              <w:spacing w:line="233" w:lineRule="exact"/>
              <w:ind w:left="102"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(7,1 %)</w:t>
            </w:r>
          </w:p>
        </w:tc>
        <w:tc>
          <w:tcPr>
            <w:tcW w:w="1153" w:type="dxa"/>
            <w:tcBorders>
              <w:top w:val="nil"/>
              <w:left w:val="single" w:sz="4" w:space="0" w:color="000000"/>
              <w:bottom w:val="nil"/>
              <w:right w:val="single" w:sz="4" w:space="0" w:color="000000"/>
            </w:tcBorders>
            <w:hideMark/>
          </w:tcPr>
          <w:p w14:paraId="58171CD9"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(15,4 %)</w:t>
            </w:r>
          </w:p>
        </w:tc>
        <w:tc>
          <w:tcPr>
            <w:tcW w:w="1277" w:type="dxa"/>
            <w:tcBorders>
              <w:top w:val="nil"/>
              <w:left w:val="single" w:sz="4" w:space="0" w:color="000000"/>
              <w:bottom w:val="nil"/>
              <w:right w:val="single" w:sz="4" w:space="0" w:color="000000"/>
            </w:tcBorders>
            <w:hideMark/>
          </w:tcPr>
          <w:p w14:paraId="09BA8AD3" w14:textId="77777777" w:rsidR="00037883" w:rsidRPr="00A11ABC" w:rsidRDefault="00037883">
            <w:pPr>
              <w:spacing w:line="233" w:lineRule="exact"/>
              <w:ind w:left="123"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(4,2 %)</w:t>
            </w:r>
          </w:p>
        </w:tc>
      </w:tr>
      <w:tr w:rsidR="00037883" w:rsidRPr="00A11ABC" w14:paraId="044E2166" w14:textId="77777777" w:rsidTr="00037883">
        <w:trPr>
          <w:trHeight w:val="253"/>
        </w:trPr>
        <w:tc>
          <w:tcPr>
            <w:tcW w:w="1408" w:type="dxa"/>
            <w:tcBorders>
              <w:top w:val="nil"/>
              <w:left w:val="single" w:sz="4" w:space="0" w:color="000000"/>
              <w:bottom w:val="nil"/>
              <w:right w:val="single" w:sz="4" w:space="0" w:color="000000"/>
            </w:tcBorders>
            <w:hideMark/>
          </w:tcPr>
          <w:p w14:paraId="608D3DB3" w14:textId="77777777" w:rsidR="00037883" w:rsidRPr="00A11ABC" w:rsidRDefault="00037883">
            <w:pPr>
              <w:spacing w:line="233" w:lineRule="exact"/>
              <w:ind w:left="116" w:right="110"/>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(fatal</w:t>
            </w:r>
            <w:r w:rsidRPr="00A11ABC">
              <w:rPr>
                <w:rFonts w:ascii="Times New Roman" w:eastAsia="Calibri" w:hAnsi="Times New Roman" w:cs="Times New Roman"/>
                <w:spacing w:val="-3"/>
                <w:sz w:val="22"/>
                <w:lang w:val="da-DK"/>
              </w:rPr>
              <w:t xml:space="preserve"> </w:t>
            </w:r>
            <w:r w:rsidRPr="00A11ABC">
              <w:rPr>
                <w:rFonts w:ascii="Times New Roman" w:eastAsia="Calibri" w:hAnsi="Times New Roman" w:cs="Times New Roman"/>
                <w:spacing w:val="-5"/>
                <w:sz w:val="22"/>
                <w:lang w:val="da-DK"/>
              </w:rPr>
              <w:t>og</w:t>
            </w:r>
          </w:p>
        </w:tc>
        <w:tc>
          <w:tcPr>
            <w:tcW w:w="1127" w:type="dxa"/>
            <w:tcBorders>
              <w:top w:val="nil"/>
              <w:left w:val="single" w:sz="4" w:space="0" w:color="000000"/>
              <w:bottom w:val="nil"/>
              <w:right w:val="single" w:sz="4" w:space="0" w:color="000000"/>
            </w:tcBorders>
            <w:hideMark/>
          </w:tcPr>
          <w:p w14:paraId="2584F15E" w14:textId="77777777" w:rsidR="00037883" w:rsidRPr="00A11ABC" w:rsidRDefault="00037883">
            <w:pPr>
              <w:spacing w:line="233" w:lineRule="exact"/>
              <w:ind w:left="190" w:right="18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(6,4 %-</w:t>
            </w:r>
          </w:p>
        </w:tc>
        <w:tc>
          <w:tcPr>
            <w:tcW w:w="1133" w:type="dxa"/>
            <w:tcBorders>
              <w:top w:val="nil"/>
              <w:left w:val="single" w:sz="4" w:space="0" w:color="000000"/>
              <w:bottom w:val="nil"/>
              <w:right w:val="single" w:sz="4" w:space="0" w:color="000000"/>
            </w:tcBorders>
            <w:hideMark/>
          </w:tcPr>
          <w:p w14:paraId="782C67DB" w14:textId="77777777" w:rsidR="00037883" w:rsidRPr="00A11ABC" w:rsidRDefault="00037883">
            <w:pPr>
              <w:spacing w:line="233" w:lineRule="exact"/>
              <w:ind w:left="191" w:right="186"/>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(4,6 %-</w:t>
            </w:r>
          </w:p>
        </w:tc>
        <w:tc>
          <w:tcPr>
            <w:tcW w:w="1136" w:type="dxa"/>
            <w:tcBorders>
              <w:top w:val="nil"/>
              <w:left w:val="single" w:sz="4" w:space="0" w:color="000000"/>
              <w:bottom w:val="nil"/>
              <w:right w:val="single" w:sz="4" w:space="0" w:color="000000"/>
            </w:tcBorders>
            <w:hideMark/>
          </w:tcPr>
          <w:p w14:paraId="5A992C0D" w14:textId="77777777" w:rsidR="00037883" w:rsidRPr="00A11ABC" w:rsidRDefault="00037883">
            <w:pPr>
              <w:spacing w:line="233" w:lineRule="exact"/>
              <w:ind w:left="190" w:right="18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(7,3 %-</w:t>
            </w:r>
          </w:p>
        </w:tc>
        <w:tc>
          <w:tcPr>
            <w:tcW w:w="1102" w:type="dxa"/>
            <w:tcBorders>
              <w:top w:val="nil"/>
              <w:left w:val="single" w:sz="4" w:space="0" w:color="000000"/>
              <w:bottom w:val="nil"/>
              <w:right w:val="single" w:sz="4" w:space="0" w:color="000000"/>
            </w:tcBorders>
            <w:hideMark/>
          </w:tcPr>
          <w:p w14:paraId="413BD35A" w14:textId="77777777" w:rsidR="00037883" w:rsidRPr="00A11ABC" w:rsidRDefault="00037883">
            <w:pPr>
              <w:spacing w:line="233" w:lineRule="exact"/>
              <w:ind w:left="176"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(3,0 %-</w:t>
            </w:r>
          </w:p>
        </w:tc>
        <w:tc>
          <w:tcPr>
            <w:tcW w:w="1148" w:type="dxa"/>
            <w:tcBorders>
              <w:top w:val="nil"/>
              <w:left w:val="single" w:sz="4" w:space="0" w:color="000000"/>
              <w:bottom w:val="nil"/>
              <w:right w:val="single" w:sz="4" w:space="0" w:color="000000"/>
            </w:tcBorders>
            <w:hideMark/>
          </w:tcPr>
          <w:p w14:paraId="2F27FB5D" w14:textId="77777777" w:rsidR="00037883" w:rsidRPr="00A11ABC" w:rsidRDefault="00037883">
            <w:pPr>
              <w:spacing w:line="233" w:lineRule="exact"/>
              <w:ind w:left="106" w:right="98"/>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(0 %-</w:t>
            </w:r>
          </w:p>
        </w:tc>
        <w:tc>
          <w:tcPr>
            <w:tcW w:w="1153" w:type="dxa"/>
            <w:tcBorders>
              <w:top w:val="nil"/>
              <w:left w:val="single" w:sz="4" w:space="0" w:color="000000"/>
              <w:bottom w:val="nil"/>
              <w:right w:val="single" w:sz="4" w:space="0" w:color="000000"/>
            </w:tcBorders>
            <w:hideMark/>
          </w:tcPr>
          <w:p w14:paraId="2BE2E632"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(3,5 %-</w:t>
            </w:r>
          </w:p>
        </w:tc>
        <w:tc>
          <w:tcPr>
            <w:tcW w:w="1277" w:type="dxa"/>
            <w:tcBorders>
              <w:top w:val="nil"/>
              <w:left w:val="single" w:sz="4" w:space="0" w:color="000000"/>
              <w:bottom w:val="nil"/>
              <w:right w:val="single" w:sz="4" w:space="0" w:color="000000"/>
            </w:tcBorders>
            <w:hideMark/>
          </w:tcPr>
          <w:p w14:paraId="3AA5C39D" w14:textId="77777777" w:rsidR="00037883" w:rsidRPr="00A11ABC" w:rsidRDefault="00037883">
            <w:pPr>
              <w:spacing w:line="233" w:lineRule="exact"/>
              <w:ind w:left="127" w:right="12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(2,3 %-</w:t>
            </w:r>
          </w:p>
        </w:tc>
      </w:tr>
      <w:tr w:rsidR="00037883" w:rsidRPr="00A11ABC" w14:paraId="6288FE6D" w14:textId="77777777" w:rsidTr="00037883">
        <w:trPr>
          <w:trHeight w:val="254"/>
        </w:trPr>
        <w:tc>
          <w:tcPr>
            <w:tcW w:w="1408" w:type="dxa"/>
            <w:tcBorders>
              <w:top w:val="nil"/>
              <w:left w:val="single" w:sz="4" w:space="0" w:color="000000"/>
              <w:bottom w:val="single" w:sz="4" w:space="0" w:color="000000"/>
              <w:right w:val="single" w:sz="4" w:space="0" w:color="000000"/>
            </w:tcBorders>
            <w:hideMark/>
          </w:tcPr>
          <w:p w14:paraId="446404D8" w14:textId="77777777" w:rsidR="00037883" w:rsidRPr="00A11ABC" w:rsidRDefault="00037883">
            <w:pPr>
              <w:spacing w:line="234" w:lineRule="exact"/>
              <w:ind w:left="120"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ikke-fatal)</w:t>
            </w:r>
          </w:p>
        </w:tc>
        <w:tc>
          <w:tcPr>
            <w:tcW w:w="1127" w:type="dxa"/>
            <w:tcBorders>
              <w:top w:val="nil"/>
              <w:left w:val="single" w:sz="4" w:space="0" w:color="000000"/>
              <w:bottom w:val="single" w:sz="4" w:space="0" w:color="000000"/>
              <w:right w:val="single" w:sz="4" w:space="0" w:color="000000"/>
            </w:tcBorders>
            <w:hideMark/>
          </w:tcPr>
          <w:p w14:paraId="4C1AB48D" w14:textId="77777777" w:rsidR="00037883" w:rsidRPr="00A11ABC" w:rsidRDefault="00037883">
            <w:pPr>
              <w:spacing w:line="234"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9,1 %)</w:t>
            </w:r>
          </w:p>
        </w:tc>
        <w:tc>
          <w:tcPr>
            <w:tcW w:w="1133" w:type="dxa"/>
            <w:tcBorders>
              <w:top w:val="nil"/>
              <w:left w:val="single" w:sz="4" w:space="0" w:color="000000"/>
              <w:bottom w:val="single" w:sz="4" w:space="0" w:color="000000"/>
              <w:right w:val="single" w:sz="4" w:space="0" w:color="000000"/>
            </w:tcBorders>
            <w:hideMark/>
          </w:tcPr>
          <w:p w14:paraId="378D5625" w14:textId="77777777" w:rsidR="00037883" w:rsidRPr="00A11ABC" w:rsidRDefault="00037883">
            <w:pPr>
              <w:spacing w:line="234" w:lineRule="exact"/>
              <w:ind w:left="191"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9,4 %)</w:t>
            </w:r>
          </w:p>
        </w:tc>
        <w:tc>
          <w:tcPr>
            <w:tcW w:w="1136" w:type="dxa"/>
            <w:tcBorders>
              <w:top w:val="nil"/>
              <w:left w:val="single" w:sz="4" w:space="0" w:color="000000"/>
              <w:bottom w:val="single" w:sz="4" w:space="0" w:color="000000"/>
              <w:right w:val="single" w:sz="4" w:space="0" w:color="000000"/>
            </w:tcBorders>
            <w:hideMark/>
          </w:tcPr>
          <w:p w14:paraId="442EA9E0" w14:textId="77777777" w:rsidR="00037883" w:rsidRPr="00A11ABC" w:rsidRDefault="00037883">
            <w:pPr>
              <w:spacing w:line="234" w:lineRule="exact"/>
              <w:ind w:left="188"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12,4 %)</w:t>
            </w:r>
          </w:p>
        </w:tc>
        <w:tc>
          <w:tcPr>
            <w:tcW w:w="1102" w:type="dxa"/>
            <w:tcBorders>
              <w:top w:val="nil"/>
              <w:left w:val="single" w:sz="4" w:space="0" w:color="000000"/>
              <w:bottom w:val="single" w:sz="4" w:space="0" w:color="000000"/>
              <w:right w:val="single" w:sz="4" w:space="0" w:color="000000"/>
            </w:tcBorders>
            <w:hideMark/>
          </w:tcPr>
          <w:p w14:paraId="4D37C772" w14:textId="77777777" w:rsidR="00037883" w:rsidRPr="00A11ABC" w:rsidRDefault="00037883">
            <w:pPr>
              <w:spacing w:line="234" w:lineRule="exact"/>
              <w:ind w:left="176" w:right="17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7,3 %)</w:t>
            </w:r>
          </w:p>
        </w:tc>
        <w:tc>
          <w:tcPr>
            <w:tcW w:w="1148" w:type="dxa"/>
            <w:tcBorders>
              <w:top w:val="nil"/>
              <w:left w:val="single" w:sz="4" w:space="0" w:color="000000"/>
              <w:bottom w:val="single" w:sz="4" w:space="0" w:color="000000"/>
              <w:right w:val="single" w:sz="4" w:space="0" w:color="000000"/>
            </w:tcBorders>
            <w:hideMark/>
          </w:tcPr>
          <w:p w14:paraId="6FEB4EC8" w14:textId="77777777" w:rsidR="00037883" w:rsidRPr="00A11ABC" w:rsidRDefault="00037883">
            <w:pPr>
              <w:spacing w:line="234" w:lineRule="exact"/>
              <w:ind w:left="105"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22,6 %)</w:t>
            </w:r>
          </w:p>
        </w:tc>
        <w:tc>
          <w:tcPr>
            <w:tcW w:w="1153" w:type="dxa"/>
            <w:tcBorders>
              <w:top w:val="nil"/>
              <w:left w:val="single" w:sz="4" w:space="0" w:color="000000"/>
              <w:bottom w:val="single" w:sz="4" w:space="0" w:color="000000"/>
              <w:right w:val="single" w:sz="4" w:space="0" w:color="000000"/>
            </w:tcBorders>
            <w:hideMark/>
          </w:tcPr>
          <w:p w14:paraId="313A3DDA" w14:textId="77777777" w:rsidR="00037883" w:rsidRPr="00A11ABC" w:rsidRDefault="00037883">
            <w:pPr>
              <w:spacing w:line="234" w:lineRule="exact"/>
              <w:ind w:left="108"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27,2 %)</w:t>
            </w:r>
          </w:p>
        </w:tc>
        <w:tc>
          <w:tcPr>
            <w:tcW w:w="1277" w:type="dxa"/>
            <w:tcBorders>
              <w:top w:val="nil"/>
              <w:left w:val="single" w:sz="4" w:space="0" w:color="000000"/>
              <w:bottom w:val="single" w:sz="4" w:space="0" w:color="000000"/>
              <w:right w:val="single" w:sz="4" w:space="0" w:color="000000"/>
            </w:tcBorders>
            <w:hideMark/>
          </w:tcPr>
          <w:p w14:paraId="22639CF4" w14:textId="77777777" w:rsidR="00037883" w:rsidRPr="00A11ABC" w:rsidRDefault="00037883">
            <w:pPr>
              <w:spacing w:line="234" w:lineRule="exact"/>
              <w:ind w:left="125"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6,1 %)</w:t>
            </w:r>
          </w:p>
        </w:tc>
      </w:tr>
      <w:tr w:rsidR="00037883" w:rsidRPr="00A11ABC" w14:paraId="61E7AC38" w14:textId="77777777" w:rsidTr="00037883">
        <w:trPr>
          <w:trHeight w:val="251"/>
        </w:trPr>
        <w:tc>
          <w:tcPr>
            <w:tcW w:w="1408" w:type="dxa"/>
            <w:tcBorders>
              <w:top w:val="single" w:sz="4" w:space="0" w:color="000000"/>
              <w:left w:val="single" w:sz="4" w:space="0" w:color="000000"/>
              <w:bottom w:val="nil"/>
              <w:right w:val="single" w:sz="4" w:space="0" w:color="000000"/>
            </w:tcBorders>
            <w:hideMark/>
          </w:tcPr>
          <w:p w14:paraId="3C9587DF" w14:textId="77777777" w:rsidR="00037883" w:rsidRPr="00A11ABC" w:rsidRDefault="00037883">
            <w:pPr>
              <w:spacing w:line="232" w:lineRule="exact"/>
              <w:ind w:left="118"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Ikke-alvorlig</w:t>
            </w:r>
          </w:p>
        </w:tc>
        <w:tc>
          <w:tcPr>
            <w:tcW w:w="1127" w:type="dxa"/>
            <w:tcBorders>
              <w:top w:val="single" w:sz="4" w:space="0" w:color="000000"/>
              <w:left w:val="single" w:sz="4" w:space="0" w:color="000000"/>
              <w:bottom w:val="nil"/>
              <w:right w:val="single" w:sz="4" w:space="0" w:color="000000"/>
            </w:tcBorders>
            <w:hideMark/>
          </w:tcPr>
          <w:p w14:paraId="4F8A3B8B" w14:textId="77777777" w:rsidR="00037883" w:rsidRPr="00A11ABC" w:rsidRDefault="00037883">
            <w:pPr>
              <w:spacing w:line="232" w:lineRule="exact"/>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87</w:t>
            </w:r>
          </w:p>
        </w:tc>
        <w:tc>
          <w:tcPr>
            <w:tcW w:w="1133" w:type="dxa"/>
            <w:tcBorders>
              <w:top w:val="single" w:sz="4" w:space="0" w:color="000000"/>
              <w:left w:val="single" w:sz="4" w:space="0" w:color="000000"/>
              <w:bottom w:val="nil"/>
              <w:right w:val="single" w:sz="4" w:space="0" w:color="000000"/>
            </w:tcBorders>
            <w:hideMark/>
          </w:tcPr>
          <w:p w14:paraId="051B32EB" w14:textId="77777777" w:rsidR="00037883" w:rsidRPr="00A11ABC" w:rsidRDefault="00037883">
            <w:pPr>
              <w:spacing w:line="232" w:lineRule="exact"/>
              <w:ind w:left="191" w:right="187"/>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26</w:t>
            </w:r>
          </w:p>
        </w:tc>
        <w:tc>
          <w:tcPr>
            <w:tcW w:w="1136" w:type="dxa"/>
            <w:tcBorders>
              <w:top w:val="single" w:sz="4" w:space="0" w:color="000000"/>
              <w:left w:val="single" w:sz="4" w:space="0" w:color="000000"/>
              <w:bottom w:val="nil"/>
              <w:right w:val="single" w:sz="4" w:space="0" w:color="000000"/>
            </w:tcBorders>
            <w:hideMark/>
          </w:tcPr>
          <w:p w14:paraId="7F7D18AA" w14:textId="77777777" w:rsidR="00037883" w:rsidRPr="00A11ABC" w:rsidRDefault="00037883">
            <w:pPr>
              <w:spacing w:line="232"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33</w:t>
            </w:r>
          </w:p>
        </w:tc>
        <w:tc>
          <w:tcPr>
            <w:tcW w:w="1102" w:type="dxa"/>
            <w:tcBorders>
              <w:top w:val="single" w:sz="4" w:space="0" w:color="000000"/>
              <w:left w:val="single" w:sz="4" w:space="0" w:color="000000"/>
              <w:bottom w:val="nil"/>
              <w:right w:val="single" w:sz="4" w:space="0" w:color="000000"/>
            </w:tcBorders>
            <w:hideMark/>
          </w:tcPr>
          <w:p w14:paraId="7D2833E8" w14:textId="77777777" w:rsidR="00037883" w:rsidRPr="00A11ABC" w:rsidRDefault="00037883">
            <w:pPr>
              <w:spacing w:line="232" w:lineRule="exact"/>
              <w:ind w:left="174"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23</w:t>
            </w:r>
          </w:p>
        </w:tc>
        <w:tc>
          <w:tcPr>
            <w:tcW w:w="1148" w:type="dxa"/>
            <w:tcBorders>
              <w:top w:val="single" w:sz="4" w:space="0" w:color="000000"/>
              <w:left w:val="single" w:sz="4" w:space="0" w:color="000000"/>
              <w:bottom w:val="nil"/>
              <w:right w:val="single" w:sz="4" w:space="0" w:color="000000"/>
            </w:tcBorders>
            <w:hideMark/>
          </w:tcPr>
          <w:p w14:paraId="0A5C38C1" w14:textId="77777777" w:rsidR="00037883" w:rsidRPr="00A11ABC" w:rsidRDefault="00037883">
            <w:pPr>
              <w:spacing w:line="232" w:lineRule="exact"/>
              <w:ind w:left="1"/>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1</w:t>
            </w:r>
          </w:p>
        </w:tc>
        <w:tc>
          <w:tcPr>
            <w:tcW w:w="1153" w:type="dxa"/>
            <w:tcBorders>
              <w:top w:val="single" w:sz="4" w:space="0" w:color="000000"/>
              <w:left w:val="single" w:sz="4" w:space="0" w:color="000000"/>
              <w:bottom w:val="nil"/>
              <w:right w:val="single" w:sz="4" w:space="0" w:color="000000"/>
            </w:tcBorders>
            <w:hideMark/>
          </w:tcPr>
          <w:p w14:paraId="0EFA0621" w14:textId="77777777" w:rsidR="00037883" w:rsidRPr="00A11ABC" w:rsidRDefault="00037883">
            <w:pPr>
              <w:spacing w:line="232" w:lineRule="exact"/>
              <w:ind w:left="6"/>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4</w:t>
            </w:r>
          </w:p>
        </w:tc>
        <w:tc>
          <w:tcPr>
            <w:tcW w:w="1277" w:type="dxa"/>
            <w:tcBorders>
              <w:top w:val="single" w:sz="4" w:space="0" w:color="000000"/>
              <w:left w:val="single" w:sz="4" w:space="0" w:color="000000"/>
              <w:bottom w:val="nil"/>
              <w:right w:val="single" w:sz="4" w:space="0" w:color="000000"/>
            </w:tcBorders>
            <w:hideMark/>
          </w:tcPr>
          <w:p w14:paraId="28C9D471" w14:textId="77777777" w:rsidR="00037883" w:rsidRPr="00A11ABC" w:rsidRDefault="00037883">
            <w:pPr>
              <w:spacing w:line="232" w:lineRule="exact"/>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24</w:t>
            </w:r>
          </w:p>
        </w:tc>
      </w:tr>
      <w:tr w:rsidR="00037883" w:rsidRPr="00A11ABC" w14:paraId="4F012121" w14:textId="77777777" w:rsidTr="00037883">
        <w:trPr>
          <w:trHeight w:val="253"/>
        </w:trPr>
        <w:tc>
          <w:tcPr>
            <w:tcW w:w="1408" w:type="dxa"/>
            <w:tcBorders>
              <w:top w:val="nil"/>
              <w:left w:val="single" w:sz="4" w:space="0" w:color="000000"/>
              <w:bottom w:val="nil"/>
              <w:right w:val="single" w:sz="4" w:space="0" w:color="000000"/>
            </w:tcBorders>
            <w:hideMark/>
          </w:tcPr>
          <w:p w14:paraId="0FC6D0E4" w14:textId="77777777" w:rsidR="00037883" w:rsidRPr="00A11ABC" w:rsidRDefault="00037883">
            <w:pPr>
              <w:spacing w:line="233" w:lineRule="exact"/>
              <w:ind w:left="115" w:right="110"/>
              <w:rPr>
                <w:rFonts w:ascii="Times New Roman" w:eastAsia="Calibri" w:hAnsi="Times New Roman" w:cs="Times New Roman"/>
                <w:sz w:val="22"/>
                <w:lang w:val="da-DK"/>
              </w:rPr>
            </w:pPr>
            <w:r w:rsidRPr="00A11ABC">
              <w:rPr>
                <w:rFonts w:ascii="Times New Roman" w:eastAsia="Calibri" w:hAnsi="Times New Roman" w:cs="Times New Roman"/>
                <w:sz w:val="22"/>
                <w:lang w:val="da-DK"/>
              </w:rPr>
              <w:t>blødninger af klinisk</w:t>
            </w:r>
          </w:p>
        </w:tc>
        <w:tc>
          <w:tcPr>
            <w:tcW w:w="1127" w:type="dxa"/>
            <w:tcBorders>
              <w:top w:val="nil"/>
              <w:left w:val="single" w:sz="4" w:space="0" w:color="000000"/>
              <w:bottom w:val="nil"/>
              <w:right w:val="single" w:sz="4" w:space="0" w:color="000000"/>
            </w:tcBorders>
            <w:hideMark/>
          </w:tcPr>
          <w:p w14:paraId="5948678F"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(6,1 %)</w:t>
            </w:r>
          </w:p>
        </w:tc>
        <w:tc>
          <w:tcPr>
            <w:tcW w:w="1133" w:type="dxa"/>
            <w:tcBorders>
              <w:top w:val="nil"/>
              <w:left w:val="single" w:sz="4" w:space="0" w:color="000000"/>
              <w:bottom w:val="nil"/>
              <w:right w:val="single" w:sz="4" w:space="0" w:color="000000"/>
            </w:tcBorders>
            <w:hideMark/>
          </w:tcPr>
          <w:p w14:paraId="49B9C3A6" w14:textId="77777777" w:rsidR="00037883" w:rsidRPr="00A11ABC" w:rsidRDefault="00037883">
            <w:pPr>
              <w:spacing w:line="233" w:lineRule="exact"/>
              <w:ind w:left="188"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(5,9 %)</w:t>
            </w:r>
          </w:p>
        </w:tc>
        <w:tc>
          <w:tcPr>
            <w:tcW w:w="1136" w:type="dxa"/>
            <w:tcBorders>
              <w:top w:val="nil"/>
              <w:left w:val="single" w:sz="4" w:space="0" w:color="000000"/>
              <w:bottom w:val="nil"/>
              <w:right w:val="single" w:sz="4" w:space="0" w:color="000000"/>
            </w:tcBorders>
            <w:hideMark/>
          </w:tcPr>
          <w:p w14:paraId="769383F4"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(6,2 %)</w:t>
            </w:r>
          </w:p>
        </w:tc>
        <w:tc>
          <w:tcPr>
            <w:tcW w:w="1102" w:type="dxa"/>
            <w:tcBorders>
              <w:top w:val="nil"/>
              <w:left w:val="single" w:sz="4" w:space="0" w:color="000000"/>
              <w:bottom w:val="nil"/>
              <w:right w:val="single" w:sz="4" w:space="0" w:color="000000"/>
            </w:tcBorders>
            <w:hideMark/>
          </w:tcPr>
          <w:p w14:paraId="143A20E1" w14:textId="77777777" w:rsidR="00037883" w:rsidRPr="00A11ABC" w:rsidRDefault="00037883">
            <w:pPr>
              <w:spacing w:line="233" w:lineRule="exact"/>
              <w:ind w:left="175"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(5,7 %)</w:t>
            </w:r>
          </w:p>
        </w:tc>
        <w:tc>
          <w:tcPr>
            <w:tcW w:w="1148" w:type="dxa"/>
            <w:tcBorders>
              <w:top w:val="nil"/>
              <w:left w:val="single" w:sz="4" w:space="0" w:color="000000"/>
              <w:bottom w:val="nil"/>
              <w:right w:val="single" w:sz="4" w:space="0" w:color="000000"/>
            </w:tcBorders>
            <w:hideMark/>
          </w:tcPr>
          <w:p w14:paraId="150C0752" w14:textId="77777777" w:rsidR="00037883" w:rsidRPr="00A11ABC" w:rsidRDefault="00037883">
            <w:pPr>
              <w:spacing w:line="233" w:lineRule="exact"/>
              <w:ind w:left="102"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(7,1 %)</w:t>
            </w:r>
          </w:p>
        </w:tc>
        <w:tc>
          <w:tcPr>
            <w:tcW w:w="1153" w:type="dxa"/>
            <w:tcBorders>
              <w:top w:val="nil"/>
              <w:left w:val="single" w:sz="4" w:space="0" w:color="000000"/>
              <w:bottom w:val="nil"/>
              <w:right w:val="single" w:sz="4" w:space="0" w:color="000000"/>
            </w:tcBorders>
            <w:hideMark/>
          </w:tcPr>
          <w:p w14:paraId="09819562"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(10,3 %)</w:t>
            </w:r>
          </w:p>
        </w:tc>
        <w:tc>
          <w:tcPr>
            <w:tcW w:w="1277" w:type="dxa"/>
            <w:tcBorders>
              <w:top w:val="nil"/>
              <w:left w:val="single" w:sz="4" w:space="0" w:color="000000"/>
              <w:bottom w:val="nil"/>
              <w:right w:val="single" w:sz="4" w:space="0" w:color="000000"/>
            </w:tcBorders>
            <w:hideMark/>
          </w:tcPr>
          <w:p w14:paraId="4B4C73BE" w14:textId="77777777" w:rsidR="00037883" w:rsidRPr="00A11ABC" w:rsidRDefault="00037883">
            <w:pPr>
              <w:spacing w:line="233" w:lineRule="exact"/>
              <w:ind w:left="123"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(5,6 %)</w:t>
            </w:r>
          </w:p>
        </w:tc>
      </w:tr>
      <w:tr w:rsidR="00037883" w:rsidRPr="00A11ABC" w14:paraId="3000784A" w14:textId="77777777" w:rsidTr="00037883">
        <w:trPr>
          <w:trHeight w:val="252"/>
        </w:trPr>
        <w:tc>
          <w:tcPr>
            <w:tcW w:w="1408" w:type="dxa"/>
            <w:tcBorders>
              <w:top w:val="nil"/>
              <w:left w:val="single" w:sz="4" w:space="0" w:color="000000"/>
              <w:bottom w:val="nil"/>
              <w:right w:val="single" w:sz="4" w:space="0" w:color="000000"/>
            </w:tcBorders>
            <w:hideMark/>
          </w:tcPr>
          <w:p w14:paraId="7960D869" w14:textId="77777777" w:rsidR="00037883" w:rsidRPr="00A11ABC" w:rsidRDefault="00037883">
            <w:pPr>
              <w:spacing w:line="232" w:lineRule="exact"/>
              <w:ind w:left="117" w:right="110"/>
              <w:rPr>
                <w:rFonts w:ascii="Times New Roman" w:eastAsia="Calibri" w:hAnsi="Times New Roman" w:cs="Times New Roman"/>
                <w:sz w:val="22"/>
                <w:lang w:val="da-DK"/>
              </w:rPr>
            </w:pPr>
            <w:r w:rsidRPr="00A11ABC">
              <w:rPr>
                <w:rFonts w:ascii="Times New Roman" w:eastAsia="Calibri" w:hAnsi="Times New Roman" w:cs="Times New Roman"/>
                <w:sz w:val="22"/>
                <w:lang w:val="da-DK"/>
              </w:rPr>
              <w:t>betydning</w:t>
            </w:r>
          </w:p>
        </w:tc>
        <w:tc>
          <w:tcPr>
            <w:tcW w:w="1127" w:type="dxa"/>
            <w:tcBorders>
              <w:top w:val="nil"/>
              <w:left w:val="single" w:sz="4" w:space="0" w:color="000000"/>
              <w:bottom w:val="nil"/>
              <w:right w:val="single" w:sz="4" w:space="0" w:color="000000"/>
            </w:tcBorders>
            <w:hideMark/>
          </w:tcPr>
          <w:p w14:paraId="135B23CA" w14:textId="77777777" w:rsidR="00037883" w:rsidRPr="00A11ABC" w:rsidRDefault="00037883">
            <w:pPr>
              <w:spacing w:line="232" w:lineRule="exact"/>
              <w:ind w:left="190" w:right="18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(4,8 %-</w:t>
            </w:r>
          </w:p>
        </w:tc>
        <w:tc>
          <w:tcPr>
            <w:tcW w:w="1133" w:type="dxa"/>
            <w:tcBorders>
              <w:top w:val="nil"/>
              <w:left w:val="single" w:sz="4" w:space="0" w:color="000000"/>
              <w:bottom w:val="nil"/>
              <w:right w:val="single" w:sz="4" w:space="0" w:color="000000"/>
            </w:tcBorders>
            <w:hideMark/>
          </w:tcPr>
          <w:p w14:paraId="2A78C8BD" w14:textId="77777777" w:rsidR="00037883" w:rsidRPr="00A11ABC" w:rsidRDefault="00037883">
            <w:pPr>
              <w:spacing w:line="232" w:lineRule="exact"/>
              <w:ind w:left="191" w:right="186"/>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(3,7 %-</w:t>
            </w:r>
          </w:p>
        </w:tc>
        <w:tc>
          <w:tcPr>
            <w:tcW w:w="1136" w:type="dxa"/>
            <w:tcBorders>
              <w:top w:val="nil"/>
              <w:left w:val="single" w:sz="4" w:space="0" w:color="000000"/>
              <w:bottom w:val="nil"/>
              <w:right w:val="single" w:sz="4" w:space="0" w:color="000000"/>
            </w:tcBorders>
            <w:hideMark/>
          </w:tcPr>
          <w:p w14:paraId="76B9B1A8" w14:textId="77777777" w:rsidR="00037883" w:rsidRPr="00A11ABC" w:rsidRDefault="00037883">
            <w:pPr>
              <w:spacing w:line="232" w:lineRule="exact"/>
              <w:ind w:left="190" w:right="18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(4,2 %-</w:t>
            </w:r>
          </w:p>
        </w:tc>
        <w:tc>
          <w:tcPr>
            <w:tcW w:w="1102" w:type="dxa"/>
            <w:tcBorders>
              <w:top w:val="nil"/>
              <w:left w:val="single" w:sz="4" w:space="0" w:color="000000"/>
              <w:bottom w:val="nil"/>
              <w:right w:val="single" w:sz="4" w:space="0" w:color="000000"/>
            </w:tcBorders>
            <w:hideMark/>
          </w:tcPr>
          <w:p w14:paraId="4CE1604F" w14:textId="77777777" w:rsidR="00037883" w:rsidRPr="00A11ABC" w:rsidRDefault="00037883">
            <w:pPr>
              <w:spacing w:line="232" w:lineRule="exact"/>
              <w:ind w:left="176"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(3,4 %-</w:t>
            </w:r>
          </w:p>
        </w:tc>
        <w:tc>
          <w:tcPr>
            <w:tcW w:w="1148" w:type="dxa"/>
            <w:tcBorders>
              <w:top w:val="nil"/>
              <w:left w:val="single" w:sz="4" w:space="0" w:color="000000"/>
              <w:bottom w:val="nil"/>
              <w:right w:val="single" w:sz="4" w:space="0" w:color="000000"/>
            </w:tcBorders>
            <w:hideMark/>
          </w:tcPr>
          <w:p w14:paraId="7D388E49" w14:textId="77777777" w:rsidR="00037883" w:rsidRPr="00A11ABC" w:rsidRDefault="00037883">
            <w:pPr>
              <w:spacing w:line="232" w:lineRule="exact"/>
              <w:ind w:left="106" w:right="98"/>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(0 %-</w:t>
            </w:r>
          </w:p>
        </w:tc>
        <w:tc>
          <w:tcPr>
            <w:tcW w:w="1153" w:type="dxa"/>
            <w:tcBorders>
              <w:top w:val="nil"/>
              <w:left w:val="single" w:sz="4" w:space="0" w:color="000000"/>
              <w:bottom w:val="nil"/>
              <w:right w:val="single" w:sz="4" w:space="0" w:color="000000"/>
            </w:tcBorders>
            <w:hideMark/>
          </w:tcPr>
          <w:p w14:paraId="7DB793AE" w14:textId="77777777" w:rsidR="00037883" w:rsidRPr="00A11ABC" w:rsidRDefault="00037883">
            <w:pPr>
              <w:spacing w:line="232"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(0,3 %-</w:t>
            </w:r>
          </w:p>
        </w:tc>
        <w:tc>
          <w:tcPr>
            <w:tcW w:w="1277" w:type="dxa"/>
            <w:tcBorders>
              <w:top w:val="nil"/>
              <w:left w:val="single" w:sz="4" w:space="0" w:color="000000"/>
              <w:bottom w:val="nil"/>
              <w:right w:val="single" w:sz="4" w:space="0" w:color="000000"/>
            </w:tcBorders>
            <w:hideMark/>
          </w:tcPr>
          <w:p w14:paraId="06A98282" w14:textId="77777777" w:rsidR="00037883" w:rsidRPr="00A11ABC" w:rsidRDefault="00037883">
            <w:pPr>
              <w:spacing w:line="232" w:lineRule="exact"/>
              <w:ind w:left="127" w:right="12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(3,4 %-</w:t>
            </w:r>
          </w:p>
        </w:tc>
      </w:tr>
      <w:tr w:rsidR="00037883" w:rsidRPr="00A11ABC" w14:paraId="0E52A5B4" w14:textId="77777777" w:rsidTr="00037883">
        <w:trPr>
          <w:trHeight w:val="255"/>
        </w:trPr>
        <w:tc>
          <w:tcPr>
            <w:tcW w:w="1408" w:type="dxa"/>
            <w:tcBorders>
              <w:top w:val="nil"/>
              <w:left w:val="single" w:sz="4" w:space="0" w:color="000000"/>
              <w:bottom w:val="single" w:sz="4" w:space="0" w:color="000000"/>
              <w:right w:val="single" w:sz="4" w:space="0" w:color="000000"/>
            </w:tcBorders>
          </w:tcPr>
          <w:p w14:paraId="1D13782A" w14:textId="77777777" w:rsidR="00037883" w:rsidRPr="00A11ABC" w:rsidRDefault="00037883">
            <w:pPr>
              <w:spacing w:line="235" w:lineRule="exact"/>
              <w:ind w:left="120" w:right="110"/>
              <w:jc w:val="center"/>
              <w:rPr>
                <w:rFonts w:ascii="Times New Roman" w:eastAsia="Calibri" w:hAnsi="Times New Roman" w:cs="Times New Roman"/>
                <w:sz w:val="22"/>
                <w:lang w:val="da-DK"/>
              </w:rPr>
            </w:pPr>
          </w:p>
        </w:tc>
        <w:tc>
          <w:tcPr>
            <w:tcW w:w="1127" w:type="dxa"/>
            <w:tcBorders>
              <w:top w:val="nil"/>
              <w:left w:val="single" w:sz="4" w:space="0" w:color="000000"/>
              <w:bottom w:val="single" w:sz="4" w:space="0" w:color="000000"/>
              <w:right w:val="single" w:sz="4" w:space="0" w:color="000000"/>
            </w:tcBorders>
            <w:hideMark/>
          </w:tcPr>
          <w:p w14:paraId="0EF5AF77" w14:textId="77777777" w:rsidR="00037883" w:rsidRPr="00A11ABC" w:rsidRDefault="00037883">
            <w:pPr>
              <w:spacing w:line="235"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7,3 %)</w:t>
            </w:r>
          </w:p>
        </w:tc>
        <w:tc>
          <w:tcPr>
            <w:tcW w:w="1133" w:type="dxa"/>
            <w:tcBorders>
              <w:top w:val="nil"/>
              <w:left w:val="single" w:sz="4" w:space="0" w:color="000000"/>
              <w:bottom w:val="single" w:sz="4" w:space="0" w:color="000000"/>
              <w:right w:val="single" w:sz="4" w:space="0" w:color="000000"/>
            </w:tcBorders>
            <w:hideMark/>
          </w:tcPr>
          <w:p w14:paraId="0259114C" w14:textId="77777777" w:rsidR="00037883" w:rsidRPr="00A11ABC" w:rsidRDefault="00037883">
            <w:pPr>
              <w:spacing w:line="235" w:lineRule="exact"/>
              <w:ind w:left="191"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8,0 %)</w:t>
            </w:r>
          </w:p>
        </w:tc>
        <w:tc>
          <w:tcPr>
            <w:tcW w:w="1136" w:type="dxa"/>
            <w:tcBorders>
              <w:top w:val="nil"/>
              <w:left w:val="single" w:sz="4" w:space="0" w:color="000000"/>
              <w:bottom w:val="single" w:sz="4" w:space="0" w:color="000000"/>
              <w:right w:val="single" w:sz="4" w:space="0" w:color="000000"/>
            </w:tcBorders>
            <w:hideMark/>
          </w:tcPr>
          <w:p w14:paraId="2DF93267" w14:textId="77777777" w:rsidR="00037883" w:rsidRPr="00A11ABC" w:rsidRDefault="00037883">
            <w:pPr>
              <w:spacing w:line="235" w:lineRule="exact"/>
              <w:ind w:left="188"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8,3 %)</w:t>
            </w:r>
          </w:p>
        </w:tc>
        <w:tc>
          <w:tcPr>
            <w:tcW w:w="1102" w:type="dxa"/>
            <w:tcBorders>
              <w:top w:val="nil"/>
              <w:left w:val="single" w:sz="4" w:space="0" w:color="000000"/>
              <w:bottom w:val="single" w:sz="4" w:space="0" w:color="000000"/>
              <w:right w:val="single" w:sz="4" w:space="0" w:color="000000"/>
            </w:tcBorders>
            <w:hideMark/>
          </w:tcPr>
          <w:p w14:paraId="4C0F7030" w14:textId="77777777" w:rsidR="00037883" w:rsidRPr="00A11ABC" w:rsidRDefault="00037883">
            <w:pPr>
              <w:spacing w:line="235" w:lineRule="exact"/>
              <w:ind w:left="176" w:right="17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7,9 %)</w:t>
            </w:r>
          </w:p>
        </w:tc>
        <w:tc>
          <w:tcPr>
            <w:tcW w:w="1148" w:type="dxa"/>
            <w:tcBorders>
              <w:top w:val="nil"/>
              <w:left w:val="single" w:sz="4" w:space="0" w:color="000000"/>
              <w:bottom w:val="single" w:sz="4" w:space="0" w:color="000000"/>
              <w:right w:val="single" w:sz="4" w:space="0" w:color="000000"/>
            </w:tcBorders>
            <w:hideMark/>
          </w:tcPr>
          <w:p w14:paraId="074FB8F5" w14:textId="77777777" w:rsidR="00037883" w:rsidRPr="00A11ABC" w:rsidRDefault="00037883">
            <w:pPr>
              <w:spacing w:line="235" w:lineRule="exact"/>
              <w:ind w:left="105"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22,6 %)</w:t>
            </w:r>
          </w:p>
        </w:tc>
        <w:tc>
          <w:tcPr>
            <w:tcW w:w="1153" w:type="dxa"/>
            <w:tcBorders>
              <w:top w:val="nil"/>
              <w:left w:val="single" w:sz="4" w:space="0" w:color="000000"/>
              <w:bottom w:val="single" w:sz="4" w:space="0" w:color="000000"/>
              <w:right w:val="single" w:sz="4" w:space="0" w:color="000000"/>
            </w:tcBorders>
            <w:hideMark/>
          </w:tcPr>
          <w:p w14:paraId="1877487A" w14:textId="77777777" w:rsidR="00037883" w:rsidRPr="00A11ABC" w:rsidRDefault="00037883">
            <w:pPr>
              <w:spacing w:line="235" w:lineRule="exact"/>
              <w:ind w:left="108"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20,2 %)</w:t>
            </w:r>
          </w:p>
        </w:tc>
        <w:tc>
          <w:tcPr>
            <w:tcW w:w="1277" w:type="dxa"/>
            <w:tcBorders>
              <w:top w:val="nil"/>
              <w:left w:val="single" w:sz="4" w:space="0" w:color="000000"/>
              <w:bottom w:val="single" w:sz="4" w:space="0" w:color="000000"/>
              <w:right w:val="single" w:sz="4" w:space="0" w:color="000000"/>
            </w:tcBorders>
            <w:hideMark/>
          </w:tcPr>
          <w:p w14:paraId="33243003" w14:textId="77777777" w:rsidR="00037883" w:rsidRPr="00A11ABC" w:rsidRDefault="00037883">
            <w:pPr>
              <w:spacing w:line="235" w:lineRule="exact"/>
              <w:ind w:left="125"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7,8 %)</w:t>
            </w:r>
          </w:p>
        </w:tc>
      </w:tr>
      <w:tr w:rsidR="00037883" w:rsidRPr="00A11ABC" w14:paraId="2F424983" w14:textId="77777777" w:rsidTr="00037883">
        <w:trPr>
          <w:trHeight w:val="250"/>
        </w:trPr>
        <w:tc>
          <w:tcPr>
            <w:tcW w:w="1408" w:type="dxa"/>
            <w:tcBorders>
              <w:top w:val="single" w:sz="4" w:space="0" w:color="000000"/>
              <w:left w:val="single" w:sz="4" w:space="0" w:color="000000"/>
              <w:bottom w:val="nil"/>
              <w:right w:val="single" w:sz="4" w:space="0" w:color="000000"/>
            </w:tcBorders>
          </w:tcPr>
          <w:p w14:paraId="13ABB03A" w14:textId="77777777" w:rsidR="00037883" w:rsidRPr="00A11ABC" w:rsidRDefault="00037883">
            <w:pPr>
              <w:rPr>
                <w:rFonts w:ascii="Times New Roman" w:eastAsia="Calibri" w:hAnsi="Times New Roman" w:cs="Times New Roman"/>
                <w:sz w:val="22"/>
                <w:lang w:val="da-DK"/>
              </w:rPr>
            </w:pPr>
          </w:p>
        </w:tc>
        <w:tc>
          <w:tcPr>
            <w:tcW w:w="1127" w:type="dxa"/>
            <w:tcBorders>
              <w:top w:val="single" w:sz="4" w:space="0" w:color="000000"/>
              <w:left w:val="single" w:sz="4" w:space="0" w:color="000000"/>
              <w:bottom w:val="nil"/>
              <w:right w:val="single" w:sz="4" w:space="0" w:color="000000"/>
            </w:tcBorders>
            <w:hideMark/>
          </w:tcPr>
          <w:p w14:paraId="3C945FA3" w14:textId="77777777" w:rsidR="00037883" w:rsidRPr="00A11ABC" w:rsidRDefault="00037883">
            <w:pPr>
              <w:spacing w:line="231" w:lineRule="exact"/>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666</w:t>
            </w:r>
          </w:p>
        </w:tc>
        <w:tc>
          <w:tcPr>
            <w:tcW w:w="1133" w:type="dxa"/>
            <w:tcBorders>
              <w:top w:val="single" w:sz="4" w:space="0" w:color="000000"/>
              <w:left w:val="single" w:sz="4" w:space="0" w:color="000000"/>
              <w:bottom w:val="nil"/>
              <w:right w:val="single" w:sz="4" w:space="0" w:color="000000"/>
            </w:tcBorders>
            <w:hideMark/>
          </w:tcPr>
          <w:p w14:paraId="2325BD65" w14:textId="77777777" w:rsidR="00037883" w:rsidRPr="00A11ABC" w:rsidRDefault="00037883">
            <w:pPr>
              <w:spacing w:line="231" w:lineRule="exact"/>
              <w:ind w:left="191" w:right="187"/>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175</w:t>
            </w:r>
          </w:p>
        </w:tc>
        <w:tc>
          <w:tcPr>
            <w:tcW w:w="1136" w:type="dxa"/>
            <w:tcBorders>
              <w:top w:val="single" w:sz="4" w:space="0" w:color="000000"/>
              <w:left w:val="single" w:sz="4" w:space="0" w:color="000000"/>
              <w:bottom w:val="nil"/>
              <w:right w:val="single" w:sz="4" w:space="0" w:color="000000"/>
            </w:tcBorders>
            <w:hideMark/>
          </w:tcPr>
          <w:p w14:paraId="79DF829C" w14:textId="77777777" w:rsidR="00037883" w:rsidRPr="00A11ABC" w:rsidRDefault="00037883">
            <w:pPr>
              <w:spacing w:line="231"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323</w:t>
            </w:r>
          </w:p>
        </w:tc>
        <w:tc>
          <w:tcPr>
            <w:tcW w:w="1102" w:type="dxa"/>
            <w:tcBorders>
              <w:top w:val="single" w:sz="4" w:space="0" w:color="000000"/>
              <w:left w:val="single" w:sz="4" w:space="0" w:color="000000"/>
              <w:bottom w:val="nil"/>
              <w:right w:val="single" w:sz="4" w:space="0" w:color="000000"/>
            </w:tcBorders>
            <w:hideMark/>
          </w:tcPr>
          <w:p w14:paraId="0EA2A059" w14:textId="77777777" w:rsidR="00037883" w:rsidRPr="00A11ABC" w:rsidRDefault="00037883">
            <w:pPr>
              <w:spacing w:line="231" w:lineRule="exact"/>
              <w:ind w:left="174"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146</w:t>
            </w:r>
          </w:p>
        </w:tc>
        <w:tc>
          <w:tcPr>
            <w:tcW w:w="1148" w:type="dxa"/>
            <w:tcBorders>
              <w:top w:val="single" w:sz="4" w:space="0" w:color="000000"/>
              <w:left w:val="single" w:sz="4" w:space="0" w:color="000000"/>
              <w:bottom w:val="nil"/>
              <w:right w:val="single" w:sz="4" w:space="0" w:color="000000"/>
            </w:tcBorders>
            <w:hideMark/>
          </w:tcPr>
          <w:p w14:paraId="0FEE2B9C" w14:textId="77777777" w:rsidR="00037883" w:rsidRPr="00A11ABC" w:rsidRDefault="00037883">
            <w:pPr>
              <w:spacing w:line="231" w:lineRule="exact"/>
              <w:ind w:left="1"/>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6</w:t>
            </w:r>
          </w:p>
        </w:tc>
        <w:tc>
          <w:tcPr>
            <w:tcW w:w="1153" w:type="dxa"/>
            <w:tcBorders>
              <w:top w:val="single" w:sz="4" w:space="0" w:color="000000"/>
              <w:left w:val="single" w:sz="4" w:space="0" w:color="000000"/>
              <w:bottom w:val="nil"/>
              <w:right w:val="single" w:sz="4" w:space="0" w:color="000000"/>
            </w:tcBorders>
            <w:hideMark/>
          </w:tcPr>
          <w:p w14:paraId="3F0BB8C5" w14:textId="77777777" w:rsidR="00037883" w:rsidRPr="00A11ABC" w:rsidRDefault="00037883">
            <w:pPr>
              <w:spacing w:line="231" w:lineRule="exact"/>
              <w:ind w:left="108" w:right="10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16</w:t>
            </w:r>
          </w:p>
        </w:tc>
        <w:tc>
          <w:tcPr>
            <w:tcW w:w="1277" w:type="dxa"/>
            <w:tcBorders>
              <w:top w:val="single" w:sz="4" w:space="0" w:color="000000"/>
              <w:left w:val="single" w:sz="4" w:space="0" w:color="000000"/>
              <w:bottom w:val="nil"/>
              <w:right w:val="single" w:sz="4" w:space="0" w:color="000000"/>
            </w:tcBorders>
            <w:hideMark/>
          </w:tcPr>
          <w:p w14:paraId="3FBC20C7" w14:textId="77777777" w:rsidR="00037883" w:rsidRPr="00A11ABC" w:rsidRDefault="00037883">
            <w:pPr>
              <w:spacing w:line="231" w:lineRule="exact"/>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157</w:t>
            </w:r>
          </w:p>
        </w:tc>
      </w:tr>
      <w:tr w:rsidR="00037883" w:rsidRPr="00A11ABC" w14:paraId="289D9C96" w14:textId="77777777" w:rsidTr="00037883">
        <w:trPr>
          <w:trHeight w:val="253"/>
        </w:trPr>
        <w:tc>
          <w:tcPr>
            <w:tcW w:w="1408" w:type="dxa"/>
            <w:tcBorders>
              <w:top w:val="nil"/>
              <w:left w:val="single" w:sz="4" w:space="0" w:color="000000"/>
              <w:bottom w:val="nil"/>
              <w:right w:val="single" w:sz="4" w:space="0" w:color="000000"/>
            </w:tcBorders>
            <w:hideMark/>
          </w:tcPr>
          <w:p w14:paraId="1D0AEA8D" w14:textId="77777777" w:rsidR="00037883" w:rsidRPr="00A11ABC" w:rsidRDefault="00037883">
            <w:pPr>
              <w:spacing w:line="233" w:lineRule="exact"/>
              <w:ind w:left="116"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Død (alle årsager)</w:t>
            </w:r>
          </w:p>
        </w:tc>
        <w:tc>
          <w:tcPr>
            <w:tcW w:w="1127" w:type="dxa"/>
            <w:tcBorders>
              <w:top w:val="nil"/>
              <w:left w:val="single" w:sz="4" w:space="0" w:color="000000"/>
              <w:bottom w:val="nil"/>
              <w:right w:val="single" w:sz="4" w:space="0" w:color="000000"/>
            </w:tcBorders>
            <w:hideMark/>
          </w:tcPr>
          <w:p w14:paraId="46D4F365"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(46,5 %)</w:t>
            </w:r>
          </w:p>
        </w:tc>
        <w:tc>
          <w:tcPr>
            <w:tcW w:w="1133" w:type="dxa"/>
            <w:tcBorders>
              <w:top w:val="nil"/>
              <w:left w:val="single" w:sz="4" w:space="0" w:color="000000"/>
              <w:bottom w:val="nil"/>
              <w:right w:val="single" w:sz="4" w:space="0" w:color="000000"/>
            </w:tcBorders>
            <w:hideMark/>
          </w:tcPr>
          <w:p w14:paraId="728A512A" w14:textId="77777777" w:rsidR="00037883" w:rsidRPr="00A11ABC" w:rsidRDefault="00037883">
            <w:pPr>
              <w:spacing w:line="233" w:lineRule="exact"/>
              <w:ind w:left="188"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(39,4 %)</w:t>
            </w:r>
          </w:p>
        </w:tc>
        <w:tc>
          <w:tcPr>
            <w:tcW w:w="1136" w:type="dxa"/>
            <w:tcBorders>
              <w:top w:val="nil"/>
              <w:left w:val="single" w:sz="4" w:space="0" w:color="000000"/>
              <w:bottom w:val="nil"/>
              <w:right w:val="single" w:sz="4" w:space="0" w:color="000000"/>
            </w:tcBorders>
            <w:hideMark/>
          </w:tcPr>
          <w:p w14:paraId="3F58B28B" w14:textId="77777777" w:rsidR="00037883" w:rsidRPr="00A11ABC" w:rsidRDefault="00037883">
            <w:pPr>
              <w:spacing w:line="23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(61,1 %)</w:t>
            </w:r>
          </w:p>
        </w:tc>
        <w:tc>
          <w:tcPr>
            <w:tcW w:w="1102" w:type="dxa"/>
            <w:tcBorders>
              <w:top w:val="nil"/>
              <w:left w:val="single" w:sz="4" w:space="0" w:color="000000"/>
              <w:bottom w:val="nil"/>
              <w:right w:val="single" w:sz="4" w:space="0" w:color="000000"/>
            </w:tcBorders>
            <w:hideMark/>
          </w:tcPr>
          <w:p w14:paraId="48C642C1" w14:textId="77777777" w:rsidR="00037883" w:rsidRPr="00A11ABC" w:rsidRDefault="00037883">
            <w:pPr>
              <w:spacing w:line="233" w:lineRule="exact"/>
              <w:ind w:left="175"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(36,0 %)</w:t>
            </w:r>
          </w:p>
        </w:tc>
        <w:tc>
          <w:tcPr>
            <w:tcW w:w="1148" w:type="dxa"/>
            <w:tcBorders>
              <w:top w:val="nil"/>
              <w:left w:val="single" w:sz="4" w:space="0" w:color="000000"/>
              <w:bottom w:val="nil"/>
              <w:right w:val="single" w:sz="4" w:space="0" w:color="000000"/>
            </w:tcBorders>
            <w:hideMark/>
          </w:tcPr>
          <w:p w14:paraId="78FBD228" w14:textId="77777777" w:rsidR="00037883" w:rsidRPr="00A11ABC" w:rsidRDefault="00037883">
            <w:pPr>
              <w:spacing w:line="233" w:lineRule="exact"/>
              <w:ind w:left="102"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(42,9 %)</w:t>
            </w:r>
          </w:p>
        </w:tc>
        <w:tc>
          <w:tcPr>
            <w:tcW w:w="1153" w:type="dxa"/>
            <w:tcBorders>
              <w:top w:val="nil"/>
              <w:left w:val="single" w:sz="4" w:space="0" w:color="000000"/>
              <w:bottom w:val="nil"/>
              <w:right w:val="single" w:sz="4" w:space="0" w:color="000000"/>
            </w:tcBorders>
            <w:hideMark/>
          </w:tcPr>
          <w:p w14:paraId="6FBA45E2"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(41,0 %)</w:t>
            </w:r>
          </w:p>
        </w:tc>
        <w:tc>
          <w:tcPr>
            <w:tcW w:w="1277" w:type="dxa"/>
            <w:tcBorders>
              <w:top w:val="nil"/>
              <w:left w:val="single" w:sz="4" w:space="0" w:color="000000"/>
              <w:bottom w:val="nil"/>
              <w:right w:val="single" w:sz="4" w:space="0" w:color="000000"/>
            </w:tcBorders>
            <w:hideMark/>
          </w:tcPr>
          <w:p w14:paraId="5817EAF5" w14:textId="77777777" w:rsidR="00037883" w:rsidRPr="00A11ABC" w:rsidRDefault="00037883">
            <w:pPr>
              <w:spacing w:line="233" w:lineRule="exact"/>
              <w:ind w:left="123"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(36,7 %)</w:t>
            </w:r>
          </w:p>
        </w:tc>
      </w:tr>
      <w:tr w:rsidR="00037883" w:rsidRPr="00A11ABC" w14:paraId="51251E06" w14:textId="77777777" w:rsidTr="00037883">
        <w:trPr>
          <w:trHeight w:val="253"/>
        </w:trPr>
        <w:tc>
          <w:tcPr>
            <w:tcW w:w="1408" w:type="dxa"/>
            <w:tcBorders>
              <w:top w:val="nil"/>
              <w:left w:val="single" w:sz="4" w:space="0" w:color="000000"/>
              <w:bottom w:val="nil"/>
              <w:right w:val="single" w:sz="4" w:space="0" w:color="000000"/>
            </w:tcBorders>
          </w:tcPr>
          <w:p w14:paraId="418CE954" w14:textId="77777777" w:rsidR="00037883" w:rsidRPr="00A11ABC" w:rsidRDefault="00037883">
            <w:pPr>
              <w:spacing w:line="233" w:lineRule="exact"/>
              <w:ind w:left="121" w:right="110"/>
              <w:jc w:val="center"/>
              <w:rPr>
                <w:rFonts w:ascii="Times New Roman" w:eastAsia="Calibri" w:hAnsi="Times New Roman" w:cs="Times New Roman"/>
                <w:sz w:val="22"/>
                <w:lang w:val="da-DK"/>
              </w:rPr>
            </w:pPr>
          </w:p>
        </w:tc>
        <w:tc>
          <w:tcPr>
            <w:tcW w:w="1127" w:type="dxa"/>
            <w:tcBorders>
              <w:top w:val="nil"/>
              <w:left w:val="single" w:sz="4" w:space="0" w:color="000000"/>
              <w:bottom w:val="nil"/>
              <w:right w:val="single" w:sz="4" w:space="0" w:color="000000"/>
            </w:tcBorders>
            <w:hideMark/>
          </w:tcPr>
          <w:p w14:paraId="55E01641" w14:textId="77777777" w:rsidR="00037883" w:rsidRPr="00A11ABC" w:rsidRDefault="00037883">
            <w:pPr>
              <w:spacing w:line="233" w:lineRule="exact"/>
              <w:ind w:left="190" w:right="18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(43,9 %-</w:t>
            </w:r>
          </w:p>
        </w:tc>
        <w:tc>
          <w:tcPr>
            <w:tcW w:w="1133" w:type="dxa"/>
            <w:tcBorders>
              <w:top w:val="nil"/>
              <w:left w:val="single" w:sz="4" w:space="0" w:color="000000"/>
              <w:bottom w:val="nil"/>
              <w:right w:val="single" w:sz="4" w:space="0" w:color="000000"/>
            </w:tcBorders>
            <w:hideMark/>
          </w:tcPr>
          <w:p w14:paraId="10C2942F" w14:textId="77777777" w:rsidR="00037883" w:rsidRPr="00A11ABC" w:rsidRDefault="00037883">
            <w:pPr>
              <w:spacing w:line="233" w:lineRule="exact"/>
              <w:ind w:left="191" w:right="186"/>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(34,9 %-</w:t>
            </w:r>
          </w:p>
        </w:tc>
        <w:tc>
          <w:tcPr>
            <w:tcW w:w="1136" w:type="dxa"/>
            <w:tcBorders>
              <w:top w:val="nil"/>
              <w:left w:val="single" w:sz="4" w:space="0" w:color="000000"/>
              <w:bottom w:val="nil"/>
              <w:right w:val="single" w:sz="4" w:space="0" w:color="000000"/>
            </w:tcBorders>
            <w:hideMark/>
          </w:tcPr>
          <w:p w14:paraId="13BB7704" w14:textId="77777777" w:rsidR="00037883" w:rsidRPr="00A11ABC" w:rsidRDefault="00037883">
            <w:pPr>
              <w:spacing w:line="233" w:lineRule="exact"/>
              <w:ind w:left="190" w:right="18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(56,9 %-</w:t>
            </w:r>
          </w:p>
        </w:tc>
        <w:tc>
          <w:tcPr>
            <w:tcW w:w="1102" w:type="dxa"/>
            <w:tcBorders>
              <w:top w:val="nil"/>
              <w:left w:val="single" w:sz="4" w:space="0" w:color="000000"/>
              <w:bottom w:val="nil"/>
              <w:right w:val="single" w:sz="4" w:space="0" w:color="000000"/>
            </w:tcBorders>
            <w:hideMark/>
          </w:tcPr>
          <w:p w14:paraId="19D180D0" w14:textId="77777777" w:rsidR="00037883" w:rsidRPr="00A11ABC" w:rsidRDefault="00037883">
            <w:pPr>
              <w:spacing w:line="233" w:lineRule="exact"/>
              <w:ind w:left="176"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(31,3 %-</w:t>
            </w:r>
          </w:p>
        </w:tc>
        <w:tc>
          <w:tcPr>
            <w:tcW w:w="1148" w:type="dxa"/>
            <w:tcBorders>
              <w:top w:val="nil"/>
              <w:left w:val="single" w:sz="4" w:space="0" w:color="000000"/>
              <w:bottom w:val="nil"/>
              <w:right w:val="single" w:sz="4" w:space="0" w:color="000000"/>
            </w:tcBorders>
            <w:hideMark/>
          </w:tcPr>
          <w:p w14:paraId="1547736C" w14:textId="77777777" w:rsidR="00037883" w:rsidRPr="00A11ABC" w:rsidRDefault="00037883">
            <w:pPr>
              <w:spacing w:line="233" w:lineRule="exact"/>
              <w:ind w:left="103"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(13,2 %-</w:t>
            </w:r>
          </w:p>
        </w:tc>
        <w:tc>
          <w:tcPr>
            <w:tcW w:w="1153" w:type="dxa"/>
            <w:tcBorders>
              <w:top w:val="nil"/>
              <w:left w:val="single" w:sz="4" w:space="0" w:color="000000"/>
              <w:bottom w:val="nil"/>
              <w:right w:val="single" w:sz="4" w:space="0" w:color="000000"/>
            </w:tcBorders>
            <w:hideMark/>
          </w:tcPr>
          <w:p w14:paraId="7123B120" w14:textId="77777777" w:rsidR="00037883" w:rsidRPr="00A11ABC" w:rsidRDefault="00037883">
            <w:pPr>
              <w:spacing w:line="23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(24,9 %-</w:t>
            </w:r>
          </w:p>
        </w:tc>
        <w:tc>
          <w:tcPr>
            <w:tcW w:w="1277" w:type="dxa"/>
            <w:tcBorders>
              <w:top w:val="nil"/>
              <w:left w:val="single" w:sz="4" w:space="0" w:color="000000"/>
              <w:bottom w:val="nil"/>
              <w:right w:val="single" w:sz="4" w:space="0" w:color="000000"/>
            </w:tcBorders>
            <w:hideMark/>
          </w:tcPr>
          <w:p w14:paraId="014F0FFD" w14:textId="77777777" w:rsidR="00037883" w:rsidRPr="00A11ABC" w:rsidRDefault="00037883">
            <w:pPr>
              <w:spacing w:line="233" w:lineRule="exact"/>
              <w:ind w:left="127" w:right="12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(32,1 %-</w:t>
            </w:r>
          </w:p>
        </w:tc>
      </w:tr>
      <w:tr w:rsidR="00037883" w:rsidRPr="00A11ABC" w14:paraId="705A38FA" w14:textId="77777777" w:rsidTr="00037883">
        <w:trPr>
          <w:trHeight w:val="255"/>
        </w:trPr>
        <w:tc>
          <w:tcPr>
            <w:tcW w:w="1408" w:type="dxa"/>
            <w:tcBorders>
              <w:top w:val="nil"/>
              <w:left w:val="single" w:sz="4" w:space="0" w:color="000000"/>
              <w:bottom w:val="single" w:sz="4" w:space="0" w:color="000000"/>
              <w:right w:val="single" w:sz="4" w:space="0" w:color="000000"/>
            </w:tcBorders>
          </w:tcPr>
          <w:p w14:paraId="17FDA01A" w14:textId="77777777" w:rsidR="00037883" w:rsidRPr="00A11ABC" w:rsidRDefault="00037883">
            <w:pPr>
              <w:rPr>
                <w:rFonts w:ascii="Times New Roman" w:eastAsia="Calibri" w:hAnsi="Times New Roman" w:cs="Times New Roman"/>
                <w:sz w:val="22"/>
                <w:lang w:val="da-DK"/>
              </w:rPr>
            </w:pPr>
          </w:p>
        </w:tc>
        <w:tc>
          <w:tcPr>
            <w:tcW w:w="1127" w:type="dxa"/>
            <w:tcBorders>
              <w:top w:val="nil"/>
              <w:left w:val="single" w:sz="4" w:space="0" w:color="000000"/>
              <w:bottom w:val="single" w:sz="4" w:space="0" w:color="000000"/>
              <w:right w:val="single" w:sz="4" w:space="0" w:color="000000"/>
            </w:tcBorders>
            <w:hideMark/>
          </w:tcPr>
          <w:p w14:paraId="77F3D52A" w14:textId="77777777" w:rsidR="00037883" w:rsidRPr="00A11ABC" w:rsidRDefault="00037883">
            <w:pPr>
              <w:spacing w:line="235"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49,1 %)</w:t>
            </w:r>
          </w:p>
        </w:tc>
        <w:tc>
          <w:tcPr>
            <w:tcW w:w="1133" w:type="dxa"/>
            <w:tcBorders>
              <w:top w:val="nil"/>
              <w:left w:val="single" w:sz="4" w:space="0" w:color="000000"/>
              <w:bottom w:val="single" w:sz="4" w:space="0" w:color="000000"/>
              <w:right w:val="single" w:sz="4" w:space="0" w:color="000000"/>
            </w:tcBorders>
            <w:hideMark/>
          </w:tcPr>
          <w:p w14:paraId="6045B6A6" w14:textId="77777777" w:rsidR="00037883" w:rsidRPr="00A11ABC" w:rsidRDefault="00037883">
            <w:pPr>
              <w:spacing w:line="235" w:lineRule="exact"/>
              <w:ind w:left="191"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44,0 %)</w:t>
            </w:r>
          </w:p>
        </w:tc>
        <w:tc>
          <w:tcPr>
            <w:tcW w:w="1136" w:type="dxa"/>
            <w:tcBorders>
              <w:top w:val="nil"/>
              <w:left w:val="single" w:sz="4" w:space="0" w:color="000000"/>
              <w:bottom w:val="single" w:sz="4" w:space="0" w:color="000000"/>
              <w:right w:val="single" w:sz="4" w:space="0" w:color="000000"/>
            </w:tcBorders>
            <w:hideMark/>
          </w:tcPr>
          <w:p w14:paraId="6D7CEB06" w14:textId="77777777" w:rsidR="00037883" w:rsidRPr="00A11ABC" w:rsidRDefault="00037883">
            <w:pPr>
              <w:spacing w:line="235" w:lineRule="exact"/>
              <w:ind w:left="188"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65,2 %)</w:t>
            </w:r>
          </w:p>
        </w:tc>
        <w:tc>
          <w:tcPr>
            <w:tcW w:w="1102" w:type="dxa"/>
            <w:tcBorders>
              <w:top w:val="nil"/>
              <w:left w:val="single" w:sz="4" w:space="0" w:color="000000"/>
              <w:bottom w:val="single" w:sz="4" w:space="0" w:color="000000"/>
              <w:right w:val="single" w:sz="4" w:space="0" w:color="000000"/>
            </w:tcBorders>
            <w:hideMark/>
          </w:tcPr>
          <w:p w14:paraId="6C513485" w14:textId="77777777" w:rsidR="00037883" w:rsidRPr="00A11ABC" w:rsidRDefault="00037883">
            <w:pPr>
              <w:spacing w:line="235" w:lineRule="exact"/>
              <w:ind w:left="176" w:right="17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40,6 %)</w:t>
            </w:r>
          </w:p>
        </w:tc>
        <w:tc>
          <w:tcPr>
            <w:tcW w:w="1148" w:type="dxa"/>
            <w:tcBorders>
              <w:top w:val="nil"/>
              <w:left w:val="single" w:sz="4" w:space="0" w:color="000000"/>
              <w:bottom w:val="single" w:sz="4" w:space="0" w:color="000000"/>
              <w:right w:val="single" w:sz="4" w:space="0" w:color="000000"/>
            </w:tcBorders>
            <w:hideMark/>
          </w:tcPr>
          <w:p w14:paraId="0258CF87" w14:textId="77777777" w:rsidR="00037883" w:rsidRPr="00A11ABC" w:rsidRDefault="00037883">
            <w:pPr>
              <w:spacing w:line="235" w:lineRule="exact"/>
              <w:ind w:left="105" w:right="10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72,5 %)</w:t>
            </w:r>
          </w:p>
        </w:tc>
        <w:tc>
          <w:tcPr>
            <w:tcW w:w="1153" w:type="dxa"/>
            <w:tcBorders>
              <w:top w:val="nil"/>
              <w:left w:val="single" w:sz="4" w:space="0" w:color="000000"/>
              <w:bottom w:val="single" w:sz="4" w:space="0" w:color="000000"/>
              <w:right w:val="single" w:sz="4" w:space="0" w:color="000000"/>
            </w:tcBorders>
            <w:hideMark/>
          </w:tcPr>
          <w:p w14:paraId="241E0F3D" w14:textId="77777777" w:rsidR="00037883" w:rsidRPr="00A11ABC" w:rsidRDefault="00037883">
            <w:pPr>
              <w:spacing w:line="235" w:lineRule="exact"/>
              <w:ind w:left="108"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57,2 %)</w:t>
            </w:r>
          </w:p>
        </w:tc>
        <w:tc>
          <w:tcPr>
            <w:tcW w:w="1277" w:type="dxa"/>
            <w:tcBorders>
              <w:top w:val="nil"/>
              <w:left w:val="single" w:sz="4" w:space="0" w:color="000000"/>
              <w:bottom w:val="single" w:sz="4" w:space="0" w:color="000000"/>
              <w:right w:val="single" w:sz="4" w:space="0" w:color="000000"/>
            </w:tcBorders>
            <w:hideMark/>
          </w:tcPr>
          <w:p w14:paraId="303B5C8C" w14:textId="77777777" w:rsidR="00037883" w:rsidRPr="00A11ABC" w:rsidRDefault="00037883">
            <w:pPr>
              <w:spacing w:line="235" w:lineRule="exact"/>
              <w:ind w:left="125"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41,3 %)</w:t>
            </w:r>
          </w:p>
        </w:tc>
      </w:tr>
      <w:tr w:rsidR="00037883" w:rsidRPr="00A11ABC" w14:paraId="38162EF5" w14:textId="77777777" w:rsidTr="00037883">
        <w:trPr>
          <w:trHeight w:val="246"/>
        </w:trPr>
        <w:tc>
          <w:tcPr>
            <w:tcW w:w="1408" w:type="dxa"/>
            <w:tcBorders>
              <w:top w:val="single" w:sz="4" w:space="0" w:color="000000"/>
              <w:left w:val="single" w:sz="4" w:space="0" w:color="000000"/>
              <w:bottom w:val="nil"/>
              <w:right w:val="single" w:sz="4" w:space="0" w:color="000000"/>
            </w:tcBorders>
            <w:hideMark/>
          </w:tcPr>
          <w:p w14:paraId="5048D205" w14:textId="77777777" w:rsidR="00037883" w:rsidRPr="00A11ABC" w:rsidRDefault="00037883">
            <w:pPr>
              <w:spacing w:line="226" w:lineRule="exact"/>
              <w:ind w:left="118" w:right="110"/>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Fatal</w:t>
            </w:r>
            <w:r w:rsidRPr="00A11ABC">
              <w:rPr>
                <w:rFonts w:ascii="Times New Roman" w:eastAsia="Calibri" w:hAnsi="Times New Roman" w:cs="Times New Roman"/>
                <w:spacing w:val="-1"/>
                <w:sz w:val="22"/>
                <w:lang w:val="da-DK"/>
              </w:rPr>
              <w:t xml:space="preserve"> </w:t>
            </w:r>
            <w:r w:rsidRPr="00A11ABC">
              <w:rPr>
                <w:rFonts w:ascii="Times New Roman" w:eastAsia="Calibri" w:hAnsi="Times New Roman" w:cs="Times New Roman"/>
                <w:sz w:val="22"/>
                <w:lang w:val="da-DK"/>
              </w:rPr>
              <w:t>PE</w:t>
            </w:r>
            <w:r w:rsidRPr="00A11ABC">
              <w:rPr>
                <w:rFonts w:ascii="Times New Roman" w:eastAsia="Calibri" w:hAnsi="Times New Roman" w:cs="Times New Roman"/>
                <w:spacing w:val="-1"/>
                <w:sz w:val="22"/>
                <w:lang w:val="da-DK"/>
              </w:rPr>
              <w:t xml:space="preserve"> </w:t>
            </w:r>
          </w:p>
        </w:tc>
        <w:tc>
          <w:tcPr>
            <w:tcW w:w="1127" w:type="dxa"/>
            <w:tcBorders>
              <w:top w:val="single" w:sz="4" w:space="0" w:color="000000"/>
              <w:left w:val="single" w:sz="4" w:space="0" w:color="000000"/>
              <w:bottom w:val="nil"/>
              <w:right w:val="single" w:sz="4" w:space="0" w:color="000000"/>
            </w:tcBorders>
            <w:hideMark/>
          </w:tcPr>
          <w:p w14:paraId="14ADE5C2" w14:textId="77777777" w:rsidR="00037883" w:rsidRPr="00A11ABC" w:rsidRDefault="00037883">
            <w:pPr>
              <w:spacing w:line="226" w:lineRule="exact"/>
              <w:ind w:left="190"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48</w:t>
            </w:r>
          </w:p>
        </w:tc>
        <w:tc>
          <w:tcPr>
            <w:tcW w:w="1133" w:type="dxa"/>
            <w:tcBorders>
              <w:top w:val="single" w:sz="4" w:space="0" w:color="000000"/>
              <w:left w:val="single" w:sz="4" w:space="0" w:color="000000"/>
              <w:bottom w:val="nil"/>
              <w:right w:val="single" w:sz="4" w:space="0" w:color="000000"/>
            </w:tcBorders>
            <w:hideMark/>
          </w:tcPr>
          <w:p w14:paraId="6E53F214" w14:textId="77777777" w:rsidR="00037883" w:rsidRPr="00A11ABC" w:rsidRDefault="00037883">
            <w:pPr>
              <w:spacing w:line="226" w:lineRule="exact"/>
              <w:ind w:left="4"/>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7</w:t>
            </w:r>
          </w:p>
        </w:tc>
        <w:tc>
          <w:tcPr>
            <w:tcW w:w="1136" w:type="dxa"/>
            <w:tcBorders>
              <w:top w:val="single" w:sz="4" w:space="0" w:color="000000"/>
              <w:left w:val="single" w:sz="4" w:space="0" w:color="000000"/>
              <w:bottom w:val="nil"/>
              <w:right w:val="single" w:sz="4" w:space="0" w:color="000000"/>
            </w:tcBorders>
            <w:hideMark/>
          </w:tcPr>
          <w:p w14:paraId="257AE8B8" w14:textId="77777777" w:rsidR="00037883" w:rsidRPr="00A11ABC" w:rsidRDefault="00037883">
            <w:pPr>
              <w:spacing w:line="226" w:lineRule="exact"/>
              <w:ind w:left="189"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35</w:t>
            </w:r>
          </w:p>
        </w:tc>
        <w:tc>
          <w:tcPr>
            <w:tcW w:w="1102" w:type="dxa"/>
            <w:tcBorders>
              <w:top w:val="single" w:sz="4" w:space="0" w:color="000000"/>
              <w:left w:val="single" w:sz="4" w:space="0" w:color="000000"/>
              <w:bottom w:val="nil"/>
              <w:right w:val="single" w:sz="4" w:space="0" w:color="000000"/>
            </w:tcBorders>
            <w:hideMark/>
          </w:tcPr>
          <w:p w14:paraId="773EB3A1" w14:textId="77777777" w:rsidR="00037883" w:rsidRPr="00A11ABC" w:rsidRDefault="00037883">
            <w:pPr>
              <w:spacing w:line="226" w:lineRule="exact"/>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5</w:t>
            </w:r>
          </w:p>
        </w:tc>
        <w:tc>
          <w:tcPr>
            <w:tcW w:w="1148" w:type="dxa"/>
            <w:vMerge w:val="restart"/>
            <w:tcBorders>
              <w:top w:val="single" w:sz="4" w:space="0" w:color="000000"/>
              <w:left w:val="single" w:sz="4" w:space="0" w:color="000000"/>
              <w:bottom w:val="single" w:sz="4" w:space="0" w:color="000000"/>
              <w:right w:val="single" w:sz="4" w:space="0" w:color="000000"/>
            </w:tcBorders>
            <w:hideMark/>
          </w:tcPr>
          <w:p w14:paraId="3B7E310F" w14:textId="77777777" w:rsidR="00037883" w:rsidRPr="00A11ABC" w:rsidRDefault="00037883">
            <w:pPr>
              <w:spacing w:before="119"/>
              <w:ind w:left="1"/>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0</w:t>
            </w:r>
          </w:p>
          <w:p w14:paraId="732CD2CE" w14:textId="77777777" w:rsidR="00037883" w:rsidRPr="00A11ABC" w:rsidRDefault="00037883">
            <w:pPr>
              <w:spacing w:before="1" w:line="252" w:lineRule="exact"/>
              <w:ind w:left="339" w:right="334"/>
              <w:jc w:val="center"/>
              <w:rPr>
                <w:rFonts w:ascii="Times New Roman" w:eastAsia="Calibri" w:hAnsi="Times New Roman" w:cs="Times New Roman"/>
                <w:sz w:val="22"/>
                <w:lang w:val="da-DK"/>
              </w:rPr>
            </w:pPr>
            <w:r w:rsidRPr="00A11ABC">
              <w:rPr>
                <w:rFonts w:ascii="Times New Roman" w:eastAsia="Calibri" w:hAnsi="Times New Roman" w:cs="Times New Roman"/>
                <w:spacing w:val="-4"/>
                <w:sz w:val="22"/>
                <w:lang w:val="da-DK"/>
              </w:rPr>
              <w:t>(0 %)</w:t>
            </w:r>
          </w:p>
          <w:p w14:paraId="19A0182F" w14:textId="77777777" w:rsidR="00037883" w:rsidRPr="00A11ABC" w:rsidRDefault="00037883">
            <w:pPr>
              <w:spacing w:line="252" w:lineRule="exact"/>
              <w:ind w:left="3"/>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w:t>
            </w:r>
          </w:p>
        </w:tc>
        <w:tc>
          <w:tcPr>
            <w:tcW w:w="1153" w:type="dxa"/>
            <w:tcBorders>
              <w:top w:val="single" w:sz="4" w:space="0" w:color="000000"/>
              <w:left w:val="single" w:sz="4" w:space="0" w:color="000000"/>
              <w:bottom w:val="nil"/>
              <w:right w:val="single" w:sz="4" w:space="0" w:color="000000"/>
            </w:tcBorders>
            <w:hideMark/>
          </w:tcPr>
          <w:p w14:paraId="2DCC738E" w14:textId="77777777" w:rsidR="00037883" w:rsidRPr="00A11ABC" w:rsidRDefault="00037883">
            <w:pPr>
              <w:spacing w:line="226" w:lineRule="exact"/>
              <w:ind w:left="6"/>
              <w:jc w:val="center"/>
              <w:rPr>
                <w:rFonts w:ascii="Times New Roman" w:eastAsia="Calibri" w:hAnsi="Times New Roman" w:cs="Times New Roman"/>
                <w:sz w:val="22"/>
                <w:lang w:val="da-DK"/>
              </w:rPr>
            </w:pPr>
            <w:r w:rsidRPr="00A11ABC">
              <w:rPr>
                <w:rFonts w:ascii="Times New Roman" w:eastAsia="Calibri" w:hAnsi="Times New Roman" w:cs="Times New Roman"/>
                <w:sz w:val="22"/>
                <w:lang w:val="da-DK"/>
              </w:rPr>
              <w:t>1</w:t>
            </w:r>
          </w:p>
        </w:tc>
        <w:tc>
          <w:tcPr>
            <w:tcW w:w="1277" w:type="dxa"/>
            <w:tcBorders>
              <w:top w:val="single" w:sz="4" w:space="0" w:color="000000"/>
              <w:left w:val="single" w:sz="4" w:space="0" w:color="000000"/>
              <w:bottom w:val="nil"/>
              <w:right w:val="single" w:sz="4" w:space="0" w:color="000000"/>
            </w:tcBorders>
            <w:hideMark/>
          </w:tcPr>
          <w:p w14:paraId="1779D612" w14:textId="77777777" w:rsidR="00037883" w:rsidRPr="00A11ABC" w:rsidRDefault="00037883">
            <w:pPr>
              <w:spacing w:line="226" w:lineRule="exact"/>
              <w:ind w:left="126"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5"/>
                <w:sz w:val="22"/>
                <w:lang w:val="da-DK"/>
              </w:rPr>
              <w:t>11</w:t>
            </w:r>
          </w:p>
        </w:tc>
      </w:tr>
      <w:tr w:rsidR="00037883" w:rsidRPr="00A11ABC" w14:paraId="26C40F9D" w14:textId="77777777" w:rsidTr="00037883">
        <w:trPr>
          <w:trHeight w:val="243"/>
        </w:trPr>
        <w:tc>
          <w:tcPr>
            <w:tcW w:w="1408" w:type="dxa"/>
            <w:tcBorders>
              <w:top w:val="nil"/>
              <w:left w:val="single" w:sz="4" w:space="0" w:color="000000"/>
              <w:bottom w:val="nil"/>
              <w:right w:val="single" w:sz="4" w:space="0" w:color="000000"/>
            </w:tcBorders>
            <w:hideMark/>
          </w:tcPr>
          <w:p w14:paraId="46142C3E" w14:textId="77777777" w:rsidR="00037883" w:rsidRPr="00A11ABC" w:rsidRDefault="00037883">
            <w:pPr>
              <w:spacing w:line="223" w:lineRule="exact"/>
              <w:ind w:left="115"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eller dødelig</w:t>
            </w:r>
          </w:p>
        </w:tc>
        <w:tc>
          <w:tcPr>
            <w:tcW w:w="1127" w:type="dxa"/>
            <w:tcBorders>
              <w:top w:val="nil"/>
              <w:left w:val="single" w:sz="4" w:space="0" w:color="000000"/>
              <w:bottom w:val="nil"/>
              <w:right w:val="single" w:sz="4" w:space="0" w:color="000000"/>
            </w:tcBorders>
            <w:hideMark/>
          </w:tcPr>
          <w:p w14:paraId="0EF22C0E" w14:textId="77777777" w:rsidR="00037883" w:rsidRPr="00A11ABC" w:rsidRDefault="00037883">
            <w:pPr>
              <w:spacing w:line="22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(3,4 %)</w:t>
            </w:r>
          </w:p>
        </w:tc>
        <w:tc>
          <w:tcPr>
            <w:tcW w:w="1133" w:type="dxa"/>
            <w:tcBorders>
              <w:top w:val="nil"/>
              <w:left w:val="single" w:sz="4" w:space="0" w:color="000000"/>
              <w:bottom w:val="nil"/>
              <w:right w:val="single" w:sz="4" w:space="0" w:color="000000"/>
            </w:tcBorders>
            <w:hideMark/>
          </w:tcPr>
          <w:p w14:paraId="7B90CD47" w14:textId="77777777" w:rsidR="00037883" w:rsidRPr="00A11ABC" w:rsidRDefault="00037883">
            <w:pPr>
              <w:spacing w:line="223" w:lineRule="exact"/>
              <w:ind w:left="188" w:right="188"/>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(1,6 %)</w:t>
            </w:r>
          </w:p>
        </w:tc>
        <w:tc>
          <w:tcPr>
            <w:tcW w:w="1136" w:type="dxa"/>
            <w:tcBorders>
              <w:top w:val="nil"/>
              <w:left w:val="single" w:sz="4" w:space="0" w:color="000000"/>
              <w:bottom w:val="nil"/>
              <w:right w:val="single" w:sz="4" w:space="0" w:color="000000"/>
            </w:tcBorders>
            <w:hideMark/>
          </w:tcPr>
          <w:p w14:paraId="7D2025D5" w14:textId="77777777" w:rsidR="00037883" w:rsidRPr="00A11ABC" w:rsidRDefault="00037883">
            <w:pPr>
              <w:spacing w:line="223" w:lineRule="exact"/>
              <w:ind w:left="186" w:right="18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(6,6 %)</w:t>
            </w:r>
          </w:p>
        </w:tc>
        <w:tc>
          <w:tcPr>
            <w:tcW w:w="1102" w:type="dxa"/>
            <w:tcBorders>
              <w:top w:val="nil"/>
              <w:left w:val="single" w:sz="4" w:space="0" w:color="000000"/>
              <w:bottom w:val="nil"/>
              <w:right w:val="single" w:sz="4" w:space="0" w:color="000000"/>
            </w:tcBorders>
            <w:hideMark/>
          </w:tcPr>
          <w:p w14:paraId="5558651F" w14:textId="77777777" w:rsidR="00037883" w:rsidRPr="00A11ABC" w:rsidRDefault="00037883">
            <w:pPr>
              <w:spacing w:line="223" w:lineRule="exact"/>
              <w:ind w:left="175"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(1,2 %)</w:t>
            </w: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14:paraId="3B2C4322" w14:textId="77777777" w:rsidR="00037883" w:rsidRPr="00A11ABC" w:rsidRDefault="00037883">
            <w:pPr>
              <w:rPr>
                <w:rFonts w:ascii="Times New Roman" w:eastAsia="Calibri" w:hAnsi="Times New Roman" w:cs="Times New Roman"/>
                <w:sz w:val="22"/>
                <w:lang w:val="da-DK"/>
              </w:rPr>
            </w:pPr>
          </w:p>
        </w:tc>
        <w:tc>
          <w:tcPr>
            <w:tcW w:w="1153" w:type="dxa"/>
            <w:tcBorders>
              <w:top w:val="nil"/>
              <w:left w:val="single" w:sz="4" w:space="0" w:color="000000"/>
              <w:bottom w:val="nil"/>
              <w:right w:val="single" w:sz="4" w:space="0" w:color="000000"/>
            </w:tcBorders>
            <w:hideMark/>
          </w:tcPr>
          <w:p w14:paraId="2C184645" w14:textId="77777777" w:rsidR="00037883" w:rsidRPr="00A11ABC" w:rsidRDefault="00037883">
            <w:pPr>
              <w:spacing w:line="223" w:lineRule="exact"/>
              <w:ind w:left="105" w:right="10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(2,6 %)</w:t>
            </w:r>
          </w:p>
        </w:tc>
        <w:tc>
          <w:tcPr>
            <w:tcW w:w="1277" w:type="dxa"/>
            <w:tcBorders>
              <w:top w:val="nil"/>
              <w:left w:val="single" w:sz="4" w:space="0" w:color="000000"/>
              <w:bottom w:val="nil"/>
              <w:right w:val="single" w:sz="4" w:space="0" w:color="000000"/>
            </w:tcBorders>
            <w:hideMark/>
          </w:tcPr>
          <w:p w14:paraId="3A4C9384" w14:textId="77777777" w:rsidR="00037883" w:rsidRPr="00A11ABC" w:rsidRDefault="00037883">
            <w:pPr>
              <w:spacing w:line="223" w:lineRule="exact"/>
              <w:ind w:left="125" w:right="12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2,6 %)</w:t>
            </w:r>
          </w:p>
        </w:tc>
      </w:tr>
      <w:tr w:rsidR="00037883" w:rsidRPr="00A11ABC" w14:paraId="29BB65AF" w14:textId="77777777" w:rsidTr="00037883">
        <w:trPr>
          <w:trHeight w:val="243"/>
        </w:trPr>
        <w:tc>
          <w:tcPr>
            <w:tcW w:w="1408" w:type="dxa"/>
            <w:tcBorders>
              <w:top w:val="nil"/>
              <w:left w:val="single" w:sz="4" w:space="0" w:color="000000"/>
              <w:bottom w:val="nil"/>
              <w:right w:val="single" w:sz="4" w:space="0" w:color="000000"/>
            </w:tcBorders>
            <w:hideMark/>
          </w:tcPr>
          <w:p w14:paraId="4A97B9A6" w14:textId="77777777" w:rsidR="00037883" w:rsidRPr="00A11ABC" w:rsidRDefault="00037883">
            <w:pPr>
              <w:spacing w:line="223" w:lineRule="exact"/>
              <w:ind w:left="119" w:right="110"/>
              <w:jc w:val="center"/>
              <w:rPr>
                <w:rFonts w:ascii="Times New Roman" w:eastAsia="Calibri" w:hAnsi="Times New Roman" w:cs="Times New Roman"/>
                <w:spacing w:val="-2"/>
                <w:sz w:val="22"/>
                <w:lang w:val="da-DK"/>
              </w:rPr>
            </w:pPr>
            <w:r w:rsidRPr="00A11ABC">
              <w:rPr>
                <w:rFonts w:ascii="Times New Roman" w:eastAsia="Calibri" w:hAnsi="Times New Roman" w:cs="Times New Roman"/>
                <w:spacing w:val="-2"/>
                <w:sz w:val="22"/>
                <w:lang w:val="da-DK"/>
              </w:rPr>
              <w:t>blødnings-</w:t>
            </w:r>
          </w:p>
          <w:p w14:paraId="39B9F750" w14:textId="77777777" w:rsidR="00037883" w:rsidRPr="00A11ABC" w:rsidRDefault="00037883">
            <w:pPr>
              <w:spacing w:line="223" w:lineRule="exact"/>
              <w:ind w:left="119" w:right="110"/>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relateret død</w:t>
            </w:r>
          </w:p>
        </w:tc>
        <w:tc>
          <w:tcPr>
            <w:tcW w:w="1127" w:type="dxa"/>
            <w:tcBorders>
              <w:top w:val="nil"/>
              <w:left w:val="single" w:sz="4" w:space="0" w:color="000000"/>
              <w:bottom w:val="nil"/>
              <w:right w:val="single" w:sz="4" w:space="0" w:color="000000"/>
            </w:tcBorders>
            <w:hideMark/>
          </w:tcPr>
          <w:p w14:paraId="2E518205" w14:textId="77777777" w:rsidR="00037883" w:rsidRPr="00A11ABC" w:rsidRDefault="00037883">
            <w:pPr>
              <w:spacing w:line="223" w:lineRule="exact"/>
              <w:ind w:left="190" w:right="182"/>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(2,4 %-4,3 %)</w:t>
            </w:r>
          </w:p>
        </w:tc>
        <w:tc>
          <w:tcPr>
            <w:tcW w:w="1133" w:type="dxa"/>
            <w:tcBorders>
              <w:top w:val="nil"/>
              <w:left w:val="single" w:sz="4" w:space="0" w:color="000000"/>
              <w:bottom w:val="nil"/>
              <w:right w:val="single" w:sz="4" w:space="0" w:color="000000"/>
            </w:tcBorders>
            <w:hideMark/>
          </w:tcPr>
          <w:p w14:paraId="07F5B803" w14:textId="77777777" w:rsidR="00037883" w:rsidRPr="00A11ABC" w:rsidRDefault="00037883">
            <w:pPr>
              <w:spacing w:line="223" w:lineRule="exact"/>
              <w:ind w:left="191" w:right="186"/>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(0,4 %-2,7 %)</w:t>
            </w:r>
          </w:p>
        </w:tc>
        <w:tc>
          <w:tcPr>
            <w:tcW w:w="1136" w:type="dxa"/>
            <w:tcBorders>
              <w:top w:val="nil"/>
              <w:left w:val="single" w:sz="4" w:space="0" w:color="000000"/>
              <w:bottom w:val="nil"/>
              <w:right w:val="single" w:sz="4" w:space="0" w:color="000000"/>
            </w:tcBorders>
            <w:hideMark/>
          </w:tcPr>
          <w:p w14:paraId="78A0F56C" w14:textId="77777777" w:rsidR="00037883" w:rsidRPr="00A11ABC" w:rsidRDefault="00037883">
            <w:pPr>
              <w:spacing w:line="223" w:lineRule="exact"/>
              <w:ind w:left="190" w:right="183"/>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(4,5 %-8,7 %)</w:t>
            </w:r>
          </w:p>
        </w:tc>
        <w:tc>
          <w:tcPr>
            <w:tcW w:w="1102" w:type="dxa"/>
            <w:tcBorders>
              <w:top w:val="nil"/>
              <w:left w:val="single" w:sz="4" w:space="0" w:color="000000"/>
              <w:bottom w:val="nil"/>
              <w:right w:val="single" w:sz="4" w:space="0" w:color="000000"/>
            </w:tcBorders>
            <w:hideMark/>
          </w:tcPr>
          <w:p w14:paraId="51F42220" w14:textId="77777777" w:rsidR="00037883" w:rsidRPr="00A11ABC" w:rsidRDefault="00037883">
            <w:pPr>
              <w:spacing w:line="223" w:lineRule="exact"/>
              <w:ind w:left="176" w:right="174"/>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(0,2 %-2,3 %)</w:t>
            </w: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14:paraId="1DCE0310" w14:textId="77777777" w:rsidR="00037883" w:rsidRPr="00A11ABC" w:rsidRDefault="00037883">
            <w:pPr>
              <w:rPr>
                <w:rFonts w:ascii="Times New Roman" w:eastAsia="Calibri" w:hAnsi="Times New Roman" w:cs="Times New Roman"/>
                <w:sz w:val="22"/>
                <w:lang w:val="da-DK"/>
              </w:rPr>
            </w:pPr>
          </w:p>
        </w:tc>
        <w:tc>
          <w:tcPr>
            <w:tcW w:w="1153" w:type="dxa"/>
            <w:tcBorders>
              <w:top w:val="nil"/>
              <w:left w:val="single" w:sz="4" w:space="0" w:color="000000"/>
              <w:bottom w:val="nil"/>
              <w:right w:val="single" w:sz="4" w:space="0" w:color="000000"/>
            </w:tcBorders>
            <w:hideMark/>
          </w:tcPr>
          <w:p w14:paraId="035843B3" w14:textId="77777777" w:rsidR="00037883" w:rsidRPr="00A11ABC" w:rsidRDefault="00037883">
            <w:pPr>
              <w:spacing w:line="223" w:lineRule="exact"/>
              <w:ind w:left="108" w:right="101"/>
              <w:jc w:val="center"/>
              <w:rPr>
                <w:rFonts w:ascii="Times New Roman" w:eastAsia="Calibri" w:hAnsi="Times New Roman" w:cs="Times New Roman"/>
                <w:spacing w:val="-4"/>
                <w:sz w:val="22"/>
                <w:lang w:val="da-DK"/>
              </w:rPr>
            </w:pPr>
            <w:r w:rsidRPr="00A11ABC">
              <w:rPr>
                <w:rFonts w:ascii="Times New Roman" w:eastAsia="Calibri" w:hAnsi="Times New Roman" w:cs="Times New Roman"/>
                <w:spacing w:val="-4"/>
                <w:sz w:val="22"/>
                <w:lang w:val="da-DK"/>
              </w:rPr>
              <w:t>(0 %-</w:t>
            </w:r>
          </w:p>
          <w:p w14:paraId="6C29D70F" w14:textId="77777777" w:rsidR="00037883" w:rsidRPr="00A11ABC" w:rsidRDefault="00037883">
            <w:pPr>
              <w:spacing w:line="223" w:lineRule="exact"/>
              <w:ind w:left="108" w:right="10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7,8 %)</w:t>
            </w:r>
          </w:p>
        </w:tc>
        <w:tc>
          <w:tcPr>
            <w:tcW w:w="1277" w:type="dxa"/>
            <w:tcBorders>
              <w:top w:val="nil"/>
              <w:left w:val="single" w:sz="4" w:space="0" w:color="000000"/>
              <w:bottom w:val="nil"/>
              <w:right w:val="single" w:sz="4" w:space="0" w:color="000000"/>
            </w:tcBorders>
            <w:hideMark/>
          </w:tcPr>
          <w:p w14:paraId="1C2C3AA9" w14:textId="77777777" w:rsidR="00037883" w:rsidRPr="00A11ABC" w:rsidRDefault="00037883">
            <w:pPr>
              <w:spacing w:line="223" w:lineRule="exact"/>
              <w:ind w:left="127" w:right="121"/>
              <w:jc w:val="center"/>
              <w:rPr>
                <w:rFonts w:ascii="Times New Roman" w:eastAsia="Calibri" w:hAnsi="Times New Roman" w:cs="Times New Roman"/>
                <w:spacing w:val="-2"/>
                <w:sz w:val="22"/>
                <w:lang w:val="da-DK"/>
              </w:rPr>
            </w:pPr>
            <w:r w:rsidRPr="00A11ABC">
              <w:rPr>
                <w:rFonts w:ascii="Times New Roman" w:eastAsia="Calibri" w:hAnsi="Times New Roman" w:cs="Times New Roman"/>
                <w:spacing w:val="-2"/>
                <w:sz w:val="22"/>
                <w:lang w:val="da-DK"/>
              </w:rPr>
              <w:t>(1,1 %-</w:t>
            </w:r>
          </w:p>
          <w:p w14:paraId="67D3218F" w14:textId="77777777" w:rsidR="00037883" w:rsidRPr="00A11ABC" w:rsidRDefault="00037883">
            <w:pPr>
              <w:spacing w:line="223" w:lineRule="exact"/>
              <w:ind w:left="127" w:right="121"/>
              <w:jc w:val="center"/>
              <w:rPr>
                <w:rFonts w:ascii="Times New Roman" w:eastAsia="Calibri" w:hAnsi="Times New Roman" w:cs="Times New Roman"/>
                <w:sz w:val="22"/>
                <w:lang w:val="da-DK"/>
              </w:rPr>
            </w:pPr>
            <w:r w:rsidRPr="00A11ABC">
              <w:rPr>
                <w:rFonts w:ascii="Times New Roman" w:eastAsia="Calibri" w:hAnsi="Times New Roman" w:cs="Times New Roman"/>
                <w:spacing w:val="-2"/>
                <w:sz w:val="22"/>
                <w:lang w:val="da-DK"/>
              </w:rPr>
              <w:t>4,1 %)</w:t>
            </w:r>
          </w:p>
        </w:tc>
      </w:tr>
      <w:tr w:rsidR="00037883" w:rsidRPr="00A11ABC" w14:paraId="43808004" w14:textId="77777777" w:rsidTr="00037883">
        <w:trPr>
          <w:trHeight w:val="248"/>
        </w:trPr>
        <w:tc>
          <w:tcPr>
            <w:tcW w:w="1408" w:type="dxa"/>
            <w:tcBorders>
              <w:top w:val="nil"/>
              <w:left w:val="single" w:sz="4" w:space="0" w:color="000000"/>
              <w:bottom w:val="single" w:sz="4" w:space="0" w:color="000000"/>
              <w:right w:val="single" w:sz="4" w:space="0" w:color="000000"/>
            </w:tcBorders>
          </w:tcPr>
          <w:p w14:paraId="1538B249" w14:textId="77777777" w:rsidR="00037883" w:rsidRPr="00A11ABC" w:rsidRDefault="00037883">
            <w:pPr>
              <w:spacing w:line="228" w:lineRule="exact"/>
              <w:ind w:left="121" w:right="110"/>
              <w:jc w:val="center"/>
              <w:rPr>
                <w:rFonts w:ascii="Times New Roman" w:eastAsia="Calibri" w:hAnsi="Times New Roman" w:cs="Times New Roman"/>
                <w:sz w:val="22"/>
                <w:lang w:val="da-DK"/>
              </w:rPr>
            </w:pPr>
          </w:p>
        </w:tc>
        <w:tc>
          <w:tcPr>
            <w:tcW w:w="1127" w:type="dxa"/>
            <w:tcBorders>
              <w:top w:val="nil"/>
              <w:left w:val="single" w:sz="4" w:space="0" w:color="000000"/>
              <w:bottom w:val="single" w:sz="4" w:space="0" w:color="000000"/>
              <w:right w:val="single" w:sz="4" w:space="0" w:color="000000"/>
            </w:tcBorders>
          </w:tcPr>
          <w:p w14:paraId="3B1C477A" w14:textId="77777777" w:rsidR="00037883" w:rsidRPr="00A11ABC" w:rsidRDefault="00037883">
            <w:pPr>
              <w:spacing w:line="228" w:lineRule="exact"/>
              <w:ind w:left="189" w:right="184"/>
              <w:jc w:val="center"/>
              <w:rPr>
                <w:rFonts w:ascii="Times New Roman" w:eastAsia="Calibri" w:hAnsi="Times New Roman" w:cs="Times New Roman"/>
                <w:sz w:val="22"/>
                <w:lang w:val="da-DK"/>
              </w:rPr>
            </w:pPr>
          </w:p>
        </w:tc>
        <w:tc>
          <w:tcPr>
            <w:tcW w:w="1133" w:type="dxa"/>
            <w:tcBorders>
              <w:top w:val="nil"/>
              <w:left w:val="single" w:sz="4" w:space="0" w:color="000000"/>
              <w:bottom w:val="single" w:sz="4" w:space="0" w:color="000000"/>
              <w:right w:val="single" w:sz="4" w:space="0" w:color="000000"/>
            </w:tcBorders>
          </w:tcPr>
          <w:p w14:paraId="46EEEC8F" w14:textId="77777777" w:rsidR="00037883" w:rsidRPr="00A11ABC" w:rsidRDefault="00037883">
            <w:pPr>
              <w:spacing w:line="228" w:lineRule="exact"/>
              <w:ind w:left="191" w:right="188"/>
              <w:jc w:val="center"/>
              <w:rPr>
                <w:rFonts w:ascii="Times New Roman" w:eastAsia="Calibri" w:hAnsi="Times New Roman" w:cs="Times New Roman"/>
                <w:sz w:val="22"/>
                <w:lang w:val="da-DK"/>
              </w:rPr>
            </w:pPr>
          </w:p>
        </w:tc>
        <w:tc>
          <w:tcPr>
            <w:tcW w:w="1136" w:type="dxa"/>
            <w:tcBorders>
              <w:top w:val="nil"/>
              <w:left w:val="single" w:sz="4" w:space="0" w:color="000000"/>
              <w:bottom w:val="single" w:sz="4" w:space="0" w:color="000000"/>
              <w:right w:val="single" w:sz="4" w:space="0" w:color="000000"/>
            </w:tcBorders>
          </w:tcPr>
          <w:p w14:paraId="56F6109A" w14:textId="77777777" w:rsidR="00037883" w:rsidRPr="00A11ABC" w:rsidRDefault="00037883">
            <w:pPr>
              <w:spacing w:line="228" w:lineRule="exact"/>
              <w:ind w:left="188" w:right="184"/>
              <w:jc w:val="center"/>
              <w:rPr>
                <w:rFonts w:ascii="Times New Roman" w:eastAsia="Calibri" w:hAnsi="Times New Roman" w:cs="Times New Roman"/>
                <w:sz w:val="22"/>
                <w:lang w:val="da-DK"/>
              </w:rPr>
            </w:pPr>
          </w:p>
        </w:tc>
        <w:tc>
          <w:tcPr>
            <w:tcW w:w="1102" w:type="dxa"/>
            <w:tcBorders>
              <w:top w:val="nil"/>
              <w:left w:val="single" w:sz="4" w:space="0" w:color="000000"/>
              <w:bottom w:val="single" w:sz="4" w:space="0" w:color="000000"/>
              <w:right w:val="single" w:sz="4" w:space="0" w:color="000000"/>
            </w:tcBorders>
          </w:tcPr>
          <w:p w14:paraId="38E7B7F1" w14:textId="77777777" w:rsidR="00037883" w:rsidRPr="00A11ABC" w:rsidRDefault="00037883">
            <w:pPr>
              <w:spacing w:line="228" w:lineRule="exact"/>
              <w:ind w:left="176" w:right="172"/>
              <w:jc w:val="center"/>
              <w:rPr>
                <w:rFonts w:ascii="Times New Roman" w:eastAsia="Calibri" w:hAnsi="Times New Roman" w:cs="Times New Roman"/>
                <w:sz w:val="22"/>
                <w:lang w:val="da-DK"/>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14:paraId="2C8863C8" w14:textId="77777777" w:rsidR="00037883" w:rsidRPr="00A11ABC" w:rsidRDefault="00037883">
            <w:pPr>
              <w:rPr>
                <w:rFonts w:ascii="Times New Roman" w:eastAsia="Calibri" w:hAnsi="Times New Roman" w:cs="Times New Roman"/>
                <w:sz w:val="22"/>
                <w:lang w:val="da-DK"/>
              </w:rPr>
            </w:pPr>
          </w:p>
        </w:tc>
        <w:tc>
          <w:tcPr>
            <w:tcW w:w="1153" w:type="dxa"/>
            <w:tcBorders>
              <w:top w:val="nil"/>
              <w:left w:val="single" w:sz="4" w:space="0" w:color="000000"/>
              <w:bottom w:val="single" w:sz="4" w:space="0" w:color="000000"/>
              <w:right w:val="single" w:sz="4" w:space="0" w:color="000000"/>
            </w:tcBorders>
          </w:tcPr>
          <w:p w14:paraId="0768B139" w14:textId="77777777" w:rsidR="00037883" w:rsidRPr="00A11ABC" w:rsidRDefault="00037883">
            <w:pPr>
              <w:spacing w:line="228" w:lineRule="exact"/>
              <w:ind w:left="108" w:right="103"/>
              <w:jc w:val="center"/>
              <w:rPr>
                <w:rFonts w:ascii="Times New Roman" w:eastAsia="Calibri" w:hAnsi="Times New Roman" w:cs="Times New Roman"/>
                <w:sz w:val="22"/>
                <w:lang w:val="da-DK"/>
              </w:rPr>
            </w:pPr>
          </w:p>
        </w:tc>
        <w:tc>
          <w:tcPr>
            <w:tcW w:w="1277" w:type="dxa"/>
            <w:tcBorders>
              <w:top w:val="nil"/>
              <w:left w:val="single" w:sz="4" w:space="0" w:color="000000"/>
              <w:bottom w:val="single" w:sz="4" w:space="0" w:color="000000"/>
              <w:right w:val="single" w:sz="4" w:space="0" w:color="000000"/>
            </w:tcBorders>
          </w:tcPr>
          <w:p w14:paraId="566388B6" w14:textId="77777777" w:rsidR="00037883" w:rsidRPr="00A11ABC" w:rsidRDefault="00037883">
            <w:pPr>
              <w:spacing w:line="228" w:lineRule="exact"/>
              <w:ind w:left="125" w:right="122"/>
              <w:jc w:val="center"/>
              <w:rPr>
                <w:rFonts w:ascii="Times New Roman" w:eastAsia="Calibri" w:hAnsi="Times New Roman" w:cs="Times New Roman"/>
                <w:sz w:val="22"/>
                <w:lang w:val="da-DK"/>
              </w:rPr>
            </w:pPr>
          </w:p>
        </w:tc>
      </w:tr>
      <w:tr w:rsidR="00037883" w:rsidRPr="00A11ABC" w14:paraId="49C254D4" w14:textId="77777777" w:rsidTr="00037883">
        <w:trPr>
          <w:trHeight w:val="253"/>
        </w:trPr>
        <w:tc>
          <w:tcPr>
            <w:tcW w:w="9484" w:type="dxa"/>
            <w:gridSpan w:val="8"/>
            <w:tcBorders>
              <w:top w:val="single" w:sz="4" w:space="0" w:color="000000"/>
              <w:left w:val="single" w:sz="4" w:space="0" w:color="000000"/>
              <w:bottom w:val="single" w:sz="4" w:space="0" w:color="000000"/>
              <w:right w:val="single" w:sz="4" w:space="0" w:color="000000"/>
            </w:tcBorders>
            <w:hideMark/>
          </w:tcPr>
          <w:p w14:paraId="33BBE163" w14:textId="77777777" w:rsidR="00037883" w:rsidRPr="00A11ABC" w:rsidRDefault="00037883">
            <w:pPr>
              <w:spacing w:line="234" w:lineRule="exact"/>
              <w:ind w:left="107"/>
              <w:rPr>
                <w:rFonts w:ascii="Times New Roman" w:eastAsia="Calibri" w:hAnsi="Times New Roman" w:cs="Times New Roman"/>
                <w:sz w:val="22"/>
                <w:lang w:val="da-DK"/>
              </w:rPr>
            </w:pPr>
            <w:r w:rsidRPr="00A11ABC">
              <w:rPr>
                <w:rFonts w:ascii="Times New Roman" w:eastAsia="Calibri" w:hAnsi="Times New Roman" w:cs="Times New Roman"/>
                <w:sz w:val="22"/>
                <w:lang w:val="da-DK"/>
              </w:rPr>
              <w:t>*</w:t>
            </w:r>
            <w:r w:rsidRPr="00A11ABC">
              <w:rPr>
                <w:rFonts w:ascii="Times New Roman" w:hAnsi="Times New Roman" w:cs="Times New Roman"/>
                <w:sz w:val="22"/>
                <w:lang w:val="da-DK"/>
              </w:rPr>
              <w:t xml:space="preserve"> Alle data med 95% CI</w:t>
            </w:r>
          </w:p>
        </w:tc>
      </w:tr>
    </w:tbl>
    <w:p w14:paraId="28FB79B7" w14:textId="77777777" w:rsidR="00F36616" w:rsidRPr="00F83367" w:rsidRDefault="00F36616" w:rsidP="00F36616">
      <w:pPr>
        <w:ind w:left="851" w:right="216"/>
        <w:textAlignment w:val="baseline"/>
        <w:rPr>
          <w:color w:val="000000"/>
          <w:sz w:val="24"/>
          <w:szCs w:val="24"/>
        </w:rPr>
      </w:pPr>
    </w:p>
    <w:p w14:paraId="52792A3C"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Behandling af ustabil angina pectoris og myokardieinfarkt uden ST-elevation</w:t>
      </w:r>
    </w:p>
    <w:p w14:paraId="0D5627F3" w14:textId="77777777" w:rsidR="00F36616" w:rsidRPr="00F83367" w:rsidRDefault="00F36616" w:rsidP="00F36616">
      <w:pPr>
        <w:ind w:left="851" w:right="216"/>
        <w:textAlignment w:val="baseline"/>
        <w:rPr>
          <w:color w:val="000000"/>
          <w:sz w:val="24"/>
          <w:szCs w:val="24"/>
        </w:rPr>
      </w:pPr>
      <w:r w:rsidRPr="00F83367">
        <w:rPr>
          <w:color w:val="000000"/>
          <w:sz w:val="24"/>
          <w:szCs w:val="24"/>
        </w:rPr>
        <w:t xml:space="preserve">Et stort multicenterstudie omfattede 3.171 patienter, som blev inkluderet i den akutte fase af ustabil angina pectoris eller myokardieinfarkt uden Q-taksudvikling og blev randomiseret til at få acetylsalicylsyre (100 til 325 mg en gang dagligt) i kombination med enten enoxaparinnatrium 100 IE/kg (1 mg/kg) subkutant hver 12. time eller </w:t>
      </w:r>
      <w:r w:rsidRPr="00F83367">
        <w:rPr>
          <w:color w:val="000000"/>
          <w:sz w:val="24"/>
          <w:szCs w:val="24"/>
        </w:rPr>
        <w:lastRenderedPageBreak/>
        <w:t>intravenøs infusion af ufraktioneret heparin i en dosis, der blev justeret i henhold til aPTT. Patienterne blev behandlet på hospital i 2-8 dage indtil klinisk stabilisering, revaskularisering eller udskrivning. Patienterne blev fulgt i op til 30 dage.</w:t>
      </w:r>
    </w:p>
    <w:p w14:paraId="3D475B30" w14:textId="77777777" w:rsidR="00F36616" w:rsidRPr="00F83367" w:rsidRDefault="00F36616" w:rsidP="00F36616">
      <w:pPr>
        <w:ind w:left="851" w:right="216"/>
        <w:textAlignment w:val="baseline"/>
        <w:rPr>
          <w:color w:val="000000"/>
          <w:sz w:val="24"/>
          <w:szCs w:val="24"/>
        </w:rPr>
      </w:pPr>
      <w:r w:rsidRPr="00F83367">
        <w:rPr>
          <w:color w:val="000000"/>
          <w:sz w:val="24"/>
          <w:szCs w:val="24"/>
        </w:rPr>
        <w:t>Sammenlignet med heparin reducerer enoxaparinnatrium signifikant hyppigheden af angina pectoris, myokardieinfarkt og død med et fald på 19,8 til 16,6 % (relativ risikoreduktion på 16,2 %) på dag 14. Faldet i den samlede incidens var opretholdt efter 30 dage (fra 23,3 til 19,8 %; relativ risikoreduktion på 15 %).</w:t>
      </w:r>
    </w:p>
    <w:p w14:paraId="758205F8" w14:textId="77777777" w:rsidR="00F36616" w:rsidRPr="00F83367" w:rsidRDefault="00F36616" w:rsidP="00F36616">
      <w:pPr>
        <w:ind w:left="851" w:right="216"/>
        <w:textAlignment w:val="baseline"/>
        <w:rPr>
          <w:color w:val="000000"/>
          <w:sz w:val="24"/>
          <w:szCs w:val="24"/>
        </w:rPr>
      </w:pPr>
      <w:r w:rsidRPr="00F83367">
        <w:rPr>
          <w:color w:val="000000"/>
          <w:sz w:val="24"/>
          <w:szCs w:val="24"/>
        </w:rPr>
        <w:t xml:space="preserve"> </w:t>
      </w:r>
    </w:p>
    <w:p w14:paraId="182BEA84" w14:textId="77777777" w:rsidR="00F36616" w:rsidRPr="00F83367" w:rsidRDefault="00F36616" w:rsidP="00F36616">
      <w:pPr>
        <w:ind w:left="851" w:right="216"/>
        <w:textAlignment w:val="baseline"/>
        <w:rPr>
          <w:color w:val="000000"/>
          <w:sz w:val="24"/>
          <w:szCs w:val="24"/>
        </w:rPr>
      </w:pPr>
      <w:r w:rsidRPr="00F83367">
        <w:rPr>
          <w:color w:val="000000"/>
          <w:sz w:val="24"/>
          <w:szCs w:val="24"/>
        </w:rPr>
        <w:t>Der var ingen signifikante forskelle i alvorlige blødningsepisoder, selvom blødning omkring det subkutane injektionssted var mere hyppigt forekommende.</w:t>
      </w:r>
    </w:p>
    <w:p w14:paraId="67D08153" w14:textId="77777777" w:rsidR="00F36616" w:rsidRPr="00F83367" w:rsidRDefault="00F36616" w:rsidP="00F36616">
      <w:pPr>
        <w:ind w:left="851" w:right="216"/>
        <w:textAlignment w:val="baseline"/>
        <w:rPr>
          <w:color w:val="000000"/>
          <w:sz w:val="24"/>
          <w:szCs w:val="24"/>
        </w:rPr>
      </w:pPr>
    </w:p>
    <w:p w14:paraId="44FE2FE8" w14:textId="77777777" w:rsidR="00F36616" w:rsidRPr="00F83367" w:rsidRDefault="00F36616" w:rsidP="00F36616">
      <w:pPr>
        <w:ind w:left="851" w:firstLine="2"/>
        <w:textAlignment w:val="baseline"/>
        <w:outlineLvl w:val="0"/>
        <w:rPr>
          <w:i/>
          <w:color w:val="000000"/>
          <w:sz w:val="24"/>
          <w:szCs w:val="24"/>
        </w:rPr>
      </w:pPr>
      <w:r w:rsidRPr="00F83367">
        <w:rPr>
          <w:i/>
          <w:color w:val="000000"/>
          <w:sz w:val="24"/>
          <w:szCs w:val="24"/>
        </w:rPr>
        <w:t>Behandling af akut myokardieinfarkt med ST-elevation</w:t>
      </w:r>
    </w:p>
    <w:p w14:paraId="6680C08E"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20.479 patienter med STEMI, der var egnede til behandling med fibrinolytisk terapi, blev i et stort klinisk multicenterstudie randomiseret til at få enten 3.000 IE (30 mg) enoxaparin som en enkelt i.v.- bolus plus 100 IE/kg (1 mg/kg) s.c efterfulgt af 100 IE/kg (1 mg/kg) s.c. hver 12. time eller ufraktioneret heparin i.v. i 48 timer i en dosis, der var justeret i henhold til aPTT. Alle patienter fik også acetylsalicylsyre i mindst 30 dage. Dosis af enoxaparinnatrium blev justeret hos patienter med svært nedsat nyrefunktion og hos ældre patienter over 75 år. De subkutane injektioner med enoxaparinnatrium blev administreret indtil udskrivning eller i maksimalt 8 dage (det, der først forekom).</w:t>
      </w:r>
    </w:p>
    <w:p w14:paraId="7467E94A"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4.716 patienter gennemgik perkutan koronar angioplastik og fik antitrombotika med det blindede studielægemiddel. I den patientgruppe, der fik enoxaparinnatrium, blev perkutan koronar intervention foretaget uden seponering af enoxaparinnatrium (uden at ændre præparatet). Enoxaparinnatrium blev administreret i henhold til den doseringsplan, der var blevet fastlagt i tidligere studier, dvs. ingen yderligere dosis, hvis den sidste dosis var blevet administreret subkutant inden for 8 timer før ballonudvidelsen og i.v.-bolus på 30 IE/kg (0,3 mg/kg) enoxaparinnatrium, hvis den sidste dosis var blevet administreret subkutant mere end 8 timer inden ballonudvidelsen.</w:t>
      </w:r>
    </w:p>
    <w:p w14:paraId="516DB6B1"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Ved sammenligning af enoxaparinnatrium og ufraktioneret heparin reducerede enoxaparinnatrium signifikant forekomsten af det primære effektmål, der var sammensat af død uanset årsag eller nyt myokardieinfarkt inden for de første 30 dage efter randomisering [9,9 % i enoxaparinnatrium-gruppen sammenlignet med 12,0 % i gruppen, der fik ufraktioneret heparin] med 17 % relativ risikoreduktion (p &lt; 0,001).</w:t>
      </w:r>
    </w:p>
    <w:p w14:paraId="7906730C"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De terapeutiske fordele ved enoxaparinnatrium, der var evident for et antal effektmål, sås efter 48 timer, hvor den relative risikoreduktion for nyt myokardieinfarkt var 35 % sammenlignet med behandling med ufraktioneret heparin (p &lt; 0,001).</w:t>
      </w:r>
    </w:p>
    <w:p w14:paraId="07788FE5"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Enoxaparinnatriums gavnlige virkning på det primære effektmål var konstant i alle vigtige undergrupper, herunder alder, køn, fokus for myokardieinfarkt, diabetes i anamnesen, myokardieinfarkt i anamnesen, det administrerede fibrinolytikum samt tid til behandlingsstart med studielægemidlet.</w:t>
      </w:r>
    </w:p>
    <w:p w14:paraId="3734F379"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Der var en signifikant terapeutisk fordel ved enoxaparinnatrium sammenlignet med ufraktioneret heparin hos patienter, der fik foretaget perkutan koronar angioplastik inden for 30 dage efter randomisering (reduktion på 23 % af den relative risiko), eller som fik medicinsk behandling (reduktion på 15 % af den relative risiko, p = 0,27 for interaktion).</w:t>
      </w:r>
    </w:p>
    <w:p w14:paraId="056D340A"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Hyppigheden af det sammensatte effektmål død, nyt myokardieinfarkt eller intrakraniel blødning i løbet af 30 dage (mål for netto klinisk fordel) var signifikant lavere (p &lt; 0,0001) i enoxaparinnatrium- gruppen (10,1 %) sammenlignet med heparin-gruppen (12,2 %) (reduktion på 17 % af den relative risiko til fordel for enoxaparinnatrium).</w:t>
      </w:r>
    </w:p>
    <w:p w14:paraId="49721742"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 xml:space="preserve">Forekomsten af alvorlig blødning i løbet af 30 dage var signifikant højere (p&lt;0,0001) i enoxaparinnatrium-gruppen (2,1 %) versus heparin-gruppen (1,4 %). Der var en højere forekomst af gastrointestinal blødning i enoxaparinnatrium-gruppen (0,5 %) versus </w:t>
      </w:r>
      <w:r w:rsidRPr="00F83367">
        <w:rPr>
          <w:color w:val="000000"/>
          <w:sz w:val="24"/>
          <w:szCs w:val="24"/>
        </w:rPr>
        <w:lastRenderedPageBreak/>
        <w:t>heparin-gruppen (0,1 %), mens forekomsten af intrakranial blødning var sammenlignelig i de to grupper (0,8 % med enoxaparinnatrium versus 0,7 % med heparin).</w:t>
      </w:r>
    </w:p>
    <w:p w14:paraId="38F31E96" w14:textId="77777777" w:rsidR="00F36616" w:rsidRPr="00F83367" w:rsidRDefault="00F36616" w:rsidP="00F36616">
      <w:pPr>
        <w:ind w:left="851" w:right="216" w:firstLine="2"/>
        <w:textAlignment w:val="baseline"/>
        <w:rPr>
          <w:color w:val="000000"/>
          <w:sz w:val="24"/>
          <w:szCs w:val="24"/>
        </w:rPr>
      </w:pPr>
      <w:r w:rsidRPr="00F83367">
        <w:rPr>
          <w:color w:val="000000"/>
          <w:sz w:val="24"/>
          <w:szCs w:val="24"/>
        </w:rPr>
        <w:t>Den gavnlige virkning af enoxaparinnatrium på det primære effektmål, der blev observeret i løbet af de første 30 dage, blev opretholdt over en opfølgningsperiode på 12 måneder.</w:t>
      </w:r>
    </w:p>
    <w:p w14:paraId="61E931A3" w14:textId="77777777" w:rsidR="00F36616" w:rsidRPr="00F83367" w:rsidRDefault="00F36616" w:rsidP="00F36616">
      <w:pPr>
        <w:ind w:left="851"/>
        <w:textAlignment w:val="baseline"/>
        <w:rPr>
          <w:i/>
          <w:color w:val="000000"/>
          <w:sz w:val="24"/>
          <w:szCs w:val="24"/>
        </w:rPr>
      </w:pPr>
    </w:p>
    <w:p w14:paraId="4A222F8D"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Nedsat leverfunktion</w:t>
      </w:r>
    </w:p>
    <w:p w14:paraId="1C871F4C" w14:textId="77777777" w:rsidR="00F36616" w:rsidRPr="00F83367" w:rsidRDefault="00F36616" w:rsidP="00F36616">
      <w:pPr>
        <w:ind w:left="851" w:right="360"/>
        <w:textAlignment w:val="baseline"/>
        <w:rPr>
          <w:color w:val="000000"/>
          <w:spacing w:val="-1"/>
          <w:sz w:val="24"/>
          <w:szCs w:val="24"/>
        </w:rPr>
      </w:pPr>
      <w:r w:rsidRPr="00F83367">
        <w:rPr>
          <w:color w:val="000000"/>
          <w:spacing w:val="-1"/>
          <w:sz w:val="24"/>
          <w:szCs w:val="24"/>
        </w:rPr>
        <w:t>Baseret på data fra litteraturen synes det at være sikkert og effektivt at bruge enoxaparin 4.000 IE (40 mg) til forebyggelse af portal venetrombose hos patienter med cirrose (Child-Pugh klasse B-C). Det bør bemærkes, at litteraturstudierne kan have begrænsninger. Der skal udvises forsigtighed hos patienter med nedsat leverfunktion, da disse patienter potentielt har en øget risiko for blødning (se pkt. 4.4), og der er ikke udført formelle studier hos patienter med cirrhose til at fastlægge dosis (Child- Pugh klasse A, B eller C).</w:t>
      </w:r>
    </w:p>
    <w:p w14:paraId="06C86FBE" w14:textId="77777777" w:rsidR="00F36616" w:rsidRPr="00F83367" w:rsidRDefault="00F36616" w:rsidP="00F36616">
      <w:pPr>
        <w:ind w:left="851" w:right="360"/>
        <w:textAlignment w:val="baseline"/>
        <w:rPr>
          <w:color w:val="000000"/>
          <w:spacing w:val="-1"/>
          <w:sz w:val="24"/>
          <w:szCs w:val="24"/>
        </w:rPr>
      </w:pPr>
    </w:p>
    <w:p w14:paraId="60FD9589" w14:textId="50F1A66D" w:rsidR="000C25F4" w:rsidRPr="00F83367" w:rsidRDefault="00F36616" w:rsidP="00F36616">
      <w:pPr>
        <w:pStyle w:val="Default"/>
        <w:ind w:left="851"/>
      </w:pPr>
      <w:r w:rsidRPr="00F83367">
        <w:t>Ghemaxan er et biosimilært lægemiddel. Yderligere oplysninger kan findes på www.laegemiddelstyrelsen.dk.</w:t>
      </w:r>
    </w:p>
    <w:p w14:paraId="23D6687E" w14:textId="77777777" w:rsidR="00D57DDA" w:rsidRPr="00F83367" w:rsidRDefault="00D57DDA" w:rsidP="000C25F4">
      <w:pPr>
        <w:tabs>
          <w:tab w:val="left" w:pos="851"/>
        </w:tabs>
        <w:ind w:left="851"/>
        <w:rPr>
          <w:sz w:val="24"/>
          <w:szCs w:val="24"/>
        </w:rPr>
      </w:pPr>
    </w:p>
    <w:p w14:paraId="75971764" w14:textId="77777777" w:rsidR="000C25F4" w:rsidRPr="00F83367" w:rsidRDefault="000C25F4" w:rsidP="0014694F">
      <w:pPr>
        <w:keepNext/>
        <w:tabs>
          <w:tab w:val="left" w:pos="851"/>
        </w:tabs>
        <w:ind w:left="851" w:hanging="851"/>
        <w:rPr>
          <w:b/>
          <w:sz w:val="24"/>
          <w:szCs w:val="24"/>
        </w:rPr>
      </w:pPr>
      <w:r w:rsidRPr="00037883">
        <w:rPr>
          <w:b/>
          <w:sz w:val="24"/>
          <w:szCs w:val="24"/>
        </w:rPr>
        <w:t>5.2</w:t>
      </w:r>
      <w:r w:rsidRPr="00037883">
        <w:rPr>
          <w:b/>
          <w:sz w:val="24"/>
          <w:szCs w:val="24"/>
        </w:rPr>
        <w:tab/>
      </w:r>
      <w:r w:rsidRPr="00F83367">
        <w:rPr>
          <w:b/>
          <w:sz w:val="24"/>
          <w:szCs w:val="24"/>
        </w:rPr>
        <w:t>Farmakokinetiske egenskaber</w:t>
      </w:r>
    </w:p>
    <w:p w14:paraId="3FA379AD" w14:textId="77777777" w:rsidR="00F36616" w:rsidRPr="00F83367" w:rsidRDefault="00F36616" w:rsidP="00F36616">
      <w:pPr>
        <w:pStyle w:val="Default"/>
        <w:keepNext/>
        <w:tabs>
          <w:tab w:val="left" w:pos="567"/>
        </w:tabs>
        <w:ind w:left="851"/>
      </w:pPr>
    </w:p>
    <w:p w14:paraId="7D7FC3C7" w14:textId="77777777" w:rsidR="00F36616" w:rsidRPr="00F83367" w:rsidRDefault="00F36616" w:rsidP="00F36616">
      <w:pPr>
        <w:keepNext/>
        <w:ind w:left="851"/>
        <w:textAlignment w:val="baseline"/>
        <w:outlineLvl w:val="0"/>
        <w:rPr>
          <w:color w:val="000000"/>
          <w:sz w:val="24"/>
          <w:szCs w:val="24"/>
          <w:u w:val="single"/>
        </w:rPr>
      </w:pPr>
      <w:r w:rsidRPr="00F83367">
        <w:rPr>
          <w:color w:val="000000"/>
          <w:sz w:val="24"/>
          <w:szCs w:val="24"/>
          <w:u w:val="single"/>
        </w:rPr>
        <w:t>Generelle egenskaber</w:t>
      </w:r>
    </w:p>
    <w:p w14:paraId="298692A5" w14:textId="77777777" w:rsidR="00F36616" w:rsidRPr="00F83367" w:rsidRDefault="00F36616" w:rsidP="00F36616">
      <w:pPr>
        <w:pStyle w:val="Default"/>
        <w:ind w:left="851"/>
      </w:pPr>
      <w:r w:rsidRPr="00F83367">
        <w:t>Enoxaparinnatriums farmakokinetiske parametre er primært blevet undersøgt ud fra varigheden af anti-Xa-aktivitet i plasma, men også ud fra anti-IIa-aktivitet ved de anbefalede doser efter enkelt og gentagen subkutan administration og efter en enkelt intravenøs injektion. Kvantificering af den farmakokinetiske aktivitet af anti-Xa og anti-IIa blev udført med validerede amidolytiske metoder.</w:t>
      </w:r>
    </w:p>
    <w:p w14:paraId="2AB48668" w14:textId="77777777" w:rsidR="00F36616" w:rsidRPr="00F83367" w:rsidRDefault="00F36616" w:rsidP="00F36616">
      <w:pPr>
        <w:pStyle w:val="Default"/>
        <w:ind w:left="851"/>
      </w:pPr>
    </w:p>
    <w:p w14:paraId="6A94FBAD"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Absorption</w:t>
      </w:r>
    </w:p>
    <w:p w14:paraId="70880904" w14:textId="77777777" w:rsidR="00F36616" w:rsidRPr="00F83367" w:rsidRDefault="00F36616" w:rsidP="00F36616">
      <w:pPr>
        <w:tabs>
          <w:tab w:val="left" w:pos="9638"/>
        </w:tabs>
        <w:ind w:left="851"/>
        <w:textAlignment w:val="baseline"/>
        <w:rPr>
          <w:sz w:val="24"/>
          <w:szCs w:val="24"/>
        </w:rPr>
      </w:pPr>
      <w:r w:rsidRPr="00F83367">
        <w:rPr>
          <w:sz w:val="24"/>
          <w:szCs w:val="24"/>
        </w:rPr>
        <w:t>Enoxaparins absolutte biotilgængelighed efter subkutan injektion er næsten 100 %, baseret på anti-Xa- aktivitet.</w:t>
      </w:r>
    </w:p>
    <w:p w14:paraId="2DCED13F" w14:textId="77777777" w:rsidR="00F36616" w:rsidRPr="00F83367" w:rsidRDefault="00F36616" w:rsidP="00F36616">
      <w:pPr>
        <w:tabs>
          <w:tab w:val="left" w:pos="9638"/>
        </w:tabs>
        <w:ind w:left="851"/>
        <w:textAlignment w:val="baseline"/>
        <w:rPr>
          <w:sz w:val="24"/>
          <w:szCs w:val="24"/>
        </w:rPr>
      </w:pPr>
    </w:p>
    <w:p w14:paraId="723E1BDA" w14:textId="77777777" w:rsidR="00F36616" w:rsidRPr="00F83367" w:rsidRDefault="00F36616" w:rsidP="00F36616">
      <w:pPr>
        <w:tabs>
          <w:tab w:val="left" w:pos="9638"/>
        </w:tabs>
        <w:ind w:left="851"/>
        <w:textAlignment w:val="baseline"/>
        <w:rPr>
          <w:sz w:val="24"/>
          <w:szCs w:val="24"/>
        </w:rPr>
      </w:pPr>
      <w:r w:rsidRPr="00F83367">
        <w:rPr>
          <w:sz w:val="24"/>
          <w:szCs w:val="24"/>
        </w:rPr>
        <w:t>Der kan anvendes forskellige doser og formuleringer og doseringsregimer.</w:t>
      </w:r>
    </w:p>
    <w:p w14:paraId="53BF5C5A" w14:textId="77777777" w:rsidR="00F36616" w:rsidRPr="00F83367" w:rsidRDefault="00F36616" w:rsidP="00F36616">
      <w:pPr>
        <w:tabs>
          <w:tab w:val="left" w:pos="9638"/>
        </w:tabs>
        <w:ind w:left="851"/>
        <w:textAlignment w:val="baseline"/>
        <w:rPr>
          <w:sz w:val="24"/>
          <w:szCs w:val="24"/>
        </w:rPr>
      </w:pPr>
      <w:r w:rsidRPr="00F83367">
        <w:rPr>
          <w:sz w:val="24"/>
          <w:szCs w:val="24"/>
        </w:rPr>
        <w:t>Den gennemsnitlige maksimale anti-Xa-aktivitet i plasma ses 3 til 5 timer efter subkutan injektion. Efter en enkelt subkutan administration af henholdsvis 2.000 IE, 4.000 IE, 100 IE/kg og 150 IE/kg (20 mg, 40 mg, 1 mg/kg og 1,5 mg/kg) sås niveauer på ca. 0,2, 0,4, 1,0 og 1,3 anti-Xa IE/ml.</w:t>
      </w:r>
    </w:p>
    <w:p w14:paraId="6F46C0BC" w14:textId="77777777" w:rsidR="00F36616" w:rsidRPr="00F83367" w:rsidRDefault="00F36616" w:rsidP="00F36616">
      <w:pPr>
        <w:tabs>
          <w:tab w:val="left" w:pos="9638"/>
        </w:tabs>
        <w:ind w:left="851"/>
        <w:textAlignment w:val="baseline"/>
        <w:rPr>
          <w:sz w:val="24"/>
          <w:szCs w:val="24"/>
        </w:rPr>
      </w:pPr>
    </w:p>
    <w:p w14:paraId="085CD68D" w14:textId="77777777" w:rsidR="00F36616" w:rsidRPr="00F83367" w:rsidRDefault="00F36616" w:rsidP="00F36616">
      <w:pPr>
        <w:tabs>
          <w:tab w:val="left" w:pos="9638"/>
        </w:tabs>
        <w:ind w:left="851"/>
        <w:textAlignment w:val="baseline"/>
        <w:rPr>
          <w:sz w:val="24"/>
          <w:szCs w:val="24"/>
        </w:rPr>
      </w:pPr>
      <w:r w:rsidRPr="00F83367">
        <w:rPr>
          <w:sz w:val="24"/>
          <w:szCs w:val="24"/>
        </w:rPr>
        <w:t xml:space="preserve">En intravenøs bolus på 3.000 IE (30 mg) umiddelbart efterfulgt af 100 IE/kg (1 mg/kg) subkutant hver 12. time gav et initialt maksimalt anti-Xa-niveau på 1,16 IE/ml (n=16) og en gennemsnitlig eksponering svarende til 88 % af </w:t>
      </w:r>
      <w:r w:rsidRPr="00F83367">
        <w:rPr>
          <w:i/>
          <w:iCs/>
          <w:sz w:val="24"/>
          <w:szCs w:val="24"/>
        </w:rPr>
        <w:t>steady state</w:t>
      </w:r>
      <w:r w:rsidRPr="00F83367">
        <w:rPr>
          <w:sz w:val="24"/>
          <w:szCs w:val="24"/>
        </w:rPr>
        <w:t xml:space="preserve">-niveauet. </w:t>
      </w:r>
      <w:r w:rsidRPr="00F83367">
        <w:rPr>
          <w:i/>
          <w:iCs/>
          <w:sz w:val="24"/>
          <w:szCs w:val="24"/>
        </w:rPr>
        <w:t>Steady state</w:t>
      </w:r>
      <w:r w:rsidRPr="00F83367">
        <w:rPr>
          <w:sz w:val="24"/>
          <w:szCs w:val="24"/>
        </w:rPr>
        <w:t xml:space="preserve"> opnås på behandlingens 2. dag.</w:t>
      </w:r>
    </w:p>
    <w:p w14:paraId="6C9F8236" w14:textId="77777777" w:rsidR="00F36616" w:rsidRPr="00F83367" w:rsidRDefault="00F36616" w:rsidP="00F36616">
      <w:pPr>
        <w:tabs>
          <w:tab w:val="left" w:pos="9638"/>
        </w:tabs>
        <w:ind w:left="851"/>
        <w:textAlignment w:val="baseline"/>
        <w:rPr>
          <w:sz w:val="24"/>
          <w:szCs w:val="24"/>
        </w:rPr>
      </w:pPr>
    </w:p>
    <w:p w14:paraId="3E534B27" w14:textId="77777777" w:rsidR="00F36616" w:rsidRPr="00F83367" w:rsidRDefault="00F36616" w:rsidP="00F36616">
      <w:pPr>
        <w:tabs>
          <w:tab w:val="left" w:pos="9638"/>
        </w:tabs>
        <w:ind w:left="851"/>
        <w:textAlignment w:val="baseline"/>
        <w:rPr>
          <w:sz w:val="24"/>
          <w:szCs w:val="24"/>
        </w:rPr>
      </w:pPr>
      <w:r w:rsidRPr="00F83367">
        <w:rPr>
          <w:sz w:val="24"/>
          <w:szCs w:val="24"/>
        </w:rPr>
        <w:t xml:space="preserve">Efter gentagen subkutan administration af 4.000 IE (40 mg) en gang dagligt og 150 IE/kg (1,5 mg/kg) en gang dagligt til raske forsøgspersoner nås </w:t>
      </w:r>
      <w:r w:rsidRPr="00F83367">
        <w:rPr>
          <w:i/>
          <w:iCs/>
          <w:sz w:val="24"/>
          <w:szCs w:val="24"/>
        </w:rPr>
        <w:t>steady state</w:t>
      </w:r>
      <w:r w:rsidRPr="00F83367">
        <w:rPr>
          <w:sz w:val="24"/>
          <w:szCs w:val="24"/>
        </w:rPr>
        <w:t xml:space="preserve"> på dag 2 med en gennemsnitlig eksponeringsratio, der er ca. 15 % højere end efter en enkelt dosis. Efter gentagen subkutan administration af 100 IE/kg (1 mg/kg) to gange dagligt opnås </w:t>
      </w:r>
      <w:r w:rsidRPr="00F83367">
        <w:rPr>
          <w:i/>
          <w:iCs/>
          <w:sz w:val="24"/>
          <w:szCs w:val="24"/>
        </w:rPr>
        <w:t>steady state</w:t>
      </w:r>
      <w:r w:rsidRPr="00F83367">
        <w:rPr>
          <w:sz w:val="24"/>
          <w:szCs w:val="24"/>
        </w:rPr>
        <w:t xml:space="preserve"> mellem dag 3 og 4 med en gennemsnitlig eksponering, der er ca. 65 % højere end efter en enkelt dosis, og et gennemsnitligt maksimalt og minimalt anti-Xa-niveau på henholdsvis cirka 1,2 og 0,52 IE/ml.</w:t>
      </w:r>
    </w:p>
    <w:p w14:paraId="1C76E2A0" w14:textId="77777777" w:rsidR="00F36616" w:rsidRPr="00F83367" w:rsidRDefault="00F36616" w:rsidP="00F36616">
      <w:pPr>
        <w:tabs>
          <w:tab w:val="left" w:pos="9638"/>
        </w:tabs>
        <w:ind w:left="851"/>
        <w:textAlignment w:val="baseline"/>
        <w:rPr>
          <w:sz w:val="24"/>
          <w:szCs w:val="24"/>
        </w:rPr>
      </w:pPr>
    </w:p>
    <w:p w14:paraId="17E0C43B" w14:textId="77777777" w:rsidR="00F36616" w:rsidRPr="00F83367" w:rsidRDefault="00F36616" w:rsidP="00F36616">
      <w:pPr>
        <w:tabs>
          <w:tab w:val="left" w:pos="9638"/>
        </w:tabs>
        <w:ind w:left="851"/>
        <w:textAlignment w:val="baseline"/>
        <w:rPr>
          <w:sz w:val="24"/>
          <w:szCs w:val="24"/>
        </w:rPr>
      </w:pPr>
      <w:r w:rsidRPr="00F83367">
        <w:rPr>
          <w:sz w:val="24"/>
          <w:szCs w:val="24"/>
        </w:rPr>
        <w:lastRenderedPageBreak/>
        <w:t>Injektionsvolumen og dosiskoncentration i intervallet 100-200 mg/ml påvirker ikke de farmakokinetiske parametre hos raske forsøgspersoner.</w:t>
      </w:r>
    </w:p>
    <w:p w14:paraId="24D4D670" w14:textId="77777777" w:rsidR="00F36616" w:rsidRPr="00F83367" w:rsidRDefault="00F36616" w:rsidP="00F36616">
      <w:pPr>
        <w:tabs>
          <w:tab w:val="left" w:pos="9638"/>
        </w:tabs>
        <w:ind w:left="851"/>
        <w:textAlignment w:val="baseline"/>
        <w:rPr>
          <w:sz w:val="24"/>
          <w:szCs w:val="24"/>
        </w:rPr>
      </w:pPr>
      <w:r w:rsidRPr="00F83367">
        <w:rPr>
          <w:sz w:val="24"/>
          <w:szCs w:val="24"/>
        </w:rPr>
        <w:t>Enoxaparinnatriums farmakokinetik synes at være lineær ved de anbefalede dosisintervaller.</w:t>
      </w:r>
    </w:p>
    <w:p w14:paraId="143359B6" w14:textId="77777777" w:rsidR="00F36616" w:rsidRPr="00F83367" w:rsidRDefault="00F36616" w:rsidP="00F36616">
      <w:pPr>
        <w:tabs>
          <w:tab w:val="left" w:pos="9638"/>
        </w:tabs>
        <w:ind w:left="851"/>
        <w:textAlignment w:val="baseline"/>
        <w:rPr>
          <w:sz w:val="24"/>
          <w:szCs w:val="24"/>
        </w:rPr>
      </w:pPr>
      <w:r w:rsidRPr="00F83367">
        <w:rPr>
          <w:sz w:val="24"/>
          <w:szCs w:val="24"/>
        </w:rPr>
        <w:t>Den intra- og inter-individuelle variabilitet er lav. Efter gentagen subkutan administration finder der ikke nogen akkumulation sted.</w:t>
      </w:r>
    </w:p>
    <w:p w14:paraId="1105587D" w14:textId="77777777" w:rsidR="00F36616" w:rsidRPr="00F83367" w:rsidRDefault="00F36616" w:rsidP="00F36616">
      <w:pPr>
        <w:tabs>
          <w:tab w:val="left" w:pos="9638"/>
        </w:tabs>
        <w:ind w:left="851"/>
        <w:textAlignment w:val="baseline"/>
        <w:rPr>
          <w:sz w:val="24"/>
          <w:szCs w:val="24"/>
        </w:rPr>
      </w:pPr>
    </w:p>
    <w:p w14:paraId="15205DD3" w14:textId="77777777" w:rsidR="00F36616" w:rsidRPr="00F83367" w:rsidRDefault="00F36616" w:rsidP="00F36616">
      <w:pPr>
        <w:tabs>
          <w:tab w:val="left" w:pos="9638"/>
        </w:tabs>
        <w:ind w:left="851"/>
        <w:textAlignment w:val="baseline"/>
        <w:rPr>
          <w:color w:val="000000"/>
          <w:sz w:val="24"/>
          <w:szCs w:val="24"/>
        </w:rPr>
      </w:pPr>
      <w:r w:rsidRPr="00F83367">
        <w:rPr>
          <w:sz w:val="24"/>
          <w:szCs w:val="24"/>
        </w:rPr>
        <w:t>Efter subkutan administration er anti-IIa-aktiviteten i plasma ca. 10 gange lavere end anti-Xa- aktiviteten. Den gennemsnitlige maksimale anti-IIa-aktivitet i plasma ses ca. 3 til 4 timer efter subkutan injektion og når 0,13 IE/ml og 0,19 IE/ml efter gentagen administration af henholdsvis 100 IE/kg (1 mg/kg) to gange dagligt og 150 IE/kg (1,5 mg/kg) en gang dagligt</w:t>
      </w:r>
      <w:r w:rsidRPr="00F83367">
        <w:rPr>
          <w:color w:val="000000"/>
          <w:sz w:val="24"/>
          <w:szCs w:val="24"/>
        </w:rPr>
        <w:t>.</w:t>
      </w:r>
    </w:p>
    <w:p w14:paraId="15BC13CA" w14:textId="77777777" w:rsidR="00F36616" w:rsidRPr="00F83367" w:rsidRDefault="00F36616" w:rsidP="00F36616">
      <w:pPr>
        <w:ind w:left="851"/>
        <w:textAlignment w:val="baseline"/>
        <w:rPr>
          <w:color w:val="000000"/>
          <w:sz w:val="24"/>
          <w:szCs w:val="24"/>
          <w:u w:val="single"/>
        </w:rPr>
      </w:pPr>
    </w:p>
    <w:p w14:paraId="6B4FDF55"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Fordeling</w:t>
      </w:r>
    </w:p>
    <w:p w14:paraId="7237AD7F" w14:textId="77777777" w:rsidR="00F36616" w:rsidRPr="00F83367" w:rsidRDefault="00F36616" w:rsidP="00F36616">
      <w:pPr>
        <w:ind w:left="851"/>
        <w:textAlignment w:val="baseline"/>
        <w:rPr>
          <w:color w:val="000000"/>
          <w:spacing w:val="-1"/>
          <w:sz w:val="24"/>
          <w:szCs w:val="24"/>
        </w:rPr>
      </w:pPr>
      <w:r w:rsidRPr="00F83367">
        <w:rPr>
          <w:sz w:val="24"/>
          <w:szCs w:val="24"/>
        </w:rPr>
        <w:t>Fordelingsvolumen af enoxaparinnatriums anti-Xa-aktivitet er ca. 4,3 liter og tæt på det samme som blodvolumen.</w:t>
      </w:r>
    </w:p>
    <w:p w14:paraId="5D07D772" w14:textId="77777777" w:rsidR="00F36616" w:rsidRPr="00F83367" w:rsidRDefault="00F36616" w:rsidP="00F36616">
      <w:pPr>
        <w:ind w:left="851"/>
        <w:textAlignment w:val="baseline"/>
        <w:rPr>
          <w:color w:val="000000"/>
          <w:sz w:val="24"/>
          <w:szCs w:val="24"/>
          <w:u w:val="single"/>
        </w:rPr>
      </w:pPr>
    </w:p>
    <w:p w14:paraId="10E1296D" w14:textId="77777777" w:rsidR="00F36616" w:rsidRPr="00F83367" w:rsidRDefault="00F36616" w:rsidP="0014694F">
      <w:pPr>
        <w:keepNext/>
        <w:ind w:left="851"/>
        <w:textAlignment w:val="baseline"/>
        <w:outlineLvl w:val="0"/>
        <w:rPr>
          <w:color w:val="000000"/>
          <w:sz w:val="24"/>
          <w:szCs w:val="24"/>
          <w:u w:val="single"/>
        </w:rPr>
      </w:pPr>
      <w:r w:rsidRPr="00F83367">
        <w:rPr>
          <w:color w:val="000000"/>
          <w:sz w:val="24"/>
          <w:szCs w:val="24"/>
          <w:u w:val="single"/>
        </w:rPr>
        <w:t>Biotransformation</w:t>
      </w:r>
    </w:p>
    <w:p w14:paraId="28FEFB7D" w14:textId="77777777" w:rsidR="00F36616" w:rsidRPr="00F83367" w:rsidRDefault="00F36616" w:rsidP="00F36616">
      <w:pPr>
        <w:ind w:left="851"/>
        <w:textAlignment w:val="baseline"/>
        <w:rPr>
          <w:color w:val="000000"/>
          <w:sz w:val="24"/>
          <w:szCs w:val="24"/>
        </w:rPr>
      </w:pPr>
      <w:r w:rsidRPr="00F83367">
        <w:rPr>
          <w:color w:val="000000"/>
          <w:sz w:val="24"/>
          <w:szCs w:val="24"/>
        </w:rPr>
        <w:t>Enoxaparinnatrium metaboliseres hovedsageligt i leveren, hvor det nedbrydes til kemiske former med lavere molekylvægt og signifikant reduceret biologisk aktivitet som resultat af desulfatering og depolymerisering.</w:t>
      </w:r>
    </w:p>
    <w:p w14:paraId="6C2399D4" w14:textId="77777777" w:rsidR="00D57DDA" w:rsidRPr="00F83367" w:rsidRDefault="00D57DDA" w:rsidP="00F36616">
      <w:pPr>
        <w:ind w:left="851"/>
        <w:textAlignment w:val="baseline"/>
        <w:rPr>
          <w:color w:val="000000"/>
          <w:sz w:val="24"/>
          <w:szCs w:val="24"/>
          <w:u w:val="single"/>
        </w:rPr>
      </w:pPr>
    </w:p>
    <w:p w14:paraId="562A8B38"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Elimination</w:t>
      </w:r>
    </w:p>
    <w:p w14:paraId="392BCE44" w14:textId="77777777" w:rsidR="00F36616" w:rsidRPr="00F83367" w:rsidRDefault="00F36616" w:rsidP="00F36616">
      <w:pPr>
        <w:ind w:left="851"/>
        <w:textAlignment w:val="baseline"/>
        <w:rPr>
          <w:color w:val="000000"/>
          <w:sz w:val="24"/>
          <w:szCs w:val="24"/>
        </w:rPr>
      </w:pPr>
      <w:r w:rsidRPr="00F83367">
        <w:rPr>
          <w:color w:val="000000"/>
          <w:sz w:val="24"/>
          <w:szCs w:val="24"/>
        </w:rPr>
        <w:t xml:space="preserve">Enoxaparinnatrium er et stof med lav </w:t>
      </w:r>
      <w:r w:rsidRPr="00F83367">
        <w:rPr>
          <w:i/>
          <w:iCs/>
          <w:color w:val="000000"/>
          <w:sz w:val="24"/>
          <w:szCs w:val="24"/>
        </w:rPr>
        <w:t>clearance</w:t>
      </w:r>
      <w:r w:rsidRPr="00F83367">
        <w:rPr>
          <w:color w:val="000000"/>
          <w:sz w:val="24"/>
          <w:szCs w:val="24"/>
        </w:rPr>
        <w:t xml:space="preserve"> med en gennemsnitlig </w:t>
      </w:r>
      <w:r w:rsidRPr="00F83367">
        <w:rPr>
          <w:i/>
          <w:iCs/>
          <w:color w:val="000000"/>
          <w:sz w:val="24"/>
          <w:szCs w:val="24"/>
        </w:rPr>
        <w:t>clearance</w:t>
      </w:r>
      <w:r w:rsidRPr="00F83367">
        <w:rPr>
          <w:color w:val="000000"/>
          <w:sz w:val="24"/>
          <w:szCs w:val="24"/>
        </w:rPr>
        <w:t xml:space="preserve"> af anti-Xa i plasma på 0,74 l/time efter intravenøs infusion af 150 IE/kg (1,5 mg/kg) over 6 timer.</w:t>
      </w:r>
    </w:p>
    <w:p w14:paraId="6094E842" w14:textId="77777777" w:rsidR="00F36616" w:rsidRPr="00F83367" w:rsidRDefault="00F36616" w:rsidP="00F36616">
      <w:pPr>
        <w:ind w:left="851"/>
        <w:textAlignment w:val="baseline"/>
        <w:rPr>
          <w:color w:val="000000"/>
          <w:sz w:val="24"/>
          <w:szCs w:val="24"/>
        </w:rPr>
      </w:pPr>
      <w:r w:rsidRPr="00F83367">
        <w:rPr>
          <w:color w:val="000000"/>
          <w:sz w:val="24"/>
          <w:szCs w:val="24"/>
        </w:rPr>
        <w:t>Eliminationen synes at være monofasisk med en halveringstid på ca. 5 timer efter en enkelt subkutan dosis til ca. 7 timer efter gentagen dosering.</w:t>
      </w:r>
    </w:p>
    <w:p w14:paraId="4B9F18D9" w14:textId="77777777" w:rsidR="00F36616" w:rsidRPr="00F83367" w:rsidRDefault="00F36616" w:rsidP="00F36616">
      <w:pPr>
        <w:ind w:left="851"/>
        <w:textAlignment w:val="baseline"/>
        <w:rPr>
          <w:color w:val="000000"/>
          <w:sz w:val="24"/>
          <w:szCs w:val="24"/>
        </w:rPr>
      </w:pPr>
      <w:r w:rsidRPr="00F83367">
        <w:rPr>
          <w:color w:val="000000"/>
          <w:sz w:val="24"/>
          <w:szCs w:val="24"/>
        </w:rPr>
        <w:t>Ca. 10 % af den administrerede dosis udskilles som aktive metabolitter renalt, og totalt udskilles 40 % af dosis renalt som aktive og ikke-aktive metabolitter.</w:t>
      </w:r>
    </w:p>
    <w:p w14:paraId="318913C0" w14:textId="77777777" w:rsidR="00F36616" w:rsidRPr="00F83367" w:rsidRDefault="00F36616" w:rsidP="00F36616">
      <w:pPr>
        <w:ind w:left="851"/>
        <w:textAlignment w:val="baseline"/>
        <w:rPr>
          <w:color w:val="000000"/>
          <w:sz w:val="24"/>
          <w:szCs w:val="24"/>
          <w:u w:val="single"/>
        </w:rPr>
      </w:pPr>
    </w:p>
    <w:p w14:paraId="72C77B32" w14:textId="77777777" w:rsidR="00F36616" w:rsidRPr="00F83367" w:rsidRDefault="00F36616" w:rsidP="00F36616">
      <w:pPr>
        <w:ind w:left="851"/>
        <w:textAlignment w:val="baseline"/>
        <w:outlineLvl w:val="0"/>
        <w:rPr>
          <w:color w:val="000000"/>
          <w:sz w:val="24"/>
          <w:szCs w:val="24"/>
          <w:u w:val="single"/>
        </w:rPr>
      </w:pPr>
      <w:r w:rsidRPr="00F83367">
        <w:rPr>
          <w:color w:val="000000"/>
          <w:sz w:val="24"/>
          <w:szCs w:val="24"/>
          <w:u w:val="single"/>
        </w:rPr>
        <w:t>Særlige populationer</w:t>
      </w:r>
    </w:p>
    <w:p w14:paraId="69CE342F" w14:textId="77777777" w:rsidR="00F36616" w:rsidRPr="00F83367" w:rsidRDefault="00F36616" w:rsidP="00F36616">
      <w:pPr>
        <w:ind w:left="851"/>
        <w:textAlignment w:val="baseline"/>
        <w:rPr>
          <w:i/>
          <w:color w:val="000000"/>
          <w:spacing w:val="-1"/>
          <w:sz w:val="24"/>
          <w:szCs w:val="24"/>
        </w:rPr>
      </w:pPr>
    </w:p>
    <w:p w14:paraId="26B4D534" w14:textId="77777777" w:rsidR="00F36616" w:rsidRPr="00F83367" w:rsidRDefault="00F36616" w:rsidP="00F36616">
      <w:pPr>
        <w:ind w:left="851"/>
        <w:textAlignment w:val="baseline"/>
        <w:outlineLvl w:val="0"/>
        <w:rPr>
          <w:i/>
          <w:color w:val="000000"/>
          <w:spacing w:val="-1"/>
          <w:sz w:val="24"/>
          <w:szCs w:val="24"/>
        </w:rPr>
      </w:pPr>
      <w:r w:rsidRPr="00F83367">
        <w:rPr>
          <w:i/>
          <w:color w:val="000000"/>
          <w:spacing w:val="-1"/>
          <w:sz w:val="24"/>
          <w:szCs w:val="24"/>
        </w:rPr>
        <w:t>Ældre</w:t>
      </w:r>
    </w:p>
    <w:p w14:paraId="0263F579" w14:textId="77777777" w:rsidR="00F36616" w:rsidRPr="00F83367" w:rsidRDefault="00F36616" w:rsidP="00F36616">
      <w:pPr>
        <w:ind w:left="851"/>
        <w:textAlignment w:val="baseline"/>
        <w:rPr>
          <w:color w:val="000000"/>
          <w:sz w:val="24"/>
          <w:szCs w:val="24"/>
        </w:rPr>
      </w:pPr>
      <w:r w:rsidRPr="00F83367">
        <w:rPr>
          <w:color w:val="000000"/>
          <w:sz w:val="24"/>
          <w:szCs w:val="24"/>
        </w:rPr>
        <w:t>Baseret på resultaterne fra en populationsfarmakokinetisk analyse er enoxaparinnatriums kinetiske profil ikke anderledes hos ældre personer med normal nyrefunktion sammenlignet med yngre personer. Men eftersom nyrefunktionen aftager med alderen, kan eliminationen af enoxaparinnatrium være reduceret hos ældre patienter (se pkt. 4.2 og 4.4).</w:t>
      </w:r>
    </w:p>
    <w:p w14:paraId="4FCCE4AB" w14:textId="77777777" w:rsidR="00F36616" w:rsidRPr="00F83367" w:rsidRDefault="00F36616" w:rsidP="00F36616">
      <w:pPr>
        <w:ind w:left="851"/>
        <w:textAlignment w:val="baseline"/>
        <w:rPr>
          <w:color w:val="000000"/>
          <w:sz w:val="24"/>
          <w:szCs w:val="24"/>
        </w:rPr>
      </w:pPr>
    </w:p>
    <w:p w14:paraId="026D596E"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Nedsat leverfunktion</w:t>
      </w:r>
    </w:p>
    <w:p w14:paraId="54472298" w14:textId="75F4EE4C" w:rsidR="00F36616" w:rsidRPr="00F83367" w:rsidRDefault="00F36616" w:rsidP="00D57DDA">
      <w:pPr>
        <w:ind w:left="851" w:right="-38"/>
        <w:textAlignment w:val="baseline"/>
        <w:rPr>
          <w:color w:val="000000"/>
          <w:sz w:val="24"/>
          <w:szCs w:val="24"/>
        </w:rPr>
      </w:pPr>
      <w:r w:rsidRPr="00F83367">
        <w:rPr>
          <w:color w:val="000000"/>
          <w:sz w:val="24"/>
          <w:szCs w:val="24"/>
        </w:rPr>
        <w:t>I et studie udført med patienter med fremskreden cirrose, som blev behandlet med enoxaparinnatrium 4.000 IE (40 mg) en gang dagligt, blev en reduktion af den maksimale anti-Xa-aktivitet associeret med en stigende sværhedsgrad af nedsat leverfunktion (vurderet ved hjælp af Child-Pugh-klassificering). Reduktionen skyldtes hovedsageligt et mindsket ATIII-niveau som følge af nedsat ATIII-syntese hos patienter med nedsat leverfunktion.</w:t>
      </w:r>
    </w:p>
    <w:p w14:paraId="4806F3DD" w14:textId="77777777" w:rsidR="00F36616" w:rsidRPr="00F83367" w:rsidRDefault="00F36616" w:rsidP="00F36616">
      <w:pPr>
        <w:ind w:left="851" w:right="-38"/>
        <w:textAlignment w:val="baseline"/>
        <w:rPr>
          <w:color w:val="000000"/>
          <w:sz w:val="24"/>
          <w:szCs w:val="24"/>
        </w:rPr>
      </w:pPr>
    </w:p>
    <w:p w14:paraId="4DC64C89" w14:textId="77777777" w:rsidR="00F36616" w:rsidRPr="00F83367" w:rsidRDefault="00F36616" w:rsidP="00F36616">
      <w:pPr>
        <w:ind w:left="851"/>
        <w:textAlignment w:val="baseline"/>
        <w:outlineLvl w:val="0"/>
        <w:rPr>
          <w:i/>
          <w:color w:val="000000"/>
          <w:sz w:val="24"/>
          <w:szCs w:val="24"/>
        </w:rPr>
      </w:pPr>
      <w:r w:rsidRPr="00F83367">
        <w:rPr>
          <w:i/>
          <w:color w:val="000000"/>
          <w:sz w:val="24"/>
          <w:szCs w:val="24"/>
        </w:rPr>
        <w:t>Nedsat nyrefunktion</w:t>
      </w:r>
    </w:p>
    <w:p w14:paraId="4B730926" w14:textId="77777777" w:rsidR="00F36616" w:rsidRPr="00F83367" w:rsidRDefault="00F36616" w:rsidP="00F36616">
      <w:pPr>
        <w:ind w:left="851" w:right="288"/>
        <w:textAlignment w:val="baseline"/>
        <w:rPr>
          <w:color w:val="000000"/>
          <w:sz w:val="24"/>
          <w:szCs w:val="24"/>
        </w:rPr>
      </w:pPr>
      <w:r w:rsidRPr="00F83367">
        <w:rPr>
          <w:color w:val="000000"/>
          <w:sz w:val="24"/>
          <w:szCs w:val="24"/>
        </w:rPr>
        <w:t>Der er set et lineært forhold mellem plasma-</w:t>
      </w:r>
      <w:r w:rsidRPr="00F83367">
        <w:rPr>
          <w:i/>
          <w:iCs/>
          <w:color w:val="000000"/>
          <w:sz w:val="24"/>
          <w:szCs w:val="24"/>
        </w:rPr>
        <w:t>clearance</w:t>
      </w:r>
      <w:r w:rsidRPr="00F83367">
        <w:rPr>
          <w:color w:val="000000"/>
          <w:sz w:val="24"/>
          <w:szCs w:val="24"/>
        </w:rPr>
        <w:t xml:space="preserve"> af anti-Xa og kreatinin-</w:t>
      </w:r>
      <w:r w:rsidRPr="00F83367">
        <w:rPr>
          <w:i/>
          <w:iCs/>
          <w:color w:val="000000"/>
          <w:sz w:val="24"/>
          <w:szCs w:val="24"/>
        </w:rPr>
        <w:t>clearance</w:t>
      </w:r>
      <w:r w:rsidRPr="00F83367">
        <w:rPr>
          <w:color w:val="000000"/>
          <w:sz w:val="24"/>
          <w:szCs w:val="24"/>
        </w:rPr>
        <w:t xml:space="preserve"> ved </w:t>
      </w:r>
      <w:r w:rsidRPr="00F83367">
        <w:rPr>
          <w:i/>
          <w:iCs/>
          <w:color w:val="000000"/>
          <w:sz w:val="24"/>
          <w:szCs w:val="24"/>
        </w:rPr>
        <w:t>steady state</w:t>
      </w:r>
      <w:r w:rsidRPr="00F83367">
        <w:rPr>
          <w:color w:val="000000"/>
          <w:sz w:val="24"/>
          <w:szCs w:val="24"/>
        </w:rPr>
        <w:t xml:space="preserve">, hvilket tyder på nedsat </w:t>
      </w:r>
      <w:r w:rsidRPr="00F83367">
        <w:rPr>
          <w:i/>
          <w:iCs/>
          <w:color w:val="000000"/>
          <w:sz w:val="24"/>
          <w:szCs w:val="24"/>
        </w:rPr>
        <w:t>clearance</w:t>
      </w:r>
      <w:r w:rsidRPr="00F83367">
        <w:rPr>
          <w:color w:val="000000"/>
          <w:sz w:val="24"/>
          <w:szCs w:val="24"/>
        </w:rPr>
        <w:t xml:space="preserve"> af enoxaparinnatrium hos patienter med nedsat nyrefunktion. Efter gentagne subkutane doser på 4.000 IE (40 mg) en gang dagligt er eksponeringen (AUC) for anti- Xa ved </w:t>
      </w:r>
      <w:r w:rsidRPr="00F83367">
        <w:rPr>
          <w:i/>
          <w:iCs/>
          <w:color w:val="000000"/>
          <w:sz w:val="24"/>
          <w:szCs w:val="24"/>
        </w:rPr>
        <w:t>steady state</w:t>
      </w:r>
      <w:r w:rsidRPr="00F83367">
        <w:rPr>
          <w:color w:val="000000"/>
          <w:sz w:val="24"/>
          <w:szCs w:val="24"/>
        </w:rPr>
        <w:t xml:space="preserve"> marginalt øget ved let nedsat (kreatinin-</w:t>
      </w:r>
      <w:r w:rsidRPr="00F83367">
        <w:rPr>
          <w:i/>
          <w:iCs/>
          <w:color w:val="000000"/>
          <w:sz w:val="24"/>
          <w:szCs w:val="24"/>
        </w:rPr>
        <w:t>clearance</w:t>
      </w:r>
      <w:r w:rsidRPr="00F83367">
        <w:rPr>
          <w:color w:val="000000"/>
          <w:sz w:val="24"/>
          <w:szCs w:val="24"/>
        </w:rPr>
        <w:t xml:space="preserve"> 50-80 ml/min.) og moderat nedsat (kreatinin-</w:t>
      </w:r>
      <w:r w:rsidRPr="00F83367">
        <w:rPr>
          <w:i/>
          <w:iCs/>
          <w:color w:val="000000"/>
          <w:sz w:val="24"/>
          <w:szCs w:val="24"/>
        </w:rPr>
        <w:t>clearance</w:t>
      </w:r>
      <w:r w:rsidRPr="00F83367">
        <w:rPr>
          <w:color w:val="000000"/>
          <w:sz w:val="24"/>
          <w:szCs w:val="24"/>
        </w:rPr>
        <w:t xml:space="preserve"> 30-</w:t>
      </w:r>
      <w:r w:rsidRPr="00F83367">
        <w:rPr>
          <w:color w:val="000000"/>
          <w:sz w:val="24"/>
          <w:szCs w:val="24"/>
        </w:rPr>
        <w:lastRenderedPageBreak/>
        <w:t>50 ml/min.) nyrefunktion. Hos patienter med svært nedsat nyrefunktion (kreatinin-</w:t>
      </w:r>
      <w:r w:rsidRPr="00F83367">
        <w:rPr>
          <w:i/>
          <w:iCs/>
          <w:color w:val="000000"/>
          <w:sz w:val="24"/>
          <w:szCs w:val="24"/>
        </w:rPr>
        <w:t>clearance</w:t>
      </w:r>
      <w:r w:rsidRPr="00F83367">
        <w:rPr>
          <w:color w:val="000000"/>
          <w:sz w:val="24"/>
          <w:szCs w:val="24"/>
        </w:rPr>
        <w:t xml:space="preserve"> &lt;30 ml/min.) er AUC ved </w:t>
      </w:r>
      <w:r w:rsidRPr="00F83367">
        <w:rPr>
          <w:i/>
          <w:iCs/>
          <w:color w:val="000000"/>
          <w:sz w:val="24"/>
          <w:szCs w:val="24"/>
        </w:rPr>
        <w:t>steady state</w:t>
      </w:r>
      <w:r w:rsidRPr="00F83367">
        <w:rPr>
          <w:color w:val="000000"/>
          <w:sz w:val="24"/>
          <w:szCs w:val="24"/>
        </w:rPr>
        <w:t xml:space="preserve"> signifikant øget med gennemsnitligt 65 % efter gentagne subkutane doser på 4.000 IE (40 mg) en gang dagligt (se pkt. 4.2 og 4.4).</w:t>
      </w:r>
    </w:p>
    <w:p w14:paraId="1732C76E" w14:textId="77777777" w:rsidR="00F36616" w:rsidRPr="00F83367" w:rsidRDefault="00F36616" w:rsidP="00F36616">
      <w:pPr>
        <w:ind w:left="851" w:right="288"/>
        <w:textAlignment w:val="baseline"/>
        <w:rPr>
          <w:color w:val="000000"/>
          <w:sz w:val="24"/>
          <w:szCs w:val="24"/>
        </w:rPr>
      </w:pPr>
    </w:p>
    <w:p w14:paraId="12198B86" w14:textId="77777777" w:rsidR="00F36616" w:rsidRPr="00F83367" w:rsidRDefault="00F36616" w:rsidP="00F36616">
      <w:pPr>
        <w:ind w:left="851" w:right="-1"/>
        <w:textAlignment w:val="baseline"/>
        <w:outlineLvl w:val="0"/>
        <w:rPr>
          <w:i/>
          <w:color w:val="000000"/>
          <w:sz w:val="24"/>
          <w:szCs w:val="24"/>
        </w:rPr>
      </w:pPr>
      <w:r w:rsidRPr="00F83367">
        <w:rPr>
          <w:i/>
          <w:color w:val="000000"/>
          <w:sz w:val="24"/>
          <w:szCs w:val="24"/>
        </w:rPr>
        <w:t>Hæmodialyse</w:t>
      </w:r>
    </w:p>
    <w:p w14:paraId="790A4EDF" w14:textId="77777777" w:rsidR="00F36616" w:rsidRPr="00F83367" w:rsidRDefault="00F36616" w:rsidP="00F36616">
      <w:pPr>
        <w:ind w:left="851" w:right="-1"/>
        <w:textAlignment w:val="baseline"/>
        <w:rPr>
          <w:color w:val="000000"/>
          <w:sz w:val="24"/>
          <w:szCs w:val="24"/>
        </w:rPr>
      </w:pPr>
      <w:r w:rsidRPr="00F83367">
        <w:rPr>
          <w:color w:val="000000"/>
          <w:sz w:val="24"/>
          <w:szCs w:val="24"/>
        </w:rPr>
        <w:t>Enoxaparinnatriums farmakokinetik var sammenlignelig med farmakokinetikken hos kontrolpopulationen efter en enkelt intravenøs dosis på 25 IE, 50 IE eller 100 IE/kg (0,25, 0,50 eller 1,0 mg/kg), dog var AUC to gange større end hos kontrolpopulationen.</w:t>
      </w:r>
    </w:p>
    <w:p w14:paraId="1B80ADE3" w14:textId="77777777" w:rsidR="00F36616" w:rsidRPr="00F83367" w:rsidRDefault="00F36616" w:rsidP="00F36616">
      <w:pPr>
        <w:ind w:left="851" w:right="-1"/>
        <w:textAlignment w:val="baseline"/>
        <w:rPr>
          <w:color w:val="000000"/>
          <w:sz w:val="24"/>
          <w:szCs w:val="24"/>
        </w:rPr>
      </w:pPr>
    </w:p>
    <w:p w14:paraId="329B8E18" w14:textId="77777777" w:rsidR="00F36616" w:rsidRPr="00F83367" w:rsidRDefault="00F36616" w:rsidP="00F36616">
      <w:pPr>
        <w:ind w:left="851"/>
        <w:textAlignment w:val="baseline"/>
        <w:outlineLvl w:val="0"/>
        <w:rPr>
          <w:i/>
          <w:color w:val="000000"/>
          <w:spacing w:val="-2"/>
          <w:sz w:val="24"/>
          <w:szCs w:val="24"/>
        </w:rPr>
      </w:pPr>
      <w:r w:rsidRPr="00F83367">
        <w:rPr>
          <w:i/>
          <w:color w:val="000000"/>
          <w:spacing w:val="-2"/>
          <w:sz w:val="24"/>
          <w:szCs w:val="24"/>
        </w:rPr>
        <w:t>Vægt</w:t>
      </w:r>
    </w:p>
    <w:p w14:paraId="14A70424" w14:textId="77777777" w:rsidR="00F36616" w:rsidRPr="00F83367" w:rsidRDefault="00F36616" w:rsidP="00F36616">
      <w:pPr>
        <w:tabs>
          <w:tab w:val="left" w:pos="9072"/>
        </w:tabs>
        <w:ind w:left="851"/>
        <w:textAlignment w:val="baseline"/>
        <w:rPr>
          <w:color w:val="000000"/>
          <w:sz w:val="24"/>
          <w:szCs w:val="24"/>
        </w:rPr>
      </w:pPr>
      <w:r w:rsidRPr="00F83367">
        <w:rPr>
          <w:color w:val="000000"/>
          <w:sz w:val="24"/>
          <w:szCs w:val="24"/>
        </w:rPr>
        <w:t xml:space="preserve">Efter gentagne subkutane doser på 150 IE/kg (1,5 mg/kg) en gang dagligt er den gennemsnitlige AUC af anti-Xa-aktivitet ved </w:t>
      </w:r>
      <w:r w:rsidRPr="00F83367">
        <w:rPr>
          <w:i/>
          <w:iCs/>
          <w:color w:val="000000"/>
          <w:sz w:val="24"/>
          <w:szCs w:val="24"/>
        </w:rPr>
        <w:t>steady state</w:t>
      </w:r>
      <w:r w:rsidRPr="00F83367">
        <w:rPr>
          <w:color w:val="000000"/>
          <w:sz w:val="24"/>
          <w:szCs w:val="24"/>
        </w:rPr>
        <w:t xml:space="preserve"> marginalt højere hos svært overvægtige, raske forsøgspersoner (BMI 30-48 kg/m2) sammenlignet med ikke-overvægtige kontrolpersoner, mens det maksimale plasmaniveau ikke er øget. Ved subkutan dosering er der en lavere vægtjusteret </w:t>
      </w:r>
      <w:r w:rsidRPr="00F83367">
        <w:rPr>
          <w:i/>
          <w:iCs/>
          <w:color w:val="000000"/>
          <w:sz w:val="24"/>
          <w:szCs w:val="24"/>
        </w:rPr>
        <w:t>clearance</w:t>
      </w:r>
      <w:r w:rsidRPr="00F83367">
        <w:rPr>
          <w:color w:val="000000"/>
          <w:sz w:val="24"/>
          <w:szCs w:val="24"/>
        </w:rPr>
        <w:t xml:space="preserve"> hos svært overvægtige forsøgspersoner.</w:t>
      </w:r>
    </w:p>
    <w:p w14:paraId="66568F40" w14:textId="77777777" w:rsidR="00F36616" w:rsidRPr="00F83367" w:rsidRDefault="00F36616" w:rsidP="00F36616">
      <w:pPr>
        <w:tabs>
          <w:tab w:val="left" w:pos="9072"/>
        </w:tabs>
        <w:ind w:left="851"/>
        <w:textAlignment w:val="baseline"/>
        <w:rPr>
          <w:color w:val="000000"/>
          <w:sz w:val="24"/>
          <w:szCs w:val="24"/>
        </w:rPr>
      </w:pPr>
    </w:p>
    <w:p w14:paraId="21C2709B" w14:textId="77777777" w:rsidR="00F36616" w:rsidRPr="00F83367" w:rsidRDefault="00F36616" w:rsidP="00F36616">
      <w:pPr>
        <w:tabs>
          <w:tab w:val="left" w:pos="9072"/>
        </w:tabs>
        <w:ind w:left="851"/>
        <w:textAlignment w:val="baseline"/>
        <w:rPr>
          <w:color w:val="000000"/>
          <w:sz w:val="24"/>
          <w:szCs w:val="24"/>
        </w:rPr>
      </w:pPr>
      <w:r w:rsidRPr="00F83367">
        <w:rPr>
          <w:color w:val="000000"/>
          <w:sz w:val="24"/>
          <w:szCs w:val="24"/>
        </w:rPr>
        <w:t>Ved administration af ikke-vægtjusterede doser fandt man, at efter en enkelt subkutan dosis på 4.000 IE (40 mg) var eksponeringen for anti-Xa 52 % højere hos kvinder med lav vægt (&lt;45 kg) og 27 % højere hos mænd med lav vægt (&lt;57 kg) sammenlignet med normalvægtige kontrolpersoner (se pkt. 4.4).</w:t>
      </w:r>
    </w:p>
    <w:p w14:paraId="3B66A26E" w14:textId="77777777" w:rsidR="00F36616" w:rsidRPr="00F83367" w:rsidRDefault="00F36616" w:rsidP="00F36616">
      <w:pPr>
        <w:tabs>
          <w:tab w:val="left" w:pos="9214"/>
        </w:tabs>
        <w:ind w:left="851"/>
        <w:textAlignment w:val="baseline"/>
        <w:rPr>
          <w:color w:val="000000"/>
          <w:sz w:val="24"/>
          <w:szCs w:val="24"/>
        </w:rPr>
      </w:pPr>
    </w:p>
    <w:p w14:paraId="6B7231AC" w14:textId="77777777" w:rsidR="00F36616" w:rsidRPr="00F83367" w:rsidRDefault="00F36616" w:rsidP="00F36616">
      <w:pPr>
        <w:pStyle w:val="Default"/>
        <w:ind w:left="851"/>
        <w:outlineLvl w:val="0"/>
        <w:rPr>
          <w:u w:val="single"/>
        </w:rPr>
      </w:pPr>
      <w:r w:rsidRPr="00F83367">
        <w:rPr>
          <w:u w:val="single"/>
        </w:rPr>
        <w:t>Farmakokinetiske interaktioner</w:t>
      </w:r>
    </w:p>
    <w:p w14:paraId="24541087" w14:textId="6F99C52B" w:rsidR="000C25F4" w:rsidRPr="00F83367" w:rsidRDefault="00F36616" w:rsidP="00F36616">
      <w:pPr>
        <w:tabs>
          <w:tab w:val="left" w:pos="851"/>
        </w:tabs>
        <w:ind w:left="851"/>
        <w:rPr>
          <w:sz w:val="24"/>
          <w:szCs w:val="24"/>
        </w:rPr>
      </w:pPr>
      <w:r w:rsidRPr="00F83367">
        <w:rPr>
          <w:sz w:val="24"/>
          <w:szCs w:val="24"/>
        </w:rPr>
        <w:t>Der blev ikke observeret farmakokinetiske interaktioner mellem enoxaparinnatrium og trombolytika ved samtidig administration.</w:t>
      </w:r>
    </w:p>
    <w:p w14:paraId="792E078A" w14:textId="77777777" w:rsidR="00F36616" w:rsidRPr="00F83367" w:rsidRDefault="00F36616" w:rsidP="00F36616">
      <w:pPr>
        <w:tabs>
          <w:tab w:val="left" w:pos="851"/>
        </w:tabs>
        <w:ind w:left="851"/>
        <w:rPr>
          <w:sz w:val="24"/>
          <w:szCs w:val="24"/>
        </w:rPr>
      </w:pPr>
    </w:p>
    <w:p w14:paraId="480ACD21" w14:textId="5E9A10F7" w:rsidR="000C25F4" w:rsidRPr="00F83367" w:rsidRDefault="000C25F4" w:rsidP="000C25F4">
      <w:pPr>
        <w:tabs>
          <w:tab w:val="left" w:pos="851"/>
        </w:tabs>
        <w:ind w:left="851" w:hanging="851"/>
        <w:rPr>
          <w:b/>
          <w:sz w:val="24"/>
          <w:szCs w:val="24"/>
        </w:rPr>
      </w:pPr>
      <w:r w:rsidRPr="00F83367">
        <w:rPr>
          <w:b/>
          <w:sz w:val="24"/>
          <w:szCs w:val="24"/>
        </w:rPr>
        <w:t>5.3</w:t>
      </w:r>
      <w:r w:rsidRPr="00F83367">
        <w:rPr>
          <w:b/>
          <w:sz w:val="24"/>
          <w:szCs w:val="24"/>
        </w:rPr>
        <w:tab/>
      </w:r>
      <w:r w:rsidR="00037883">
        <w:rPr>
          <w:b/>
          <w:sz w:val="24"/>
          <w:szCs w:val="24"/>
        </w:rPr>
        <w:t>Non-</w:t>
      </w:r>
      <w:r w:rsidRPr="00F83367">
        <w:rPr>
          <w:b/>
          <w:sz w:val="24"/>
          <w:szCs w:val="24"/>
        </w:rPr>
        <w:t>kliniske sikkerhedsdata</w:t>
      </w:r>
    </w:p>
    <w:p w14:paraId="0498FB4C" w14:textId="77777777" w:rsidR="00F36616" w:rsidRPr="00F83367" w:rsidRDefault="00F36616" w:rsidP="00F36616">
      <w:pPr>
        <w:tabs>
          <w:tab w:val="left" w:pos="9072"/>
        </w:tabs>
        <w:ind w:left="851"/>
        <w:textAlignment w:val="baseline"/>
        <w:rPr>
          <w:sz w:val="24"/>
          <w:szCs w:val="24"/>
        </w:rPr>
      </w:pPr>
      <w:r w:rsidRPr="00F83367">
        <w:rPr>
          <w:sz w:val="24"/>
          <w:szCs w:val="24"/>
        </w:rPr>
        <w:t>Udover enoxaparinnatriums antikoagulerende virkninger var der ikke evidens for negative virkninger ved 15 mg/kg/dag subkutant i 13 uger lange toksicitetsstudier hos rotter og hunde eller i 26 uger lange toksicitetsstudier hos rotter og aber ved 10 mg/kg/dag subkutant og intravenøst.</w:t>
      </w:r>
    </w:p>
    <w:p w14:paraId="7BED5212" w14:textId="77777777" w:rsidR="00F36616" w:rsidRPr="00F83367" w:rsidRDefault="00F36616" w:rsidP="00F36616">
      <w:pPr>
        <w:tabs>
          <w:tab w:val="left" w:pos="9072"/>
        </w:tabs>
        <w:ind w:left="851"/>
        <w:textAlignment w:val="baseline"/>
        <w:rPr>
          <w:sz w:val="24"/>
          <w:szCs w:val="24"/>
        </w:rPr>
      </w:pPr>
    </w:p>
    <w:p w14:paraId="5A7276F8" w14:textId="77777777" w:rsidR="00F36616" w:rsidRPr="00F83367" w:rsidRDefault="00F36616" w:rsidP="00F36616">
      <w:pPr>
        <w:tabs>
          <w:tab w:val="left" w:pos="9072"/>
        </w:tabs>
        <w:ind w:left="851"/>
        <w:textAlignment w:val="baseline"/>
        <w:rPr>
          <w:sz w:val="24"/>
          <w:szCs w:val="24"/>
        </w:rPr>
      </w:pPr>
      <w:r w:rsidRPr="00F83367">
        <w:rPr>
          <w:sz w:val="24"/>
          <w:szCs w:val="24"/>
        </w:rPr>
        <w:t xml:space="preserve">Enoxaparinnatrium var ikke mutagent i </w:t>
      </w:r>
      <w:r w:rsidRPr="00F83367">
        <w:rPr>
          <w:i/>
          <w:iCs/>
          <w:sz w:val="24"/>
          <w:szCs w:val="24"/>
        </w:rPr>
        <w:t>in vitro</w:t>
      </w:r>
      <w:r w:rsidRPr="00F83367">
        <w:rPr>
          <w:sz w:val="24"/>
          <w:szCs w:val="24"/>
        </w:rPr>
        <w:t xml:space="preserve">-test, inklusive Ames test, fremadmutationstest i muselymfomceller og viste </w:t>
      </w:r>
      <w:r w:rsidRPr="00F83367">
        <w:rPr>
          <w:i/>
          <w:iCs/>
          <w:sz w:val="24"/>
          <w:szCs w:val="24"/>
        </w:rPr>
        <w:t>ikke klastogen</w:t>
      </w:r>
      <w:r w:rsidRPr="00F83367">
        <w:rPr>
          <w:sz w:val="24"/>
          <w:szCs w:val="24"/>
        </w:rPr>
        <w:t xml:space="preserve"> aktivitet i </w:t>
      </w:r>
      <w:r w:rsidRPr="00F83367">
        <w:rPr>
          <w:i/>
          <w:iCs/>
          <w:sz w:val="24"/>
          <w:szCs w:val="24"/>
        </w:rPr>
        <w:t>in vitro</w:t>
      </w:r>
      <w:r w:rsidRPr="00F83367">
        <w:rPr>
          <w:sz w:val="24"/>
          <w:szCs w:val="24"/>
        </w:rPr>
        <w:t xml:space="preserve"> kromosomaberrationstest i humane lymfocytter eller i </w:t>
      </w:r>
      <w:r w:rsidRPr="00F83367">
        <w:rPr>
          <w:i/>
          <w:iCs/>
          <w:sz w:val="24"/>
          <w:szCs w:val="24"/>
        </w:rPr>
        <w:t>in vivo</w:t>
      </w:r>
      <w:r w:rsidRPr="00F83367">
        <w:rPr>
          <w:sz w:val="24"/>
          <w:szCs w:val="24"/>
        </w:rPr>
        <w:t xml:space="preserve"> kromosomaberrationstest i knoglemarv hos rotter.</w:t>
      </w:r>
    </w:p>
    <w:p w14:paraId="744B00CD" w14:textId="77777777" w:rsidR="00F36616" w:rsidRPr="00F83367" w:rsidRDefault="00F36616" w:rsidP="00F36616">
      <w:pPr>
        <w:tabs>
          <w:tab w:val="left" w:pos="9072"/>
        </w:tabs>
        <w:ind w:left="851"/>
        <w:textAlignment w:val="baseline"/>
        <w:rPr>
          <w:sz w:val="24"/>
          <w:szCs w:val="24"/>
        </w:rPr>
      </w:pPr>
    </w:p>
    <w:p w14:paraId="7C6AAA36" w14:textId="77777777" w:rsidR="00F36616" w:rsidRPr="00F83367" w:rsidRDefault="00F36616" w:rsidP="00F36616">
      <w:pPr>
        <w:tabs>
          <w:tab w:val="left" w:pos="9072"/>
        </w:tabs>
        <w:ind w:left="851"/>
        <w:textAlignment w:val="baseline"/>
        <w:rPr>
          <w:color w:val="000000"/>
          <w:sz w:val="24"/>
          <w:szCs w:val="24"/>
        </w:rPr>
      </w:pPr>
      <w:r w:rsidRPr="00F83367">
        <w:rPr>
          <w:sz w:val="24"/>
          <w:szCs w:val="24"/>
        </w:rPr>
        <w:t>Studier udført hos drægtige rotter og kaniner ved subkutane doser af enoxaparinnatrium på op til 30 mg/kg/dag viste ingen evidens for teratogene virkninger eller føtotoksicitet. Det er påvist, at enoxaparinnatrium ikke påvirker fertiliteten eller reproduktionsevnen hos han- og hunrotter ved subkutane doser på op til 20 mg/kg/dag</w:t>
      </w:r>
      <w:r w:rsidRPr="00F83367">
        <w:rPr>
          <w:color w:val="000000"/>
          <w:sz w:val="24"/>
          <w:szCs w:val="24"/>
        </w:rPr>
        <w:t>.</w:t>
      </w:r>
    </w:p>
    <w:p w14:paraId="2793115B" w14:textId="77777777" w:rsidR="000C25F4" w:rsidRPr="00F83367" w:rsidRDefault="000C25F4" w:rsidP="000C25F4">
      <w:pPr>
        <w:tabs>
          <w:tab w:val="left" w:pos="851"/>
        </w:tabs>
        <w:ind w:left="851"/>
        <w:rPr>
          <w:sz w:val="24"/>
          <w:szCs w:val="24"/>
        </w:rPr>
      </w:pPr>
    </w:p>
    <w:p w14:paraId="338CD8A6" w14:textId="77777777" w:rsidR="000C25F4" w:rsidRPr="00F83367" w:rsidRDefault="000C25F4" w:rsidP="000C25F4">
      <w:pPr>
        <w:tabs>
          <w:tab w:val="left" w:pos="851"/>
        </w:tabs>
        <w:ind w:left="851"/>
        <w:rPr>
          <w:sz w:val="24"/>
          <w:szCs w:val="24"/>
        </w:rPr>
      </w:pPr>
    </w:p>
    <w:p w14:paraId="3D601453" w14:textId="77777777" w:rsidR="000C25F4" w:rsidRPr="00F83367" w:rsidRDefault="000C25F4" w:rsidP="000C25F4">
      <w:pPr>
        <w:tabs>
          <w:tab w:val="left" w:pos="851"/>
        </w:tabs>
        <w:ind w:left="851" w:hanging="851"/>
        <w:rPr>
          <w:b/>
          <w:sz w:val="24"/>
          <w:szCs w:val="24"/>
        </w:rPr>
      </w:pPr>
      <w:r w:rsidRPr="00C84483">
        <w:rPr>
          <w:b/>
        </w:rPr>
        <w:t>6.</w:t>
      </w:r>
      <w:r w:rsidRPr="00C84483">
        <w:rPr>
          <w:b/>
        </w:rPr>
        <w:tab/>
      </w:r>
      <w:r w:rsidRPr="00F83367">
        <w:rPr>
          <w:b/>
          <w:sz w:val="24"/>
          <w:szCs w:val="24"/>
        </w:rPr>
        <w:t>FARMACEUTISKE OPLYSNINGER</w:t>
      </w:r>
    </w:p>
    <w:p w14:paraId="29F87A96" w14:textId="77777777" w:rsidR="000C25F4" w:rsidRPr="00F83367" w:rsidRDefault="000C25F4" w:rsidP="000C25F4">
      <w:pPr>
        <w:tabs>
          <w:tab w:val="left" w:pos="851"/>
        </w:tabs>
        <w:ind w:left="851"/>
        <w:rPr>
          <w:sz w:val="24"/>
          <w:szCs w:val="24"/>
        </w:rPr>
      </w:pPr>
    </w:p>
    <w:p w14:paraId="3C839C71" w14:textId="77777777" w:rsidR="000C25F4" w:rsidRPr="00F83367" w:rsidRDefault="000C25F4" w:rsidP="000C25F4">
      <w:pPr>
        <w:tabs>
          <w:tab w:val="left" w:pos="851"/>
        </w:tabs>
        <w:ind w:left="851" w:hanging="851"/>
        <w:rPr>
          <w:b/>
          <w:sz w:val="24"/>
          <w:szCs w:val="24"/>
        </w:rPr>
      </w:pPr>
      <w:r w:rsidRPr="00F83367">
        <w:rPr>
          <w:b/>
          <w:sz w:val="24"/>
          <w:szCs w:val="24"/>
        </w:rPr>
        <w:t>6.1</w:t>
      </w:r>
      <w:r w:rsidRPr="00F83367">
        <w:rPr>
          <w:b/>
          <w:sz w:val="24"/>
          <w:szCs w:val="24"/>
        </w:rPr>
        <w:tab/>
        <w:t>Hjælpestoffer</w:t>
      </w:r>
    </w:p>
    <w:p w14:paraId="20156DA0" w14:textId="77777777" w:rsidR="000C25F4" w:rsidRPr="00F83367" w:rsidRDefault="000C25F4" w:rsidP="000C25F4">
      <w:pPr>
        <w:pStyle w:val="Default"/>
        <w:ind w:left="851"/>
        <w:outlineLvl w:val="0"/>
      </w:pPr>
      <w:r w:rsidRPr="00F83367">
        <w:t>Vand til injektionsvæsker</w:t>
      </w:r>
    </w:p>
    <w:p w14:paraId="711B4D0B" w14:textId="77777777" w:rsidR="000C25F4" w:rsidRPr="00F83367" w:rsidRDefault="000C25F4" w:rsidP="000C25F4">
      <w:pPr>
        <w:tabs>
          <w:tab w:val="left" w:pos="851"/>
        </w:tabs>
        <w:ind w:left="851"/>
        <w:rPr>
          <w:sz w:val="24"/>
          <w:szCs w:val="24"/>
        </w:rPr>
      </w:pPr>
    </w:p>
    <w:p w14:paraId="3F67887F" w14:textId="77777777" w:rsidR="000C25F4" w:rsidRPr="00F83367" w:rsidRDefault="000C25F4" w:rsidP="00C43225">
      <w:pPr>
        <w:keepNext/>
        <w:tabs>
          <w:tab w:val="left" w:pos="851"/>
        </w:tabs>
        <w:ind w:left="851" w:hanging="851"/>
        <w:rPr>
          <w:b/>
          <w:sz w:val="24"/>
          <w:szCs w:val="24"/>
        </w:rPr>
      </w:pPr>
      <w:r w:rsidRPr="00F83367">
        <w:rPr>
          <w:b/>
          <w:sz w:val="24"/>
          <w:szCs w:val="24"/>
        </w:rPr>
        <w:lastRenderedPageBreak/>
        <w:t>6.2</w:t>
      </w:r>
      <w:r w:rsidRPr="00F83367">
        <w:rPr>
          <w:b/>
          <w:sz w:val="24"/>
          <w:szCs w:val="24"/>
        </w:rPr>
        <w:tab/>
        <w:t>Uforligeligheder</w:t>
      </w:r>
    </w:p>
    <w:p w14:paraId="148A63A6" w14:textId="77777777" w:rsidR="00F36616" w:rsidRPr="00F83367" w:rsidRDefault="00F36616" w:rsidP="00C43225">
      <w:pPr>
        <w:pStyle w:val="Default"/>
        <w:keepNext/>
        <w:ind w:left="851"/>
        <w:outlineLvl w:val="0"/>
        <w:rPr>
          <w:u w:val="single"/>
        </w:rPr>
      </w:pPr>
    </w:p>
    <w:p w14:paraId="1C1D9845" w14:textId="77777777" w:rsidR="00F36616" w:rsidRPr="00F83367" w:rsidRDefault="00F36616" w:rsidP="00F36616">
      <w:pPr>
        <w:pStyle w:val="Default"/>
        <w:ind w:left="851"/>
        <w:outlineLvl w:val="0"/>
        <w:rPr>
          <w:u w:val="single"/>
        </w:rPr>
      </w:pPr>
      <w:r w:rsidRPr="00F83367">
        <w:rPr>
          <w:u w:val="single"/>
        </w:rPr>
        <w:t>Subkutan injektion</w:t>
      </w:r>
    </w:p>
    <w:p w14:paraId="3667550D" w14:textId="77777777" w:rsidR="00F36616" w:rsidRPr="00F83367" w:rsidRDefault="00F36616" w:rsidP="00F36616">
      <w:pPr>
        <w:pStyle w:val="Default"/>
        <w:ind w:left="851"/>
        <w:outlineLvl w:val="0"/>
      </w:pPr>
      <w:r w:rsidRPr="00F83367">
        <w:t>Dette lægemiddel må ikke blandes med andre lægemidler.</w:t>
      </w:r>
    </w:p>
    <w:p w14:paraId="3536A03A" w14:textId="77777777" w:rsidR="00F36616" w:rsidRPr="00F83367" w:rsidRDefault="00F36616" w:rsidP="00F36616">
      <w:pPr>
        <w:pStyle w:val="Default"/>
        <w:ind w:left="851"/>
      </w:pPr>
    </w:p>
    <w:p w14:paraId="0BAD9602" w14:textId="77777777" w:rsidR="00F36616" w:rsidRPr="00F83367" w:rsidRDefault="00F36616" w:rsidP="00F36616">
      <w:pPr>
        <w:pStyle w:val="Default"/>
        <w:ind w:left="851"/>
        <w:rPr>
          <w:u w:val="single"/>
        </w:rPr>
      </w:pPr>
      <w:r w:rsidRPr="00F83367">
        <w:rPr>
          <w:u w:val="single"/>
        </w:rPr>
        <w:t>I.v.-(bolus) injektion</w:t>
      </w:r>
      <w:r w:rsidRPr="00F83367">
        <w:t xml:space="preserve"> (kun for indikationen akut STEMI):</w:t>
      </w:r>
    </w:p>
    <w:p w14:paraId="1D608267" w14:textId="77777777" w:rsidR="00F36616" w:rsidRPr="00F83367" w:rsidRDefault="00F36616" w:rsidP="00F36616">
      <w:pPr>
        <w:pStyle w:val="Default"/>
        <w:ind w:left="851"/>
      </w:pPr>
      <w:r w:rsidRPr="00F83367">
        <w:t xml:space="preserve">Enoxaparinnatrium kan administreres sikkert med </w:t>
      </w:r>
      <w:bookmarkStart w:id="2" w:name="_Hlk38223971"/>
      <w:r w:rsidRPr="00F83367">
        <w:t>0,9 % natriumchlorid- og 5 % glucoseinjektionsvæske</w:t>
      </w:r>
      <w:bookmarkEnd w:id="2"/>
      <w:r w:rsidRPr="00F83367" w:rsidDel="00FE471B">
        <w:t xml:space="preserve"> </w:t>
      </w:r>
      <w:r w:rsidRPr="00F83367">
        <w:t>(se pkt. 4.2).</w:t>
      </w:r>
    </w:p>
    <w:p w14:paraId="69077C23" w14:textId="77777777" w:rsidR="000C25F4" w:rsidRPr="00F83367" w:rsidRDefault="000C25F4" w:rsidP="000C25F4">
      <w:pPr>
        <w:tabs>
          <w:tab w:val="left" w:pos="851"/>
        </w:tabs>
        <w:ind w:left="851"/>
        <w:rPr>
          <w:sz w:val="24"/>
          <w:szCs w:val="24"/>
        </w:rPr>
      </w:pPr>
    </w:p>
    <w:p w14:paraId="5F323509" w14:textId="77777777" w:rsidR="000C25F4" w:rsidRPr="00F83367" w:rsidRDefault="000C25F4" w:rsidP="000C25F4">
      <w:pPr>
        <w:tabs>
          <w:tab w:val="left" w:pos="851"/>
        </w:tabs>
        <w:ind w:left="851" w:hanging="851"/>
        <w:rPr>
          <w:b/>
          <w:sz w:val="24"/>
          <w:szCs w:val="24"/>
        </w:rPr>
      </w:pPr>
      <w:r w:rsidRPr="00F83367">
        <w:rPr>
          <w:b/>
          <w:sz w:val="24"/>
          <w:szCs w:val="24"/>
        </w:rPr>
        <w:t>6.3</w:t>
      </w:r>
      <w:r w:rsidRPr="00F83367">
        <w:rPr>
          <w:b/>
          <w:sz w:val="24"/>
          <w:szCs w:val="24"/>
        </w:rPr>
        <w:tab/>
        <w:t>Opbevaringstid</w:t>
      </w:r>
    </w:p>
    <w:p w14:paraId="242990CF" w14:textId="3E159DFB" w:rsidR="000C25F4" w:rsidRPr="00F83367" w:rsidRDefault="000C25F4" w:rsidP="000C25F4">
      <w:pPr>
        <w:tabs>
          <w:tab w:val="left" w:pos="851"/>
        </w:tabs>
        <w:ind w:left="851" w:hanging="851"/>
        <w:rPr>
          <w:sz w:val="24"/>
          <w:szCs w:val="24"/>
        </w:rPr>
      </w:pPr>
      <w:r w:rsidRPr="00F83367">
        <w:rPr>
          <w:sz w:val="24"/>
          <w:szCs w:val="24"/>
        </w:rPr>
        <w:tab/>
        <w:t>3</w:t>
      </w:r>
      <w:r w:rsidR="00F36616" w:rsidRPr="00F83367">
        <w:rPr>
          <w:sz w:val="24"/>
          <w:szCs w:val="24"/>
        </w:rPr>
        <w:t xml:space="preserve"> år</w:t>
      </w:r>
      <w:r w:rsidRPr="00F83367">
        <w:rPr>
          <w:sz w:val="24"/>
          <w:szCs w:val="24"/>
        </w:rPr>
        <w:t>.</w:t>
      </w:r>
    </w:p>
    <w:p w14:paraId="69A5164F" w14:textId="77777777" w:rsidR="000C25F4" w:rsidRPr="00F83367" w:rsidRDefault="000C25F4" w:rsidP="000C25F4">
      <w:pPr>
        <w:tabs>
          <w:tab w:val="left" w:pos="851"/>
        </w:tabs>
        <w:ind w:left="851"/>
        <w:rPr>
          <w:sz w:val="24"/>
          <w:szCs w:val="24"/>
        </w:rPr>
      </w:pPr>
    </w:p>
    <w:p w14:paraId="7D55CEFB" w14:textId="77777777" w:rsidR="000C25F4" w:rsidRPr="00F83367" w:rsidRDefault="000C25F4" w:rsidP="000C25F4">
      <w:pPr>
        <w:tabs>
          <w:tab w:val="left" w:pos="851"/>
        </w:tabs>
        <w:ind w:left="851" w:hanging="851"/>
        <w:rPr>
          <w:b/>
          <w:sz w:val="24"/>
          <w:szCs w:val="24"/>
        </w:rPr>
      </w:pPr>
      <w:r w:rsidRPr="00F83367">
        <w:rPr>
          <w:b/>
          <w:sz w:val="24"/>
          <w:szCs w:val="24"/>
        </w:rPr>
        <w:t>6.4</w:t>
      </w:r>
      <w:r w:rsidRPr="00F83367">
        <w:rPr>
          <w:b/>
          <w:sz w:val="24"/>
          <w:szCs w:val="24"/>
        </w:rPr>
        <w:tab/>
        <w:t>Særlige opbevaringsforhold</w:t>
      </w:r>
    </w:p>
    <w:p w14:paraId="5FF25DCE" w14:textId="77777777" w:rsidR="000C25F4" w:rsidRPr="00F83367" w:rsidRDefault="000C25F4" w:rsidP="000C25F4">
      <w:pPr>
        <w:pStyle w:val="Default"/>
        <w:ind w:left="851"/>
      </w:pPr>
      <w:r w:rsidRPr="00F83367">
        <w:t>Må ikke nedfryses.</w:t>
      </w:r>
    </w:p>
    <w:p w14:paraId="700593F4" w14:textId="77777777" w:rsidR="000C25F4" w:rsidRPr="00F83367" w:rsidRDefault="000C25F4" w:rsidP="000C25F4">
      <w:pPr>
        <w:pStyle w:val="Default"/>
        <w:ind w:left="851"/>
      </w:pPr>
    </w:p>
    <w:p w14:paraId="2109FBF7" w14:textId="77777777" w:rsidR="000C25F4" w:rsidRPr="00F83367" w:rsidRDefault="000C25F4" w:rsidP="000C25F4">
      <w:pPr>
        <w:pStyle w:val="Default"/>
        <w:ind w:left="851"/>
      </w:pPr>
      <w:r w:rsidRPr="00F83367">
        <w:t>Dette lægemiddel er udelukkende beregnet til engangsbrug. Ikke anvendt lægemiddel skal kasseres.</w:t>
      </w:r>
    </w:p>
    <w:p w14:paraId="1714042E" w14:textId="77777777" w:rsidR="000C25F4" w:rsidRPr="00F83367" w:rsidRDefault="000C25F4" w:rsidP="000C25F4">
      <w:pPr>
        <w:tabs>
          <w:tab w:val="left" w:pos="851"/>
        </w:tabs>
        <w:ind w:left="851"/>
        <w:rPr>
          <w:sz w:val="24"/>
          <w:szCs w:val="24"/>
        </w:rPr>
      </w:pPr>
    </w:p>
    <w:p w14:paraId="75F11D31" w14:textId="633F2AB4" w:rsidR="000C25F4" w:rsidRPr="00F83367" w:rsidRDefault="000C25F4" w:rsidP="0014694F">
      <w:pPr>
        <w:keepNext/>
        <w:tabs>
          <w:tab w:val="left" w:pos="851"/>
        </w:tabs>
        <w:ind w:left="851" w:hanging="851"/>
        <w:rPr>
          <w:b/>
          <w:sz w:val="24"/>
          <w:szCs w:val="24"/>
        </w:rPr>
      </w:pPr>
      <w:r w:rsidRPr="00F83367">
        <w:rPr>
          <w:b/>
          <w:sz w:val="24"/>
          <w:szCs w:val="24"/>
        </w:rPr>
        <w:t>6.5</w:t>
      </w:r>
      <w:r w:rsidRPr="00F83367">
        <w:rPr>
          <w:b/>
          <w:sz w:val="24"/>
          <w:szCs w:val="24"/>
        </w:rPr>
        <w:tab/>
        <w:t>Emballagetype og pakningsstørrelser</w:t>
      </w:r>
    </w:p>
    <w:p w14:paraId="6EAE80F4" w14:textId="77777777" w:rsidR="00F36616" w:rsidRPr="00F83367" w:rsidRDefault="00F36616" w:rsidP="00F36616">
      <w:pPr>
        <w:pStyle w:val="Default"/>
        <w:ind w:left="851"/>
      </w:pPr>
      <w:r w:rsidRPr="00F83367">
        <w:t>Injektionsvæske, opløsning i fyldt injektionssprøjte af type 1-glas à 0,5 ml eller 1 ml med påsat kanyle og beskyttelseshætte (syntetisk polyisoprengummi) lukket med stempelprop (chlorobutylgummi) og stempelstav. Injektionsvæske, opløsningen fås i to forskellige præsentationer:</w:t>
      </w:r>
    </w:p>
    <w:p w14:paraId="37960A8D" w14:textId="77777777" w:rsidR="00F36616" w:rsidRPr="00F83367" w:rsidRDefault="00F36616" w:rsidP="00F36616">
      <w:pPr>
        <w:pStyle w:val="Default"/>
        <w:ind w:left="851"/>
      </w:pPr>
    </w:p>
    <w:p w14:paraId="121F8B15" w14:textId="77777777" w:rsidR="00F36616" w:rsidRPr="00F83367" w:rsidRDefault="00F36616" w:rsidP="00F36616">
      <w:pPr>
        <w:pStyle w:val="Default"/>
        <w:ind w:left="851"/>
        <w:rPr>
          <w:b/>
        </w:rPr>
      </w:pPr>
      <w:bookmarkStart w:id="3" w:name="_Hlk4930902"/>
      <w:r w:rsidRPr="00F83367">
        <w:rPr>
          <w:b/>
        </w:rPr>
        <w:t>1. Sprøjten er udstyret med nålebeskyttelse</w:t>
      </w:r>
    </w:p>
    <w:p w14:paraId="5F275F85" w14:textId="77777777" w:rsidR="00F36616" w:rsidRPr="00F83367" w:rsidRDefault="00F36616" w:rsidP="00F36616">
      <w:pPr>
        <w:tabs>
          <w:tab w:val="left" w:pos="851"/>
        </w:tabs>
        <w:ind w:left="851"/>
        <w:rPr>
          <w:sz w:val="24"/>
          <w:szCs w:val="24"/>
        </w:rPr>
      </w:pPr>
    </w:p>
    <w:bookmarkEnd w:id="3"/>
    <w:p w14:paraId="048868AE" w14:textId="77777777" w:rsidR="00F36616" w:rsidRPr="00F83367" w:rsidRDefault="00F36616" w:rsidP="00F36616">
      <w:pPr>
        <w:autoSpaceDE w:val="0"/>
        <w:autoSpaceDN w:val="0"/>
        <w:adjustRightInd w:val="0"/>
        <w:ind w:left="851"/>
        <w:rPr>
          <w:b/>
          <w:color w:val="000000"/>
          <w:sz w:val="24"/>
          <w:szCs w:val="24"/>
        </w:rPr>
      </w:pPr>
      <w:r w:rsidRPr="00F83367">
        <w:rPr>
          <w:color w:val="000000"/>
          <w:sz w:val="24"/>
          <w:szCs w:val="24"/>
        </w:rPr>
        <w:t>Ghemaxan 2.000 IE (20 </w:t>
      </w:r>
      <w:proofErr w:type="gramStart"/>
      <w:r w:rsidRPr="00F83367">
        <w:rPr>
          <w:color w:val="000000"/>
          <w:sz w:val="24"/>
          <w:szCs w:val="24"/>
        </w:rPr>
        <w:t>mg)/</w:t>
      </w:r>
      <w:proofErr w:type="gramEnd"/>
      <w:r w:rsidRPr="00F83367">
        <w:rPr>
          <w:color w:val="000000"/>
          <w:sz w:val="24"/>
          <w:szCs w:val="24"/>
        </w:rPr>
        <w:t>0,2 ml injektionsvæske, opløsning i fyldte injektionssprøjter:</w:t>
      </w:r>
    </w:p>
    <w:p w14:paraId="00249C41" w14:textId="77777777" w:rsidR="00F36616" w:rsidRPr="00F83367" w:rsidRDefault="00F36616" w:rsidP="00F36616">
      <w:pPr>
        <w:pStyle w:val="Default"/>
        <w:ind w:left="851"/>
      </w:pPr>
      <w:r w:rsidRPr="00F83367">
        <w:t>Pakninger med 2, 6 eller 10 fyldte injektionssprøjter og flerpakninger med 12 (2 pakninger med 6), 20 (2 pakninger med 10), 24 (4 pakninger med 6), 30 (3 pakninger med 10), 50 (5 pakninger med 10) og 90 (9 pakninger med 10) fyldte injektionssprøjter</w:t>
      </w:r>
      <w:bookmarkStart w:id="4" w:name="_Hlk534716128"/>
    </w:p>
    <w:bookmarkEnd w:id="4"/>
    <w:p w14:paraId="178B1034" w14:textId="77777777" w:rsidR="00F36616" w:rsidRPr="00F83367" w:rsidRDefault="00F36616" w:rsidP="00F36616">
      <w:pPr>
        <w:pStyle w:val="Default"/>
        <w:ind w:left="851"/>
      </w:pPr>
      <w:r w:rsidRPr="00F83367">
        <w:t>Ghemaxan 4.000 IE (40 </w:t>
      </w:r>
      <w:proofErr w:type="gramStart"/>
      <w:r w:rsidRPr="00F83367">
        <w:t>mg)/</w:t>
      </w:r>
      <w:proofErr w:type="gramEnd"/>
      <w:r w:rsidRPr="00F83367">
        <w:t>0,4 ml injektionsvæske, opløsning i fyldte injektionssprøjter:</w:t>
      </w:r>
    </w:p>
    <w:p w14:paraId="4CF96346" w14:textId="77777777" w:rsidR="00F36616" w:rsidRPr="00F83367" w:rsidRDefault="00F36616" w:rsidP="00F36616">
      <w:pPr>
        <w:pStyle w:val="Default"/>
        <w:ind w:left="851"/>
      </w:pPr>
      <w:r w:rsidRPr="00F83367">
        <w:t>Pakninger med 2, 6 eller 10 fyldte injektionssprøjter og flerpakninger med 12 (2 pakninger med 6), 20 (2 pakninger med 10), 24 (4 pakninger med 6), 30 (3pakninger med 10), 50 (5 pakninger med 10) og 90 (9 pakninger med 10) fyldte injektionssprøjter</w:t>
      </w:r>
    </w:p>
    <w:p w14:paraId="1662481C" w14:textId="77777777" w:rsidR="00F36616" w:rsidRPr="00F83367" w:rsidRDefault="00F36616" w:rsidP="00F36616">
      <w:pPr>
        <w:pStyle w:val="Default"/>
        <w:ind w:left="851"/>
      </w:pPr>
      <w:r w:rsidRPr="00F83367">
        <w:t>Ghemaxan 6.000 IE (60 </w:t>
      </w:r>
      <w:proofErr w:type="gramStart"/>
      <w:r w:rsidRPr="00F83367">
        <w:t>mg)/</w:t>
      </w:r>
      <w:proofErr w:type="gramEnd"/>
      <w:r w:rsidRPr="00F83367">
        <w:t>0,6 ml injektionsvæske, opløsning i fyldte injektionssprøjter:</w:t>
      </w:r>
    </w:p>
    <w:p w14:paraId="53751165" w14:textId="77777777" w:rsidR="00F36616" w:rsidRPr="00F83367" w:rsidRDefault="00F36616" w:rsidP="00F36616">
      <w:pPr>
        <w:pStyle w:val="Default"/>
        <w:ind w:left="851"/>
      </w:pPr>
      <w:r w:rsidRPr="00F83367">
        <w:t>Pakninger med 2, 6 eller 10 fyldte injektionssprøjter med målestreger og flerpakninger med 12 (2 pakninger med 6), 20 (2 pakninger med 10), 24 (4 pakninger med 6), 30 (3 pakninger med 10), 50 (5 pakninger med 10) og 90 (9 pakninger med 10) fyldte injektionssprøjter med målestreger</w:t>
      </w:r>
    </w:p>
    <w:p w14:paraId="4D292482" w14:textId="77777777" w:rsidR="00F36616" w:rsidRPr="00F83367" w:rsidRDefault="00F36616" w:rsidP="00F36616">
      <w:pPr>
        <w:pStyle w:val="Default"/>
        <w:ind w:left="851"/>
      </w:pPr>
      <w:r w:rsidRPr="00F83367">
        <w:t>Ghemaxan 8.000 IE (80 </w:t>
      </w:r>
      <w:proofErr w:type="gramStart"/>
      <w:r w:rsidRPr="00F83367">
        <w:t>mg)/</w:t>
      </w:r>
      <w:proofErr w:type="gramEnd"/>
      <w:r w:rsidRPr="00F83367">
        <w:t>0,8 ml injektionsvæske, opløsning i fyldte injektionssprøjter:</w:t>
      </w:r>
    </w:p>
    <w:p w14:paraId="3E6A80BE" w14:textId="77777777" w:rsidR="00F36616" w:rsidRPr="00F83367" w:rsidRDefault="00F36616" w:rsidP="00F36616">
      <w:pPr>
        <w:pStyle w:val="Default"/>
        <w:ind w:left="851"/>
      </w:pPr>
      <w:r w:rsidRPr="00F83367">
        <w:t>Pakninger med 2, 6 eller 10 fyldte injektionssprøjter med målestreger og flerpakninger med 12 (2 pakninger med 6), 20 (2 pakninger med 10), 24 (4 pakninger med 6), 30 (3 pakninger med 10), 50 (5 pakninger med 10) og 90 (9 pakninger med 10) fyldte injektionssprøjter med målestreger</w:t>
      </w:r>
    </w:p>
    <w:p w14:paraId="16D9D9FC" w14:textId="77777777" w:rsidR="00F36616" w:rsidRPr="00F83367" w:rsidRDefault="00F36616" w:rsidP="00F36616">
      <w:pPr>
        <w:pStyle w:val="Default"/>
        <w:ind w:left="851"/>
      </w:pPr>
      <w:r w:rsidRPr="00F83367">
        <w:t>Ghemaxan 10.000 IE (100 </w:t>
      </w:r>
      <w:proofErr w:type="gramStart"/>
      <w:r w:rsidRPr="00F83367">
        <w:t>mg)/</w:t>
      </w:r>
      <w:proofErr w:type="gramEnd"/>
      <w:r w:rsidRPr="00F83367">
        <w:t>1 ml injektionsvæske, opløsning i fyldte injektionssprøjter:</w:t>
      </w:r>
    </w:p>
    <w:p w14:paraId="3E8C4DAC" w14:textId="77777777" w:rsidR="00F36616" w:rsidRPr="00F83367" w:rsidRDefault="00F36616" w:rsidP="00F36616">
      <w:pPr>
        <w:pStyle w:val="Default"/>
        <w:ind w:left="851"/>
      </w:pPr>
      <w:r w:rsidRPr="00F83367">
        <w:t>Pakninger med 2, 6 eller 10 fyldte injektionssprøjter med målestreger og flerpakninger med 12 (2 pakninger med 6), 20 (2 pakninger med 10), 24 (4 pakninger med 6), 30 (3 pakninger med 10), 50 (5 pakninger med 10) og 90 (9 pakninger med 10) fyldte injektionssprøjter med målestreger</w:t>
      </w:r>
    </w:p>
    <w:p w14:paraId="278C9102" w14:textId="77777777" w:rsidR="00F36616" w:rsidRPr="00F83367" w:rsidRDefault="00F36616" w:rsidP="00F36616">
      <w:pPr>
        <w:pStyle w:val="Default"/>
        <w:ind w:left="851"/>
      </w:pPr>
      <w:r w:rsidRPr="00F83367">
        <w:t>Ghemaxan 12.000 IE (120 </w:t>
      </w:r>
      <w:proofErr w:type="gramStart"/>
      <w:r w:rsidRPr="00F83367">
        <w:t>mg)/</w:t>
      </w:r>
      <w:proofErr w:type="gramEnd"/>
      <w:r w:rsidRPr="00F83367">
        <w:t xml:space="preserve">0,8 ml injektionsvæske, opløsning i fyldte injektionssprøjter: Pakninger med 2, 6 eller 10 fyldte injektionssprøjter med målestreger og </w:t>
      </w:r>
      <w:r w:rsidRPr="00F83367">
        <w:lastRenderedPageBreak/>
        <w:t>flerpakninger med 30 (3 pakninger med 10) og 50 (5 pakninger med 10) fyldte injektionssprøjter med målestreger</w:t>
      </w:r>
    </w:p>
    <w:p w14:paraId="56A3C52E" w14:textId="77777777" w:rsidR="00F36616" w:rsidRPr="00F83367" w:rsidRDefault="00F36616" w:rsidP="00F36616">
      <w:pPr>
        <w:pStyle w:val="Default"/>
        <w:ind w:left="851"/>
      </w:pPr>
      <w:r w:rsidRPr="00F83367">
        <w:t>Ghemaxan 15.000 IE (150 </w:t>
      </w:r>
      <w:proofErr w:type="gramStart"/>
      <w:r w:rsidRPr="00F83367">
        <w:t>mg)/</w:t>
      </w:r>
      <w:proofErr w:type="gramEnd"/>
      <w:r w:rsidRPr="00F83367">
        <w:t>1 ml injektionsvæske, opløsning i fyldte injektionssprøjter:</w:t>
      </w:r>
    </w:p>
    <w:p w14:paraId="63D04C2D" w14:textId="77777777" w:rsidR="00F36616" w:rsidRPr="00F83367" w:rsidRDefault="00F36616" w:rsidP="00F36616">
      <w:pPr>
        <w:pStyle w:val="Default"/>
        <w:ind w:left="851"/>
      </w:pPr>
      <w:r w:rsidRPr="00F83367">
        <w:t>Pakninger med 2, 6 eller 10 fyldte injektionssprøjter med målestreger og flerpakninger med 30 (3 pakninger med 10) og 50 (5 pakninger med 10) fyldte injektionssprøjter med målestreger</w:t>
      </w:r>
    </w:p>
    <w:p w14:paraId="49074BB7" w14:textId="77777777" w:rsidR="00F36616" w:rsidRPr="00F83367" w:rsidRDefault="00F36616" w:rsidP="00F36616">
      <w:pPr>
        <w:pStyle w:val="Default"/>
        <w:ind w:left="851"/>
        <w:outlineLvl w:val="0"/>
      </w:pPr>
    </w:p>
    <w:p w14:paraId="37F07E80" w14:textId="77777777" w:rsidR="00F36616" w:rsidRPr="00F83367" w:rsidRDefault="00F36616" w:rsidP="00F36616">
      <w:pPr>
        <w:pStyle w:val="Default"/>
        <w:ind w:left="851"/>
        <w:outlineLvl w:val="0"/>
        <w:rPr>
          <w:b/>
        </w:rPr>
      </w:pPr>
      <w:r w:rsidRPr="00F83367">
        <w:rPr>
          <w:b/>
        </w:rPr>
        <w:t>2. Sprøjten er ikke udstyret med nålebeskyttelse</w:t>
      </w:r>
    </w:p>
    <w:p w14:paraId="2031D83B" w14:textId="77777777" w:rsidR="00F36616" w:rsidRPr="00F83367" w:rsidRDefault="00F36616" w:rsidP="00F36616">
      <w:pPr>
        <w:pStyle w:val="Default"/>
        <w:ind w:left="851"/>
        <w:outlineLvl w:val="0"/>
      </w:pPr>
    </w:p>
    <w:p w14:paraId="33412035" w14:textId="77777777" w:rsidR="00F36616" w:rsidRPr="00F83367" w:rsidRDefault="00F36616" w:rsidP="00F36616">
      <w:pPr>
        <w:pStyle w:val="Default"/>
        <w:ind w:firstLine="851"/>
        <w:outlineLvl w:val="0"/>
        <w:rPr>
          <w:b/>
        </w:rPr>
      </w:pPr>
      <w:bookmarkStart w:id="5" w:name="_Hlk4932029"/>
      <w:r w:rsidRPr="00F83367">
        <w:t>Ghemaxan 2.000 IE (20 </w:t>
      </w:r>
      <w:proofErr w:type="gramStart"/>
      <w:r w:rsidRPr="00F83367">
        <w:t>mg)/</w:t>
      </w:r>
      <w:proofErr w:type="gramEnd"/>
      <w:r w:rsidRPr="00F83367">
        <w:t>0,2 ml injektionsvæske, opløsning i fyldte injektionssprøjter:</w:t>
      </w:r>
    </w:p>
    <w:p w14:paraId="647D63C0" w14:textId="77777777" w:rsidR="00F36616" w:rsidRPr="00F83367" w:rsidRDefault="00F36616" w:rsidP="00F36616">
      <w:pPr>
        <w:pStyle w:val="Default"/>
        <w:ind w:left="851"/>
        <w:outlineLvl w:val="0"/>
      </w:pPr>
      <w:r w:rsidRPr="00F83367">
        <w:t>Pakninger med 2 og 10 fyldte injektionssprøjter</w:t>
      </w:r>
    </w:p>
    <w:p w14:paraId="39689611" w14:textId="77777777" w:rsidR="00F36616" w:rsidRPr="00F83367" w:rsidRDefault="00F36616" w:rsidP="00F36616">
      <w:pPr>
        <w:pStyle w:val="Default"/>
        <w:ind w:left="851"/>
        <w:outlineLvl w:val="0"/>
      </w:pPr>
      <w:r w:rsidRPr="00F83367">
        <w:t>Ghemaxan 4.000 IE (40 </w:t>
      </w:r>
      <w:proofErr w:type="gramStart"/>
      <w:r w:rsidRPr="00F83367">
        <w:t>mg)/</w:t>
      </w:r>
      <w:proofErr w:type="gramEnd"/>
      <w:r w:rsidRPr="00F83367">
        <w:t>0,4 ml injektionsvæske, opløsning i fyldte injektionssprøjter:</w:t>
      </w:r>
    </w:p>
    <w:p w14:paraId="7C51D16E" w14:textId="77777777" w:rsidR="00F36616" w:rsidRPr="00F83367" w:rsidRDefault="00F36616" w:rsidP="00F36616">
      <w:pPr>
        <w:pStyle w:val="Default"/>
        <w:ind w:left="851"/>
        <w:outlineLvl w:val="0"/>
      </w:pPr>
      <w:r w:rsidRPr="00F83367">
        <w:t>Pakninger med 2 og 10 fyldte injektionssprøjter og flerpakning med 30 (3pakninger med 10) fyldte injektionssprøjter</w:t>
      </w:r>
    </w:p>
    <w:p w14:paraId="69DC5F32" w14:textId="77777777" w:rsidR="00F36616" w:rsidRPr="00F83367" w:rsidRDefault="00F36616" w:rsidP="00F36616">
      <w:pPr>
        <w:pStyle w:val="Default"/>
        <w:ind w:firstLine="851"/>
        <w:outlineLvl w:val="0"/>
      </w:pPr>
      <w:r w:rsidRPr="00F83367">
        <w:t>Ghemaxan 6.000 IE (60 </w:t>
      </w:r>
      <w:proofErr w:type="gramStart"/>
      <w:r w:rsidRPr="00F83367">
        <w:t>mg)/</w:t>
      </w:r>
      <w:proofErr w:type="gramEnd"/>
      <w:r w:rsidRPr="00F83367">
        <w:t>0,6 ml injektionsvæske, opløsning i fyldte injektionssprøjter:</w:t>
      </w:r>
    </w:p>
    <w:p w14:paraId="463CF348" w14:textId="77777777" w:rsidR="00F36616" w:rsidRPr="00F83367" w:rsidRDefault="00F36616" w:rsidP="00F36616">
      <w:pPr>
        <w:pStyle w:val="Default"/>
        <w:ind w:left="851"/>
        <w:outlineLvl w:val="0"/>
      </w:pPr>
      <w:r w:rsidRPr="00F83367">
        <w:t>Pakninger med 2 og 10 fyldte injektionssprøjter med målestreger og flerpakning med 30 (3 pakninger med 10) fyldte injektionssprøjter med målestreger</w:t>
      </w:r>
    </w:p>
    <w:p w14:paraId="2B4DDD23" w14:textId="77777777" w:rsidR="00F36616" w:rsidRPr="00F83367" w:rsidRDefault="00F36616" w:rsidP="00F36616">
      <w:pPr>
        <w:pStyle w:val="Default"/>
        <w:ind w:firstLine="851"/>
        <w:outlineLvl w:val="0"/>
      </w:pPr>
      <w:r w:rsidRPr="00F83367">
        <w:t>Ghemaxan 8.000 IE (80 </w:t>
      </w:r>
      <w:proofErr w:type="gramStart"/>
      <w:r w:rsidRPr="00F83367">
        <w:t>mg)/</w:t>
      </w:r>
      <w:proofErr w:type="gramEnd"/>
      <w:r w:rsidRPr="00F83367">
        <w:t>0,8 ml injektionsvæske, opløsning i fyldte injektionssprøjter:</w:t>
      </w:r>
    </w:p>
    <w:p w14:paraId="6529423B" w14:textId="77777777" w:rsidR="00F36616" w:rsidRPr="00F83367" w:rsidRDefault="00F36616" w:rsidP="00F36616">
      <w:pPr>
        <w:pStyle w:val="Default"/>
        <w:ind w:left="851"/>
        <w:outlineLvl w:val="0"/>
      </w:pPr>
      <w:r w:rsidRPr="00F83367">
        <w:t>Pakninger med 2 og 10 fyldte injektionssprøjter med målestreger og flerpakning med 30 (3 pakninger med 10) fyldte injektionssprøjter med målestreger</w:t>
      </w:r>
    </w:p>
    <w:p w14:paraId="7ADECC50" w14:textId="77777777" w:rsidR="00F36616" w:rsidRPr="00F83367" w:rsidRDefault="00F36616" w:rsidP="00F36616">
      <w:pPr>
        <w:pStyle w:val="Default"/>
        <w:ind w:firstLine="851"/>
        <w:outlineLvl w:val="0"/>
      </w:pPr>
      <w:r w:rsidRPr="00F83367">
        <w:t>Ghemaxan 10.000 IE (100 </w:t>
      </w:r>
      <w:proofErr w:type="gramStart"/>
      <w:r w:rsidRPr="00F83367">
        <w:t>mg)/</w:t>
      </w:r>
      <w:proofErr w:type="gramEnd"/>
      <w:r w:rsidRPr="00F83367">
        <w:t>1 ml injektionsvæske, opløsning i fyldte injektionssprøjter:</w:t>
      </w:r>
    </w:p>
    <w:p w14:paraId="50511511" w14:textId="77777777" w:rsidR="00F36616" w:rsidRPr="00F83367" w:rsidRDefault="00F36616" w:rsidP="00F36616">
      <w:pPr>
        <w:pStyle w:val="Default"/>
        <w:ind w:left="851"/>
        <w:outlineLvl w:val="0"/>
      </w:pPr>
      <w:r w:rsidRPr="00F83367">
        <w:t>Pakninger med 2 og 10 fyldte injektionssprøjter med målestreger og flerpakning med 30 (3 pakninger med 10) fyldte injektionssprøjter med målestreger</w:t>
      </w:r>
    </w:p>
    <w:p w14:paraId="51A21EB1" w14:textId="77777777" w:rsidR="00F36616" w:rsidRPr="00F83367" w:rsidRDefault="00F36616" w:rsidP="00F36616">
      <w:pPr>
        <w:pStyle w:val="Default"/>
        <w:ind w:left="851"/>
        <w:outlineLvl w:val="0"/>
      </w:pPr>
      <w:r w:rsidRPr="00F83367">
        <w:t>Ghemaxan 12.000 IE (120 </w:t>
      </w:r>
      <w:proofErr w:type="gramStart"/>
      <w:r w:rsidRPr="00F83367">
        <w:t>mg)/</w:t>
      </w:r>
      <w:proofErr w:type="gramEnd"/>
      <w:r w:rsidRPr="00F83367">
        <w:t>0,8 ml injektionsvæske, opløsning i fyldte injektionssprøjter: Pakninger med 10 fyldte injektionssprøjter med målestreger og flerpakning med 30 (3 pakninger med 10) fyldte injektionssprøjter med målestreger</w:t>
      </w:r>
    </w:p>
    <w:p w14:paraId="53804D42" w14:textId="77777777" w:rsidR="00F36616" w:rsidRPr="00F83367" w:rsidRDefault="00F36616" w:rsidP="00F36616">
      <w:pPr>
        <w:pStyle w:val="Default"/>
        <w:ind w:firstLine="851"/>
        <w:outlineLvl w:val="0"/>
      </w:pPr>
      <w:r w:rsidRPr="00F83367">
        <w:t>Ghemaxan 15.000 IE (150 </w:t>
      </w:r>
      <w:proofErr w:type="gramStart"/>
      <w:r w:rsidRPr="00F83367">
        <w:t>mg)/</w:t>
      </w:r>
      <w:proofErr w:type="gramEnd"/>
      <w:r w:rsidRPr="00F83367">
        <w:t>1 ml injektionsvæske, opløsning i fyldte injektionssprøjter:</w:t>
      </w:r>
    </w:p>
    <w:p w14:paraId="7C20B876" w14:textId="77777777" w:rsidR="00F36616" w:rsidRPr="00F83367" w:rsidRDefault="00F36616" w:rsidP="00F36616">
      <w:pPr>
        <w:pStyle w:val="Default"/>
        <w:ind w:left="851"/>
        <w:outlineLvl w:val="0"/>
      </w:pPr>
      <w:r w:rsidRPr="00F83367">
        <w:t>Pakninger med 10 fyldte injektionssprøjter med målestreger og flerpakning med 30 (3 pakninger med 10) fyldte injektionssprøjter med målestreger</w:t>
      </w:r>
    </w:p>
    <w:bookmarkEnd w:id="5"/>
    <w:p w14:paraId="0E517EC1" w14:textId="77777777" w:rsidR="00F36616" w:rsidRPr="00F83367" w:rsidRDefault="00F36616" w:rsidP="00F36616">
      <w:pPr>
        <w:pStyle w:val="Default"/>
        <w:ind w:left="851"/>
        <w:outlineLvl w:val="0"/>
      </w:pPr>
    </w:p>
    <w:p w14:paraId="509F64FF" w14:textId="0D0A2873" w:rsidR="000C25F4" w:rsidRPr="00F83367" w:rsidRDefault="00F36616" w:rsidP="00F36616">
      <w:pPr>
        <w:tabs>
          <w:tab w:val="left" w:pos="851"/>
        </w:tabs>
        <w:ind w:left="851" w:hanging="851"/>
        <w:rPr>
          <w:sz w:val="24"/>
          <w:szCs w:val="24"/>
        </w:rPr>
      </w:pPr>
      <w:r w:rsidRPr="00F83367">
        <w:rPr>
          <w:sz w:val="24"/>
          <w:szCs w:val="24"/>
        </w:rPr>
        <w:tab/>
        <w:t>Ikke alle pakningsstørrelser er nødvendigvis markedsført.</w:t>
      </w:r>
    </w:p>
    <w:p w14:paraId="59BE706F" w14:textId="77777777" w:rsidR="00F36616" w:rsidRPr="00F83367" w:rsidRDefault="00F36616" w:rsidP="00F36616">
      <w:pPr>
        <w:tabs>
          <w:tab w:val="left" w:pos="851"/>
        </w:tabs>
        <w:ind w:left="851" w:hanging="851"/>
        <w:rPr>
          <w:sz w:val="24"/>
          <w:szCs w:val="24"/>
        </w:rPr>
      </w:pPr>
    </w:p>
    <w:p w14:paraId="0DF27A22" w14:textId="41BAB5F9" w:rsidR="000C25F4" w:rsidRPr="00F83367" w:rsidRDefault="000C25F4" w:rsidP="000C25F4">
      <w:pPr>
        <w:tabs>
          <w:tab w:val="left" w:pos="851"/>
        </w:tabs>
        <w:ind w:left="851" w:hanging="851"/>
        <w:rPr>
          <w:b/>
          <w:sz w:val="24"/>
          <w:szCs w:val="24"/>
        </w:rPr>
      </w:pPr>
      <w:r w:rsidRPr="00F83367">
        <w:rPr>
          <w:b/>
          <w:sz w:val="24"/>
          <w:szCs w:val="24"/>
        </w:rPr>
        <w:t>6.6</w:t>
      </w:r>
      <w:r w:rsidRPr="00F83367">
        <w:rPr>
          <w:b/>
          <w:sz w:val="24"/>
          <w:szCs w:val="24"/>
        </w:rPr>
        <w:tab/>
        <w:t xml:space="preserve">Regler for </w:t>
      </w:r>
      <w:r w:rsidR="001613FF">
        <w:rPr>
          <w:b/>
          <w:sz w:val="24"/>
          <w:szCs w:val="24"/>
        </w:rPr>
        <w:t>bortskaffelse</w:t>
      </w:r>
      <w:r w:rsidRPr="00F83367">
        <w:rPr>
          <w:b/>
          <w:sz w:val="24"/>
          <w:szCs w:val="24"/>
        </w:rPr>
        <w:t xml:space="preserve"> og anden håndtering</w:t>
      </w:r>
    </w:p>
    <w:p w14:paraId="5C33BE4F" w14:textId="77777777" w:rsidR="00D57DDA" w:rsidRPr="00F83367" w:rsidRDefault="00D57DDA" w:rsidP="00D57DDA">
      <w:pPr>
        <w:pStyle w:val="Default"/>
        <w:ind w:left="851"/>
      </w:pPr>
      <w:r w:rsidRPr="00F83367">
        <w:t>Den fyldte engangssprøjte er klar til brug (se pkt. 4.2).</w:t>
      </w:r>
    </w:p>
    <w:p w14:paraId="4818D376" w14:textId="77777777" w:rsidR="00D57DDA" w:rsidRPr="00F83367" w:rsidRDefault="00D57DDA" w:rsidP="00D57DDA">
      <w:pPr>
        <w:pStyle w:val="Default"/>
        <w:ind w:left="851"/>
      </w:pPr>
      <w:r w:rsidRPr="00F83367">
        <w:t xml:space="preserve">Til intravenøs injektion kan lægemidlet fortyndes i 0,9 % natriumchlorid- eller 5 % </w:t>
      </w:r>
      <w:proofErr w:type="gramStart"/>
      <w:r w:rsidRPr="00F83367">
        <w:t>glucoseinjektionsvæske</w:t>
      </w:r>
      <w:r w:rsidRPr="00F83367" w:rsidDel="00D907D5">
        <w:t xml:space="preserve"> </w:t>
      </w:r>
      <w:r w:rsidRPr="00F83367">
        <w:t>.</w:t>
      </w:r>
      <w:proofErr w:type="gramEnd"/>
      <w:r w:rsidRPr="00F83367">
        <w:t xml:space="preserve"> </w:t>
      </w:r>
    </w:p>
    <w:p w14:paraId="7B752BE2" w14:textId="77777777" w:rsidR="00D57DDA" w:rsidRPr="00F83367" w:rsidRDefault="00D57DDA" w:rsidP="00D57DDA">
      <w:pPr>
        <w:pStyle w:val="Default"/>
        <w:ind w:left="851"/>
      </w:pPr>
      <w:r w:rsidRPr="00F83367">
        <w:t>Opløsningen skal efterses visuelt inden brug. Opløsningen må ikke anvendes, hvis der bemærkes ændringer i opløsningens udseende.</w:t>
      </w:r>
    </w:p>
    <w:p w14:paraId="59216B05" w14:textId="77777777" w:rsidR="00D57DDA" w:rsidRPr="00F83367" w:rsidRDefault="00D57DDA" w:rsidP="00D57DDA">
      <w:pPr>
        <w:pStyle w:val="Default"/>
        <w:ind w:left="851"/>
      </w:pPr>
      <w:r w:rsidRPr="00F83367">
        <w:t>Den fyldte injektionssprøjte med Ghemaxan er kun beregnet til enkeltdosisbrug; eventuel ubrugt lægemiddel skal bortskaffes.</w:t>
      </w:r>
    </w:p>
    <w:p w14:paraId="72138AA3" w14:textId="77777777" w:rsidR="00D57DDA" w:rsidRPr="00F83367" w:rsidRDefault="00D57DDA" w:rsidP="00D57DDA">
      <w:pPr>
        <w:pStyle w:val="Default"/>
        <w:ind w:left="851"/>
      </w:pPr>
      <w:r w:rsidRPr="00F83367">
        <w:t>Fyldte injektionssprøjter fås med eller uden nålebeskyttelse. Brugsanvisningen er vist i indlægssedlen.</w:t>
      </w:r>
    </w:p>
    <w:p w14:paraId="72BA77AA" w14:textId="77777777" w:rsidR="00D57DDA" w:rsidRPr="00F83367" w:rsidRDefault="00D57DDA" w:rsidP="00D57DDA">
      <w:pPr>
        <w:pStyle w:val="Default"/>
        <w:ind w:left="851"/>
      </w:pPr>
      <w:r w:rsidRPr="00F83367">
        <w:t xml:space="preserve">Ikke anvendt lægemiddel samt affald heraf skal bortskaffes i henhold til lokale retningslinjer. </w:t>
      </w:r>
    </w:p>
    <w:p w14:paraId="541F0424" w14:textId="77777777" w:rsidR="00D57DDA" w:rsidRPr="00F83367" w:rsidRDefault="00D57DDA" w:rsidP="00D57DDA">
      <w:pPr>
        <w:tabs>
          <w:tab w:val="left" w:pos="851"/>
        </w:tabs>
        <w:rPr>
          <w:b/>
          <w:sz w:val="24"/>
          <w:szCs w:val="24"/>
        </w:rPr>
      </w:pPr>
    </w:p>
    <w:p w14:paraId="44EEAC40" w14:textId="77777777" w:rsidR="00D57DDA" w:rsidRPr="00485998" w:rsidRDefault="00D57DDA" w:rsidP="00D57DDA">
      <w:pPr>
        <w:pStyle w:val="Default"/>
        <w:ind w:left="851"/>
        <w:outlineLvl w:val="0"/>
        <w:rPr>
          <w:b/>
        </w:rPr>
      </w:pPr>
      <w:r w:rsidRPr="00485998">
        <w:rPr>
          <w:b/>
        </w:rPr>
        <w:t>BRUGSANVISNING: FYLDT INJEKTIONSSPRØJTE</w:t>
      </w:r>
    </w:p>
    <w:p w14:paraId="1352DE8E" w14:textId="77777777" w:rsidR="00D57DDA" w:rsidRPr="00485998" w:rsidRDefault="00D57DDA" w:rsidP="00D57DDA">
      <w:pPr>
        <w:pStyle w:val="Default"/>
        <w:ind w:left="851"/>
        <w:outlineLvl w:val="0"/>
        <w:rPr>
          <w:b/>
        </w:rPr>
      </w:pPr>
    </w:p>
    <w:p w14:paraId="6D30B61D" w14:textId="77777777" w:rsidR="00D57DDA" w:rsidRPr="00485998" w:rsidRDefault="00D57DDA" w:rsidP="00D57DDA">
      <w:pPr>
        <w:pStyle w:val="Default"/>
        <w:ind w:left="851"/>
        <w:outlineLvl w:val="0"/>
        <w:rPr>
          <w:b/>
        </w:rPr>
      </w:pPr>
      <w:r w:rsidRPr="00485998">
        <w:rPr>
          <w:b/>
        </w:rPr>
        <w:t xml:space="preserve">Sådan giver du dig selv en injektion af </w:t>
      </w:r>
      <w:r>
        <w:rPr>
          <w:b/>
        </w:rPr>
        <w:t>Ghemaxan</w:t>
      </w:r>
    </w:p>
    <w:p w14:paraId="00C77026" w14:textId="77777777" w:rsidR="00D57DDA" w:rsidRPr="00485998" w:rsidRDefault="00D57DDA" w:rsidP="00D57DDA">
      <w:pPr>
        <w:pStyle w:val="Default"/>
        <w:ind w:left="851"/>
      </w:pPr>
      <w:r w:rsidRPr="00485998">
        <w:t xml:space="preserve">Hvis du selv kan tage </w:t>
      </w:r>
      <w:r>
        <w:t>Ghemaxan</w:t>
      </w:r>
      <w:r w:rsidRPr="00485998">
        <w:t>, vil lægen eller sygeplejersken vise dig, hvordan du skal gøre. Du må ikke indsprøjte lægemidlet selv, hvis du ikke er blevet oplært i det. Kontakt straks lægen eller sygeplejersken, hvis du er usikker på, hvordan du skal gøre.</w:t>
      </w:r>
    </w:p>
    <w:p w14:paraId="7E260DC9" w14:textId="77777777" w:rsidR="00D57DDA" w:rsidRPr="00485998" w:rsidRDefault="00D57DDA" w:rsidP="00D57DDA">
      <w:pPr>
        <w:pStyle w:val="Default"/>
        <w:ind w:left="851"/>
      </w:pPr>
    </w:p>
    <w:p w14:paraId="14EBC9C4" w14:textId="77777777" w:rsidR="00D57DDA" w:rsidRPr="00485998" w:rsidRDefault="00D57DDA" w:rsidP="00D57DDA">
      <w:pPr>
        <w:pStyle w:val="Default"/>
        <w:ind w:left="851"/>
        <w:outlineLvl w:val="0"/>
        <w:rPr>
          <w:b/>
        </w:rPr>
      </w:pPr>
      <w:r w:rsidRPr="00485998">
        <w:rPr>
          <w:b/>
        </w:rPr>
        <w:t xml:space="preserve">Inden du giver dig selv en injektion af </w:t>
      </w:r>
      <w:r>
        <w:rPr>
          <w:b/>
        </w:rPr>
        <w:t>Ghemaxan</w:t>
      </w:r>
    </w:p>
    <w:p w14:paraId="34A818E1" w14:textId="77777777" w:rsidR="00D57DDA" w:rsidRPr="00485998" w:rsidRDefault="00D57DDA" w:rsidP="00D57DDA">
      <w:pPr>
        <w:pStyle w:val="Default"/>
        <w:numPr>
          <w:ilvl w:val="0"/>
          <w:numId w:val="22"/>
        </w:numPr>
        <w:tabs>
          <w:tab w:val="clear" w:pos="720"/>
          <w:tab w:val="num" w:pos="1134"/>
        </w:tabs>
        <w:ind w:left="1134" w:hanging="283"/>
      </w:pPr>
      <w:r w:rsidRPr="00485998">
        <w:t>Kontrollér lægemidlets udløbsdato. Brug ikke lægemidlet, hvis udløbsdatoen er overskredet.</w:t>
      </w:r>
    </w:p>
    <w:p w14:paraId="2FCF3DD1" w14:textId="77777777" w:rsidR="00D57DDA" w:rsidRPr="00485998" w:rsidRDefault="00D57DDA" w:rsidP="00D57DDA">
      <w:pPr>
        <w:pStyle w:val="Default"/>
        <w:numPr>
          <w:ilvl w:val="0"/>
          <w:numId w:val="22"/>
        </w:numPr>
        <w:tabs>
          <w:tab w:val="clear" w:pos="720"/>
          <w:tab w:val="num" w:pos="1134"/>
        </w:tabs>
        <w:ind w:left="1134" w:hanging="283"/>
      </w:pPr>
      <w:r w:rsidRPr="00485998">
        <w:t>Kontrollér, at kanylen er intakt, og lægemidlet i sprøjten er en klar opløsning. Hvis ikke, skal du bruge en anden sprøjte.</w:t>
      </w:r>
    </w:p>
    <w:p w14:paraId="3C8338BE" w14:textId="77777777" w:rsidR="00D57DDA" w:rsidRPr="00485998" w:rsidRDefault="00D57DDA" w:rsidP="00D57DDA">
      <w:pPr>
        <w:pStyle w:val="Default"/>
        <w:numPr>
          <w:ilvl w:val="0"/>
          <w:numId w:val="22"/>
        </w:numPr>
        <w:tabs>
          <w:tab w:val="clear" w:pos="720"/>
          <w:tab w:val="num" w:pos="1134"/>
        </w:tabs>
        <w:ind w:left="1134" w:hanging="283"/>
      </w:pPr>
      <w:r w:rsidRPr="00485998">
        <w:t>Brug ikke dette lægemiddel, hvis du bemærker ændringer i opløsningens udseende.</w:t>
      </w:r>
    </w:p>
    <w:p w14:paraId="1124A53F" w14:textId="77777777" w:rsidR="00D57DDA" w:rsidRPr="00485998" w:rsidRDefault="00D57DDA" w:rsidP="00D57DDA">
      <w:pPr>
        <w:pStyle w:val="Default"/>
        <w:numPr>
          <w:ilvl w:val="0"/>
          <w:numId w:val="22"/>
        </w:numPr>
        <w:tabs>
          <w:tab w:val="clear" w:pos="720"/>
          <w:tab w:val="num" w:pos="1134"/>
        </w:tabs>
        <w:ind w:left="1134" w:hanging="283"/>
      </w:pPr>
      <w:r w:rsidRPr="00485998">
        <w:t>Du skal vide hvor meget medicin, du skal indsprøjte.</w:t>
      </w:r>
    </w:p>
    <w:p w14:paraId="45E41BA8" w14:textId="77777777" w:rsidR="00D57DDA" w:rsidRPr="00485998" w:rsidRDefault="00D57DDA" w:rsidP="00D57DDA">
      <w:pPr>
        <w:pStyle w:val="Default"/>
        <w:numPr>
          <w:ilvl w:val="0"/>
          <w:numId w:val="22"/>
        </w:numPr>
        <w:tabs>
          <w:tab w:val="clear" w:pos="720"/>
          <w:tab w:val="num" w:pos="1134"/>
        </w:tabs>
        <w:ind w:left="1134" w:hanging="283"/>
      </w:pPr>
      <w:r w:rsidRPr="00485998">
        <w:t>Kontrollér, om din sidste injektion har forårsaget rødme, ændringer i hudfarven, hævelse, siveblødning eller ømhed på din mave. I så fald skal du kontakte lægen eller sygeplejersken.</w:t>
      </w:r>
    </w:p>
    <w:p w14:paraId="5B05D798" w14:textId="77777777" w:rsidR="00D57DDA" w:rsidRPr="00485998" w:rsidRDefault="00D57DDA" w:rsidP="00D57DDA">
      <w:pPr>
        <w:pStyle w:val="Default"/>
        <w:numPr>
          <w:ilvl w:val="0"/>
          <w:numId w:val="22"/>
        </w:numPr>
        <w:tabs>
          <w:tab w:val="clear" w:pos="720"/>
          <w:tab w:val="num" w:pos="1134"/>
        </w:tabs>
        <w:ind w:left="1134" w:hanging="283"/>
      </w:pPr>
      <w:r w:rsidRPr="00485998">
        <w:t xml:space="preserve">Beslut, hvor du vil indsprøjte medicinen. Du skal skifte injektionssted hver gang, idet du veksler mellem højre og venstre side af maven. </w:t>
      </w:r>
      <w:r>
        <w:t>Ghemaxan</w:t>
      </w:r>
      <w:r w:rsidRPr="00485998">
        <w:t xml:space="preserve"> skal indsprøjtes lige under huden på maven, men ikke for tæt på navlen eller eventuelt arvæv (afstanden skal være mindst 5 cm).</w:t>
      </w:r>
    </w:p>
    <w:p w14:paraId="0A2CBAB6" w14:textId="77777777" w:rsidR="00D57DDA" w:rsidRPr="00485998" w:rsidRDefault="00D57DDA" w:rsidP="00D57DDA">
      <w:pPr>
        <w:pStyle w:val="Default"/>
        <w:ind w:left="851"/>
      </w:pPr>
    </w:p>
    <w:p w14:paraId="71039F72" w14:textId="77777777" w:rsidR="00D57DDA" w:rsidRDefault="00D57DDA" w:rsidP="00487DB3">
      <w:pPr>
        <w:pStyle w:val="Default"/>
        <w:keepNext/>
        <w:ind w:left="851"/>
      </w:pPr>
      <w:r w:rsidRPr="00485998">
        <w:t>De</w:t>
      </w:r>
      <w:r>
        <w:t>n</w:t>
      </w:r>
      <w:r w:rsidRPr="00485998">
        <w:t xml:space="preserve"> fyldte injektionssprøjte er kun beregnet til engangsbrug. </w:t>
      </w:r>
      <w:r>
        <w:t>Injektionssprøjten fås i følgende præsentationer:</w:t>
      </w:r>
    </w:p>
    <w:p w14:paraId="3308D59F" w14:textId="77777777" w:rsidR="00D57DDA" w:rsidRPr="00D57DDA" w:rsidRDefault="00D57DDA" w:rsidP="00D57DDA">
      <w:pPr>
        <w:pStyle w:val="Default"/>
        <w:ind w:left="851"/>
      </w:pPr>
      <w:r>
        <w:t>-</w:t>
      </w:r>
      <w:r w:rsidRPr="00485998">
        <w:t xml:space="preserve"> </w:t>
      </w:r>
      <w:r w:rsidRPr="00D57DDA">
        <w:t>med nålebeskyttelse.</w:t>
      </w:r>
    </w:p>
    <w:p w14:paraId="74F7FC51" w14:textId="77777777" w:rsidR="00D57DDA" w:rsidRPr="00485998" w:rsidRDefault="00D57DDA" w:rsidP="00D57DDA">
      <w:pPr>
        <w:pStyle w:val="Default"/>
        <w:ind w:left="851"/>
      </w:pPr>
      <w:r w:rsidRPr="00D57DDA">
        <w:t>- uden nålebeskyttelse.</w:t>
      </w:r>
    </w:p>
    <w:p w14:paraId="68979B2C" w14:textId="77777777" w:rsidR="00D57DDA" w:rsidRPr="00485998" w:rsidRDefault="00D57DDA" w:rsidP="00D57DDA">
      <w:pPr>
        <w:pStyle w:val="Default"/>
        <w:ind w:left="851"/>
      </w:pPr>
    </w:p>
    <w:p w14:paraId="1B28C89E" w14:textId="77777777" w:rsidR="00D57DDA" w:rsidRPr="00485998" w:rsidRDefault="00D57DDA" w:rsidP="00D57DDA">
      <w:pPr>
        <w:pStyle w:val="Default"/>
        <w:ind w:left="851"/>
        <w:outlineLvl w:val="0"/>
        <w:rPr>
          <w:b/>
        </w:rPr>
      </w:pPr>
      <w:r w:rsidRPr="00485998">
        <w:rPr>
          <w:b/>
        </w:rPr>
        <w:t xml:space="preserve">Vejledning i selv-injektion af </w:t>
      </w:r>
      <w:r>
        <w:rPr>
          <w:b/>
        </w:rPr>
        <w:t>Ghemaxan</w:t>
      </w:r>
    </w:p>
    <w:p w14:paraId="06A522E1" w14:textId="77777777" w:rsidR="00D57DDA" w:rsidRPr="00485998" w:rsidRDefault="00D57DDA" w:rsidP="00D57DDA">
      <w:pPr>
        <w:pStyle w:val="Default"/>
        <w:ind w:left="851"/>
        <w:outlineLvl w:val="0"/>
      </w:pPr>
      <w:r w:rsidRPr="00485998">
        <w:t xml:space="preserve">Du bør ligge ned. </w:t>
      </w:r>
      <w:r>
        <w:t>Ghemaxan</w:t>
      </w:r>
      <w:r w:rsidRPr="00485998">
        <w:t xml:space="preserve"> skal tages som en dyb subkutan injektion (under huden). Injektionerne skal indgives skiftevist i venstre og højre anterolaterale og venstre og højre posterolaterale bugvæg. Hele kanylens længde skal indføres i hudfolden mellem tomme- og pegefinger; hold fast i hudfolden under hele injektionen. Gnid ikke på injektionsstedet efter injektionen for at minimere blå mærker.</w:t>
      </w:r>
    </w:p>
    <w:p w14:paraId="0837BE2D" w14:textId="77777777" w:rsidR="00D57DDA" w:rsidRPr="00485998" w:rsidRDefault="00D57DDA" w:rsidP="00D57DDA">
      <w:pPr>
        <w:pStyle w:val="Default"/>
        <w:ind w:left="851"/>
        <w:outlineLvl w:val="0"/>
      </w:pPr>
      <w:r w:rsidRPr="00485998">
        <w:t>De</w:t>
      </w:r>
      <w:r>
        <w:t>n</w:t>
      </w:r>
      <w:r w:rsidRPr="00485998">
        <w:t xml:space="preserve"> fyldte injektionssprøjte og de</w:t>
      </w:r>
      <w:r>
        <w:t>n</w:t>
      </w:r>
      <w:r w:rsidRPr="00485998">
        <w:t xml:space="preserve"> fyldte injektionssprøjte med målestreger er kun beregnet til engangsbrug. Sprøjten </w:t>
      </w:r>
      <w:r>
        <w:t>kan være</w:t>
      </w:r>
      <w:r w:rsidRPr="00485998">
        <w:t xml:space="preserve"> udstyret </w:t>
      </w:r>
      <w:r w:rsidRPr="00D57DDA">
        <w:t>med nålebeskyttelse.</w:t>
      </w:r>
      <w:r>
        <w:t xml:space="preserve"> Brugsanvisning for sprøjter med dette system kan ses nedenfor</w:t>
      </w:r>
      <w:r w:rsidRPr="00485998">
        <w:t>.</w:t>
      </w:r>
    </w:p>
    <w:p w14:paraId="5D876CCF" w14:textId="77777777" w:rsidR="00D57DDA" w:rsidRPr="00485998" w:rsidRDefault="00D57DDA" w:rsidP="00D57DDA">
      <w:pPr>
        <w:pStyle w:val="Default"/>
        <w:ind w:left="851"/>
        <w:outlineLvl w:val="0"/>
      </w:pPr>
      <w:r w:rsidRPr="00485998">
        <w:t>Sikkerhedsskaftet har et greb til oplåsning og låsning af systemet.</w:t>
      </w:r>
    </w:p>
    <w:p w14:paraId="2F661E56" w14:textId="77777777" w:rsidR="00D57DDA" w:rsidRPr="00485998" w:rsidRDefault="00D57DDA" w:rsidP="00D57DDA">
      <w:pPr>
        <w:pStyle w:val="Default"/>
        <w:ind w:left="851"/>
        <w:outlineLvl w:val="0"/>
      </w:pPr>
      <w:r w:rsidRPr="00485998">
        <w:t>Tag den fyldte injektionssprøjte ud af blisterpakningen ved at trække ved pilen i den viste retning. Tag ikke sprøjten ud ved at trække i stemplet, da det kan ødelægge sprøjten.</w:t>
      </w:r>
    </w:p>
    <w:p w14:paraId="7BA69A9C" w14:textId="77777777" w:rsidR="00D57DDA" w:rsidRPr="00485998" w:rsidRDefault="00D57DDA" w:rsidP="00D57DDA">
      <w:pPr>
        <w:pStyle w:val="Default"/>
        <w:ind w:left="851"/>
      </w:pPr>
    </w:p>
    <w:p w14:paraId="41865CEA" w14:textId="32FF6358" w:rsidR="00487DB3" w:rsidRDefault="00487DB3">
      <w:pPr>
        <w:rPr>
          <w:b/>
          <w:color w:val="000000"/>
        </w:rPr>
      </w:pPr>
      <w:r>
        <w:rPr>
          <w:b/>
          <w:color w:val="000000"/>
        </w:rPr>
        <w:br w:type="page"/>
      </w:r>
    </w:p>
    <w:p w14:paraId="0A92FC64" w14:textId="77777777" w:rsidR="00D57DDA" w:rsidRDefault="00D57DDA" w:rsidP="00D57DDA">
      <w:pPr>
        <w:rPr>
          <w:b/>
          <w:color w:val="000000"/>
        </w:rPr>
      </w:pPr>
    </w:p>
    <w:p w14:paraId="5AA75BCA" w14:textId="77777777" w:rsidR="00D57DDA" w:rsidRPr="00485998" w:rsidRDefault="00D57DDA" w:rsidP="00D57DDA">
      <w:pPr>
        <w:pStyle w:val="Default"/>
        <w:ind w:left="851"/>
        <w:outlineLvl w:val="0"/>
        <w:rPr>
          <w:b/>
        </w:rPr>
      </w:pPr>
      <w:r w:rsidRPr="00485998">
        <w:rPr>
          <w:b/>
        </w:rPr>
        <w:t>BRUGSANVISNING: SIKKERHEDSANORDNING</w:t>
      </w:r>
    </w:p>
    <w:p w14:paraId="61794BF7" w14:textId="77777777" w:rsidR="00D57DDA" w:rsidRPr="00485998" w:rsidRDefault="00D57DDA" w:rsidP="00D57DDA">
      <w:pPr>
        <w:pStyle w:val="Default"/>
        <w:ind w:left="851"/>
      </w:pPr>
    </w:p>
    <w:tbl>
      <w:tblPr>
        <w:tblW w:w="0" w:type="auto"/>
        <w:jc w:val="center"/>
        <w:tblBorders>
          <w:top w:val="single" w:sz="18" w:space="0" w:color="0000FF"/>
          <w:left w:val="single" w:sz="30" w:space="0" w:color="0000FF"/>
          <w:right w:val="single" w:sz="30" w:space="0" w:color="0000FF"/>
        </w:tblBorders>
        <w:tblLayout w:type="fixed"/>
        <w:tblCellMar>
          <w:left w:w="70" w:type="dxa"/>
          <w:right w:w="70" w:type="dxa"/>
        </w:tblCellMar>
        <w:tblLook w:val="0000" w:firstRow="0" w:lastRow="0" w:firstColumn="0" w:lastColumn="0" w:noHBand="0" w:noVBand="0"/>
      </w:tblPr>
      <w:tblGrid>
        <w:gridCol w:w="4140"/>
        <w:gridCol w:w="4141"/>
      </w:tblGrid>
      <w:tr w:rsidR="00D57DDA" w14:paraId="78E9F7CC" w14:textId="77777777" w:rsidTr="0057797C">
        <w:trPr>
          <w:trHeight w:val="1464"/>
          <w:jc w:val="center"/>
        </w:trPr>
        <w:tc>
          <w:tcPr>
            <w:tcW w:w="8281" w:type="dxa"/>
            <w:gridSpan w:val="2"/>
            <w:tcBorders>
              <w:top w:val="single" w:sz="18" w:space="0" w:color="0000FF"/>
              <w:bottom w:val="nil"/>
            </w:tcBorders>
          </w:tcPr>
          <w:p w14:paraId="05643F0A" w14:textId="6105213D" w:rsidR="00D57DDA" w:rsidRPr="00485998" w:rsidRDefault="00D57DDA" w:rsidP="0057797C">
            <w:pPr>
              <w:pStyle w:val="Default"/>
              <w:ind w:left="851"/>
              <w:rPr>
                <w:b/>
                <w:bCs/>
                <w:i/>
              </w:rPr>
            </w:pPr>
            <w:r w:rsidRPr="00485998">
              <w:rPr>
                <w:b/>
                <w:bCs/>
                <w:i/>
              </w:rPr>
              <w:t xml:space="preserve">Denne blister indeholder en fyldt sprøjte med </w:t>
            </w:r>
            <w:r>
              <w:rPr>
                <w:b/>
                <w:bCs/>
                <w:i/>
              </w:rPr>
              <w:t>Ghemaxan</w:t>
            </w:r>
            <w:r w:rsidRPr="00485998">
              <w:rPr>
                <w:b/>
                <w:bCs/>
                <w:i/>
              </w:rPr>
              <w:t xml:space="preserve"> med</w:t>
            </w:r>
            <w:r w:rsidRPr="009651C7">
              <w:rPr>
                <w:b/>
                <w:bCs/>
                <w:i/>
                <w:highlight w:val="yellow"/>
              </w:rPr>
              <w:t xml:space="preserve"> </w:t>
            </w:r>
            <w:r w:rsidRPr="00F83367">
              <w:rPr>
                <w:b/>
                <w:bCs/>
                <w:i/>
              </w:rPr>
              <w:t>nålebeskyttelse.</w:t>
            </w:r>
          </w:p>
          <w:p w14:paraId="71D32338" w14:textId="77777777" w:rsidR="00D57DDA" w:rsidRPr="00485998" w:rsidRDefault="00D57DDA" w:rsidP="0057797C">
            <w:pPr>
              <w:pStyle w:val="Default"/>
              <w:ind w:left="851"/>
              <w:rPr>
                <w:b/>
                <w:bCs/>
                <w:i/>
              </w:rPr>
            </w:pPr>
            <w:r w:rsidRPr="00485998">
              <w:rPr>
                <w:b/>
                <w:bCs/>
                <w:i/>
              </w:rPr>
              <w:tab/>
            </w:r>
          </w:p>
          <w:p w14:paraId="4BFB0B36" w14:textId="77777777" w:rsidR="00D57DDA" w:rsidRPr="00485998" w:rsidRDefault="00D57DDA" w:rsidP="0057797C">
            <w:pPr>
              <w:pStyle w:val="Default"/>
              <w:ind w:left="851"/>
              <w:rPr>
                <w:b/>
                <w:bCs/>
                <w:i/>
                <w:vertAlign w:val="superscript"/>
              </w:rPr>
            </w:pPr>
            <w:r w:rsidRPr="00485998">
              <w:rPr>
                <w:b/>
                <w:bCs/>
                <w:i/>
              </w:rPr>
              <w:t xml:space="preserve"> </w:t>
            </w:r>
          </w:p>
        </w:tc>
      </w:tr>
      <w:tr w:rsidR="00D57DDA" w14:paraId="664009C1" w14:textId="77777777" w:rsidTr="0057797C">
        <w:trPr>
          <w:trHeight w:val="263"/>
          <w:jc w:val="center"/>
        </w:trPr>
        <w:tc>
          <w:tcPr>
            <w:tcW w:w="4140" w:type="dxa"/>
            <w:tcBorders>
              <w:top w:val="nil"/>
              <w:bottom w:val="nil"/>
              <w:right w:val="nil"/>
            </w:tcBorders>
          </w:tcPr>
          <w:p w14:paraId="42D43D81" w14:textId="77777777" w:rsidR="00D57DDA" w:rsidRPr="00485998" w:rsidRDefault="00D57DDA" w:rsidP="0057797C">
            <w:pPr>
              <w:pStyle w:val="Default"/>
              <w:ind w:left="851"/>
              <w:rPr>
                <w:b/>
                <w:bCs/>
                <w:i/>
              </w:rPr>
            </w:pPr>
          </w:p>
        </w:tc>
        <w:tc>
          <w:tcPr>
            <w:tcW w:w="4141" w:type="dxa"/>
            <w:tcBorders>
              <w:top w:val="nil"/>
              <w:left w:val="nil"/>
              <w:bottom w:val="nil"/>
            </w:tcBorders>
          </w:tcPr>
          <w:p w14:paraId="63484305" w14:textId="77777777" w:rsidR="00D57DDA" w:rsidRPr="00485998" w:rsidRDefault="00D57DDA" w:rsidP="0057797C">
            <w:pPr>
              <w:pStyle w:val="Default"/>
              <w:ind w:left="851"/>
              <w:rPr>
                <w:b/>
                <w:bCs/>
                <w:i/>
              </w:rPr>
            </w:pPr>
          </w:p>
        </w:tc>
      </w:tr>
      <w:tr w:rsidR="00D57DDA" w14:paraId="76311A26" w14:textId="77777777" w:rsidTr="0057797C">
        <w:trPr>
          <w:trHeight w:val="4203"/>
          <w:jc w:val="center"/>
        </w:trPr>
        <w:tc>
          <w:tcPr>
            <w:tcW w:w="8281" w:type="dxa"/>
            <w:gridSpan w:val="2"/>
            <w:tcBorders>
              <w:top w:val="nil"/>
              <w:bottom w:val="single" w:sz="18" w:space="0" w:color="0000FF"/>
            </w:tcBorders>
          </w:tcPr>
          <w:p w14:paraId="41C32361" w14:textId="77777777" w:rsidR="00D57DDA" w:rsidRPr="00485998" w:rsidRDefault="00D57DDA" w:rsidP="0057797C">
            <w:pPr>
              <w:pStyle w:val="Default"/>
              <w:ind w:left="851"/>
              <w:rPr>
                <w:b/>
                <w:bCs/>
                <w:i/>
              </w:rPr>
            </w:pPr>
            <w:r w:rsidRPr="00485998">
              <w:rPr>
                <w:noProof/>
              </w:rPr>
              <w:drawing>
                <wp:inline distT="0" distB="0" distL="0" distR="0" wp14:anchorId="7957F45E" wp14:editId="3E46B9FA">
                  <wp:extent cx="4549140" cy="5288280"/>
                  <wp:effectExtent l="0" t="0" r="381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5929"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49140" cy="5288280"/>
                          </a:xfrm>
                          <a:prstGeom prst="rect">
                            <a:avLst/>
                          </a:prstGeom>
                          <a:noFill/>
                          <a:ln>
                            <a:noFill/>
                          </a:ln>
                        </pic:spPr>
                      </pic:pic>
                    </a:graphicData>
                  </a:graphic>
                </wp:inline>
              </w:drawing>
            </w:r>
          </w:p>
        </w:tc>
      </w:tr>
    </w:tbl>
    <w:p w14:paraId="29D5348B" w14:textId="77777777" w:rsidR="00D57DDA" w:rsidRPr="00485998" w:rsidRDefault="00D57DDA" w:rsidP="00D57DDA">
      <w:pPr>
        <w:pStyle w:val="Default"/>
        <w:ind w:left="851"/>
      </w:pPr>
    </w:p>
    <w:tbl>
      <w:tblPr>
        <w:tblW w:w="0" w:type="auto"/>
        <w:jc w:val="center"/>
        <w:tblBorders>
          <w:top w:val="single" w:sz="18" w:space="0" w:color="0000FF"/>
          <w:left w:val="single" w:sz="30" w:space="0" w:color="0000FF"/>
          <w:bottom w:val="single" w:sz="18" w:space="0" w:color="0000FF"/>
          <w:right w:val="single" w:sz="30" w:space="0" w:color="0000FF"/>
        </w:tblBorders>
        <w:tblLayout w:type="fixed"/>
        <w:tblCellMar>
          <w:left w:w="70" w:type="dxa"/>
          <w:right w:w="70" w:type="dxa"/>
        </w:tblCellMar>
        <w:tblLook w:val="0000" w:firstRow="0" w:lastRow="0" w:firstColumn="0" w:lastColumn="0" w:noHBand="0" w:noVBand="0"/>
      </w:tblPr>
      <w:tblGrid>
        <w:gridCol w:w="8287"/>
      </w:tblGrid>
      <w:tr w:rsidR="00D57DDA" w14:paraId="72BFE24E" w14:textId="77777777" w:rsidTr="0057797C">
        <w:trPr>
          <w:trHeight w:val="6567"/>
          <w:jc w:val="center"/>
        </w:trPr>
        <w:tc>
          <w:tcPr>
            <w:tcW w:w="8287" w:type="dxa"/>
            <w:tcBorders>
              <w:top w:val="single" w:sz="18" w:space="0" w:color="0000FF"/>
              <w:bottom w:val="single" w:sz="18" w:space="0" w:color="0000FF"/>
            </w:tcBorders>
          </w:tcPr>
          <w:p w14:paraId="734D8E10" w14:textId="77777777" w:rsidR="00D57DDA" w:rsidRPr="00485998" w:rsidRDefault="00D57DDA" w:rsidP="0057797C">
            <w:pPr>
              <w:ind w:left="851"/>
              <w:rPr>
                <w:b/>
                <w:i/>
              </w:rPr>
            </w:pPr>
            <w:r w:rsidRPr="00485998">
              <w:rPr>
                <w:b/>
                <w:i/>
              </w:rPr>
              <w:lastRenderedPageBreak/>
              <w:t xml:space="preserve">Sådan sætter du sikkerhedssystemet på sprøjten med </w:t>
            </w:r>
            <w:r>
              <w:rPr>
                <w:b/>
                <w:i/>
              </w:rPr>
              <w:t>Ghemaxan</w:t>
            </w:r>
            <w:r w:rsidRPr="00485998">
              <w:rPr>
                <w:b/>
                <w:i/>
              </w:rPr>
              <w:t xml:space="preserve"> efter injektionen</w:t>
            </w:r>
          </w:p>
          <w:p w14:paraId="014FE64A" w14:textId="77777777" w:rsidR="00D57DDA" w:rsidRPr="00485998" w:rsidRDefault="00D57DDA" w:rsidP="0057797C">
            <w:pPr>
              <w:ind w:left="851"/>
              <w:rPr>
                <w:i/>
              </w:rPr>
            </w:pPr>
          </w:p>
          <w:p w14:paraId="71425CB4" w14:textId="77777777" w:rsidR="00D57DDA" w:rsidRPr="00485998" w:rsidRDefault="00D57DDA" w:rsidP="0057797C">
            <w:pPr>
              <w:ind w:left="851"/>
              <w:rPr>
                <w:i/>
              </w:rPr>
            </w:pPr>
            <w:r w:rsidRPr="00485998">
              <w:rPr>
                <w:b/>
                <w:i/>
              </w:rPr>
              <w:t>Hold godt fast om sprøjtens rør med den ene hånd. Hold fast i sprøjtens base (</w:t>
            </w:r>
            <w:r>
              <w:rPr>
                <w:b/>
                <w:i/>
              </w:rPr>
              <w:t>"</w:t>
            </w:r>
            <w:r w:rsidRPr="00485998">
              <w:rPr>
                <w:b/>
                <w:i/>
              </w:rPr>
              <w:t>vingerne</w:t>
            </w:r>
            <w:r>
              <w:rPr>
                <w:b/>
                <w:i/>
              </w:rPr>
              <w:t>"</w:t>
            </w:r>
            <w:r w:rsidRPr="00485998">
              <w:rPr>
                <w:b/>
                <w:i/>
              </w:rPr>
              <w:t>) med den anden hånd, og træk, indtil du hører et klik. Nu er den brugte kanyle helt afskærmet.</w:t>
            </w:r>
          </w:p>
          <w:p w14:paraId="19EB4B99" w14:textId="77777777" w:rsidR="00D57DDA" w:rsidRPr="00485998" w:rsidRDefault="00D57DDA" w:rsidP="0057797C">
            <w:pPr>
              <w:ind w:left="851"/>
              <w:rPr>
                <w:i/>
              </w:rPr>
            </w:pPr>
            <w:r w:rsidRPr="00485998">
              <w:rPr>
                <w:noProof/>
              </w:rPr>
              <w:drawing>
                <wp:inline distT="0" distB="0" distL="0" distR="0" wp14:anchorId="3A59812A" wp14:editId="16BCFDD4">
                  <wp:extent cx="4648997" cy="32842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7688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4652088" cy="3286404"/>
                          </a:xfrm>
                          <a:prstGeom prst="rect">
                            <a:avLst/>
                          </a:prstGeom>
                          <a:noFill/>
                          <a:ln>
                            <a:noFill/>
                          </a:ln>
                        </pic:spPr>
                      </pic:pic>
                    </a:graphicData>
                  </a:graphic>
                </wp:inline>
              </w:drawing>
            </w:r>
          </w:p>
        </w:tc>
      </w:tr>
    </w:tbl>
    <w:p w14:paraId="5C468F8C" w14:textId="77777777" w:rsidR="00D57DDA" w:rsidRPr="00485998" w:rsidRDefault="00D57DDA" w:rsidP="00D57DDA">
      <w:pPr>
        <w:pStyle w:val="Default"/>
        <w:tabs>
          <w:tab w:val="left" w:pos="567"/>
        </w:tabs>
        <w:ind w:left="851"/>
        <w:rPr>
          <w:b/>
        </w:rPr>
      </w:pPr>
    </w:p>
    <w:p w14:paraId="51DA822D" w14:textId="77777777" w:rsidR="000C25F4" w:rsidRPr="00F83367" w:rsidRDefault="000C25F4" w:rsidP="000C25F4">
      <w:pPr>
        <w:tabs>
          <w:tab w:val="left" w:pos="851"/>
        </w:tabs>
        <w:ind w:left="851" w:hanging="851"/>
        <w:rPr>
          <w:b/>
          <w:sz w:val="24"/>
          <w:szCs w:val="24"/>
        </w:rPr>
      </w:pPr>
      <w:r w:rsidRPr="00F83367">
        <w:rPr>
          <w:b/>
          <w:sz w:val="24"/>
          <w:szCs w:val="24"/>
        </w:rPr>
        <w:t>7.</w:t>
      </w:r>
      <w:r w:rsidRPr="00F83367">
        <w:rPr>
          <w:b/>
          <w:sz w:val="24"/>
          <w:szCs w:val="24"/>
        </w:rPr>
        <w:tab/>
        <w:t>INDEHAVER AF MARKEDSFØRINGSTILLADELSEN</w:t>
      </w:r>
    </w:p>
    <w:p w14:paraId="46C0D7E2" w14:textId="77777777" w:rsidR="000C25F4" w:rsidRPr="004F469B" w:rsidRDefault="000C25F4" w:rsidP="000C25F4">
      <w:pPr>
        <w:tabs>
          <w:tab w:val="left" w:pos="851"/>
        </w:tabs>
        <w:ind w:left="851"/>
        <w:rPr>
          <w:sz w:val="24"/>
          <w:szCs w:val="24"/>
        </w:rPr>
      </w:pPr>
      <w:r w:rsidRPr="004F469B">
        <w:rPr>
          <w:sz w:val="24"/>
          <w:szCs w:val="24"/>
        </w:rPr>
        <w:t>Chemi S.p.A</w:t>
      </w:r>
    </w:p>
    <w:p w14:paraId="6F26C347" w14:textId="77777777" w:rsidR="000C25F4" w:rsidRPr="004F469B" w:rsidRDefault="000C25F4" w:rsidP="000C25F4">
      <w:pPr>
        <w:tabs>
          <w:tab w:val="left" w:pos="851"/>
        </w:tabs>
        <w:ind w:left="851"/>
        <w:rPr>
          <w:sz w:val="24"/>
          <w:szCs w:val="24"/>
        </w:rPr>
      </w:pPr>
      <w:r w:rsidRPr="004F469B">
        <w:rPr>
          <w:sz w:val="24"/>
          <w:szCs w:val="24"/>
        </w:rPr>
        <w:t>Via dei Lavoratori, 54</w:t>
      </w:r>
    </w:p>
    <w:p w14:paraId="3D1E7441" w14:textId="77777777" w:rsidR="000C25F4" w:rsidRPr="004F469B" w:rsidRDefault="000C25F4" w:rsidP="000C25F4">
      <w:pPr>
        <w:tabs>
          <w:tab w:val="left" w:pos="851"/>
        </w:tabs>
        <w:ind w:left="851"/>
        <w:rPr>
          <w:sz w:val="24"/>
          <w:szCs w:val="24"/>
        </w:rPr>
      </w:pPr>
      <w:r w:rsidRPr="004F469B">
        <w:rPr>
          <w:sz w:val="24"/>
          <w:szCs w:val="24"/>
        </w:rPr>
        <w:t>20092 Cinisello Balsamo, Milano</w:t>
      </w:r>
    </w:p>
    <w:p w14:paraId="545EA606" w14:textId="77777777" w:rsidR="000C25F4" w:rsidRPr="004F469B" w:rsidRDefault="000C25F4" w:rsidP="000C25F4">
      <w:pPr>
        <w:tabs>
          <w:tab w:val="left" w:pos="851"/>
        </w:tabs>
        <w:ind w:left="851"/>
        <w:rPr>
          <w:sz w:val="24"/>
          <w:szCs w:val="24"/>
        </w:rPr>
      </w:pPr>
      <w:r w:rsidRPr="004F469B">
        <w:rPr>
          <w:sz w:val="24"/>
          <w:szCs w:val="24"/>
        </w:rPr>
        <w:t>Italien</w:t>
      </w:r>
    </w:p>
    <w:p w14:paraId="4E1407CD" w14:textId="77777777" w:rsidR="000C25F4" w:rsidRPr="004F469B" w:rsidRDefault="000C25F4" w:rsidP="000C25F4">
      <w:pPr>
        <w:tabs>
          <w:tab w:val="left" w:pos="851"/>
        </w:tabs>
        <w:ind w:left="851"/>
        <w:rPr>
          <w:sz w:val="24"/>
          <w:szCs w:val="24"/>
        </w:rPr>
      </w:pPr>
    </w:p>
    <w:p w14:paraId="717C1238" w14:textId="77777777" w:rsidR="000C25F4" w:rsidRPr="004F469B" w:rsidRDefault="000C25F4" w:rsidP="000C25F4">
      <w:pPr>
        <w:tabs>
          <w:tab w:val="left" w:pos="851"/>
        </w:tabs>
        <w:ind w:left="851"/>
        <w:rPr>
          <w:b/>
          <w:sz w:val="24"/>
          <w:szCs w:val="24"/>
        </w:rPr>
      </w:pPr>
      <w:r w:rsidRPr="004F469B">
        <w:rPr>
          <w:b/>
          <w:sz w:val="24"/>
          <w:szCs w:val="24"/>
        </w:rPr>
        <w:t>Repræsentant</w:t>
      </w:r>
    </w:p>
    <w:p w14:paraId="3FD3EAE0" w14:textId="77777777" w:rsidR="000C25F4" w:rsidRPr="00D503B8" w:rsidRDefault="000C25F4" w:rsidP="000C25F4">
      <w:pPr>
        <w:tabs>
          <w:tab w:val="left" w:pos="851"/>
        </w:tabs>
        <w:ind w:left="851"/>
        <w:rPr>
          <w:sz w:val="24"/>
          <w:szCs w:val="24"/>
        </w:rPr>
      </w:pPr>
      <w:r w:rsidRPr="00D503B8">
        <w:rPr>
          <w:sz w:val="24"/>
          <w:szCs w:val="24"/>
        </w:rPr>
        <w:t>CampusPharma AB</w:t>
      </w:r>
    </w:p>
    <w:p w14:paraId="3FE66905" w14:textId="77777777" w:rsidR="000C25F4" w:rsidRPr="00D503B8" w:rsidRDefault="000C25F4" w:rsidP="000C25F4">
      <w:pPr>
        <w:tabs>
          <w:tab w:val="left" w:pos="851"/>
        </w:tabs>
        <w:ind w:left="851"/>
        <w:rPr>
          <w:sz w:val="24"/>
          <w:szCs w:val="24"/>
        </w:rPr>
      </w:pPr>
      <w:r w:rsidRPr="00D503B8">
        <w:rPr>
          <w:sz w:val="24"/>
          <w:szCs w:val="24"/>
        </w:rPr>
        <w:t>Karl Gustavsgatan 1A</w:t>
      </w:r>
    </w:p>
    <w:p w14:paraId="0557AFE6" w14:textId="77777777" w:rsidR="000C25F4" w:rsidRPr="00D503B8" w:rsidRDefault="000C25F4" w:rsidP="000C25F4">
      <w:pPr>
        <w:tabs>
          <w:tab w:val="left" w:pos="851"/>
        </w:tabs>
        <w:ind w:left="851"/>
        <w:rPr>
          <w:sz w:val="24"/>
          <w:szCs w:val="24"/>
        </w:rPr>
      </w:pPr>
      <w:r w:rsidRPr="00D503B8">
        <w:rPr>
          <w:sz w:val="24"/>
          <w:szCs w:val="24"/>
        </w:rPr>
        <w:t>411 25 Göteborg</w:t>
      </w:r>
    </w:p>
    <w:p w14:paraId="1003BE2F" w14:textId="77777777" w:rsidR="000C25F4" w:rsidRPr="004F469B" w:rsidRDefault="000C25F4" w:rsidP="000C25F4">
      <w:pPr>
        <w:tabs>
          <w:tab w:val="left" w:pos="851"/>
        </w:tabs>
        <w:ind w:left="851"/>
        <w:rPr>
          <w:sz w:val="24"/>
          <w:szCs w:val="24"/>
        </w:rPr>
      </w:pPr>
      <w:r w:rsidRPr="004F469B">
        <w:rPr>
          <w:sz w:val="24"/>
          <w:szCs w:val="24"/>
        </w:rPr>
        <w:t>Sverige</w:t>
      </w:r>
    </w:p>
    <w:p w14:paraId="7AA3CA51" w14:textId="77777777" w:rsidR="000C25F4" w:rsidRPr="004F469B" w:rsidRDefault="000C25F4" w:rsidP="000C25F4">
      <w:pPr>
        <w:tabs>
          <w:tab w:val="left" w:pos="851"/>
        </w:tabs>
        <w:ind w:left="851"/>
        <w:rPr>
          <w:sz w:val="24"/>
          <w:szCs w:val="24"/>
        </w:rPr>
      </w:pPr>
    </w:p>
    <w:p w14:paraId="78957CEF" w14:textId="32E3E4A1" w:rsidR="000C25F4" w:rsidRPr="004F469B" w:rsidRDefault="000C25F4" w:rsidP="000C25F4">
      <w:pPr>
        <w:tabs>
          <w:tab w:val="left" w:pos="851"/>
        </w:tabs>
        <w:ind w:left="851" w:hanging="851"/>
        <w:rPr>
          <w:b/>
          <w:sz w:val="24"/>
          <w:szCs w:val="24"/>
        </w:rPr>
      </w:pPr>
      <w:r w:rsidRPr="004F469B">
        <w:rPr>
          <w:b/>
          <w:sz w:val="24"/>
          <w:szCs w:val="24"/>
        </w:rPr>
        <w:t>8.</w:t>
      </w:r>
      <w:r w:rsidRPr="004F469B">
        <w:rPr>
          <w:b/>
          <w:sz w:val="24"/>
          <w:szCs w:val="24"/>
        </w:rPr>
        <w:tab/>
        <w:t>MARKEDSFØRINGSTILLADELSESNUMMER (</w:t>
      </w:r>
      <w:r w:rsidR="001613FF">
        <w:rPr>
          <w:b/>
          <w:sz w:val="24"/>
          <w:szCs w:val="24"/>
        </w:rPr>
        <w:t>-</w:t>
      </w:r>
      <w:r w:rsidRPr="004F469B">
        <w:rPr>
          <w:b/>
          <w:sz w:val="24"/>
          <w:szCs w:val="24"/>
        </w:rPr>
        <w:t>NUMRE)</w:t>
      </w:r>
    </w:p>
    <w:p w14:paraId="19E6D23D" w14:textId="77777777" w:rsidR="000C25F4" w:rsidRPr="00D503B8" w:rsidRDefault="000C25F4" w:rsidP="000C25F4">
      <w:pPr>
        <w:tabs>
          <w:tab w:val="left" w:pos="3544"/>
        </w:tabs>
        <w:autoSpaceDE w:val="0"/>
        <w:autoSpaceDN w:val="0"/>
        <w:adjustRightInd w:val="0"/>
        <w:ind w:left="851"/>
        <w:rPr>
          <w:color w:val="000000"/>
          <w:sz w:val="24"/>
          <w:szCs w:val="24"/>
          <w:lang w:val="de-DE"/>
        </w:rPr>
      </w:pPr>
      <w:r w:rsidRPr="00D503B8">
        <w:rPr>
          <w:color w:val="000000"/>
          <w:sz w:val="24"/>
          <w:szCs w:val="24"/>
          <w:lang w:val="de-DE"/>
        </w:rPr>
        <w:t>2.000 IE (20 </w:t>
      </w:r>
      <w:proofErr w:type="gramStart"/>
      <w:r w:rsidRPr="00D503B8">
        <w:rPr>
          <w:color w:val="000000"/>
          <w:sz w:val="24"/>
          <w:szCs w:val="24"/>
          <w:lang w:val="de-DE"/>
        </w:rPr>
        <w:t>mg)/</w:t>
      </w:r>
      <w:proofErr w:type="gramEnd"/>
      <w:r w:rsidRPr="00D503B8">
        <w:rPr>
          <w:color w:val="000000"/>
          <w:sz w:val="24"/>
          <w:szCs w:val="24"/>
          <w:lang w:val="de-DE"/>
        </w:rPr>
        <w:t>0,2 ml:</w:t>
      </w:r>
      <w:r w:rsidRPr="00D503B8">
        <w:rPr>
          <w:color w:val="000000"/>
          <w:sz w:val="24"/>
          <w:szCs w:val="24"/>
          <w:lang w:val="de-DE"/>
        </w:rPr>
        <w:tab/>
        <w:t>60137</w:t>
      </w:r>
    </w:p>
    <w:p w14:paraId="471C39EA" w14:textId="77777777" w:rsidR="000C25F4" w:rsidRPr="00D503B8" w:rsidRDefault="000C25F4" w:rsidP="000C25F4">
      <w:pPr>
        <w:pStyle w:val="Default"/>
        <w:tabs>
          <w:tab w:val="left" w:pos="3544"/>
        </w:tabs>
        <w:ind w:left="851"/>
        <w:rPr>
          <w:lang w:val="de-DE"/>
        </w:rPr>
      </w:pPr>
      <w:r w:rsidRPr="00D503B8">
        <w:rPr>
          <w:lang w:val="de-DE"/>
        </w:rPr>
        <w:t>4.000 IE (40 </w:t>
      </w:r>
      <w:proofErr w:type="gramStart"/>
      <w:r w:rsidRPr="00D503B8">
        <w:rPr>
          <w:lang w:val="de-DE"/>
        </w:rPr>
        <w:t>mg)/</w:t>
      </w:r>
      <w:proofErr w:type="gramEnd"/>
      <w:r w:rsidRPr="00D503B8">
        <w:rPr>
          <w:lang w:val="de-DE"/>
        </w:rPr>
        <w:t>0,4 ml:</w:t>
      </w:r>
      <w:r w:rsidRPr="00D503B8">
        <w:rPr>
          <w:lang w:val="de-DE"/>
        </w:rPr>
        <w:tab/>
        <w:t>60138</w:t>
      </w:r>
    </w:p>
    <w:p w14:paraId="20E691FD" w14:textId="77777777" w:rsidR="000C25F4" w:rsidRPr="00D503B8" w:rsidRDefault="000C25F4" w:rsidP="000C25F4">
      <w:pPr>
        <w:pStyle w:val="Default"/>
        <w:tabs>
          <w:tab w:val="left" w:pos="3544"/>
        </w:tabs>
        <w:ind w:left="851"/>
        <w:rPr>
          <w:lang w:val="de-DE"/>
        </w:rPr>
      </w:pPr>
      <w:r w:rsidRPr="00D503B8">
        <w:rPr>
          <w:lang w:val="de-DE"/>
        </w:rPr>
        <w:t>6.000 IE (60 </w:t>
      </w:r>
      <w:proofErr w:type="gramStart"/>
      <w:r w:rsidRPr="00D503B8">
        <w:rPr>
          <w:lang w:val="de-DE"/>
        </w:rPr>
        <w:t>mg)/</w:t>
      </w:r>
      <w:proofErr w:type="gramEnd"/>
      <w:r w:rsidRPr="00D503B8">
        <w:rPr>
          <w:lang w:val="de-DE"/>
        </w:rPr>
        <w:t>0,6 ml:</w:t>
      </w:r>
      <w:r w:rsidRPr="00D503B8">
        <w:rPr>
          <w:lang w:val="de-DE"/>
        </w:rPr>
        <w:tab/>
        <w:t>60139</w:t>
      </w:r>
    </w:p>
    <w:p w14:paraId="487B516E" w14:textId="77777777" w:rsidR="000C25F4" w:rsidRPr="00D503B8" w:rsidRDefault="000C25F4" w:rsidP="000C25F4">
      <w:pPr>
        <w:pStyle w:val="Default"/>
        <w:tabs>
          <w:tab w:val="left" w:pos="3544"/>
        </w:tabs>
        <w:ind w:left="851"/>
        <w:rPr>
          <w:lang w:val="de-DE"/>
        </w:rPr>
      </w:pPr>
      <w:r w:rsidRPr="00D503B8">
        <w:rPr>
          <w:lang w:val="de-DE"/>
        </w:rPr>
        <w:t>8.000 IE (80 </w:t>
      </w:r>
      <w:proofErr w:type="gramStart"/>
      <w:r w:rsidRPr="00D503B8">
        <w:rPr>
          <w:lang w:val="de-DE"/>
        </w:rPr>
        <w:t>mg)/</w:t>
      </w:r>
      <w:proofErr w:type="gramEnd"/>
      <w:r w:rsidRPr="00D503B8">
        <w:rPr>
          <w:lang w:val="de-DE"/>
        </w:rPr>
        <w:t>0,8 ml:</w:t>
      </w:r>
      <w:r w:rsidRPr="00D503B8">
        <w:rPr>
          <w:lang w:val="de-DE"/>
        </w:rPr>
        <w:tab/>
        <w:t>60140</w:t>
      </w:r>
    </w:p>
    <w:p w14:paraId="3DEFBD7B" w14:textId="77777777" w:rsidR="000C25F4" w:rsidRPr="00D503B8" w:rsidRDefault="000C25F4" w:rsidP="000C25F4">
      <w:pPr>
        <w:pStyle w:val="Default"/>
        <w:tabs>
          <w:tab w:val="left" w:pos="3544"/>
        </w:tabs>
        <w:ind w:left="851"/>
        <w:rPr>
          <w:lang w:val="de-DE"/>
        </w:rPr>
      </w:pPr>
      <w:r w:rsidRPr="00D503B8">
        <w:rPr>
          <w:lang w:val="de-DE"/>
        </w:rPr>
        <w:t>10.000 IE (100 </w:t>
      </w:r>
      <w:proofErr w:type="gramStart"/>
      <w:r w:rsidRPr="00D503B8">
        <w:rPr>
          <w:lang w:val="de-DE"/>
        </w:rPr>
        <w:t>mg)/</w:t>
      </w:r>
      <w:proofErr w:type="gramEnd"/>
      <w:r w:rsidRPr="00D503B8">
        <w:rPr>
          <w:lang w:val="de-DE"/>
        </w:rPr>
        <w:t>1 ml:</w:t>
      </w:r>
      <w:r w:rsidRPr="00D503B8">
        <w:rPr>
          <w:lang w:val="de-DE"/>
        </w:rPr>
        <w:tab/>
        <w:t>55718</w:t>
      </w:r>
    </w:p>
    <w:p w14:paraId="3144ED54" w14:textId="77777777" w:rsidR="000C25F4" w:rsidRPr="00D503B8" w:rsidRDefault="000C25F4" w:rsidP="000C25F4">
      <w:pPr>
        <w:pStyle w:val="Default"/>
        <w:tabs>
          <w:tab w:val="left" w:pos="3544"/>
        </w:tabs>
        <w:ind w:left="851"/>
        <w:rPr>
          <w:lang w:val="de-DE"/>
        </w:rPr>
      </w:pPr>
      <w:r w:rsidRPr="00D503B8">
        <w:rPr>
          <w:lang w:val="de-DE"/>
        </w:rPr>
        <w:t>12.000 IE (120 </w:t>
      </w:r>
      <w:proofErr w:type="gramStart"/>
      <w:r w:rsidRPr="00D503B8">
        <w:rPr>
          <w:lang w:val="de-DE"/>
        </w:rPr>
        <w:t>mg)/</w:t>
      </w:r>
      <w:proofErr w:type="gramEnd"/>
      <w:r w:rsidRPr="00D503B8">
        <w:rPr>
          <w:lang w:val="de-DE"/>
        </w:rPr>
        <w:t>0,8 ml:</w:t>
      </w:r>
      <w:r w:rsidRPr="00D503B8">
        <w:rPr>
          <w:lang w:val="de-DE"/>
        </w:rPr>
        <w:tab/>
        <w:t>60141</w:t>
      </w:r>
    </w:p>
    <w:p w14:paraId="3C517A98" w14:textId="77777777" w:rsidR="000C25F4" w:rsidRPr="004F469B" w:rsidRDefault="000C25F4" w:rsidP="000C25F4">
      <w:pPr>
        <w:pStyle w:val="Default"/>
        <w:tabs>
          <w:tab w:val="left" w:pos="3544"/>
        </w:tabs>
        <w:ind w:left="851"/>
      </w:pPr>
      <w:r w:rsidRPr="004F469B">
        <w:t>15.000 IE (150 </w:t>
      </w:r>
      <w:proofErr w:type="gramStart"/>
      <w:r w:rsidRPr="004F469B">
        <w:t>mg)/</w:t>
      </w:r>
      <w:proofErr w:type="gramEnd"/>
      <w:r w:rsidRPr="004F469B">
        <w:t>1 ml:</w:t>
      </w:r>
      <w:r w:rsidRPr="004F469B">
        <w:tab/>
        <w:t>55719</w:t>
      </w:r>
    </w:p>
    <w:p w14:paraId="1CD8F336" w14:textId="77777777" w:rsidR="000C25F4" w:rsidRPr="004F469B" w:rsidRDefault="000C25F4" w:rsidP="000C25F4">
      <w:pPr>
        <w:pStyle w:val="Default"/>
        <w:tabs>
          <w:tab w:val="left" w:pos="3402"/>
          <w:tab w:val="left" w:pos="3544"/>
        </w:tabs>
        <w:ind w:left="851"/>
      </w:pPr>
    </w:p>
    <w:p w14:paraId="49F717DD" w14:textId="60C776EF" w:rsidR="000C25F4" w:rsidRPr="004F469B" w:rsidRDefault="000C25F4" w:rsidP="000C25F4">
      <w:pPr>
        <w:tabs>
          <w:tab w:val="left" w:pos="851"/>
        </w:tabs>
        <w:ind w:left="851" w:hanging="851"/>
        <w:rPr>
          <w:b/>
          <w:sz w:val="24"/>
          <w:szCs w:val="24"/>
        </w:rPr>
      </w:pPr>
      <w:r w:rsidRPr="004F469B">
        <w:rPr>
          <w:b/>
          <w:sz w:val="24"/>
          <w:szCs w:val="24"/>
        </w:rPr>
        <w:t>9.</w:t>
      </w:r>
      <w:r w:rsidRPr="004F469B">
        <w:rPr>
          <w:b/>
          <w:sz w:val="24"/>
          <w:szCs w:val="24"/>
        </w:rPr>
        <w:tab/>
        <w:t>DATO FOR FØRSTE MARKEDSFØRINGSTILLADELSE</w:t>
      </w:r>
    </w:p>
    <w:p w14:paraId="275B4A6F" w14:textId="77777777" w:rsidR="000C25F4" w:rsidRPr="004F469B" w:rsidRDefault="000C25F4" w:rsidP="000C25F4">
      <w:pPr>
        <w:tabs>
          <w:tab w:val="left" w:pos="851"/>
        </w:tabs>
        <w:ind w:left="851"/>
        <w:rPr>
          <w:sz w:val="24"/>
          <w:szCs w:val="24"/>
        </w:rPr>
      </w:pPr>
      <w:r w:rsidRPr="004F469B">
        <w:rPr>
          <w:sz w:val="24"/>
          <w:szCs w:val="24"/>
        </w:rPr>
        <w:t>1. maj 2018</w:t>
      </w:r>
    </w:p>
    <w:p w14:paraId="7443534C" w14:textId="77777777" w:rsidR="000C25F4" w:rsidRPr="004F469B" w:rsidRDefault="000C25F4" w:rsidP="000C25F4">
      <w:pPr>
        <w:tabs>
          <w:tab w:val="left" w:pos="851"/>
        </w:tabs>
        <w:ind w:left="851"/>
        <w:rPr>
          <w:sz w:val="24"/>
          <w:szCs w:val="24"/>
        </w:rPr>
      </w:pPr>
    </w:p>
    <w:p w14:paraId="55DF75AE" w14:textId="77777777" w:rsidR="000C25F4" w:rsidRPr="004F469B" w:rsidRDefault="000C25F4" w:rsidP="00487DB3">
      <w:pPr>
        <w:keepNext/>
        <w:tabs>
          <w:tab w:val="left" w:pos="851"/>
        </w:tabs>
        <w:ind w:left="851" w:hanging="851"/>
        <w:rPr>
          <w:b/>
          <w:sz w:val="24"/>
          <w:szCs w:val="24"/>
        </w:rPr>
      </w:pPr>
      <w:r w:rsidRPr="004F469B">
        <w:rPr>
          <w:b/>
          <w:sz w:val="24"/>
          <w:szCs w:val="24"/>
        </w:rPr>
        <w:lastRenderedPageBreak/>
        <w:t>10.</w:t>
      </w:r>
      <w:r w:rsidRPr="004F469B">
        <w:rPr>
          <w:b/>
          <w:sz w:val="24"/>
          <w:szCs w:val="24"/>
        </w:rPr>
        <w:tab/>
        <w:t>DATO FOR ÆNDRING AF TEKSTEN</w:t>
      </w:r>
    </w:p>
    <w:p w14:paraId="78B283C7" w14:textId="6C6861B5" w:rsidR="000C25F4" w:rsidRPr="004F469B" w:rsidRDefault="00CA138F" w:rsidP="000C25F4">
      <w:pPr>
        <w:tabs>
          <w:tab w:val="left" w:pos="851"/>
        </w:tabs>
        <w:ind w:left="851"/>
        <w:rPr>
          <w:sz w:val="24"/>
          <w:szCs w:val="24"/>
        </w:rPr>
      </w:pPr>
      <w:r w:rsidRPr="00CA138F">
        <w:rPr>
          <w:sz w:val="24"/>
          <w:szCs w:val="24"/>
        </w:rPr>
        <w:t>3. maj 2023</w:t>
      </w:r>
    </w:p>
    <w:p w14:paraId="737654E3" w14:textId="77777777" w:rsidR="000C25F4" w:rsidRPr="002139E6" w:rsidRDefault="000C25F4" w:rsidP="000C25F4"/>
    <w:p w14:paraId="1DA38260" w14:textId="77777777" w:rsidR="000C25F4" w:rsidRPr="008F6352" w:rsidRDefault="000C25F4" w:rsidP="000C25F4"/>
    <w:p w14:paraId="24CD64BC" w14:textId="77777777" w:rsidR="009260DE" w:rsidRPr="000C25F4" w:rsidRDefault="009260DE" w:rsidP="000C25F4"/>
    <w:sectPr w:rsidR="009260DE" w:rsidRPr="000C25F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461A9" w14:textId="77777777" w:rsidR="00CA138F" w:rsidRDefault="00CA138F">
      <w:r>
        <w:separator/>
      </w:r>
    </w:p>
  </w:endnote>
  <w:endnote w:type="continuationSeparator" w:id="0">
    <w:p w14:paraId="4F3A8015" w14:textId="77777777" w:rsidR="00CA138F" w:rsidRDefault="00CA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A7BB" w14:textId="77777777" w:rsidR="00CA138F" w:rsidRDefault="00CA138F">
    <w:pPr>
      <w:pStyle w:val="Sidefod"/>
      <w:pBdr>
        <w:bottom w:val="single" w:sz="6" w:space="1" w:color="auto"/>
      </w:pBdr>
    </w:pPr>
  </w:p>
  <w:p w14:paraId="05D386E1" w14:textId="77777777" w:rsidR="00CA138F" w:rsidRDefault="00CA138F" w:rsidP="00C42586">
    <w:pPr>
      <w:pStyle w:val="Sidefod"/>
      <w:tabs>
        <w:tab w:val="clear" w:pos="4819"/>
        <w:tab w:val="left" w:pos="8505"/>
      </w:tabs>
      <w:rPr>
        <w:i/>
        <w:sz w:val="18"/>
        <w:szCs w:val="18"/>
      </w:rPr>
    </w:pPr>
  </w:p>
  <w:p w14:paraId="1EEA2654" w14:textId="3B5588D4" w:rsidR="00CA138F" w:rsidRPr="00B373D7" w:rsidRDefault="00CA138F" w:rsidP="00C42586">
    <w:pPr>
      <w:pStyle w:val="Sidefod"/>
      <w:tabs>
        <w:tab w:val="clear" w:pos="4819"/>
        <w:tab w:val="left" w:pos="8505"/>
      </w:tabs>
      <w:rPr>
        <w:i/>
        <w:sz w:val="18"/>
        <w:szCs w:val="18"/>
      </w:rPr>
    </w:pPr>
    <w:r w:rsidRPr="0048103E">
      <w:rPr>
        <w:i/>
        <w:sz w:val="18"/>
        <w:szCs w:val="18"/>
      </w:rPr>
      <w:t>Ghemaxan, injektionsvæske, opløsning i fyldt injektionssprøjte 20 mg, 40 mg, 60 mg, 80 mg, 100 mg, 120 mg og 150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ACBD" w14:textId="77777777" w:rsidR="00CA138F" w:rsidRDefault="00CA138F">
      <w:r>
        <w:separator/>
      </w:r>
    </w:p>
  </w:footnote>
  <w:footnote w:type="continuationSeparator" w:id="0">
    <w:p w14:paraId="75003288" w14:textId="77777777" w:rsidR="00CA138F" w:rsidRDefault="00CA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CC3"/>
    <w:multiLevelType w:val="hybridMultilevel"/>
    <w:tmpl w:val="105261C6"/>
    <w:lvl w:ilvl="0" w:tplc="738AFA84">
      <w:numFmt w:val="bullet"/>
      <w:lvlText w:val="-"/>
      <w:lvlJc w:val="left"/>
      <w:pPr>
        <w:ind w:left="218" w:hanging="567"/>
      </w:pPr>
      <w:rPr>
        <w:rFonts w:ascii="Calibri" w:eastAsia="Calibri" w:hAnsi="Calibri" w:cs="Calibri" w:hint="default"/>
        <w:w w:val="100"/>
        <w:sz w:val="22"/>
        <w:szCs w:val="22"/>
      </w:rPr>
    </w:lvl>
    <w:lvl w:ilvl="1" w:tplc="1BDACD9E">
      <w:numFmt w:val="bullet"/>
      <w:lvlText w:val="•"/>
      <w:lvlJc w:val="left"/>
      <w:pPr>
        <w:ind w:left="1164" w:hanging="567"/>
      </w:pPr>
      <w:rPr>
        <w:rFonts w:hint="default"/>
      </w:rPr>
    </w:lvl>
    <w:lvl w:ilvl="2" w:tplc="C3D428A6">
      <w:numFmt w:val="bullet"/>
      <w:lvlText w:val="•"/>
      <w:lvlJc w:val="left"/>
      <w:pPr>
        <w:ind w:left="2108" w:hanging="567"/>
      </w:pPr>
      <w:rPr>
        <w:rFonts w:hint="default"/>
      </w:rPr>
    </w:lvl>
    <w:lvl w:ilvl="3" w:tplc="DA06B97E">
      <w:numFmt w:val="bullet"/>
      <w:lvlText w:val="•"/>
      <w:lvlJc w:val="left"/>
      <w:pPr>
        <w:ind w:left="3052" w:hanging="567"/>
      </w:pPr>
      <w:rPr>
        <w:rFonts w:hint="default"/>
      </w:rPr>
    </w:lvl>
    <w:lvl w:ilvl="4" w:tplc="9A08AB12">
      <w:numFmt w:val="bullet"/>
      <w:lvlText w:val="•"/>
      <w:lvlJc w:val="left"/>
      <w:pPr>
        <w:ind w:left="3996" w:hanging="567"/>
      </w:pPr>
      <w:rPr>
        <w:rFonts w:hint="default"/>
      </w:rPr>
    </w:lvl>
    <w:lvl w:ilvl="5" w:tplc="71A8D7EA">
      <w:numFmt w:val="bullet"/>
      <w:lvlText w:val="•"/>
      <w:lvlJc w:val="left"/>
      <w:pPr>
        <w:ind w:left="4940" w:hanging="567"/>
      </w:pPr>
      <w:rPr>
        <w:rFonts w:hint="default"/>
      </w:rPr>
    </w:lvl>
    <w:lvl w:ilvl="6" w:tplc="EA0682AA">
      <w:numFmt w:val="bullet"/>
      <w:lvlText w:val="•"/>
      <w:lvlJc w:val="left"/>
      <w:pPr>
        <w:ind w:left="5884" w:hanging="567"/>
      </w:pPr>
      <w:rPr>
        <w:rFonts w:hint="default"/>
      </w:rPr>
    </w:lvl>
    <w:lvl w:ilvl="7" w:tplc="47061D40">
      <w:numFmt w:val="bullet"/>
      <w:lvlText w:val="•"/>
      <w:lvlJc w:val="left"/>
      <w:pPr>
        <w:ind w:left="6829" w:hanging="567"/>
      </w:pPr>
      <w:rPr>
        <w:rFonts w:hint="default"/>
      </w:rPr>
    </w:lvl>
    <w:lvl w:ilvl="8" w:tplc="9BBE714A">
      <w:numFmt w:val="bullet"/>
      <w:lvlText w:val="•"/>
      <w:lvlJc w:val="left"/>
      <w:pPr>
        <w:ind w:left="7773" w:hanging="567"/>
      </w:pPr>
      <w:rPr>
        <w:rFonts w:hint="default"/>
      </w:rPr>
    </w:lvl>
  </w:abstractNum>
  <w:abstractNum w:abstractNumId="1" w15:restartNumberingAfterBreak="0">
    <w:nsid w:val="062F5B66"/>
    <w:multiLevelType w:val="multilevel"/>
    <w:tmpl w:val="1DBC3CC2"/>
    <w:lvl w:ilvl="0">
      <w:start w:val="1"/>
      <w:numFmt w:val="bullet"/>
      <w:lvlText w:val="·"/>
      <w:lvlJc w:val="left"/>
      <w:pPr>
        <w:tabs>
          <w:tab w:val="left" w:pos="432"/>
        </w:tabs>
        <w:ind w:left="720"/>
      </w:pPr>
      <w:rPr>
        <w:rFonts w:ascii="Symbol" w:eastAsia="Times New Roman" w:hAnsi="Symbol"/>
        <w:strike w:val="0"/>
        <w:color w:val="000000"/>
        <w:spacing w:val="-1"/>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6D7043E"/>
    <w:multiLevelType w:val="multilevel"/>
    <w:tmpl w:val="D8E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857A3D"/>
    <w:multiLevelType w:val="hybridMultilevel"/>
    <w:tmpl w:val="6EE8189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0F6B23EE"/>
    <w:multiLevelType w:val="hybridMultilevel"/>
    <w:tmpl w:val="AFC4852E"/>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E300A4"/>
    <w:multiLevelType w:val="hybridMultilevel"/>
    <w:tmpl w:val="92928BF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1829A9"/>
    <w:multiLevelType w:val="hybridMultilevel"/>
    <w:tmpl w:val="C4A2208A"/>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F056586"/>
    <w:multiLevelType w:val="multilevel"/>
    <w:tmpl w:val="14C6342A"/>
    <w:lvl w:ilvl="0">
      <w:start w:val="1"/>
      <w:numFmt w:val="bullet"/>
      <w:lvlText w:val="·"/>
      <w:lvlJc w:val="left"/>
      <w:pPr>
        <w:tabs>
          <w:tab w:val="left" w:pos="644"/>
        </w:tabs>
        <w:ind w:left="1004"/>
      </w:pPr>
      <w:rPr>
        <w:rFonts w:ascii="Symbol" w:eastAsia="Times New Roman" w:hAnsi="Symbol"/>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9F120E"/>
    <w:multiLevelType w:val="hybridMultilevel"/>
    <w:tmpl w:val="8B18B05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73B4B1A"/>
    <w:multiLevelType w:val="hybridMultilevel"/>
    <w:tmpl w:val="BF96780E"/>
    <w:lvl w:ilvl="0" w:tplc="041D0003">
      <w:start w:val="1"/>
      <w:numFmt w:val="bullet"/>
      <w:lvlText w:val="o"/>
      <w:lvlJc w:val="left"/>
      <w:pPr>
        <w:ind w:left="1494" w:hanging="360"/>
      </w:pPr>
      <w:rPr>
        <w:rFonts w:ascii="Courier New" w:hAnsi="Courier New" w:cs="Courier New" w:hint="default"/>
      </w:rPr>
    </w:lvl>
    <w:lvl w:ilvl="1" w:tplc="4EAC985C">
      <w:start w:val="1"/>
      <w:numFmt w:val="bullet"/>
      <w:lvlText w:val="o"/>
      <w:lvlJc w:val="left"/>
      <w:pPr>
        <w:ind w:left="2214" w:hanging="360"/>
      </w:pPr>
      <w:rPr>
        <w:rFonts w:ascii="Courier New" w:hAnsi="Courier New" w:hint="default"/>
      </w:rPr>
    </w:lvl>
    <w:lvl w:ilvl="2" w:tplc="6CC2E862" w:tentative="1">
      <w:start w:val="1"/>
      <w:numFmt w:val="bullet"/>
      <w:lvlText w:val=""/>
      <w:lvlJc w:val="left"/>
      <w:pPr>
        <w:ind w:left="2934" w:hanging="360"/>
      </w:pPr>
      <w:rPr>
        <w:rFonts w:ascii="Wingdings" w:hAnsi="Wingdings" w:hint="default"/>
      </w:rPr>
    </w:lvl>
    <w:lvl w:ilvl="3" w:tplc="B8984096" w:tentative="1">
      <w:start w:val="1"/>
      <w:numFmt w:val="bullet"/>
      <w:lvlText w:val=""/>
      <w:lvlJc w:val="left"/>
      <w:pPr>
        <w:ind w:left="3654" w:hanging="360"/>
      </w:pPr>
      <w:rPr>
        <w:rFonts w:ascii="Symbol" w:hAnsi="Symbol" w:hint="default"/>
      </w:rPr>
    </w:lvl>
    <w:lvl w:ilvl="4" w:tplc="1D245980" w:tentative="1">
      <w:start w:val="1"/>
      <w:numFmt w:val="bullet"/>
      <w:lvlText w:val="o"/>
      <w:lvlJc w:val="left"/>
      <w:pPr>
        <w:ind w:left="4374" w:hanging="360"/>
      </w:pPr>
      <w:rPr>
        <w:rFonts w:ascii="Courier New" w:hAnsi="Courier New" w:hint="default"/>
      </w:rPr>
    </w:lvl>
    <w:lvl w:ilvl="5" w:tplc="D9485A22" w:tentative="1">
      <w:start w:val="1"/>
      <w:numFmt w:val="bullet"/>
      <w:lvlText w:val=""/>
      <w:lvlJc w:val="left"/>
      <w:pPr>
        <w:ind w:left="5094" w:hanging="360"/>
      </w:pPr>
      <w:rPr>
        <w:rFonts w:ascii="Wingdings" w:hAnsi="Wingdings" w:hint="default"/>
      </w:rPr>
    </w:lvl>
    <w:lvl w:ilvl="6" w:tplc="53E6FB98" w:tentative="1">
      <w:start w:val="1"/>
      <w:numFmt w:val="bullet"/>
      <w:lvlText w:val=""/>
      <w:lvlJc w:val="left"/>
      <w:pPr>
        <w:ind w:left="5814" w:hanging="360"/>
      </w:pPr>
      <w:rPr>
        <w:rFonts w:ascii="Symbol" w:hAnsi="Symbol" w:hint="default"/>
      </w:rPr>
    </w:lvl>
    <w:lvl w:ilvl="7" w:tplc="9640BDFA" w:tentative="1">
      <w:start w:val="1"/>
      <w:numFmt w:val="bullet"/>
      <w:lvlText w:val="o"/>
      <w:lvlJc w:val="left"/>
      <w:pPr>
        <w:ind w:left="6534" w:hanging="360"/>
      </w:pPr>
      <w:rPr>
        <w:rFonts w:ascii="Courier New" w:hAnsi="Courier New" w:hint="default"/>
      </w:rPr>
    </w:lvl>
    <w:lvl w:ilvl="8" w:tplc="A3B617B0" w:tentative="1">
      <w:start w:val="1"/>
      <w:numFmt w:val="bullet"/>
      <w:lvlText w:val=""/>
      <w:lvlJc w:val="left"/>
      <w:pPr>
        <w:ind w:left="7254"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22316F3"/>
    <w:multiLevelType w:val="hybridMultilevel"/>
    <w:tmpl w:val="397C997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F195756"/>
    <w:multiLevelType w:val="hybridMultilevel"/>
    <w:tmpl w:val="9920025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13D76BF"/>
    <w:multiLevelType w:val="multilevel"/>
    <w:tmpl w:val="BF301AFE"/>
    <w:lvl w:ilvl="0">
      <w:start w:val="1"/>
      <w:numFmt w:val="bullet"/>
      <w:lvlText w:val="·"/>
      <w:lvlJc w:val="left"/>
      <w:pPr>
        <w:tabs>
          <w:tab w:val="left" w:pos="-432"/>
        </w:tabs>
      </w:pPr>
      <w:rPr>
        <w:rFonts w:ascii="Symbol" w:eastAsia="Times New Roman" w:hAnsi="Symbol"/>
        <w:strike w:val="0"/>
        <w:color w:val="000000"/>
        <w:spacing w:val="0"/>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71A7549D"/>
    <w:multiLevelType w:val="hybridMultilevel"/>
    <w:tmpl w:val="DA962F26"/>
    <w:lvl w:ilvl="0" w:tplc="FFFFFFFF">
      <w:start w:val="1"/>
      <w:numFmt w:val="bullet"/>
      <w:lvlText w:val=""/>
      <w:lvlJc w:val="left"/>
      <w:pPr>
        <w:ind w:left="720" w:hanging="360"/>
      </w:pPr>
      <w:rPr>
        <w:rFonts w:ascii="Symbol" w:hAnsi="Symbol" w:hint="default"/>
      </w:rPr>
    </w:lvl>
    <w:lvl w:ilvl="1" w:tplc="FFFFFFFF">
      <w:numFmt w:val="bullet"/>
      <w:lvlText w:val="•"/>
      <w:lvlJc w:val="left"/>
      <w:pPr>
        <w:ind w:left="1644" w:hanging="564"/>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1CF5F05"/>
    <w:multiLevelType w:val="hybridMultilevel"/>
    <w:tmpl w:val="AC70D428"/>
    <w:lvl w:ilvl="0" w:tplc="FFFFFFFF">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722669AD"/>
    <w:multiLevelType w:val="multilevel"/>
    <w:tmpl w:val="C5A04696"/>
    <w:lvl w:ilvl="0">
      <w:start w:val="1"/>
      <w:numFmt w:val="bullet"/>
      <w:lvlText w:val="·"/>
      <w:lvlJc w:val="left"/>
      <w:pPr>
        <w:tabs>
          <w:tab w:val="left" w:pos="360"/>
        </w:tabs>
        <w:ind w:left="720"/>
      </w:pPr>
      <w:rPr>
        <w:rFonts w:ascii="Symbol" w:eastAsia="Times New Roman" w:hAnsi="Symbol"/>
        <w:strike w:val="0"/>
        <w:color w:val="000000"/>
        <w:spacing w:val="0"/>
        <w:w w:val="100"/>
        <w:sz w:val="2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7A9F0A99"/>
    <w:multiLevelType w:val="hybridMultilevel"/>
    <w:tmpl w:val="A1FCDB4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14"/>
  </w:num>
  <w:num w:numId="9">
    <w:abstractNumId w:val="22"/>
  </w:num>
  <w:num w:numId="10">
    <w:abstractNumId w:val="10"/>
  </w:num>
  <w:num w:numId="11">
    <w:abstractNumId w:val="6"/>
  </w:num>
  <w:num w:numId="12">
    <w:abstractNumId w:val="21"/>
  </w:num>
  <w:num w:numId="13">
    <w:abstractNumId w:val="4"/>
  </w:num>
  <w:num w:numId="14">
    <w:abstractNumId w:val="7"/>
  </w:num>
  <w:num w:numId="15">
    <w:abstractNumId w:val="3"/>
  </w:num>
  <w:num w:numId="16">
    <w:abstractNumId w:val="18"/>
  </w:num>
  <w:num w:numId="17">
    <w:abstractNumId w:val="19"/>
  </w:num>
  <w:num w:numId="18">
    <w:abstractNumId w:val="13"/>
  </w:num>
  <w:num w:numId="19">
    <w:abstractNumId w:val="20"/>
  </w:num>
  <w:num w:numId="20">
    <w:abstractNumId w:val="1"/>
  </w:num>
  <w:num w:numId="21">
    <w:abstractNumId w:val="23"/>
  </w:num>
  <w:num w:numId="22">
    <w:abstractNumId w:val="2"/>
  </w:num>
  <w:num w:numId="23">
    <w:abstractNumId w:val="0"/>
  </w:num>
  <w:num w:numId="24">
    <w:abstractNumId w:val="16"/>
  </w:num>
  <w:num w:numId="25">
    <w:abstractNumId w:val="24"/>
  </w:num>
  <w:num w:numId="26">
    <w:abstractNumId w:val="22"/>
    <w:lvlOverride w:ilvl="0"/>
    <w:lvlOverride w:ilvl="1"/>
    <w:lvlOverride w:ilvl="2"/>
    <w:lvlOverride w:ilvl="3"/>
    <w:lvlOverride w:ilvl="4"/>
    <w:lvlOverride w:ilvl="5"/>
    <w:lvlOverride w:ilvl="6"/>
    <w:lvlOverride w:ilvl="7"/>
    <w:lvlOverride w:ilvl="8"/>
  </w:num>
  <w:num w:numId="2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F4"/>
    <w:rsid w:val="000259B9"/>
    <w:rsid w:val="00037883"/>
    <w:rsid w:val="00041491"/>
    <w:rsid w:val="00050D16"/>
    <w:rsid w:val="00074F2A"/>
    <w:rsid w:val="000862E5"/>
    <w:rsid w:val="000A1CA8"/>
    <w:rsid w:val="000A466B"/>
    <w:rsid w:val="000B058C"/>
    <w:rsid w:val="000C25F4"/>
    <w:rsid w:val="000E4EE6"/>
    <w:rsid w:val="001454E2"/>
    <w:rsid w:val="0014694F"/>
    <w:rsid w:val="001613FF"/>
    <w:rsid w:val="00206CE8"/>
    <w:rsid w:val="0021526C"/>
    <w:rsid w:val="00283A2B"/>
    <w:rsid w:val="002B30AD"/>
    <w:rsid w:val="002C2C01"/>
    <w:rsid w:val="003A29AE"/>
    <w:rsid w:val="003A32D7"/>
    <w:rsid w:val="003B4074"/>
    <w:rsid w:val="003C3051"/>
    <w:rsid w:val="003C769A"/>
    <w:rsid w:val="003F1838"/>
    <w:rsid w:val="0045746C"/>
    <w:rsid w:val="0048103E"/>
    <w:rsid w:val="00487DB3"/>
    <w:rsid w:val="0049104B"/>
    <w:rsid w:val="004E3B12"/>
    <w:rsid w:val="004F469B"/>
    <w:rsid w:val="00532310"/>
    <w:rsid w:val="00560ECC"/>
    <w:rsid w:val="00565F0F"/>
    <w:rsid w:val="0057797C"/>
    <w:rsid w:val="00594A86"/>
    <w:rsid w:val="00596D86"/>
    <w:rsid w:val="005B4967"/>
    <w:rsid w:val="005C7CAC"/>
    <w:rsid w:val="00601AA3"/>
    <w:rsid w:val="00613E30"/>
    <w:rsid w:val="00637F5A"/>
    <w:rsid w:val="006560B1"/>
    <w:rsid w:val="006756DD"/>
    <w:rsid w:val="00697704"/>
    <w:rsid w:val="00737275"/>
    <w:rsid w:val="00740EEC"/>
    <w:rsid w:val="0077320B"/>
    <w:rsid w:val="0078011A"/>
    <w:rsid w:val="00782AF4"/>
    <w:rsid w:val="00790EE7"/>
    <w:rsid w:val="007B6649"/>
    <w:rsid w:val="007E4512"/>
    <w:rsid w:val="0081546F"/>
    <w:rsid w:val="0082576E"/>
    <w:rsid w:val="008F41A7"/>
    <w:rsid w:val="00907F75"/>
    <w:rsid w:val="009260DE"/>
    <w:rsid w:val="0093258A"/>
    <w:rsid w:val="00994447"/>
    <w:rsid w:val="009C7BA3"/>
    <w:rsid w:val="009D1F5A"/>
    <w:rsid w:val="00A11ABC"/>
    <w:rsid w:val="00A560CA"/>
    <w:rsid w:val="00B003BF"/>
    <w:rsid w:val="00B06579"/>
    <w:rsid w:val="00B373D7"/>
    <w:rsid w:val="00BD4363"/>
    <w:rsid w:val="00C36276"/>
    <w:rsid w:val="00C42586"/>
    <w:rsid w:val="00C43225"/>
    <w:rsid w:val="00C60CCD"/>
    <w:rsid w:val="00C84483"/>
    <w:rsid w:val="00C95551"/>
    <w:rsid w:val="00CA138F"/>
    <w:rsid w:val="00CB20D7"/>
    <w:rsid w:val="00CB4709"/>
    <w:rsid w:val="00D020B0"/>
    <w:rsid w:val="00D11748"/>
    <w:rsid w:val="00D366CF"/>
    <w:rsid w:val="00D503B8"/>
    <w:rsid w:val="00D57DDA"/>
    <w:rsid w:val="00DC0AA3"/>
    <w:rsid w:val="00E108AA"/>
    <w:rsid w:val="00E31812"/>
    <w:rsid w:val="00E3749A"/>
    <w:rsid w:val="00E7437F"/>
    <w:rsid w:val="00E865B8"/>
    <w:rsid w:val="00EC0B9B"/>
    <w:rsid w:val="00ED5E9F"/>
    <w:rsid w:val="00F36616"/>
    <w:rsid w:val="00F66D4F"/>
    <w:rsid w:val="00F8336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8C6E5"/>
  <w15:chartTrackingRefBased/>
  <w15:docId w15:val="{3F0A89D4-4EBA-4D5C-9FDD-456C378F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88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C25F4"/>
    <w:rPr>
      <w:color w:val="808080"/>
    </w:rPr>
  </w:style>
  <w:style w:type="paragraph" w:customStyle="1" w:styleId="Default">
    <w:name w:val="Default"/>
    <w:rsid w:val="000C25F4"/>
    <w:pPr>
      <w:autoSpaceDE w:val="0"/>
      <w:autoSpaceDN w:val="0"/>
      <w:adjustRightInd w:val="0"/>
    </w:pPr>
    <w:rPr>
      <w:color w:val="000000"/>
      <w:sz w:val="24"/>
      <w:szCs w:val="24"/>
    </w:rPr>
  </w:style>
  <w:style w:type="character" w:styleId="Hyperlink">
    <w:name w:val="Hyperlink"/>
    <w:basedOn w:val="Standardskrifttypeiafsnit"/>
    <w:uiPriority w:val="99"/>
    <w:rsid w:val="000C25F4"/>
    <w:rPr>
      <w:color w:val="0563C1"/>
      <w:u w:val="single"/>
    </w:rPr>
  </w:style>
  <w:style w:type="paragraph" w:styleId="Brdtekst">
    <w:name w:val="Body Text"/>
    <w:basedOn w:val="Normal"/>
    <w:link w:val="BrdtekstTegn"/>
    <w:uiPriority w:val="1"/>
    <w:qFormat/>
    <w:rsid w:val="0048103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48103E"/>
    <w:rPr>
      <w:sz w:val="22"/>
      <w:szCs w:val="22"/>
      <w:lang w:val="en-US" w:eastAsia="en-US"/>
    </w:rPr>
  </w:style>
  <w:style w:type="paragraph" w:styleId="Listeafsnit">
    <w:name w:val="List Paragraph"/>
    <w:basedOn w:val="Normal"/>
    <w:uiPriority w:val="1"/>
    <w:qFormat/>
    <w:rsid w:val="0048103E"/>
    <w:pPr>
      <w:widowControl w:val="0"/>
      <w:autoSpaceDE w:val="0"/>
      <w:autoSpaceDN w:val="0"/>
      <w:ind w:left="938" w:hanging="361"/>
    </w:pPr>
    <w:rPr>
      <w:sz w:val="22"/>
      <w:szCs w:val="22"/>
      <w:lang w:val="en-US"/>
    </w:rPr>
  </w:style>
  <w:style w:type="table" w:customStyle="1" w:styleId="TableNormal">
    <w:name w:val="Table Normal"/>
    <w:uiPriority w:val="2"/>
    <w:semiHidden/>
    <w:qFormat/>
    <w:rsid w:val="0003788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03788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87442723">
      <w:bodyDiv w:val="1"/>
      <w:marLeft w:val="0"/>
      <w:marRight w:val="0"/>
      <w:marTop w:val="0"/>
      <w:marBottom w:val="0"/>
      <w:divBdr>
        <w:top w:val="none" w:sz="0" w:space="0" w:color="auto"/>
        <w:left w:val="none" w:sz="0" w:space="0" w:color="auto"/>
        <w:bottom w:val="none" w:sz="0" w:space="0" w:color="auto"/>
        <w:right w:val="none" w:sz="0" w:space="0" w:color="auto"/>
      </w:divBdr>
    </w:div>
    <w:div w:id="1523740855">
      <w:bodyDiv w:val="1"/>
      <w:marLeft w:val="0"/>
      <w:marRight w:val="0"/>
      <w:marTop w:val="0"/>
      <w:marBottom w:val="0"/>
      <w:divBdr>
        <w:top w:val="none" w:sz="0" w:space="0" w:color="auto"/>
        <w:left w:val="none" w:sz="0" w:space="0" w:color="auto"/>
        <w:bottom w:val="none" w:sz="0" w:space="0" w:color="auto"/>
        <w:right w:val="none" w:sz="0" w:space="0" w:color="auto"/>
      </w:divBdr>
    </w:div>
    <w:div w:id="1631588831">
      <w:bodyDiv w:val="1"/>
      <w:marLeft w:val="0"/>
      <w:marRight w:val="0"/>
      <w:marTop w:val="0"/>
      <w:marBottom w:val="0"/>
      <w:divBdr>
        <w:top w:val="none" w:sz="0" w:space="0" w:color="auto"/>
        <w:left w:val="none" w:sz="0" w:space="0" w:color="auto"/>
        <w:bottom w:val="none" w:sz="0" w:space="0" w:color="auto"/>
        <w:right w:val="none" w:sz="0" w:space="0" w:color="auto"/>
      </w:divBdr>
    </w:div>
    <w:div w:id="1632981291">
      <w:bodyDiv w:val="1"/>
      <w:marLeft w:val="0"/>
      <w:marRight w:val="0"/>
      <w:marTop w:val="0"/>
      <w:marBottom w:val="0"/>
      <w:divBdr>
        <w:top w:val="none" w:sz="0" w:space="0" w:color="auto"/>
        <w:left w:val="none" w:sz="0" w:space="0" w:color="auto"/>
        <w:bottom w:val="none" w:sz="0" w:space="0" w:color="auto"/>
        <w:right w:val="none" w:sz="0" w:space="0" w:color="auto"/>
      </w:divBdr>
    </w:div>
    <w:div w:id="1749502481">
      <w:bodyDiv w:val="1"/>
      <w:marLeft w:val="0"/>
      <w:marRight w:val="0"/>
      <w:marTop w:val="0"/>
      <w:marBottom w:val="0"/>
      <w:divBdr>
        <w:top w:val="none" w:sz="0" w:space="0" w:color="auto"/>
        <w:left w:val="none" w:sz="0" w:space="0" w:color="auto"/>
        <w:bottom w:val="none" w:sz="0" w:space="0" w:color="auto"/>
        <w:right w:val="none" w:sz="0" w:space="0" w:color="auto"/>
      </w:divBdr>
    </w:div>
    <w:div w:id="1816027197">
      <w:bodyDiv w:val="1"/>
      <w:marLeft w:val="0"/>
      <w:marRight w:val="0"/>
      <w:marTop w:val="0"/>
      <w:marBottom w:val="0"/>
      <w:divBdr>
        <w:top w:val="none" w:sz="0" w:space="0" w:color="auto"/>
        <w:left w:val="none" w:sz="0" w:space="0" w:color="auto"/>
        <w:bottom w:val="none" w:sz="0" w:space="0" w:color="auto"/>
        <w:right w:val="none" w:sz="0" w:space="0" w:color="auto"/>
      </w:divBdr>
    </w:div>
    <w:div w:id="191269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83</TotalTime>
  <Pages>32</Pages>
  <Words>10925</Words>
  <Characters>67633</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2022072635_x000d_
SPC pkt.1,  4.1, 4.2, 4.4, 4.8, 5.1</dc:description>
  <cp:lastModifiedBy>Betty Winther Andersen</cp:lastModifiedBy>
  <cp:revision>10</cp:revision>
  <cp:lastPrinted>2012-08-22T08:53:00Z</cp:lastPrinted>
  <dcterms:created xsi:type="dcterms:W3CDTF">2023-05-01T09:37:00Z</dcterms:created>
  <dcterms:modified xsi:type="dcterms:W3CDTF">2023-05-01T11:09:00Z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