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3EEBE" w14:textId="77777777" w:rsidR="004A3BF4" w:rsidRPr="003712F0" w:rsidRDefault="00056601" w:rsidP="004A3BF4">
      <w:pPr>
        <w:rPr>
          <w:sz w:val="24"/>
          <w:szCs w:val="24"/>
          <w:lang w:val="en-GB"/>
        </w:rPr>
      </w:pPr>
      <w:bookmarkStart w:id="0" w:name="_GoBack"/>
      <w:bookmarkEnd w:id="0"/>
      <w:r w:rsidRPr="003712F0">
        <w:rPr>
          <w:noProof/>
          <w:sz w:val="24"/>
          <w:szCs w:val="24"/>
          <w:lang w:val="en-GB"/>
        </w:rPr>
        <w:drawing>
          <wp:inline distT="0" distB="0" distL="0" distR="0" wp14:anchorId="149DC8F1" wp14:editId="043287C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FEAF8D2" w14:textId="77777777" w:rsidR="006B3847" w:rsidRPr="003712F0" w:rsidRDefault="006B3847" w:rsidP="006B3847">
      <w:pPr>
        <w:rPr>
          <w:sz w:val="24"/>
          <w:szCs w:val="24"/>
          <w:lang w:val="en-GB"/>
        </w:rPr>
      </w:pPr>
    </w:p>
    <w:p w14:paraId="445850CD" w14:textId="00DEEEDB" w:rsidR="006B3847" w:rsidRPr="006B4708" w:rsidRDefault="006B3847" w:rsidP="006B3847">
      <w:pPr>
        <w:tabs>
          <w:tab w:val="right" w:pos="9356"/>
        </w:tabs>
        <w:rPr>
          <w:b/>
          <w:sz w:val="24"/>
          <w:szCs w:val="24"/>
        </w:rPr>
      </w:pPr>
      <w:r w:rsidRPr="003712F0">
        <w:rPr>
          <w:b/>
          <w:sz w:val="24"/>
          <w:szCs w:val="24"/>
          <w:lang w:val="en-GB"/>
        </w:rPr>
        <w:tab/>
      </w:r>
      <w:r w:rsidR="00FC181D">
        <w:rPr>
          <w:b/>
          <w:sz w:val="24"/>
          <w:szCs w:val="24"/>
        </w:rPr>
        <w:t xml:space="preserve">17 </w:t>
      </w:r>
      <w:proofErr w:type="spellStart"/>
      <w:r w:rsidR="00FC181D">
        <w:rPr>
          <w:b/>
          <w:sz w:val="24"/>
          <w:szCs w:val="24"/>
        </w:rPr>
        <w:t>January</w:t>
      </w:r>
      <w:proofErr w:type="spellEnd"/>
      <w:r w:rsidR="006550A8">
        <w:rPr>
          <w:b/>
          <w:sz w:val="24"/>
          <w:szCs w:val="24"/>
        </w:rPr>
        <w:t xml:space="preserve"> 2025</w:t>
      </w:r>
    </w:p>
    <w:p w14:paraId="00416EBE" w14:textId="4E7E9555" w:rsidR="007C5D2A" w:rsidRDefault="007C5D2A" w:rsidP="007C5D2A">
      <w:pPr>
        <w:rPr>
          <w:sz w:val="24"/>
          <w:szCs w:val="24"/>
        </w:rPr>
      </w:pPr>
    </w:p>
    <w:p w14:paraId="6933BCA9" w14:textId="77777777" w:rsidR="00FC181D" w:rsidRPr="006B4708" w:rsidRDefault="00FC181D" w:rsidP="007C5D2A">
      <w:pPr>
        <w:rPr>
          <w:sz w:val="24"/>
          <w:szCs w:val="24"/>
        </w:rPr>
      </w:pPr>
    </w:p>
    <w:p w14:paraId="694231B5" w14:textId="77777777" w:rsidR="007C5D2A" w:rsidRPr="006B4708" w:rsidRDefault="007C5D2A" w:rsidP="007C5D2A">
      <w:pPr>
        <w:rPr>
          <w:sz w:val="24"/>
          <w:szCs w:val="24"/>
        </w:rPr>
      </w:pPr>
    </w:p>
    <w:p w14:paraId="2B79DFEC" w14:textId="77777777" w:rsidR="007C5D2A" w:rsidRPr="003712F0" w:rsidRDefault="007C5D2A" w:rsidP="007C5D2A">
      <w:pPr>
        <w:jc w:val="center"/>
        <w:rPr>
          <w:b/>
          <w:sz w:val="24"/>
          <w:szCs w:val="24"/>
          <w:lang w:val="en-GB"/>
        </w:rPr>
      </w:pPr>
      <w:bookmarkStart w:id="1" w:name="_Hlk49158549"/>
      <w:r w:rsidRPr="003712F0">
        <w:rPr>
          <w:b/>
          <w:sz w:val="24"/>
          <w:szCs w:val="24"/>
          <w:lang w:val="en-GB"/>
        </w:rPr>
        <w:t>SUMMARY OF PRODUCT CHARACTERISTICS</w:t>
      </w:r>
    </w:p>
    <w:bookmarkEnd w:id="1"/>
    <w:p w14:paraId="7D902990" w14:textId="77777777" w:rsidR="007C5D2A" w:rsidRPr="003712F0" w:rsidRDefault="007C5D2A" w:rsidP="007C5D2A">
      <w:pPr>
        <w:jc w:val="center"/>
        <w:rPr>
          <w:sz w:val="24"/>
          <w:szCs w:val="24"/>
          <w:lang w:val="en-GB"/>
        </w:rPr>
      </w:pPr>
    </w:p>
    <w:p w14:paraId="1E97686F" w14:textId="77777777" w:rsidR="007C5D2A" w:rsidRPr="003712F0" w:rsidRDefault="007C5D2A" w:rsidP="007C5D2A">
      <w:pPr>
        <w:jc w:val="center"/>
        <w:rPr>
          <w:b/>
          <w:sz w:val="24"/>
          <w:szCs w:val="24"/>
          <w:lang w:val="en-GB"/>
        </w:rPr>
      </w:pPr>
      <w:r w:rsidRPr="003712F0">
        <w:rPr>
          <w:b/>
          <w:sz w:val="24"/>
          <w:szCs w:val="24"/>
          <w:lang w:val="en-GB"/>
        </w:rPr>
        <w:t>for</w:t>
      </w:r>
    </w:p>
    <w:p w14:paraId="318E2C30" w14:textId="77777777" w:rsidR="007C5D2A" w:rsidRPr="003712F0" w:rsidRDefault="007C5D2A" w:rsidP="007C5D2A">
      <w:pPr>
        <w:jc w:val="center"/>
        <w:rPr>
          <w:sz w:val="24"/>
          <w:szCs w:val="24"/>
          <w:lang w:val="en-GB"/>
        </w:rPr>
      </w:pPr>
    </w:p>
    <w:p w14:paraId="3641FA51" w14:textId="5DB08531" w:rsidR="007C5D2A" w:rsidRPr="003712F0" w:rsidRDefault="00EC432F" w:rsidP="007C5D2A">
      <w:pPr>
        <w:jc w:val="center"/>
        <w:rPr>
          <w:b/>
          <w:sz w:val="24"/>
          <w:szCs w:val="24"/>
          <w:lang w:val="en-GB"/>
        </w:rPr>
      </w:pPr>
      <w:proofErr w:type="spellStart"/>
      <w:r w:rsidRPr="003712F0">
        <w:rPr>
          <w:b/>
          <w:sz w:val="24"/>
          <w:szCs w:val="24"/>
          <w:lang w:val="en-GB"/>
        </w:rPr>
        <w:t>Glerova</w:t>
      </w:r>
      <w:proofErr w:type="spellEnd"/>
      <w:r w:rsidRPr="003712F0">
        <w:rPr>
          <w:b/>
          <w:sz w:val="24"/>
          <w:szCs w:val="24"/>
          <w:lang w:val="en-GB"/>
        </w:rPr>
        <w:t>, film-coated tablets</w:t>
      </w:r>
    </w:p>
    <w:p w14:paraId="1C2CB6D7" w14:textId="77777777" w:rsidR="007C5D2A" w:rsidRPr="003712F0" w:rsidRDefault="007C5D2A" w:rsidP="007C5D2A">
      <w:pPr>
        <w:jc w:val="both"/>
        <w:rPr>
          <w:sz w:val="24"/>
          <w:szCs w:val="24"/>
          <w:lang w:val="en-GB"/>
        </w:rPr>
      </w:pPr>
    </w:p>
    <w:p w14:paraId="7A6F1F88" w14:textId="77777777" w:rsidR="0042292D" w:rsidRPr="003712F0" w:rsidRDefault="0042292D" w:rsidP="007C5D2A">
      <w:pPr>
        <w:jc w:val="both"/>
        <w:rPr>
          <w:sz w:val="24"/>
          <w:szCs w:val="24"/>
          <w:lang w:val="en-GB"/>
        </w:rPr>
      </w:pPr>
    </w:p>
    <w:p w14:paraId="1419A4E9" w14:textId="77777777" w:rsidR="008F2F8C" w:rsidRPr="003712F0" w:rsidRDefault="008F2F8C" w:rsidP="008F2F8C">
      <w:pPr>
        <w:tabs>
          <w:tab w:val="left" w:pos="8222"/>
        </w:tabs>
        <w:ind w:left="851" w:hanging="851"/>
        <w:rPr>
          <w:b/>
          <w:sz w:val="24"/>
          <w:szCs w:val="24"/>
          <w:lang w:val="en-GB"/>
        </w:rPr>
      </w:pPr>
      <w:r w:rsidRPr="003712F0">
        <w:rPr>
          <w:b/>
          <w:sz w:val="24"/>
          <w:szCs w:val="24"/>
          <w:lang w:val="en-GB"/>
        </w:rPr>
        <w:t>0.</w:t>
      </w:r>
      <w:r w:rsidRPr="003712F0">
        <w:rPr>
          <w:b/>
          <w:sz w:val="24"/>
          <w:szCs w:val="24"/>
          <w:lang w:val="en-GB"/>
        </w:rPr>
        <w:tab/>
      </w:r>
      <w:proofErr w:type="gramStart"/>
      <w:r w:rsidRPr="003712F0">
        <w:rPr>
          <w:b/>
          <w:sz w:val="24"/>
          <w:szCs w:val="24"/>
          <w:lang w:val="en-GB"/>
        </w:rPr>
        <w:t>D.SP.NO</w:t>
      </w:r>
      <w:proofErr w:type="gramEnd"/>
      <w:r w:rsidRPr="003712F0">
        <w:rPr>
          <w:b/>
          <w:sz w:val="24"/>
          <w:szCs w:val="24"/>
          <w:lang w:val="en-GB"/>
        </w:rPr>
        <w:t>.</w:t>
      </w:r>
    </w:p>
    <w:p w14:paraId="36D845E7" w14:textId="0482495F" w:rsidR="008F2F8C" w:rsidRPr="003712F0" w:rsidRDefault="00EC432F" w:rsidP="008F2F8C">
      <w:pPr>
        <w:tabs>
          <w:tab w:val="left" w:pos="8222"/>
        </w:tabs>
        <w:ind w:left="851"/>
        <w:rPr>
          <w:sz w:val="24"/>
          <w:szCs w:val="24"/>
          <w:lang w:val="en-GB"/>
        </w:rPr>
      </w:pPr>
      <w:r w:rsidRPr="003712F0">
        <w:rPr>
          <w:sz w:val="24"/>
          <w:szCs w:val="24"/>
          <w:lang w:val="en-GB"/>
        </w:rPr>
        <w:t>32310</w:t>
      </w:r>
    </w:p>
    <w:p w14:paraId="21FE7ECB" w14:textId="77777777" w:rsidR="007C5D2A" w:rsidRPr="003712F0" w:rsidRDefault="007C5D2A" w:rsidP="007C5D2A">
      <w:pPr>
        <w:tabs>
          <w:tab w:val="left" w:pos="851"/>
        </w:tabs>
        <w:jc w:val="both"/>
        <w:rPr>
          <w:sz w:val="24"/>
          <w:szCs w:val="24"/>
          <w:lang w:val="en-GB"/>
        </w:rPr>
      </w:pPr>
    </w:p>
    <w:p w14:paraId="3B52FD59" w14:textId="77777777" w:rsidR="007C5D2A" w:rsidRPr="003712F0" w:rsidRDefault="009925C9" w:rsidP="007C5D2A">
      <w:pPr>
        <w:tabs>
          <w:tab w:val="left" w:pos="851"/>
        </w:tabs>
        <w:ind w:left="851" w:hanging="851"/>
        <w:rPr>
          <w:sz w:val="24"/>
          <w:szCs w:val="24"/>
          <w:lang w:val="en-GB"/>
        </w:rPr>
      </w:pPr>
      <w:r w:rsidRPr="003712F0">
        <w:rPr>
          <w:b/>
          <w:sz w:val="24"/>
          <w:szCs w:val="24"/>
          <w:lang w:val="en-GB"/>
        </w:rPr>
        <w:t>1.</w:t>
      </w:r>
      <w:r w:rsidR="007C5D2A" w:rsidRPr="003712F0">
        <w:rPr>
          <w:b/>
          <w:sz w:val="24"/>
          <w:szCs w:val="24"/>
          <w:lang w:val="en-GB"/>
        </w:rPr>
        <w:tab/>
        <w:t>NAME OF THE MEDICINAL PRODUCT</w:t>
      </w:r>
    </w:p>
    <w:p w14:paraId="79CE23BC" w14:textId="475A048E" w:rsidR="007C5D2A" w:rsidRPr="003712F0" w:rsidRDefault="00EC432F" w:rsidP="004A3BF4">
      <w:pPr>
        <w:tabs>
          <w:tab w:val="left" w:pos="851"/>
        </w:tabs>
        <w:ind w:left="851"/>
        <w:rPr>
          <w:sz w:val="24"/>
          <w:szCs w:val="24"/>
          <w:lang w:val="en-GB"/>
        </w:rPr>
      </w:pPr>
      <w:proofErr w:type="spellStart"/>
      <w:r w:rsidRPr="003712F0">
        <w:rPr>
          <w:sz w:val="24"/>
          <w:szCs w:val="24"/>
          <w:lang w:val="en-GB"/>
        </w:rPr>
        <w:t>Glerova</w:t>
      </w:r>
      <w:proofErr w:type="spellEnd"/>
    </w:p>
    <w:p w14:paraId="743DCC6B" w14:textId="77777777" w:rsidR="007C5D2A" w:rsidRPr="003712F0" w:rsidRDefault="007C5D2A" w:rsidP="004A3BF4">
      <w:pPr>
        <w:tabs>
          <w:tab w:val="left" w:pos="851"/>
        </w:tabs>
        <w:ind w:left="851"/>
        <w:rPr>
          <w:sz w:val="24"/>
          <w:szCs w:val="24"/>
          <w:lang w:val="en-GB"/>
        </w:rPr>
      </w:pPr>
    </w:p>
    <w:p w14:paraId="01D81F15" w14:textId="77777777" w:rsidR="007C5D2A" w:rsidRPr="003712F0" w:rsidRDefault="009925C9" w:rsidP="007C5D2A">
      <w:pPr>
        <w:ind w:left="851" w:hanging="851"/>
        <w:rPr>
          <w:b/>
          <w:sz w:val="24"/>
          <w:szCs w:val="24"/>
          <w:lang w:val="en-GB"/>
        </w:rPr>
      </w:pPr>
      <w:r w:rsidRPr="003712F0">
        <w:rPr>
          <w:b/>
          <w:sz w:val="24"/>
          <w:szCs w:val="24"/>
          <w:lang w:val="en-GB"/>
        </w:rPr>
        <w:t>2.</w:t>
      </w:r>
      <w:r w:rsidR="007C5D2A" w:rsidRPr="003712F0">
        <w:rPr>
          <w:b/>
          <w:sz w:val="24"/>
          <w:szCs w:val="24"/>
          <w:lang w:val="en-GB"/>
        </w:rPr>
        <w:tab/>
        <w:t>QUALITATIVE AND QUANTITATIVE COMPOSITION</w:t>
      </w:r>
    </w:p>
    <w:p w14:paraId="7EC97EF3" w14:textId="3031A3D9" w:rsidR="00F47F2E" w:rsidRPr="003712F0" w:rsidRDefault="00F47F2E" w:rsidP="00F47F2E">
      <w:pPr>
        <w:ind w:left="851"/>
        <w:rPr>
          <w:sz w:val="24"/>
          <w:szCs w:val="24"/>
          <w:lang w:val="en-GB"/>
        </w:rPr>
      </w:pPr>
      <w:r w:rsidRPr="0034693F">
        <w:rPr>
          <w:szCs w:val="22"/>
          <w:lang w:val="en-US"/>
        </w:rPr>
        <w:t xml:space="preserve">50 mg/850 mg: </w:t>
      </w:r>
      <w:r w:rsidRPr="003712F0">
        <w:rPr>
          <w:sz w:val="24"/>
          <w:szCs w:val="24"/>
          <w:lang w:val="en-GB"/>
        </w:rPr>
        <w:t>Each tablet contains sitagliptin hydrochloride monohydrate equivalent to 50</w:t>
      </w:r>
      <w:r w:rsidR="00494D2F">
        <w:rPr>
          <w:sz w:val="24"/>
          <w:szCs w:val="24"/>
          <w:lang w:val="en-GB"/>
        </w:rPr>
        <w:t> </w:t>
      </w:r>
      <w:r w:rsidRPr="003712F0">
        <w:rPr>
          <w:sz w:val="24"/>
          <w:szCs w:val="24"/>
          <w:lang w:val="en-GB"/>
        </w:rPr>
        <w:t>mg of sitagliptin and 850 mg of metformin hydrochloride.</w:t>
      </w:r>
    </w:p>
    <w:p w14:paraId="131828FD" w14:textId="77777777" w:rsidR="00F47F2E" w:rsidRDefault="00F47F2E" w:rsidP="00F47F2E">
      <w:pPr>
        <w:ind w:left="851"/>
        <w:rPr>
          <w:sz w:val="24"/>
          <w:szCs w:val="24"/>
          <w:lang w:val="en-GB"/>
        </w:rPr>
      </w:pPr>
    </w:p>
    <w:p w14:paraId="20E93D5D" w14:textId="77777777" w:rsidR="00F47F2E" w:rsidRPr="003712F0" w:rsidRDefault="00F47F2E" w:rsidP="00F47F2E">
      <w:pPr>
        <w:ind w:left="851"/>
        <w:rPr>
          <w:sz w:val="24"/>
          <w:szCs w:val="24"/>
          <w:lang w:val="en-GB"/>
        </w:rPr>
      </w:pPr>
      <w:r w:rsidRPr="0034693F">
        <w:rPr>
          <w:szCs w:val="22"/>
          <w:lang w:val="en-US"/>
        </w:rPr>
        <w:t>50 mg/</w:t>
      </w:r>
      <w:r>
        <w:rPr>
          <w:szCs w:val="22"/>
          <w:lang w:val="en-US"/>
        </w:rPr>
        <w:t>1000</w:t>
      </w:r>
      <w:r w:rsidRPr="0034693F">
        <w:rPr>
          <w:szCs w:val="22"/>
          <w:lang w:val="en-US"/>
        </w:rPr>
        <w:t xml:space="preserve"> mg: </w:t>
      </w:r>
      <w:r w:rsidRPr="003712F0">
        <w:rPr>
          <w:sz w:val="24"/>
          <w:szCs w:val="24"/>
          <w:lang w:val="en-GB"/>
        </w:rPr>
        <w:t>Each tablet contains sitagliptin hydrochloride monohydrate equivalent to 50 mg of sitagliptin and 1,000 mg of metformin hydrochloride.</w:t>
      </w:r>
    </w:p>
    <w:p w14:paraId="32D27B15" w14:textId="77777777" w:rsidR="00094747" w:rsidRPr="003712F0" w:rsidRDefault="00094747" w:rsidP="008C7DB3">
      <w:pPr>
        <w:ind w:left="851"/>
        <w:rPr>
          <w:sz w:val="24"/>
          <w:szCs w:val="24"/>
          <w:lang w:val="en-GB"/>
        </w:rPr>
      </w:pPr>
    </w:p>
    <w:p w14:paraId="4FC8B164" w14:textId="77777777" w:rsidR="00094747" w:rsidRPr="003712F0" w:rsidRDefault="00094747" w:rsidP="008C7DB3">
      <w:pPr>
        <w:ind w:left="851"/>
        <w:rPr>
          <w:sz w:val="24"/>
          <w:szCs w:val="24"/>
          <w:lang w:val="en-GB"/>
        </w:rPr>
      </w:pPr>
      <w:r w:rsidRPr="003712F0">
        <w:rPr>
          <w:sz w:val="24"/>
          <w:szCs w:val="24"/>
          <w:lang w:val="en-GB"/>
        </w:rPr>
        <w:t>For the full list of excipients, see section 6.1.</w:t>
      </w:r>
    </w:p>
    <w:p w14:paraId="6E177869" w14:textId="77777777" w:rsidR="007C5D2A" w:rsidRPr="003712F0" w:rsidRDefault="007C5D2A" w:rsidP="004A3BF4">
      <w:pPr>
        <w:tabs>
          <w:tab w:val="left" w:pos="851"/>
        </w:tabs>
        <w:ind w:left="851"/>
        <w:rPr>
          <w:sz w:val="24"/>
          <w:szCs w:val="24"/>
          <w:lang w:val="en-GB"/>
        </w:rPr>
      </w:pPr>
    </w:p>
    <w:p w14:paraId="15733DA6" w14:textId="77777777" w:rsidR="007C5D2A" w:rsidRPr="003712F0" w:rsidRDefault="007C5D2A" w:rsidP="007C5D2A">
      <w:pPr>
        <w:tabs>
          <w:tab w:val="left" w:pos="851"/>
        </w:tabs>
        <w:ind w:left="851" w:hanging="851"/>
        <w:rPr>
          <w:b/>
          <w:sz w:val="24"/>
          <w:szCs w:val="24"/>
          <w:lang w:val="en-GB"/>
        </w:rPr>
      </w:pPr>
      <w:r w:rsidRPr="003712F0">
        <w:rPr>
          <w:b/>
          <w:sz w:val="24"/>
          <w:szCs w:val="24"/>
          <w:lang w:val="en-GB"/>
        </w:rPr>
        <w:t>3.</w:t>
      </w:r>
      <w:r w:rsidRPr="003712F0">
        <w:rPr>
          <w:b/>
          <w:sz w:val="24"/>
          <w:szCs w:val="24"/>
          <w:lang w:val="en-GB"/>
        </w:rPr>
        <w:tab/>
        <w:t>PHARMACEUTICAL FORM</w:t>
      </w:r>
    </w:p>
    <w:p w14:paraId="0D5E78EA" w14:textId="5AAE5F3E" w:rsidR="00094747" w:rsidRPr="003712F0" w:rsidRDefault="00094747" w:rsidP="008C7DB3">
      <w:pPr>
        <w:ind w:left="851"/>
        <w:rPr>
          <w:sz w:val="24"/>
          <w:szCs w:val="24"/>
          <w:lang w:val="en-GB"/>
        </w:rPr>
      </w:pPr>
      <w:r w:rsidRPr="003712F0">
        <w:rPr>
          <w:sz w:val="24"/>
          <w:szCs w:val="24"/>
          <w:lang w:val="en-GB"/>
        </w:rPr>
        <w:t>Film-coated tablet</w:t>
      </w:r>
      <w:r w:rsidR="00AB2CF4">
        <w:rPr>
          <w:sz w:val="24"/>
          <w:szCs w:val="24"/>
          <w:lang w:val="en-GB"/>
        </w:rPr>
        <w:t>s</w:t>
      </w:r>
      <w:r w:rsidRPr="003712F0">
        <w:rPr>
          <w:sz w:val="24"/>
          <w:szCs w:val="24"/>
          <w:lang w:val="en-GB"/>
        </w:rPr>
        <w:t xml:space="preserve"> (tablet)</w:t>
      </w:r>
    </w:p>
    <w:p w14:paraId="7C5152BD" w14:textId="77777777" w:rsidR="00094747" w:rsidRPr="003712F0" w:rsidRDefault="00094747" w:rsidP="008C7DB3">
      <w:pPr>
        <w:ind w:left="851"/>
        <w:rPr>
          <w:sz w:val="24"/>
          <w:szCs w:val="24"/>
          <w:lang w:val="en-GB"/>
        </w:rPr>
      </w:pPr>
    </w:p>
    <w:p w14:paraId="3BA3DF9A" w14:textId="22F02268" w:rsidR="00F47F2E" w:rsidRPr="003712F0" w:rsidRDefault="00F47F2E" w:rsidP="00F47F2E">
      <w:pPr>
        <w:ind w:left="851"/>
        <w:rPr>
          <w:sz w:val="24"/>
          <w:szCs w:val="24"/>
          <w:lang w:val="en-GB"/>
        </w:rPr>
      </w:pPr>
      <w:r w:rsidRPr="0034693F">
        <w:rPr>
          <w:szCs w:val="22"/>
          <w:lang w:val="en-US"/>
        </w:rPr>
        <w:t xml:space="preserve">50 mg/850 mg: </w:t>
      </w:r>
      <w:r w:rsidRPr="003712F0">
        <w:rPr>
          <w:sz w:val="24"/>
          <w:szCs w:val="24"/>
          <w:lang w:val="en-GB"/>
        </w:rPr>
        <w:t>A pink, capsule shaped, biconvex, bevelled edge tablet, debossed with ‘M’ on one side of the tablet and ‘SM5’ on the other side. Dimension: approximately 20.1</w:t>
      </w:r>
      <w:r w:rsidR="00494D2F">
        <w:rPr>
          <w:sz w:val="24"/>
          <w:szCs w:val="24"/>
          <w:lang w:val="en-GB"/>
        </w:rPr>
        <w:t> </w:t>
      </w:r>
      <w:r w:rsidRPr="003712F0">
        <w:rPr>
          <w:sz w:val="24"/>
          <w:szCs w:val="24"/>
          <w:lang w:val="en-GB"/>
        </w:rPr>
        <w:t>mm</w:t>
      </w:r>
      <w:r w:rsidR="00494D2F">
        <w:rPr>
          <w:sz w:val="24"/>
          <w:szCs w:val="24"/>
          <w:lang w:val="en-GB"/>
        </w:rPr>
        <w:t> </w:t>
      </w:r>
      <w:r>
        <w:rPr>
          <w:sz w:val="24"/>
          <w:szCs w:val="24"/>
          <w:lang w:val="en-GB"/>
        </w:rPr>
        <w:t>×</w:t>
      </w:r>
      <w:r w:rsidR="00494D2F">
        <w:rPr>
          <w:sz w:val="24"/>
          <w:szCs w:val="24"/>
          <w:lang w:val="en-GB"/>
        </w:rPr>
        <w:t> </w:t>
      </w:r>
      <w:r w:rsidRPr="003712F0">
        <w:rPr>
          <w:sz w:val="24"/>
          <w:szCs w:val="24"/>
          <w:lang w:val="en-GB"/>
        </w:rPr>
        <w:t>9.9</w:t>
      </w:r>
      <w:r w:rsidR="00494D2F">
        <w:rPr>
          <w:sz w:val="24"/>
          <w:szCs w:val="24"/>
          <w:lang w:val="en-GB"/>
        </w:rPr>
        <w:t> </w:t>
      </w:r>
      <w:r w:rsidRPr="003712F0">
        <w:rPr>
          <w:sz w:val="24"/>
          <w:szCs w:val="24"/>
          <w:lang w:val="en-GB"/>
        </w:rPr>
        <w:t>mm.</w:t>
      </w:r>
    </w:p>
    <w:p w14:paraId="18C5E7B9" w14:textId="77777777" w:rsidR="00F47F2E" w:rsidRDefault="00F47F2E" w:rsidP="00F47F2E">
      <w:pPr>
        <w:ind w:left="851"/>
        <w:rPr>
          <w:sz w:val="24"/>
          <w:szCs w:val="24"/>
          <w:lang w:val="en-GB"/>
        </w:rPr>
      </w:pPr>
    </w:p>
    <w:p w14:paraId="7B575056" w14:textId="77777777" w:rsidR="00F47F2E" w:rsidRPr="003712F0" w:rsidRDefault="00F47F2E" w:rsidP="00F47F2E">
      <w:pPr>
        <w:ind w:left="851"/>
        <w:rPr>
          <w:sz w:val="24"/>
          <w:szCs w:val="24"/>
          <w:lang w:val="en-GB"/>
        </w:rPr>
      </w:pPr>
      <w:r w:rsidRPr="0034693F">
        <w:rPr>
          <w:szCs w:val="22"/>
          <w:lang w:val="en-US"/>
        </w:rPr>
        <w:t>50 mg/</w:t>
      </w:r>
      <w:r>
        <w:rPr>
          <w:szCs w:val="22"/>
          <w:lang w:val="en-US"/>
        </w:rPr>
        <w:t>100</w:t>
      </w:r>
      <w:r w:rsidRPr="0034693F">
        <w:rPr>
          <w:szCs w:val="22"/>
          <w:lang w:val="en-US"/>
        </w:rPr>
        <w:t xml:space="preserve">0 mg: </w:t>
      </w:r>
      <w:r w:rsidRPr="003712F0">
        <w:rPr>
          <w:sz w:val="24"/>
          <w:szCs w:val="24"/>
          <w:lang w:val="en-GB"/>
        </w:rPr>
        <w:t xml:space="preserve">A peach to brown, capsule shaped, biconvex, bevelled edge tablet, debossed with ‘M’ on one side of the tablet and ‘SM7’ on the other side. Dimension: approximately 21.1 mm </w:t>
      </w:r>
      <w:r>
        <w:rPr>
          <w:sz w:val="24"/>
          <w:szCs w:val="24"/>
          <w:lang w:val="en-GB"/>
        </w:rPr>
        <w:t xml:space="preserve">× </w:t>
      </w:r>
      <w:r w:rsidRPr="003712F0">
        <w:rPr>
          <w:sz w:val="24"/>
          <w:szCs w:val="24"/>
          <w:lang w:val="en-GB"/>
        </w:rPr>
        <w:t>10.1 mm.</w:t>
      </w:r>
    </w:p>
    <w:p w14:paraId="78B726E1" w14:textId="77777777" w:rsidR="007C5D2A" w:rsidRPr="003712F0" w:rsidRDefault="007C5D2A" w:rsidP="004A3BF4">
      <w:pPr>
        <w:tabs>
          <w:tab w:val="left" w:pos="851"/>
        </w:tabs>
        <w:ind w:left="851"/>
        <w:rPr>
          <w:sz w:val="24"/>
          <w:szCs w:val="24"/>
          <w:lang w:val="en-GB"/>
        </w:rPr>
      </w:pPr>
    </w:p>
    <w:p w14:paraId="255B7BE7" w14:textId="77777777" w:rsidR="007C5D2A" w:rsidRPr="003712F0" w:rsidRDefault="007C5D2A" w:rsidP="004A3BF4">
      <w:pPr>
        <w:tabs>
          <w:tab w:val="left" w:pos="851"/>
        </w:tabs>
        <w:ind w:left="851"/>
        <w:rPr>
          <w:sz w:val="24"/>
          <w:szCs w:val="24"/>
          <w:lang w:val="en-GB"/>
        </w:rPr>
      </w:pPr>
    </w:p>
    <w:p w14:paraId="41AD1D2B" w14:textId="77777777" w:rsidR="007C5D2A" w:rsidRPr="003712F0" w:rsidRDefault="007C5D2A" w:rsidP="007C5D2A">
      <w:pPr>
        <w:ind w:left="851" w:hanging="851"/>
        <w:rPr>
          <w:b/>
          <w:sz w:val="24"/>
          <w:szCs w:val="24"/>
          <w:lang w:val="en-GB"/>
        </w:rPr>
      </w:pPr>
      <w:r w:rsidRPr="003712F0">
        <w:rPr>
          <w:b/>
          <w:sz w:val="24"/>
          <w:szCs w:val="24"/>
          <w:lang w:val="en-GB"/>
        </w:rPr>
        <w:t>4.</w:t>
      </w:r>
      <w:r w:rsidRPr="003712F0">
        <w:rPr>
          <w:b/>
          <w:sz w:val="24"/>
          <w:szCs w:val="24"/>
          <w:lang w:val="en-GB"/>
        </w:rPr>
        <w:tab/>
        <w:t>CLINICAL PARTICULARS</w:t>
      </w:r>
    </w:p>
    <w:p w14:paraId="2944C2B4" w14:textId="77777777" w:rsidR="007C5D2A" w:rsidRPr="003712F0" w:rsidRDefault="007C5D2A" w:rsidP="004A3BF4">
      <w:pPr>
        <w:tabs>
          <w:tab w:val="left" w:pos="851"/>
        </w:tabs>
        <w:ind w:left="851"/>
        <w:rPr>
          <w:sz w:val="24"/>
          <w:szCs w:val="24"/>
          <w:lang w:val="en-GB"/>
        </w:rPr>
      </w:pPr>
    </w:p>
    <w:p w14:paraId="4DEE4330" w14:textId="77777777" w:rsidR="007C5D2A" w:rsidRPr="003712F0" w:rsidRDefault="007C5D2A" w:rsidP="007C5D2A">
      <w:pPr>
        <w:ind w:left="851" w:hanging="851"/>
        <w:rPr>
          <w:b/>
          <w:sz w:val="24"/>
          <w:szCs w:val="24"/>
          <w:u w:val="single"/>
          <w:lang w:val="en-GB"/>
        </w:rPr>
      </w:pPr>
      <w:r w:rsidRPr="003712F0">
        <w:rPr>
          <w:b/>
          <w:sz w:val="24"/>
          <w:szCs w:val="24"/>
          <w:lang w:val="en-GB"/>
        </w:rPr>
        <w:t>4.1</w:t>
      </w:r>
      <w:r w:rsidRPr="003712F0">
        <w:rPr>
          <w:b/>
          <w:sz w:val="24"/>
          <w:szCs w:val="24"/>
          <w:lang w:val="en-GB"/>
        </w:rPr>
        <w:tab/>
        <w:t>Therapeutic indications</w:t>
      </w:r>
    </w:p>
    <w:p w14:paraId="6A3A7A44" w14:textId="77777777" w:rsidR="00094747" w:rsidRPr="003712F0" w:rsidRDefault="00094747" w:rsidP="008C7DB3">
      <w:pPr>
        <w:ind w:left="851"/>
        <w:rPr>
          <w:sz w:val="24"/>
          <w:szCs w:val="24"/>
          <w:lang w:val="en-GB"/>
        </w:rPr>
      </w:pPr>
      <w:r w:rsidRPr="003712F0">
        <w:rPr>
          <w:sz w:val="24"/>
          <w:szCs w:val="24"/>
          <w:lang w:val="en-GB"/>
        </w:rPr>
        <w:t>For adult patients with type 2 diabetes mellitus:</w:t>
      </w:r>
    </w:p>
    <w:p w14:paraId="60715F63" w14:textId="77777777" w:rsidR="00094747" w:rsidRPr="003712F0" w:rsidRDefault="00094747" w:rsidP="008C7DB3">
      <w:pPr>
        <w:ind w:left="851"/>
        <w:rPr>
          <w:sz w:val="24"/>
          <w:szCs w:val="24"/>
          <w:lang w:val="en-GB"/>
        </w:rPr>
      </w:pPr>
    </w:p>
    <w:p w14:paraId="78654D40" w14:textId="7A63661D" w:rsidR="00094747" w:rsidRPr="003712F0" w:rsidRDefault="00AB2CF4" w:rsidP="008C7DB3">
      <w:pPr>
        <w:ind w:left="851"/>
        <w:rPr>
          <w:sz w:val="24"/>
          <w:szCs w:val="24"/>
          <w:lang w:val="en-GB"/>
        </w:rPr>
      </w:pPr>
      <w:proofErr w:type="spellStart"/>
      <w:r>
        <w:rPr>
          <w:sz w:val="24"/>
          <w:szCs w:val="24"/>
          <w:lang w:val="en-GB"/>
        </w:rPr>
        <w:t>Glerova</w:t>
      </w:r>
      <w:proofErr w:type="spellEnd"/>
      <w:r w:rsidR="00094747" w:rsidRPr="003712F0">
        <w:rPr>
          <w:sz w:val="24"/>
          <w:szCs w:val="24"/>
          <w:lang w:val="en-GB"/>
        </w:rPr>
        <w:t xml:space="preserve"> is indicated as an adjunct to diet and exercise to improve glycaemic control in patients inadequately controlled on their maximal tolerated dose of metformin alone or those already being treated with the combination of sitagliptin and metformin. </w:t>
      </w:r>
    </w:p>
    <w:p w14:paraId="61518CDB" w14:textId="77777777" w:rsidR="00094747" w:rsidRPr="003712F0" w:rsidRDefault="00094747" w:rsidP="008C7DB3">
      <w:pPr>
        <w:ind w:left="851"/>
        <w:rPr>
          <w:sz w:val="24"/>
          <w:szCs w:val="24"/>
          <w:lang w:val="en-GB"/>
        </w:rPr>
      </w:pPr>
    </w:p>
    <w:p w14:paraId="10958A19" w14:textId="175DD84E" w:rsidR="00094747" w:rsidRPr="003712F0" w:rsidRDefault="00AB2CF4" w:rsidP="008C7DB3">
      <w:pPr>
        <w:ind w:left="851"/>
        <w:rPr>
          <w:sz w:val="24"/>
          <w:szCs w:val="24"/>
          <w:lang w:val="en-GB"/>
        </w:rPr>
      </w:pPr>
      <w:proofErr w:type="spellStart"/>
      <w:r>
        <w:rPr>
          <w:sz w:val="24"/>
          <w:szCs w:val="24"/>
          <w:lang w:val="en-GB"/>
        </w:rPr>
        <w:t>Glerova</w:t>
      </w:r>
      <w:proofErr w:type="spellEnd"/>
      <w:r w:rsidR="00094747" w:rsidRPr="003712F0">
        <w:rPr>
          <w:sz w:val="24"/>
          <w:szCs w:val="24"/>
          <w:lang w:val="en-GB"/>
        </w:rPr>
        <w:t xml:space="preserve"> is indicated in combination with a </w:t>
      </w:r>
      <w:proofErr w:type="spellStart"/>
      <w:r w:rsidR="00094747" w:rsidRPr="003712F0">
        <w:rPr>
          <w:sz w:val="24"/>
          <w:szCs w:val="24"/>
          <w:lang w:val="en-GB"/>
        </w:rPr>
        <w:t>sulphonylurea</w:t>
      </w:r>
      <w:proofErr w:type="spellEnd"/>
      <w:r w:rsidR="00094747" w:rsidRPr="003712F0">
        <w:rPr>
          <w:sz w:val="24"/>
          <w:szCs w:val="24"/>
          <w:lang w:val="en-GB"/>
        </w:rPr>
        <w:t xml:space="preserve"> (i.e., triple combination therapy) as an adjunct to diet and exercise in patients inadequately controlled on their maximal tolerated dose of metformin and a </w:t>
      </w:r>
      <w:proofErr w:type="spellStart"/>
      <w:r w:rsidR="00094747" w:rsidRPr="003712F0">
        <w:rPr>
          <w:sz w:val="24"/>
          <w:szCs w:val="24"/>
          <w:lang w:val="en-GB"/>
        </w:rPr>
        <w:t>sulphonylurea</w:t>
      </w:r>
      <w:proofErr w:type="spellEnd"/>
      <w:r w:rsidR="00094747" w:rsidRPr="003712F0">
        <w:rPr>
          <w:sz w:val="24"/>
          <w:szCs w:val="24"/>
          <w:lang w:val="en-GB"/>
        </w:rPr>
        <w:t>.</w:t>
      </w:r>
    </w:p>
    <w:p w14:paraId="53DFA112" w14:textId="77777777" w:rsidR="00094747" w:rsidRPr="003712F0" w:rsidRDefault="00094747" w:rsidP="008C7DB3">
      <w:pPr>
        <w:ind w:left="851"/>
        <w:rPr>
          <w:sz w:val="24"/>
          <w:szCs w:val="24"/>
          <w:lang w:val="en-GB"/>
        </w:rPr>
      </w:pPr>
    </w:p>
    <w:p w14:paraId="45330E06" w14:textId="5BF19FF2" w:rsidR="00094747" w:rsidRPr="003712F0" w:rsidRDefault="00AB2CF4" w:rsidP="008C7DB3">
      <w:pPr>
        <w:ind w:left="851"/>
        <w:rPr>
          <w:sz w:val="24"/>
          <w:szCs w:val="24"/>
          <w:lang w:val="en-GB"/>
        </w:rPr>
      </w:pPr>
      <w:proofErr w:type="spellStart"/>
      <w:r>
        <w:rPr>
          <w:sz w:val="24"/>
          <w:szCs w:val="24"/>
          <w:lang w:val="en-GB"/>
        </w:rPr>
        <w:t>Glerova</w:t>
      </w:r>
      <w:proofErr w:type="spellEnd"/>
      <w:r w:rsidR="00094747" w:rsidRPr="003712F0">
        <w:rPr>
          <w:sz w:val="24"/>
          <w:szCs w:val="24"/>
          <w:lang w:val="en-GB"/>
        </w:rPr>
        <w:t xml:space="preserve"> is indicated as triple combination therapy with a peroxisome proliferator-activated receptor gamma (PPAR</w:t>
      </w:r>
      <w:r w:rsidR="00094747" w:rsidRPr="003712F0">
        <w:rPr>
          <w:sz w:val="24"/>
          <w:szCs w:val="24"/>
          <w:lang w:val="en-GB"/>
        </w:rPr>
        <w:sym w:font="Symbol" w:char="F067"/>
      </w:r>
      <w:r w:rsidR="00094747" w:rsidRPr="003712F0">
        <w:rPr>
          <w:sz w:val="24"/>
          <w:szCs w:val="24"/>
          <w:lang w:val="en-GB"/>
        </w:rPr>
        <w:t>) agonist (i.e., a thiazolidinedione) as an adjunct to diet and exercise in patients inadequately controlled on their maximal tolerated dose of metformin and a PPAR</w:t>
      </w:r>
      <w:r w:rsidR="00094747" w:rsidRPr="003712F0">
        <w:rPr>
          <w:sz w:val="24"/>
          <w:szCs w:val="24"/>
          <w:lang w:val="en-GB"/>
        </w:rPr>
        <w:sym w:font="Symbol" w:char="F067"/>
      </w:r>
      <w:r w:rsidR="00094747" w:rsidRPr="003712F0">
        <w:rPr>
          <w:sz w:val="24"/>
          <w:szCs w:val="24"/>
          <w:lang w:val="en-GB"/>
        </w:rPr>
        <w:t xml:space="preserve"> agonist. </w:t>
      </w:r>
    </w:p>
    <w:p w14:paraId="52ADD7E4" w14:textId="77777777" w:rsidR="00094747" w:rsidRPr="003712F0" w:rsidRDefault="00094747" w:rsidP="008C7DB3">
      <w:pPr>
        <w:ind w:left="851"/>
        <w:rPr>
          <w:sz w:val="24"/>
          <w:szCs w:val="24"/>
          <w:lang w:val="en-GB"/>
        </w:rPr>
      </w:pPr>
    </w:p>
    <w:p w14:paraId="72402C41" w14:textId="7EE8C9EC" w:rsidR="00094747" w:rsidRPr="003712F0" w:rsidRDefault="00AB2CF4" w:rsidP="008C7DB3">
      <w:pPr>
        <w:ind w:left="851"/>
        <w:rPr>
          <w:sz w:val="24"/>
          <w:szCs w:val="24"/>
          <w:lang w:val="en-GB"/>
        </w:rPr>
      </w:pPr>
      <w:proofErr w:type="spellStart"/>
      <w:r>
        <w:rPr>
          <w:sz w:val="24"/>
          <w:szCs w:val="24"/>
          <w:lang w:val="en-GB"/>
        </w:rPr>
        <w:t>Glerova</w:t>
      </w:r>
      <w:proofErr w:type="spellEnd"/>
      <w:r w:rsidR="00094747" w:rsidRPr="003712F0">
        <w:rPr>
          <w:sz w:val="24"/>
          <w:szCs w:val="24"/>
          <w:lang w:val="en-GB"/>
        </w:rPr>
        <w:t xml:space="preserve"> is also indicated as add-on to insulin (i.e., triple combination therapy) as an adjunct to diet and exercise to improve glycaemic control in patients when stable dose of insulin and metformin alone do not provide adequate glycaemic control.</w:t>
      </w:r>
    </w:p>
    <w:p w14:paraId="021D51DA" w14:textId="77777777" w:rsidR="007C5D2A" w:rsidRPr="003712F0" w:rsidRDefault="007C5D2A" w:rsidP="00A85D26">
      <w:pPr>
        <w:tabs>
          <w:tab w:val="left" w:pos="851"/>
        </w:tabs>
        <w:ind w:left="851"/>
        <w:rPr>
          <w:sz w:val="24"/>
          <w:szCs w:val="24"/>
          <w:lang w:val="en-GB"/>
        </w:rPr>
      </w:pPr>
    </w:p>
    <w:p w14:paraId="39D9DA95" w14:textId="77777777" w:rsidR="007C5D2A" w:rsidRPr="003712F0" w:rsidRDefault="009925C9" w:rsidP="007C5D2A">
      <w:pPr>
        <w:tabs>
          <w:tab w:val="left" w:pos="851"/>
        </w:tabs>
        <w:ind w:left="851" w:hanging="851"/>
        <w:rPr>
          <w:sz w:val="24"/>
          <w:szCs w:val="24"/>
          <w:lang w:val="en-GB"/>
        </w:rPr>
      </w:pPr>
      <w:r w:rsidRPr="003712F0">
        <w:rPr>
          <w:b/>
          <w:sz w:val="24"/>
          <w:szCs w:val="24"/>
          <w:lang w:val="en-GB"/>
        </w:rPr>
        <w:t>4.2</w:t>
      </w:r>
      <w:r w:rsidR="007C5D2A" w:rsidRPr="003712F0">
        <w:rPr>
          <w:b/>
          <w:sz w:val="24"/>
          <w:szCs w:val="24"/>
          <w:lang w:val="en-GB"/>
        </w:rPr>
        <w:tab/>
        <w:t>Posology and method of administration</w:t>
      </w:r>
    </w:p>
    <w:p w14:paraId="72F7BD4A" w14:textId="77777777" w:rsidR="00AB2CF4" w:rsidRDefault="00AB2CF4" w:rsidP="008C7DB3">
      <w:pPr>
        <w:ind w:left="851"/>
        <w:rPr>
          <w:sz w:val="24"/>
          <w:szCs w:val="24"/>
          <w:u w:val="single"/>
          <w:lang w:val="en-GB"/>
        </w:rPr>
      </w:pPr>
    </w:p>
    <w:p w14:paraId="2DDDFE76" w14:textId="28DE4B33" w:rsidR="00094747" w:rsidRPr="003712F0" w:rsidRDefault="00094747" w:rsidP="008C7DB3">
      <w:pPr>
        <w:ind w:left="851"/>
        <w:rPr>
          <w:sz w:val="24"/>
          <w:szCs w:val="24"/>
          <w:u w:val="single"/>
          <w:lang w:val="en-GB"/>
        </w:rPr>
      </w:pPr>
      <w:r w:rsidRPr="003712F0">
        <w:rPr>
          <w:sz w:val="24"/>
          <w:szCs w:val="24"/>
          <w:u w:val="single"/>
          <w:lang w:val="en-GB"/>
        </w:rPr>
        <w:t>Posology</w:t>
      </w:r>
    </w:p>
    <w:p w14:paraId="3877BB13" w14:textId="77777777" w:rsidR="00094747" w:rsidRPr="003712F0" w:rsidRDefault="00094747" w:rsidP="008C7DB3">
      <w:pPr>
        <w:ind w:left="851"/>
        <w:rPr>
          <w:sz w:val="24"/>
          <w:szCs w:val="24"/>
          <w:u w:val="single"/>
          <w:lang w:val="en-GB"/>
        </w:rPr>
      </w:pPr>
    </w:p>
    <w:p w14:paraId="6450A94F" w14:textId="213A08D5" w:rsidR="00094747" w:rsidRPr="003712F0" w:rsidRDefault="00094747" w:rsidP="008C7DB3">
      <w:pPr>
        <w:ind w:left="851"/>
        <w:rPr>
          <w:sz w:val="24"/>
          <w:szCs w:val="24"/>
          <w:lang w:val="en-GB"/>
        </w:rPr>
      </w:pPr>
      <w:r w:rsidRPr="003712F0">
        <w:rPr>
          <w:sz w:val="24"/>
          <w:szCs w:val="24"/>
          <w:lang w:val="en-GB"/>
        </w:rPr>
        <w:t xml:space="preserve">The dose of </w:t>
      </w:r>
      <w:proofErr w:type="spellStart"/>
      <w:r w:rsidRPr="003712F0">
        <w:rPr>
          <w:sz w:val="24"/>
          <w:szCs w:val="24"/>
          <w:lang w:val="en-GB"/>
        </w:rPr>
        <w:t>antihyperglycaemic</w:t>
      </w:r>
      <w:proofErr w:type="spellEnd"/>
      <w:r w:rsidRPr="003712F0">
        <w:rPr>
          <w:sz w:val="24"/>
          <w:szCs w:val="24"/>
          <w:lang w:val="en-GB"/>
        </w:rPr>
        <w:t xml:space="preserve"> therapy with </w:t>
      </w:r>
      <w:proofErr w:type="spellStart"/>
      <w:r w:rsidR="00AB2CF4">
        <w:rPr>
          <w:sz w:val="24"/>
          <w:szCs w:val="24"/>
          <w:lang w:val="en-GB"/>
        </w:rPr>
        <w:t>Glerova</w:t>
      </w:r>
      <w:proofErr w:type="spellEnd"/>
      <w:r w:rsidRPr="003712F0">
        <w:rPr>
          <w:sz w:val="24"/>
          <w:szCs w:val="24"/>
          <w:lang w:val="en-GB"/>
        </w:rPr>
        <w:t xml:space="preserve"> should be individualised on the basis of the patient’s current regimen, effectiveness, and tolerability while not exceeding the maximum recommended daily dose of 100 mg sitagliptin.</w:t>
      </w:r>
    </w:p>
    <w:p w14:paraId="057C1AA3" w14:textId="77777777" w:rsidR="00094747" w:rsidRPr="003712F0" w:rsidRDefault="00094747" w:rsidP="008C7DB3">
      <w:pPr>
        <w:tabs>
          <w:tab w:val="left" w:pos="1304"/>
        </w:tabs>
        <w:autoSpaceDE w:val="0"/>
        <w:autoSpaceDN w:val="0"/>
        <w:adjustRightInd w:val="0"/>
        <w:ind w:left="851"/>
        <w:rPr>
          <w:rFonts w:eastAsia="TimesNewRoman,BoldItalic"/>
          <w:bCs/>
          <w:iCs/>
          <w:sz w:val="24"/>
          <w:szCs w:val="24"/>
          <w:lang w:val="en-GB" w:eastAsia="en-GB"/>
        </w:rPr>
      </w:pPr>
    </w:p>
    <w:p w14:paraId="05169804" w14:textId="77777777" w:rsidR="00094747" w:rsidRPr="00AB2CF4" w:rsidRDefault="00094747" w:rsidP="00651574">
      <w:pPr>
        <w:ind w:left="851"/>
        <w:rPr>
          <w:rFonts w:eastAsia="TimesNewRoman,BoldItalic"/>
          <w:b/>
          <w:i/>
          <w:sz w:val="24"/>
          <w:szCs w:val="24"/>
          <w:lang w:val="en-GB" w:eastAsia="en-GB"/>
        </w:rPr>
      </w:pPr>
      <w:r w:rsidRPr="00AB2CF4">
        <w:rPr>
          <w:rFonts w:eastAsia="TimesNewRoman,BoldItalic"/>
          <w:b/>
          <w:i/>
          <w:sz w:val="24"/>
          <w:szCs w:val="24"/>
          <w:lang w:val="en-GB" w:eastAsia="en-GB"/>
        </w:rPr>
        <w:t>Adults with normal renal function (GFR ≥ 90 mL/min)</w:t>
      </w:r>
    </w:p>
    <w:p w14:paraId="4ED278CA" w14:textId="77777777" w:rsidR="00094747" w:rsidRPr="003712F0" w:rsidRDefault="00094747" w:rsidP="00651574">
      <w:pPr>
        <w:ind w:left="851"/>
        <w:rPr>
          <w:rFonts w:eastAsia="SimSun"/>
          <w:sz w:val="24"/>
          <w:szCs w:val="24"/>
          <w:u w:val="single"/>
          <w:lang w:val="en-GB" w:eastAsia="en-GB"/>
        </w:rPr>
      </w:pPr>
      <w:r w:rsidRPr="003712F0">
        <w:rPr>
          <w:rFonts w:eastAsia="SimSun"/>
          <w:sz w:val="24"/>
          <w:szCs w:val="24"/>
          <w:u w:val="single"/>
          <w:lang w:val="en-GB" w:eastAsia="en-GB"/>
        </w:rPr>
        <w:t>For patients inadequately controlled on maximal tolerated dose of metformin monotherapy</w:t>
      </w:r>
    </w:p>
    <w:p w14:paraId="7B70C515" w14:textId="77777777" w:rsidR="00094747" w:rsidRPr="003712F0" w:rsidRDefault="00094747" w:rsidP="008C7DB3">
      <w:pPr>
        <w:ind w:left="851"/>
        <w:rPr>
          <w:sz w:val="24"/>
          <w:szCs w:val="24"/>
          <w:lang w:val="en-GB" w:eastAsia="en-US"/>
        </w:rPr>
      </w:pPr>
      <w:r w:rsidRPr="003712F0">
        <w:rPr>
          <w:sz w:val="24"/>
          <w:szCs w:val="24"/>
          <w:lang w:val="en-GB"/>
        </w:rPr>
        <w:t>For patients not adequately controlled on metformin alone, the usual starting dose should provide sitagliptin dosed as 50 mg twice daily (100 mg total daily dose) plus the dose of metformin already being taken.</w:t>
      </w:r>
    </w:p>
    <w:p w14:paraId="30459F74" w14:textId="77777777" w:rsidR="00094747" w:rsidRPr="003712F0" w:rsidRDefault="00094747" w:rsidP="008C7DB3">
      <w:pPr>
        <w:tabs>
          <w:tab w:val="left" w:pos="1304"/>
        </w:tabs>
        <w:autoSpaceDE w:val="0"/>
        <w:autoSpaceDN w:val="0"/>
        <w:adjustRightInd w:val="0"/>
        <w:ind w:left="851"/>
        <w:rPr>
          <w:rFonts w:eastAsia="SimSun"/>
          <w:sz w:val="24"/>
          <w:szCs w:val="24"/>
          <w:lang w:val="en-GB" w:eastAsia="en-GB"/>
        </w:rPr>
      </w:pPr>
    </w:p>
    <w:p w14:paraId="7A030379" w14:textId="77777777" w:rsidR="00094747" w:rsidRPr="003712F0" w:rsidRDefault="00094747" w:rsidP="008C7DB3">
      <w:pPr>
        <w:tabs>
          <w:tab w:val="left" w:pos="1304"/>
        </w:tabs>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For patients switching from co-administration of sitagliptin and metformin</w:t>
      </w:r>
    </w:p>
    <w:p w14:paraId="60A92D18" w14:textId="016064F3" w:rsidR="00094747" w:rsidRPr="003712F0" w:rsidRDefault="00094747" w:rsidP="008C7DB3">
      <w:pPr>
        <w:ind w:left="851"/>
        <w:rPr>
          <w:rFonts w:eastAsia="SimSun"/>
          <w:sz w:val="24"/>
          <w:szCs w:val="24"/>
          <w:lang w:val="en-GB" w:eastAsia="en-GB"/>
        </w:rPr>
      </w:pPr>
      <w:r w:rsidRPr="003712F0">
        <w:rPr>
          <w:sz w:val="24"/>
          <w:szCs w:val="24"/>
          <w:lang w:val="en-GB"/>
        </w:rPr>
        <w:t xml:space="preserve">For patients switching from co-administration of sitagliptin and metformin, </w:t>
      </w:r>
      <w:proofErr w:type="spellStart"/>
      <w:r w:rsidR="00AB2CF4">
        <w:rPr>
          <w:sz w:val="24"/>
          <w:szCs w:val="24"/>
          <w:lang w:val="en-GB"/>
        </w:rPr>
        <w:t>Glerova</w:t>
      </w:r>
      <w:proofErr w:type="spellEnd"/>
      <w:r w:rsidRPr="003712F0">
        <w:rPr>
          <w:sz w:val="24"/>
          <w:szCs w:val="24"/>
          <w:lang w:val="en-GB"/>
        </w:rPr>
        <w:t xml:space="preserve"> should be initiated at the dose of sitagliptin and metformin already being taken.</w:t>
      </w:r>
    </w:p>
    <w:p w14:paraId="5533E089" w14:textId="77777777" w:rsidR="00094747" w:rsidRPr="003712F0" w:rsidRDefault="00094747" w:rsidP="008C7DB3">
      <w:pPr>
        <w:tabs>
          <w:tab w:val="left" w:pos="1304"/>
        </w:tabs>
        <w:autoSpaceDE w:val="0"/>
        <w:autoSpaceDN w:val="0"/>
        <w:adjustRightInd w:val="0"/>
        <w:ind w:left="851"/>
        <w:rPr>
          <w:rFonts w:eastAsia="SimSun"/>
          <w:sz w:val="24"/>
          <w:szCs w:val="24"/>
          <w:lang w:val="en-GB" w:eastAsia="en-GB"/>
        </w:rPr>
      </w:pPr>
    </w:p>
    <w:p w14:paraId="407CC48A" w14:textId="320237DD" w:rsidR="00094747" w:rsidRPr="003712F0" w:rsidRDefault="00094747" w:rsidP="008C7DB3">
      <w:pPr>
        <w:tabs>
          <w:tab w:val="left" w:pos="1304"/>
        </w:tabs>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For patients inadequately controlled on dual combination therapy with the maximal tolerated dose of</w:t>
      </w:r>
      <w:r w:rsidR="00AB2CF4">
        <w:rPr>
          <w:rFonts w:eastAsia="SimSun"/>
          <w:sz w:val="24"/>
          <w:szCs w:val="24"/>
          <w:u w:val="single"/>
          <w:lang w:val="en-GB" w:eastAsia="en-GB"/>
        </w:rPr>
        <w:t xml:space="preserve"> </w:t>
      </w:r>
      <w:r w:rsidRPr="003712F0">
        <w:rPr>
          <w:rFonts w:eastAsia="SimSun"/>
          <w:sz w:val="24"/>
          <w:szCs w:val="24"/>
          <w:u w:val="single"/>
          <w:lang w:val="en-GB" w:eastAsia="en-GB"/>
        </w:rPr>
        <w:t xml:space="preserve">metformin and a </w:t>
      </w:r>
      <w:proofErr w:type="spellStart"/>
      <w:r w:rsidRPr="003712F0">
        <w:rPr>
          <w:rFonts w:eastAsia="SimSun"/>
          <w:sz w:val="24"/>
          <w:szCs w:val="24"/>
          <w:u w:val="single"/>
          <w:lang w:val="en-GB" w:eastAsia="en-GB"/>
        </w:rPr>
        <w:t>sulphonylurea</w:t>
      </w:r>
      <w:proofErr w:type="spellEnd"/>
    </w:p>
    <w:p w14:paraId="0D8CA62C" w14:textId="1F92B925" w:rsidR="00094747" w:rsidRPr="003712F0" w:rsidRDefault="00094747" w:rsidP="008C7DB3">
      <w:pPr>
        <w:ind w:left="851"/>
        <w:rPr>
          <w:sz w:val="24"/>
          <w:szCs w:val="24"/>
          <w:lang w:val="en-GB" w:eastAsia="en-US"/>
        </w:rPr>
      </w:pPr>
      <w:r w:rsidRPr="003712F0">
        <w:rPr>
          <w:sz w:val="24"/>
          <w:szCs w:val="24"/>
          <w:lang w:val="en-GB"/>
        </w:rPr>
        <w:t xml:space="preserve">The dose should provide sitagliptin dosed as 50 mg twice daily (100 mg total daily dose) and a dose of metformin similar to the dose already being taken. When </w:t>
      </w:r>
      <w:proofErr w:type="spellStart"/>
      <w:r w:rsidR="00AB2CF4">
        <w:rPr>
          <w:sz w:val="24"/>
          <w:szCs w:val="24"/>
          <w:lang w:val="en-GB"/>
        </w:rPr>
        <w:t>Glerova</w:t>
      </w:r>
      <w:proofErr w:type="spellEnd"/>
      <w:r w:rsidRPr="003712F0">
        <w:rPr>
          <w:sz w:val="24"/>
          <w:szCs w:val="24"/>
          <w:lang w:val="en-GB"/>
        </w:rPr>
        <w:t xml:space="preserve"> is used in combination with a </w:t>
      </w:r>
      <w:proofErr w:type="spellStart"/>
      <w:r w:rsidRPr="003712F0">
        <w:rPr>
          <w:sz w:val="24"/>
          <w:szCs w:val="24"/>
          <w:lang w:val="en-GB"/>
        </w:rPr>
        <w:t>sulphonylurea</w:t>
      </w:r>
      <w:proofErr w:type="spellEnd"/>
      <w:r w:rsidRPr="003712F0">
        <w:rPr>
          <w:sz w:val="24"/>
          <w:szCs w:val="24"/>
          <w:lang w:val="en-GB"/>
        </w:rPr>
        <w:t xml:space="preserve">, a lower dose of the </w:t>
      </w:r>
      <w:proofErr w:type="spellStart"/>
      <w:r w:rsidRPr="003712F0">
        <w:rPr>
          <w:sz w:val="24"/>
          <w:szCs w:val="24"/>
          <w:lang w:val="en-GB"/>
        </w:rPr>
        <w:t>sulphonylurea</w:t>
      </w:r>
      <w:proofErr w:type="spellEnd"/>
      <w:r w:rsidRPr="003712F0">
        <w:rPr>
          <w:sz w:val="24"/>
          <w:szCs w:val="24"/>
          <w:lang w:val="en-GB"/>
        </w:rPr>
        <w:t xml:space="preserve"> may be required to reduce the risk of hypoglycaemia (see section 4.4).</w:t>
      </w:r>
    </w:p>
    <w:p w14:paraId="67CF96C3" w14:textId="77777777" w:rsidR="00094747" w:rsidRPr="003712F0" w:rsidRDefault="00094747" w:rsidP="008C7DB3">
      <w:pPr>
        <w:tabs>
          <w:tab w:val="left" w:pos="1304"/>
        </w:tabs>
        <w:autoSpaceDE w:val="0"/>
        <w:autoSpaceDN w:val="0"/>
        <w:adjustRightInd w:val="0"/>
        <w:ind w:left="851"/>
        <w:rPr>
          <w:rFonts w:eastAsia="SimSun"/>
          <w:sz w:val="24"/>
          <w:szCs w:val="24"/>
          <w:lang w:val="en-GB" w:eastAsia="en-GB"/>
        </w:rPr>
      </w:pPr>
    </w:p>
    <w:p w14:paraId="67434475" w14:textId="3C2C4CF6" w:rsidR="00094747" w:rsidRPr="003712F0" w:rsidRDefault="00094747" w:rsidP="008C7DB3">
      <w:pPr>
        <w:tabs>
          <w:tab w:val="left" w:pos="1304"/>
        </w:tabs>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For patients inadequately controlled on dual combination therapy with the maximal tolerated dose of</w:t>
      </w:r>
      <w:r w:rsidR="00AB2CF4">
        <w:rPr>
          <w:rFonts w:eastAsia="SimSun"/>
          <w:sz w:val="24"/>
          <w:szCs w:val="24"/>
          <w:u w:val="single"/>
          <w:lang w:val="en-GB" w:eastAsia="en-GB"/>
        </w:rPr>
        <w:t xml:space="preserve"> </w:t>
      </w:r>
      <w:r w:rsidRPr="003712F0">
        <w:rPr>
          <w:rFonts w:eastAsia="SimSun"/>
          <w:sz w:val="24"/>
          <w:szCs w:val="24"/>
          <w:u w:val="single"/>
          <w:lang w:val="en-GB" w:eastAsia="en-GB"/>
        </w:rPr>
        <w:t>metformin and a PPAR</w:t>
      </w:r>
      <w:r w:rsidRPr="003712F0">
        <w:rPr>
          <w:sz w:val="24"/>
          <w:szCs w:val="24"/>
          <w:lang w:val="en-GB"/>
        </w:rPr>
        <w:sym w:font="Symbol" w:char="F067"/>
      </w:r>
      <w:r w:rsidRPr="003712F0">
        <w:rPr>
          <w:sz w:val="24"/>
          <w:szCs w:val="24"/>
          <w:lang w:val="en-GB"/>
        </w:rPr>
        <w:t xml:space="preserve"> </w:t>
      </w:r>
      <w:r w:rsidRPr="003712F0">
        <w:rPr>
          <w:rFonts w:eastAsia="SimSun"/>
          <w:sz w:val="24"/>
          <w:szCs w:val="24"/>
          <w:u w:val="single"/>
          <w:lang w:val="en-GB" w:eastAsia="en-GB"/>
        </w:rPr>
        <w:t>agonist</w:t>
      </w:r>
    </w:p>
    <w:p w14:paraId="1AA6239C" w14:textId="77777777" w:rsidR="00094747" w:rsidRPr="003712F0" w:rsidRDefault="00094747" w:rsidP="008C7DB3">
      <w:pPr>
        <w:ind w:left="851"/>
        <w:rPr>
          <w:sz w:val="24"/>
          <w:szCs w:val="24"/>
          <w:lang w:val="en-GB" w:eastAsia="en-US"/>
        </w:rPr>
      </w:pPr>
      <w:r w:rsidRPr="003712F0">
        <w:rPr>
          <w:sz w:val="24"/>
          <w:szCs w:val="24"/>
          <w:lang w:val="en-GB"/>
        </w:rPr>
        <w:t xml:space="preserve">The dose should provide sitagliptin dosed as 50 mg twice daily (100 mg total daily dose) and a dose of metformin similar to the dose already being taken. </w:t>
      </w:r>
    </w:p>
    <w:p w14:paraId="72B0C8BF" w14:textId="77777777" w:rsidR="00094747" w:rsidRPr="003712F0" w:rsidRDefault="00094747" w:rsidP="008C7DB3">
      <w:pPr>
        <w:tabs>
          <w:tab w:val="left" w:pos="1304"/>
        </w:tabs>
        <w:autoSpaceDE w:val="0"/>
        <w:autoSpaceDN w:val="0"/>
        <w:adjustRightInd w:val="0"/>
        <w:ind w:left="851"/>
        <w:rPr>
          <w:rFonts w:eastAsia="SimSun"/>
          <w:sz w:val="24"/>
          <w:szCs w:val="24"/>
          <w:lang w:val="en-GB" w:eastAsia="en-GB"/>
        </w:rPr>
      </w:pPr>
    </w:p>
    <w:p w14:paraId="6F2BDF5B" w14:textId="0542FDA5" w:rsidR="00094747" w:rsidRPr="003712F0" w:rsidRDefault="00094747" w:rsidP="008C7DB3">
      <w:pPr>
        <w:tabs>
          <w:tab w:val="left" w:pos="1304"/>
        </w:tabs>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For patients inadequately controlled on dual combination therapy with insulin and the maximal</w:t>
      </w:r>
      <w:r w:rsidR="00AB2CF4">
        <w:rPr>
          <w:rFonts w:eastAsia="SimSun"/>
          <w:sz w:val="24"/>
          <w:szCs w:val="24"/>
          <w:u w:val="single"/>
          <w:lang w:val="en-GB" w:eastAsia="en-GB"/>
        </w:rPr>
        <w:t xml:space="preserve"> </w:t>
      </w:r>
      <w:r w:rsidRPr="003712F0">
        <w:rPr>
          <w:rFonts w:eastAsia="SimSun"/>
          <w:sz w:val="24"/>
          <w:szCs w:val="24"/>
          <w:u w:val="single"/>
          <w:lang w:val="en-GB" w:eastAsia="en-GB"/>
        </w:rPr>
        <w:t>tolerated dose of metformin</w:t>
      </w:r>
    </w:p>
    <w:p w14:paraId="01249C9A" w14:textId="4B034213" w:rsidR="00094747" w:rsidRPr="003712F0" w:rsidRDefault="00094747" w:rsidP="008C7DB3">
      <w:pPr>
        <w:ind w:left="851"/>
        <w:rPr>
          <w:sz w:val="24"/>
          <w:szCs w:val="24"/>
          <w:lang w:val="en-GB" w:eastAsia="en-US"/>
        </w:rPr>
      </w:pPr>
      <w:r w:rsidRPr="003712F0">
        <w:rPr>
          <w:sz w:val="24"/>
          <w:szCs w:val="24"/>
          <w:lang w:val="en-GB"/>
        </w:rPr>
        <w:t xml:space="preserve">The dose should provide sitagliptin dosed as 50 mg twice daily (100 mg total daily dose) and a dose of metformin similar to the dose already being taken. When </w:t>
      </w:r>
      <w:proofErr w:type="spellStart"/>
      <w:r w:rsidR="00AB2CF4">
        <w:rPr>
          <w:sz w:val="24"/>
          <w:szCs w:val="24"/>
          <w:lang w:val="en-GB"/>
        </w:rPr>
        <w:t>Glerova</w:t>
      </w:r>
      <w:proofErr w:type="spellEnd"/>
      <w:r w:rsidRPr="003712F0">
        <w:rPr>
          <w:sz w:val="24"/>
          <w:szCs w:val="24"/>
          <w:lang w:val="en-GB"/>
        </w:rPr>
        <w:t xml:space="preserve"> is used in combination with insulin, a lower dose of insulin may be required to reduce the risk of hypoglycaemia (see section 4.4).</w:t>
      </w:r>
    </w:p>
    <w:p w14:paraId="749871C5" w14:textId="77777777" w:rsidR="00094747" w:rsidRPr="003712F0" w:rsidRDefault="00094747" w:rsidP="008C7DB3">
      <w:pPr>
        <w:ind w:left="851"/>
        <w:rPr>
          <w:sz w:val="24"/>
          <w:szCs w:val="24"/>
          <w:lang w:val="en-GB"/>
        </w:rPr>
      </w:pPr>
    </w:p>
    <w:p w14:paraId="17518AC1" w14:textId="51CAED17" w:rsidR="00094747" w:rsidRPr="003712F0" w:rsidRDefault="00094747" w:rsidP="008C7DB3">
      <w:pPr>
        <w:ind w:left="851"/>
        <w:rPr>
          <w:sz w:val="24"/>
          <w:szCs w:val="24"/>
          <w:lang w:val="en-GB"/>
        </w:rPr>
      </w:pPr>
      <w:r w:rsidRPr="003712F0">
        <w:rPr>
          <w:sz w:val="24"/>
          <w:szCs w:val="24"/>
          <w:lang w:val="en-GB"/>
        </w:rPr>
        <w:lastRenderedPageBreak/>
        <w:t xml:space="preserve">For the different doses on metformin, </w:t>
      </w:r>
      <w:proofErr w:type="spellStart"/>
      <w:r w:rsidR="00AB2CF4">
        <w:rPr>
          <w:sz w:val="24"/>
          <w:szCs w:val="24"/>
          <w:lang w:val="en-GB"/>
        </w:rPr>
        <w:t>Glerova</w:t>
      </w:r>
      <w:proofErr w:type="spellEnd"/>
      <w:r w:rsidRPr="003712F0">
        <w:rPr>
          <w:sz w:val="24"/>
          <w:szCs w:val="24"/>
          <w:lang w:val="en-GB"/>
        </w:rPr>
        <w:t xml:space="preserve"> is available in strengths of 50 mg sitagliptin and 850 mg metformin hydrochloride or 1,000 mg metformin hydrochloride.</w:t>
      </w:r>
    </w:p>
    <w:p w14:paraId="2E44DA9E" w14:textId="77777777" w:rsidR="00094747" w:rsidRPr="003712F0" w:rsidRDefault="00094747" w:rsidP="008C7DB3">
      <w:pPr>
        <w:ind w:left="851"/>
        <w:rPr>
          <w:sz w:val="24"/>
          <w:szCs w:val="24"/>
          <w:lang w:val="en-GB"/>
        </w:rPr>
      </w:pPr>
    </w:p>
    <w:p w14:paraId="2283A456" w14:textId="77777777" w:rsidR="00094747" w:rsidRPr="003712F0" w:rsidRDefault="00094747" w:rsidP="008C7DB3">
      <w:pPr>
        <w:ind w:left="851"/>
        <w:rPr>
          <w:sz w:val="24"/>
          <w:szCs w:val="24"/>
          <w:lang w:val="en-GB"/>
        </w:rPr>
      </w:pPr>
      <w:r w:rsidRPr="003712F0">
        <w:rPr>
          <w:sz w:val="24"/>
          <w:szCs w:val="24"/>
          <w:lang w:val="en-GB"/>
        </w:rPr>
        <w:t>All patients should continue their recommended diet with an adequate distribution of carbohydrate</w:t>
      </w:r>
    </w:p>
    <w:p w14:paraId="2F442EEA" w14:textId="77777777" w:rsidR="00094747" w:rsidRPr="003712F0" w:rsidRDefault="00094747" w:rsidP="008C7DB3">
      <w:pPr>
        <w:ind w:left="851"/>
        <w:rPr>
          <w:sz w:val="24"/>
          <w:szCs w:val="24"/>
          <w:lang w:val="en-GB"/>
        </w:rPr>
      </w:pPr>
      <w:r w:rsidRPr="003712F0">
        <w:rPr>
          <w:sz w:val="24"/>
          <w:szCs w:val="24"/>
          <w:lang w:val="en-GB"/>
        </w:rPr>
        <w:t>intake during the day.</w:t>
      </w:r>
    </w:p>
    <w:p w14:paraId="65C89F45" w14:textId="77777777" w:rsidR="00094747" w:rsidRPr="003712F0" w:rsidRDefault="00094747" w:rsidP="008C7DB3">
      <w:pPr>
        <w:tabs>
          <w:tab w:val="left" w:pos="1304"/>
        </w:tabs>
        <w:autoSpaceDE w:val="0"/>
        <w:autoSpaceDN w:val="0"/>
        <w:adjustRightInd w:val="0"/>
        <w:ind w:left="851"/>
        <w:rPr>
          <w:rFonts w:eastAsia="SimSun"/>
          <w:sz w:val="24"/>
          <w:szCs w:val="24"/>
          <w:lang w:val="en-GB" w:eastAsia="en-GB"/>
        </w:rPr>
      </w:pPr>
    </w:p>
    <w:p w14:paraId="5C931938" w14:textId="77777777" w:rsidR="00094747" w:rsidRPr="003712F0" w:rsidRDefault="00094747" w:rsidP="008C7DB3">
      <w:pPr>
        <w:tabs>
          <w:tab w:val="left" w:pos="1304"/>
        </w:tabs>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Special populations</w:t>
      </w:r>
    </w:p>
    <w:p w14:paraId="123B5C8D" w14:textId="77777777" w:rsidR="00094747" w:rsidRPr="003712F0" w:rsidRDefault="00094747" w:rsidP="008C7DB3">
      <w:pPr>
        <w:tabs>
          <w:tab w:val="left" w:pos="1304"/>
        </w:tabs>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Renal impairment</w:t>
      </w:r>
    </w:p>
    <w:p w14:paraId="4645441C" w14:textId="74981326" w:rsidR="00094747" w:rsidRPr="003712F0" w:rsidRDefault="00094747" w:rsidP="008C7DB3">
      <w:pPr>
        <w:ind w:left="851"/>
        <w:rPr>
          <w:sz w:val="24"/>
          <w:szCs w:val="24"/>
          <w:lang w:val="en-GB"/>
        </w:rPr>
      </w:pPr>
      <w:r w:rsidRPr="003712F0">
        <w:rPr>
          <w:sz w:val="24"/>
          <w:szCs w:val="24"/>
          <w:lang w:val="en-GB"/>
        </w:rPr>
        <w:t>No dose adjustment is needed for patients with mild renal impairment (glomerular filtration rate</w:t>
      </w:r>
      <w:r w:rsidR="00AB2CF4">
        <w:rPr>
          <w:sz w:val="24"/>
          <w:szCs w:val="24"/>
          <w:lang w:val="en-GB"/>
        </w:rPr>
        <w:t xml:space="preserve"> </w:t>
      </w:r>
      <w:r w:rsidRPr="003712F0">
        <w:rPr>
          <w:sz w:val="24"/>
          <w:szCs w:val="24"/>
          <w:lang w:val="en-GB"/>
        </w:rPr>
        <w:t xml:space="preserve">[GFR] </w:t>
      </w:r>
      <w:r w:rsidR="00AB2CF4" w:rsidRPr="00AB2CF4">
        <w:rPr>
          <w:sz w:val="24"/>
          <w:szCs w:val="24"/>
          <w:lang w:val="en-US"/>
        </w:rPr>
        <w:t>≥ </w:t>
      </w:r>
      <w:r w:rsidRPr="003712F0">
        <w:rPr>
          <w:sz w:val="24"/>
          <w:szCs w:val="24"/>
          <w:lang w:val="en-GB"/>
        </w:rPr>
        <w:t>60 mL/min). A GFR should be assessed before initiation of treatment with metformin</w:t>
      </w:r>
      <w:r w:rsidRPr="003712F0">
        <w:rPr>
          <w:sz w:val="24"/>
          <w:szCs w:val="24"/>
          <w:lang w:val="en-GB"/>
        </w:rPr>
        <w:noBreakHyphen/>
        <w:t>containing products and at least annually thereafter. In patients at increased risk of further progression of renal impairment and in the elderly, renal function should be assessed more frequently, e.g. every 3-6 months.</w:t>
      </w:r>
    </w:p>
    <w:p w14:paraId="6A52BCDD" w14:textId="77777777" w:rsidR="00094747" w:rsidRPr="003712F0" w:rsidRDefault="00094747" w:rsidP="008C7DB3">
      <w:pPr>
        <w:tabs>
          <w:tab w:val="left" w:pos="1304"/>
        </w:tabs>
        <w:autoSpaceDE w:val="0"/>
        <w:autoSpaceDN w:val="0"/>
        <w:adjustRightInd w:val="0"/>
        <w:ind w:left="851"/>
        <w:rPr>
          <w:rFonts w:eastAsia="SimSun"/>
          <w:sz w:val="24"/>
          <w:szCs w:val="24"/>
          <w:lang w:val="en-GB" w:eastAsia="en-GB"/>
        </w:rPr>
      </w:pPr>
    </w:p>
    <w:p w14:paraId="03244A33" w14:textId="77777777" w:rsidR="00094747" w:rsidRPr="003712F0" w:rsidRDefault="00094747" w:rsidP="008C7DB3">
      <w:pPr>
        <w:ind w:left="851"/>
        <w:rPr>
          <w:sz w:val="24"/>
          <w:szCs w:val="24"/>
          <w:lang w:val="en-GB" w:eastAsia="en-US"/>
        </w:rPr>
      </w:pPr>
      <w:r w:rsidRPr="003712F0">
        <w:rPr>
          <w:sz w:val="24"/>
          <w:szCs w:val="24"/>
          <w:lang w:val="en-GB"/>
        </w:rPr>
        <w:t>The maximum daily dose of metformin should preferably be divided into 2-3 daily doses. Factors that may increase the risk of lactic acidosis (see section 4.4) should be reviewed before considering initiation of metformin in patients with GFR &lt; 60 mL/min.</w:t>
      </w:r>
    </w:p>
    <w:p w14:paraId="223F26D3" w14:textId="77777777" w:rsidR="00094747" w:rsidRPr="003712F0" w:rsidRDefault="00094747" w:rsidP="008C7DB3">
      <w:pPr>
        <w:ind w:left="851"/>
        <w:rPr>
          <w:sz w:val="24"/>
          <w:szCs w:val="24"/>
          <w:lang w:val="en-GB"/>
        </w:rPr>
      </w:pPr>
    </w:p>
    <w:p w14:paraId="6BC12B24" w14:textId="35F71376" w:rsidR="00094747" w:rsidRPr="003712F0" w:rsidRDefault="00094747" w:rsidP="008C7DB3">
      <w:pPr>
        <w:ind w:left="851"/>
        <w:rPr>
          <w:sz w:val="24"/>
          <w:szCs w:val="24"/>
          <w:lang w:val="en-GB"/>
        </w:rPr>
      </w:pPr>
      <w:r w:rsidRPr="003712F0">
        <w:rPr>
          <w:sz w:val="24"/>
          <w:szCs w:val="24"/>
          <w:lang w:val="en-GB"/>
        </w:rPr>
        <w:t xml:space="preserve">If no adequate strength of </w:t>
      </w:r>
      <w:proofErr w:type="spellStart"/>
      <w:r w:rsidR="00AB2CF4">
        <w:rPr>
          <w:sz w:val="24"/>
          <w:szCs w:val="24"/>
          <w:lang w:val="en-GB"/>
        </w:rPr>
        <w:t>Glerova</w:t>
      </w:r>
      <w:proofErr w:type="spellEnd"/>
      <w:r w:rsidRPr="003712F0">
        <w:rPr>
          <w:sz w:val="24"/>
          <w:szCs w:val="24"/>
          <w:lang w:val="en-GB"/>
        </w:rPr>
        <w:t xml:space="preserve"> is available, individual </w:t>
      </w:r>
      <w:proofErr w:type="spellStart"/>
      <w:r w:rsidRPr="003712F0">
        <w:rPr>
          <w:sz w:val="24"/>
          <w:szCs w:val="24"/>
          <w:lang w:val="en-GB"/>
        </w:rPr>
        <w:t>monocomponents</w:t>
      </w:r>
      <w:proofErr w:type="spellEnd"/>
      <w:r w:rsidRPr="003712F0">
        <w:rPr>
          <w:sz w:val="24"/>
          <w:szCs w:val="24"/>
          <w:lang w:val="en-GB"/>
        </w:rPr>
        <w:t xml:space="preserve"> should be used instead of the fixed-dose combination.</w:t>
      </w:r>
    </w:p>
    <w:p w14:paraId="6CA107A6" w14:textId="77777777" w:rsidR="00094747" w:rsidRPr="003712F0" w:rsidRDefault="00094747" w:rsidP="00094747">
      <w:pPr>
        <w:tabs>
          <w:tab w:val="left" w:pos="1304"/>
        </w:tabs>
        <w:autoSpaceDE w:val="0"/>
        <w:autoSpaceDN w:val="0"/>
        <w:adjustRightInd w:val="0"/>
        <w:rPr>
          <w:sz w:val="24"/>
          <w:szCs w:val="24"/>
          <w:lang w:val="en-GB"/>
        </w:rPr>
      </w:pPr>
    </w:p>
    <w:tbl>
      <w:tblPr>
        <w:tblW w:w="5000" w:type="pct"/>
        <w:tblCellMar>
          <w:top w:w="58" w:type="dxa"/>
          <w:right w:w="115" w:type="dxa"/>
        </w:tblCellMar>
        <w:tblLook w:val="04A0" w:firstRow="1" w:lastRow="0" w:firstColumn="1" w:lastColumn="0" w:noHBand="0" w:noVBand="1"/>
      </w:tblPr>
      <w:tblGrid>
        <w:gridCol w:w="1978"/>
        <w:gridCol w:w="4013"/>
        <w:gridCol w:w="3637"/>
      </w:tblGrid>
      <w:tr w:rsidR="00094747" w:rsidRPr="003712F0" w14:paraId="1E10EAEC" w14:textId="77777777" w:rsidTr="008C7DB3">
        <w:trPr>
          <w:trHeight w:val="550"/>
          <w:tblHeader/>
        </w:trPr>
        <w:tc>
          <w:tcPr>
            <w:tcW w:w="1027" w:type="pct"/>
            <w:tcBorders>
              <w:top w:val="single" w:sz="4" w:space="0" w:color="000000"/>
              <w:left w:val="single" w:sz="4" w:space="0" w:color="000000"/>
              <w:bottom w:val="single" w:sz="4" w:space="0" w:color="000000"/>
              <w:right w:val="single" w:sz="4" w:space="0" w:color="000000"/>
            </w:tcBorders>
            <w:hideMark/>
          </w:tcPr>
          <w:p w14:paraId="78AF6A01" w14:textId="77777777" w:rsidR="00094747" w:rsidRPr="003712F0" w:rsidRDefault="00094747">
            <w:pPr>
              <w:tabs>
                <w:tab w:val="left" w:pos="1304"/>
              </w:tabs>
              <w:autoSpaceDE w:val="0"/>
              <w:autoSpaceDN w:val="0"/>
              <w:adjustRightInd w:val="0"/>
              <w:rPr>
                <w:sz w:val="24"/>
                <w:szCs w:val="24"/>
                <w:lang w:val="en-GB"/>
              </w:rPr>
            </w:pPr>
            <w:r w:rsidRPr="003712F0">
              <w:rPr>
                <w:b/>
                <w:sz w:val="24"/>
                <w:szCs w:val="24"/>
                <w:u w:val="single"/>
                <w:lang w:val="en-GB"/>
              </w:rPr>
              <w:t>GFR mL/min</w:t>
            </w:r>
          </w:p>
        </w:tc>
        <w:tc>
          <w:tcPr>
            <w:tcW w:w="2084" w:type="pct"/>
            <w:tcBorders>
              <w:top w:val="single" w:sz="4" w:space="0" w:color="000000"/>
              <w:left w:val="single" w:sz="4" w:space="0" w:color="000000"/>
              <w:bottom w:val="single" w:sz="4" w:space="0" w:color="000000"/>
              <w:right w:val="single" w:sz="4" w:space="0" w:color="000000"/>
            </w:tcBorders>
            <w:hideMark/>
          </w:tcPr>
          <w:p w14:paraId="7C82AE8E" w14:textId="77777777" w:rsidR="00094747" w:rsidRPr="003712F0" w:rsidRDefault="00094747">
            <w:pPr>
              <w:tabs>
                <w:tab w:val="left" w:pos="1304"/>
              </w:tabs>
              <w:autoSpaceDE w:val="0"/>
              <w:autoSpaceDN w:val="0"/>
              <w:adjustRightInd w:val="0"/>
              <w:rPr>
                <w:sz w:val="24"/>
                <w:szCs w:val="24"/>
                <w:lang w:val="en-GB"/>
              </w:rPr>
            </w:pPr>
            <w:r w:rsidRPr="003712F0">
              <w:rPr>
                <w:b/>
                <w:sz w:val="24"/>
                <w:szCs w:val="24"/>
                <w:u w:val="single"/>
                <w:lang w:val="en-GB"/>
              </w:rPr>
              <w:t>Metformin</w:t>
            </w:r>
          </w:p>
        </w:tc>
        <w:tc>
          <w:tcPr>
            <w:tcW w:w="1889" w:type="pct"/>
            <w:tcBorders>
              <w:top w:val="single" w:sz="4" w:space="0" w:color="000000"/>
              <w:left w:val="single" w:sz="4" w:space="0" w:color="000000"/>
              <w:bottom w:val="single" w:sz="4" w:space="0" w:color="000000"/>
              <w:right w:val="single" w:sz="4" w:space="0" w:color="000000"/>
            </w:tcBorders>
            <w:hideMark/>
          </w:tcPr>
          <w:p w14:paraId="3C6F8A14" w14:textId="77777777" w:rsidR="00094747" w:rsidRPr="003712F0" w:rsidRDefault="00094747">
            <w:pPr>
              <w:tabs>
                <w:tab w:val="left" w:pos="1304"/>
              </w:tabs>
              <w:autoSpaceDE w:val="0"/>
              <w:autoSpaceDN w:val="0"/>
              <w:adjustRightInd w:val="0"/>
              <w:rPr>
                <w:sz w:val="24"/>
                <w:szCs w:val="24"/>
                <w:lang w:val="en-GB"/>
              </w:rPr>
            </w:pPr>
            <w:r w:rsidRPr="003712F0">
              <w:rPr>
                <w:b/>
                <w:sz w:val="24"/>
                <w:szCs w:val="24"/>
                <w:u w:val="single"/>
                <w:lang w:val="en-GB"/>
              </w:rPr>
              <w:t>Sitagliptin</w:t>
            </w:r>
          </w:p>
        </w:tc>
      </w:tr>
      <w:tr w:rsidR="00094747" w:rsidRPr="006B4708" w14:paraId="62637509" w14:textId="77777777" w:rsidTr="008C7DB3">
        <w:trPr>
          <w:trHeight w:val="890"/>
        </w:trPr>
        <w:tc>
          <w:tcPr>
            <w:tcW w:w="1027" w:type="pct"/>
            <w:tcBorders>
              <w:top w:val="single" w:sz="4" w:space="0" w:color="000000"/>
              <w:left w:val="single" w:sz="4" w:space="0" w:color="000000"/>
              <w:bottom w:val="single" w:sz="4" w:space="0" w:color="000000"/>
              <w:right w:val="single" w:sz="4" w:space="0" w:color="000000"/>
            </w:tcBorders>
            <w:hideMark/>
          </w:tcPr>
          <w:p w14:paraId="0A11286B"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60-89</w:t>
            </w:r>
          </w:p>
        </w:tc>
        <w:tc>
          <w:tcPr>
            <w:tcW w:w="2084" w:type="pct"/>
            <w:tcBorders>
              <w:top w:val="single" w:sz="4" w:space="0" w:color="000000"/>
              <w:left w:val="single" w:sz="4" w:space="0" w:color="000000"/>
              <w:bottom w:val="single" w:sz="4" w:space="0" w:color="000000"/>
              <w:right w:val="single" w:sz="4" w:space="0" w:color="000000"/>
            </w:tcBorders>
            <w:hideMark/>
          </w:tcPr>
          <w:p w14:paraId="4F484BB0"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Maximum daily dose is 3,000 mg. Dose reduction may be considered in relation to declining renal function.</w:t>
            </w:r>
          </w:p>
        </w:tc>
        <w:tc>
          <w:tcPr>
            <w:tcW w:w="1889" w:type="pct"/>
            <w:tcBorders>
              <w:top w:val="single" w:sz="4" w:space="0" w:color="000000"/>
              <w:left w:val="single" w:sz="4" w:space="0" w:color="000000"/>
              <w:bottom w:val="single" w:sz="4" w:space="0" w:color="000000"/>
              <w:right w:val="single" w:sz="4" w:space="0" w:color="000000"/>
            </w:tcBorders>
            <w:hideMark/>
          </w:tcPr>
          <w:p w14:paraId="238C8F55"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Maximum daily dose is 100 mg.</w:t>
            </w:r>
          </w:p>
        </w:tc>
      </w:tr>
      <w:tr w:rsidR="00094747" w:rsidRPr="006B4708" w14:paraId="5175722C" w14:textId="77777777" w:rsidTr="008C7DB3">
        <w:trPr>
          <w:trHeight w:val="890"/>
        </w:trPr>
        <w:tc>
          <w:tcPr>
            <w:tcW w:w="1027" w:type="pct"/>
            <w:tcBorders>
              <w:top w:val="single" w:sz="4" w:space="0" w:color="000000"/>
              <w:left w:val="single" w:sz="4" w:space="0" w:color="000000"/>
              <w:bottom w:val="single" w:sz="4" w:space="0" w:color="000000"/>
              <w:right w:val="single" w:sz="4" w:space="0" w:color="000000"/>
            </w:tcBorders>
            <w:hideMark/>
          </w:tcPr>
          <w:p w14:paraId="1C8DCD36"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45-59</w:t>
            </w:r>
          </w:p>
        </w:tc>
        <w:tc>
          <w:tcPr>
            <w:tcW w:w="2084" w:type="pct"/>
            <w:tcBorders>
              <w:top w:val="single" w:sz="4" w:space="0" w:color="000000"/>
              <w:left w:val="single" w:sz="4" w:space="0" w:color="000000"/>
              <w:bottom w:val="single" w:sz="4" w:space="0" w:color="000000"/>
              <w:right w:val="single" w:sz="4" w:space="0" w:color="000000"/>
            </w:tcBorders>
            <w:hideMark/>
          </w:tcPr>
          <w:p w14:paraId="07065C86"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Maximum daily dose is 2,000 mg.</w:t>
            </w:r>
          </w:p>
          <w:p w14:paraId="1A18343C"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The starting dose is at most half of the maximum dose.</w:t>
            </w:r>
          </w:p>
        </w:tc>
        <w:tc>
          <w:tcPr>
            <w:tcW w:w="1889" w:type="pct"/>
            <w:tcBorders>
              <w:top w:val="single" w:sz="4" w:space="0" w:color="000000"/>
              <w:left w:val="single" w:sz="4" w:space="0" w:color="000000"/>
              <w:bottom w:val="single" w:sz="4" w:space="0" w:color="000000"/>
              <w:right w:val="single" w:sz="4" w:space="0" w:color="000000"/>
            </w:tcBorders>
            <w:hideMark/>
          </w:tcPr>
          <w:p w14:paraId="2D989413"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Maximum daily dose is 100 mg.</w:t>
            </w:r>
          </w:p>
        </w:tc>
      </w:tr>
      <w:tr w:rsidR="00094747" w:rsidRPr="006B4708" w14:paraId="3D14799C" w14:textId="77777777" w:rsidTr="008C7DB3">
        <w:trPr>
          <w:trHeight w:val="890"/>
        </w:trPr>
        <w:tc>
          <w:tcPr>
            <w:tcW w:w="1027" w:type="pct"/>
            <w:tcBorders>
              <w:top w:val="single" w:sz="4" w:space="0" w:color="000000"/>
              <w:left w:val="single" w:sz="4" w:space="0" w:color="000000"/>
              <w:bottom w:val="single" w:sz="4" w:space="0" w:color="000000"/>
              <w:right w:val="single" w:sz="4" w:space="0" w:color="000000"/>
            </w:tcBorders>
            <w:hideMark/>
          </w:tcPr>
          <w:p w14:paraId="21A9D096"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30-44</w:t>
            </w:r>
          </w:p>
        </w:tc>
        <w:tc>
          <w:tcPr>
            <w:tcW w:w="2084" w:type="pct"/>
            <w:tcBorders>
              <w:top w:val="single" w:sz="4" w:space="0" w:color="000000"/>
              <w:left w:val="single" w:sz="4" w:space="0" w:color="000000"/>
              <w:bottom w:val="single" w:sz="4" w:space="0" w:color="000000"/>
              <w:right w:val="single" w:sz="4" w:space="0" w:color="000000"/>
            </w:tcBorders>
            <w:hideMark/>
          </w:tcPr>
          <w:p w14:paraId="0AB3D2BA"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Maximum daily dose is 1,000 mg.</w:t>
            </w:r>
          </w:p>
          <w:p w14:paraId="2FA7E0F2"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The starting dose is at most half of the maximum dose.</w:t>
            </w:r>
          </w:p>
        </w:tc>
        <w:tc>
          <w:tcPr>
            <w:tcW w:w="1889" w:type="pct"/>
            <w:tcBorders>
              <w:top w:val="single" w:sz="4" w:space="0" w:color="000000"/>
              <w:left w:val="single" w:sz="4" w:space="0" w:color="000000"/>
              <w:bottom w:val="single" w:sz="4" w:space="0" w:color="000000"/>
              <w:right w:val="single" w:sz="4" w:space="0" w:color="000000"/>
            </w:tcBorders>
            <w:hideMark/>
          </w:tcPr>
          <w:p w14:paraId="566D604E"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Maximum daily dose is 50 mg.</w:t>
            </w:r>
          </w:p>
        </w:tc>
      </w:tr>
      <w:tr w:rsidR="00094747" w:rsidRPr="006B4708" w14:paraId="1E446674" w14:textId="77777777" w:rsidTr="008C7DB3">
        <w:trPr>
          <w:trHeight w:val="458"/>
        </w:trPr>
        <w:tc>
          <w:tcPr>
            <w:tcW w:w="1027" w:type="pct"/>
            <w:tcBorders>
              <w:top w:val="single" w:sz="4" w:space="0" w:color="000000"/>
              <w:left w:val="single" w:sz="4" w:space="0" w:color="000000"/>
              <w:bottom w:val="single" w:sz="4" w:space="0" w:color="000000"/>
              <w:right w:val="single" w:sz="4" w:space="0" w:color="000000"/>
            </w:tcBorders>
            <w:hideMark/>
          </w:tcPr>
          <w:p w14:paraId="558A3761"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&lt; 30</w:t>
            </w:r>
          </w:p>
        </w:tc>
        <w:tc>
          <w:tcPr>
            <w:tcW w:w="2084" w:type="pct"/>
            <w:tcBorders>
              <w:top w:val="single" w:sz="4" w:space="0" w:color="000000"/>
              <w:left w:val="single" w:sz="4" w:space="0" w:color="000000"/>
              <w:bottom w:val="single" w:sz="4" w:space="0" w:color="000000"/>
              <w:right w:val="single" w:sz="4" w:space="0" w:color="000000"/>
            </w:tcBorders>
            <w:hideMark/>
          </w:tcPr>
          <w:p w14:paraId="327B58AF"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Metformin is contraindicated.</w:t>
            </w:r>
          </w:p>
        </w:tc>
        <w:tc>
          <w:tcPr>
            <w:tcW w:w="1889" w:type="pct"/>
            <w:tcBorders>
              <w:top w:val="single" w:sz="4" w:space="0" w:color="000000"/>
              <w:left w:val="single" w:sz="4" w:space="0" w:color="000000"/>
              <w:bottom w:val="single" w:sz="4" w:space="0" w:color="000000"/>
              <w:right w:val="single" w:sz="4" w:space="0" w:color="000000"/>
            </w:tcBorders>
            <w:hideMark/>
          </w:tcPr>
          <w:p w14:paraId="41060040" w14:textId="77777777" w:rsidR="00094747" w:rsidRPr="003712F0" w:rsidRDefault="00094747">
            <w:pPr>
              <w:tabs>
                <w:tab w:val="left" w:pos="1304"/>
              </w:tabs>
              <w:autoSpaceDE w:val="0"/>
              <w:autoSpaceDN w:val="0"/>
              <w:adjustRightInd w:val="0"/>
              <w:rPr>
                <w:sz w:val="24"/>
                <w:szCs w:val="24"/>
                <w:lang w:val="en-GB"/>
              </w:rPr>
            </w:pPr>
            <w:r w:rsidRPr="003712F0">
              <w:rPr>
                <w:i/>
                <w:sz w:val="24"/>
                <w:szCs w:val="24"/>
                <w:lang w:val="en-GB"/>
              </w:rPr>
              <w:t>Maximum daily dose is 25 mg.</w:t>
            </w:r>
          </w:p>
        </w:tc>
      </w:tr>
    </w:tbl>
    <w:p w14:paraId="411B2364" w14:textId="77777777" w:rsidR="00094747" w:rsidRPr="003712F0" w:rsidRDefault="00094747" w:rsidP="00094747">
      <w:pPr>
        <w:tabs>
          <w:tab w:val="left" w:pos="1304"/>
        </w:tabs>
        <w:autoSpaceDE w:val="0"/>
        <w:autoSpaceDN w:val="0"/>
        <w:adjustRightInd w:val="0"/>
        <w:rPr>
          <w:sz w:val="24"/>
          <w:szCs w:val="24"/>
          <w:lang w:val="en-GB" w:eastAsia="en-US"/>
        </w:rPr>
      </w:pPr>
    </w:p>
    <w:p w14:paraId="49299675" w14:textId="77777777" w:rsidR="00094747" w:rsidRPr="003712F0" w:rsidRDefault="00094747" w:rsidP="008C7DB3">
      <w:pPr>
        <w:autoSpaceDE w:val="0"/>
        <w:autoSpaceDN w:val="0"/>
        <w:adjustRightInd w:val="0"/>
        <w:ind w:left="851"/>
        <w:rPr>
          <w:sz w:val="24"/>
          <w:szCs w:val="24"/>
          <w:lang w:val="en-GB"/>
        </w:rPr>
      </w:pPr>
      <w:r w:rsidRPr="003712F0">
        <w:rPr>
          <w:rFonts w:eastAsia="SimSun"/>
          <w:i/>
          <w:iCs/>
          <w:sz w:val="24"/>
          <w:szCs w:val="24"/>
          <w:lang w:val="en-GB" w:eastAsia="en-GB"/>
        </w:rPr>
        <w:t>Hepatic impairment</w:t>
      </w:r>
    </w:p>
    <w:p w14:paraId="5B7DEC41" w14:textId="6F5AE81E" w:rsidR="00094747" w:rsidRPr="003712F0" w:rsidRDefault="00AB2CF4" w:rsidP="008C7DB3">
      <w:pPr>
        <w:ind w:left="851"/>
        <w:rPr>
          <w:sz w:val="24"/>
          <w:szCs w:val="24"/>
          <w:lang w:val="en-GB"/>
        </w:rPr>
      </w:pPr>
      <w:proofErr w:type="spellStart"/>
      <w:r>
        <w:rPr>
          <w:sz w:val="24"/>
          <w:szCs w:val="24"/>
          <w:lang w:val="en-GB"/>
        </w:rPr>
        <w:t>Glerova</w:t>
      </w:r>
      <w:proofErr w:type="spellEnd"/>
      <w:r w:rsidR="00094747" w:rsidRPr="003712F0">
        <w:rPr>
          <w:sz w:val="24"/>
          <w:szCs w:val="24"/>
          <w:lang w:val="en-GB"/>
        </w:rPr>
        <w:t xml:space="preserve"> must not be used in patients with hepatic impairment (see section 5.2).</w:t>
      </w:r>
    </w:p>
    <w:p w14:paraId="08DD6D15" w14:textId="77777777" w:rsidR="00094747" w:rsidRPr="003712F0" w:rsidRDefault="00094747" w:rsidP="008C7DB3">
      <w:pPr>
        <w:autoSpaceDE w:val="0"/>
        <w:autoSpaceDN w:val="0"/>
        <w:adjustRightInd w:val="0"/>
        <w:ind w:left="851"/>
        <w:rPr>
          <w:rFonts w:eastAsia="SimSun"/>
          <w:sz w:val="24"/>
          <w:szCs w:val="24"/>
          <w:lang w:val="en-GB" w:eastAsia="en-GB"/>
        </w:rPr>
      </w:pPr>
    </w:p>
    <w:p w14:paraId="31AE6E96"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Elderly</w:t>
      </w:r>
    </w:p>
    <w:p w14:paraId="0BD52D90" w14:textId="2AD75A40" w:rsidR="00094747" w:rsidRPr="003712F0" w:rsidRDefault="00094747" w:rsidP="008C7DB3">
      <w:pPr>
        <w:ind w:left="851"/>
        <w:rPr>
          <w:sz w:val="24"/>
          <w:szCs w:val="24"/>
          <w:lang w:val="en-GB" w:eastAsia="en-US"/>
        </w:rPr>
      </w:pPr>
      <w:r w:rsidRPr="003712F0">
        <w:rPr>
          <w:sz w:val="24"/>
          <w:szCs w:val="24"/>
          <w:lang w:val="en-GB"/>
        </w:rPr>
        <w:t xml:space="preserve">As metformin and sitagliptin are excreted by the kidney, </w:t>
      </w:r>
      <w:proofErr w:type="spellStart"/>
      <w:r w:rsidR="00AB2CF4">
        <w:rPr>
          <w:sz w:val="24"/>
          <w:szCs w:val="24"/>
          <w:lang w:val="en-GB"/>
        </w:rPr>
        <w:t>Glerova</w:t>
      </w:r>
      <w:proofErr w:type="spellEnd"/>
      <w:r w:rsidRPr="003712F0">
        <w:rPr>
          <w:sz w:val="24"/>
          <w:szCs w:val="24"/>
          <w:lang w:val="en-GB"/>
        </w:rPr>
        <w:t xml:space="preserve"> should be used with caution as age increases. Monitoring of renal function is necessary to aid in prevention of metformin-associated lactic acidosis, particularly in the elderly (see sections 4.3 and 4.4).</w:t>
      </w:r>
    </w:p>
    <w:p w14:paraId="0C41A237" w14:textId="77777777" w:rsidR="00094747" w:rsidRPr="003712F0" w:rsidRDefault="00094747" w:rsidP="008C7DB3">
      <w:pPr>
        <w:autoSpaceDE w:val="0"/>
        <w:autoSpaceDN w:val="0"/>
        <w:adjustRightInd w:val="0"/>
        <w:ind w:left="851"/>
        <w:rPr>
          <w:rFonts w:eastAsia="SimSun"/>
          <w:sz w:val="24"/>
          <w:szCs w:val="24"/>
          <w:lang w:val="en-GB" w:eastAsia="en-GB"/>
        </w:rPr>
      </w:pPr>
    </w:p>
    <w:p w14:paraId="4CF8D499"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Paediatric population</w:t>
      </w:r>
    </w:p>
    <w:p w14:paraId="0100C967" w14:textId="74469AD8" w:rsidR="00094747" w:rsidRPr="003712F0" w:rsidRDefault="00AB2CF4" w:rsidP="008C7DB3">
      <w:pPr>
        <w:ind w:left="851"/>
        <w:rPr>
          <w:sz w:val="24"/>
          <w:szCs w:val="24"/>
          <w:lang w:val="en-GB" w:eastAsia="en-US"/>
        </w:rPr>
      </w:pPr>
      <w:proofErr w:type="spellStart"/>
      <w:r>
        <w:rPr>
          <w:sz w:val="24"/>
          <w:szCs w:val="24"/>
          <w:lang w:val="en-GB"/>
        </w:rPr>
        <w:t>Glerova</w:t>
      </w:r>
      <w:proofErr w:type="spellEnd"/>
      <w:r w:rsidR="00094747" w:rsidRPr="003712F0">
        <w:rPr>
          <w:sz w:val="24"/>
          <w:szCs w:val="24"/>
          <w:lang w:val="en-GB"/>
        </w:rPr>
        <w:t xml:space="preserve"> should not be used in children and adolescents 10 to 17 years of age because of insufficient efficacy. Currently available data are described in sections 4.8, 5.1, and 5.2. </w:t>
      </w:r>
      <w:proofErr w:type="spellStart"/>
      <w:r>
        <w:rPr>
          <w:sz w:val="24"/>
          <w:szCs w:val="24"/>
          <w:lang w:val="en-GB"/>
        </w:rPr>
        <w:t>Glerova</w:t>
      </w:r>
      <w:proofErr w:type="spellEnd"/>
      <w:r w:rsidR="00094747" w:rsidRPr="003712F0">
        <w:rPr>
          <w:sz w:val="24"/>
          <w:szCs w:val="24"/>
          <w:lang w:val="en-GB"/>
        </w:rPr>
        <w:t xml:space="preserve"> has not been studied in paediatric patients under 10 years of age.</w:t>
      </w:r>
    </w:p>
    <w:p w14:paraId="163B2367" w14:textId="77777777" w:rsidR="00094747" w:rsidRPr="003712F0" w:rsidRDefault="00094747" w:rsidP="008C7DB3">
      <w:pPr>
        <w:autoSpaceDE w:val="0"/>
        <w:autoSpaceDN w:val="0"/>
        <w:adjustRightInd w:val="0"/>
        <w:ind w:left="851"/>
        <w:rPr>
          <w:rFonts w:eastAsia="SimSun"/>
          <w:sz w:val="24"/>
          <w:szCs w:val="24"/>
          <w:lang w:val="en-GB" w:eastAsia="en-GB"/>
        </w:rPr>
      </w:pPr>
    </w:p>
    <w:p w14:paraId="75C9D59F"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Method of administration</w:t>
      </w:r>
    </w:p>
    <w:p w14:paraId="5B152ABC" w14:textId="0535A500" w:rsidR="00094747" w:rsidRPr="003712F0" w:rsidRDefault="00AB2CF4" w:rsidP="008C7DB3">
      <w:pPr>
        <w:ind w:left="851"/>
        <w:rPr>
          <w:sz w:val="24"/>
          <w:szCs w:val="24"/>
          <w:lang w:val="en-GB" w:eastAsia="en-US"/>
        </w:rPr>
      </w:pPr>
      <w:proofErr w:type="spellStart"/>
      <w:r>
        <w:rPr>
          <w:sz w:val="24"/>
          <w:szCs w:val="24"/>
          <w:lang w:val="en-GB"/>
        </w:rPr>
        <w:t>Glerova</w:t>
      </w:r>
      <w:proofErr w:type="spellEnd"/>
      <w:r w:rsidR="00094747" w:rsidRPr="003712F0">
        <w:rPr>
          <w:sz w:val="24"/>
          <w:szCs w:val="24"/>
          <w:lang w:val="en-GB"/>
        </w:rPr>
        <w:t xml:space="preserve"> should be given twice daily with meals to reduce the gastrointestinal adverse reactions associated with metformin.</w:t>
      </w:r>
    </w:p>
    <w:p w14:paraId="1743DA2B" w14:textId="77777777" w:rsidR="007C5D2A" w:rsidRPr="003712F0" w:rsidRDefault="007C5D2A" w:rsidP="00A85D26">
      <w:pPr>
        <w:tabs>
          <w:tab w:val="left" w:pos="851"/>
        </w:tabs>
        <w:ind w:left="851"/>
        <w:rPr>
          <w:sz w:val="24"/>
          <w:szCs w:val="24"/>
          <w:lang w:val="en-GB"/>
        </w:rPr>
      </w:pPr>
    </w:p>
    <w:p w14:paraId="211566AF" w14:textId="77777777" w:rsidR="007C5D2A" w:rsidRPr="003712F0" w:rsidRDefault="007C5D2A" w:rsidP="007C5D2A">
      <w:pPr>
        <w:tabs>
          <w:tab w:val="left" w:pos="851"/>
        </w:tabs>
        <w:ind w:left="851" w:hanging="851"/>
        <w:rPr>
          <w:b/>
          <w:sz w:val="24"/>
          <w:szCs w:val="24"/>
          <w:lang w:val="en-GB"/>
        </w:rPr>
      </w:pPr>
      <w:r w:rsidRPr="003712F0">
        <w:rPr>
          <w:b/>
          <w:sz w:val="24"/>
          <w:szCs w:val="24"/>
          <w:lang w:val="en-GB"/>
        </w:rPr>
        <w:t>4.3</w:t>
      </w:r>
      <w:r w:rsidRPr="003712F0">
        <w:rPr>
          <w:b/>
          <w:sz w:val="24"/>
          <w:szCs w:val="24"/>
          <w:lang w:val="en-GB"/>
        </w:rPr>
        <w:tab/>
        <w:t>Contraindications</w:t>
      </w:r>
    </w:p>
    <w:p w14:paraId="09BDC5EA" w14:textId="77777777" w:rsidR="00094747" w:rsidRPr="003712F0" w:rsidRDefault="00094747" w:rsidP="008C7DB3">
      <w:pPr>
        <w:ind w:left="851"/>
        <w:rPr>
          <w:sz w:val="24"/>
          <w:szCs w:val="24"/>
          <w:lang w:val="en-GB"/>
        </w:rPr>
      </w:pPr>
      <w:r w:rsidRPr="003712F0">
        <w:rPr>
          <w:sz w:val="24"/>
          <w:szCs w:val="24"/>
          <w:lang w:val="en-GB"/>
        </w:rPr>
        <w:t>Sitagliptin/Metformin is contraindicated in patients with:</w:t>
      </w:r>
    </w:p>
    <w:p w14:paraId="505E6AFD" w14:textId="77777777" w:rsidR="00094747" w:rsidRPr="003712F0" w:rsidRDefault="00094747" w:rsidP="008C7DB3">
      <w:pPr>
        <w:ind w:left="851"/>
        <w:rPr>
          <w:sz w:val="24"/>
          <w:szCs w:val="24"/>
          <w:lang w:val="en-GB"/>
        </w:rPr>
      </w:pPr>
    </w:p>
    <w:p w14:paraId="513B429A" w14:textId="77777777" w:rsidR="00094747" w:rsidRPr="003712F0" w:rsidRDefault="00094747" w:rsidP="00AB2CF4">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hypersensitivity to the active substances or to any of the excipients listed in section 6.1 (see sections 4.4 and 4.8);</w:t>
      </w:r>
    </w:p>
    <w:p w14:paraId="6976EDDA" w14:textId="77777777" w:rsidR="00094747" w:rsidRPr="003712F0" w:rsidRDefault="00094747" w:rsidP="00AB2CF4">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any type of acute metabolic acidosis (such as lactic acidosis, diabetic ketoacidosis);</w:t>
      </w:r>
    </w:p>
    <w:p w14:paraId="128FB138" w14:textId="77777777" w:rsidR="00094747" w:rsidRPr="003712F0" w:rsidRDefault="00094747" w:rsidP="00AB2CF4">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diabetic pre-coma;</w:t>
      </w:r>
    </w:p>
    <w:p w14:paraId="2D8E6FD6" w14:textId="77777777" w:rsidR="00094747" w:rsidRPr="003712F0" w:rsidRDefault="00094747" w:rsidP="00AB2CF4">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severe renal failure (GFR&lt; 30 mL/min) (see section 4.4);</w:t>
      </w:r>
    </w:p>
    <w:p w14:paraId="4C652AF3" w14:textId="77777777" w:rsidR="00094747" w:rsidRPr="003712F0" w:rsidRDefault="00094747" w:rsidP="00AB2CF4">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acute conditions with the potential to alter renal function such as:</w:t>
      </w:r>
    </w:p>
    <w:p w14:paraId="602D8DAF" w14:textId="77777777" w:rsidR="00094747" w:rsidRPr="003712F0" w:rsidRDefault="00094747" w:rsidP="00AB2CF4">
      <w:pPr>
        <w:ind w:left="1701"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dehydration,</w:t>
      </w:r>
    </w:p>
    <w:p w14:paraId="4EA15182" w14:textId="77777777" w:rsidR="00094747" w:rsidRPr="003712F0" w:rsidRDefault="00094747" w:rsidP="00AB2CF4">
      <w:pPr>
        <w:ind w:left="1701"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severe infection,</w:t>
      </w:r>
    </w:p>
    <w:p w14:paraId="1DC0C763" w14:textId="77777777" w:rsidR="00094747" w:rsidRPr="003712F0" w:rsidRDefault="00094747" w:rsidP="00AB2CF4">
      <w:pPr>
        <w:ind w:left="1701"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shock,</w:t>
      </w:r>
    </w:p>
    <w:p w14:paraId="07ADEEAB" w14:textId="77777777" w:rsidR="00094747" w:rsidRPr="003712F0" w:rsidRDefault="00094747" w:rsidP="00AB2CF4">
      <w:pPr>
        <w:ind w:left="1701"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intravascular administration of iodinated contrast agents (see section 4.4);</w:t>
      </w:r>
    </w:p>
    <w:p w14:paraId="36A9D776"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acute or chronic disease which may cause tissue hypoxia such as:</w:t>
      </w:r>
    </w:p>
    <w:p w14:paraId="2CBB8C55" w14:textId="77777777" w:rsidR="00094747" w:rsidRPr="003712F0" w:rsidRDefault="00094747" w:rsidP="00AB2CF4">
      <w:pPr>
        <w:ind w:left="1701"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cardiac or respiratory failure,</w:t>
      </w:r>
    </w:p>
    <w:p w14:paraId="320350C7" w14:textId="77777777" w:rsidR="00094747" w:rsidRPr="003712F0" w:rsidRDefault="00094747" w:rsidP="00AB2CF4">
      <w:pPr>
        <w:ind w:left="1701"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recent myocardial infarction,</w:t>
      </w:r>
    </w:p>
    <w:p w14:paraId="443EA91A" w14:textId="77777777" w:rsidR="00094747" w:rsidRPr="003712F0" w:rsidRDefault="00094747" w:rsidP="00AB2CF4">
      <w:pPr>
        <w:ind w:left="1701"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shock;</w:t>
      </w:r>
    </w:p>
    <w:p w14:paraId="32EA16E0"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hepatic impairment;</w:t>
      </w:r>
    </w:p>
    <w:p w14:paraId="597C4D57"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acute alcohol intoxication, alcoholism;</w:t>
      </w:r>
    </w:p>
    <w:p w14:paraId="10AFE4C4"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breast-feeding.</w:t>
      </w:r>
    </w:p>
    <w:p w14:paraId="22C06DC3" w14:textId="77777777" w:rsidR="007C5D2A" w:rsidRPr="003712F0" w:rsidRDefault="007C5D2A" w:rsidP="003E0341">
      <w:pPr>
        <w:tabs>
          <w:tab w:val="left" w:pos="851"/>
        </w:tabs>
        <w:ind w:left="851"/>
        <w:rPr>
          <w:sz w:val="24"/>
          <w:szCs w:val="24"/>
          <w:lang w:val="en-GB"/>
        </w:rPr>
      </w:pPr>
    </w:p>
    <w:p w14:paraId="4B3FA143" w14:textId="77777777" w:rsidR="007C5D2A" w:rsidRPr="003712F0" w:rsidRDefault="007C5D2A" w:rsidP="007C5D2A">
      <w:pPr>
        <w:tabs>
          <w:tab w:val="left" w:pos="851"/>
        </w:tabs>
        <w:rPr>
          <w:b/>
          <w:sz w:val="24"/>
          <w:szCs w:val="24"/>
          <w:lang w:val="en-GB"/>
        </w:rPr>
      </w:pPr>
      <w:r w:rsidRPr="003712F0">
        <w:rPr>
          <w:b/>
          <w:sz w:val="24"/>
          <w:szCs w:val="24"/>
          <w:lang w:val="en-GB"/>
        </w:rPr>
        <w:t>4.4</w:t>
      </w:r>
      <w:r w:rsidRPr="003712F0">
        <w:rPr>
          <w:b/>
          <w:sz w:val="24"/>
          <w:szCs w:val="24"/>
          <w:lang w:val="en-GB"/>
        </w:rPr>
        <w:tab/>
        <w:t>Special warnings and precautions for use</w:t>
      </w:r>
    </w:p>
    <w:p w14:paraId="3B3FAB8E" w14:textId="77777777" w:rsidR="00651574" w:rsidRPr="003712F0" w:rsidRDefault="00651574" w:rsidP="008C7DB3">
      <w:pPr>
        <w:autoSpaceDE w:val="0"/>
        <w:autoSpaceDN w:val="0"/>
        <w:adjustRightInd w:val="0"/>
        <w:ind w:left="851"/>
        <w:rPr>
          <w:rFonts w:eastAsia="SimSun"/>
          <w:sz w:val="24"/>
          <w:szCs w:val="24"/>
          <w:u w:val="single"/>
          <w:lang w:val="en-GB" w:eastAsia="en-GB"/>
        </w:rPr>
      </w:pPr>
    </w:p>
    <w:p w14:paraId="5CC00D58" w14:textId="2684445F"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General</w:t>
      </w:r>
    </w:p>
    <w:p w14:paraId="4ECCDFA8" w14:textId="179C2A0F"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Sitagliptin/</w:t>
      </w:r>
      <w:r w:rsidR="001E6344">
        <w:rPr>
          <w:rFonts w:eastAsia="SimSun"/>
          <w:sz w:val="24"/>
          <w:szCs w:val="24"/>
          <w:lang w:val="en-GB" w:eastAsia="en-GB"/>
        </w:rPr>
        <w:t>M</w:t>
      </w:r>
      <w:r w:rsidRPr="003712F0">
        <w:rPr>
          <w:rFonts w:eastAsia="SimSun"/>
          <w:sz w:val="24"/>
          <w:szCs w:val="24"/>
          <w:lang w:val="en-GB" w:eastAsia="en-GB"/>
        </w:rPr>
        <w:t>etformin should not be used in patients with type 1 diabetes and must not be used for the treatment of diabetic ketoacidosis.</w:t>
      </w:r>
    </w:p>
    <w:p w14:paraId="24ACFF15" w14:textId="77777777" w:rsidR="00094747" w:rsidRPr="003712F0" w:rsidRDefault="00094747" w:rsidP="008C7DB3">
      <w:pPr>
        <w:autoSpaceDE w:val="0"/>
        <w:autoSpaceDN w:val="0"/>
        <w:adjustRightInd w:val="0"/>
        <w:ind w:left="851"/>
        <w:rPr>
          <w:rFonts w:eastAsia="SimSun"/>
          <w:sz w:val="24"/>
          <w:szCs w:val="24"/>
          <w:lang w:val="en-GB" w:eastAsia="en-GB"/>
        </w:rPr>
      </w:pPr>
    </w:p>
    <w:p w14:paraId="1BC2944F"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Acute pancreatitis</w:t>
      </w:r>
    </w:p>
    <w:p w14:paraId="12C05FB6"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Use of DPP-4 inhibitors has been associated with a risk of developing acute pancreatitis. Patients should be informed of the characteristic symptom of acute pancreatitis: persistent, severe abdominal pain. Resolution of pancreatitis has been observed after discontinuation of sitagliptin (with or without supportive treatment), but very rare cases of necrotising or haemorrhagic pancreatitis and/or death have been reported. If pancreatitis is suspected, sitagliptin/metformin and other potentially suspect medicinal products should be discontinued; if acute pancreatitis is confirmed, sitagliptin/metformin should not be restarted. Caution should be exercised in patients with a history of pancreatitis.</w:t>
      </w:r>
    </w:p>
    <w:p w14:paraId="792487C1" w14:textId="77777777" w:rsidR="00094747" w:rsidRPr="003712F0" w:rsidRDefault="00094747" w:rsidP="008C7DB3">
      <w:pPr>
        <w:autoSpaceDE w:val="0"/>
        <w:autoSpaceDN w:val="0"/>
        <w:adjustRightInd w:val="0"/>
        <w:ind w:left="851"/>
        <w:rPr>
          <w:rFonts w:eastAsia="SimSun"/>
          <w:sz w:val="24"/>
          <w:szCs w:val="24"/>
          <w:lang w:val="en-GB" w:eastAsia="en-GB"/>
        </w:rPr>
      </w:pPr>
    </w:p>
    <w:p w14:paraId="0978F1A0"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Lactic acidosis</w:t>
      </w:r>
    </w:p>
    <w:p w14:paraId="7FDA39FF"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Lactic acidosis, a rare but serious metabolic complication, most often occurs at acute worsening of renal function or cardiorespiratory illness or sepsis. Metformin accumulation occurs at acute worsening of renal function and increases the risk of lactic acidosis.</w:t>
      </w:r>
    </w:p>
    <w:p w14:paraId="71EFF8A6" w14:textId="77777777" w:rsidR="00094747" w:rsidRPr="003712F0" w:rsidRDefault="00094747" w:rsidP="008C7DB3">
      <w:pPr>
        <w:autoSpaceDE w:val="0"/>
        <w:autoSpaceDN w:val="0"/>
        <w:adjustRightInd w:val="0"/>
        <w:ind w:left="851"/>
        <w:rPr>
          <w:rFonts w:eastAsia="SimSun"/>
          <w:sz w:val="24"/>
          <w:szCs w:val="24"/>
          <w:lang w:val="en-GB" w:eastAsia="en-GB"/>
        </w:rPr>
      </w:pPr>
    </w:p>
    <w:p w14:paraId="1E22F2D1"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In case of dehydration (severe vomiting, diarrhoea, fever or reduced fluid intake), metformin should be temporarily discontinued and contact with a health care professional is recommended.</w:t>
      </w:r>
    </w:p>
    <w:p w14:paraId="3DC9EECD" w14:textId="77777777" w:rsidR="00094747" w:rsidRPr="003712F0" w:rsidRDefault="00094747" w:rsidP="008C7DB3">
      <w:pPr>
        <w:autoSpaceDE w:val="0"/>
        <w:autoSpaceDN w:val="0"/>
        <w:adjustRightInd w:val="0"/>
        <w:ind w:left="851"/>
        <w:rPr>
          <w:rFonts w:eastAsia="SimSun"/>
          <w:sz w:val="24"/>
          <w:szCs w:val="24"/>
          <w:lang w:val="en-GB" w:eastAsia="en-GB"/>
        </w:rPr>
      </w:pPr>
    </w:p>
    <w:p w14:paraId="06DB1521"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Medicinal products that can acutely impair renal function (such as antihypertensives, diuretics and NSAIDs) should be initiated with caution in metformin-treated patients. Other risk factors for lactic acidosis are excessive alcohol intake, hepatic insufficiency, inadequately controlled diabetes, ketosis, prolonged fasting and any conditions associated with hypoxia, as well as concomitant use of medicinal products that may cause lactic acidosis (see sections 4.3 and 4.5).</w:t>
      </w:r>
    </w:p>
    <w:p w14:paraId="1DC6409F" w14:textId="77777777" w:rsidR="00094747" w:rsidRPr="003712F0" w:rsidRDefault="00094747" w:rsidP="008C7DB3">
      <w:pPr>
        <w:autoSpaceDE w:val="0"/>
        <w:autoSpaceDN w:val="0"/>
        <w:adjustRightInd w:val="0"/>
        <w:ind w:left="851"/>
        <w:rPr>
          <w:rFonts w:eastAsia="SimSun"/>
          <w:sz w:val="24"/>
          <w:szCs w:val="24"/>
          <w:lang w:val="en-GB" w:eastAsia="en-GB"/>
        </w:rPr>
      </w:pPr>
    </w:p>
    <w:p w14:paraId="59A9DEFD"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Patients and/or care</w:t>
      </w:r>
      <w:r w:rsidRPr="003712F0">
        <w:rPr>
          <w:rFonts w:eastAsia="SimSun"/>
          <w:sz w:val="24"/>
          <w:szCs w:val="24"/>
          <w:lang w:val="en-GB" w:eastAsia="en-GB"/>
        </w:rPr>
        <w:noBreakHyphen/>
        <w:t>givers should be informed of the risk of lactic acidosis. Lactic acidosis is characterised by acidotic dyspnoea, abdominal pain, muscle cramps, asthenia and hypothermia followed by coma. In case of suspected symptoms, the patient should stop taking metformin and seek immediate medical attention. Diagnostic laboratory findings are decreased blood pH (&lt; 7.35), increased plasma lactate levels (&gt; 5 mmol/L) and an increased anion gap and lactate/pyruvate ratio.</w:t>
      </w:r>
    </w:p>
    <w:p w14:paraId="64DC77D5" w14:textId="77777777" w:rsidR="00094747" w:rsidRPr="003712F0" w:rsidRDefault="00094747" w:rsidP="008C7DB3">
      <w:pPr>
        <w:autoSpaceDE w:val="0"/>
        <w:autoSpaceDN w:val="0"/>
        <w:adjustRightInd w:val="0"/>
        <w:ind w:left="851"/>
        <w:rPr>
          <w:rFonts w:eastAsia="SimSun"/>
          <w:sz w:val="24"/>
          <w:szCs w:val="24"/>
          <w:lang w:val="en-GB" w:eastAsia="en-GB"/>
        </w:rPr>
      </w:pPr>
    </w:p>
    <w:p w14:paraId="78EE241B"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Renal function</w:t>
      </w:r>
    </w:p>
    <w:p w14:paraId="62EC1811"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GFR should be assessed before treatment initiation and regularly thereafter (see section 4.2). Sitagliptin/Metformin is contraindicated in patients with GFR &lt; 30 mL/min and should be temporarily discontinued during conditions with the potential to alter renal function (see section 4.3).</w:t>
      </w:r>
    </w:p>
    <w:p w14:paraId="1664328C" w14:textId="77777777" w:rsidR="00094747" w:rsidRPr="003712F0" w:rsidRDefault="00094747" w:rsidP="008C7DB3">
      <w:pPr>
        <w:autoSpaceDE w:val="0"/>
        <w:autoSpaceDN w:val="0"/>
        <w:adjustRightInd w:val="0"/>
        <w:ind w:left="851"/>
        <w:rPr>
          <w:rFonts w:eastAsia="SimSun"/>
          <w:sz w:val="24"/>
          <w:szCs w:val="24"/>
          <w:lang w:val="en-GB" w:eastAsia="en-GB"/>
        </w:rPr>
      </w:pPr>
    </w:p>
    <w:p w14:paraId="1CF3EDB1"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Hypoglycaemia</w:t>
      </w:r>
    </w:p>
    <w:p w14:paraId="54F2680E"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Patients receiving sitagliptin/metformin in combination with a </w:t>
      </w:r>
      <w:proofErr w:type="spellStart"/>
      <w:r w:rsidRPr="003712F0">
        <w:rPr>
          <w:rFonts w:eastAsia="SimSun"/>
          <w:sz w:val="24"/>
          <w:szCs w:val="24"/>
          <w:lang w:val="en-GB" w:eastAsia="en-GB"/>
        </w:rPr>
        <w:t>sulphonylurea</w:t>
      </w:r>
      <w:proofErr w:type="spellEnd"/>
      <w:r w:rsidRPr="003712F0">
        <w:rPr>
          <w:rFonts w:eastAsia="SimSun"/>
          <w:sz w:val="24"/>
          <w:szCs w:val="24"/>
          <w:lang w:val="en-GB" w:eastAsia="en-GB"/>
        </w:rPr>
        <w:t xml:space="preserve"> or with insulin may be at risk for hypoglycaemia. Therefore, a reduction in the dose of the </w:t>
      </w:r>
      <w:proofErr w:type="spellStart"/>
      <w:r w:rsidRPr="003712F0">
        <w:rPr>
          <w:rFonts w:eastAsia="SimSun"/>
          <w:sz w:val="24"/>
          <w:szCs w:val="24"/>
          <w:lang w:val="en-GB" w:eastAsia="en-GB"/>
        </w:rPr>
        <w:t>sulphonylurea</w:t>
      </w:r>
      <w:proofErr w:type="spellEnd"/>
      <w:r w:rsidRPr="003712F0">
        <w:rPr>
          <w:rFonts w:eastAsia="SimSun"/>
          <w:sz w:val="24"/>
          <w:szCs w:val="24"/>
          <w:lang w:val="en-GB" w:eastAsia="en-GB"/>
        </w:rPr>
        <w:t xml:space="preserve"> or insulin may be necessary.</w:t>
      </w:r>
    </w:p>
    <w:p w14:paraId="728EC93C" w14:textId="77777777" w:rsidR="00094747" w:rsidRPr="003712F0" w:rsidRDefault="00094747" w:rsidP="008C7DB3">
      <w:pPr>
        <w:autoSpaceDE w:val="0"/>
        <w:autoSpaceDN w:val="0"/>
        <w:adjustRightInd w:val="0"/>
        <w:ind w:left="851"/>
        <w:rPr>
          <w:rFonts w:eastAsia="SimSun"/>
          <w:sz w:val="24"/>
          <w:szCs w:val="24"/>
          <w:lang w:val="en-GB" w:eastAsia="en-GB"/>
        </w:rPr>
      </w:pPr>
    </w:p>
    <w:p w14:paraId="6ACAEF11"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Hypersensitivity reactions</w:t>
      </w:r>
    </w:p>
    <w:p w14:paraId="06424B27"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Post-marketing reports of serious hypersensitivity reactions in patients treated with sitagliptin have been reported. These reactions include anaphylaxis, angioedema, and exfoliative skin conditions including Stevens-Johnson syndrome. Onset of these reactions occurred within the first 3 months after initiation of treatment with sitagliptin, with some reports occurring after the first dose. If a hypersensitivity reaction is suspected, sitagliptin/metformin should be discontinued, other potential causes of the event should be assessed, and alternative treatment for diabetes should be instituted (see section 4.8).</w:t>
      </w:r>
    </w:p>
    <w:p w14:paraId="3849C0E7" w14:textId="77777777" w:rsidR="00094747" w:rsidRPr="003712F0" w:rsidRDefault="00094747" w:rsidP="008C7DB3">
      <w:pPr>
        <w:autoSpaceDE w:val="0"/>
        <w:autoSpaceDN w:val="0"/>
        <w:adjustRightInd w:val="0"/>
        <w:ind w:left="851"/>
        <w:rPr>
          <w:rFonts w:eastAsia="SimSun"/>
          <w:sz w:val="24"/>
          <w:szCs w:val="24"/>
          <w:lang w:val="en-GB" w:eastAsia="en-GB"/>
        </w:rPr>
      </w:pPr>
    </w:p>
    <w:p w14:paraId="007A3E6E"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Bullous pemphigoid</w:t>
      </w:r>
    </w:p>
    <w:p w14:paraId="6CB9B3A3"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There have been post-marketing reports of bullous pemphigoid in patients taking DPP-4 inhibitors including sitagliptin. If bullous pemphigoid is suspected, sitagliptin/metformin should be discontinued.</w:t>
      </w:r>
    </w:p>
    <w:p w14:paraId="2B2D5E77" w14:textId="77777777" w:rsidR="00094747" w:rsidRPr="003712F0" w:rsidRDefault="00094747" w:rsidP="008C7DB3">
      <w:pPr>
        <w:autoSpaceDE w:val="0"/>
        <w:autoSpaceDN w:val="0"/>
        <w:adjustRightInd w:val="0"/>
        <w:ind w:left="851"/>
        <w:rPr>
          <w:rFonts w:eastAsia="SimSun"/>
          <w:sz w:val="24"/>
          <w:szCs w:val="24"/>
          <w:lang w:val="en-GB" w:eastAsia="en-GB"/>
        </w:rPr>
      </w:pPr>
    </w:p>
    <w:p w14:paraId="068DCFFA"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Surgery</w:t>
      </w:r>
    </w:p>
    <w:p w14:paraId="09706E02"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Sitagliptin/Metformin must be discontinued at the time of surgery under general, spinal or epidural anaesthesia. Therapy may be restarted no earlier than 48 hours following surgery or resumption of oral nutrition and provided that renal function has been re-evaluated and found to be stable.</w:t>
      </w:r>
    </w:p>
    <w:p w14:paraId="39390171" w14:textId="77777777" w:rsidR="00094747" w:rsidRPr="003712F0" w:rsidRDefault="00094747" w:rsidP="008C7DB3">
      <w:pPr>
        <w:autoSpaceDE w:val="0"/>
        <w:autoSpaceDN w:val="0"/>
        <w:adjustRightInd w:val="0"/>
        <w:ind w:left="851"/>
        <w:rPr>
          <w:rFonts w:eastAsia="SimSun"/>
          <w:sz w:val="24"/>
          <w:szCs w:val="24"/>
          <w:lang w:val="en-GB" w:eastAsia="en-GB"/>
        </w:rPr>
      </w:pPr>
    </w:p>
    <w:p w14:paraId="5AF9272A"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Administration of iodinated contrast agent</w:t>
      </w:r>
    </w:p>
    <w:p w14:paraId="23604B4E"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Intravascular administration of iodinated contrast agents may lead to contrast-induced nephropathy, resulting in metformin accumulation and an increased risk of lactic acidosis. Sitagliptin/Metformin should be discontinued prior to or at the time of the imaging procedure and not restarted until at least 48 hours after, provided that renal function has been re-evaluated and found to be stable (see sections 4.3 and 4.5).</w:t>
      </w:r>
    </w:p>
    <w:p w14:paraId="4035A908" w14:textId="77777777" w:rsidR="00094747" w:rsidRPr="003712F0" w:rsidRDefault="00094747" w:rsidP="008C7DB3">
      <w:pPr>
        <w:autoSpaceDE w:val="0"/>
        <w:autoSpaceDN w:val="0"/>
        <w:adjustRightInd w:val="0"/>
        <w:ind w:left="851"/>
        <w:rPr>
          <w:rFonts w:eastAsia="SimSun"/>
          <w:sz w:val="24"/>
          <w:szCs w:val="24"/>
          <w:lang w:val="en-GB" w:eastAsia="en-GB"/>
        </w:rPr>
      </w:pPr>
    </w:p>
    <w:p w14:paraId="65A26C80"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Change in clinical status of patients with previously controlled type 2 diabetes</w:t>
      </w:r>
    </w:p>
    <w:p w14:paraId="2329471D" w14:textId="3267F46E" w:rsidR="00094747"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A patient with type 2 diabetes previously well controlled on sitagliptin/metformin who develops laboratory abnormalities or clinical illness (especially vague and poorly defined illness) should be evaluated</w:t>
      </w:r>
      <w:r w:rsidRPr="003712F0">
        <w:rPr>
          <w:sz w:val="24"/>
          <w:szCs w:val="24"/>
          <w:lang w:val="en-GB"/>
        </w:rPr>
        <w:t xml:space="preserve"> </w:t>
      </w:r>
      <w:r w:rsidRPr="003712F0">
        <w:rPr>
          <w:rFonts w:eastAsia="SimSun"/>
          <w:sz w:val="24"/>
          <w:szCs w:val="24"/>
          <w:lang w:val="en-GB" w:eastAsia="en-GB"/>
        </w:rPr>
        <w:t>promptly for evidence of ketoacidosis or lactic acidosis. Evaluation should include serum electrolytes and ketones, blood glucose and, if indicated, blood pH, lactate, pyruvate, and metformin levels. If acidosis of either form occurs, treatment must be stopped immediately and other appropriate corrective measures initiated.</w:t>
      </w:r>
    </w:p>
    <w:p w14:paraId="5918ED23" w14:textId="2C4E3501" w:rsidR="006B4708" w:rsidRDefault="006B4708" w:rsidP="008C7DB3">
      <w:pPr>
        <w:autoSpaceDE w:val="0"/>
        <w:autoSpaceDN w:val="0"/>
        <w:adjustRightInd w:val="0"/>
        <w:ind w:left="851"/>
        <w:rPr>
          <w:rFonts w:eastAsia="SimSun"/>
          <w:sz w:val="24"/>
          <w:szCs w:val="24"/>
          <w:lang w:val="en-GB" w:eastAsia="en-GB"/>
        </w:rPr>
      </w:pPr>
    </w:p>
    <w:p w14:paraId="09E8C379" w14:textId="77777777" w:rsidR="006B4708" w:rsidRPr="006B4708" w:rsidRDefault="006B4708" w:rsidP="006B4708">
      <w:pPr>
        <w:autoSpaceDE w:val="0"/>
        <w:autoSpaceDN w:val="0"/>
        <w:adjustRightInd w:val="0"/>
        <w:ind w:left="851"/>
        <w:rPr>
          <w:rFonts w:eastAsia="SimSun"/>
          <w:szCs w:val="22"/>
          <w:u w:val="single"/>
          <w:lang w:val="en-US" w:eastAsia="en-GB"/>
        </w:rPr>
      </w:pPr>
      <w:r w:rsidRPr="006B4708">
        <w:rPr>
          <w:rFonts w:eastAsia="SimSun"/>
          <w:szCs w:val="22"/>
          <w:u w:val="single"/>
          <w:lang w:val="en-US" w:eastAsia="en-GB"/>
        </w:rPr>
        <w:t>Vitamin B12 deficiency</w:t>
      </w:r>
    </w:p>
    <w:p w14:paraId="2539B4EA" w14:textId="77777777" w:rsidR="006B4708" w:rsidRDefault="006B4708" w:rsidP="006B4708">
      <w:pPr>
        <w:autoSpaceDE w:val="0"/>
        <w:autoSpaceDN w:val="0"/>
        <w:adjustRightInd w:val="0"/>
        <w:ind w:left="851"/>
        <w:rPr>
          <w:rFonts w:eastAsia="SimSun"/>
          <w:sz w:val="24"/>
          <w:szCs w:val="24"/>
          <w:lang w:val="en-US" w:eastAsia="en-GB"/>
        </w:rPr>
      </w:pPr>
      <w:r>
        <w:rPr>
          <w:rFonts w:eastAsia="SimSun"/>
          <w:szCs w:val="22"/>
          <w:lang w:val="en-US" w:eastAsia="en-GB"/>
        </w:rPr>
        <w:t xml:space="preserve">Metformin may reduce vitamin B12 serum levels. The risk of low vitamin B12 levels increases with increasing metformin dose, treatment duration, and/or in patients with risk factors known to cause vitamin B12 deficiency. In case of suspicion of vitamin B12 deficiency (such as </w:t>
      </w:r>
      <w:proofErr w:type="spellStart"/>
      <w:r>
        <w:rPr>
          <w:rFonts w:eastAsia="SimSun"/>
          <w:szCs w:val="22"/>
          <w:lang w:val="en-US" w:eastAsia="en-GB"/>
        </w:rPr>
        <w:t>anaemia</w:t>
      </w:r>
      <w:proofErr w:type="spellEnd"/>
      <w:r>
        <w:rPr>
          <w:rFonts w:eastAsia="SimSun"/>
          <w:szCs w:val="22"/>
          <w:lang w:val="en-US" w:eastAsia="en-GB"/>
        </w:rPr>
        <w:t xml:space="preserve"> or neuropathy), vitamin B12 serum levels should be monitored. Periodic vitamin B12 monitoring could be necessary in patients with risk factors for vitamin B12 deficiency. Metformin therapy should be continued for as long as it is tolerated and not contra-indicated and appropriate corrective treatment for vitamin B12 deficiency provided in line with current clinical guidelines.</w:t>
      </w:r>
    </w:p>
    <w:p w14:paraId="0199EA7F" w14:textId="77777777" w:rsidR="00094747" w:rsidRPr="003712F0" w:rsidRDefault="00094747" w:rsidP="008C7DB3">
      <w:pPr>
        <w:autoSpaceDE w:val="0"/>
        <w:autoSpaceDN w:val="0"/>
        <w:adjustRightInd w:val="0"/>
        <w:ind w:left="851"/>
        <w:rPr>
          <w:rFonts w:eastAsia="SimSun"/>
          <w:sz w:val="24"/>
          <w:szCs w:val="24"/>
          <w:lang w:val="en-GB" w:eastAsia="en-GB"/>
        </w:rPr>
      </w:pPr>
    </w:p>
    <w:p w14:paraId="08C5BE24"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Excipient(s)</w:t>
      </w:r>
    </w:p>
    <w:p w14:paraId="251C20CE" w14:textId="77777777" w:rsidR="00094747" w:rsidRPr="003712F0" w:rsidRDefault="00094747" w:rsidP="008C7DB3">
      <w:pPr>
        <w:autoSpaceDE w:val="0"/>
        <w:autoSpaceDN w:val="0"/>
        <w:adjustRightInd w:val="0"/>
        <w:ind w:left="851"/>
        <w:rPr>
          <w:sz w:val="24"/>
          <w:szCs w:val="24"/>
          <w:lang w:val="en-GB" w:eastAsia="en-US"/>
        </w:rPr>
      </w:pPr>
      <w:r w:rsidRPr="003712F0">
        <w:rPr>
          <w:rFonts w:eastAsia="SimSun"/>
          <w:sz w:val="24"/>
          <w:szCs w:val="24"/>
          <w:lang w:val="en-GB" w:eastAsia="en-GB"/>
        </w:rPr>
        <w:t>This medicinal product contains less than 1 mmol sodium (23 mg) per tablet, that is to say essentially ‘sodium-free’.</w:t>
      </w:r>
    </w:p>
    <w:p w14:paraId="09284FB1" w14:textId="77777777" w:rsidR="007C5D2A" w:rsidRPr="003712F0" w:rsidRDefault="007C5D2A" w:rsidP="003E0341">
      <w:pPr>
        <w:tabs>
          <w:tab w:val="left" w:pos="851"/>
        </w:tabs>
        <w:ind w:left="851"/>
        <w:rPr>
          <w:sz w:val="24"/>
          <w:szCs w:val="24"/>
          <w:lang w:val="en-GB"/>
        </w:rPr>
      </w:pPr>
    </w:p>
    <w:p w14:paraId="6A85F9D0" w14:textId="77777777" w:rsidR="007C5D2A" w:rsidRPr="003712F0" w:rsidRDefault="007C5D2A" w:rsidP="007C5D2A">
      <w:pPr>
        <w:ind w:left="851" w:hanging="851"/>
        <w:rPr>
          <w:b/>
          <w:sz w:val="24"/>
          <w:szCs w:val="24"/>
          <w:lang w:val="en-GB"/>
        </w:rPr>
      </w:pPr>
      <w:r w:rsidRPr="003712F0">
        <w:rPr>
          <w:b/>
          <w:sz w:val="24"/>
          <w:szCs w:val="24"/>
          <w:lang w:val="en-GB"/>
        </w:rPr>
        <w:t>4.5</w:t>
      </w:r>
      <w:r w:rsidRPr="003712F0">
        <w:rPr>
          <w:b/>
          <w:sz w:val="24"/>
          <w:szCs w:val="24"/>
          <w:lang w:val="en-GB"/>
        </w:rPr>
        <w:tab/>
        <w:t>Interaction with other medicinal products and other forms of interaction</w:t>
      </w:r>
    </w:p>
    <w:p w14:paraId="26DEB360"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Co-administration of multiple doses of sitagliptin (50 mg twice daily) and metformin (1,000 mg twice daily) did not meaningfully alter the pharmacokinetics of either sitagliptin or metformin in patients with type 2 diabetes.</w:t>
      </w:r>
    </w:p>
    <w:p w14:paraId="4894370D" w14:textId="77777777" w:rsidR="00094747" w:rsidRPr="003712F0" w:rsidRDefault="00094747" w:rsidP="008C7DB3">
      <w:pPr>
        <w:autoSpaceDE w:val="0"/>
        <w:autoSpaceDN w:val="0"/>
        <w:adjustRightInd w:val="0"/>
        <w:ind w:left="851"/>
        <w:rPr>
          <w:rFonts w:eastAsia="SimSun"/>
          <w:sz w:val="24"/>
          <w:szCs w:val="24"/>
          <w:lang w:val="en-GB" w:eastAsia="en-GB"/>
        </w:rPr>
      </w:pPr>
    </w:p>
    <w:p w14:paraId="7910CB01"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Pharmacokinetic drug interaction studies with sitagliptin/metformin have not been performed; however, such studies have been conducted with the individual active substances, sitagliptin and metformin.</w:t>
      </w:r>
    </w:p>
    <w:p w14:paraId="1448EB0A" w14:textId="77777777" w:rsidR="00094747" w:rsidRPr="003712F0" w:rsidRDefault="00094747" w:rsidP="008C7DB3">
      <w:pPr>
        <w:autoSpaceDE w:val="0"/>
        <w:autoSpaceDN w:val="0"/>
        <w:adjustRightInd w:val="0"/>
        <w:ind w:left="851"/>
        <w:rPr>
          <w:rFonts w:eastAsia="SimSun"/>
          <w:sz w:val="24"/>
          <w:szCs w:val="24"/>
          <w:lang w:val="en-GB" w:eastAsia="en-GB"/>
        </w:rPr>
      </w:pPr>
    </w:p>
    <w:p w14:paraId="4C6D93E8"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Concomitant use not recommended</w:t>
      </w:r>
    </w:p>
    <w:p w14:paraId="22D00ABE"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Alcohol</w:t>
      </w:r>
    </w:p>
    <w:p w14:paraId="2238DE3C"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Alcohol intoxication is associated with an increased risk of lactic acidosis, particularly in cases of fasting, malnutrition or hepatic impairment.</w:t>
      </w:r>
    </w:p>
    <w:p w14:paraId="7AB27B03" w14:textId="77777777" w:rsidR="00094747" w:rsidRPr="003712F0" w:rsidRDefault="00094747" w:rsidP="008C7DB3">
      <w:pPr>
        <w:autoSpaceDE w:val="0"/>
        <w:autoSpaceDN w:val="0"/>
        <w:adjustRightInd w:val="0"/>
        <w:ind w:left="851"/>
        <w:rPr>
          <w:rFonts w:eastAsia="SimSun"/>
          <w:sz w:val="24"/>
          <w:szCs w:val="24"/>
          <w:lang w:val="en-GB" w:eastAsia="en-GB"/>
        </w:rPr>
      </w:pPr>
    </w:p>
    <w:p w14:paraId="2C260C6A"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Iodinated contrast agents</w:t>
      </w:r>
    </w:p>
    <w:p w14:paraId="4AB70EC1"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Sitagliptin/Metformin must be discontinued prior to or at the time of the imaging procedure and not restarted until at least 48 hours after, provided that renal function has been re-evaluated and found to be stable (see sections 4.3 and 4.4).</w:t>
      </w:r>
    </w:p>
    <w:p w14:paraId="6BBDF08E" w14:textId="77777777" w:rsidR="00094747" w:rsidRPr="003712F0" w:rsidRDefault="00094747" w:rsidP="008C7DB3">
      <w:pPr>
        <w:autoSpaceDE w:val="0"/>
        <w:autoSpaceDN w:val="0"/>
        <w:adjustRightInd w:val="0"/>
        <w:ind w:left="851"/>
        <w:rPr>
          <w:rFonts w:eastAsia="SimSun"/>
          <w:sz w:val="24"/>
          <w:szCs w:val="24"/>
          <w:lang w:val="en-GB" w:eastAsia="en-GB"/>
        </w:rPr>
      </w:pPr>
    </w:p>
    <w:p w14:paraId="70C26DBF"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Combinations requiring precautions for use</w:t>
      </w:r>
    </w:p>
    <w:p w14:paraId="6DF92375"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monitoring of renal function is necessary.</w:t>
      </w:r>
    </w:p>
    <w:p w14:paraId="09D22F13" w14:textId="77777777" w:rsidR="00094747" w:rsidRPr="003712F0" w:rsidRDefault="00094747" w:rsidP="008C7DB3">
      <w:pPr>
        <w:autoSpaceDE w:val="0"/>
        <w:autoSpaceDN w:val="0"/>
        <w:adjustRightInd w:val="0"/>
        <w:ind w:left="851"/>
        <w:rPr>
          <w:rFonts w:eastAsia="SimSun"/>
          <w:sz w:val="24"/>
          <w:szCs w:val="24"/>
          <w:lang w:val="en-GB" w:eastAsia="en-GB"/>
        </w:rPr>
      </w:pPr>
    </w:p>
    <w:p w14:paraId="5F64B136" w14:textId="27DC14D0"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Concomitant use of </w:t>
      </w:r>
      <w:r w:rsidR="006B4708">
        <w:rPr>
          <w:rFonts w:eastAsia="SimSun"/>
          <w:sz w:val="24"/>
          <w:szCs w:val="24"/>
          <w:lang w:val="en-GB" w:eastAsia="en-GB"/>
        </w:rPr>
        <w:t xml:space="preserve">medicinal products </w:t>
      </w:r>
      <w:r w:rsidRPr="003712F0">
        <w:rPr>
          <w:rFonts w:eastAsia="SimSun"/>
          <w:sz w:val="24"/>
          <w:szCs w:val="24"/>
          <w:lang w:val="en-GB" w:eastAsia="en-GB"/>
        </w:rPr>
        <w:t xml:space="preserve">that interfere with common renal tubular transport systems involved in the renal elimination of metformin (e.g., organic cationic transporter-2 [OCT2] / multidrug and toxin extrusion [MATE] inhibitors such as ranolazine, </w:t>
      </w:r>
      <w:proofErr w:type="spellStart"/>
      <w:r w:rsidRPr="003712F0">
        <w:rPr>
          <w:rFonts w:eastAsia="SimSun"/>
          <w:sz w:val="24"/>
          <w:szCs w:val="24"/>
          <w:lang w:val="en-GB" w:eastAsia="en-GB"/>
        </w:rPr>
        <w:t>vandetanib</w:t>
      </w:r>
      <w:proofErr w:type="spellEnd"/>
      <w:r w:rsidRPr="003712F0">
        <w:rPr>
          <w:rFonts w:eastAsia="SimSun"/>
          <w:sz w:val="24"/>
          <w:szCs w:val="24"/>
          <w:lang w:val="en-GB" w:eastAsia="en-GB"/>
        </w:rPr>
        <w:t>, dolutegravir, and cimetidine) could increase systemic exposure to metformin and may increase the risk for lactic acidosis. Consider the benefits and risks of concomitant use. Close monitoring of glycaemic control, dose adjustment within the recommended posology and changes in diabetic treatment should be considered when such products are co-administered.</w:t>
      </w:r>
    </w:p>
    <w:p w14:paraId="34EF3F22" w14:textId="77777777" w:rsidR="00094747" w:rsidRPr="003712F0" w:rsidRDefault="00094747" w:rsidP="008C7DB3">
      <w:pPr>
        <w:autoSpaceDE w:val="0"/>
        <w:autoSpaceDN w:val="0"/>
        <w:adjustRightInd w:val="0"/>
        <w:ind w:left="851"/>
        <w:rPr>
          <w:rFonts w:eastAsia="SimSun"/>
          <w:sz w:val="24"/>
          <w:szCs w:val="24"/>
          <w:lang w:val="en-GB" w:eastAsia="en-GB"/>
        </w:rPr>
      </w:pPr>
    </w:p>
    <w:p w14:paraId="5955BF03"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Glucocorticoids (given by systemic and local routes) beta-2-agonists, and diuretics have intrinsic hyperglycaemic activity. The patient should be informed and more frequent blood glucose monitoring performed, especially at the beginning of treatment with such medicinal products. If necessary, the dose of the anti-hyperglycaemic medicinal product should be adjusted during therapy with the other medicinal product and on its discontinuation.</w:t>
      </w:r>
    </w:p>
    <w:p w14:paraId="498DB0C1" w14:textId="77777777" w:rsidR="00094747" w:rsidRPr="003712F0" w:rsidRDefault="00094747" w:rsidP="008C7DB3">
      <w:pPr>
        <w:autoSpaceDE w:val="0"/>
        <w:autoSpaceDN w:val="0"/>
        <w:adjustRightInd w:val="0"/>
        <w:ind w:left="851"/>
        <w:rPr>
          <w:rFonts w:eastAsia="SimSun"/>
          <w:sz w:val="24"/>
          <w:szCs w:val="24"/>
          <w:lang w:val="en-GB" w:eastAsia="en-GB"/>
        </w:rPr>
      </w:pPr>
    </w:p>
    <w:p w14:paraId="5BC2ADB5"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ACE-inhibitors may decrease the blood glucose levels. If necessary, the dose of the anti</w:t>
      </w:r>
      <w:r w:rsidRPr="003712F0">
        <w:rPr>
          <w:rFonts w:eastAsia="SimSun"/>
          <w:sz w:val="24"/>
          <w:szCs w:val="24"/>
          <w:lang w:val="en-GB" w:eastAsia="en-GB"/>
        </w:rPr>
        <w:noBreakHyphen/>
        <w:t>hyperglycaemic medicinal product should be adjusted during therapy with the other medicinal product and on its discontinuation.</w:t>
      </w:r>
    </w:p>
    <w:p w14:paraId="568EF18A" w14:textId="77777777" w:rsidR="00094747" w:rsidRPr="003712F0" w:rsidRDefault="00094747" w:rsidP="008C7DB3">
      <w:pPr>
        <w:autoSpaceDE w:val="0"/>
        <w:autoSpaceDN w:val="0"/>
        <w:adjustRightInd w:val="0"/>
        <w:ind w:left="851"/>
        <w:rPr>
          <w:rFonts w:eastAsia="SimSun"/>
          <w:sz w:val="24"/>
          <w:szCs w:val="24"/>
          <w:lang w:val="en-GB" w:eastAsia="en-GB"/>
        </w:rPr>
      </w:pPr>
    </w:p>
    <w:p w14:paraId="44D50D7B"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Effects of other medicinal products on sitagliptin</w:t>
      </w:r>
    </w:p>
    <w:p w14:paraId="3C72F310" w14:textId="77777777" w:rsidR="00094747" w:rsidRPr="003712F0" w:rsidRDefault="00094747" w:rsidP="008C7DB3">
      <w:pPr>
        <w:autoSpaceDE w:val="0"/>
        <w:autoSpaceDN w:val="0"/>
        <w:adjustRightInd w:val="0"/>
        <w:ind w:left="851"/>
        <w:rPr>
          <w:sz w:val="24"/>
          <w:szCs w:val="24"/>
          <w:lang w:val="en-GB" w:eastAsia="en-US"/>
        </w:rPr>
      </w:pPr>
      <w:r w:rsidRPr="003712F0">
        <w:rPr>
          <w:rFonts w:eastAsia="SimSun"/>
          <w:i/>
          <w:iCs/>
          <w:sz w:val="24"/>
          <w:szCs w:val="24"/>
          <w:lang w:val="en-GB" w:eastAsia="en-GB"/>
        </w:rPr>
        <w:t xml:space="preserve">In vitro </w:t>
      </w:r>
      <w:r w:rsidRPr="003712F0">
        <w:rPr>
          <w:rFonts w:eastAsia="SimSun"/>
          <w:sz w:val="24"/>
          <w:szCs w:val="24"/>
          <w:lang w:val="en-GB" w:eastAsia="en-GB"/>
        </w:rPr>
        <w:t>and clinical data described below suggest that the risk for clinically meaningful interactions following co-administration of other medicinal products is low.</w:t>
      </w:r>
    </w:p>
    <w:p w14:paraId="20E37C50" w14:textId="77777777" w:rsidR="00094747" w:rsidRPr="003712F0" w:rsidRDefault="00094747" w:rsidP="008C7DB3">
      <w:pPr>
        <w:ind w:left="851"/>
        <w:rPr>
          <w:sz w:val="24"/>
          <w:szCs w:val="24"/>
          <w:lang w:val="en-GB"/>
        </w:rPr>
      </w:pPr>
    </w:p>
    <w:p w14:paraId="5224D830"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i/>
          <w:iCs/>
          <w:sz w:val="24"/>
          <w:szCs w:val="24"/>
          <w:lang w:val="en-GB" w:eastAsia="en-GB"/>
        </w:rPr>
        <w:t xml:space="preserve">In vitro </w:t>
      </w:r>
      <w:r w:rsidRPr="003712F0">
        <w:rPr>
          <w:rFonts w:eastAsia="SimSun"/>
          <w:sz w:val="24"/>
          <w:szCs w:val="24"/>
          <w:lang w:val="en-GB" w:eastAsia="en-GB"/>
        </w:rPr>
        <w:t>studies indicated that the primary enzyme responsible for the limited metabolism of sitagliptin is CYP3A4, with contribution from CYP2C8. In patients with normal renal function, metabolism, including via CYP3A4, plays only a small role in the clearance of sitagliptin. Metabolism may play a more significant role in the elimination of sitagliptin in the setting of severe renal impairment or end-stage renal disease (ESRD). For this reason, it is possible that potent CYP3A4 inhibitors (i.e., ketoconazole, itraconazole, ritonavir, clarithromycin) could alter the pharmacokinetics of sitagliptin in patients with severe renal impairment or ESRD. The effects of potent CYP3A4 inhibitors in the setting of renal impairment have not been assessed in a clinical study.</w:t>
      </w:r>
    </w:p>
    <w:p w14:paraId="6A867C15" w14:textId="77777777" w:rsidR="00094747" w:rsidRPr="003712F0" w:rsidRDefault="00094747" w:rsidP="008C7DB3">
      <w:pPr>
        <w:autoSpaceDE w:val="0"/>
        <w:autoSpaceDN w:val="0"/>
        <w:adjustRightInd w:val="0"/>
        <w:ind w:left="851"/>
        <w:rPr>
          <w:rFonts w:eastAsia="SimSun"/>
          <w:i/>
          <w:iCs/>
          <w:sz w:val="24"/>
          <w:szCs w:val="24"/>
          <w:lang w:val="en-GB" w:eastAsia="en-GB"/>
        </w:rPr>
      </w:pPr>
    </w:p>
    <w:p w14:paraId="445318E1"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i/>
          <w:iCs/>
          <w:sz w:val="24"/>
          <w:szCs w:val="24"/>
          <w:lang w:val="en-GB" w:eastAsia="en-GB"/>
        </w:rPr>
        <w:t xml:space="preserve">In vitro </w:t>
      </w:r>
      <w:r w:rsidRPr="003712F0">
        <w:rPr>
          <w:rFonts w:eastAsia="SimSun"/>
          <w:sz w:val="24"/>
          <w:szCs w:val="24"/>
          <w:lang w:val="en-GB" w:eastAsia="en-GB"/>
        </w:rPr>
        <w:t xml:space="preserve">transport studies showed that sitagliptin is a substrate for p-glycoprotein and organic anion transporter-3 (OAT3). OAT3 mediated transport of sitagliptin was inhibited </w:t>
      </w:r>
      <w:r w:rsidRPr="003712F0">
        <w:rPr>
          <w:rFonts w:eastAsia="SimSun"/>
          <w:i/>
          <w:iCs/>
          <w:sz w:val="24"/>
          <w:szCs w:val="24"/>
          <w:lang w:val="en-GB" w:eastAsia="en-GB"/>
        </w:rPr>
        <w:t xml:space="preserve">in vitro </w:t>
      </w:r>
      <w:r w:rsidRPr="003712F0">
        <w:rPr>
          <w:rFonts w:eastAsia="SimSun"/>
          <w:sz w:val="24"/>
          <w:szCs w:val="24"/>
          <w:lang w:val="en-GB" w:eastAsia="en-GB"/>
        </w:rPr>
        <w:t xml:space="preserve">by probenecid, although the risk of clinically meaningful interactions is considered to be low. Concomitant administration of OAT3 inhibitors has not been evaluated </w:t>
      </w:r>
      <w:r w:rsidRPr="003712F0">
        <w:rPr>
          <w:rFonts w:eastAsia="SimSun"/>
          <w:i/>
          <w:iCs/>
          <w:sz w:val="24"/>
          <w:szCs w:val="24"/>
          <w:lang w:val="en-GB" w:eastAsia="en-GB"/>
        </w:rPr>
        <w:t>in vivo</w:t>
      </w:r>
      <w:r w:rsidRPr="003712F0">
        <w:rPr>
          <w:rFonts w:eastAsia="SimSun"/>
          <w:sz w:val="24"/>
          <w:szCs w:val="24"/>
          <w:lang w:val="en-GB" w:eastAsia="en-GB"/>
        </w:rPr>
        <w:t>.</w:t>
      </w:r>
    </w:p>
    <w:p w14:paraId="42EE551E" w14:textId="77777777" w:rsidR="00094747" w:rsidRPr="003712F0" w:rsidRDefault="00094747" w:rsidP="008C7DB3">
      <w:pPr>
        <w:autoSpaceDE w:val="0"/>
        <w:autoSpaceDN w:val="0"/>
        <w:adjustRightInd w:val="0"/>
        <w:ind w:left="851"/>
        <w:rPr>
          <w:rFonts w:eastAsia="SimSun"/>
          <w:i/>
          <w:iCs/>
          <w:sz w:val="24"/>
          <w:szCs w:val="24"/>
          <w:lang w:val="en-GB" w:eastAsia="en-GB"/>
        </w:rPr>
      </w:pPr>
    </w:p>
    <w:p w14:paraId="4C443085"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i/>
          <w:iCs/>
          <w:sz w:val="24"/>
          <w:szCs w:val="24"/>
          <w:lang w:val="en-GB" w:eastAsia="en-GB"/>
        </w:rPr>
        <w:t xml:space="preserve">Ciclosporin: </w:t>
      </w:r>
      <w:r w:rsidRPr="003712F0">
        <w:rPr>
          <w:rFonts w:eastAsia="SimSun"/>
          <w:sz w:val="24"/>
          <w:szCs w:val="24"/>
          <w:lang w:val="en-GB" w:eastAsia="en-GB"/>
        </w:rPr>
        <w:t>A study was conducted to assess the effect of ciclosporin, a potent inhibitor of p</w:t>
      </w:r>
      <w:r w:rsidRPr="003712F0">
        <w:rPr>
          <w:rFonts w:eastAsia="SimSun"/>
          <w:sz w:val="24"/>
          <w:szCs w:val="24"/>
          <w:lang w:val="en-GB" w:eastAsia="en-GB"/>
        </w:rPr>
        <w:noBreakHyphen/>
        <w:t xml:space="preserve">glycoprotein, on the pharmacokinetics of sitagliptin. Co-administration of a single 100 mg oral dose of sitagliptin and a single 600 mg oral dose of ciclosporin increased the AUC and </w:t>
      </w:r>
      <w:proofErr w:type="spellStart"/>
      <w:r w:rsidRPr="003712F0">
        <w:rPr>
          <w:rFonts w:eastAsia="SimSun"/>
          <w:sz w:val="24"/>
          <w:szCs w:val="24"/>
          <w:lang w:val="en-GB" w:eastAsia="en-GB"/>
        </w:rPr>
        <w:t>C</w:t>
      </w:r>
      <w:r w:rsidRPr="001E6344">
        <w:rPr>
          <w:rFonts w:eastAsia="SimSun"/>
          <w:sz w:val="24"/>
          <w:szCs w:val="24"/>
          <w:vertAlign w:val="subscript"/>
          <w:lang w:val="en-GB" w:eastAsia="en-GB"/>
        </w:rPr>
        <w:t>max</w:t>
      </w:r>
      <w:proofErr w:type="spellEnd"/>
      <w:r w:rsidRPr="003712F0">
        <w:rPr>
          <w:rFonts w:eastAsia="SimSun"/>
          <w:sz w:val="24"/>
          <w:szCs w:val="24"/>
          <w:lang w:val="en-GB" w:eastAsia="en-GB"/>
        </w:rPr>
        <w:t xml:space="preserve"> of sitagliptin by approximately 29 % and 68 %, respectively. These changes in sitagliptin pharmacokinetics were not considered to be clinically meaningful. The renal clearance of sitagliptin was not meaningfully altered. Therefore, meaningful interactions would not be expected with other p-glycoprotein inhibitors.</w:t>
      </w:r>
    </w:p>
    <w:p w14:paraId="6F06493D" w14:textId="77777777" w:rsidR="00094747" w:rsidRPr="003712F0" w:rsidRDefault="00094747" w:rsidP="008C7DB3">
      <w:pPr>
        <w:autoSpaceDE w:val="0"/>
        <w:autoSpaceDN w:val="0"/>
        <w:adjustRightInd w:val="0"/>
        <w:ind w:left="851"/>
        <w:rPr>
          <w:rFonts w:eastAsia="SimSun"/>
          <w:sz w:val="24"/>
          <w:szCs w:val="24"/>
          <w:lang w:val="en-GB" w:eastAsia="en-GB"/>
        </w:rPr>
      </w:pPr>
    </w:p>
    <w:p w14:paraId="5F348AB7"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Effects of sitagliptin on other medicinal products</w:t>
      </w:r>
    </w:p>
    <w:p w14:paraId="7DBA7B7F"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i/>
          <w:iCs/>
          <w:sz w:val="24"/>
          <w:szCs w:val="24"/>
          <w:lang w:val="en-GB" w:eastAsia="en-GB"/>
        </w:rPr>
        <w:t>Digoxin</w:t>
      </w:r>
      <w:r w:rsidRPr="003712F0">
        <w:rPr>
          <w:rFonts w:eastAsia="SimSun"/>
          <w:sz w:val="24"/>
          <w:szCs w:val="24"/>
          <w:lang w:val="en-GB" w:eastAsia="en-GB"/>
        </w:rPr>
        <w:t xml:space="preserve">: Sitagliptin had a small effect on plasma digoxin concentrations. Following administration of 0.25 mg digoxin concomitantly with 100 mg of sitagliptin daily for 10 days, the plasma AUC of digoxin was increased on average by 11 %, and the plasma </w:t>
      </w:r>
      <w:proofErr w:type="spellStart"/>
      <w:r w:rsidRPr="003712F0">
        <w:rPr>
          <w:rFonts w:eastAsia="SimSun"/>
          <w:sz w:val="24"/>
          <w:szCs w:val="24"/>
          <w:lang w:val="en-GB" w:eastAsia="en-GB"/>
        </w:rPr>
        <w:t>C</w:t>
      </w:r>
      <w:r w:rsidRPr="001E6344">
        <w:rPr>
          <w:rFonts w:eastAsia="SimSun"/>
          <w:sz w:val="24"/>
          <w:szCs w:val="24"/>
          <w:vertAlign w:val="subscript"/>
          <w:lang w:val="en-GB" w:eastAsia="en-GB"/>
        </w:rPr>
        <w:t>max</w:t>
      </w:r>
      <w:proofErr w:type="spellEnd"/>
      <w:r w:rsidRPr="003712F0">
        <w:rPr>
          <w:rFonts w:eastAsia="SimSun"/>
          <w:sz w:val="24"/>
          <w:szCs w:val="24"/>
          <w:lang w:val="en-GB" w:eastAsia="en-GB"/>
        </w:rPr>
        <w:t xml:space="preserve"> on average by 18 %. No dose adjustment of digoxin is recommended. However, patients at risk of digoxin toxicity should be monitored for this when sitagliptin and digoxin are administered concomitantly.</w:t>
      </w:r>
    </w:p>
    <w:p w14:paraId="7620C25A" w14:textId="77777777" w:rsidR="00094747" w:rsidRPr="003712F0" w:rsidRDefault="00094747" w:rsidP="008C7DB3">
      <w:pPr>
        <w:autoSpaceDE w:val="0"/>
        <w:autoSpaceDN w:val="0"/>
        <w:adjustRightInd w:val="0"/>
        <w:ind w:left="851"/>
        <w:rPr>
          <w:rFonts w:eastAsia="SimSun"/>
          <w:i/>
          <w:iCs/>
          <w:sz w:val="24"/>
          <w:szCs w:val="24"/>
          <w:lang w:val="en-GB" w:eastAsia="en-GB"/>
        </w:rPr>
      </w:pPr>
    </w:p>
    <w:p w14:paraId="61CCE36A" w14:textId="77777777" w:rsidR="00094747" w:rsidRPr="003712F0" w:rsidRDefault="00094747" w:rsidP="008C7DB3">
      <w:pPr>
        <w:autoSpaceDE w:val="0"/>
        <w:autoSpaceDN w:val="0"/>
        <w:adjustRightInd w:val="0"/>
        <w:ind w:left="851"/>
        <w:rPr>
          <w:sz w:val="24"/>
          <w:szCs w:val="24"/>
          <w:lang w:val="en-GB" w:eastAsia="en-US"/>
        </w:rPr>
      </w:pPr>
      <w:r w:rsidRPr="003712F0">
        <w:rPr>
          <w:rFonts w:eastAsia="SimSun"/>
          <w:i/>
          <w:iCs/>
          <w:sz w:val="24"/>
          <w:szCs w:val="24"/>
          <w:lang w:val="en-GB" w:eastAsia="en-GB"/>
        </w:rPr>
        <w:t xml:space="preserve">In vitro </w:t>
      </w:r>
      <w:r w:rsidRPr="003712F0">
        <w:rPr>
          <w:rFonts w:eastAsia="SimSun"/>
          <w:sz w:val="24"/>
          <w:szCs w:val="24"/>
          <w:lang w:val="en-GB" w:eastAsia="en-GB"/>
        </w:rPr>
        <w:t xml:space="preserve">data suggest that sitagliptin does not inhibit nor induce CYP450 isoenzymes. In clinical studies, sitagliptin did not meaningfully alter the pharmacokinetics of metformin, glyburide, simvastatin, rosiglitazone, warfarin, or oral contraceptives, providing </w:t>
      </w:r>
      <w:r w:rsidRPr="003712F0">
        <w:rPr>
          <w:rFonts w:eastAsia="SimSun"/>
          <w:i/>
          <w:iCs/>
          <w:sz w:val="24"/>
          <w:szCs w:val="24"/>
          <w:lang w:val="en-GB" w:eastAsia="en-GB"/>
        </w:rPr>
        <w:t xml:space="preserve">in vivo </w:t>
      </w:r>
      <w:r w:rsidRPr="003712F0">
        <w:rPr>
          <w:rFonts w:eastAsia="SimSun"/>
          <w:sz w:val="24"/>
          <w:szCs w:val="24"/>
          <w:lang w:val="en-GB" w:eastAsia="en-GB"/>
        </w:rPr>
        <w:t xml:space="preserve">evidence of a low propensity for causing interactions with substrates of CYP3A4, CYP2C8, CYP2C9, and organic cationic transporter (OCT). Sitagliptin may be a mild inhibitor of p-glycoprotein </w:t>
      </w:r>
      <w:r w:rsidRPr="003712F0">
        <w:rPr>
          <w:rFonts w:eastAsia="SimSun"/>
          <w:i/>
          <w:iCs/>
          <w:sz w:val="24"/>
          <w:szCs w:val="24"/>
          <w:lang w:val="en-GB" w:eastAsia="en-GB"/>
        </w:rPr>
        <w:t>in vivo</w:t>
      </w:r>
      <w:r w:rsidRPr="003712F0">
        <w:rPr>
          <w:rFonts w:eastAsia="SimSun"/>
          <w:sz w:val="24"/>
          <w:szCs w:val="24"/>
          <w:lang w:val="en-GB" w:eastAsia="en-GB"/>
        </w:rPr>
        <w:t>.</w:t>
      </w:r>
    </w:p>
    <w:p w14:paraId="53A1C8D4" w14:textId="77777777" w:rsidR="007C5D2A" w:rsidRPr="003712F0" w:rsidRDefault="007C5D2A" w:rsidP="003E0341">
      <w:pPr>
        <w:tabs>
          <w:tab w:val="left" w:pos="851"/>
        </w:tabs>
        <w:ind w:left="851"/>
        <w:rPr>
          <w:sz w:val="24"/>
          <w:szCs w:val="24"/>
          <w:lang w:val="en-GB"/>
        </w:rPr>
      </w:pPr>
    </w:p>
    <w:p w14:paraId="45A9D6C5" w14:textId="77777777" w:rsidR="007C5D2A" w:rsidRPr="003712F0" w:rsidRDefault="007C5D2A" w:rsidP="007C5D2A">
      <w:pPr>
        <w:tabs>
          <w:tab w:val="left" w:pos="851"/>
        </w:tabs>
        <w:ind w:left="851" w:hanging="851"/>
        <w:rPr>
          <w:b/>
          <w:sz w:val="24"/>
          <w:szCs w:val="24"/>
          <w:lang w:val="en-GB"/>
        </w:rPr>
      </w:pPr>
      <w:r w:rsidRPr="003712F0">
        <w:rPr>
          <w:b/>
          <w:sz w:val="24"/>
          <w:szCs w:val="24"/>
          <w:lang w:val="en-GB"/>
        </w:rPr>
        <w:t>4.6</w:t>
      </w:r>
      <w:r w:rsidRPr="003712F0">
        <w:rPr>
          <w:b/>
          <w:sz w:val="24"/>
          <w:szCs w:val="24"/>
          <w:lang w:val="en-GB"/>
        </w:rPr>
        <w:tab/>
      </w:r>
      <w:r w:rsidR="004860D3" w:rsidRPr="003712F0">
        <w:rPr>
          <w:b/>
          <w:sz w:val="24"/>
          <w:szCs w:val="24"/>
          <w:lang w:val="en-GB"/>
        </w:rPr>
        <w:t>Fertility, p</w:t>
      </w:r>
      <w:r w:rsidRPr="003712F0">
        <w:rPr>
          <w:b/>
          <w:sz w:val="24"/>
          <w:szCs w:val="24"/>
          <w:lang w:val="en-GB"/>
        </w:rPr>
        <w:t>regnancy and lactation</w:t>
      </w:r>
    </w:p>
    <w:p w14:paraId="62B3B278" w14:textId="77777777" w:rsidR="00651574" w:rsidRPr="003712F0" w:rsidRDefault="00651574" w:rsidP="00651574">
      <w:pPr>
        <w:ind w:left="851"/>
        <w:rPr>
          <w:rFonts w:eastAsia="SimSun"/>
          <w:sz w:val="24"/>
          <w:szCs w:val="24"/>
          <w:lang w:val="en-GB" w:eastAsia="en-GB"/>
        </w:rPr>
      </w:pPr>
    </w:p>
    <w:p w14:paraId="1F86E851" w14:textId="057488E0" w:rsidR="00094747" w:rsidRPr="003712F0" w:rsidRDefault="00094747" w:rsidP="00651574">
      <w:pPr>
        <w:ind w:left="851"/>
        <w:rPr>
          <w:rFonts w:eastAsia="SimSun"/>
          <w:sz w:val="24"/>
          <w:szCs w:val="24"/>
          <w:u w:val="single"/>
          <w:lang w:val="en-GB" w:eastAsia="en-GB"/>
        </w:rPr>
      </w:pPr>
      <w:r w:rsidRPr="003712F0">
        <w:rPr>
          <w:rFonts w:eastAsia="SimSun"/>
          <w:sz w:val="24"/>
          <w:szCs w:val="24"/>
          <w:u w:val="single"/>
          <w:lang w:val="en-GB" w:eastAsia="en-GB"/>
        </w:rPr>
        <w:t>Pregnancy</w:t>
      </w:r>
    </w:p>
    <w:p w14:paraId="158B3E86" w14:textId="77777777" w:rsidR="00094747" w:rsidRPr="003712F0" w:rsidRDefault="00094747" w:rsidP="00651574">
      <w:pPr>
        <w:ind w:left="851"/>
        <w:rPr>
          <w:rFonts w:eastAsia="SimSun"/>
          <w:sz w:val="24"/>
          <w:szCs w:val="24"/>
          <w:lang w:val="en-GB" w:eastAsia="en-GB"/>
        </w:rPr>
      </w:pPr>
      <w:r w:rsidRPr="003712F0">
        <w:rPr>
          <w:rFonts w:eastAsia="SimSun"/>
          <w:sz w:val="24"/>
          <w:szCs w:val="24"/>
          <w:lang w:val="en-GB" w:eastAsia="en-GB"/>
        </w:rPr>
        <w:t>There are no adequate data from the use of sitagliptin in pregnant women. Studies in animals have shown reproductive toxicity at high doses of sitagliptin (see section 5.3).</w:t>
      </w:r>
    </w:p>
    <w:p w14:paraId="19EA5F04" w14:textId="77777777" w:rsidR="00094747" w:rsidRPr="003712F0" w:rsidRDefault="00094747" w:rsidP="008C7DB3">
      <w:pPr>
        <w:autoSpaceDE w:val="0"/>
        <w:autoSpaceDN w:val="0"/>
        <w:adjustRightInd w:val="0"/>
        <w:ind w:left="851"/>
        <w:rPr>
          <w:rFonts w:eastAsia="SimSun"/>
          <w:sz w:val="24"/>
          <w:szCs w:val="24"/>
          <w:lang w:val="en-GB" w:eastAsia="en-GB"/>
        </w:rPr>
      </w:pPr>
    </w:p>
    <w:p w14:paraId="4F4BE91B" w14:textId="356BCBB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A limited amount of data suggests the use of metformin in pregnant women is not associated with an increased risk of congenital malformations. Animal studies with metformin do not indicate harmful effects with respect to pregnancy, embryonic or foetal development, parturition or postnatal development (see section 5.3).</w:t>
      </w:r>
    </w:p>
    <w:p w14:paraId="2E3A83AE" w14:textId="77777777" w:rsidR="00094747" w:rsidRPr="003712F0" w:rsidRDefault="00094747" w:rsidP="008C7DB3">
      <w:pPr>
        <w:autoSpaceDE w:val="0"/>
        <w:autoSpaceDN w:val="0"/>
        <w:adjustRightInd w:val="0"/>
        <w:ind w:left="851"/>
        <w:rPr>
          <w:rFonts w:eastAsia="SimSun"/>
          <w:sz w:val="24"/>
          <w:szCs w:val="24"/>
          <w:lang w:val="en-GB" w:eastAsia="en-GB"/>
        </w:rPr>
      </w:pPr>
    </w:p>
    <w:p w14:paraId="15DA8002"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Sitagliptin/Metformin should not be used during pregnancy. If a patient wishes to become pregnant or if a pregnancy occurs, treatment should be discontinued and the patient switched to insulin treatment as soon as possible.</w:t>
      </w:r>
    </w:p>
    <w:p w14:paraId="7A6D7F60" w14:textId="77777777" w:rsidR="00094747" w:rsidRPr="003712F0" w:rsidRDefault="00094747" w:rsidP="008C7DB3">
      <w:pPr>
        <w:autoSpaceDE w:val="0"/>
        <w:autoSpaceDN w:val="0"/>
        <w:adjustRightInd w:val="0"/>
        <w:ind w:left="851"/>
        <w:rPr>
          <w:rFonts w:eastAsia="SimSun"/>
          <w:sz w:val="24"/>
          <w:szCs w:val="24"/>
          <w:lang w:val="en-GB" w:eastAsia="en-GB"/>
        </w:rPr>
      </w:pPr>
    </w:p>
    <w:p w14:paraId="55BC7DFC"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Breast-feeding</w:t>
      </w:r>
    </w:p>
    <w:p w14:paraId="3B3A0CFB" w14:textId="77777777" w:rsidR="00094747" w:rsidRPr="003712F0" w:rsidRDefault="00094747" w:rsidP="008C7DB3">
      <w:pPr>
        <w:autoSpaceDE w:val="0"/>
        <w:autoSpaceDN w:val="0"/>
        <w:adjustRightInd w:val="0"/>
        <w:ind w:left="851"/>
        <w:rPr>
          <w:iCs/>
          <w:sz w:val="24"/>
          <w:szCs w:val="24"/>
          <w:lang w:val="en-GB" w:eastAsia="en-US"/>
        </w:rPr>
      </w:pPr>
      <w:r w:rsidRPr="003712F0">
        <w:rPr>
          <w:rFonts w:eastAsia="SimSun"/>
          <w:sz w:val="24"/>
          <w:szCs w:val="24"/>
          <w:lang w:val="en-GB" w:eastAsia="en-GB"/>
        </w:rPr>
        <w:t xml:space="preserve">No studies in lactating animals have been conducted with the combined active substances of this medicinal product. In studies performed with the individual active substances, both sitagliptin and metformin are excreted in the milk of lactating rats. Metformin is excreted in human milk in small </w:t>
      </w:r>
      <w:r w:rsidRPr="003712F0">
        <w:rPr>
          <w:iCs/>
          <w:sz w:val="24"/>
          <w:szCs w:val="24"/>
          <w:lang w:val="en-GB"/>
        </w:rPr>
        <w:t>amounts. It is not known whether sitagliptin is excreted in human milk. Sitagliptin/Metformin must therefore not be used in women who are breast-feeding (see section 4.3).</w:t>
      </w:r>
    </w:p>
    <w:p w14:paraId="3D10CA42" w14:textId="77777777" w:rsidR="00094747" w:rsidRPr="003712F0" w:rsidRDefault="00094747" w:rsidP="008C7DB3">
      <w:pPr>
        <w:ind w:left="851"/>
        <w:rPr>
          <w:iCs/>
          <w:sz w:val="24"/>
          <w:szCs w:val="24"/>
          <w:lang w:val="en-GB"/>
        </w:rPr>
      </w:pPr>
    </w:p>
    <w:p w14:paraId="482C0DFC"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Fertility</w:t>
      </w:r>
    </w:p>
    <w:p w14:paraId="5D214560" w14:textId="77777777" w:rsidR="00094747" w:rsidRPr="003712F0" w:rsidRDefault="00094747" w:rsidP="008C7DB3">
      <w:pPr>
        <w:autoSpaceDE w:val="0"/>
        <w:autoSpaceDN w:val="0"/>
        <w:adjustRightInd w:val="0"/>
        <w:ind w:left="851"/>
        <w:rPr>
          <w:iCs/>
          <w:sz w:val="24"/>
          <w:szCs w:val="24"/>
          <w:lang w:val="en-GB" w:eastAsia="en-US"/>
        </w:rPr>
      </w:pPr>
      <w:r w:rsidRPr="003712F0">
        <w:rPr>
          <w:rFonts w:eastAsia="SimSun"/>
          <w:sz w:val="24"/>
          <w:szCs w:val="24"/>
          <w:lang w:val="en-GB" w:eastAsia="en-GB"/>
        </w:rPr>
        <w:t>Animal data do not suggest an effect of treatment with sitagliptin on male and female fertility. Human data are lacking.</w:t>
      </w:r>
    </w:p>
    <w:p w14:paraId="00FDC6F6" w14:textId="77777777" w:rsidR="007C5D2A" w:rsidRPr="003712F0" w:rsidRDefault="007C5D2A" w:rsidP="003E0341">
      <w:pPr>
        <w:tabs>
          <w:tab w:val="left" w:pos="851"/>
        </w:tabs>
        <w:ind w:left="851"/>
        <w:rPr>
          <w:sz w:val="24"/>
          <w:szCs w:val="24"/>
          <w:lang w:val="en-GB"/>
        </w:rPr>
      </w:pPr>
    </w:p>
    <w:p w14:paraId="22C6728F" w14:textId="77777777" w:rsidR="007C5D2A" w:rsidRPr="003712F0" w:rsidRDefault="007C5D2A" w:rsidP="007C5D2A">
      <w:pPr>
        <w:tabs>
          <w:tab w:val="left" w:pos="851"/>
        </w:tabs>
        <w:ind w:left="851" w:hanging="851"/>
        <w:rPr>
          <w:b/>
          <w:sz w:val="24"/>
          <w:szCs w:val="24"/>
          <w:lang w:val="en-GB"/>
        </w:rPr>
      </w:pPr>
      <w:r w:rsidRPr="003712F0">
        <w:rPr>
          <w:b/>
          <w:sz w:val="24"/>
          <w:szCs w:val="24"/>
          <w:lang w:val="en-GB"/>
        </w:rPr>
        <w:t>4.7</w:t>
      </w:r>
      <w:r w:rsidRPr="003712F0">
        <w:rPr>
          <w:b/>
          <w:sz w:val="24"/>
          <w:szCs w:val="24"/>
          <w:lang w:val="en-GB"/>
        </w:rPr>
        <w:tab/>
        <w:t>Effects on ability to drive and use machines</w:t>
      </w:r>
    </w:p>
    <w:p w14:paraId="387035B3" w14:textId="77777777" w:rsidR="001E6344" w:rsidRDefault="001E6344" w:rsidP="008C7DB3">
      <w:pPr>
        <w:ind w:left="851"/>
        <w:rPr>
          <w:sz w:val="24"/>
          <w:szCs w:val="24"/>
          <w:lang w:val="en-GB"/>
        </w:rPr>
      </w:pPr>
      <w:r>
        <w:rPr>
          <w:sz w:val="24"/>
          <w:szCs w:val="24"/>
          <w:lang w:val="en-GB"/>
        </w:rPr>
        <w:t>No traffic warning.</w:t>
      </w:r>
    </w:p>
    <w:p w14:paraId="64BD7159" w14:textId="04F14EFF" w:rsidR="00094747" w:rsidRPr="003712F0" w:rsidRDefault="00094747" w:rsidP="008C7DB3">
      <w:pPr>
        <w:ind w:left="851"/>
        <w:rPr>
          <w:sz w:val="24"/>
          <w:szCs w:val="24"/>
          <w:lang w:val="en-GB"/>
        </w:rPr>
      </w:pPr>
      <w:r w:rsidRPr="003712F0">
        <w:rPr>
          <w:sz w:val="24"/>
          <w:szCs w:val="24"/>
          <w:lang w:val="en-GB"/>
        </w:rPr>
        <w:t xml:space="preserve">Sitagliptin/Metformin has no or negligible influence on the ability to drive and use machines. However, when driving or using machines, it should be </w:t>
      </w:r>
      <w:proofErr w:type="gramStart"/>
      <w:r w:rsidRPr="003712F0">
        <w:rPr>
          <w:sz w:val="24"/>
          <w:szCs w:val="24"/>
          <w:lang w:val="en-GB"/>
        </w:rPr>
        <w:t>taken into account</w:t>
      </w:r>
      <w:proofErr w:type="gramEnd"/>
      <w:r w:rsidRPr="003712F0">
        <w:rPr>
          <w:sz w:val="24"/>
          <w:szCs w:val="24"/>
          <w:lang w:val="en-GB"/>
        </w:rPr>
        <w:t xml:space="preserve"> that dizziness and somnolence have been reported with sitagliptin.</w:t>
      </w:r>
    </w:p>
    <w:p w14:paraId="52B240B1" w14:textId="77777777" w:rsidR="00094747" w:rsidRPr="003712F0" w:rsidRDefault="00094747" w:rsidP="008C7DB3">
      <w:pPr>
        <w:ind w:left="851"/>
        <w:rPr>
          <w:sz w:val="24"/>
          <w:szCs w:val="24"/>
          <w:lang w:val="en-GB"/>
        </w:rPr>
      </w:pPr>
    </w:p>
    <w:p w14:paraId="1B68AC95" w14:textId="77777777" w:rsidR="00094747" w:rsidRPr="003712F0" w:rsidRDefault="00094747" w:rsidP="008C7DB3">
      <w:pPr>
        <w:ind w:left="851"/>
        <w:rPr>
          <w:sz w:val="24"/>
          <w:szCs w:val="24"/>
          <w:lang w:val="en-GB"/>
        </w:rPr>
      </w:pPr>
      <w:r w:rsidRPr="003712F0">
        <w:rPr>
          <w:sz w:val="24"/>
          <w:szCs w:val="24"/>
          <w:lang w:val="en-GB"/>
        </w:rPr>
        <w:t xml:space="preserve">In addition, patients should be alerted to the risk of hypoglycaemia when sitagliptin/metformin is used in combination with a </w:t>
      </w:r>
      <w:proofErr w:type="spellStart"/>
      <w:r w:rsidRPr="003712F0">
        <w:rPr>
          <w:sz w:val="24"/>
          <w:szCs w:val="24"/>
          <w:lang w:val="en-GB"/>
        </w:rPr>
        <w:t>sulphonylurea</w:t>
      </w:r>
      <w:proofErr w:type="spellEnd"/>
      <w:r w:rsidRPr="003712F0">
        <w:rPr>
          <w:sz w:val="24"/>
          <w:szCs w:val="24"/>
          <w:lang w:val="en-GB"/>
        </w:rPr>
        <w:t xml:space="preserve"> or with insulin.</w:t>
      </w:r>
    </w:p>
    <w:p w14:paraId="655FD1E6" w14:textId="77777777" w:rsidR="007C5D2A" w:rsidRPr="003712F0" w:rsidRDefault="007C5D2A" w:rsidP="003E0341">
      <w:pPr>
        <w:tabs>
          <w:tab w:val="left" w:pos="851"/>
        </w:tabs>
        <w:ind w:left="851"/>
        <w:rPr>
          <w:sz w:val="24"/>
          <w:szCs w:val="24"/>
          <w:lang w:val="en-GB"/>
        </w:rPr>
      </w:pPr>
    </w:p>
    <w:p w14:paraId="280450B7" w14:textId="77777777" w:rsidR="007C5D2A" w:rsidRPr="003712F0" w:rsidRDefault="007C5D2A" w:rsidP="007C5D2A">
      <w:pPr>
        <w:tabs>
          <w:tab w:val="left" w:pos="851"/>
        </w:tabs>
        <w:ind w:left="851" w:hanging="851"/>
        <w:rPr>
          <w:b/>
          <w:sz w:val="24"/>
          <w:szCs w:val="24"/>
          <w:lang w:val="en-GB"/>
        </w:rPr>
      </w:pPr>
      <w:r w:rsidRPr="003712F0">
        <w:rPr>
          <w:b/>
          <w:sz w:val="24"/>
          <w:szCs w:val="24"/>
          <w:lang w:val="en-GB"/>
        </w:rPr>
        <w:t>4.8</w:t>
      </w:r>
      <w:r w:rsidRPr="003712F0">
        <w:rPr>
          <w:b/>
          <w:sz w:val="24"/>
          <w:szCs w:val="24"/>
          <w:lang w:val="en-GB"/>
        </w:rPr>
        <w:tab/>
        <w:t>Undesirable effects</w:t>
      </w:r>
    </w:p>
    <w:p w14:paraId="02CB3BD7" w14:textId="77777777" w:rsidR="00651574" w:rsidRPr="003712F0" w:rsidRDefault="00651574" w:rsidP="008C7DB3">
      <w:pPr>
        <w:autoSpaceDE w:val="0"/>
        <w:autoSpaceDN w:val="0"/>
        <w:adjustRightInd w:val="0"/>
        <w:ind w:left="851"/>
        <w:rPr>
          <w:rFonts w:eastAsia="SimSun"/>
          <w:sz w:val="24"/>
          <w:szCs w:val="24"/>
          <w:u w:val="single"/>
          <w:lang w:val="en-GB" w:eastAsia="en-GB"/>
        </w:rPr>
      </w:pPr>
    </w:p>
    <w:p w14:paraId="2D08BBE5" w14:textId="22D28F2B"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Summary of the safety profile</w:t>
      </w:r>
    </w:p>
    <w:p w14:paraId="431D1935" w14:textId="5321C4F5"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There have been no therapeutic clinical </w:t>
      </w:r>
      <w:r w:rsidR="006B4708">
        <w:rPr>
          <w:rFonts w:eastAsia="SimSun"/>
          <w:sz w:val="24"/>
          <w:szCs w:val="24"/>
          <w:lang w:val="en-GB" w:eastAsia="en-GB"/>
        </w:rPr>
        <w:t>studies</w:t>
      </w:r>
      <w:r w:rsidRPr="003712F0">
        <w:rPr>
          <w:rFonts w:eastAsia="SimSun"/>
          <w:sz w:val="24"/>
          <w:szCs w:val="24"/>
          <w:lang w:val="en-GB" w:eastAsia="en-GB"/>
        </w:rPr>
        <w:t xml:space="preserve"> conducted with sitagliptin/metformin tablets however bioequivalence of sitagliptin/metformin with co-administered sitagliptin and metformin has been demonstrated (see section 5.2). Serious adverse reactions including pancreatitis and hypersensitivity reactions have been reported. Hypoglycaemia has been reported in combination with </w:t>
      </w:r>
      <w:proofErr w:type="spellStart"/>
      <w:r w:rsidRPr="003712F0">
        <w:rPr>
          <w:rFonts w:eastAsia="SimSun"/>
          <w:sz w:val="24"/>
          <w:szCs w:val="24"/>
          <w:lang w:val="en-GB" w:eastAsia="en-GB"/>
        </w:rPr>
        <w:t>sulphonylurea</w:t>
      </w:r>
      <w:proofErr w:type="spellEnd"/>
      <w:r w:rsidRPr="003712F0">
        <w:rPr>
          <w:rFonts w:eastAsia="SimSun"/>
          <w:sz w:val="24"/>
          <w:szCs w:val="24"/>
          <w:lang w:val="en-GB" w:eastAsia="en-GB"/>
        </w:rPr>
        <w:t xml:space="preserve"> (13.8%) and insulin (10.9%). </w:t>
      </w:r>
    </w:p>
    <w:p w14:paraId="4E5CD800" w14:textId="518DCDE9" w:rsidR="00094747" w:rsidRDefault="00094747" w:rsidP="008C7DB3">
      <w:pPr>
        <w:autoSpaceDE w:val="0"/>
        <w:autoSpaceDN w:val="0"/>
        <w:adjustRightInd w:val="0"/>
        <w:ind w:left="851"/>
        <w:rPr>
          <w:rFonts w:eastAsia="SimSun"/>
          <w:sz w:val="24"/>
          <w:szCs w:val="24"/>
          <w:lang w:val="en-GB" w:eastAsia="en-GB"/>
        </w:rPr>
      </w:pPr>
    </w:p>
    <w:p w14:paraId="714A6DCD" w14:textId="77777777" w:rsidR="006B4708" w:rsidRPr="006B4708" w:rsidRDefault="006B4708" w:rsidP="006B4708">
      <w:pPr>
        <w:autoSpaceDE w:val="0"/>
        <w:autoSpaceDN w:val="0"/>
        <w:adjustRightInd w:val="0"/>
        <w:ind w:left="851"/>
        <w:rPr>
          <w:sz w:val="24"/>
          <w:szCs w:val="24"/>
          <w:u w:val="single"/>
          <w:lang w:val="en-GB"/>
        </w:rPr>
      </w:pPr>
      <w:r w:rsidRPr="00FC181D">
        <w:rPr>
          <w:sz w:val="24"/>
          <w:szCs w:val="24"/>
          <w:u w:val="single"/>
          <w:lang w:val="en-GB"/>
        </w:rPr>
        <w:t>Tabulated list of adverse reactions</w:t>
      </w:r>
    </w:p>
    <w:p w14:paraId="4821347E" w14:textId="77777777" w:rsidR="006B4708" w:rsidRPr="003712F0" w:rsidRDefault="006B4708" w:rsidP="008C7DB3">
      <w:pPr>
        <w:autoSpaceDE w:val="0"/>
        <w:autoSpaceDN w:val="0"/>
        <w:adjustRightInd w:val="0"/>
        <w:ind w:left="851"/>
        <w:rPr>
          <w:rFonts w:eastAsia="SimSun"/>
          <w:sz w:val="24"/>
          <w:szCs w:val="24"/>
          <w:lang w:val="en-GB" w:eastAsia="en-GB"/>
        </w:rPr>
      </w:pPr>
    </w:p>
    <w:p w14:paraId="5AD7585B" w14:textId="77777777" w:rsidR="00094747" w:rsidRPr="003712F0" w:rsidRDefault="00094747" w:rsidP="008C7DB3">
      <w:pPr>
        <w:autoSpaceDE w:val="0"/>
        <w:autoSpaceDN w:val="0"/>
        <w:adjustRightInd w:val="0"/>
        <w:ind w:left="851"/>
        <w:rPr>
          <w:sz w:val="24"/>
          <w:szCs w:val="24"/>
          <w:u w:val="single"/>
          <w:lang w:val="en-GB" w:eastAsia="en-US"/>
        </w:rPr>
      </w:pPr>
      <w:r w:rsidRPr="003712F0">
        <w:rPr>
          <w:sz w:val="24"/>
          <w:szCs w:val="24"/>
          <w:u w:val="single"/>
          <w:lang w:val="en-GB"/>
        </w:rPr>
        <w:t>Sitagliptin and metformin</w:t>
      </w:r>
    </w:p>
    <w:p w14:paraId="5CA6862B" w14:textId="77777777" w:rsidR="00094747" w:rsidRPr="003712F0" w:rsidRDefault="00094747" w:rsidP="008C7DB3">
      <w:pPr>
        <w:autoSpaceDE w:val="0"/>
        <w:autoSpaceDN w:val="0"/>
        <w:adjustRightInd w:val="0"/>
        <w:ind w:left="851"/>
        <w:jc w:val="both"/>
        <w:rPr>
          <w:sz w:val="24"/>
          <w:szCs w:val="24"/>
          <w:lang w:val="en-GB"/>
        </w:rPr>
      </w:pPr>
      <w:r w:rsidRPr="003712F0">
        <w:rPr>
          <w:sz w:val="24"/>
          <w:szCs w:val="24"/>
          <w:lang w:val="en-GB"/>
        </w:rPr>
        <w:t>Adverse reactions are listed below as MedDRA preferred term by system organ class and absolute frequency (Table 1). Frequencies are defined as: very common (≥ 1/10); common (≥ 1/100 to &lt; 1/10); uncommon (≥ 1/1,000 to &lt; 1/100); rare (≥ 1/10,000 to &lt; 1/1,000); very rare (&lt; 1/10,000) and not known (cannot be estimated from the available data).</w:t>
      </w:r>
    </w:p>
    <w:p w14:paraId="7B760E70" w14:textId="77777777" w:rsidR="00094747" w:rsidRPr="003712F0" w:rsidRDefault="00094747" w:rsidP="008C7DB3">
      <w:pPr>
        <w:autoSpaceDE w:val="0"/>
        <w:autoSpaceDN w:val="0"/>
        <w:adjustRightInd w:val="0"/>
        <w:ind w:left="851"/>
        <w:jc w:val="both"/>
        <w:rPr>
          <w:sz w:val="24"/>
          <w:szCs w:val="24"/>
          <w:lang w:val="en-GB"/>
        </w:rPr>
      </w:pPr>
    </w:p>
    <w:p w14:paraId="7B14D153" w14:textId="77777777" w:rsidR="00094747" w:rsidRPr="003712F0" w:rsidRDefault="00094747" w:rsidP="00651574">
      <w:pPr>
        <w:ind w:left="851"/>
        <w:rPr>
          <w:b/>
          <w:sz w:val="24"/>
          <w:szCs w:val="24"/>
          <w:lang w:val="en-GB"/>
        </w:rPr>
      </w:pPr>
      <w:r w:rsidRPr="003712F0">
        <w:rPr>
          <w:b/>
          <w:sz w:val="24"/>
          <w:szCs w:val="24"/>
          <w:lang w:val="en-GB"/>
        </w:rPr>
        <w:t>Table 1: The frequency of adverse reactions identified from placebo-controlled clinical studies of sitagliptin and metformin alone, and post-marketing experience</w:t>
      </w:r>
    </w:p>
    <w:p w14:paraId="68AF5A0E" w14:textId="77777777" w:rsidR="00094747" w:rsidRPr="003712F0" w:rsidRDefault="00094747" w:rsidP="00651574">
      <w:pPr>
        <w:ind w:left="851"/>
        <w:rPr>
          <w:b/>
          <w:sz w:val="24"/>
          <w:szCs w:val="24"/>
          <w:lang w:val="en-GB"/>
        </w:rPr>
      </w:pPr>
    </w:p>
    <w:tbl>
      <w:tblPr>
        <w:tblW w:w="4408" w:type="pct"/>
        <w:tblInd w:w="846" w:type="dxa"/>
        <w:tblCellMar>
          <w:top w:w="49" w:type="dxa"/>
          <w:right w:w="115" w:type="dxa"/>
        </w:tblCellMar>
        <w:tblLook w:val="04A0" w:firstRow="1" w:lastRow="0" w:firstColumn="1" w:lastColumn="0" w:noHBand="0" w:noVBand="1"/>
      </w:tblPr>
      <w:tblGrid>
        <w:gridCol w:w="3969"/>
        <w:gridCol w:w="4519"/>
      </w:tblGrid>
      <w:tr w:rsidR="00094747" w:rsidRPr="001E6344" w14:paraId="75B2C758" w14:textId="77777777" w:rsidTr="008C7DB3">
        <w:trPr>
          <w:trHeight w:val="269"/>
          <w:tblHeader/>
        </w:trPr>
        <w:tc>
          <w:tcPr>
            <w:tcW w:w="2338" w:type="pct"/>
            <w:tcBorders>
              <w:top w:val="single" w:sz="4" w:space="0" w:color="000000"/>
              <w:left w:val="single" w:sz="4" w:space="0" w:color="000000"/>
              <w:bottom w:val="single" w:sz="4" w:space="0" w:color="000000"/>
              <w:right w:val="single" w:sz="4" w:space="0" w:color="000000"/>
            </w:tcBorders>
            <w:hideMark/>
          </w:tcPr>
          <w:p w14:paraId="2A1EC37F" w14:textId="77777777" w:rsidR="00094747" w:rsidRPr="001E6344" w:rsidRDefault="00094747" w:rsidP="00651574">
            <w:pPr>
              <w:rPr>
                <w:b/>
                <w:sz w:val="24"/>
                <w:szCs w:val="24"/>
                <w:lang w:val="en-GB"/>
              </w:rPr>
            </w:pPr>
            <w:r w:rsidRPr="001E6344">
              <w:rPr>
                <w:b/>
                <w:sz w:val="24"/>
                <w:szCs w:val="24"/>
                <w:lang w:val="en-GB"/>
              </w:rPr>
              <w:t>Adverse reaction</w:t>
            </w:r>
          </w:p>
        </w:tc>
        <w:tc>
          <w:tcPr>
            <w:tcW w:w="2662" w:type="pct"/>
            <w:tcBorders>
              <w:top w:val="single" w:sz="4" w:space="0" w:color="000000"/>
              <w:left w:val="single" w:sz="4" w:space="0" w:color="000000"/>
              <w:bottom w:val="single" w:sz="4" w:space="0" w:color="000000"/>
              <w:right w:val="single" w:sz="4" w:space="0" w:color="000000"/>
            </w:tcBorders>
            <w:hideMark/>
          </w:tcPr>
          <w:p w14:paraId="793EB500" w14:textId="77777777" w:rsidR="00094747" w:rsidRPr="001E6344" w:rsidRDefault="00094747" w:rsidP="00651574">
            <w:pPr>
              <w:rPr>
                <w:b/>
                <w:sz w:val="24"/>
                <w:szCs w:val="24"/>
                <w:lang w:val="en-GB"/>
              </w:rPr>
            </w:pPr>
            <w:r w:rsidRPr="001E6344">
              <w:rPr>
                <w:b/>
                <w:sz w:val="24"/>
                <w:szCs w:val="24"/>
                <w:lang w:val="en-GB"/>
              </w:rPr>
              <w:t>Frequency of adverse reaction</w:t>
            </w:r>
          </w:p>
        </w:tc>
      </w:tr>
      <w:tr w:rsidR="00094747" w:rsidRPr="001E6344" w14:paraId="74329C00"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66966F08" w14:textId="77777777" w:rsidR="00094747" w:rsidRPr="001E6344" w:rsidRDefault="00094747" w:rsidP="00651574">
            <w:pPr>
              <w:rPr>
                <w:sz w:val="24"/>
                <w:szCs w:val="24"/>
                <w:lang w:val="en-GB"/>
              </w:rPr>
            </w:pPr>
          </w:p>
        </w:tc>
        <w:tc>
          <w:tcPr>
            <w:tcW w:w="2662" w:type="pct"/>
            <w:tcBorders>
              <w:top w:val="single" w:sz="4" w:space="0" w:color="000000"/>
              <w:left w:val="single" w:sz="4" w:space="0" w:color="000000"/>
              <w:bottom w:val="single" w:sz="4" w:space="0" w:color="000000"/>
              <w:right w:val="single" w:sz="4" w:space="0" w:color="000000"/>
            </w:tcBorders>
          </w:tcPr>
          <w:p w14:paraId="342E6DAF" w14:textId="77777777" w:rsidR="00094747" w:rsidRPr="001E6344" w:rsidRDefault="00094747" w:rsidP="00651574">
            <w:pPr>
              <w:rPr>
                <w:sz w:val="24"/>
                <w:szCs w:val="24"/>
                <w:lang w:val="en-GB"/>
              </w:rPr>
            </w:pPr>
          </w:p>
        </w:tc>
      </w:tr>
      <w:tr w:rsidR="004629A1" w:rsidRPr="006B4708" w14:paraId="72F5AD22"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59C1981E" w14:textId="036EAF20" w:rsidR="004629A1" w:rsidRPr="001E6344" w:rsidRDefault="004629A1" w:rsidP="00651574">
            <w:pPr>
              <w:rPr>
                <w:b/>
                <w:sz w:val="24"/>
                <w:szCs w:val="24"/>
                <w:lang w:val="en-GB"/>
              </w:rPr>
            </w:pPr>
            <w:r w:rsidRPr="001E6344">
              <w:rPr>
                <w:b/>
                <w:sz w:val="24"/>
                <w:szCs w:val="24"/>
                <w:lang w:val="en-GB"/>
              </w:rPr>
              <w:t>Blood and lymphatic system disorders</w:t>
            </w:r>
          </w:p>
        </w:tc>
      </w:tr>
      <w:tr w:rsidR="00094747" w:rsidRPr="001E6344" w14:paraId="77D15402"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55FFE351" w14:textId="77777777" w:rsidR="00094747" w:rsidRPr="001E6344" w:rsidRDefault="00094747" w:rsidP="00651574">
            <w:pPr>
              <w:rPr>
                <w:sz w:val="24"/>
                <w:szCs w:val="24"/>
                <w:lang w:val="en-GB"/>
              </w:rPr>
            </w:pPr>
            <w:r w:rsidRPr="001E6344">
              <w:rPr>
                <w:sz w:val="24"/>
                <w:szCs w:val="24"/>
                <w:lang w:val="en-GB"/>
              </w:rPr>
              <w:t>thrombocytopenia</w:t>
            </w:r>
          </w:p>
        </w:tc>
        <w:tc>
          <w:tcPr>
            <w:tcW w:w="2662" w:type="pct"/>
            <w:tcBorders>
              <w:top w:val="single" w:sz="4" w:space="0" w:color="000000"/>
              <w:left w:val="single" w:sz="4" w:space="0" w:color="000000"/>
              <w:bottom w:val="single" w:sz="4" w:space="0" w:color="000000"/>
              <w:right w:val="single" w:sz="4" w:space="0" w:color="000000"/>
            </w:tcBorders>
            <w:hideMark/>
          </w:tcPr>
          <w:p w14:paraId="54C07EE7" w14:textId="77777777" w:rsidR="00094747" w:rsidRPr="001E6344" w:rsidRDefault="00094747" w:rsidP="00651574">
            <w:pPr>
              <w:rPr>
                <w:sz w:val="24"/>
                <w:szCs w:val="24"/>
                <w:lang w:val="en-GB"/>
              </w:rPr>
            </w:pPr>
            <w:r w:rsidRPr="001E6344">
              <w:rPr>
                <w:sz w:val="24"/>
                <w:szCs w:val="24"/>
                <w:lang w:val="en-GB"/>
              </w:rPr>
              <w:t>Rare</w:t>
            </w:r>
          </w:p>
        </w:tc>
      </w:tr>
      <w:tr w:rsidR="00094747" w:rsidRPr="001E6344" w14:paraId="77F4EC7A"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3490C6BD" w14:textId="77777777" w:rsidR="00094747" w:rsidRPr="001E6344" w:rsidRDefault="00094747" w:rsidP="00651574">
            <w:pPr>
              <w:rPr>
                <w:sz w:val="24"/>
                <w:szCs w:val="24"/>
                <w:lang w:val="en-GB"/>
              </w:rPr>
            </w:pPr>
          </w:p>
        </w:tc>
        <w:tc>
          <w:tcPr>
            <w:tcW w:w="2662" w:type="pct"/>
            <w:tcBorders>
              <w:top w:val="single" w:sz="4" w:space="0" w:color="000000"/>
              <w:left w:val="single" w:sz="4" w:space="0" w:color="000000"/>
              <w:bottom w:val="single" w:sz="4" w:space="0" w:color="000000"/>
              <w:right w:val="single" w:sz="4" w:space="0" w:color="000000"/>
            </w:tcBorders>
          </w:tcPr>
          <w:p w14:paraId="31251DCC" w14:textId="77777777" w:rsidR="00094747" w:rsidRPr="001E6344" w:rsidRDefault="00094747" w:rsidP="00651574">
            <w:pPr>
              <w:rPr>
                <w:sz w:val="24"/>
                <w:szCs w:val="24"/>
                <w:lang w:val="en-GB"/>
              </w:rPr>
            </w:pPr>
          </w:p>
        </w:tc>
      </w:tr>
      <w:tr w:rsidR="004629A1" w:rsidRPr="001E6344" w14:paraId="60F0554D"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31388919" w14:textId="6F692A75" w:rsidR="004629A1" w:rsidRPr="001E6344" w:rsidRDefault="004629A1" w:rsidP="00651574">
            <w:pPr>
              <w:rPr>
                <w:b/>
                <w:sz w:val="24"/>
                <w:szCs w:val="24"/>
                <w:lang w:val="en-GB"/>
              </w:rPr>
            </w:pPr>
            <w:r w:rsidRPr="001E6344">
              <w:rPr>
                <w:b/>
                <w:sz w:val="24"/>
                <w:szCs w:val="24"/>
                <w:lang w:val="en-GB"/>
              </w:rPr>
              <w:t>Immune system disorders</w:t>
            </w:r>
          </w:p>
        </w:tc>
      </w:tr>
      <w:tr w:rsidR="00094747" w:rsidRPr="001E6344" w14:paraId="027B6A0C" w14:textId="77777777" w:rsidTr="008C7DB3">
        <w:trPr>
          <w:trHeight w:val="533"/>
        </w:trPr>
        <w:tc>
          <w:tcPr>
            <w:tcW w:w="2338" w:type="pct"/>
            <w:tcBorders>
              <w:top w:val="single" w:sz="4" w:space="0" w:color="000000"/>
              <w:left w:val="single" w:sz="4" w:space="0" w:color="000000"/>
              <w:bottom w:val="single" w:sz="4" w:space="0" w:color="000000"/>
              <w:right w:val="single" w:sz="4" w:space="0" w:color="000000"/>
            </w:tcBorders>
            <w:hideMark/>
          </w:tcPr>
          <w:p w14:paraId="7F056746" w14:textId="77777777" w:rsidR="00094747" w:rsidRPr="001E6344" w:rsidRDefault="00094747" w:rsidP="00651574">
            <w:pPr>
              <w:rPr>
                <w:sz w:val="24"/>
                <w:szCs w:val="24"/>
                <w:lang w:val="en-GB"/>
              </w:rPr>
            </w:pPr>
            <w:r w:rsidRPr="001E6344">
              <w:rPr>
                <w:sz w:val="24"/>
                <w:szCs w:val="24"/>
                <w:lang w:val="en-GB"/>
              </w:rPr>
              <w:t xml:space="preserve">hypersensitivity reactions including anaphylactic responses </w:t>
            </w:r>
            <w:proofErr w:type="gramStart"/>
            <w:r w:rsidRPr="001E6344">
              <w:rPr>
                <w:sz w:val="24"/>
                <w:szCs w:val="24"/>
                <w:vertAlign w:val="superscript"/>
                <w:lang w:val="en-GB"/>
              </w:rPr>
              <w:t>*,†</w:t>
            </w:r>
            <w:proofErr w:type="gramEnd"/>
          </w:p>
        </w:tc>
        <w:tc>
          <w:tcPr>
            <w:tcW w:w="2662" w:type="pct"/>
            <w:tcBorders>
              <w:top w:val="single" w:sz="4" w:space="0" w:color="000000"/>
              <w:left w:val="single" w:sz="4" w:space="0" w:color="000000"/>
              <w:bottom w:val="single" w:sz="4" w:space="0" w:color="000000"/>
              <w:right w:val="single" w:sz="4" w:space="0" w:color="000000"/>
            </w:tcBorders>
            <w:hideMark/>
          </w:tcPr>
          <w:p w14:paraId="0D57F5BF"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077E59F1"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539FF0AD" w14:textId="77777777" w:rsidR="00094747" w:rsidRPr="001E6344" w:rsidRDefault="00094747" w:rsidP="00651574">
            <w:pPr>
              <w:rPr>
                <w:sz w:val="24"/>
                <w:szCs w:val="24"/>
                <w:lang w:val="en-GB"/>
              </w:rPr>
            </w:pPr>
          </w:p>
        </w:tc>
        <w:tc>
          <w:tcPr>
            <w:tcW w:w="2662" w:type="pct"/>
            <w:tcBorders>
              <w:top w:val="single" w:sz="4" w:space="0" w:color="000000"/>
              <w:left w:val="single" w:sz="4" w:space="0" w:color="000000"/>
              <w:bottom w:val="single" w:sz="4" w:space="0" w:color="000000"/>
              <w:right w:val="single" w:sz="4" w:space="0" w:color="000000"/>
            </w:tcBorders>
          </w:tcPr>
          <w:p w14:paraId="39E0FE08" w14:textId="77777777" w:rsidR="00094747" w:rsidRPr="001E6344" w:rsidRDefault="00094747" w:rsidP="00651574">
            <w:pPr>
              <w:rPr>
                <w:sz w:val="24"/>
                <w:szCs w:val="24"/>
                <w:lang w:val="en-GB"/>
              </w:rPr>
            </w:pPr>
          </w:p>
        </w:tc>
      </w:tr>
      <w:tr w:rsidR="004629A1" w:rsidRPr="001E6344" w14:paraId="105524CD"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4D033D58" w14:textId="5A6EE6C7" w:rsidR="004629A1" w:rsidRPr="001E6344" w:rsidRDefault="004629A1" w:rsidP="00651574">
            <w:pPr>
              <w:rPr>
                <w:b/>
                <w:sz w:val="24"/>
                <w:szCs w:val="24"/>
                <w:lang w:val="en-GB"/>
              </w:rPr>
            </w:pPr>
            <w:r w:rsidRPr="001E6344">
              <w:rPr>
                <w:b/>
                <w:sz w:val="24"/>
                <w:szCs w:val="24"/>
                <w:lang w:val="en-GB"/>
              </w:rPr>
              <w:t>Metabolism and nutrition disorders</w:t>
            </w:r>
          </w:p>
        </w:tc>
      </w:tr>
      <w:tr w:rsidR="00094747" w:rsidRPr="001E6344" w14:paraId="63675BB9" w14:textId="77777777" w:rsidTr="008C7DB3">
        <w:trPr>
          <w:trHeight w:val="274"/>
        </w:trPr>
        <w:tc>
          <w:tcPr>
            <w:tcW w:w="2338" w:type="pct"/>
            <w:tcBorders>
              <w:top w:val="single" w:sz="4" w:space="0" w:color="000000"/>
              <w:left w:val="single" w:sz="4" w:space="0" w:color="000000"/>
              <w:bottom w:val="single" w:sz="4" w:space="0" w:color="000000"/>
              <w:right w:val="single" w:sz="4" w:space="0" w:color="000000"/>
            </w:tcBorders>
            <w:hideMark/>
          </w:tcPr>
          <w:p w14:paraId="2D71790E" w14:textId="77777777" w:rsidR="00094747" w:rsidRPr="001E6344" w:rsidRDefault="00094747" w:rsidP="00651574">
            <w:pPr>
              <w:rPr>
                <w:sz w:val="24"/>
                <w:szCs w:val="24"/>
                <w:lang w:val="en-GB"/>
              </w:rPr>
            </w:pPr>
            <w:r w:rsidRPr="001E6344">
              <w:rPr>
                <w:sz w:val="24"/>
                <w:szCs w:val="24"/>
                <w:lang w:val="en-GB"/>
              </w:rPr>
              <w:t>hypoglycaemia</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753DEAD8" w14:textId="77777777" w:rsidR="00094747" w:rsidRPr="001E6344" w:rsidRDefault="00094747" w:rsidP="00651574">
            <w:pPr>
              <w:rPr>
                <w:sz w:val="24"/>
                <w:szCs w:val="24"/>
                <w:lang w:val="en-GB"/>
              </w:rPr>
            </w:pPr>
            <w:r w:rsidRPr="001E6344">
              <w:rPr>
                <w:sz w:val="24"/>
                <w:szCs w:val="24"/>
                <w:lang w:val="en-GB"/>
              </w:rPr>
              <w:t>Common</w:t>
            </w:r>
          </w:p>
        </w:tc>
      </w:tr>
      <w:tr w:rsidR="00094747" w:rsidRPr="001E6344" w14:paraId="5D163B77"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0F36C0C5" w14:textId="63755E0C" w:rsidR="00094747" w:rsidRPr="001E6344" w:rsidRDefault="006B4708" w:rsidP="00651574">
            <w:pPr>
              <w:rPr>
                <w:sz w:val="24"/>
                <w:szCs w:val="24"/>
                <w:lang w:val="en-GB"/>
              </w:rPr>
            </w:pPr>
            <w:r>
              <w:rPr>
                <w:szCs w:val="22"/>
              </w:rPr>
              <w:t xml:space="preserve">vitamin B12 </w:t>
            </w:r>
            <w:proofErr w:type="spellStart"/>
            <w:r>
              <w:rPr>
                <w:szCs w:val="22"/>
              </w:rPr>
              <w:t>decrease</w:t>
            </w:r>
            <w:proofErr w:type="spellEnd"/>
            <w:r>
              <w:rPr>
                <w:szCs w:val="22"/>
              </w:rPr>
              <w:t>/</w:t>
            </w:r>
            <w:proofErr w:type="spellStart"/>
            <w:r>
              <w:rPr>
                <w:szCs w:val="22"/>
              </w:rPr>
              <w:t>deficiency</w:t>
            </w:r>
            <w:proofErr w:type="spellEnd"/>
            <w:r>
              <w:rPr>
                <w:b/>
                <w:szCs w:val="22"/>
                <w:vertAlign w:val="superscript"/>
              </w:rPr>
              <w:t>†</w:t>
            </w:r>
          </w:p>
        </w:tc>
        <w:tc>
          <w:tcPr>
            <w:tcW w:w="2662" w:type="pct"/>
            <w:tcBorders>
              <w:top w:val="single" w:sz="4" w:space="0" w:color="000000"/>
              <w:left w:val="single" w:sz="4" w:space="0" w:color="000000"/>
              <w:bottom w:val="single" w:sz="4" w:space="0" w:color="000000"/>
              <w:right w:val="single" w:sz="4" w:space="0" w:color="000000"/>
            </w:tcBorders>
          </w:tcPr>
          <w:p w14:paraId="428E0302" w14:textId="07856ABF" w:rsidR="00094747" w:rsidRPr="001E6344" w:rsidRDefault="006B4708" w:rsidP="00651574">
            <w:pPr>
              <w:rPr>
                <w:sz w:val="24"/>
                <w:szCs w:val="24"/>
                <w:lang w:val="en-GB"/>
              </w:rPr>
            </w:pPr>
            <w:r>
              <w:rPr>
                <w:sz w:val="24"/>
                <w:szCs w:val="24"/>
                <w:lang w:val="en-GB"/>
              </w:rPr>
              <w:t>Common</w:t>
            </w:r>
          </w:p>
        </w:tc>
      </w:tr>
      <w:tr w:rsidR="006B4708" w:rsidRPr="001E6344" w14:paraId="6B256056"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30D7AC4B" w14:textId="77777777" w:rsidR="006B4708" w:rsidRDefault="006B4708" w:rsidP="00651574">
            <w:pPr>
              <w:rPr>
                <w:szCs w:val="22"/>
              </w:rPr>
            </w:pPr>
          </w:p>
        </w:tc>
        <w:tc>
          <w:tcPr>
            <w:tcW w:w="2662" w:type="pct"/>
            <w:tcBorders>
              <w:top w:val="single" w:sz="4" w:space="0" w:color="000000"/>
              <w:left w:val="single" w:sz="4" w:space="0" w:color="000000"/>
              <w:bottom w:val="single" w:sz="4" w:space="0" w:color="000000"/>
              <w:right w:val="single" w:sz="4" w:space="0" w:color="000000"/>
            </w:tcBorders>
          </w:tcPr>
          <w:p w14:paraId="5CF9830D" w14:textId="77777777" w:rsidR="006B4708" w:rsidRDefault="006B4708" w:rsidP="00651574">
            <w:pPr>
              <w:rPr>
                <w:sz w:val="24"/>
                <w:szCs w:val="24"/>
                <w:lang w:val="en-GB"/>
              </w:rPr>
            </w:pPr>
          </w:p>
        </w:tc>
      </w:tr>
      <w:tr w:rsidR="004629A1" w:rsidRPr="001E6344" w14:paraId="35DFF1C1"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0C3A5BC9" w14:textId="0C066BEA" w:rsidR="004629A1" w:rsidRPr="001E6344" w:rsidRDefault="004629A1" w:rsidP="00651574">
            <w:pPr>
              <w:rPr>
                <w:b/>
                <w:sz w:val="24"/>
                <w:szCs w:val="24"/>
                <w:lang w:val="en-GB"/>
              </w:rPr>
            </w:pPr>
            <w:r w:rsidRPr="001E6344">
              <w:rPr>
                <w:b/>
                <w:sz w:val="24"/>
                <w:szCs w:val="24"/>
                <w:lang w:val="en-GB"/>
              </w:rPr>
              <w:t>Nervous system disorders</w:t>
            </w:r>
          </w:p>
        </w:tc>
      </w:tr>
      <w:tr w:rsidR="00094747" w:rsidRPr="001E6344" w14:paraId="6714D73B"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6B4A5ABE" w14:textId="77777777" w:rsidR="00094747" w:rsidRPr="001E6344" w:rsidRDefault="00094747" w:rsidP="00651574">
            <w:pPr>
              <w:rPr>
                <w:sz w:val="24"/>
                <w:szCs w:val="24"/>
                <w:lang w:val="en-GB"/>
              </w:rPr>
            </w:pPr>
            <w:r w:rsidRPr="001E6344">
              <w:rPr>
                <w:sz w:val="24"/>
                <w:szCs w:val="24"/>
                <w:lang w:val="en-GB"/>
              </w:rPr>
              <w:t>somnolence</w:t>
            </w:r>
          </w:p>
        </w:tc>
        <w:tc>
          <w:tcPr>
            <w:tcW w:w="2662" w:type="pct"/>
            <w:tcBorders>
              <w:top w:val="single" w:sz="4" w:space="0" w:color="000000"/>
              <w:left w:val="single" w:sz="4" w:space="0" w:color="000000"/>
              <w:bottom w:val="single" w:sz="4" w:space="0" w:color="000000"/>
              <w:right w:val="single" w:sz="4" w:space="0" w:color="000000"/>
            </w:tcBorders>
            <w:hideMark/>
          </w:tcPr>
          <w:p w14:paraId="1E881EDD" w14:textId="77777777" w:rsidR="00094747" w:rsidRPr="001E6344" w:rsidRDefault="00094747" w:rsidP="00651574">
            <w:pPr>
              <w:rPr>
                <w:sz w:val="24"/>
                <w:szCs w:val="24"/>
                <w:lang w:val="en-GB"/>
              </w:rPr>
            </w:pPr>
            <w:r w:rsidRPr="001E6344">
              <w:rPr>
                <w:sz w:val="24"/>
                <w:szCs w:val="24"/>
                <w:lang w:val="en-GB"/>
              </w:rPr>
              <w:t>Uncommon</w:t>
            </w:r>
          </w:p>
        </w:tc>
      </w:tr>
      <w:tr w:rsidR="00094747" w:rsidRPr="001E6344" w14:paraId="0C11BF93"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2591CF32" w14:textId="77777777" w:rsidR="00094747" w:rsidRPr="001E6344" w:rsidRDefault="00094747" w:rsidP="00651574">
            <w:pPr>
              <w:rPr>
                <w:sz w:val="24"/>
                <w:szCs w:val="24"/>
                <w:lang w:val="en-GB"/>
              </w:rPr>
            </w:pPr>
          </w:p>
        </w:tc>
        <w:tc>
          <w:tcPr>
            <w:tcW w:w="2662" w:type="pct"/>
            <w:tcBorders>
              <w:top w:val="single" w:sz="4" w:space="0" w:color="000000"/>
              <w:left w:val="single" w:sz="4" w:space="0" w:color="000000"/>
              <w:bottom w:val="single" w:sz="4" w:space="0" w:color="000000"/>
              <w:right w:val="single" w:sz="4" w:space="0" w:color="000000"/>
            </w:tcBorders>
          </w:tcPr>
          <w:p w14:paraId="65C6860E" w14:textId="77777777" w:rsidR="00094747" w:rsidRPr="001E6344" w:rsidRDefault="00094747" w:rsidP="00651574">
            <w:pPr>
              <w:rPr>
                <w:sz w:val="24"/>
                <w:szCs w:val="24"/>
                <w:lang w:val="en-GB"/>
              </w:rPr>
            </w:pPr>
          </w:p>
        </w:tc>
      </w:tr>
      <w:tr w:rsidR="004629A1" w:rsidRPr="006B4708" w14:paraId="5C81AB29"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33CD0D3D" w14:textId="09C1F529" w:rsidR="004629A1" w:rsidRPr="001E6344" w:rsidRDefault="004629A1" w:rsidP="00651574">
            <w:pPr>
              <w:rPr>
                <w:b/>
                <w:sz w:val="24"/>
                <w:szCs w:val="24"/>
                <w:lang w:val="en-GB"/>
              </w:rPr>
            </w:pPr>
            <w:r w:rsidRPr="001E6344">
              <w:rPr>
                <w:b/>
                <w:sz w:val="24"/>
                <w:szCs w:val="24"/>
                <w:lang w:val="en-GB"/>
              </w:rPr>
              <w:t>Respiratory, thoracic and mediastinal disorders</w:t>
            </w:r>
          </w:p>
        </w:tc>
      </w:tr>
      <w:tr w:rsidR="00094747" w:rsidRPr="001E6344" w14:paraId="47944EA3"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7590211A" w14:textId="77777777" w:rsidR="00094747" w:rsidRPr="001E6344" w:rsidRDefault="00094747" w:rsidP="00651574">
            <w:pPr>
              <w:rPr>
                <w:sz w:val="24"/>
                <w:szCs w:val="24"/>
                <w:lang w:val="en-GB"/>
              </w:rPr>
            </w:pPr>
            <w:r w:rsidRPr="001E6344">
              <w:rPr>
                <w:sz w:val="24"/>
                <w:szCs w:val="24"/>
                <w:lang w:val="en-GB"/>
              </w:rPr>
              <w:t>interstitial lung disease</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3552E126"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38AB9F0B"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1F99A945" w14:textId="77777777" w:rsidR="00094747" w:rsidRPr="001E6344" w:rsidRDefault="00094747" w:rsidP="00651574">
            <w:pPr>
              <w:rPr>
                <w:sz w:val="24"/>
                <w:szCs w:val="24"/>
                <w:lang w:val="en-GB"/>
              </w:rPr>
            </w:pPr>
          </w:p>
        </w:tc>
        <w:tc>
          <w:tcPr>
            <w:tcW w:w="2662" w:type="pct"/>
            <w:tcBorders>
              <w:top w:val="single" w:sz="4" w:space="0" w:color="000000"/>
              <w:left w:val="single" w:sz="4" w:space="0" w:color="000000"/>
              <w:bottom w:val="single" w:sz="4" w:space="0" w:color="000000"/>
              <w:right w:val="single" w:sz="4" w:space="0" w:color="000000"/>
            </w:tcBorders>
          </w:tcPr>
          <w:p w14:paraId="64FF7EAD" w14:textId="77777777" w:rsidR="00094747" w:rsidRPr="001E6344" w:rsidRDefault="00094747" w:rsidP="00651574">
            <w:pPr>
              <w:rPr>
                <w:sz w:val="24"/>
                <w:szCs w:val="24"/>
                <w:lang w:val="en-GB"/>
              </w:rPr>
            </w:pPr>
          </w:p>
        </w:tc>
      </w:tr>
      <w:tr w:rsidR="004629A1" w:rsidRPr="001E6344" w14:paraId="54893CB7"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6C174A45" w14:textId="1577DA83" w:rsidR="004629A1" w:rsidRPr="001E6344" w:rsidRDefault="004629A1" w:rsidP="00651574">
            <w:pPr>
              <w:rPr>
                <w:b/>
                <w:sz w:val="24"/>
                <w:szCs w:val="24"/>
                <w:lang w:val="en-GB"/>
              </w:rPr>
            </w:pPr>
            <w:r w:rsidRPr="001E6344">
              <w:rPr>
                <w:b/>
                <w:sz w:val="24"/>
                <w:szCs w:val="24"/>
                <w:lang w:val="en-GB"/>
              </w:rPr>
              <w:t>Gastrointestinal disorders</w:t>
            </w:r>
          </w:p>
        </w:tc>
      </w:tr>
      <w:tr w:rsidR="00094747" w:rsidRPr="001E6344" w14:paraId="2775152B"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2FEB17DE" w14:textId="77777777" w:rsidR="00094747" w:rsidRPr="001E6344" w:rsidRDefault="00094747" w:rsidP="00651574">
            <w:pPr>
              <w:rPr>
                <w:sz w:val="24"/>
                <w:szCs w:val="24"/>
                <w:lang w:val="en-GB"/>
              </w:rPr>
            </w:pPr>
            <w:r w:rsidRPr="001E6344">
              <w:rPr>
                <w:sz w:val="24"/>
                <w:szCs w:val="24"/>
                <w:lang w:val="en-GB"/>
              </w:rPr>
              <w:t>diarrhoea</w:t>
            </w:r>
          </w:p>
        </w:tc>
        <w:tc>
          <w:tcPr>
            <w:tcW w:w="2662" w:type="pct"/>
            <w:tcBorders>
              <w:top w:val="single" w:sz="4" w:space="0" w:color="000000"/>
              <w:left w:val="single" w:sz="4" w:space="0" w:color="000000"/>
              <w:bottom w:val="single" w:sz="4" w:space="0" w:color="000000"/>
              <w:right w:val="single" w:sz="4" w:space="0" w:color="000000"/>
            </w:tcBorders>
            <w:hideMark/>
          </w:tcPr>
          <w:p w14:paraId="68FF5BE3" w14:textId="77777777" w:rsidR="00094747" w:rsidRPr="001E6344" w:rsidRDefault="00094747" w:rsidP="00651574">
            <w:pPr>
              <w:rPr>
                <w:sz w:val="24"/>
                <w:szCs w:val="24"/>
                <w:lang w:val="en-GB"/>
              </w:rPr>
            </w:pPr>
            <w:r w:rsidRPr="001E6344">
              <w:rPr>
                <w:sz w:val="24"/>
                <w:szCs w:val="24"/>
                <w:lang w:val="en-GB"/>
              </w:rPr>
              <w:t>Uncommon</w:t>
            </w:r>
          </w:p>
        </w:tc>
      </w:tr>
      <w:tr w:rsidR="00094747" w:rsidRPr="001E6344" w14:paraId="0EBB7A00"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51B9D635" w14:textId="77777777" w:rsidR="00094747" w:rsidRPr="001E6344" w:rsidRDefault="00094747" w:rsidP="00651574">
            <w:pPr>
              <w:rPr>
                <w:sz w:val="24"/>
                <w:szCs w:val="24"/>
                <w:lang w:val="en-GB"/>
              </w:rPr>
            </w:pPr>
            <w:r w:rsidRPr="001E6344">
              <w:rPr>
                <w:sz w:val="24"/>
                <w:szCs w:val="24"/>
                <w:lang w:val="en-GB"/>
              </w:rPr>
              <w:t>nausea</w:t>
            </w:r>
          </w:p>
        </w:tc>
        <w:tc>
          <w:tcPr>
            <w:tcW w:w="2662" w:type="pct"/>
            <w:tcBorders>
              <w:top w:val="single" w:sz="4" w:space="0" w:color="000000"/>
              <w:left w:val="single" w:sz="4" w:space="0" w:color="000000"/>
              <w:bottom w:val="single" w:sz="4" w:space="0" w:color="000000"/>
              <w:right w:val="single" w:sz="4" w:space="0" w:color="000000"/>
            </w:tcBorders>
            <w:hideMark/>
          </w:tcPr>
          <w:p w14:paraId="615B82F2" w14:textId="77777777" w:rsidR="00094747" w:rsidRPr="001E6344" w:rsidRDefault="00094747" w:rsidP="00651574">
            <w:pPr>
              <w:rPr>
                <w:sz w:val="24"/>
                <w:szCs w:val="24"/>
                <w:lang w:val="en-GB"/>
              </w:rPr>
            </w:pPr>
            <w:r w:rsidRPr="001E6344">
              <w:rPr>
                <w:sz w:val="24"/>
                <w:szCs w:val="24"/>
                <w:lang w:val="en-GB"/>
              </w:rPr>
              <w:t>Common</w:t>
            </w:r>
          </w:p>
        </w:tc>
      </w:tr>
      <w:tr w:rsidR="00094747" w:rsidRPr="001E6344" w14:paraId="3FB2E709"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4943FDAF" w14:textId="77777777" w:rsidR="00094747" w:rsidRPr="001E6344" w:rsidRDefault="00094747" w:rsidP="00651574">
            <w:pPr>
              <w:rPr>
                <w:sz w:val="24"/>
                <w:szCs w:val="24"/>
                <w:lang w:val="en-GB"/>
              </w:rPr>
            </w:pPr>
            <w:r w:rsidRPr="001E6344">
              <w:rPr>
                <w:sz w:val="24"/>
                <w:szCs w:val="24"/>
                <w:lang w:val="en-GB"/>
              </w:rPr>
              <w:t>flatulence</w:t>
            </w:r>
          </w:p>
        </w:tc>
        <w:tc>
          <w:tcPr>
            <w:tcW w:w="2662" w:type="pct"/>
            <w:tcBorders>
              <w:top w:val="single" w:sz="4" w:space="0" w:color="000000"/>
              <w:left w:val="single" w:sz="4" w:space="0" w:color="000000"/>
              <w:bottom w:val="single" w:sz="4" w:space="0" w:color="000000"/>
              <w:right w:val="single" w:sz="4" w:space="0" w:color="000000"/>
            </w:tcBorders>
            <w:hideMark/>
          </w:tcPr>
          <w:p w14:paraId="5067F871" w14:textId="77777777" w:rsidR="00094747" w:rsidRPr="001E6344" w:rsidRDefault="00094747" w:rsidP="00651574">
            <w:pPr>
              <w:rPr>
                <w:sz w:val="24"/>
                <w:szCs w:val="24"/>
                <w:lang w:val="en-GB"/>
              </w:rPr>
            </w:pPr>
            <w:r w:rsidRPr="001E6344">
              <w:rPr>
                <w:sz w:val="24"/>
                <w:szCs w:val="24"/>
                <w:lang w:val="en-GB"/>
              </w:rPr>
              <w:t>Common</w:t>
            </w:r>
          </w:p>
        </w:tc>
      </w:tr>
      <w:tr w:rsidR="00094747" w:rsidRPr="001E6344" w14:paraId="6EBB70AD"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4D5611E5" w14:textId="77777777" w:rsidR="00094747" w:rsidRPr="001E6344" w:rsidRDefault="00094747" w:rsidP="00651574">
            <w:pPr>
              <w:rPr>
                <w:sz w:val="24"/>
                <w:szCs w:val="24"/>
                <w:lang w:val="en-GB"/>
              </w:rPr>
            </w:pPr>
            <w:r w:rsidRPr="001E6344">
              <w:rPr>
                <w:sz w:val="24"/>
                <w:szCs w:val="24"/>
                <w:lang w:val="en-GB"/>
              </w:rPr>
              <w:t>constipation</w:t>
            </w:r>
          </w:p>
        </w:tc>
        <w:tc>
          <w:tcPr>
            <w:tcW w:w="2662" w:type="pct"/>
            <w:tcBorders>
              <w:top w:val="single" w:sz="4" w:space="0" w:color="000000"/>
              <w:left w:val="single" w:sz="4" w:space="0" w:color="000000"/>
              <w:bottom w:val="single" w:sz="4" w:space="0" w:color="000000"/>
              <w:right w:val="single" w:sz="4" w:space="0" w:color="000000"/>
            </w:tcBorders>
            <w:hideMark/>
          </w:tcPr>
          <w:p w14:paraId="79F95EEC" w14:textId="77777777" w:rsidR="00094747" w:rsidRPr="001E6344" w:rsidRDefault="00094747" w:rsidP="00651574">
            <w:pPr>
              <w:rPr>
                <w:sz w:val="24"/>
                <w:szCs w:val="24"/>
                <w:lang w:val="en-GB"/>
              </w:rPr>
            </w:pPr>
            <w:r w:rsidRPr="001E6344">
              <w:rPr>
                <w:sz w:val="24"/>
                <w:szCs w:val="24"/>
                <w:lang w:val="en-GB"/>
              </w:rPr>
              <w:t>Uncommon</w:t>
            </w:r>
          </w:p>
        </w:tc>
      </w:tr>
      <w:tr w:rsidR="00094747" w:rsidRPr="001E6344" w14:paraId="0AAD7ED5"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27DEA13F" w14:textId="77777777" w:rsidR="00094747" w:rsidRPr="001E6344" w:rsidRDefault="00094747" w:rsidP="00651574">
            <w:pPr>
              <w:rPr>
                <w:sz w:val="24"/>
                <w:szCs w:val="24"/>
                <w:lang w:val="en-GB"/>
              </w:rPr>
            </w:pPr>
            <w:r w:rsidRPr="001E6344">
              <w:rPr>
                <w:sz w:val="24"/>
                <w:szCs w:val="24"/>
                <w:lang w:val="en-GB"/>
              </w:rPr>
              <w:t>upper abdominal pain</w:t>
            </w:r>
          </w:p>
        </w:tc>
        <w:tc>
          <w:tcPr>
            <w:tcW w:w="2662" w:type="pct"/>
            <w:tcBorders>
              <w:top w:val="single" w:sz="4" w:space="0" w:color="000000"/>
              <w:left w:val="single" w:sz="4" w:space="0" w:color="000000"/>
              <w:bottom w:val="single" w:sz="4" w:space="0" w:color="000000"/>
              <w:right w:val="single" w:sz="4" w:space="0" w:color="000000"/>
            </w:tcBorders>
            <w:hideMark/>
          </w:tcPr>
          <w:p w14:paraId="22DCC63B" w14:textId="77777777" w:rsidR="00094747" w:rsidRPr="001E6344" w:rsidRDefault="00094747" w:rsidP="00651574">
            <w:pPr>
              <w:rPr>
                <w:sz w:val="24"/>
                <w:szCs w:val="24"/>
                <w:lang w:val="en-GB"/>
              </w:rPr>
            </w:pPr>
            <w:r w:rsidRPr="001E6344">
              <w:rPr>
                <w:sz w:val="24"/>
                <w:szCs w:val="24"/>
                <w:lang w:val="en-GB"/>
              </w:rPr>
              <w:t>Uncommon</w:t>
            </w:r>
          </w:p>
        </w:tc>
      </w:tr>
      <w:tr w:rsidR="00094747" w:rsidRPr="001E6344" w14:paraId="2A9E602C"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3CE76A1A" w14:textId="77777777" w:rsidR="00094747" w:rsidRPr="001E6344" w:rsidRDefault="00094747" w:rsidP="00651574">
            <w:pPr>
              <w:rPr>
                <w:sz w:val="24"/>
                <w:szCs w:val="24"/>
                <w:lang w:val="en-GB"/>
              </w:rPr>
            </w:pPr>
            <w:r w:rsidRPr="001E6344">
              <w:rPr>
                <w:sz w:val="24"/>
                <w:szCs w:val="24"/>
                <w:lang w:val="en-GB"/>
              </w:rPr>
              <w:t xml:space="preserve">vomiting </w:t>
            </w:r>
          </w:p>
        </w:tc>
        <w:tc>
          <w:tcPr>
            <w:tcW w:w="2662" w:type="pct"/>
            <w:tcBorders>
              <w:top w:val="single" w:sz="4" w:space="0" w:color="000000"/>
              <w:left w:val="single" w:sz="4" w:space="0" w:color="000000"/>
              <w:bottom w:val="single" w:sz="4" w:space="0" w:color="000000"/>
              <w:right w:val="single" w:sz="4" w:space="0" w:color="000000"/>
            </w:tcBorders>
            <w:hideMark/>
          </w:tcPr>
          <w:p w14:paraId="14DE2E2E" w14:textId="77777777" w:rsidR="00094747" w:rsidRPr="001E6344" w:rsidRDefault="00094747" w:rsidP="00651574">
            <w:pPr>
              <w:rPr>
                <w:sz w:val="24"/>
                <w:szCs w:val="24"/>
                <w:lang w:val="en-GB"/>
              </w:rPr>
            </w:pPr>
            <w:r w:rsidRPr="001E6344">
              <w:rPr>
                <w:sz w:val="24"/>
                <w:szCs w:val="24"/>
                <w:lang w:val="en-GB"/>
              </w:rPr>
              <w:t>Common</w:t>
            </w:r>
          </w:p>
        </w:tc>
      </w:tr>
      <w:tr w:rsidR="00094747" w:rsidRPr="001E6344" w14:paraId="21757334" w14:textId="77777777" w:rsidTr="008C7DB3">
        <w:trPr>
          <w:trHeight w:val="274"/>
        </w:trPr>
        <w:tc>
          <w:tcPr>
            <w:tcW w:w="2338" w:type="pct"/>
            <w:tcBorders>
              <w:top w:val="single" w:sz="4" w:space="0" w:color="000000"/>
              <w:left w:val="single" w:sz="4" w:space="0" w:color="000000"/>
              <w:bottom w:val="single" w:sz="4" w:space="0" w:color="000000"/>
              <w:right w:val="single" w:sz="4" w:space="0" w:color="000000"/>
            </w:tcBorders>
            <w:hideMark/>
          </w:tcPr>
          <w:p w14:paraId="18DC3A13" w14:textId="77777777" w:rsidR="00094747" w:rsidRPr="001E6344" w:rsidRDefault="00094747" w:rsidP="00651574">
            <w:pPr>
              <w:rPr>
                <w:sz w:val="24"/>
                <w:szCs w:val="24"/>
                <w:lang w:val="en-GB"/>
              </w:rPr>
            </w:pPr>
            <w:r w:rsidRPr="001E6344">
              <w:rPr>
                <w:sz w:val="24"/>
                <w:szCs w:val="24"/>
                <w:lang w:val="en-GB"/>
              </w:rPr>
              <w:t xml:space="preserve">acute pancreatitis </w:t>
            </w:r>
            <w:proofErr w:type="gramStart"/>
            <w:r w:rsidRPr="001E6344">
              <w:rPr>
                <w:sz w:val="24"/>
                <w:szCs w:val="24"/>
                <w:vertAlign w:val="superscript"/>
                <w:lang w:val="en-GB"/>
              </w:rPr>
              <w:t>*,†</w:t>
            </w:r>
            <w:proofErr w:type="gramEnd"/>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53ACA652"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3733D001" w14:textId="77777777" w:rsidTr="008C7DB3">
        <w:trPr>
          <w:trHeight w:val="533"/>
        </w:trPr>
        <w:tc>
          <w:tcPr>
            <w:tcW w:w="2338" w:type="pct"/>
            <w:tcBorders>
              <w:top w:val="single" w:sz="4" w:space="0" w:color="000000"/>
              <w:left w:val="single" w:sz="4" w:space="0" w:color="000000"/>
              <w:bottom w:val="single" w:sz="4" w:space="0" w:color="000000"/>
              <w:right w:val="single" w:sz="4" w:space="0" w:color="000000"/>
            </w:tcBorders>
            <w:hideMark/>
          </w:tcPr>
          <w:p w14:paraId="31D15C72" w14:textId="77777777" w:rsidR="00094747" w:rsidRPr="001E6344" w:rsidRDefault="00094747" w:rsidP="00651574">
            <w:pPr>
              <w:rPr>
                <w:sz w:val="24"/>
                <w:szCs w:val="24"/>
                <w:lang w:val="en-GB"/>
              </w:rPr>
            </w:pPr>
            <w:r w:rsidRPr="001E6344">
              <w:rPr>
                <w:sz w:val="24"/>
                <w:szCs w:val="24"/>
                <w:lang w:val="en-GB"/>
              </w:rPr>
              <w:t>fatal and non-fatal haemorrhagic and necrotising pancreatitis</w:t>
            </w:r>
            <w:proofErr w:type="gramStart"/>
            <w:r w:rsidRPr="001E6344">
              <w:rPr>
                <w:sz w:val="24"/>
                <w:szCs w:val="24"/>
                <w:vertAlign w:val="superscript"/>
                <w:lang w:val="en-GB"/>
              </w:rPr>
              <w:t>*,†</w:t>
            </w:r>
            <w:proofErr w:type="gramEnd"/>
          </w:p>
        </w:tc>
        <w:tc>
          <w:tcPr>
            <w:tcW w:w="2662" w:type="pct"/>
            <w:tcBorders>
              <w:top w:val="single" w:sz="4" w:space="0" w:color="000000"/>
              <w:left w:val="single" w:sz="4" w:space="0" w:color="000000"/>
              <w:bottom w:val="single" w:sz="4" w:space="0" w:color="000000"/>
              <w:right w:val="single" w:sz="4" w:space="0" w:color="000000"/>
            </w:tcBorders>
            <w:hideMark/>
          </w:tcPr>
          <w:p w14:paraId="47D450FD"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49F6B436"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59BF84E3" w14:textId="77777777" w:rsidR="00094747" w:rsidRPr="001E6344" w:rsidRDefault="00094747" w:rsidP="00651574">
            <w:pPr>
              <w:rPr>
                <w:sz w:val="24"/>
                <w:szCs w:val="24"/>
                <w:lang w:val="en-GB"/>
              </w:rPr>
            </w:pPr>
          </w:p>
        </w:tc>
        <w:tc>
          <w:tcPr>
            <w:tcW w:w="2662" w:type="pct"/>
            <w:tcBorders>
              <w:top w:val="single" w:sz="4" w:space="0" w:color="000000"/>
              <w:left w:val="single" w:sz="4" w:space="0" w:color="000000"/>
              <w:bottom w:val="single" w:sz="4" w:space="0" w:color="000000"/>
              <w:right w:val="single" w:sz="4" w:space="0" w:color="000000"/>
            </w:tcBorders>
          </w:tcPr>
          <w:p w14:paraId="2359E018" w14:textId="77777777" w:rsidR="00094747" w:rsidRPr="001E6344" w:rsidRDefault="00094747" w:rsidP="00651574">
            <w:pPr>
              <w:rPr>
                <w:sz w:val="24"/>
                <w:szCs w:val="24"/>
                <w:lang w:val="en-GB"/>
              </w:rPr>
            </w:pPr>
          </w:p>
        </w:tc>
      </w:tr>
      <w:tr w:rsidR="004629A1" w:rsidRPr="006B4708" w14:paraId="24A12E46"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105EEC70" w14:textId="4EE983BF" w:rsidR="004629A1" w:rsidRPr="001E6344" w:rsidRDefault="004629A1" w:rsidP="00651574">
            <w:pPr>
              <w:rPr>
                <w:b/>
                <w:sz w:val="24"/>
                <w:szCs w:val="24"/>
                <w:lang w:val="en-GB"/>
              </w:rPr>
            </w:pPr>
            <w:r w:rsidRPr="001E6344">
              <w:rPr>
                <w:b/>
                <w:sz w:val="24"/>
                <w:szCs w:val="24"/>
                <w:lang w:val="en-GB"/>
              </w:rPr>
              <w:t>Skin and subcutaneous tissue disorders</w:t>
            </w:r>
          </w:p>
        </w:tc>
      </w:tr>
      <w:tr w:rsidR="00094747" w:rsidRPr="001E6344" w14:paraId="1078C9A9"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56790600" w14:textId="77777777" w:rsidR="00094747" w:rsidRPr="001E6344" w:rsidRDefault="00094747" w:rsidP="00651574">
            <w:pPr>
              <w:rPr>
                <w:sz w:val="24"/>
                <w:szCs w:val="24"/>
                <w:lang w:val="en-GB"/>
              </w:rPr>
            </w:pPr>
            <w:r w:rsidRPr="001E6344">
              <w:rPr>
                <w:sz w:val="24"/>
                <w:szCs w:val="24"/>
                <w:lang w:val="en-GB"/>
              </w:rPr>
              <w:t>pruritus</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7BE80E48" w14:textId="77777777" w:rsidR="00094747" w:rsidRPr="001E6344" w:rsidRDefault="00094747" w:rsidP="00651574">
            <w:pPr>
              <w:rPr>
                <w:sz w:val="24"/>
                <w:szCs w:val="24"/>
                <w:lang w:val="en-GB"/>
              </w:rPr>
            </w:pPr>
            <w:r w:rsidRPr="001E6344">
              <w:rPr>
                <w:sz w:val="24"/>
                <w:szCs w:val="24"/>
                <w:lang w:val="en-GB"/>
              </w:rPr>
              <w:t>Uncommon</w:t>
            </w:r>
          </w:p>
        </w:tc>
      </w:tr>
      <w:tr w:rsidR="00094747" w:rsidRPr="001E6344" w14:paraId="6C528FF5" w14:textId="77777777" w:rsidTr="008C7DB3">
        <w:trPr>
          <w:trHeight w:val="274"/>
        </w:trPr>
        <w:tc>
          <w:tcPr>
            <w:tcW w:w="2338" w:type="pct"/>
            <w:tcBorders>
              <w:top w:val="single" w:sz="4" w:space="0" w:color="000000"/>
              <w:left w:val="single" w:sz="4" w:space="0" w:color="000000"/>
              <w:bottom w:val="single" w:sz="4" w:space="0" w:color="000000"/>
              <w:right w:val="single" w:sz="4" w:space="0" w:color="000000"/>
            </w:tcBorders>
            <w:hideMark/>
          </w:tcPr>
          <w:p w14:paraId="04DD0249" w14:textId="77777777" w:rsidR="00094747" w:rsidRPr="001E6344" w:rsidRDefault="00094747" w:rsidP="00651574">
            <w:pPr>
              <w:rPr>
                <w:sz w:val="24"/>
                <w:szCs w:val="24"/>
                <w:lang w:val="en-GB"/>
              </w:rPr>
            </w:pPr>
            <w:r w:rsidRPr="001E6344">
              <w:rPr>
                <w:sz w:val="24"/>
                <w:szCs w:val="24"/>
                <w:lang w:val="en-GB"/>
              </w:rPr>
              <w:t>angioedema</w:t>
            </w:r>
            <w:proofErr w:type="gramStart"/>
            <w:r w:rsidRPr="001E6344">
              <w:rPr>
                <w:sz w:val="24"/>
                <w:szCs w:val="24"/>
                <w:vertAlign w:val="superscript"/>
                <w:lang w:val="en-GB"/>
              </w:rPr>
              <w:t>*,†</w:t>
            </w:r>
            <w:proofErr w:type="gramEnd"/>
          </w:p>
        </w:tc>
        <w:tc>
          <w:tcPr>
            <w:tcW w:w="2662" w:type="pct"/>
            <w:tcBorders>
              <w:top w:val="single" w:sz="4" w:space="0" w:color="000000"/>
              <w:left w:val="single" w:sz="4" w:space="0" w:color="000000"/>
              <w:bottom w:val="single" w:sz="4" w:space="0" w:color="000000"/>
              <w:right w:val="single" w:sz="4" w:space="0" w:color="000000"/>
            </w:tcBorders>
            <w:hideMark/>
          </w:tcPr>
          <w:p w14:paraId="2DAD4C3D"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3028426E" w14:textId="77777777" w:rsidTr="008C7DB3">
        <w:trPr>
          <w:trHeight w:val="274"/>
        </w:trPr>
        <w:tc>
          <w:tcPr>
            <w:tcW w:w="2338" w:type="pct"/>
            <w:tcBorders>
              <w:top w:val="single" w:sz="4" w:space="0" w:color="000000"/>
              <w:left w:val="single" w:sz="4" w:space="0" w:color="000000"/>
              <w:bottom w:val="single" w:sz="4" w:space="0" w:color="000000"/>
              <w:right w:val="single" w:sz="4" w:space="0" w:color="000000"/>
            </w:tcBorders>
            <w:hideMark/>
          </w:tcPr>
          <w:p w14:paraId="36699501" w14:textId="77777777" w:rsidR="00094747" w:rsidRPr="001E6344" w:rsidRDefault="00094747" w:rsidP="00651574">
            <w:pPr>
              <w:rPr>
                <w:sz w:val="24"/>
                <w:szCs w:val="24"/>
                <w:lang w:val="en-GB"/>
              </w:rPr>
            </w:pPr>
            <w:r w:rsidRPr="001E6344">
              <w:rPr>
                <w:sz w:val="24"/>
                <w:szCs w:val="24"/>
                <w:lang w:val="en-GB"/>
              </w:rPr>
              <w:t>rash</w:t>
            </w:r>
            <w:proofErr w:type="gramStart"/>
            <w:r w:rsidRPr="006B4708">
              <w:rPr>
                <w:sz w:val="24"/>
                <w:szCs w:val="24"/>
                <w:vertAlign w:val="superscript"/>
                <w:lang w:val="en-GB"/>
              </w:rPr>
              <w:t>*,†</w:t>
            </w:r>
            <w:proofErr w:type="gramEnd"/>
          </w:p>
        </w:tc>
        <w:tc>
          <w:tcPr>
            <w:tcW w:w="2662" w:type="pct"/>
            <w:tcBorders>
              <w:top w:val="single" w:sz="4" w:space="0" w:color="000000"/>
              <w:left w:val="single" w:sz="4" w:space="0" w:color="000000"/>
              <w:bottom w:val="single" w:sz="4" w:space="0" w:color="000000"/>
              <w:right w:val="single" w:sz="4" w:space="0" w:color="000000"/>
            </w:tcBorders>
            <w:hideMark/>
          </w:tcPr>
          <w:p w14:paraId="0B860987"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72277D8C" w14:textId="77777777" w:rsidTr="008C7DB3">
        <w:trPr>
          <w:trHeight w:val="274"/>
        </w:trPr>
        <w:tc>
          <w:tcPr>
            <w:tcW w:w="2338" w:type="pct"/>
            <w:tcBorders>
              <w:top w:val="single" w:sz="4" w:space="0" w:color="000000"/>
              <w:left w:val="single" w:sz="4" w:space="0" w:color="000000"/>
              <w:bottom w:val="single" w:sz="4" w:space="0" w:color="000000"/>
              <w:right w:val="single" w:sz="4" w:space="0" w:color="000000"/>
            </w:tcBorders>
            <w:hideMark/>
          </w:tcPr>
          <w:p w14:paraId="13894D41" w14:textId="77777777" w:rsidR="00094747" w:rsidRPr="001E6344" w:rsidRDefault="00094747" w:rsidP="00651574">
            <w:pPr>
              <w:rPr>
                <w:sz w:val="24"/>
                <w:szCs w:val="24"/>
                <w:lang w:val="en-GB"/>
              </w:rPr>
            </w:pPr>
            <w:r w:rsidRPr="001E6344">
              <w:rPr>
                <w:sz w:val="24"/>
                <w:szCs w:val="24"/>
                <w:lang w:val="en-GB"/>
              </w:rPr>
              <w:t>urticaria</w:t>
            </w:r>
            <w:proofErr w:type="gramStart"/>
            <w:r w:rsidRPr="001E6344">
              <w:rPr>
                <w:sz w:val="24"/>
                <w:szCs w:val="24"/>
                <w:vertAlign w:val="superscript"/>
                <w:lang w:val="en-GB"/>
              </w:rPr>
              <w:t>*,†</w:t>
            </w:r>
            <w:proofErr w:type="gramEnd"/>
          </w:p>
        </w:tc>
        <w:tc>
          <w:tcPr>
            <w:tcW w:w="2662" w:type="pct"/>
            <w:tcBorders>
              <w:top w:val="single" w:sz="4" w:space="0" w:color="000000"/>
              <w:left w:val="single" w:sz="4" w:space="0" w:color="000000"/>
              <w:bottom w:val="single" w:sz="4" w:space="0" w:color="000000"/>
              <w:right w:val="single" w:sz="4" w:space="0" w:color="000000"/>
            </w:tcBorders>
            <w:hideMark/>
          </w:tcPr>
          <w:p w14:paraId="1565818B"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76DC3EC9" w14:textId="77777777" w:rsidTr="008C7DB3">
        <w:trPr>
          <w:trHeight w:val="274"/>
        </w:trPr>
        <w:tc>
          <w:tcPr>
            <w:tcW w:w="2338" w:type="pct"/>
            <w:tcBorders>
              <w:top w:val="single" w:sz="4" w:space="0" w:color="000000"/>
              <w:left w:val="single" w:sz="4" w:space="0" w:color="000000"/>
              <w:bottom w:val="single" w:sz="4" w:space="0" w:color="000000"/>
              <w:right w:val="single" w:sz="4" w:space="0" w:color="000000"/>
            </w:tcBorders>
            <w:hideMark/>
          </w:tcPr>
          <w:p w14:paraId="70084BB5" w14:textId="77777777" w:rsidR="00094747" w:rsidRPr="001E6344" w:rsidRDefault="00094747" w:rsidP="00651574">
            <w:pPr>
              <w:rPr>
                <w:sz w:val="24"/>
                <w:szCs w:val="24"/>
                <w:lang w:val="en-GB"/>
              </w:rPr>
            </w:pPr>
            <w:r w:rsidRPr="001E6344">
              <w:rPr>
                <w:sz w:val="24"/>
                <w:szCs w:val="24"/>
                <w:lang w:val="en-GB"/>
              </w:rPr>
              <w:t>cutaneous vasculitis</w:t>
            </w:r>
            <w:proofErr w:type="gramStart"/>
            <w:r w:rsidRPr="001E6344">
              <w:rPr>
                <w:sz w:val="24"/>
                <w:szCs w:val="24"/>
                <w:vertAlign w:val="superscript"/>
                <w:lang w:val="en-GB"/>
              </w:rPr>
              <w:t>*,†</w:t>
            </w:r>
            <w:proofErr w:type="gramEnd"/>
          </w:p>
        </w:tc>
        <w:tc>
          <w:tcPr>
            <w:tcW w:w="2662" w:type="pct"/>
            <w:tcBorders>
              <w:top w:val="single" w:sz="4" w:space="0" w:color="000000"/>
              <w:left w:val="single" w:sz="4" w:space="0" w:color="000000"/>
              <w:bottom w:val="single" w:sz="4" w:space="0" w:color="000000"/>
              <w:right w:val="single" w:sz="4" w:space="0" w:color="000000"/>
            </w:tcBorders>
            <w:hideMark/>
          </w:tcPr>
          <w:p w14:paraId="094D55AB"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5CE6EC71" w14:textId="77777777" w:rsidTr="008C7DB3">
        <w:trPr>
          <w:trHeight w:val="533"/>
        </w:trPr>
        <w:tc>
          <w:tcPr>
            <w:tcW w:w="2338" w:type="pct"/>
            <w:tcBorders>
              <w:top w:val="single" w:sz="4" w:space="0" w:color="000000"/>
              <w:left w:val="single" w:sz="4" w:space="0" w:color="000000"/>
              <w:bottom w:val="single" w:sz="4" w:space="0" w:color="000000"/>
              <w:right w:val="single" w:sz="4" w:space="0" w:color="000000"/>
            </w:tcBorders>
            <w:hideMark/>
          </w:tcPr>
          <w:p w14:paraId="7A6191AA" w14:textId="77777777" w:rsidR="00094747" w:rsidRPr="001E6344" w:rsidRDefault="00094747" w:rsidP="00651574">
            <w:pPr>
              <w:rPr>
                <w:sz w:val="24"/>
                <w:szCs w:val="24"/>
                <w:lang w:val="en-GB"/>
              </w:rPr>
            </w:pPr>
            <w:r w:rsidRPr="001E6344">
              <w:rPr>
                <w:sz w:val="24"/>
                <w:szCs w:val="24"/>
                <w:lang w:val="en-GB"/>
              </w:rPr>
              <w:t xml:space="preserve">exfoliative skin conditions including </w:t>
            </w:r>
          </w:p>
          <w:p w14:paraId="0C1E0F49" w14:textId="77777777" w:rsidR="00094747" w:rsidRPr="001E6344" w:rsidRDefault="00094747" w:rsidP="00651574">
            <w:pPr>
              <w:rPr>
                <w:sz w:val="24"/>
                <w:szCs w:val="24"/>
                <w:lang w:val="en-GB"/>
              </w:rPr>
            </w:pPr>
            <w:r w:rsidRPr="001E6344">
              <w:rPr>
                <w:sz w:val="24"/>
                <w:szCs w:val="24"/>
                <w:lang w:val="en-GB"/>
              </w:rPr>
              <w:t>Stevens-Johnson syndrome</w:t>
            </w:r>
            <w:proofErr w:type="gramStart"/>
            <w:r w:rsidRPr="001E6344">
              <w:rPr>
                <w:sz w:val="24"/>
                <w:szCs w:val="24"/>
                <w:vertAlign w:val="superscript"/>
                <w:lang w:val="en-GB"/>
              </w:rPr>
              <w:t>*,†</w:t>
            </w:r>
            <w:proofErr w:type="gramEnd"/>
          </w:p>
        </w:tc>
        <w:tc>
          <w:tcPr>
            <w:tcW w:w="2662" w:type="pct"/>
            <w:tcBorders>
              <w:top w:val="single" w:sz="4" w:space="0" w:color="000000"/>
              <w:left w:val="single" w:sz="4" w:space="0" w:color="000000"/>
              <w:bottom w:val="single" w:sz="4" w:space="0" w:color="000000"/>
              <w:right w:val="single" w:sz="4" w:space="0" w:color="000000"/>
            </w:tcBorders>
            <w:vAlign w:val="center"/>
            <w:hideMark/>
          </w:tcPr>
          <w:p w14:paraId="783D25FA"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3009C377"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22099860" w14:textId="77777777" w:rsidR="00094747" w:rsidRPr="001E6344" w:rsidRDefault="00094747" w:rsidP="00651574">
            <w:pPr>
              <w:rPr>
                <w:sz w:val="24"/>
                <w:szCs w:val="24"/>
                <w:lang w:val="en-GB"/>
              </w:rPr>
            </w:pPr>
            <w:r w:rsidRPr="001E6344">
              <w:rPr>
                <w:sz w:val="24"/>
                <w:szCs w:val="24"/>
                <w:lang w:val="en-GB"/>
              </w:rPr>
              <w:t>bullous pemphigoid</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65274EE0"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1C975FC3"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019C68C7" w14:textId="77777777" w:rsidR="00094747" w:rsidRPr="001E6344" w:rsidRDefault="00094747" w:rsidP="00651574">
            <w:pPr>
              <w:rPr>
                <w:sz w:val="24"/>
                <w:szCs w:val="24"/>
                <w:lang w:val="en-GB"/>
              </w:rPr>
            </w:pPr>
          </w:p>
        </w:tc>
        <w:tc>
          <w:tcPr>
            <w:tcW w:w="2662" w:type="pct"/>
            <w:tcBorders>
              <w:top w:val="single" w:sz="4" w:space="0" w:color="000000"/>
              <w:left w:val="single" w:sz="4" w:space="0" w:color="000000"/>
              <w:bottom w:val="single" w:sz="4" w:space="0" w:color="000000"/>
              <w:right w:val="single" w:sz="4" w:space="0" w:color="000000"/>
            </w:tcBorders>
          </w:tcPr>
          <w:p w14:paraId="686C44C6" w14:textId="77777777" w:rsidR="00094747" w:rsidRPr="001E6344" w:rsidRDefault="00094747" w:rsidP="00651574">
            <w:pPr>
              <w:rPr>
                <w:sz w:val="24"/>
                <w:szCs w:val="24"/>
                <w:lang w:val="en-GB"/>
              </w:rPr>
            </w:pPr>
          </w:p>
        </w:tc>
      </w:tr>
      <w:tr w:rsidR="004629A1" w:rsidRPr="006B4708" w14:paraId="53DA6499"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485DDC54" w14:textId="631BBF50" w:rsidR="004629A1" w:rsidRPr="001E6344" w:rsidRDefault="004629A1" w:rsidP="00651574">
            <w:pPr>
              <w:rPr>
                <w:b/>
                <w:sz w:val="24"/>
                <w:szCs w:val="24"/>
                <w:lang w:val="en-GB"/>
              </w:rPr>
            </w:pPr>
            <w:r w:rsidRPr="001E6344">
              <w:rPr>
                <w:b/>
                <w:sz w:val="24"/>
                <w:szCs w:val="24"/>
                <w:lang w:val="en-GB"/>
              </w:rPr>
              <w:t>Musculoskeletal and connective tissue disorders</w:t>
            </w:r>
          </w:p>
        </w:tc>
      </w:tr>
      <w:tr w:rsidR="00094747" w:rsidRPr="001E6344" w14:paraId="5F6397C1"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7C521280" w14:textId="77777777" w:rsidR="00094747" w:rsidRPr="001E6344" w:rsidRDefault="00094747" w:rsidP="00651574">
            <w:pPr>
              <w:rPr>
                <w:sz w:val="24"/>
                <w:szCs w:val="24"/>
                <w:lang w:val="en-GB"/>
              </w:rPr>
            </w:pPr>
            <w:r w:rsidRPr="001E6344">
              <w:rPr>
                <w:sz w:val="24"/>
                <w:szCs w:val="24"/>
                <w:lang w:val="en-GB"/>
              </w:rPr>
              <w:t>arthralgia</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739CBF4B"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1AF44838"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0AC1BC88" w14:textId="77777777" w:rsidR="00094747" w:rsidRPr="001E6344" w:rsidRDefault="00094747" w:rsidP="00651574">
            <w:pPr>
              <w:rPr>
                <w:sz w:val="24"/>
                <w:szCs w:val="24"/>
                <w:lang w:val="en-GB"/>
              </w:rPr>
            </w:pPr>
            <w:r w:rsidRPr="001E6344">
              <w:rPr>
                <w:sz w:val="24"/>
                <w:szCs w:val="24"/>
                <w:lang w:val="en-GB"/>
              </w:rPr>
              <w:t>myalgia</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456A52B8"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71A95476"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28834AFC" w14:textId="77777777" w:rsidR="00094747" w:rsidRPr="001E6344" w:rsidRDefault="00094747" w:rsidP="00651574">
            <w:pPr>
              <w:rPr>
                <w:sz w:val="24"/>
                <w:szCs w:val="24"/>
                <w:lang w:val="en-GB"/>
              </w:rPr>
            </w:pPr>
            <w:r w:rsidRPr="001E6344">
              <w:rPr>
                <w:sz w:val="24"/>
                <w:szCs w:val="24"/>
                <w:lang w:val="en-GB"/>
              </w:rPr>
              <w:t>pain in extremity</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4FE079B1"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1800135A"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081A38EB" w14:textId="77777777" w:rsidR="00094747" w:rsidRPr="001E6344" w:rsidRDefault="00094747" w:rsidP="00651574">
            <w:pPr>
              <w:rPr>
                <w:sz w:val="24"/>
                <w:szCs w:val="24"/>
                <w:lang w:val="en-GB"/>
              </w:rPr>
            </w:pPr>
            <w:r w:rsidRPr="001E6344">
              <w:rPr>
                <w:sz w:val="24"/>
                <w:szCs w:val="24"/>
                <w:lang w:val="en-GB"/>
              </w:rPr>
              <w:t>back pain</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71064132"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7923AEBD"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55F324A8" w14:textId="77777777" w:rsidR="00094747" w:rsidRPr="001E6344" w:rsidRDefault="00094747" w:rsidP="00651574">
            <w:pPr>
              <w:rPr>
                <w:sz w:val="24"/>
                <w:szCs w:val="24"/>
                <w:lang w:val="en-GB"/>
              </w:rPr>
            </w:pPr>
            <w:r w:rsidRPr="001E6344">
              <w:rPr>
                <w:sz w:val="24"/>
                <w:szCs w:val="24"/>
                <w:lang w:val="en-GB"/>
              </w:rPr>
              <w:t>arthropathy</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6BD22D60"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36850DA9"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tcPr>
          <w:p w14:paraId="68F37408" w14:textId="77777777" w:rsidR="00094747" w:rsidRPr="001E6344" w:rsidRDefault="00094747" w:rsidP="00651574">
            <w:pPr>
              <w:rPr>
                <w:sz w:val="24"/>
                <w:szCs w:val="24"/>
                <w:lang w:val="en-GB"/>
              </w:rPr>
            </w:pPr>
          </w:p>
        </w:tc>
        <w:tc>
          <w:tcPr>
            <w:tcW w:w="2662" w:type="pct"/>
            <w:tcBorders>
              <w:top w:val="single" w:sz="4" w:space="0" w:color="000000"/>
              <w:left w:val="single" w:sz="4" w:space="0" w:color="000000"/>
              <w:bottom w:val="single" w:sz="4" w:space="0" w:color="000000"/>
              <w:right w:val="single" w:sz="4" w:space="0" w:color="000000"/>
            </w:tcBorders>
          </w:tcPr>
          <w:p w14:paraId="5EB73BFC" w14:textId="77777777" w:rsidR="00094747" w:rsidRPr="001E6344" w:rsidRDefault="00094747" w:rsidP="00651574">
            <w:pPr>
              <w:rPr>
                <w:sz w:val="24"/>
                <w:szCs w:val="24"/>
                <w:lang w:val="en-GB"/>
              </w:rPr>
            </w:pPr>
          </w:p>
        </w:tc>
      </w:tr>
      <w:tr w:rsidR="004629A1" w:rsidRPr="001E6344" w14:paraId="6A1E24FB" w14:textId="77777777" w:rsidTr="004629A1">
        <w:trPr>
          <w:trHeight w:val="2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5DFA65BE" w14:textId="06CCCCB2" w:rsidR="004629A1" w:rsidRPr="001E6344" w:rsidRDefault="004629A1" w:rsidP="00651574">
            <w:pPr>
              <w:rPr>
                <w:b/>
                <w:sz w:val="24"/>
                <w:szCs w:val="24"/>
                <w:lang w:val="en-GB"/>
              </w:rPr>
            </w:pPr>
            <w:r w:rsidRPr="001E6344">
              <w:rPr>
                <w:b/>
                <w:sz w:val="24"/>
                <w:szCs w:val="24"/>
                <w:lang w:val="en-GB"/>
              </w:rPr>
              <w:t>Renal and urinary disorders</w:t>
            </w:r>
          </w:p>
        </w:tc>
      </w:tr>
      <w:tr w:rsidR="00094747" w:rsidRPr="001E6344" w14:paraId="18B1708B"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217D8DCC" w14:textId="77777777" w:rsidR="00094747" w:rsidRPr="001E6344" w:rsidRDefault="00094747" w:rsidP="00651574">
            <w:pPr>
              <w:rPr>
                <w:sz w:val="24"/>
                <w:szCs w:val="24"/>
                <w:lang w:val="en-GB"/>
              </w:rPr>
            </w:pPr>
            <w:r w:rsidRPr="001E6344">
              <w:rPr>
                <w:sz w:val="24"/>
                <w:szCs w:val="24"/>
                <w:lang w:val="en-GB"/>
              </w:rPr>
              <w:t>impaired renal function</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68B59210" w14:textId="77777777" w:rsidR="00094747" w:rsidRPr="001E6344" w:rsidRDefault="00094747" w:rsidP="00651574">
            <w:pPr>
              <w:rPr>
                <w:sz w:val="24"/>
                <w:szCs w:val="24"/>
                <w:lang w:val="en-GB"/>
              </w:rPr>
            </w:pPr>
            <w:r w:rsidRPr="001E6344">
              <w:rPr>
                <w:sz w:val="24"/>
                <w:szCs w:val="24"/>
                <w:lang w:val="en-GB"/>
              </w:rPr>
              <w:t>Frequency not known</w:t>
            </w:r>
          </w:p>
        </w:tc>
      </w:tr>
      <w:tr w:rsidR="00094747" w:rsidRPr="001E6344" w14:paraId="0B89BD1A" w14:textId="77777777" w:rsidTr="008C7DB3">
        <w:trPr>
          <w:trHeight w:val="269"/>
        </w:trPr>
        <w:tc>
          <w:tcPr>
            <w:tcW w:w="2338" w:type="pct"/>
            <w:tcBorders>
              <w:top w:val="single" w:sz="4" w:space="0" w:color="000000"/>
              <w:left w:val="single" w:sz="4" w:space="0" w:color="000000"/>
              <w:bottom w:val="single" w:sz="4" w:space="0" w:color="000000"/>
              <w:right w:val="single" w:sz="4" w:space="0" w:color="000000"/>
            </w:tcBorders>
            <w:hideMark/>
          </w:tcPr>
          <w:p w14:paraId="6A373A38" w14:textId="77777777" w:rsidR="00094747" w:rsidRPr="001E6344" w:rsidRDefault="00094747" w:rsidP="00651574">
            <w:pPr>
              <w:rPr>
                <w:sz w:val="24"/>
                <w:szCs w:val="24"/>
                <w:lang w:val="en-GB"/>
              </w:rPr>
            </w:pPr>
            <w:r w:rsidRPr="001E6344">
              <w:rPr>
                <w:sz w:val="24"/>
                <w:szCs w:val="24"/>
                <w:lang w:val="en-GB"/>
              </w:rPr>
              <w:t>acute renal failure</w:t>
            </w:r>
            <w:r w:rsidRPr="001E6344">
              <w:rPr>
                <w:sz w:val="24"/>
                <w:szCs w:val="24"/>
                <w:vertAlign w:val="superscript"/>
                <w:lang w:val="en-GB"/>
              </w:rPr>
              <w:t>*</w:t>
            </w:r>
          </w:p>
        </w:tc>
        <w:tc>
          <w:tcPr>
            <w:tcW w:w="2662" w:type="pct"/>
            <w:tcBorders>
              <w:top w:val="single" w:sz="4" w:space="0" w:color="000000"/>
              <w:left w:val="single" w:sz="4" w:space="0" w:color="000000"/>
              <w:bottom w:val="single" w:sz="4" w:space="0" w:color="000000"/>
              <w:right w:val="single" w:sz="4" w:space="0" w:color="000000"/>
            </w:tcBorders>
            <w:hideMark/>
          </w:tcPr>
          <w:p w14:paraId="63C1593F" w14:textId="77777777" w:rsidR="00094747" w:rsidRPr="001E6344" w:rsidRDefault="00094747" w:rsidP="00651574">
            <w:pPr>
              <w:rPr>
                <w:sz w:val="24"/>
                <w:szCs w:val="24"/>
                <w:lang w:val="en-GB"/>
              </w:rPr>
            </w:pPr>
            <w:r w:rsidRPr="001E6344">
              <w:rPr>
                <w:sz w:val="24"/>
                <w:szCs w:val="24"/>
                <w:lang w:val="en-GB"/>
              </w:rPr>
              <w:t>Frequency not known</w:t>
            </w:r>
          </w:p>
        </w:tc>
      </w:tr>
    </w:tbl>
    <w:p w14:paraId="3E28418C" w14:textId="77777777" w:rsidR="00094747" w:rsidRPr="001E6344" w:rsidRDefault="00094747" w:rsidP="008C7DB3">
      <w:pPr>
        <w:autoSpaceDE w:val="0"/>
        <w:autoSpaceDN w:val="0"/>
        <w:adjustRightInd w:val="0"/>
        <w:ind w:left="851"/>
        <w:rPr>
          <w:sz w:val="20"/>
          <w:lang w:val="en-GB" w:eastAsia="en-US"/>
        </w:rPr>
      </w:pPr>
      <w:r w:rsidRPr="001E6344">
        <w:rPr>
          <w:sz w:val="20"/>
          <w:lang w:val="en-GB"/>
        </w:rPr>
        <w:t>*Adverse reactions were identified through post-marketing surveillance.</w:t>
      </w:r>
    </w:p>
    <w:p w14:paraId="29676D0E" w14:textId="77777777" w:rsidR="00094747" w:rsidRPr="001E6344" w:rsidRDefault="00094747" w:rsidP="008C7DB3">
      <w:pPr>
        <w:autoSpaceDE w:val="0"/>
        <w:autoSpaceDN w:val="0"/>
        <w:adjustRightInd w:val="0"/>
        <w:ind w:left="851"/>
        <w:rPr>
          <w:sz w:val="20"/>
          <w:lang w:val="en-GB"/>
        </w:rPr>
      </w:pPr>
      <w:r w:rsidRPr="001E6344">
        <w:rPr>
          <w:sz w:val="20"/>
          <w:lang w:val="en-GB"/>
        </w:rPr>
        <w:t>† See section 4.4.</w:t>
      </w:r>
    </w:p>
    <w:p w14:paraId="7FCF79B7" w14:textId="77777777" w:rsidR="00094747" w:rsidRPr="001E6344" w:rsidRDefault="00094747" w:rsidP="008C7DB3">
      <w:pPr>
        <w:autoSpaceDE w:val="0"/>
        <w:autoSpaceDN w:val="0"/>
        <w:adjustRightInd w:val="0"/>
        <w:ind w:left="851"/>
        <w:rPr>
          <w:sz w:val="20"/>
          <w:lang w:val="en-GB"/>
        </w:rPr>
      </w:pPr>
      <w:r w:rsidRPr="001E6344">
        <w:rPr>
          <w:sz w:val="20"/>
          <w:lang w:val="en-GB"/>
        </w:rPr>
        <w:t>‡ See TECOS Cardiovascular Safety Study below.</w:t>
      </w:r>
    </w:p>
    <w:p w14:paraId="557D5432" w14:textId="77777777" w:rsidR="00094747" w:rsidRPr="003712F0" w:rsidRDefault="00094747" w:rsidP="00094747">
      <w:pPr>
        <w:autoSpaceDE w:val="0"/>
        <w:autoSpaceDN w:val="0"/>
        <w:adjustRightInd w:val="0"/>
        <w:jc w:val="both"/>
        <w:rPr>
          <w:sz w:val="24"/>
          <w:szCs w:val="24"/>
          <w:lang w:val="en-GB"/>
        </w:rPr>
      </w:pPr>
    </w:p>
    <w:p w14:paraId="4413DF9A"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Description of selected adverse reactions</w:t>
      </w:r>
    </w:p>
    <w:p w14:paraId="4975DDD4"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Some adverse reactions were observed more frequently in studies of combination use of sitagliptin and metformin with other anti-diabetic medicinal products than in studies of sitagliptin and metformin alone. These included hypoglycaemia (frequency very common with </w:t>
      </w:r>
      <w:proofErr w:type="spellStart"/>
      <w:r w:rsidRPr="003712F0">
        <w:rPr>
          <w:rFonts w:eastAsia="SimSun"/>
          <w:sz w:val="24"/>
          <w:szCs w:val="24"/>
          <w:lang w:val="en-GB" w:eastAsia="en-GB"/>
        </w:rPr>
        <w:t>sulphonylurea</w:t>
      </w:r>
      <w:proofErr w:type="spellEnd"/>
      <w:r w:rsidRPr="003712F0">
        <w:rPr>
          <w:rFonts w:eastAsia="SimSun"/>
          <w:sz w:val="24"/>
          <w:szCs w:val="24"/>
          <w:lang w:val="en-GB" w:eastAsia="en-GB"/>
        </w:rPr>
        <w:t xml:space="preserve"> or insulin), constipation (common with </w:t>
      </w:r>
      <w:proofErr w:type="spellStart"/>
      <w:r w:rsidRPr="003712F0">
        <w:rPr>
          <w:rFonts w:eastAsia="SimSun"/>
          <w:sz w:val="24"/>
          <w:szCs w:val="24"/>
          <w:lang w:val="en-GB" w:eastAsia="en-GB"/>
        </w:rPr>
        <w:t>sulphonylurea</w:t>
      </w:r>
      <w:proofErr w:type="spellEnd"/>
      <w:r w:rsidRPr="003712F0">
        <w:rPr>
          <w:rFonts w:eastAsia="SimSun"/>
          <w:sz w:val="24"/>
          <w:szCs w:val="24"/>
          <w:lang w:val="en-GB" w:eastAsia="en-GB"/>
        </w:rPr>
        <w:t>), peripheral oedema (common with pioglitazone), and headache and dry mouth (uncommon with insulin).</w:t>
      </w:r>
    </w:p>
    <w:p w14:paraId="49CBE169" w14:textId="77777777" w:rsidR="00094747" w:rsidRPr="003712F0" w:rsidRDefault="00094747" w:rsidP="008C7DB3">
      <w:pPr>
        <w:autoSpaceDE w:val="0"/>
        <w:autoSpaceDN w:val="0"/>
        <w:adjustRightInd w:val="0"/>
        <w:ind w:left="851"/>
        <w:rPr>
          <w:rFonts w:eastAsia="SimSun"/>
          <w:i/>
          <w:iCs/>
          <w:sz w:val="24"/>
          <w:szCs w:val="24"/>
          <w:lang w:val="en-GB" w:eastAsia="en-GB"/>
        </w:rPr>
      </w:pPr>
    </w:p>
    <w:p w14:paraId="2D93595B"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Sitagliptin</w:t>
      </w:r>
    </w:p>
    <w:p w14:paraId="08D7B43B"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In monotherapy studies of sitagliptin 100 mg once daily alone compared to placebo, adverse reactions reported were headache, hypoglycaemia, constipation, and dizziness.</w:t>
      </w:r>
    </w:p>
    <w:p w14:paraId="5629E970" w14:textId="77777777" w:rsidR="00094747" w:rsidRPr="003712F0" w:rsidRDefault="00094747" w:rsidP="008C7DB3">
      <w:pPr>
        <w:autoSpaceDE w:val="0"/>
        <w:autoSpaceDN w:val="0"/>
        <w:adjustRightInd w:val="0"/>
        <w:ind w:left="851"/>
        <w:rPr>
          <w:rFonts w:eastAsia="SimSun"/>
          <w:sz w:val="24"/>
          <w:szCs w:val="24"/>
          <w:lang w:val="en-GB" w:eastAsia="en-GB"/>
        </w:rPr>
      </w:pPr>
    </w:p>
    <w:p w14:paraId="20ED5BC2"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Among these patients, adverse events reported regardless of causal relationship to medicinal product occurring in at least 5 % included upper respiratory tract infection and nasopharyngitis. In addition, osteoarthritis and pain in extremity were reported with frequency uncommon (&gt; 0.5 % higher among sitagliptin users than that in the control group).</w:t>
      </w:r>
    </w:p>
    <w:p w14:paraId="4CE5F4CC" w14:textId="77777777" w:rsidR="00094747" w:rsidRPr="003712F0" w:rsidRDefault="00094747" w:rsidP="008C7DB3">
      <w:pPr>
        <w:autoSpaceDE w:val="0"/>
        <w:autoSpaceDN w:val="0"/>
        <w:adjustRightInd w:val="0"/>
        <w:ind w:left="851"/>
        <w:rPr>
          <w:rFonts w:eastAsia="SimSun"/>
          <w:i/>
          <w:iCs/>
          <w:sz w:val="24"/>
          <w:szCs w:val="24"/>
          <w:lang w:val="en-GB" w:eastAsia="en-GB"/>
        </w:rPr>
      </w:pPr>
    </w:p>
    <w:p w14:paraId="2CED0F5A"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Metformin</w:t>
      </w:r>
    </w:p>
    <w:p w14:paraId="53D62A8A" w14:textId="17F8C15C" w:rsidR="004629A1" w:rsidRDefault="00094747" w:rsidP="006B4708">
      <w:pPr>
        <w:autoSpaceDE w:val="0"/>
        <w:autoSpaceDN w:val="0"/>
        <w:adjustRightInd w:val="0"/>
        <w:ind w:left="851"/>
        <w:rPr>
          <w:sz w:val="24"/>
          <w:szCs w:val="24"/>
          <w:lang w:val="en-GB"/>
        </w:rPr>
      </w:pPr>
      <w:r w:rsidRPr="003712F0">
        <w:rPr>
          <w:rFonts w:eastAsia="SimSun"/>
          <w:sz w:val="24"/>
          <w:szCs w:val="24"/>
          <w:lang w:val="en-GB" w:eastAsia="en-GB"/>
        </w:rPr>
        <w:t xml:space="preserve">Gastrointestinal symptoms were reported very commonly in clinical studies and post-marketing use of metformin. Gastrointestinal symptoms such as nausea, vomiting, diarrhoea, abdominal pain and loss of appetite occur most frequently during initiation of therapy and resolve spontaneously in most cases. </w:t>
      </w:r>
      <w:r w:rsidR="006B4708">
        <w:rPr>
          <w:rFonts w:eastAsia="SimSun"/>
          <w:sz w:val="24"/>
          <w:szCs w:val="24"/>
          <w:lang w:val="en-GB" w:eastAsia="en-GB"/>
        </w:rPr>
        <w:t>Additional adverse reactions associated with metformin include metallic taste (common); lactic acidosis, liver function disorders, hepatitis, urticaria, erythema, and pruritus (very rare).</w:t>
      </w:r>
      <w:r w:rsidR="006B4708">
        <w:rPr>
          <w:sz w:val="24"/>
          <w:szCs w:val="24"/>
          <w:lang w:val="en-GB"/>
        </w:rPr>
        <w:t xml:space="preserve"> Frequency categories are based on information available from metformin Summary of Product Characteristics available in the EU.</w:t>
      </w:r>
    </w:p>
    <w:p w14:paraId="0DD764F4" w14:textId="77777777" w:rsidR="00094747" w:rsidRPr="003712F0" w:rsidRDefault="00094747" w:rsidP="00651574">
      <w:pPr>
        <w:autoSpaceDE w:val="0"/>
        <w:autoSpaceDN w:val="0"/>
        <w:adjustRightInd w:val="0"/>
        <w:ind w:left="851"/>
        <w:rPr>
          <w:sz w:val="24"/>
          <w:szCs w:val="24"/>
          <w:lang w:val="en-GB"/>
        </w:rPr>
      </w:pPr>
    </w:p>
    <w:p w14:paraId="5A2AE1B9" w14:textId="77777777" w:rsidR="00094747" w:rsidRPr="003712F0" w:rsidRDefault="00094747" w:rsidP="00651574">
      <w:pPr>
        <w:autoSpaceDE w:val="0"/>
        <w:autoSpaceDN w:val="0"/>
        <w:adjustRightInd w:val="0"/>
        <w:ind w:left="851"/>
        <w:rPr>
          <w:sz w:val="24"/>
          <w:szCs w:val="24"/>
          <w:u w:val="single"/>
          <w:lang w:val="en-GB"/>
        </w:rPr>
      </w:pPr>
      <w:r w:rsidRPr="003712F0">
        <w:rPr>
          <w:sz w:val="24"/>
          <w:szCs w:val="24"/>
          <w:u w:val="single"/>
          <w:lang w:val="en-GB"/>
        </w:rPr>
        <w:t>Paediatric population</w:t>
      </w:r>
    </w:p>
    <w:p w14:paraId="3A225E22" w14:textId="78290227" w:rsidR="00094747" w:rsidRPr="003712F0" w:rsidRDefault="00094747" w:rsidP="00651574">
      <w:pPr>
        <w:autoSpaceDE w:val="0"/>
        <w:autoSpaceDN w:val="0"/>
        <w:adjustRightInd w:val="0"/>
        <w:ind w:left="851"/>
        <w:rPr>
          <w:sz w:val="24"/>
          <w:szCs w:val="24"/>
          <w:lang w:val="en-GB"/>
        </w:rPr>
      </w:pPr>
      <w:r w:rsidRPr="003712F0">
        <w:rPr>
          <w:sz w:val="24"/>
          <w:szCs w:val="24"/>
          <w:lang w:val="en-GB"/>
        </w:rPr>
        <w:t xml:space="preserve">In clinical </w:t>
      </w:r>
      <w:r w:rsidR="006B4708">
        <w:rPr>
          <w:sz w:val="24"/>
          <w:szCs w:val="24"/>
          <w:lang w:val="en-GB"/>
        </w:rPr>
        <w:t>studies</w:t>
      </w:r>
      <w:r w:rsidRPr="003712F0">
        <w:rPr>
          <w:sz w:val="24"/>
          <w:szCs w:val="24"/>
          <w:lang w:val="en-GB"/>
        </w:rPr>
        <w:t xml:space="preserve"> with sitagliptin/metformin in paediatric patients with type 2 diabetes mellitus aged 10 to 17 years, the profile of adverse reactions was generally comparable to that observed in adults. In paediatric patients on or not on background insulin, sitagliptin was associated with an increased risk of hypoglycaemia.</w:t>
      </w:r>
    </w:p>
    <w:p w14:paraId="538215B8" w14:textId="77777777" w:rsidR="00094747" w:rsidRPr="003712F0" w:rsidRDefault="00094747" w:rsidP="008C7DB3">
      <w:pPr>
        <w:autoSpaceDE w:val="0"/>
        <w:autoSpaceDN w:val="0"/>
        <w:adjustRightInd w:val="0"/>
        <w:ind w:left="851"/>
        <w:jc w:val="both"/>
        <w:rPr>
          <w:sz w:val="24"/>
          <w:szCs w:val="24"/>
          <w:lang w:val="en-GB"/>
        </w:rPr>
      </w:pPr>
    </w:p>
    <w:p w14:paraId="408805BE"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TECOS Cardiovascular Safety Study</w:t>
      </w:r>
    </w:p>
    <w:p w14:paraId="3D5111F5" w14:textId="49F254BA"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The Trial Evaluating Cardiovascular Outcomes with Sitagliptin (TECOS) included 7,332 patients treated with sitagliptin, 100 mg daily (or 50 mg daily if the baseline eGFR was ≥</w:t>
      </w:r>
      <w:r w:rsidR="004629A1">
        <w:rPr>
          <w:rFonts w:eastAsia="SimSun"/>
          <w:sz w:val="24"/>
          <w:szCs w:val="24"/>
          <w:lang w:val="en-GB" w:eastAsia="en-GB"/>
        </w:rPr>
        <w:t> </w:t>
      </w:r>
      <w:r w:rsidRPr="003712F0">
        <w:rPr>
          <w:rFonts w:eastAsia="SimSun"/>
          <w:sz w:val="24"/>
          <w:szCs w:val="24"/>
          <w:lang w:val="en-GB" w:eastAsia="en-GB"/>
        </w:rPr>
        <w:t>30 and &lt; 50 mL/min/1.73 m</w:t>
      </w:r>
      <w:r w:rsidRPr="009153EE">
        <w:rPr>
          <w:rFonts w:eastAsia="SimSun"/>
          <w:sz w:val="24"/>
          <w:szCs w:val="24"/>
          <w:vertAlign w:val="superscript"/>
          <w:lang w:val="en-GB" w:eastAsia="en-GB"/>
        </w:rPr>
        <w:t>2</w:t>
      </w:r>
      <w:r w:rsidRPr="003712F0">
        <w:rPr>
          <w:rFonts w:eastAsia="SimSun"/>
          <w:sz w:val="24"/>
          <w:szCs w:val="24"/>
          <w:lang w:val="en-GB" w:eastAsia="en-GB"/>
        </w:rPr>
        <w:t>), and 7,339 patients treated with placebo in the intention-to-treat population. Both treatments were added to usual care targeting regional standards for HbA1c and CV risk factors. The overall incidence of serious adverse events in patients receiving sitagliptin was similar to that in patients receiving placebo.</w:t>
      </w:r>
    </w:p>
    <w:p w14:paraId="6A2AA5DD" w14:textId="77777777" w:rsidR="00094747" w:rsidRPr="003712F0" w:rsidRDefault="00094747" w:rsidP="008C7DB3">
      <w:pPr>
        <w:autoSpaceDE w:val="0"/>
        <w:autoSpaceDN w:val="0"/>
        <w:adjustRightInd w:val="0"/>
        <w:ind w:left="851"/>
        <w:rPr>
          <w:rFonts w:eastAsia="SimSun"/>
          <w:sz w:val="24"/>
          <w:szCs w:val="24"/>
          <w:lang w:val="en-GB" w:eastAsia="en-GB"/>
        </w:rPr>
      </w:pPr>
    </w:p>
    <w:p w14:paraId="012A0287" w14:textId="55D9CC8A"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In the intention-to-treat population, among patients who were using insulin and/or a sulfonylurea at baseline, the incidence of severe hypoglycaemia was 2.7 % in sitagliptin-treated patients and 2.5 % in placebo-treated patients; among patients who were not using insulin and/or a sulfonylurea at baseline, the incidence of severe hypoglycaemia was 1.0 % in sitagliptin-treated patients and 0.7 % in placebo</w:t>
      </w:r>
      <w:r w:rsidRPr="003712F0">
        <w:rPr>
          <w:rFonts w:eastAsia="SimSun"/>
          <w:sz w:val="24"/>
          <w:szCs w:val="24"/>
          <w:lang w:val="en-GB" w:eastAsia="en-GB"/>
        </w:rPr>
        <w:noBreakHyphen/>
        <w:t>treated patients. The incidence of adjudication-confirmed pancreatitis events was 0.3 % in sitagliptin</w:t>
      </w:r>
      <w:r w:rsidRPr="003712F0">
        <w:rPr>
          <w:rFonts w:eastAsia="SimSun"/>
          <w:sz w:val="24"/>
          <w:szCs w:val="24"/>
          <w:lang w:val="en-GB" w:eastAsia="en-GB"/>
        </w:rPr>
        <w:noBreakHyphen/>
        <w:t>treated patients and 0.2</w:t>
      </w:r>
      <w:r w:rsidR="009153EE">
        <w:rPr>
          <w:rFonts w:eastAsia="SimSun"/>
          <w:sz w:val="24"/>
          <w:szCs w:val="24"/>
          <w:lang w:val="en-GB" w:eastAsia="en-GB"/>
        </w:rPr>
        <w:t> </w:t>
      </w:r>
      <w:r w:rsidRPr="003712F0">
        <w:rPr>
          <w:rFonts w:eastAsia="SimSun"/>
          <w:sz w:val="24"/>
          <w:szCs w:val="24"/>
          <w:lang w:val="en-GB" w:eastAsia="en-GB"/>
        </w:rPr>
        <w:t>% in placebo-treated patients.</w:t>
      </w:r>
    </w:p>
    <w:p w14:paraId="43AFB675" w14:textId="77777777" w:rsidR="00094747" w:rsidRPr="003712F0" w:rsidRDefault="00094747" w:rsidP="008C7DB3">
      <w:pPr>
        <w:autoSpaceDE w:val="0"/>
        <w:autoSpaceDN w:val="0"/>
        <w:adjustRightInd w:val="0"/>
        <w:ind w:left="851"/>
        <w:rPr>
          <w:rFonts w:eastAsia="SimSun"/>
          <w:sz w:val="24"/>
          <w:szCs w:val="24"/>
          <w:lang w:val="en-GB" w:eastAsia="en-GB"/>
        </w:rPr>
      </w:pPr>
    </w:p>
    <w:p w14:paraId="24346111" w14:textId="77777777" w:rsidR="008C7DB3" w:rsidRPr="003712F0" w:rsidRDefault="008C7DB3" w:rsidP="008C7DB3">
      <w:pPr>
        <w:ind w:left="851"/>
        <w:rPr>
          <w:sz w:val="24"/>
          <w:szCs w:val="24"/>
          <w:u w:val="single"/>
          <w:lang w:val="en-GB"/>
        </w:rPr>
      </w:pPr>
      <w:r w:rsidRPr="003712F0">
        <w:rPr>
          <w:sz w:val="24"/>
          <w:szCs w:val="24"/>
          <w:u w:val="single"/>
          <w:lang w:val="en-GB"/>
        </w:rPr>
        <w:t>Reporting of suspected adverse reactions</w:t>
      </w:r>
    </w:p>
    <w:p w14:paraId="087CA20B" w14:textId="77777777" w:rsidR="008C7DB3" w:rsidRPr="003712F0" w:rsidRDefault="008C7DB3" w:rsidP="008C7DB3">
      <w:pPr>
        <w:ind w:left="851"/>
        <w:rPr>
          <w:sz w:val="24"/>
          <w:szCs w:val="24"/>
          <w:lang w:val="en-GB"/>
        </w:rPr>
      </w:pPr>
      <w:r w:rsidRPr="003712F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06143CF" w14:textId="77777777" w:rsidR="008C7DB3" w:rsidRPr="003712F0" w:rsidRDefault="008C7DB3" w:rsidP="008C7DB3">
      <w:pPr>
        <w:ind w:left="851"/>
        <w:rPr>
          <w:sz w:val="24"/>
          <w:szCs w:val="24"/>
          <w:lang w:val="en-GB"/>
        </w:rPr>
      </w:pPr>
    </w:p>
    <w:p w14:paraId="1E731E70" w14:textId="77777777" w:rsidR="008C7DB3" w:rsidRPr="00F47F2E" w:rsidRDefault="008C7DB3" w:rsidP="008C7DB3">
      <w:pPr>
        <w:ind w:left="851"/>
        <w:rPr>
          <w:sz w:val="24"/>
          <w:szCs w:val="24"/>
        </w:rPr>
      </w:pPr>
      <w:r w:rsidRPr="00F47F2E">
        <w:rPr>
          <w:sz w:val="24"/>
          <w:szCs w:val="24"/>
        </w:rPr>
        <w:t>Lægemiddelstyrelsen</w:t>
      </w:r>
    </w:p>
    <w:p w14:paraId="4163780B" w14:textId="77777777" w:rsidR="008C7DB3" w:rsidRPr="00F47F2E" w:rsidRDefault="008C7DB3" w:rsidP="008C7DB3">
      <w:pPr>
        <w:ind w:left="851"/>
        <w:rPr>
          <w:sz w:val="24"/>
          <w:szCs w:val="24"/>
        </w:rPr>
      </w:pPr>
      <w:r w:rsidRPr="00F47F2E">
        <w:rPr>
          <w:sz w:val="24"/>
          <w:szCs w:val="24"/>
        </w:rPr>
        <w:t>Axel Heides Gade 1</w:t>
      </w:r>
    </w:p>
    <w:p w14:paraId="2001112B" w14:textId="77777777" w:rsidR="008C7DB3" w:rsidRPr="00F47F2E" w:rsidRDefault="008C7DB3" w:rsidP="008C7DB3">
      <w:pPr>
        <w:ind w:left="851"/>
        <w:rPr>
          <w:sz w:val="24"/>
          <w:szCs w:val="24"/>
        </w:rPr>
      </w:pPr>
      <w:r w:rsidRPr="00F47F2E">
        <w:rPr>
          <w:sz w:val="24"/>
          <w:szCs w:val="24"/>
        </w:rPr>
        <w:t>DK-2300 København S</w:t>
      </w:r>
    </w:p>
    <w:p w14:paraId="63FC69EC" w14:textId="77777777" w:rsidR="008C7DB3" w:rsidRPr="003712F0" w:rsidRDefault="008C7DB3" w:rsidP="008C7DB3">
      <w:pPr>
        <w:ind w:left="851"/>
        <w:rPr>
          <w:sz w:val="24"/>
          <w:szCs w:val="24"/>
          <w:lang w:val="en-GB"/>
        </w:rPr>
      </w:pPr>
      <w:r w:rsidRPr="003712F0">
        <w:rPr>
          <w:sz w:val="24"/>
          <w:szCs w:val="24"/>
          <w:lang w:val="en-GB"/>
        </w:rPr>
        <w:t>Website: www.meldenbivirkning.dk</w:t>
      </w:r>
    </w:p>
    <w:p w14:paraId="3BD3CD82" w14:textId="77777777" w:rsidR="007C5D2A" w:rsidRPr="003712F0" w:rsidRDefault="007C5D2A" w:rsidP="007A4CC6">
      <w:pPr>
        <w:tabs>
          <w:tab w:val="left" w:pos="851"/>
        </w:tabs>
        <w:ind w:left="851"/>
        <w:rPr>
          <w:sz w:val="24"/>
          <w:szCs w:val="24"/>
          <w:lang w:val="en-GB"/>
        </w:rPr>
      </w:pPr>
    </w:p>
    <w:p w14:paraId="477FC034" w14:textId="77777777" w:rsidR="007C5D2A" w:rsidRPr="003712F0" w:rsidRDefault="007C5D2A" w:rsidP="007C5D2A">
      <w:pPr>
        <w:tabs>
          <w:tab w:val="left" w:pos="851"/>
        </w:tabs>
        <w:ind w:left="851" w:hanging="851"/>
        <w:rPr>
          <w:b/>
          <w:sz w:val="24"/>
          <w:szCs w:val="24"/>
          <w:lang w:val="en-GB"/>
        </w:rPr>
      </w:pPr>
      <w:r w:rsidRPr="003712F0">
        <w:rPr>
          <w:b/>
          <w:sz w:val="24"/>
          <w:szCs w:val="24"/>
          <w:lang w:val="en-GB"/>
        </w:rPr>
        <w:t>4.9</w:t>
      </w:r>
      <w:r w:rsidRPr="003712F0">
        <w:rPr>
          <w:b/>
          <w:sz w:val="24"/>
          <w:szCs w:val="24"/>
          <w:lang w:val="en-GB"/>
        </w:rPr>
        <w:tab/>
        <w:t>Overdose</w:t>
      </w:r>
    </w:p>
    <w:p w14:paraId="1437C48D" w14:textId="141BEF20"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During controlled clinical </w:t>
      </w:r>
      <w:r w:rsidR="006B4708">
        <w:rPr>
          <w:rFonts w:eastAsia="SimSun"/>
          <w:sz w:val="24"/>
          <w:szCs w:val="24"/>
          <w:lang w:val="en-GB" w:eastAsia="en-GB"/>
        </w:rPr>
        <w:t>studies</w:t>
      </w:r>
      <w:r w:rsidRPr="003712F0">
        <w:rPr>
          <w:rFonts w:eastAsia="SimSun"/>
          <w:sz w:val="24"/>
          <w:szCs w:val="24"/>
          <w:lang w:val="en-GB" w:eastAsia="en-GB"/>
        </w:rPr>
        <w:t xml:space="preserve"> in healthy subjects, single doses of up to 800 mg sitagliptin were administered. Minimal increases in QTc, not considered to be clinically relevant, were observed in one study at a dose of 800 mg sitagliptin. There is no experience with doses above 800 mg in clinical studies. In Phase I multiple-dose studies, there were no dose-related clinical adverse reactions observed with sitagliptin with doses of up to 600 mg per day for periods of up to 10 days and 400 mg per day for periods of up to 28 days.</w:t>
      </w:r>
    </w:p>
    <w:p w14:paraId="3A7C14EA" w14:textId="77777777" w:rsidR="00094747" w:rsidRPr="003712F0" w:rsidRDefault="00094747" w:rsidP="008C7DB3">
      <w:pPr>
        <w:autoSpaceDE w:val="0"/>
        <w:autoSpaceDN w:val="0"/>
        <w:adjustRightInd w:val="0"/>
        <w:ind w:left="851"/>
        <w:rPr>
          <w:rFonts w:eastAsia="SimSun"/>
          <w:sz w:val="24"/>
          <w:szCs w:val="24"/>
          <w:lang w:val="en-GB" w:eastAsia="en-GB"/>
        </w:rPr>
      </w:pPr>
    </w:p>
    <w:p w14:paraId="453B179E"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A large overdose of metformin (or co-existing risks of lactic acidosis) may lead to lactic acidosis which is a medical emergency and must be treated in hospital. The most effective method to remove lactate and metformin is haemodialysis.</w:t>
      </w:r>
    </w:p>
    <w:p w14:paraId="0705F499" w14:textId="77777777" w:rsidR="00094747" w:rsidRPr="003712F0" w:rsidRDefault="00094747" w:rsidP="008C7DB3">
      <w:pPr>
        <w:autoSpaceDE w:val="0"/>
        <w:autoSpaceDN w:val="0"/>
        <w:adjustRightInd w:val="0"/>
        <w:ind w:left="851"/>
        <w:rPr>
          <w:rFonts w:eastAsia="SimSun"/>
          <w:sz w:val="24"/>
          <w:szCs w:val="24"/>
          <w:lang w:val="en-GB" w:eastAsia="en-GB"/>
        </w:rPr>
      </w:pPr>
    </w:p>
    <w:p w14:paraId="0A855027"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In clinical studies, approximately 13.5 % of the dose was removed over a 3- to 4-hour haemodialysis session. Prolonged haemodialysis may be considered if clinically appropriate. It is not known if sitagliptin is </w:t>
      </w:r>
      <w:proofErr w:type="spellStart"/>
      <w:r w:rsidRPr="003712F0">
        <w:rPr>
          <w:rFonts w:eastAsia="SimSun"/>
          <w:sz w:val="24"/>
          <w:szCs w:val="24"/>
          <w:lang w:val="en-GB" w:eastAsia="en-GB"/>
        </w:rPr>
        <w:t>dialysable</w:t>
      </w:r>
      <w:proofErr w:type="spellEnd"/>
      <w:r w:rsidRPr="003712F0">
        <w:rPr>
          <w:rFonts w:eastAsia="SimSun"/>
          <w:sz w:val="24"/>
          <w:szCs w:val="24"/>
          <w:lang w:val="en-GB" w:eastAsia="en-GB"/>
        </w:rPr>
        <w:t xml:space="preserve"> by peritoneal dialysis.</w:t>
      </w:r>
    </w:p>
    <w:p w14:paraId="37608EFB" w14:textId="77777777" w:rsidR="00094747" w:rsidRPr="003712F0" w:rsidRDefault="00094747" w:rsidP="008C7DB3">
      <w:pPr>
        <w:autoSpaceDE w:val="0"/>
        <w:autoSpaceDN w:val="0"/>
        <w:adjustRightInd w:val="0"/>
        <w:ind w:left="851"/>
        <w:rPr>
          <w:rFonts w:eastAsia="SimSun"/>
          <w:sz w:val="24"/>
          <w:szCs w:val="24"/>
          <w:lang w:val="en-GB" w:eastAsia="en-GB"/>
        </w:rPr>
      </w:pPr>
    </w:p>
    <w:p w14:paraId="0E5A1079" w14:textId="77777777" w:rsidR="00094747" w:rsidRPr="003712F0" w:rsidRDefault="00094747" w:rsidP="008C7DB3">
      <w:pPr>
        <w:autoSpaceDE w:val="0"/>
        <w:autoSpaceDN w:val="0"/>
        <w:adjustRightInd w:val="0"/>
        <w:ind w:left="851"/>
        <w:rPr>
          <w:sz w:val="24"/>
          <w:szCs w:val="24"/>
          <w:lang w:val="en-GB" w:eastAsia="en-US"/>
        </w:rPr>
      </w:pPr>
      <w:r w:rsidRPr="003712F0">
        <w:rPr>
          <w:rFonts w:eastAsia="SimSun"/>
          <w:sz w:val="24"/>
          <w:szCs w:val="24"/>
          <w:lang w:val="en-GB" w:eastAsia="en-GB"/>
        </w:rPr>
        <w:t>In the event of an overdose, it is reasonable to employ the usual supportive measures, e.g., remove unabsorbed material from the gastrointestinal tract, employ clinical monitoring (including obtaining an electrocardiogram), and institute supportive therapy if required.</w:t>
      </w:r>
    </w:p>
    <w:p w14:paraId="371C5F73" w14:textId="77777777" w:rsidR="007C5D2A" w:rsidRPr="003712F0" w:rsidRDefault="007C5D2A" w:rsidP="003E0341">
      <w:pPr>
        <w:tabs>
          <w:tab w:val="left" w:pos="851"/>
        </w:tabs>
        <w:ind w:left="851"/>
        <w:rPr>
          <w:sz w:val="24"/>
          <w:szCs w:val="24"/>
          <w:lang w:val="en-GB"/>
        </w:rPr>
      </w:pPr>
    </w:p>
    <w:p w14:paraId="5686946B" w14:textId="77777777" w:rsidR="008F2F8C" w:rsidRPr="003712F0" w:rsidRDefault="0042292D" w:rsidP="0042292D">
      <w:pPr>
        <w:tabs>
          <w:tab w:val="left" w:pos="851"/>
        </w:tabs>
        <w:rPr>
          <w:b/>
          <w:sz w:val="24"/>
          <w:szCs w:val="24"/>
          <w:lang w:val="en-GB"/>
        </w:rPr>
      </w:pPr>
      <w:r w:rsidRPr="003712F0">
        <w:rPr>
          <w:b/>
          <w:sz w:val="24"/>
          <w:szCs w:val="24"/>
          <w:lang w:val="en-GB"/>
        </w:rPr>
        <w:t>4.10</w:t>
      </w:r>
      <w:r w:rsidRPr="003712F0">
        <w:rPr>
          <w:b/>
          <w:sz w:val="24"/>
          <w:szCs w:val="24"/>
          <w:lang w:val="en-GB"/>
        </w:rPr>
        <w:tab/>
        <w:t>Legal status</w:t>
      </w:r>
    </w:p>
    <w:p w14:paraId="03F8BE51" w14:textId="39E1804C" w:rsidR="00AD2E36" w:rsidRPr="003712F0" w:rsidRDefault="008C7DB3" w:rsidP="00AD2E36">
      <w:pPr>
        <w:tabs>
          <w:tab w:val="left" w:pos="851"/>
        </w:tabs>
        <w:ind w:left="851"/>
        <w:rPr>
          <w:sz w:val="24"/>
          <w:szCs w:val="24"/>
          <w:lang w:val="en-GB"/>
        </w:rPr>
      </w:pPr>
      <w:r w:rsidRPr="003712F0">
        <w:rPr>
          <w:sz w:val="24"/>
          <w:szCs w:val="24"/>
          <w:lang w:val="en-GB"/>
        </w:rPr>
        <w:t>B</w:t>
      </w:r>
    </w:p>
    <w:p w14:paraId="78A9DD0C" w14:textId="77777777" w:rsidR="007C5D2A" w:rsidRPr="003712F0" w:rsidRDefault="007C5D2A" w:rsidP="003E0341">
      <w:pPr>
        <w:tabs>
          <w:tab w:val="left" w:pos="851"/>
        </w:tabs>
        <w:ind w:left="851"/>
        <w:rPr>
          <w:sz w:val="24"/>
          <w:szCs w:val="24"/>
          <w:lang w:val="en-GB"/>
        </w:rPr>
      </w:pPr>
    </w:p>
    <w:p w14:paraId="27921B55" w14:textId="77777777" w:rsidR="00AD2E36" w:rsidRPr="003712F0" w:rsidRDefault="00AD2E36" w:rsidP="003E0341">
      <w:pPr>
        <w:tabs>
          <w:tab w:val="left" w:pos="851"/>
        </w:tabs>
        <w:ind w:left="851"/>
        <w:rPr>
          <w:sz w:val="24"/>
          <w:szCs w:val="24"/>
          <w:lang w:val="en-GB"/>
        </w:rPr>
      </w:pPr>
    </w:p>
    <w:p w14:paraId="2B2F5D07" w14:textId="77777777" w:rsidR="007C5D2A" w:rsidRPr="003712F0" w:rsidRDefault="007C5D2A" w:rsidP="007C5D2A">
      <w:pPr>
        <w:tabs>
          <w:tab w:val="left" w:pos="851"/>
        </w:tabs>
        <w:rPr>
          <w:b/>
          <w:sz w:val="24"/>
          <w:szCs w:val="24"/>
          <w:lang w:val="en-GB"/>
        </w:rPr>
      </w:pPr>
      <w:r w:rsidRPr="003712F0">
        <w:rPr>
          <w:b/>
          <w:sz w:val="24"/>
          <w:szCs w:val="24"/>
          <w:lang w:val="en-GB"/>
        </w:rPr>
        <w:t>5.</w:t>
      </w:r>
      <w:r w:rsidRPr="003712F0">
        <w:rPr>
          <w:b/>
          <w:sz w:val="24"/>
          <w:szCs w:val="24"/>
          <w:lang w:val="en-GB"/>
        </w:rPr>
        <w:tab/>
        <w:t>PHARMACOLOGICAL PROPERTIES</w:t>
      </w:r>
    </w:p>
    <w:p w14:paraId="5310A484" w14:textId="77777777" w:rsidR="007C5D2A" w:rsidRPr="003712F0" w:rsidRDefault="007C5D2A" w:rsidP="003E0341">
      <w:pPr>
        <w:tabs>
          <w:tab w:val="left" w:pos="851"/>
        </w:tabs>
        <w:ind w:left="851"/>
        <w:rPr>
          <w:sz w:val="24"/>
          <w:szCs w:val="24"/>
          <w:lang w:val="en-GB"/>
        </w:rPr>
      </w:pPr>
    </w:p>
    <w:p w14:paraId="40844707" w14:textId="77777777" w:rsidR="007C5D2A" w:rsidRPr="003712F0" w:rsidRDefault="007C5D2A" w:rsidP="007C5D2A">
      <w:pPr>
        <w:tabs>
          <w:tab w:val="left" w:pos="851"/>
        </w:tabs>
        <w:ind w:left="851" w:hanging="851"/>
        <w:rPr>
          <w:b/>
          <w:sz w:val="24"/>
          <w:szCs w:val="24"/>
          <w:lang w:val="en-GB"/>
        </w:rPr>
      </w:pPr>
      <w:r w:rsidRPr="003712F0">
        <w:rPr>
          <w:b/>
          <w:sz w:val="24"/>
          <w:szCs w:val="24"/>
          <w:lang w:val="en-GB"/>
        </w:rPr>
        <w:t>5.1</w:t>
      </w:r>
      <w:r w:rsidRPr="003712F0">
        <w:rPr>
          <w:b/>
          <w:sz w:val="24"/>
          <w:szCs w:val="24"/>
          <w:lang w:val="en-GB"/>
        </w:rPr>
        <w:tab/>
        <w:t>Pharmacodynamic properties</w:t>
      </w:r>
      <w:r w:rsidRPr="003712F0">
        <w:rPr>
          <w:b/>
          <w:sz w:val="24"/>
          <w:szCs w:val="24"/>
          <w:lang w:val="en-GB"/>
        </w:rPr>
        <w:tab/>
      </w:r>
    </w:p>
    <w:p w14:paraId="3282F2E8" w14:textId="344F7028" w:rsidR="00094747" w:rsidRPr="003712F0" w:rsidRDefault="00094747" w:rsidP="00651574">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Pharmacotherapeutic group: </w:t>
      </w:r>
      <w:r w:rsidR="006B4708">
        <w:rPr>
          <w:rFonts w:eastAsia="SimSun"/>
          <w:sz w:val="24"/>
          <w:szCs w:val="24"/>
          <w:lang w:val="en-GB" w:eastAsia="en-GB"/>
        </w:rPr>
        <w:t>Medicinal products used in diabetes, combinations of oral blood glucose lowering medicinal products,</w:t>
      </w:r>
      <w:r w:rsidRPr="003712F0">
        <w:rPr>
          <w:rFonts w:eastAsia="SimSun"/>
          <w:sz w:val="24"/>
          <w:szCs w:val="24"/>
          <w:lang w:val="en-GB" w:eastAsia="en-GB"/>
        </w:rPr>
        <w:t xml:space="preserve"> ATC code: A10BD07</w:t>
      </w:r>
    </w:p>
    <w:p w14:paraId="64AD8126" w14:textId="77777777" w:rsidR="00094747" w:rsidRPr="003712F0" w:rsidRDefault="00094747" w:rsidP="008C7DB3">
      <w:pPr>
        <w:ind w:left="851"/>
        <w:rPr>
          <w:rFonts w:eastAsia="SimSun"/>
          <w:sz w:val="24"/>
          <w:szCs w:val="24"/>
          <w:lang w:val="en-GB" w:eastAsia="en-GB"/>
        </w:rPr>
      </w:pPr>
    </w:p>
    <w:p w14:paraId="6F408AF5" w14:textId="1DEA51BF" w:rsidR="00094747" w:rsidRPr="003712F0" w:rsidRDefault="00AB2CF4" w:rsidP="008C7DB3">
      <w:pPr>
        <w:autoSpaceDE w:val="0"/>
        <w:autoSpaceDN w:val="0"/>
        <w:adjustRightInd w:val="0"/>
        <w:ind w:left="851"/>
        <w:rPr>
          <w:rFonts w:eastAsia="SimSun"/>
          <w:sz w:val="24"/>
          <w:szCs w:val="24"/>
          <w:lang w:val="en-GB" w:eastAsia="en-GB"/>
        </w:rPr>
      </w:pPr>
      <w:proofErr w:type="spellStart"/>
      <w:r>
        <w:rPr>
          <w:rFonts w:eastAsia="SimSun"/>
          <w:sz w:val="24"/>
          <w:szCs w:val="24"/>
          <w:lang w:val="en-GB" w:eastAsia="en-GB"/>
        </w:rPr>
        <w:t>Glerova</w:t>
      </w:r>
      <w:proofErr w:type="spellEnd"/>
      <w:r w:rsidR="00094747" w:rsidRPr="003712F0">
        <w:rPr>
          <w:rFonts w:eastAsia="SimSun"/>
          <w:sz w:val="24"/>
          <w:szCs w:val="24"/>
          <w:lang w:val="en-GB" w:eastAsia="en-GB"/>
        </w:rPr>
        <w:t xml:space="preserve"> combines two </w:t>
      </w:r>
      <w:proofErr w:type="spellStart"/>
      <w:r w:rsidR="00094747" w:rsidRPr="003712F0">
        <w:rPr>
          <w:rFonts w:eastAsia="SimSun"/>
          <w:sz w:val="24"/>
          <w:szCs w:val="24"/>
          <w:lang w:val="en-GB" w:eastAsia="en-GB"/>
        </w:rPr>
        <w:t>antihyperglycaemic</w:t>
      </w:r>
      <w:proofErr w:type="spellEnd"/>
      <w:r w:rsidR="00094747" w:rsidRPr="003712F0">
        <w:rPr>
          <w:rFonts w:eastAsia="SimSun"/>
          <w:sz w:val="24"/>
          <w:szCs w:val="24"/>
          <w:lang w:val="en-GB" w:eastAsia="en-GB"/>
        </w:rPr>
        <w:t xml:space="preserve"> medicinal products with complementary mechanisms of action to improve glycaemic control in patients with type 2 diabetes: sitagliptin phosphate, a dipeptidyl peptidase 4 (DPP-4) inhibitor, and metformin hydrochloride, a member of the biguanide class.</w:t>
      </w:r>
    </w:p>
    <w:p w14:paraId="1A1FD862" w14:textId="77777777" w:rsidR="00094747" w:rsidRPr="003712F0" w:rsidRDefault="00094747" w:rsidP="008C7DB3">
      <w:pPr>
        <w:autoSpaceDE w:val="0"/>
        <w:autoSpaceDN w:val="0"/>
        <w:adjustRightInd w:val="0"/>
        <w:ind w:left="851"/>
        <w:rPr>
          <w:rFonts w:eastAsia="SimSun"/>
          <w:sz w:val="24"/>
          <w:szCs w:val="24"/>
          <w:lang w:val="en-GB" w:eastAsia="en-GB"/>
        </w:rPr>
      </w:pPr>
    </w:p>
    <w:p w14:paraId="52BCF959"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Sitagliptin</w:t>
      </w:r>
    </w:p>
    <w:p w14:paraId="36B6ABB1"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Mechanism of action</w:t>
      </w:r>
    </w:p>
    <w:p w14:paraId="18E56F68"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Sitagliptin phosphate is an orally active, potent, and highly selective inhibitor of the dipeptidyl peptidase 4 (DPP-4) enzyme for the treatment of type 2 diabetes. The DPP-4 inhibitors are a class of agents that act as incretin enhancers. By inhibiting the DPP-4 enzyme, sitagliptin increases the levels of two known active incretin hormones, glucagon-like peptide-1 (GLP-1) and glucose-dependent insulinotropic polypeptide (GIP). The incretins are part of an endogenous system involved in the physiologic regulation of glucose homeostasis. When blood glucose concentrations are normal or elevated, GLP-1 and GIP increase insulin synthesis and release from pancreatic beta cells. GLP-1 also lowers glucagon secretion from pancreatic alpha cells, leading to reduced hepatic glucose production. When blood glucose levels are low, insulin release is not enhanced and glucagon secretion is not suppressed. Sitagliptin is a potent and highly selective inhibitor of the enzyme DPP-4 and does not inhibit the closely related enzymes DPP-8 or DPP-9 at therapeutic concentrations. Sitagliptin differs in chemical structure and pharmacological action from GLP-1 analogues, insulin, </w:t>
      </w:r>
      <w:proofErr w:type="spellStart"/>
      <w:r w:rsidRPr="003712F0">
        <w:rPr>
          <w:rFonts w:eastAsia="SimSun"/>
          <w:sz w:val="24"/>
          <w:szCs w:val="24"/>
          <w:lang w:val="en-GB" w:eastAsia="en-GB"/>
        </w:rPr>
        <w:t>sulphonylureas</w:t>
      </w:r>
      <w:proofErr w:type="spellEnd"/>
      <w:r w:rsidRPr="003712F0">
        <w:rPr>
          <w:rFonts w:eastAsia="SimSun"/>
          <w:sz w:val="24"/>
          <w:szCs w:val="24"/>
          <w:lang w:val="en-GB" w:eastAsia="en-GB"/>
        </w:rPr>
        <w:t xml:space="preserve"> or meglitinides, biguanides, peroxisome proliferator-activated receptor gamma (PPAR</w:t>
      </w:r>
      <w:r w:rsidRPr="003712F0">
        <w:rPr>
          <w:sz w:val="24"/>
          <w:szCs w:val="24"/>
          <w:lang w:val="en-GB"/>
        </w:rPr>
        <w:sym w:font="Symbol" w:char="F067"/>
      </w:r>
      <w:r w:rsidRPr="003712F0">
        <w:rPr>
          <w:rFonts w:eastAsia="SimSun"/>
          <w:sz w:val="24"/>
          <w:szCs w:val="24"/>
          <w:lang w:val="en-GB" w:eastAsia="en-GB"/>
        </w:rPr>
        <w:t>) agonists, alpha</w:t>
      </w:r>
      <w:r w:rsidRPr="003712F0">
        <w:rPr>
          <w:rFonts w:eastAsia="SimSun"/>
          <w:sz w:val="24"/>
          <w:szCs w:val="24"/>
          <w:lang w:val="en-GB" w:eastAsia="en-GB"/>
        </w:rPr>
        <w:noBreakHyphen/>
        <w:t>glucosidase inhibitors, and amylin analogues.</w:t>
      </w:r>
    </w:p>
    <w:p w14:paraId="34EFB4E9" w14:textId="77777777" w:rsidR="00094747" w:rsidRPr="003712F0" w:rsidRDefault="00094747" w:rsidP="008C7DB3">
      <w:pPr>
        <w:autoSpaceDE w:val="0"/>
        <w:autoSpaceDN w:val="0"/>
        <w:adjustRightInd w:val="0"/>
        <w:ind w:left="851"/>
        <w:rPr>
          <w:rFonts w:eastAsia="SimSun"/>
          <w:sz w:val="24"/>
          <w:szCs w:val="24"/>
          <w:lang w:val="en-GB" w:eastAsia="en-GB"/>
        </w:rPr>
      </w:pPr>
    </w:p>
    <w:p w14:paraId="6AFC1719"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In a two-day study in healthy subjects, sitagliptin alone increased active GLP-1 concentrations, whereas metformin alone increased active and total GLP-1 concentrations to similar extents. Co</w:t>
      </w:r>
      <w:r w:rsidRPr="003712F0">
        <w:rPr>
          <w:rFonts w:eastAsia="SimSun"/>
          <w:sz w:val="24"/>
          <w:szCs w:val="24"/>
          <w:lang w:val="en-GB" w:eastAsia="en-GB"/>
        </w:rPr>
        <w:noBreakHyphen/>
        <w:t>administration of sitagliptin and metformin had an additive effect on active GLP-1 concentrations. Sitagliptin, but not metformin, increased active GIP concentrations.</w:t>
      </w:r>
    </w:p>
    <w:p w14:paraId="640F0CB8" w14:textId="77777777" w:rsidR="00094747" w:rsidRPr="003712F0" w:rsidRDefault="00094747" w:rsidP="008C7DB3">
      <w:pPr>
        <w:autoSpaceDE w:val="0"/>
        <w:autoSpaceDN w:val="0"/>
        <w:adjustRightInd w:val="0"/>
        <w:ind w:left="851"/>
        <w:rPr>
          <w:rFonts w:eastAsia="SimSun"/>
          <w:i/>
          <w:iCs/>
          <w:sz w:val="24"/>
          <w:szCs w:val="24"/>
          <w:lang w:val="en-GB" w:eastAsia="en-GB"/>
        </w:rPr>
      </w:pPr>
    </w:p>
    <w:p w14:paraId="3067EBC0" w14:textId="77777777" w:rsidR="00094747" w:rsidRPr="003712F0" w:rsidRDefault="00094747" w:rsidP="008C7DB3">
      <w:pPr>
        <w:autoSpaceDE w:val="0"/>
        <w:autoSpaceDN w:val="0"/>
        <w:adjustRightInd w:val="0"/>
        <w:ind w:left="851"/>
        <w:rPr>
          <w:rFonts w:eastAsia="SimSun"/>
          <w:i/>
          <w:iCs/>
          <w:sz w:val="24"/>
          <w:szCs w:val="24"/>
          <w:lang w:val="en-GB" w:eastAsia="en-GB"/>
        </w:rPr>
      </w:pPr>
      <w:r w:rsidRPr="003712F0">
        <w:rPr>
          <w:rFonts w:eastAsia="SimSun"/>
          <w:i/>
          <w:iCs/>
          <w:sz w:val="24"/>
          <w:szCs w:val="24"/>
          <w:lang w:val="en-GB" w:eastAsia="en-GB"/>
        </w:rPr>
        <w:t>Clinical efficacy and safety</w:t>
      </w:r>
    </w:p>
    <w:p w14:paraId="1DCBF6B9"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Overall, sitagliptin improved glycaemic control when used as monotherapy or in combination treatment in adult patients with type 2 diabetes.</w:t>
      </w:r>
    </w:p>
    <w:p w14:paraId="34C4E61C" w14:textId="77777777" w:rsidR="00094747" w:rsidRPr="003712F0" w:rsidRDefault="00094747" w:rsidP="008C7DB3">
      <w:pPr>
        <w:autoSpaceDE w:val="0"/>
        <w:autoSpaceDN w:val="0"/>
        <w:adjustRightInd w:val="0"/>
        <w:ind w:left="851"/>
        <w:rPr>
          <w:rFonts w:eastAsia="SimSun"/>
          <w:sz w:val="24"/>
          <w:szCs w:val="24"/>
          <w:lang w:val="en-GB" w:eastAsia="en-GB"/>
        </w:rPr>
      </w:pPr>
    </w:p>
    <w:p w14:paraId="00BC7DEB" w14:textId="590DB7DE"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In clinical </w:t>
      </w:r>
      <w:r w:rsidR="006B4708">
        <w:rPr>
          <w:rFonts w:eastAsia="SimSun"/>
          <w:sz w:val="24"/>
          <w:szCs w:val="24"/>
          <w:lang w:val="en-GB" w:eastAsia="en-GB"/>
        </w:rPr>
        <w:t>studies</w:t>
      </w:r>
      <w:r w:rsidRPr="003712F0">
        <w:rPr>
          <w:rFonts w:eastAsia="SimSun"/>
          <w:sz w:val="24"/>
          <w:szCs w:val="24"/>
          <w:lang w:val="en-GB" w:eastAsia="en-GB"/>
        </w:rPr>
        <w:t>, sitagliptin as monotherapy improved glycaemic control with significant reductions in haemoglobin A1c (HbA1c) and fasting and postprandial glucose. Reduction in fasting plasma glucose (FPG) was observed at 3 weeks, the first time point at which FPG was measured. The observed incidence of hypoglycaemia in patients treated with sitagliptin was similar to placebo. Body weight did not increase from baseline with sitagliptin therapy. Improvements in surrogate markers of beta cell function, including HOMA-β (Homeostasis Model Assessment-β), proinsulin to insulin ratio, and measures of beta cell responsiveness from the frequently sampled meal tolerance test were observed.</w:t>
      </w:r>
    </w:p>
    <w:p w14:paraId="5A374742" w14:textId="77777777" w:rsidR="00094747" w:rsidRPr="003712F0" w:rsidRDefault="00094747" w:rsidP="008C7DB3">
      <w:pPr>
        <w:autoSpaceDE w:val="0"/>
        <w:autoSpaceDN w:val="0"/>
        <w:adjustRightInd w:val="0"/>
        <w:ind w:left="851"/>
        <w:rPr>
          <w:rFonts w:eastAsia="SimSun"/>
          <w:sz w:val="24"/>
          <w:szCs w:val="24"/>
          <w:lang w:val="en-GB" w:eastAsia="en-GB"/>
        </w:rPr>
      </w:pPr>
    </w:p>
    <w:p w14:paraId="15B5933C"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Studies of sitagliptin in combination with metformin</w:t>
      </w:r>
    </w:p>
    <w:p w14:paraId="71DE2515"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In a 24-week, placebo-controlled clinical study to evaluate the efficacy and safety of the addition of sitagliptin 100 mg once daily to ongoing metformin, sitagliptin provided significant improvements in glycaemic parameters compared with placebo. Change from baseline in body weight was similar for patients treated with sitagliptin relative to placebo. In this study there was a similar incidence of hypoglycaemia reported for patients treated with sitagliptin or placebo.</w:t>
      </w:r>
    </w:p>
    <w:p w14:paraId="724190FC" w14:textId="77777777" w:rsidR="00094747" w:rsidRPr="003712F0" w:rsidRDefault="00094747" w:rsidP="008C7DB3">
      <w:pPr>
        <w:autoSpaceDE w:val="0"/>
        <w:autoSpaceDN w:val="0"/>
        <w:adjustRightInd w:val="0"/>
        <w:ind w:left="851"/>
        <w:rPr>
          <w:rFonts w:eastAsia="SimSun"/>
          <w:sz w:val="24"/>
          <w:szCs w:val="24"/>
          <w:lang w:val="en-GB" w:eastAsia="en-GB"/>
        </w:rPr>
      </w:pPr>
    </w:p>
    <w:p w14:paraId="58640536"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In a 24-week placebo-controlled factorial study of initial therapy, sitagliptin 50 mg twice daily in combination with metformin (500 mg or 1,000 mg twice daily) provided significant improvements in glycaemic parameters compared with either monotherapy. The decrease in body weight with the combination of sitagliptin and metformin was similar to that observed with metformin alone or placebo; there was no change from baseline for patients on sitagliptin alone. The incidence of hypoglycaemia was similar across treatment groups.</w:t>
      </w:r>
    </w:p>
    <w:p w14:paraId="1028D797" w14:textId="77777777" w:rsidR="00094747" w:rsidRPr="003712F0" w:rsidRDefault="00094747" w:rsidP="008C7DB3">
      <w:pPr>
        <w:autoSpaceDE w:val="0"/>
        <w:autoSpaceDN w:val="0"/>
        <w:adjustRightInd w:val="0"/>
        <w:ind w:left="851"/>
        <w:rPr>
          <w:rFonts w:eastAsia="SimSun"/>
          <w:sz w:val="24"/>
          <w:szCs w:val="24"/>
          <w:lang w:val="en-GB" w:eastAsia="en-GB"/>
        </w:rPr>
      </w:pPr>
    </w:p>
    <w:p w14:paraId="09E36FB6"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 xml:space="preserve">Study of sitagliptin in combination with metformin and a </w:t>
      </w:r>
      <w:proofErr w:type="spellStart"/>
      <w:r w:rsidRPr="003712F0">
        <w:rPr>
          <w:rFonts w:eastAsia="SimSun"/>
          <w:sz w:val="24"/>
          <w:szCs w:val="24"/>
          <w:u w:val="single"/>
          <w:lang w:val="en-GB" w:eastAsia="en-GB"/>
        </w:rPr>
        <w:t>sulphonylurea</w:t>
      </w:r>
      <w:proofErr w:type="spellEnd"/>
    </w:p>
    <w:p w14:paraId="754140E7"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 xml:space="preserve">A 24-week placebo-controlled study was designed to evaluate the efficacy and safety of sitagliptin (100 mg once daily) added to glimepiride (alone or in combination with metformin). The addition of sitagliptin to glimepiride and metformin provided significant improvements in glycaemic parameters. Patients treated with sitagliptin had a modest increase in body weight (+1.1 kg) compared to </w:t>
      </w:r>
      <w:proofErr w:type="gramStart"/>
      <w:r w:rsidRPr="003712F0">
        <w:rPr>
          <w:rFonts w:eastAsia="SimSun"/>
          <w:sz w:val="24"/>
          <w:szCs w:val="24"/>
          <w:lang w:val="en-GB" w:eastAsia="en-GB"/>
        </w:rPr>
        <w:t>those given placebo</w:t>
      </w:r>
      <w:proofErr w:type="gramEnd"/>
      <w:r w:rsidRPr="003712F0">
        <w:rPr>
          <w:rFonts w:eastAsia="SimSun"/>
          <w:sz w:val="24"/>
          <w:szCs w:val="24"/>
          <w:lang w:val="en-GB" w:eastAsia="en-GB"/>
        </w:rPr>
        <w:t>.</w:t>
      </w:r>
    </w:p>
    <w:p w14:paraId="6363C910" w14:textId="77777777" w:rsidR="00094747" w:rsidRPr="003712F0" w:rsidRDefault="00094747" w:rsidP="008C7DB3">
      <w:pPr>
        <w:autoSpaceDE w:val="0"/>
        <w:autoSpaceDN w:val="0"/>
        <w:adjustRightInd w:val="0"/>
        <w:ind w:left="851"/>
        <w:rPr>
          <w:rFonts w:eastAsia="SimSun"/>
          <w:sz w:val="24"/>
          <w:szCs w:val="24"/>
          <w:lang w:val="en-GB" w:eastAsia="en-GB"/>
        </w:rPr>
      </w:pPr>
    </w:p>
    <w:p w14:paraId="0625616E"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Study of sitagliptin in combination with metformin and a PPAR</w:t>
      </w:r>
      <w:r w:rsidRPr="003712F0">
        <w:rPr>
          <w:sz w:val="24"/>
          <w:szCs w:val="24"/>
          <w:lang w:val="en-GB"/>
        </w:rPr>
        <w:sym w:font="Symbol" w:char="F067"/>
      </w:r>
      <w:r w:rsidRPr="003712F0">
        <w:rPr>
          <w:sz w:val="24"/>
          <w:szCs w:val="24"/>
          <w:lang w:val="en-GB"/>
        </w:rPr>
        <w:t xml:space="preserve"> </w:t>
      </w:r>
      <w:r w:rsidRPr="003712F0">
        <w:rPr>
          <w:rFonts w:eastAsia="SimSun"/>
          <w:sz w:val="24"/>
          <w:szCs w:val="24"/>
          <w:u w:val="single"/>
          <w:lang w:val="en-GB" w:eastAsia="en-GB"/>
        </w:rPr>
        <w:t>agonist</w:t>
      </w:r>
    </w:p>
    <w:p w14:paraId="69C94B9A" w14:textId="77777777" w:rsidR="006B4708" w:rsidRDefault="006B4708" w:rsidP="006B4708">
      <w:pPr>
        <w:autoSpaceDE w:val="0"/>
        <w:autoSpaceDN w:val="0"/>
        <w:adjustRightInd w:val="0"/>
        <w:ind w:left="851"/>
        <w:rPr>
          <w:rFonts w:eastAsia="SimSun"/>
          <w:sz w:val="24"/>
          <w:szCs w:val="24"/>
          <w:lang w:val="en-GB" w:eastAsia="en-GB"/>
        </w:rPr>
      </w:pPr>
      <w:r>
        <w:rPr>
          <w:rFonts w:eastAsia="SimSun"/>
          <w:sz w:val="24"/>
          <w:szCs w:val="24"/>
          <w:lang w:val="en-GB" w:eastAsia="en-GB"/>
        </w:rPr>
        <w:t xml:space="preserve">A 26-week placebo-controlled study was designed to evaluate the efficacy and safety of sitagliptin (100 mg once daily) added to the combination of pioglitazone and metformin. </w:t>
      </w:r>
      <w:r>
        <w:rPr>
          <w:rFonts w:eastAsia="SimSun"/>
          <w:szCs w:val="22"/>
          <w:lang w:val="en-US" w:eastAsia="en-GB"/>
        </w:rPr>
        <w:t xml:space="preserve">The addition of sitagliptin to pioglitazone and metformin provided significant improvements in </w:t>
      </w:r>
      <w:proofErr w:type="spellStart"/>
      <w:r>
        <w:rPr>
          <w:rFonts w:eastAsia="SimSun"/>
          <w:szCs w:val="22"/>
          <w:lang w:val="en-US" w:eastAsia="en-GB"/>
        </w:rPr>
        <w:t>glycaemic</w:t>
      </w:r>
      <w:proofErr w:type="spellEnd"/>
      <w:r>
        <w:rPr>
          <w:rFonts w:eastAsia="SimSun"/>
          <w:szCs w:val="22"/>
          <w:lang w:val="en-US" w:eastAsia="en-GB"/>
        </w:rPr>
        <w:t xml:space="preserve"> parameters.</w:t>
      </w:r>
      <w:r>
        <w:rPr>
          <w:rFonts w:eastAsia="SimSun"/>
          <w:sz w:val="24"/>
          <w:szCs w:val="24"/>
          <w:lang w:val="en-GB" w:eastAsia="en-GB"/>
        </w:rPr>
        <w:t xml:space="preserve"> Change from baseline in body weight was similar for patients treated with sitagliptin relative to placebo. The incidence of hypoglycaemia was also similar in patients treated with sitagliptin or placebo.</w:t>
      </w:r>
    </w:p>
    <w:p w14:paraId="11FE9503" w14:textId="77777777" w:rsidR="00094747" w:rsidRPr="003712F0" w:rsidRDefault="00094747" w:rsidP="008C7DB3">
      <w:pPr>
        <w:autoSpaceDE w:val="0"/>
        <w:autoSpaceDN w:val="0"/>
        <w:adjustRightInd w:val="0"/>
        <w:ind w:left="851"/>
        <w:rPr>
          <w:rFonts w:eastAsia="SimSun"/>
          <w:sz w:val="24"/>
          <w:szCs w:val="24"/>
          <w:lang w:val="en-GB" w:eastAsia="en-GB"/>
        </w:rPr>
      </w:pPr>
    </w:p>
    <w:p w14:paraId="6EA758B9" w14:textId="77777777" w:rsidR="00094747" w:rsidRPr="003712F0" w:rsidRDefault="00094747" w:rsidP="008C7DB3">
      <w:pPr>
        <w:autoSpaceDE w:val="0"/>
        <w:autoSpaceDN w:val="0"/>
        <w:adjustRightInd w:val="0"/>
        <w:ind w:left="851"/>
        <w:rPr>
          <w:rFonts w:eastAsia="SimSun"/>
          <w:sz w:val="24"/>
          <w:szCs w:val="24"/>
          <w:u w:val="single"/>
          <w:lang w:val="en-GB" w:eastAsia="en-GB"/>
        </w:rPr>
      </w:pPr>
      <w:r w:rsidRPr="003712F0">
        <w:rPr>
          <w:rFonts w:eastAsia="SimSun"/>
          <w:sz w:val="24"/>
          <w:szCs w:val="24"/>
          <w:u w:val="single"/>
          <w:lang w:val="en-GB" w:eastAsia="en-GB"/>
        </w:rPr>
        <w:t>Study of sitagliptin in combination with metformin and insulin</w:t>
      </w:r>
    </w:p>
    <w:p w14:paraId="250399BC" w14:textId="77777777" w:rsidR="00094747" w:rsidRPr="003712F0" w:rsidRDefault="00094747" w:rsidP="008C7DB3">
      <w:pPr>
        <w:autoSpaceDE w:val="0"/>
        <w:autoSpaceDN w:val="0"/>
        <w:adjustRightInd w:val="0"/>
        <w:ind w:left="851"/>
        <w:rPr>
          <w:rFonts w:eastAsia="SimSun"/>
          <w:sz w:val="24"/>
          <w:szCs w:val="24"/>
          <w:lang w:val="en-GB" w:eastAsia="en-GB"/>
        </w:rPr>
      </w:pPr>
      <w:r w:rsidRPr="003712F0">
        <w:rPr>
          <w:rFonts w:eastAsia="SimSun"/>
          <w:sz w:val="24"/>
          <w:szCs w:val="24"/>
          <w:lang w:val="en-GB" w:eastAsia="en-GB"/>
        </w:rPr>
        <w:t>A 24-week placebo-controlled study was designed to evaluate the efficacy and safety of sitagliptin (100 mg once daily) added to insulin (at a stable dose for at least 10 weeks) with or without metformin (at least 1,500 mg). In patients taking pre-mixed insulin, the mean daily dose was 70.9 U/day. In patients taking non-pre-mixed (intermediate/long-acting) insulin, the mean daily dose was 44.3 U/day. Data from the 73 % of patients who were taking metformin are presented in Table 2. The addition of sitagliptin to insulin provided significant improvements in glycaemic parameters. There was no meaningful change from baseline in body weight in either group.</w:t>
      </w:r>
    </w:p>
    <w:p w14:paraId="162D83C3" w14:textId="1F88ABEB" w:rsidR="009153EE" w:rsidRDefault="009153EE">
      <w:pPr>
        <w:rPr>
          <w:rFonts w:eastAsia="SimSun"/>
          <w:sz w:val="24"/>
          <w:szCs w:val="24"/>
          <w:lang w:val="en-GB" w:eastAsia="en-GB"/>
        </w:rPr>
      </w:pPr>
      <w:r>
        <w:rPr>
          <w:rFonts w:eastAsia="SimSun"/>
          <w:sz w:val="24"/>
          <w:szCs w:val="24"/>
          <w:lang w:val="en-GB" w:eastAsia="en-GB"/>
        </w:rPr>
        <w:br w:type="page"/>
      </w:r>
    </w:p>
    <w:p w14:paraId="59380B6B" w14:textId="77777777" w:rsidR="00094747" w:rsidRPr="003712F0" w:rsidRDefault="00094747" w:rsidP="00651574">
      <w:pPr>
        <w:rPr>
          <w:rFonts w:eastAsia="SimSun"/>
          <w:sz w:val="24"/>
          <w:szCs w:val="24"/>
          <w:lang w:val="en-GB" w:eastAsia="en-GB"/>
        </w:rPr>
      </w:pPr>
    </w:p>
    <w:p w14:paraId="6B2487BC" w14:textId="77777777" w:rsidR="00094747" w:rsidRPr="009153EE" w:rsidRDefault="00094747" w:rsidP="00651574">
      <w:pPr>
        <w:rPr>
          <w:b/>
          <w:bCs/>
          <w:sz w:val="24"/>
          <w:szCs w:val="24"/>
          <w:lang w:val="en-GB" w:eastAsia="en-US"/>
        </w:rPr>
      </w:pPr>
      <w:r w:rsidRPr="009153EE">
        <w:rPr>
          <w:b/>
          <w:bCs/>
          <w:sz w:val="24"/>
          <w:szCs w:val="24"/>
          <w:lang w:val="en-GB"/>
        </w:rPr>
        <w:t>Table 2: HbA1c results in placebo-controlled combination therapy studies of sitagliptin and</w:t>
      </w:r>
    </w:p>
    <w:p w14:paraId="73782477" w14:textId="77777777" w:rsidR="00094747" w:rsidRPr="009153EE" w:rsidRDefault="00094747" w:rsidP="00651574">
      <w:pPr>
        <w:rPr>
          <w:b/>
          <w:bCs/>
          <w:sz w:val="24"/>
          <w:szCs w:val="24"/>
          <w:lang w:val="en-GB"/>
        </w:rPr>
      </w:pPr>
      <w:r w:rsidRPr="009153EE">
        <w:rPr>
          <w:b/>
          <w:bCs/>
          <w:sz w:val="24"/>
          <w:szCs w:val="24"/>
          <w:lang w:val="en-GB"/>
        </w:rPr>
        <w:t>metformin*</w:t>
      </w:r>
    </w:p>
    <w:p w14:paraId="631BDC18" w14:textId="77777777" w:rsidR="00094747" w:rsidRPr="003712F0" w:rsidRDefault="00094747" w:rsidP="00651574">
      <w:pPr>
        <w:rPr>
          <w:sz w:val="24"/>
          <w:szCs w:val="24"/>
          <w:lang w:val="en-GB"/>
        </w:rPr>
      </w:pPr>
    </w:p>
    <w:tbl>
      <w:tblPr>
        <w:tblW w:w="5000" w:type="pct"/>
        <w:tblCellMar>
          <w:top w:w="58" w:type="dxa"/>
          <w:right w:w="86" w:type="dxa"/>
        </w:tblCellMar>
        <w:tblLook w:val="04A0" w:firstRow="1" w:lastRow="0" w:firstColumn="1" w:lastColumn="0" w:noHBand="0" w:noVBand="1"/>
      </w:tblPr>
      <w:tblGrid>
        <w:gridCol w:w="2716"/>
        <w:gridCol w:w="1573"/>
        <w:gridCol w:w="2137"/>
        <w:gridCol w:w="3202"/>
      </w:tblGrid>
      <w:tr w:rsidR="00094747" w:rsidRPr="006B4708" w14:paraId="60F4F839" w14:textId="77777777" w:rsidTr="008C7DB3">
        <w:trPr>
          <w:cantSplit/>
          <w:trHeight w:val="787"/>
          <w:tblHeader/>
        </w:trPr>
        <w:tc>
          <w:tcPr>
            <w:tcW w:w="1410" w:type="pct"/>
            <w:tcBorders>
              <w:top w:val="single" w:sz="4" w:space="0" w:color="000000"/>
              <w:left w:val="single" w:sz="4" w:space="0" w:color="000000"/>
              <w:bottom w:val="single" w:sz="4" w:space="0" w:color="000000"/>
              <w:right w:val="single" w:sz="4" w:space="0" w:color="000000"/>
            </w:tcBorders>
            <w:vAlign w:val="center"/>
            <w:hideMark/>
          </w:tcPr>
          <w:p w14:paraId="3ED77017" w14:textId="77777777" w:rsidR="00094747" w:rsidRPr="003712F0" w:rsidRDefault="00094747">
            <w:pPr>
              <w:keepNext/>
              <w:rPr>
                <w:sz w:val="24"/>
                <w:szCs w:val="24"/>
                <w:lang w:val="en-GB"/>
              </w:rPr>
            </w:pPr>
            <w:bookmarkStart w:id="2" w:name="_Hlk52380154"/>
            <w:r w:rsidRPr="003712F0">
              <w:rPr>
                <w:b/>
                <w:sz w:val="24"/>
                <w:szCs w:val="24"/>
                <w:lang w:val="en-GB"/>
              </w:rPr>
              <w:t>Study</w:t>
            </w:r>
          </w:p>
        </w:tc>
        <w:tc>
          <w:tcPr>
            <w:tcW w:w="817" w:type="pct"/>
            <w:tcBorders>
              <w:top w:val="single" w:sz="4" w:space="0" w:color="000000"/>
              <w:left w:val="single" w:sz="4" w:space="0" w:color="000000"/>
              <w:bottom w:val="single" w:sz="4" w:space="0" w:color="000000"/>
              <w:right w:val="single" w:sz="4" w:space="0" w:color="000000"/>
            </w:tcBorders>
            <w:hideMark/>
          </w:tcPr>
          <w:p w14:paraId="69F4075B" w14:textId="77777777" w:rsidR="00094747" w:rsidRPr="003712F0" w:rsidRDefault="00094747">
            <w:pPr>
              <w:keepNext/>
              <w:rPr>
                <w:sz w:val="24"/>
                <w:szCs w:val="24"/>
                <w:lang w:val="en-GB"/>
              </w:rPr>
            </w:pPr>
            <w:r w:rsidRPr="003712F0">
              <w:rPr>
                <w:b/>
                <w:sz w:val="24"/>
                <w:szCs w:val="24"/>
                <w:lang w:val="en-GB"/>
              </w:rPr>
              <w:t xml:space="preserve">Mean </w:t>
            </w:r>
          </w:p>
          <w:p w14:paraId="51CB2891" w14:textId="77777777" w:rsidR="00094747" w:rsidRPr="003712F0" w:rsidRDefault="00094747">
            <w:pPr>
              <w:keepNext/>
              <w:rPr>
                <w:sz w:val="24"/>
                <w:szCs w:val="24"/>
                <w:lang w:val="en-GB"/>
              </w:rPr>
            </w:pPr>
            <w:r w:rsidRPr="003712F0">
              <w:rPr>
                <w:b/>
                <w:sz w:val="24"/>
                <w:szCs w:val="24"/>
                <w:lang w:val="en-GB"/>
              </w:rPr>
              <w:t xml:space="preserve">baseline </w:t>
            </w:r>
          </w:p>
          <w:p w14:paraId="79E01BD6" w14:textId="77777777" w:rsidR="00094747" w:rsidRPr="003712F0" w:rsidRDefault="00094747">
            <w:pPr>
              <w:keepNext/>
              <w:rPr>
                <w:sz w:val="24"/>
                <w:szCs w:val="24"/>
                <w:lang w:val="en-GB"/>
              </w:rPr>
            </w:pPr>
            <w:r w:rsidRPr="003712F0">
              <w:rPr>
                <w:b/>
                <w:sz w:val="24"/>
                <w:szCs w:val="24"/>
                <w:lang w:val="en-GB"/>
              </w:rPr>
              <w:t>HbA</w:t>
            </w:r>
            <w:r w:rsidRPr="003712F0">
              <w:rPr>
                <w:b/>
                <w:sz w:val="24"/>
                <w:szCs w:val="24"/>
                <w:vertAlign w:val="subscript"/>
                <w:lang w:val="en-GB"/>
              </w:rPr>
              <w:t xml:space="preserve">1c </w:t>
            </w:r>
            <w:r w:rsidRPr="003712F0">
              <w:rPr>
                <w:b/>
                <w:sz w:val="24"/>
                <w:szCs w:val="24"/>
                <w:lang w:val="en-GB"/>
              </w:rPr>
              <w:t>(%)</w:t>
            </w:r>
          </w:p>
        </w:tc>
        <w:tc>
          <w:tcPr>
            <w:tcW w:w="1110" w:type="pct"/>
            <w:tcBorders>
              <w:top w:val="single" w:sz="4" w:space="0" w:color="000000"/>
              <w:left w:val="single" w:sz="4" w:space="0" w:color="000000"/>
              <w:bottom w:val="single" w:sz="4" w:space="0" w:color="000000"/>
              <w:right w:val="single" w:sz="4" w:space="0" w:color="000000"/>
            </w:tcBorders>
            <w:vAlign w:val="center"/>
            <w:hideMark/>
          </w:tcPr>
          <w:p w14:paraId="2598E6CA" w14:textId="77777777" w:rsidR="00094747" w:rsidRPr="003712F0" w:rsidRDefault="00094747">
            <w:pPr>
              <w:keepNext/>
              <w:rPr>
                <w:sz w:val="24"/>
                <w:szCs w:val="24"/>
                <w:lang w:val="en-GB"/>
              </w:rPr>
            </w:pPr>
            <w:r w:rsidRPr="003712F0">
              <w:rPr>
                <w:b/>
                <w:sz w:val="24"/>
                <w:szCs w:val="24"/>
                <w:lang w:val="en-GB"/>
              </w:rPr>
              <w:t>Mean change from baseline HbA</w:t>
            </w:r>
            <w:r w:rsidRPr="003712F0">
              <w:rPr>
                <w:b/>
                <w:sz w:val="24"/>
                <w:szCs w:val="24"/>
                <w:vertAlign w:val="subscript"/>
                <w:lang w:val="en-GB"/>
              </w:rPr>
              <w:t xml:space="preserve">1c </w:t>
            </w:r>
            <w:r w:rsidRPr="003712F0">
              <w:rPr>
                <w:b/>
                <w:sz w:val="24"/>
                <w:szCs w:val="24"/>
                <w:lang w:val="en-GB"/>
              </w:rPr>
              <w:t>(%)</w:t>
            </w:r>
          </w:p>
        </w:tc>
        <w:tc>
          <w:tcPr>
            <w:tcW w:w="1663" w:type="pct"/>
            <w:tcBorders>
              <w:top w:val="single" w:sz="4" w:space="0" w:color="000000"/>
              <w:left w:val="single" w:sz="4" w:space="0" w:color="000000"/>
              <w:bottom w:val="single" w:sz="4" w:space="0" w:color="000000"/>
              <w:right w:val="single" w:sz="4" w:space="0" w:color="000000"/>
            </w:tcBorders>
            <w:hideMark/>
          </w:tcPr>
          <w:p w14:paraId="75DAAB92" w14:textId="77777777" w:rsidR="00094747" w:rsidRPr="003712F0" w:rsidRDefault="00094747">
            <w:pPr>
              <w:keepNext/>
              <w:rPr>
                <w:sz w:val="24"/>
                <w:szCs w:val="24"/>
                <w:lang w:val="en-GB"/>
              </w:rPr>
            </w:pPr>
            <w:r w:rsidRPr="003712F0">
              <w:rPr>
                <w:b/>
                <w:sz w:val="24"/>
                <w:szCs w:val="24"/>
                <w:lang w:val="en-GB"/>
              </w:rPr>
              <w:t>Placebo-corrected mean change in HbA</w:t>
            </w:r>
            <w:r w:rsidRPr="003712F0">
              <w:rPr>
                <w:b/>
                <w:sz w:val="24"/>
                <w:szCs w:val="24"/>
                <w:vertAlign w:val="subscript"/>
                <w:lang w:val="en-GB"/>
              </w:rPr>
              <w:t xml:space="preserve">1c </w:t>
            </w:r>
            <w:r w:rsidRPr="003712F0">
              <w:rPr>
                <w:b/>
                <w:sz w:val="24"/>
                <w:szCs w:val="24"/>
                <w:lang w:val="en-GB"/>
              </w:rPr>
              <w:t>(%) (95 % CI)</w:t>
            </w:r>
          </w:p>
        </w:tc>
      </w:tr>
      <w:tr w:rsidR="00094747" w:rsidRPr="003712F0" w14:paraId="4A7C1DC6" w14:textId="77777777" w:rsidTr="008C7DB3">
        <w:trPr>
          <w:cantSplit/>
          <w:trHeight w:val="1046"/>
        </w:trPr>
        <w:tc>
          <w:tcPr>
            <w:tcW w:w="1410" w:type="pct"/>
            <w:tcBorders>
              <w:top w:val="single" w:sz="4" w:space="0" w:color="000000"/>
              <w:left w:val="single" w:sz="4" w:space="0" w:color="000000"/>
              <w:bottom w:val="single" w:sz="4" w:space="0" w:color="000000"/>
              <w:right w:val="single" w:sz="4" w:space="0" w:color="000000"/>
            </w:tcBorders>
            <w:hideMark/>
          </w:tcPr>
          <w:p w14:paraId="30E38A09" w14:textId="77777777" w:rsidR="00094747" w:rsidRPr="003712F0" w:rsidRDefault="00094747">
            <w:pPr>
              <w:rPr>
                <w:sz w:val="24"/>
                <w:szCs w:val="24"/>
                <w:lang w:val="en-GB"/>
              </w:rPr>
            </w:pPr>
            <w:r w:rsidRPr="003712F0">
              <w:rPr>
                <w:sz w:val="24"/>
                <w:szCs w:val="24"/>
                <w:lang w:val="en-GB"/>
              </w:rPr>
              <w:t xml:space="preserve">Sitagliptin 100 mg once daily added to ongoing metformin therapy </w:t>
            </w:r>
            <w:r w:rsidRPr="003712F0">
              <w:rPr>
                <w:sz w:val="24"/>
                <w:szCs w:val="24"/>
                <w:vertAlign w:val="superscript"/>
                <w:lang w:val="en-GB"/>
              </w:rPr>
              <w:t xml:space="preserve">d </w:t>
            </w:r>
            <w:r w:rsidRPr="003712F0">
              <w:rPr>
                <w:sz w:val="24"/>
                <w:szCs w:val="24"/>
                <w:lang w:val="en-GB"/>
              </w:rPr>
              <w:t>(N=453)</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24334141" w14:textId="77777777" w:rsidR="00094747" w:rsidRPr="003712F0" w:rsidRDefault="00094747">
            <w:pPr>
              <w:rPr>
                <w:sz w:val="24"/>
                <w:szCs w:val="24"/>
                <w:lang w:val="en-GB"/>
              </w:rPr>
            </w:pPr>
            <w:r w:rsidRPr="003712F0">
              <w:rPr>
                <w:sz w:val="24"/>
                <w:szCs w:val="24"/>
                <w:lang w:val="en-GB"/>
              </w:rPr>
              <w:t>8.0</w:t>
            </w:r>
          </w:p>
        </w:tc>
        <w:tc>
          <w:tcPr>
            <w:tcW w:w="1110" w:type="pct"/>
            <w:tcBorders>
              <w:top w:val="single" w:sz="4" w:space="0" w:color="000000"/>
              <w:left w:val="single" w:sz="4" w:space="0" w:color="000000"/>
              <w:bottom w:val="single" w:sz="4" w:space="0" w:color="000000"/>
              <w:right w:val="single" w:sz="4" w:space="0" w:color="000000"/>
            </w:tcBorders>
            <w:vAlign w:val="center"/>
            <w:hideMark/>
          </w:tcPr>
          <w:p w14:paraId="5D5B271D" w14:textId="77777777" w:rsidR="00094747" w:rsidRPr="003712F0" w:rsidRDefault="00094747">
            <w:pPr>
              <w:rPr>
                <w:sz w:val="24"/>
                <w:szCs w:val="24"/>
                <w:lang w:val="en-GB"/>
              </w:rPr>
            </w:pPr>
            <w:r w:rsidRPr="003712F0">
              <w:rPr>
                <w:sz w:val="24"/>
                <w:szCs w:val="24"/>
                <w:lang w:val="en-GB"/>
              </w:rPr>
              <w:t xml:space="preserve">-0.7 </w:t>
            </w:r>
            <w:r w:rsidRPr="003712F0">
              <w:rPr>
                <w:sz w:val="24"/>
                <w:szCs w:val="24"/>
                <w:vertAlign w:val="superscript"/>
                <w:lang w:val="en-GB"/>
              </w:rPr>
              <w:t>†</w:t>
            </w:r>
          </w:p>
        </w:tc>
        <w:tc>
          <w:tcPr>
            <w:tcW w:w="1663" w:type="pct"/>
            <w:tcBorders>
              <w:top w:val="single" w:sz="4" w:space="0" w:color="000000"/>
              <w:left w:val="single" w:sz="4" w:space="0" w:color="000000"/>
              <w:bottom w:val="single" w:sz="4" w:space="0" w:color="000000"/>
              <w:right w:val="single" w:sz="4" w:space="0" w:color="000000"/>
            </w:tcBorders>
            <w:vAlign w:val="center"/>
            <w:hideMark/>
          </w:tcPr>
          <w:p w14:paraId="0CF86ED6" w14:textId="77777777" w:rsidR="00094747" w:rsidRPr="003712F0" w:rsidRDefault="00094747">
            <w:pPr>
              <w:rPr>
                <w:sz w:val="24"/>
                <w:szCs w:val="24"/>
                <w:lang w:val="en-GB"/>
              </w:rPr>
            </w:pPr>
            <w:r w:rsidRPr="003712F0">
              <w:rPr>
                <w:sz w:val="24"/>
                <w:szCs w:val="24"/>
                <w:lang w:val="en-GB"/>
              </w:rPr>
              <w:t xml:space="preserve">-0.7 </w:t>
            </w:r>
            <w:r w:rsidRPr="003712F0">
              <w:rPr>
                <w:sz w:val="24"/>
                <w:szCs w:val="24"/>
                <w:vertAlign w:val="superscript"/>
                <w:lang w:val="en-GB"/>
              </w:rPr>
              <w:t>†, ‡</w:t>
            </w:r>
          </w:p>
          <w:p w14:paraId="31C0BF6A" w14:textId="77777777" w:rsidR="00094747" w:rsidRPr="003712F0" w:rsidRDefault="00094747">
            <w:pPr>
              <w:rPr>
                <w:sz w:val="24"/>
                <w:szCs w:val="24"/>
                <w:lang w:val="en-GB"/>
              </w:rPr>
            </w:pPr>
            <w:r w:rsidRPr="003712F0">
              <w:rPr>
                <w:sz w:val="24"/>
                <w:szCs w:val="24"/>
                <w:lang w:val="en-GB"/>
              </w:rPr>
              <w:t>(-0.8, -0.5)</w:t>
            </w:r>
          </w:p>
        </w:tc>
      </w:tr>
      <w:tr w:rsidR="00094747" w:rsidRPr="003712F0" w14:paraId="67F3B314" w14:textId="77777777" w:rsidTr="008C7DB3">
        <w:trPr>
          <w:cantSplit/>
          <w:trHeight w:val="1306"/>
        </w:trPr>
        <w:tc>
          <w:tcPr>
            <w:tcW w:w="1410" w:type="pct"/>
            <w:tcBorders>
              <w:top w:val="single" w:sz="4" w:space="0" w:color="000000"/>
              <w:left w:val="single" w:sz="4" w:space="0" w:color="000000"/>
              <w:bottom w:val="single" w:sz="4" w:space="0" w:color="000000"/>
              <w:right w:val="single" w:sz="4" w:space="0" w:color="000000"/>
            </w:tcBorders>
            <w:hideMark/>
          </w:tcPr>
          <w:p w14:paraId="168F0DB9" w14:textId="77777777" w:rsidR="00094747" w:rsidRPr="003712F0" w:rsidRDefault="00094747">
            <w:pPr>
              <w:rPr>
                <w:sz w:val="24"/>
                <w:szCs w:val="24"/>
                <w:lang w:val="en-GB"/>
              </w:rPr>
            </w:pPr>
            <w:r w:rsidRPr="003712F0">
              <w:rPr>
                <w:sz w:val="24"/>
                <w:szCs w:val="24"/>
                <w:lang w:val="en-GB"/>
              </w:rPr>
              <w:t xml:space="preserve">Sitagliptin 100 mg once daily added to ongoing glimepiride + metformin therapy </w:t>
            </w:r>
            <w:r w:rsidRPr="003712F0">
              <w:rPr>
                <w:sz w:val="24"/>
                <w:szCs w:val="24"/>
                <w:vertAlign w:val="superscript"/>
                <w:lang w:val="en-GB"/>
              </w:rPr>
              <w:t xml:space="preserve">d </w:t>
            </w:r>
            <w:r w:rsidRPr="003712F0">
              <w:rPr>
                <w:sz w:val="24"/>
                <w:szCs w:val="24"/>
                <w:lang w:val="en-GB"/>
              </w:rPr>
              <w:t>(N=115)</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090E2F0D" w14:textId="77777777" w:rsidR="00094747" w:rsidRPr="003712F0" w:rsidRDefault="00094747">
            <w:pPr>
              <w:rPr>
                <w:sz w:val="24"/>
                <w:szCs w:val="24"/>
                <w:lang w:val="en-GB"/>
              </w:rPr>
            </w:pPr>
            <w:r w:rsidRPr="003712F0">
              <w:rPr>
                <w:sz w:val="24"/>
                <w:szCs w:val="24"/>
                <w:lang w:val="en-GB"/>
              </w:rPr>
              <w:t>8.3</w:t>
            </w:r>
          </w:p>
        </w:tc>
        <w:tc>
          <w:tcPr>
            <w:tcW w:w="1110" w:type="pct"/>
            <w:tcBorders>
              <w:top w:val="single" w:sz="4" w:space="0" w:color="000000"/>
              <w:left w:val="single" w:sz="4" w:space="0" w:color="000000"/>
              <w:bottom w:val="single" w:sz="4" w:space="0" w:color="000000"/>
              <w:right w:val="single" w:sz="4" w:space="0" w:color="000000"/>
            </w:tcBorders>
            <w:vAlign w:val="center"/>
            <w:hideMark/>
          </w:tcPr>
          <w:p w14:paraId="002FCC16" w14:textId="77777777" w:rsidR="00094747" w:rsidRPr="003712F0" w:rsidRDefault="00094747">
            <w:pPr>
              <w:rPr>
                <w:sz w:val="24"/>
                <w:szCs w:val="24"/>
                <w:lang w:val="en-GB"/>
              </w:rPr>
            </w:pPr>
            <w:r w:rsidRPr="003712F0">
              <w:rPr>
                <w:sz w:val="24"/>
                <w:szCs w:val="24"/>
                <w:lang w:val="en-GB"/>
              </w:rPr>
              <w:t xml:space="preserve">-0.6 </w:t>
            </w:r>
            <w:r w:rsidRPr="003712F0">
              <w:rPr>
                <w:sz w:val="24"/>
                <w:szCs w:val="24"/>
                <w:vertAlign w:val="superscript"/>
                <w:lang w:val="en-GB"/>
              </w:rPr>
              <w:t>†</w:t>
            </w:r>
          </w:p>
        </w:tc>
        <w:tc>
          <w:tcPr>
            <w:tcW w:w="1663" w:type="pct"/>
            <w:tcBorders>
              <w:top w:val="single" w:sz="4" w:space="0" w:color="000000"/>
              <w:left w:val="single" w:sz="4" w:space="0" w:color="000000"/>
              <w:bottom w:val="single" w:sz="4" w:space="0" w:color="000000"/>
              <w:right w:val="single" w:sz="4" w:space="0" w:color="000000"/>
            </w:tcBorders>
            <w:vAlign w:val="center"/>
            <w:hideMark/>
          </w:tcPr>
          <w:p w14:paraId="44B50A9C" w14:textId="77777777" w:rsidR="00094747" w:rsidRPr="003712F0" w:rsidRDefault="00094747">
            <w:pPr>
              <w:rPr>
                <w:sz w:val="24"/>
                <w:szCs w:val="24"/>
                <w:lang w:val="en-GB"/>
              </w:rPr>
            </w:pPr>
            <w:r w:rsidRPr="003712F0">
              <w:rPr>
                <w:sz w:val="24"/>
                <w:szCs w:val="24"/>
                <w:lang w:val="en-GB"/>
              </w:rPr>
              <w:t xml:space="preserve">-0.9 </w:t>
            </w:r>
            <w:r w:rsidRPr="003712F0">
              <w:rPr>
                <w:sz w:val="24"/>
                <w:szCs w:val="24"/>
                <w:vertAlign w:val="superscript"/>
                <w:lang w:val="en-GB"/>
              </w:rPr>
              <w:t>†, ‡</w:t>
            </w:r>
          </w:p>
          <w:p w14:paraId="7064D95D" w14:textId="77777777" w:rsidR="00094747" w:rsidRPr="003712F0" w:rsidRDefault="00094747">
            <w:pPr>
              <w:rPr>
                <w:sz w:val="24"/>
                <w:szCs w:val="24"/>
                <w:lang w:val="en-GB"/>
              </w:rPr>
            </w:pPr>
            <w:r w:rsidRPr="003712F0">
              <w:rPr>
                <w:sz w:val="24"/>
                <w:szCs w:val="24"/>
                <w:lang w:val="en-GB"/>
              </w:rPr>
              <w:t>(-1.1, -0.7)</w:t>
            </w:r>
          </w:p>
        </w:tc>
      </w:tr>
      <w:tr w:rsidR="00094747" w:rsidRPr="003712F0" w14:paraId="6DC07009" w14:textId="77777777" w:rsidTr="008C7DB3">
        <w:trPr>
          <w:cantSplit/>
          <w:trHeight w:val="1306"/>
        </w:trPr>
        <w:tc>
          <w:tcPr>
            <w:tcW w:w="1410" w:type="pct"/>
            <w:tcBorders>
              <w:top w:val="single" w:sz="4" w:space="0" w:color="000000"/>
              <w:left w:val="single" w:sz="4" w:space="0" w:color="000000"/>
              <w:bottom w:val="single" w:sz="4" w:space="0" w:color="000000"/>
              <w:right w:val="single" w:sz="4" w:space="0" w:color="000000"/>
            </w:tcBorders>
            <w:hideMark/>
          </w:tcPr>
          <w:p w14:paraId="0B29EE7F" w14:textId="77777777" w:rsidR="00094747" w:rsidRPr="003712F0" w:rsidRDefault="00094747">
            <w:pPr>
              <w:rPr>
                <w:sz w:val="24"/>
                <w:szCs w:val="24"/>
                <w:lang w:val="en-GB"/>
              </w:rPr>
            </w:pPr>
            <w:r w:rsidRPr="003712F0">
              <w:rPr>
                <w:sz w:val="24"/>
                <w:szCs w:val="24"/>
                <w:lang w:val="en-GB"/>
              </w:rPr>
              <w:t xml:space="preserve">Sitagliptin 100 mg once daily added to ongoing pioglitazone + metformin therapy </w:t>
            </w:r>
            <w:r w:rsidRPr="003712F0">
              <w:rPr>
                <w:sz w:val="24"/>
                <w:szCs w:val="24"/>
                <w:vertAlign w:val="superscript"/>
                <w:lang w:val="en-GB"/>
              </w:rPr>
              <w:t xml:space="preserve">e </w:t>
            </w:r>
            <w:r w:rsidRPr="003712F0">
              <w:rPr>
                <w:sz w:val="24"/>
                <w:szCs w:val="24"/>
                <w:lang w:val="en-GB"/>
              </w:rPr>
              <w:t>(N=152)</w:t>
            </w:r>
          </w:p>
        </w:tc>
        <w:tc>
          <w:tcPr>
            <w:tcW w:w="817" w:type="pct"/>
            <w:tcBorders>
              <w:top w:val="single" w:sz="4" w:space="0" w:color="000000"/>
              <w:left w:val="single" w:sz="4" w:space="0" w:color="000000"/>
              <w:bottom w:val="single" w:sz="4" w:space="0" w:color="000000"/>
              <w:right w:val="single" w:sz="4" w:space="0" w:color="000000"/>
            </w:tcBorders>
            <w:hideMark/>
          </w:tcPr>
          <w:p w14:paraId="62AF24A6" w14:textId="77777777" w:rsidR="00094747" w:rsidRPr="003712F0" w:rsidRDefault="00094747">
            <w:pPr>
              <w:rPr>
                <w:sz w:val="24"/>
                <w:szCs w:val="24"/>
                <w:lang w:val="en-GB"/>
              </w:rPr>
            </w:pPr>
            <w:r w:rsidRPr="003712F0">
              <w:rPr>
                <w:sz w:val="24"/>
                <w:szCs w:val="24"/>
                <w:lang w:val="en-GB"/>
              </w:rPr>
              <w:t>8.8</w:t>
            </w:r>
          </w:p>
        </w:tc>
        <w:tc>
          <w:tcPr>
            <w:tcW w:w="1110" w:type="pct"/>
            <w:tcBorders>
              <w:top w:val="single" w:sz="4" w:space="0" w:color="000000"/>
              <w:left w:val="single" w:sz="4" w:space="0" w:color="000000"/>
              <w:bottom w:val="single" w:sz="4" w:space="0" w:color="000000"/>
              <w:right w:val="single" w:sz="4" w:space="0" w:color="000000"/>
            </w:tcBorders>
            <w:hideMark/>
          </w:tcPr>
          <w:p w14:paraId="741DDC14" w14:textId="77777777" w:rsidR="00094747" w:rsidRPr="003712F0" w:rsidRDefault="00094747">
            <w:pPr>
              <w:rPr>
                <w:sz w:val="24"/>
                <w:szCs w:val="24"/>
                <w:lang w:val="en-GB"/>
              </w:rPr>
            </w:pPr>
            <w:r w:rsidRPr="003712F0">
              <w:rPr>
                <w:sz w:val="24"/>
                <w:szCs w:val="24"/>
                <w:lang w:val="en-GB"/>
              </w:rPr>
              <w:t xml:space="preserve">-1.2 </w:t>
            </w:r>
            <w:r w:rsidRPr="003712F0">
              <w:rPr>
                <w:sz w:val="24"/>
                <w:szCs w:val="24"/>
                <w:vertAlign w:val="superscript"/>
                <w:lang w:val="en-GB"/>
              </w:rPr>
              <w:t>†</w:t>
            </w:r>
          </w:p>
        </w:tc>
        <w:tc>
          <w:tcPr>
            <w:tcW w:w="1663" w:type="pct"/>
            <w:tcBorders>
              <w:top w:val="single" w:sz="4" w:space="0" w:color="000000"/>
              <w:left w:val="single" w:sz="4" w:space="0" w:color="000000"/>
              <w:bottom w:val="single" w:sz="4" w:space="0" w:color="000000"/>
              <w:right w:val="single" w:sz="4" w:space="0" w:color="000000"/>
            </w:tcBorders>
            <w:hideMark/>
          </w:tcPr>
          <w:p w14:paraId="3890DB0F" w14:textId="77777777" w:rsidR="00094747" w:rsidRPr="003712F0" w:rsidRDefault="00094747">
            <w:pPr>
              <w:rPr>
                <w:sz w:val="24"/>
                <w:szCs w:val="24"/>
                <w:lang w:val="en-GB"/>
              </w:rPr>
            </w:pPr>
            <w:r w:rsidRPr="003712F0">
              <w:rPr>
                <w:sz w:val="24"/>
                <w:szCs w:val="24"/>
                <w:lang w:val="en-GB"/>
              </w:rPr>
              <w:t xml:space="preserve">-0.7 </w:t>
            </w:r>
            <w:r w:rsidRPr="003712F0">
              <w:rPr>
                <w:sz w:val="24"/>
                <w:szCs w:val="24"/>
                <w:vertAlign w:val="superscript"/>
                <w:lang w:val="en-GB"/>
              </w:rPr>
              <w:t>†, ‡</w:t>
            </w:r>
          </w:p>
          <w:p w14:paraId="2830A897" w14:textId="77777777" w:rsidR="00094747" w:rsidRPr="003712F0" w:rsidRDefault="00094747">
            <w:pPr>
              <w:rPr>
                <w:sz w:val="24"/>
                <w:szCs w:val="24"/>
                <w:lang w:val="en-GB"/>
              </w:rPr>
            </w:pPr>
            <w:r w:rsidRPr="003712F0">
              <w:rPr>
                <w:sz w:val="24"/>
                <w:szCs w:val="24"/>
                <w:lang w:val="en-GB"/>
              </w:rPr>
              <w:t>(-1.0, -0.5)</w:t>
            </w:r>
          </w:p>
        </w:tc>
      </w:tr>
      <w:tr w:rsidR="00094747" w:rsidRPr="003712F0" w14:paraId="6436E522" w14:textId="77777777" w:rsidTr="008C7DB3">
        <w:trPr>
          <w:cantSplit/>
          <w:trHeight w:val="1306"/>
        </w:trPr>
        <w:tc>
          <w:tcPr>
            <w:tcW w:w="1410" w:type="pct"/>
            <w:tcBorders>
              <w:top w:val="single" w:sz="4" w:space="0" w:color="000000"/>
              <w:left w:val="single" w:sz="4" w:space="0" w:color="000000"/>
              <w:bottom w:val="single" w:sz="4" w:space="0" w:color="000000"/>
              <w:right w:val="single" w:sz="4" w:space="0" w:color="000000"/>
            </w:tcBorders>
            <w:hideMark/>
          </w:tcPr>
          <w:p w14:paraId="0A96F88B" w14:textId="77777777" w:rsidR="00094747" w:rsidRPr="003712F0" w:rsidRDefault="00094747">
            <w:pPr>
              <w:rPr>
                <w:sz w:val="24"/>
                <w:szCs w:val="24"/>
                <w:lang w:val="en-GB"/>
              </w:rPr>
            </w:pPr>
            <w:r w:rsidRPr="003712F0">
              <w:rPr>
                <w:sz w:val="24"/>
                <w:szCs w:val="24"/>
                <w:lang w:val="en-GB"/>
              </w:rPr>
              <w:t xml:space="preserve">Sitagliptin 100 mg once daily added to ongoing insulin + metformin therapy </w:t>
            </w:r>
            <w:r w:rsidRPr="003712F0">
              <w:rPr>
                <w:sz w:val="24"/>
                <w:szCs w:val="24"/>
                <w:vertAlign w:val="superscript"/>
                <w:lang w:val="en-GB"/>
              </w:rPr>
              <w:t>d</w:t>
            </w:r>
          </w:p>
          <w:p w14:paraId="5CC995EE" w14:textId="77777777" w:rsidR="00094747" w:rsidRPr="003712F0" w:rsidRDefault="00094747">
            <w:pPr>
              <w:rPr>
                <w:sz w:val="24"/>
                <w:szCs w:val="24"/>
                <w:lang w:val="en-GB"/>
              </w:rPr>
            </w:pPr>
            <w:r w:rsidRPr="003712F0">
              <w:rPr>
                <w:sz w:val="24"/>
                <w:szCs w:val="24"/>
                <w:lang w:val="en-GB"/>
              </w:rPr>
              <w:t>(N=223)</w:t>
            </w:r>
          </w:p>
        </w:tc>
        <w:tc>
          <w:tcPr>
            <w:tcW w:w="817" w:type="pct"/>
            <w:tcBorders>
              <w:top w:val="single" w:sz="4" w:space="0" w:color="000000"/>
              <w:left w:val="single" w:sz="4" w:space="0" w:color="000000"/>
              <w:bottom w:val="single" w:sz="4" w:space="0" w:color="000000"/>
              <w:right w:val="single" w:sz="4" w:space="0" w:color="000000"/>
            </w:tcBorders>
            <w:hideMark/>
          </w:tcPr>
          <w:p w14:paraId="3C89B676" w14:textId="77777777" w:rsidR="00094747" w:rsidRPr="003712F0" w:rsidRDefault="00094747">
            <w:pPr>
              <w:rPr>
                <w:sz w:val="24"/>
                <w:szCs w:val="24"/>
                <w:lang w:val="en-GB"/>
              </w:rPr>
            </w:pPr>
            <w:r w:rsidRPr="003712F0">
              <w:rPr>
                <w:sz w:val="24"/>
                <w:szCs w:val="24"/>
                <w:lang w:val="en-GB"/>
              </w:rPr>
              <w:t>8.7</w:t>
            </w:r>
          </w:p>
        </w:tc>
        <w:tc>
          <w:tcPr>
            <w:tcW w:w="1110" w:type="pct"/>
            <w:tcBorders>
              <w:top w:val="single" w:sz="4" w:space="0" w:color="000000"/>
              <w:left w:val="single" w:sz="4" w:space="0" w:color="000000"/>
              <w:bottom w:val="single" w:sz="4" w:space="0" w:color="000000"/>
              <w:right w:val="single" w:sz="4" w:space="0" w:color="000000"/>
            </w:tcBorders>
            <w:hideMark/>
          </w:tcPr>
          <w:p w14:paraId="0A298F08" w14:textId="77777777" w:rsidR="00094747" w:rsidRPr="003712F0" w:rsidRDefault="00094747">
            <w:pPr>
              <w:rPr>
                <w:sz w:val="24"/>
                <w:szCs w:val="24"/>
                <w:lang w:val="en-GB"/>
              </w:rPr>
            </w:pPr>
            <w:r w:rsidRPr="003712F0">
              <w:rPr>
                <w:sz w:val="24"/>
                <w:szCs w:val="24"/>
                <w:lang w:val="en-GB"/>
              </w:rPr>
              <w:t xml:space="preserve">-0.7 </w:t>
            </w:r>
            <w:r w:rsidRPr="003712F0">
              <w:rPr>
                <w:sz w:val="24"/>
                <w:szCs w:val="24"/>
                <w:vertAlign w:val="superscript"/>
                <w:lang w:val="en-GB"/>
              </w:rPr>
              <w:t>§</w:t>
            </w:r>
          </w:p>
        </w:tc>
        <w:tc>
          <w:tcPr>
            <w:tcW w:w="1663" w:type="pct"/>
            <w:tcBorders>
              <w:top w:val="single" w:sz="4" w:space="0" w:color="000000"/>
              <w:left w:val="single" w:sz="4" w:space="0" w:color="000000"/>
              <w:bottom w:val="single" w:sz="4" w:space="0" w:color="000000"/>
              <w:right w:val="single" w:sz="4" w:space="0" w:color="000000"/>
            </w:tcBorders>
            <w:hideMark/>
          </w:tcPr>
          <w:p w14:paraId="7760E84A" w14:textId="77777777" w:rsidR="00094747" w:rsidRPr="003712F0" w:rsidRDefault="00094747">
            <w:pPr>
              <w:rPr>
                <w:sz w:val="24"/>
                <w:szCs w:val="24"/>
                <w:lang w:val="en-GB"/>
              </w:rPr>
            </w:pPr>
            <w:r w:rsidRPr="003712F0">
              <w:rPr>
                <w:sz w:val="24"/>
                <w:szCs w:val="24"/>
                <w:lang w:val="en-GB"/>
              </w:rPr>
              <w:t xml:space="preserve">-0.5 </w:t>
            </w:r>
            <w:r w:rsidRPr="003712F0">
              <w:rPr>
                <w:sz w:val="24"/>
                <w:szCs w:val="24"/>
                <w:vertAlign w:val="superscript"/>
                <w:lang w:val="en-GB"/>
              </w:rPr>
              <w:t>§, ‡</w:t>
            </w:r>
          </w:p>
          <w:p w14:paraId="5BBC5C89" w14:textId="77777777" w:rsidR="00094747" w:rsidRPr="003712F0" w:rsidRDefault="00094747">
            <w:pPr>
              <w:rPr>
                <w:sz w:val="24"/>
                <w:szCs w:val="24"/>
                <w:lang w:val="en-GB"/>
              </w:rPr>
            </w:pPr>
            <w:r w:rsidRPr="003712F0">
              <w:rPr>
                <w:sz w:val="24"/>
                <w:szCs w:val="24"/>
                <w:lang w:val="en-GB"/>
              </w:rPr>
              <w:t>(-0.7, -0.4)</w:t>
            </w:r>
          </w:p>
        </w:tc>
      </w:tr>
      <w:tr w:rsidR="00094747" w:rsidRPr="003712F0" w14:paraId="7677E040" w14:textId="77777777" w:rsidTr="008C7DB3">
        <w:trPr>
          <w:cantSplit/>
          <w:trHeight w:val="1306"/>
        </w:trPr>
        <w:tc>
          <w:tcPr>
            <w:tcW w:w="1410" w:type="pct"/>
            <w:tcBorders>
              <w:top w:val="single" w:sz="4" w:space="0" w:color="000000"/>
              <w:left w:val="single" w:sz="4" w:space="0" w:color="000000"/>
              <w:bottom w:val="single" w:sz="4" w:space="0" w:color="000000"/>
              <w:right w:val="single" w:sz="4" w:space="0" w:color="000000"/>
            </w:tcBorders>
            <w:hideMark/>
          </w:tcPr>
          <w:p w14:paraId="290142BD" w14:textId="77777777" w:rsidR="00094747" w:rsidRPr="003712F0" w:rsidRDefault="00094747">
            <w:pPr>
              <w:rPr>
                <w:sz w:val="24"/>
                <w:szCs w:val="24"/>
                <w:lang w:val="en-GB"/>
              </w:rPr>
            </w:pPr>
            <w:r w:rsidRPr="003712F0">
              <w:rPr>
                <w:sz w:val="24"/>
                <w:szCs w:val="24"/>
                <w:lang w:val="en-GB"/>
              </w:rPr>
              <w:t xml:space="preserve">Initial Therapy (twice daily) </w:t>
            </w:r>
            <w:r w:rsidRPr="003712F0">
              <w:rPr>
                <w:sz w:val="24"/>
                <w:szCs w:val="24"/>
                <w:vertAlign w:val="superscript"/>
                <w:lang w:val="en-GB"/>
              </w:rPr>
              <w:t>d</w:t>
            </w:r>
            <w:r w:rsidRPr="003712F0">
              <w:rPr>
                <w:sz w:val="24"/>
                <w:szCs w:val="24"/>
                <w:lang w:val="en-GB"/>
              </w:rPr>
              <w:t>:</w:t>
            </w:r>
          </w:p>
          <w:p w14:paraId="306A0A07" w14:textId="77777777" w:rsidR="00094747" w:rsidRPr="00F47F2E" w:rsidRDefault="00094747">
            <w:pPr>
              <w:rPr>
                <w:sz w:val="24"/>
                <w:szCs w:val="24"/>
              </w:rPr>
            </w:pPr>
            <w:proofErr w:type="spellStart"/>
            <w:r w:rsidRPr="00F47F2E">
              <w:rPr>
                <w:sz w:val="24"/>
                <w:szCs w:val="24"/>
              </w:rPr>
              <w:t>Sitagliptin</w:t>
            </w:r>
            <w:proofErr w:type="spellEnd"/>
            <w:r w:rsidRPr="00F47F2E">
              <w:rPr>
                <w:sz w:val="24"/>
                <w:szCs w:val="24"/>
              </w:rPr>
              <w:t xml:space="preserve"> 50 mg + </w:t>
            </w:r>
            <w:proofErr w:type="spellStart"/>
            <w:r w:rsidRPr="00F47F2E">
              <w:rPr>
                <w:sz w:val="24"/>
                <w:szCs w:val="24"/>
              </w:rPr>
              <w:t>metformin</w:t>
            </w:r>
            <w:proofErr w:type="spellEnd"/>
            <w:r w:rsidRPr="00F47F2E">
              <w:rPr>
                <w:sz w:val="24"/>
                <w:szCs w:val="24"/>
              </w:rPr>
              <w:t xml:space="preserve"> 500 mg </w:t>
            </w:r>
          </w:p>
          <w:p w14:paraId="6F0F7F50" w14:textId="77777777" w:rsidR="00094747" w:rsidRPr="00F47F2E" w:rsidRDefault="00094747">
            <w:pPr>
              <w:rPr>
                <w:sz w:val="24"/>
                <w:szCs w:val="24"/>
              </w:rPr>
            </w:pPr>
            <w:r w:rsidRPr="00F47F2E">
              <w:rPr>
                <w:sz w:val="24"/>
                <w:szCs w:val="24"/>
              </w:rPr>
              <w:t>(N=183)</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409418EC" w14:textId="77777777" w:rsidR="00094747" w:rsidRPr="003712F0" w:rsidRDefault="00094747">
            <w:pPr>
              <w:rPr>
                <w:sz w:val="24"/>
                <w:szCs w:val="24"/>
                <w:lang w:val="en-GB"/>
              </w:rPr>
            </w:pPr>
            <w:r w:rsidRPr="003712F0">
              <w:rPr>
                <w:sz w:val="24"/>
                <w:szCs w:val="24"/>
                <w:lang w:val="en-GB"/>
              </w:rPr>
              <w:t>8.8</w:t>
            </w:r>
          </w:p>
        </w:tc>
        <w:tc>
          <w:tcPr>
            <w:tcW w:w="1110" w:type="pct"/>
            <w:tcBorders>
              <w:top w:val="single" w:sz="4" w:space="0" w:color="000000"/>
              <w:left w:val="single" w:sz="4" w:space="0" w:color="000000"/>
              <w:bottom w:val="single" w:sz="4" w:space="0" w:color="000000"/>
              <w:right w:val="single" w:sz="4" w:space="0" w:color="000000"/>
            </w:tcBorders>
            <w:vAlign w:val="center"/>
            <w:hideMark/>
          </w:tcPr>
          <w:p w14:paraId="0C8CEF21" w14:textId="77777777" w:rsidR="00094747" w:rsidRPr="003712F0" w:rsidRDefault="00094747">
            <w:pPr>
              <w:rPr>
                <w:sz w:val="24"/>
                <w:szCs w:val="24"/>
                <w:lang w:val="en-GB"/>
              </w:rPr>
            </w:pPr>
            <w:r w:rsidRPr="003712F0">
              <w:rPr>
                <w:sz w:val="24"/>
                <w:szCs w:val="24"/>
                <w:lang w:val="en-GB"/>
              </w:rPr>
              <w:t xml:space="preserve">-1.4 </w:t>
            </w:r>
            <w:r w:rsidRPr="003712F0">
              <w:rPr>
                <w:sz w:val="24"/>
                <w:szCs w:val="24"/>
                <w:vertAlign w:val="superscript"/>
                <w:lang w:val="en-GB"/>
              </w:rPr>
              <w:t>†</w:t>
            </w:r>
          </w:p>
        </w:tc>
        <w:tc>
          <w:tcPr>
            <w:tcW w:w="1663" w:type="pct"/>
            <w:tcBorders>
              <w:top w:val="single" w:sz="4" w:space="0" w:color="000000"/>
              <w:left w:val="single" w:sz="4" w:space="0" w:color="000000"/>
              <w:bottom w:val="single" w:sz="4" w:space="0" w:color="000000"/>
              <w:right w:val="single" w:sz="4" w:space="0" w:color="000000"/>
            </w:tcBorders>
            <w:vAlign w:val="center"/>
            <w:hideMark/>
          </w:tcPr>
          <w:p w14:paraId="15BE6CDA" w14:textId="77777777" w:rsidR="00094747" w:rsidRPr="003712F0" w:rsidRDefault="00094747">
            <w:pPr>
              <w:rPr>
                <w:sz w:val="24"/>
                <w:szCs w:val="24"/>
                <w:lang w:val="en-GB"/>
              </w:rPr>
            </w:pPr>
            <w:r w:rsidRPr="003712F0">
              <w:rPr>
                <w:sz w:val="24"/>
                <w:szCs w:val="24"/>
                <w:lang w:val="en-GB"/>
              </w:rPr>
              <w:t xml:space="preserve">-1.6 </w:t>
            </w:r>
            <w:r w:rsidRPr="003712F0">
              <w:rPr>
                <w:sz w:val="24"/>
                <w:szCs w:val="24"/>
                <w:vertAlign w:val="superscript"/>
                <w:lang w:val="en-GB"/>
              </w:rPr>
              <w:t>†, ‡</w:t>
            </w:r>
          </w:p>
          <w:p w14:paraId="4562B2F3" w14:textId="77777777" w:rsidR="00094747" w:rsidRPr="003712F0" w:rsidRDefault="00094747">
            <w:pPr>
              <w:rPr>
                <w:sz w:val="24"/>
                <w:szCs w:val="24"/>
                <w:lang w:val="en-GB"/>
              </w:rPr>
            </w:pPr>
            <w:r w:rsidRPr="003712F0">
              <w:rPr>
                <w:sz w:val="24"/>
                <w:szCs w:val="24"/>
                <w:lang w:val="en-GB"/>
              </w:rPr>
              <w:t>(-1.8, -1.3)</w:t>
            </w:r>
          </w:p>
        </w:tc>
      </w:tr>
      <w:tr w:rsidR="00094747" w:rsidRPr="003712F0" w14:paraId="39C89F20" w14:textId="77777777" w:rsidTr="008C7DB3">
        <w:trPr>
          <w:cantSplit/>
          <w:trHeight w:val="1306"/>
        </w:trPr>
        <w:tc>
          <w:tcPr>
            <w:tcW w:w="1410" w:type="pct"/>
            <w:tcBorders>
              <w:top w:val="single" w:sz="4" w:space="0" w:color="000000"/>
              <w:left w:val="single" w:sz="4" w:space="0" w:color="000000"/>
              <w:bottom w:val="single" w:sz="4" w:space="0" w:color="000000"/>
              <w:right w:val="single" w:sz="4" w:space="0" w:color="000000"/>
            </w:tcBorders>
            <w:hideMark/>
          </w:tcPr>
          <w:p w14:paraId="6FE2FE7E" w14:textId="77777777" w:rsidR="00094747" w:rsidRPr="003712F0" w:rsidRDefault="00094747">
            <w:pPr>
              <w:rPr>
                <w:sz w:val="24"/>
                <w:szCs w:val="24"/>
                <w:lang w:val="en-GB"/>
              </w:rPr>
            </w:pPr>
            <w:r w:rsidRPr="003712F0">
              <w:rPr>
                <w:sz w:val="24"/>
                <w:szCs w:val="24"/>
                <w:lang w:val="en-GB"/>
              </w:rPr>
              <w:t xml:space="preserve">Initial Therapy (twice daily) </w:t>
            </w:r>
            <w:r w:rsidRPr="003712F0">
              <w:rPr>
                <w:sz w:val="24"/>
                <w:szCs w:val="24"/>
                <w:vertAlign w:val="superscript"/>
                <w:lang w:val="en-GB"/>
              </w:rPr>
              <w:t>d</w:t>
            </w:r>
            <w:r w:rsidRPr="003712F0">
              <w:rPr>
                <w:sz w:val="24"/>
                <w:szCs w:val="24"/>
                <w:lang w:val="en-GB"/>
              </w:rPr>
              <w:t xml:space="preserve">: </w:t>
            </w:r>
          </w:p>
          <w:p w14:paraId="724A22BA" w14:textId="77777777" w:rsidR="00094747" w:rsidRPr="00F47F2E" w:rsidRDefault="00094747">
            <w:pPr>
              <w:rPr>
                <w:sz w:val="24"/>
                <w:szCs w:val="24"/>
              </w:rPr>
            </w:pPr>
            <w:proofErr w:type="spellStart"/>
            <w:r w:rsidRPr="00F47F2E">
              <w:rPr>
                <w:sz w:val="24"/>
                <w:szCs w:val="24"/>
              </w:rPr>
              <w:t>Sitagliptin</w:t>
            </w:r>
            <w:proofErr w:type="spellEnd"/>
            <w:r w:rsidRPr="00F47F2E">
              <w:rPr>
                <w:sz w:val="24"/>
                <w:szCs w:val="24"/>
              </w:rPr>
              <w:t xml:space="preserve"> 50 mg + </w:t>
            </w:r>
            <w:proofErr w:type="spellStart"/>
            <w:r w:rsidRPr="00F47F2E">
              <w:rPr>
                <w:sz w:val="24"/>
                <w:szCs w:val="24"/>
              </w:rPr>
              <w:t>metformin</w:t>
            </w:r>
            <w:proofErr w:type="spellEnd"/>
            <w:r w:rsidRPr="00F47F2E">
              <w:rPr>
                <w:sz w:val="24"/>
                <w:szCs w:val="24"/>
              </w:rPr>
              <w:t xml:space="preserve"> 1,000 mg </w:t>
            </w:r>
          </w:p>
          <w:p w14:paraId="21233C9F" w14:textId="77777777" w:rsidR="00094747" w:rsidRPr="00F47F2E" w:rsidRDefault="00094747">
            <w:pPr>
              <w:rPr>
                <w:sz w:val="24"/>
                <w:szCs w:val="24"/>
              </w:rPr>
            </w:pPr>
            <w:r w:rsidRPr="00F47F2E">
              <w:rPr>
                <w:sz w:val="24"/>
                <w:szCs w:val="24"/>
              </w:rPr>
              <w:t>(N=178)</w:t>
            </w:r>
          </w:p>
        </w:tc>
        <w:tc>
          <w:tcPr>
            <w:tcW w:w="817" w:type="pct"/>
            <w:tcBorders>
              <w:top w:val="single" w:sz="4" w:space="0" w:color="000000"/>
              <w:left w:val="single" w:sz="4" w:space="0" w:color="000000"/>
              <w:bottom w:val="single" w:sz="4" w:space="0" w:color="000000"/>
              <w:right w:val="single" w:sz="4" w:space="0" w:color="000000"/>
            </w:tcBorders>
            <w:vAlign w:val="center"/>
            <w:hideMark/>
          </w:tcPr>
          <w:p w14:paraId="5FD96DC3" w14:textId="77777777" w:rsidR="00094747" w:rsidRPr="003712F0" w:rsidRDefault="00094747">
            <w:pPr>
              <w:rPr>
                <w:sz w:val="24"/>
                <w:szCs w:val="24"/>
                <w:lang w:val="en-GB"/>
              </w:rPr>
            </w:pPr>
            <w:r w:rsidRPr="003712F0">
              <w:rPr>
                <w:sz w:val="24"/>
                <w:szCs w:val="24"/>
                <w:lang w:val="en-GB"/>
              </w:rPr>
              <w:t>8.8</w:t>
            </w:r>
          </w:p>
        </w:tc>
        <w:tc>
          <w:tcPr>
            <w:tcW w:w="1110" w:type="pct"/>
            <w:tcBorders>
              <w:top w:val="single" w:sz="4" w:space="0" w:color="000000"/>
              <w:left w:val="single" w:sz="4" w:space="0" w:color="000000"/>
              <w:bottom w:val="single" w:sz="4" w:space="0" w:color="000000"/>
              <w:right w:val="single" w:sz="4" w:space="0" w:color="000000"/>
            </w:tcBorders>
            <w:vAlign w:val="center"/>
            <w:hideMark/>
          </w:tcPr>
          <w:p w14:paraId="3354AF0D" w14:textId="77777777" w:rsidR="00094747" w:rsidRPr="003712F0" w:rsidRDefault="00094747">
            <w:pPr>
              <w:rPr>
                <w:sz w:val="24"/>
                <w:szCs w:val="24"/>
                <w:lang w:val="en-GB"/>
              </w:rPr>
            </w:pPr>
            <w:r w:rsidRPr="003712F0">
              <w:rPr>
                <w:sz w:val="24"/>
                <w:szCs w:val="24"/>
                <w:lang w:val="en-GB"/>
              </w:rPr>
              <w:t xml:space="preserve">-1.9 </w:t>
            </w:r>
            <w:r w:rsidRPr="003712F0">
              <w:rPr>
                <w:sz w:val="24"/>
                <w:szCs w:val="24"/>
                <w:vertAlign w:val="superscript"/>
                <w:lang w:val="en-GB"/>
              </w:rPr>
              <w:t>†</w:t>
            </w:r>
          </w:p>
        </w:tc>
        <w:tc>
          <w:tcPr>
            <w:tcW w:w="1663" w:type="pct"/>
            <w:tcBorders>
              <w:top w:val="single" w:sz="4" w:space="0" w:color="000000"/>
              <w:left w:val="single" w:sz="4" w:space="0" w:color="000000"/>
              <w:bottom w:val="single" w:sz="4" w:space="0" w:color="000000"/>
              <w:right w:val="single" w:sz="4" w:space="0" w:color="000000"/>
            </w:tcBorders>
            <w:vAlign w:val="center"/>
            <w:hideMark/>
          </w:tcPr>
          <w:p w14:paraId="52CC5E10" w14:textId="77777777" w:rsidR="00094747" w:rsidRPr="003712F0" w:rsidRDefault="00094747">
            <w:pPr>
              <w:rPr>
                <w:sz w:val="24"/>
                <w:szCs w:val="24"/>
                <w:lang w:val="en-GB"/>
              </w:rPr>
            </w:pPr>
            <w:r w:rsidRPr="003712F0">
              <w:rPr>
                <w:sz w:val="24"/>
                <w:szCs w:val="24"/>
                <w:lang w:val="en-GB"/>
              </w:rPr>
              <w:t xml:space="preserve">-2.1 </w:t>
            </w:r>
            <w:r w:rsidRPr="003712F0">
              <w:rPr>
                <w:sz w:val="24"/>
                <w:szCs w:val="24"/>
                <w:vertAlign w:val="superscript"/>
                <w:lang w:val="en-GB"/>
              </w:rPr>
              <w:t>†, ‡</w:t>
            </w:r>
          </w:p>
          <w:p w14:paraId="05416B93" w14:textId="77777777" w:rsidR="00094747" w:rsidRPr="003712F0" w:rsidRDefault="00094747">
            <w:pPr>
              <w:rPr>
                <w:sz w:val="24"/>
                <w:szCs w:val="24"/>
                <w:lang w:val="en-GB"/>
              </w:rPr>
            </w:pPr>
            <w:r w:rsidRPr="003712F0">
              <w:rPr>
                <w:sz w:val="24"/>
                <w:szCs w:val="24"/>
                <w:lang w:val="en-GB"/>
              </w:rPr>
              <w:t>(-2.3, -1.8)</w:t>
            </w:r>
          </w:p>
        </w:tc>
      </w:tr>
    </w:tbl>
    <w:bookmarkEnd w:id="2"/>
    <w:p w14:paraId="608D555B" w14:textId="77777777" w:rsidR="00094747" w:rsidRPr="009153EE" w:rsidRDefault="00094747" w:rsidP="00094747">
      <w:pPr>
        <w:tabs>
          <w:tab w:val="left" w:pos="284"/>
        </w:tabs>
        <w:ind w:left="284" w:hanging="284"/>
        <w:rPr>
          <w:sz w:val="20"/>
          <w:lang w:val="en-GB" w:eastAsia="en-US"/>
        </w:rPr>
      </w:pPr>
      <w:r w:rsidRPr="009153EE">
        <w:rPr>
          <w:sz w:val="20"/>
          <w:lang w:val="en-GB"/>
        </w:rPr>
        <w:sym w:font="Symbol" w:char="F02A"/>
      </w:r>
      <w:r w:rsidRPr="009153EE">
        <w:rPr>
          <w:sz w:val="20"/>
          <w:lang w:val="en-GB"/>
        </w:rPr>
        <w:tab/>
        <w:t>All Patients Treated Population (an intention-to-treat analysis).</w:t>
      </w:r>
    </w:p>
    <w:p w14:paraId="29106FE2" w14:textId="77777777" w:rsidR="00094747" w:rsidRPr="009153EE" w:rsidRDefault="00094747" w:rsidP="00094747">
      <w:pPr>
        <w:tabs>
          <w:tab w:val="left" w:pos="284"/>
        </w:tabs>
        <w:ind w:left="284" w:hanging="284"/>
        <w:rPr>
          <w:sz w:val="20"/>
          <w:lang w:val="en-GB"/>
        </w:rPr>
      </w:pPr>
      <w:r w:rsidRPr="009153EE">
        <w:rPr>
          <w:sz w:val="20"/>
          <w:lang w:val="en-GB"/>
        </w:rPr>
        <w:t>†</w:t>
      </w:r>
      <w:r w:rsidRPr="009153EE">
        <w:rPr>
          <w:sz w:val="20"/>
          <w:lang w:val="en-GB"/>
        </w:rPr>
        <w:tab/>
        <w:t xml:space="preserve">Least squares </w:t>
      </w:r>
      <w:proofErr w:type="gramStart"/>
      <w:r w:rsidRPr="009153EE">
        <w:rPr>
          <w:sz w:val="20"/>
          <w:lang w:val="en-GB"/>
        </w:rPr>
        <w:t>means</w:t>
      </w:r>
      <w:proofErr w:type="gramEnd"/>
      <w:r w:rsidRPr="009153EE">
        <w:rPr>
          <w:sz w:val="20"/>
          <w:lang w:val="en-GB"/>
        </w:rPr>
        <w:t xml:space="preserve"> adjusted for prior </w:t>
      </w:r>
      <w:proofErr w:type="spellStart"/>
      <w:r w:rsidRPr="009153EE">
        <w:rPr>
          <w:sz w:val="20"/>
          <w:lang w:val="en-GB"/>
        </w:rPr>
        <w:t>antihyperglycaemic</w:t>
      </w:r>
      <w:proofErr w:type="spellEnd"/>
      <w:r w:rsidRPr="009153EE">
        <w:rPr>
          <w:sz w:val="20"/>
          <w:lang w:val="en-GB"/>
        </w:rPr>
        <w:t xml:space="preserve"> therapy status and baseline value.</w:t>
      </w:r>
    </w:p>
    <w:p w14:paraId="76A0F32F" w14:textId="77777777" w:rsidR="00094747" w:rsidRPr="009153EE" w:rsidRDefault="00094747" w:rsidP="00094747">
      <w:pPr>
        <w:tabs>
          <w:tab w:val="left" w:pos="284"/>
        </w:tabs>
        <w:ind w:left="284" w:hanging="284"/>
        <w:rPr>
          <w:sz w:val="20"/>
          <w:lang w:val="en-GB"/>
        </w:rPr>
      </w:pPr>
      <w:r w:rsidRPr="009153EE">
        <w:rPr>
          <w:sz w:val="20"/>
          <w:lang w:val="en-GB"/>
        </w:rPr>
        <w:t>‡</w:t>
      </w:r>
      <w:r w:rsidRPr="009153EE">
        <w:rPr>
          <w:sz w:val="20"/>
          <w:lang w:val="en-GB"/>
        </w:rPr>
        <w:tab/>
        <w:t>p&lt; 0.001 compared to placebo or placebo + combination treatment.</w:t>
      </w:r>
    </w:p>
    <w:p w14:paraId="179E5A39" w14:textId="77777777" w:rsidR="00094747" w:rsidRPr="009153EE" w:rsidRDefault="00094747" w:rsidP="00094747">
      <w:pPr>
        <w:tabs>
          <w:tab w:val="left" w:pos="284"/>
        </w:tabs>
        <w:ind w:left="284" w:hanging="284"/>
        <w:rPr>
          <w:sz w:val="20"/>
          <w:lang w:val="en-GB"/>
        </w:rPr>
      </w:pPr>
      <w:r w:rsidRPr="009153EE">
        <w:rPr>
          <w:sz w:val="20"/>
          <w:lang w:val="en-GB"/>
        </w:rPr>
        <w:t>п</w:t>
      </w:r>
      <w:r w:rsidRPr="009153EE">
        <w:rPr>
          <w:sz w:val="20"/>
          <w:lang w:val="en-GB"/>
        </w:rPr>
        <w:tab/>
        <w:t>HbA1c (%) at week 24.</w:t>
      </w:r>
    </w:p>
    <w:p w14:paraId="30F7F1D5" w14:textId="77777777" w:rsidR="00094747" w:rsidRPr="009153EE" w:rsidRDefault="00094747" w:rsidP="00094747">
      <w:pPr>
        <w:tabs>
          <w:tab w:val="left" w:pos="284"/>
        </w:tabs>
        <w:ind w:left="284" w:hanging="284"/>
        <w:rPr>
          <w:sz w:val="20"/>
          <w:lang w:val="en-GB"/>
        </w:rPr>
      </w:pPr>
      <w:r w:rsidRPr="009153EE">
        <w:rPr>
          <w:sz w:val="20"/>
          <w:lang w:val="en-GB"/>
        </w:rPr>
        <w:t>¶</w:t>
      </w:r>
      <w:r w:rsidRPr="009153EE">
        <w:rPr>
          <w:sz w:val="20"/>
          <w:lang w:val="en-GB"/>
        </w:rPr>
        <w:tab/>
        <w:t>HbA1c (%) at week 26.</w:t>
      </w:r>
    </w:p>
    <w:p w14:paraId="330549E7" w14:textId="77777777" w:rsidR="00094747" w:rsidRPr="009153EE" w:rsidRDefault="00094747" w:rsidP="00094747">
      <w:pPr>
        <w:tabs>
          <w:tab w:val="left" w:pos="284"/>
        </w:tabs>
        <w:ind w:left="284" w:hanging="284"/>
        <w:rPr>
          <w:sz w:val="20"/>
          <w:lang w:val="en-GB"/>
        </w:rPr>
      </w:pPr>
      <w:r w:rsidRPr="009153EE">
        <w:rPr>
          <w:sz w:val="20"/>
          <w:lang w:val="en-GB"/>
        </w:rPr>
        <w:t>§</w:t>
      </w:r>
      <w:r w:rsidRPr="009153EE">
        <w:rPr>
          <w:sz w:val="20"/>
          <w:lang w:val="en-GB"/>
        </w:rPr>
        <w:tab/>
        <w:t>Least squares mean adjusted for insulin use at Visit 1 (pre-mixed vs. non-pre-mixed [intermediate- or long-acting]), and baseline value.</w:t>
      </w:r>
    </w:p>
    <w:p w14:paraId="6CF0EE5E" w14:textId="77777777" w:rsidR="00094747" w:rsidRPr="003712F0" w:rsidRDefault="00094747" w:rsidP="00094747">
      <w:pPr>
        <w:rPr>
          <w:sz w:val="24"/>
          <w:szCs w:val="24"/>
          <w:lang w:val="en-GB"/>
        </w:rPr>
      </w:pPr>
    </w:p>
    <w:p w14:paraId="71F588FA" w14:textId="120354C9"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In a 52-week study, comparing the efficacy and safety of the addition of sitagliptin 100 mg once daily or glipizide (a </w:t>
      </w:r>
      <w:proofErr w:type="spellStart"/>
      <w:r w:rsidRPr="003712F0">
        <w:rPr>
          <w:rFonts w:eastAsia="SimSun"/>
          <w:sz w:val="24"/>
          <w:szCs w:val="24"/>
          <w:lang w:val="en-GB" w:eastAsia="en-GB"/>
        </w:rPr>
        <w:t>sulphonylurea</w:t>
      </w:r>
      <w:proofErr w:type="spellEnd"/>
      <w:r w:rsidRPr="003712F0">
        <w:rPr>
          <w:rFonts w:eastAsia="SimSun"/>
          <w:sz w:val="24"/>
          <w:szCs w:val="24"/>
          <w:lang w:val="en-GB" w:eastAsia="en-GB"/>
        </w:rPr>
        <w:t xml:space="preserve">) in patients with inadequate glycaemic control on metformin monotherapy, sitagliptin was similar to glipizide in reducing HbA1c (-0.7 % mean change from baselines at week 52, with baseline HbA1c of approximately 7.5 % in both groups). The mean glipizide dose used in the comparator group was 10 mg per day with approximately 40 % of patients requiring a glipizide dose of </w:t>
      </w:r>
      <w:r w:rsidR="009153EE">
        <w:rPr>
          <w:sz w:val="24"/>
          <w:szCs w:val="24"/>
        </w:rPr>
        <w:sym w:font="Symbol" w:char="F0A3"/>
      </w:r>
      <w:r w:rsidR="009153EE" w:rsidRPr="009153EE">
        <w:rPr>
          <w:sz w:val="24"/>
          <w:szCs w:val="24"/>
          <w:lang w:val="en-US"/>
        </w:rPr>
        <w:t xml:space="preserve"> </w:t>
      </w:r>
      <w:r w:rsidRPr="003712F0">
        <w:rPr>
          <w:rFonts w:eastAsia="SimSun"/>
          <w:sz w:val="24"/>
          <w:szCs w:val="24"/>
          <w:lang w:val="en-GB" w:eastAsia="en-GB"/>
        </w:rPr>
        <w:t>5 mg/day throughout the study. However, more patients in the sitagliptin group discontinued due to lack of efficacy than in the glipizide group. Patients treated with sitagliptin exhibited a significant mean decrease from baseline in body weight (-1.5 kg) compared to a significant weight gain in patients administered glipizide (+1.1 kg). In this study, the proinsulin to insulin ratio, a marker of efficiency of insulin synthesis and release, improved with sitagliptin and deteriorated with glipizide treatment. The incidence of hypoglycaemia in the sitagliptin group (4.9 %) was significantly lower than that in the glipizide group (32.0 %).</w:t>
      </w:r>
    </w:p>
    <w:p w14:paraId="7394D055" w14:textId="77777777" w:rsidR="00094747" w:rsidRPr="003712F0" w:rsidRDefault="00094747" w:rsidP="008C7DB3">
      <w:pPr>
        <w:ind w:left="851"/>
        <w:rPr>
          <w:rFonts w:eastAsia="SimSun"/>
          <w:sz w:val="24"/>
          <w:szCs w:val="24"/>
          <w:lang w:val="en-GB" w:eastAsia="en-GB"/>
        </w:rPr>
      </w:pPr>
    </w:p>
    <w:p w14:paraId="2F095447"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A 24-week placebo-controlled study involving 660 patients was designed to evaluate the insulin</w:t>
      </w:r>
      <w:r w:rsidRPr="003712F0">
        <w:rPr>
          <w:rFonts w:eastAsia="SimSun"/>
          <w:sz w:val="24"/>
          <w:szCs w:val="24"/>
          <w:lang w:val="en-GB" w:eastAsia="en-GB"/>
        </w:rPr>
        <w:noBreakHyphen/>
        <w:t xml:space="preserve">sparing efficacy and safety of sitagliptin (100 mg once daily) added to insulin glargine with or without metformin (at least 1,500 mg) during intensification of insulin therapy. Among patients taking metformin, baseline HbA1c was 8.70 % and baseline insulin dose was 37 IU/day. Patients were instructed to titrate their insulin glargine dose based on fingerstick fasting glucose values. Among patients taking metformin, at Week 24, the increase in daily insulin dose was 19 IU/day in patients treated with sitagliptin and 24 IU/day in patients treated with placebo. The reduction in HbA1c for patients treated with sitagliptin, metformin, and insulin was -1.35 % compared to -0.90 % for patients treated with placebo, metformin, and insulin, a difference of -0.45 % [95 % CI: -0.62, -0.29]. The incidence of hypoglycaemia was 24.9 % for patients treated with sitagliptin, metformin, and insulin and 37.8 % for patients treated with placebo, metformin, and insulin. The difference was mainly due to a higher percentage of patients in the placebo group experiencing 3 or more episodes of hypoglycaemia (9.1 vs. 19.8 %). There was no difference in the incidence of severe hypoglycaemia. </w:t>
      </w:r>
    </w:p>
    <w:p w14:paraId="13F2E3F7" w14:textId="77777777" w:rsidR="00094747" w:rsidRPr="003712F0" w:rsidRDefault="00094747" w:rsidP="008C7DB3">
      <w:pPr>
        <w:ind w:left="851"/>
        <w:rPr>
          <w:rFonts w:eastAsia="SimSun"/>
          <w:sz w:val="24"/>
          <w:szCs w:val="24"/>
          <w:u w:val="single"/>
          <w:lang w:val="en-GB" w:eastAsia="en-GB"/>
        </w:rPr>
      </w:pPr>
    </w:p>
    <w:p w14:paraId="682028BC" w14:textId="77777777" w:rsidR="00094747" w:rsidRPr="003712F0" w:rsidRDefault="00094747" w:rsidP="008C7DB3">
      <w:pPr>
        <w:ind w:left="851"/>
        <w:rPr>
          <w:rFonts w:eastAsia="SimSun"/>
          <w:sz w:val="24"/>
          <w:szCs w:val="24"/>
          <w:u w:val="single"/>
          <w:lang w:val="en-GB" w:eastAsia="en-GB"/>
        </w:rPr>
      </w:pPr>
      <w:r w:rsidRPr="003712F0">
        <w:rPr>
          <w:rFonts w:eastAsia="SimSun"/>
          <w:sz w:val="24"/>
          <w:szCs w:val="24"/>
          <w:u w:val="single"/>
          <w:lang w:val="en-GB" w:eastAsia="en-GB"/>
        </w:rPr>
        <w:t>Metformin</w:t>
      </w:r>
    </w:p>
    <w:p w14:paraId="34C7A25E"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Mechanism of action</w:t>
      </w:r>
    </w:p>
    <w:p w14:paraId="23D3ABD6" w14:textId="004A10C5"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Metformin is a biguanide with </w:t>
      </w:r>
      <w:proofErr w:type="spellStart"/>
      <w:r w:rsidRPr="003712F0">
        <w:rPr>
          <w:rFonts w:eastAsia="SimSun"/>
          <w:sz w:val="24"/>
          <w:szCs w:val="24"/>
          <w:lang w:val="en-GB" w:eastAsia="en-GB"/>
        </w:rPr>
        <w:t>antihyperglycaemic</w:t>
      </w:r>
      <w:proofErr w:type="spellEnd"/>
      <w:r w:rsidRPr="003712F0">
        <w:rPr>
          <w:rFonts w:eastAsia="SimSun"/>
          <w:sz w:val="24"/>
          <w:szCs w:val="24"/>
          <w:lang w:val="en-GB" w:eastAsia="en-GB"/>
        </w:rPr>
        <w:t xml:space="preserve"> effects, lowering both basal and postprandial</w:t>
      </w:r>
      <w:r w:rsidR="00651574" w:rsidRPr="003712F0">
        <w:rPr>
          <w:rFonts w:eastAsia="SimSun"/>
          <w:sz w:val="24"/>
          <w:szCs w:val="24"/>
          <w:lang w:val="en-GB" w:eastAsia="en-GB"/>
        </w:rPr>
        <w:t xml:space="preserve"> </w:t>
      </w:r>
      <w:r w:rsidRPr="003712F0">
        <w:rPr>
          <w:rFonts w:eastAsia="SimSun"/>
          <w:sz w:val="24"/>
          <w:szCs w:val="24"/>
          <w:lang w:val="en-GB" w:eastAsia="en-GB"/>
        </w:rPr>
        <w:t>plasma glucose. It does not stimulate insulin secretion and therefore does not produce hypoglycaemia.</w:t>
      </w:r>
    </w:p>
    <w:p w14:paraId="0A73F109" w14:textId="77777777" w:rsidR="00094747" w:rsidRPr="003712F0" w:rsidRDefault="00094747" w:rsidP="008C7DB3">
      <w:pPr>
        <w:ind w:left="851"/>
        <w:rPr>
          <w:rFonts w:eastAsia="SimSun"/>
          <w:sz w:val="24"/>
          <w:szCs w:val="24"/>
          <w:lang w:val="en-GB" w:eastAsia="en-GB"/>
        </w:rPr>
      </w:pPr>
    </w:p>
    <w:p w14:paraId="1CF293E7"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Metformin may act via three mechanisms:</w:t>
      </w:r>
    </w:p>
    <w:p w14:paraId="2120D026" w14:textId="77777777" w:rsidR="00094747" w:rsidRPr="003712F0" w:rsidRDefault="00094747" w:rsidP="00726F3F">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by reduction of hepatic glucose production by inhibiting gluconeogenesis and glycogenolysis - in muscle, by modestly increasing insulin sensitivity, improving peripheral glucose uptake and utilisation.</w:t>
      </w:r>
    </w:p>
    <w:p w14:paraId="02DE035F" w14:textId="77777777" w:rsidR="00094747" w:rsidRPr="003712F0" w:rsidRDefault="00094747" w:rsidP="00726F3F">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by delaying intestinal glucose absorption.</w:t>
      </w:r>
    </w:p>
    <w:p w14:paraId="1A340484" w14:textId="77777777" w:rsidR="00094747" w:rsidRPr="003712F0" w:rsidRDefault="00094747" w:rsidP="008C7DB3">
      <w:pPr>
        <w:ind w:left="851"/>
        <w:rPr>
          <w:rFonts w:eastAsia="SimSun"/>
          <w:sz w:val="24"/>
          <w:szCs w:val="24"/>
          <w:lang w:val="en-GB" w:eastAsia="en-GB"/>
        </w:rPr>
      </w:pPr>
    </w:p>
    <w:p w14:paraId="589E0DDA" w14:textId="77777777" w:rsidR="00094747" w:rsidRPr="003712F0" w:rsidRDefault="00094747" w:rsidP="008C7DB3">
      <w:pPr>
        <w:ind w:left="851"/>
        <w:rPr>
          <w:sz w:val="24"/>
          <w:szCs w:val="24"/>
          <w:lang w:val="en-GB" w:eastAsia="en-US"/>
        </w:rPr>
      </w:pPr>
      <w:r w:rsidRPr="003712F0">
        <w:rPr>
          <w:rFonts w:eastAsia="SimSun"/>
          <w:sz w:val="24"/>
          <w:szCs w:val="24"/>
          <w:lang w:val="en-GB" w:eastAsia="en-GB"/>
        </w:rPr>
        <w:t>Metformin stimulates intracellular glycogen synthesis by acting on glycogen synthase. Metformin increases the transport capacity of specific types of membrane glucose transporters (GLUT-1 and GLUT-4).</w:t>
      </w:r>
    </w:p>
    <w:p w14:paraId="42864321" w14:textId="77777777" w:rsidR="00094747" w:rsidRPr="003712F0" w:rsidRDefault="00094747" w:rsidP="008C7DB3">
      <w:pPr>
        <w:ind w:left="851"/>
        <w:rPr>
          <w:sz w:val="24"/>
          <w:szCs w:val="24"/>
          <w:lang w:val="en-GB"/>
        </w:rPr>
      </w:pPr>
    </w:p>
    <w:p w14:paraId="33CA2826"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Clinical efficacy and safety</w:t>
      </w:r>
    </w:p>
    <w:p w14:paraId="6D730781"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In humans, independently of its action on glycaemia, metformin has favourable effects on lipid metabolism. This has been shown at therapeutic doses in controlled, medium-term or long-term clinical studies: metformin reduces total cholesterol, </w:t>
      </w:r>
      <w:proofErr w:type="spellStart"/>
      <w:r w:rsidRPr="003712F0">
        <w:rPr>
          <w:rFonts w:eastAsia="SimSun"/>
          <w:sz w:val="24"/>
          <w:szCs w:val="24"/>
          <w:lang w:val="en-GB" w:eastAsia="en-GB"/>
        </w:rPr>
        <w:t>LDLc</w:t>
      </w:r>
      <w:proofErr w:type="spellEnd"/>
      <w:r w:rsidRPr="003712F0">
        <w:rPr>
          <w:rFonts w:eastAsia="SimSun"/>
          <w:sz w:val="24"/>
          <w:szCs w:val="24"/>
          <w:lang w:val="en-GB" w:eastAsia="en-GB"/>
        </w:rPr>
        <w:t xml:space="preserve"> and triglyceride levels.</w:t>
      </w:r>
    </w:p>
    <w:p w14:paraId="70F3C790" w14:textId="77777777" w:rsidR="00094747" w:rsidRPr="003712F0" w:rsidRDefault="00094747" w:rsidP="008C7DB3">
      <w:pPr>
        <w:ind w:left="851"/>
        <w:rPr>
          <w:rFonts w:eastAsia="SimSun"/>
          <w:sz w:val="24"/>
          <w:szCs w:val="24"/>
          <w:lang w:val="en-GB" w:eastAsia="en-GB"/>
        </w:rPr>
      </w:pPr>
    </w:p>
    <w:p w14:paraId="533BC823"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The prospective randomised (UKPDS) study has established the long-term benefit of intensive blood glucose control in type 2 diabetes. Analysis of the results for overweight patients treated with metformin after failure of diet alone showed:</w:t>
      </w:r>
    </w:p>
    <w:p w14:paraId="3779C50D" w14:textId="77777777" w:rsidR="00094747" w:rsidRPr="003712F0" w:rsidRDefault="00094747" w:rsidP="00726F3F">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 xml:space="preserve">a significant reduction of the absolute risk of any diabetes-related complication in the metformin group (29.8 events/1,000 patient-years) versus diet alone (43.3 events/1,000 patient--years), p=0.0023, and versus the combined </w:t>
      </w:r>
      <w:proofErr w:type="spellStart"/>
      <w:r w:rsidRPr="003712F0">
        <w:rPr>
          <w:rFonts w:eastAsia="SimSun"/>
          <w:sz w:val="24"/>
          <w:szCs w:val="24"/>
          <w:lang w:val="en-GB" w:eastAsia="en-GB"/>
        </w:rPr>
        <w:t>sulphonylurea</w:t>
      </w:r>
      <w:proofErr w:type="spellEnd"/>
      <w:r w:rsidRPr="003712F0">
        <w:rPr>
          <w:rFonts w:eastAsia="SimSun"/>
          <w:sz w:val="24"/>
          <w:szCs w:val="24"/>
          <w:lang w:val="en-GB" w:eastAsia="en-GB"/>
        </w:rPr>
        <w:t xml:space="preserve"> and insulin monotherapy groups (40.1 events/1,000 patient-years), p=0.0034</w:t>
      </w:r>
    </w:p>
    <w:p w14:paraId="5589517F" w14:textId="77777777" w:rsidR="00094747" w:rsidRPr="003712F0" w:rsidRDefault="00094747" w:rsidP="00726F3F">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a significant reduction of the absolute risk of any diabetes-related mortality: metformin 7.5 events/1,000 patient-years, diet alone 12.7 events/1,000 patient-years, p=0.017</w:t>
      </w:r>
    </w:p>
    <w:p w14:paraId="100863CF" w14:textId="77777777" w:rsidR="00094747" w:rsidRPr="003712F0" w:rsidRDefault="00094747" w:rsidP="00726F3F">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 xml:space="preserve">a significant reduction of the absolute risk of overall mortality: metformin 13.5 events/1,000 patient-years versus diet alone 20.6 events/1,000 patient-years, (p=0.011), and versus the combined </w:t>
      </w:r>
      <w:proofErr w:type="spellStart"/>
      <w:r w:rsidRPr="003712F0">
        <w:rPr>
          <w:rFonts w:eastAsia="SimSun"/>
          <w:sz w:val="24"/>
          <w:szCs w:val="24"/>
          <w:lang w:val="en-GB" w:eastAsia="en-GB"/>
        </w:rPr>
        <w:t>sulphonylurea</w:t>
      </w:r>
      <w:proofErr w:type="spellEnd"/>
      <w:r w:rsidRPr="003712F0">
        <w:rPr>
          <w:rFonts w:eastAsia="SimSun"/>
          <w:sz w:val="24"/>
          <w:szCs w:val="24"/>
          <w:lang w:val="en-GB" w:eastAsia="en-GB"/>
        </w:rPr>
        <w:t xml:space="preserve"> and insulin monotherapy groups 18.9 events/1,000 patient-years (p=0.021)</w:t>
      </w:r>
    </w:p>
    <w:p w14:paraId="2CE9BA8B" w14:textId="77777777" w:rsidR="00094747" w:rsidRPr="003712F0" w:rsidRDefault="00094747" w:rsidP="00726F3F">
      <w:pPr>
        <w:ind w:left="1276" w:hanging="425"/>
        <w:rPr>
          <w:rFonts w:eastAsia="SimSun"/>
          <w:sz w:val="24"/>
          <w:szCs w:val="24"/>
          <w:lang w:val="en-GB" w:eastAsia="en-GB"/>
        </w:rPr>
      </w:pPr>
      <w:r w:rsidRPr="003712F0">
        <w:rPr>
          <w:rFonts w:eastAsia="SimSun"/>
          <w:sz w:val="24"/>
          <w:szCs w:val="24"/>
          <w:lang w:val="en-GB" w:eastAsia="en-GB"/>
        </w:rPr>
        <w:t>-</w:t>
      </w:r>
      <w:r w:rsidRPr="003712F0">
        <w:rPr>
          <w:rFonts w:eastAsia="SimSun"/>
          <w:sz w:val="24"/>
          <w:szCs w:val="24"/>
          <w:lang w:val="en-GB" w:eastAsia="en-GB"/>
        </w:rPr>
        <w:tab/>
        <w:t>a significant reduction in the absolute risk of myocardial infarction: metformin 11 events/1,000 patient-years, diet alone 18 events/1,000 patient-years, (p=0.01).</w:t>
      </w:r>
    </w:p>
    <w:p w14:paraId="1DA61EC5" w14:textId="77777777" w:rsidR="00094747" w:rsidRPr="003712F0" w:rsidRDefault="00094747" w:rsidP="008C7DB3">
      <w:pPr>
        <w:ind w:left="851"/>
        <w:rPr>
          <w:rFonts w:eastAsia="SimSun"/>
          <w:sz w:val="24"/>
          <w:szCs w:val="24"/>
          <w:lang w:val="en-GB" w:eastAsia="en-GB"/>
        </w:rPr>
      </w:pPr>
    </w:p>
    <w:p w14:paraId="08F72EDB"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The TECOS was a randomised study in 14,671 patients in the intention-to-treat population with an HbA1c of ≥ 6.5 to 8.0 % with established CV disease who received sitagliptin (7,332) 100 mg daily (or 50 mg daily if the baseline eGFR was ≥ 30 and &lt; 50 mL/min/1.73 m</w:t>
      </w:r>
      <w:r w:rsidRPr="00726F3F">
        <w:rPr>
          <w:rFonts w:eastAsia="SimSun"/>
          <w:sz w:val="24"/>
          <w:szCs w:val="24"/>
          <w:vertAlign w:val="superscript"/>
          <w:lang w:val="en-GB" w:eastAsia="en-GB"/>
        </w:rPr>
        <w:t>2</w:t>
      </w:r>
      <w:r w:rsidRPr="003712F0">
        <w:rPr>
          <w:rFonts w:eastAsia="SimSun"/>
          <w:sz w:val="24"/>
          <w:szCs w:val="24"/>
          <w:lang w:val="en-GB" w:eastAsia="en-GB"/>
        </w:rPr>
        <w:t>) or placebo (7,339) added to usual care targeting regional standards for HbA1c and CV risk factors. Patients with an eGFR &lt; 30 mL/min/1.73 m</w:t>
      </w:r>
      <w:r w:rsidRPr="00726F3F">
        <w:rPr>
          <w:rFonts w:eastAsia="SimSun"/>
          <w:sz w:val="24"/>
          <w:szCs w:val="24"/>
          <w:vertAlign w:val="superscript"/>
          <w:lang w:val="en-GB" w:eastAsia="en-GB"/>
        </w:rPr>
        <w:t>2</w:t>
      </w:r>
      <w:r w:rsidRPr="003712F0">
        <w:rPr>
          <w:rFonts w:eastAsia="SimSun"/>
          <w:sz w:val="24"/>
          <w:szCs w:val="24"/>
          <w:lang w:val="en-GB" w:eastAsia="en-GB"/>
        </w:rPr>
        <w:t xml:space="preserve"> were not to be enrolled in the study. The study population included 2,004 patients ≥ 75 years of age and 3,324 patients with renal impairment (eGFR &lt; 60 mL/min/1.73 m</w:t>
      </w:r>
      <w:r w:rsidRPr="00726F3F">
        <w:rPr>
          <w:rFonts w:eastAsia="SimSun"/>
          <w:sz w:val="24"/>
          <w:szCs w:val="24"/>
          <w:vertAlign w:val="superscript"/>
          <w:lang w:val="en-GB" w:eastAsia="en-GB"/>
        </w:rPr>
        <w:t>2</w:t>
      </w:r>
      <w:r w:rsidRPr="003712F0">
        <w:rPr>
          <w:rFonts w:eastAsia="SimSun"/>
          <w:sz w:val="24"/>
          <w:szCs w:val="24"/>
          <w:lang w:val="en-GB" w:eastAsia="en-GB"/>
        </w:rPr>
        <w:t>).</w:t>
      </w:r>
    </w:p>
    <w:p w14:paraId="0DCD3F62" w14:textId="77777777" w:rsidR="00094747" w:rsidRPr="003712F0" w:rsidRDefault="00094747" w:rsidP="008C7DB3">
      <w:pPr>
        <w:ind w:left="851"/>
        <w:rPr>
          <w:rFonts w:eastAsia="SimSun"/>
          <w:sz w:val="24"/>
          <w:szCs w:val="24"/>
          <w:lang w:val="en-GB" w:eastAsia="en-GB"/>
        </w:rPr>
      </w:pPr>
    </w:p>
    <w:p w14:paraId="16055271"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Over the course of the study, the overall estimated mean (SD) difference in HbA1c between the sitagliptin and placebo groups was 0.29 % (0.01), 95 % CI (-0.32, -0.27); p &lt; 0.001.</w:t>
      </w:r>
    </w:p>
    <w:p w14:paraId="65388999" w14:textId="77777777" w:rsidR="00094747" w:rsidRPr="003712F0" w:rsidRDefault="00094747" w:rsidP="008C7DB3">
      <w:pPr>
        <w:ind w:left="851"/>
        <w:rPr>
          <w:rFonts w:eastAsia="SimSun"/>
          <w:sz w:val="24"/>
          <w:szCs w:val="24"/>
          <w:lang w:val="en-GB" w:eastAsia="en-GB"/>
        </w:rPr>
      </w:pPr>
    </w:p>
    <w:p w14:paraId="45039689"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The primary cardiovascular endpoint was a composite of the first occurrence of cardiovascular death, nonfatal myocardial infarction, nonfatal stroke, or hospitalisation for unstable angina. Secondary cardiovascular endpoints included the first occurrence of cardiovascular death, nonfatal myocardial infarction, or nonfatal stroke; first occurrence of the individual components of the primary composite; all-cause mortality; and hospital admissions for congestive heart failure.</w:t>
      </w:r>
    </w:p>
    <w:p w14:paraId="35B2EB73" w14:textId="77777777" w:rsidR="00094747" w:rsidRPr="003712F0" w:rsidRDefault="00094747" w:rsidP="008C7DB3">
      <w:pPr>
        <w:ind w:left="851"/>
        <w:rPr>
          <w:rFonts w:eastAsia="SimSun"/>
          <w:sz w:val="24"/>
          <w:szCs w:val="24"/>
          <w:lang w:val="en-GB" w:eastAsia="en-GB"/>
        </w:rPr>
      </w:pPr>
    </w:p>
    <w:p w14:paraId="2BFF60E9"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After a median follow up of 3 years, sitagliptin, when added to usual care, did not increase the risk of major adverse cardiovascular events or the risk of hospitalisation for heart failure compared to usual care without sitagliptin in patients with type 2 diabetes (Table 3).</w:t>
      </w:r>
    </w:p>
    <w:p w14:paraId="7F35A514" w14:textId="77777777" w:rsidR="00094747" w:rsidRPr="003712F0" w:rsidRDefault="00094747" w:rsidP="00094747">
      <w:pPr>
        <w:rPr>
          <w:rFonts w:eastAsia="TimesNewRoman,Bold"/>
          <w:sz w:val="24"/>
          <w:szCs w:val="24"/>
          <w:lang w:val="en-GB" w:eastAsia="en-GB"/>
        </w:rPr>
      </w:pPr>
    </w:p>
    <w:p w14:paraId="480AF9AF" w14:textId="77777777" w:rsidR="00094747" w:rsidRPr="003712F0" w:rsidRDefault="00094747" w:rsidP="00094747">
      <w:pPr>
        <w:rPr>
          <w:b/>
          <w:bCs/>
          <w:sz w:val="24"/>
          <w:szCs w:val="24"/>
          <w:lang w:val="en-GB" w:eastAsia="en-US"/>
        </w:rPr>
      </w:pPr>
      <w:r w:rsidRPr="003712F0">
        <w:rPr>
          <w:rFonts w:eastAsia="TimesNewRoman,Bold"/>
          <w:b/>
          <w:bCs/>
          <w:sz w:val="24"/>
          <w:szCs w:val="24"/>
          <w:lang w:val="en-GB" w:eastAsia="en-GB"/>
        </w:rPr>
        <w:t>Table 3: Rates of Composite Cardiovascular Outcomes and Key Secondary Outcomes</w:t>
      </w:r>
    </w:p>
    <w:p w14:paraId="68198D82" w14:textId="77777777" w:rsidR="00094747" w:rsidRPr="003712F0" w:rsidRDefault="00094747" w:rsidP="00094747">
      <w:pPr>
        <w:rPr>
          <w:sz w:val="24"/>
          <w:szCs w:val="24"/>
          <w:lang w:val="en-GB"/>
        </w:rPr>
      </w:pPr>
    </w:p>
    <w:tbl>
      <w:tblPr>
        <w:tblStyle w:val="Tabel-Gitter"/>
        <w:tblW w:w="5000" w:type="pct"/>
        <w:tblInd w:w="0" w:type="dxa"/>
        <w:tblLook w:val="04A0" w:firstRow="1" w:lastRow="0" w:firstColumn="1" w:lastColumn="0" w:noHBand="0" w:noVBand="1"/>
      </w:tblPr>
      <w:tblGrid>
        <w:gridCol w:w="2750"/>
        <w:gridCol w:w="927"/>
        <w:gridCol w:w="1203"/>
        <w:gridCol w:w="927"/>
        <w:gridCol w:w="1203"/>
        <w:gridCol w:w="1612"/>
        <w:gridCol w:w="1006"/>
      </w:tblGrid>
      <w:tr w:rsidR="00094747" w:rsidRPr="003712F0" w14:paraId="1DBC851A" w14:textId="77777777" w:rsidTr="008C7DB3">
        <w:trPr>
          <w:trHeight w:val="696"/>
        </w:trPr>
        <w:tc>
          <w:tcPr>
            <w:tcW w:w="1449" w:type="pct"/>
            <w:vMerge w:val="restart"/>
            <w:tcBorders>
              <w:top w:val="single" w:sz="4" w:space="0" w:color="auto"/>
              <w:left w:val="single" w:sz="4" w:space="0" w:color="auto"/>
              <w:bottom w:val="single" w:sz="4" w:space="0" w:color="auto"/>
              <w:right w:val="single" w:sz="4" w:space="0" w:color="auto"/>
            </w:tcBorders>
            <w:hideMark/>
          </w:tcPr>
          <w:p w14:paraId="37569363" w14:textId="77777777" w:rsidR="00094747" w:rsidRPr="003712F0" w:rsidRDefault="00094747">
            <w:pPr>
              <w:rPr>
                <w:sz w:val="24"/>
                <w:szCs w:val="24"/>
              </w:rPr>
            </w:pPr>
            <w:bookmarkStart w:id="3" w:name="RANGE!B8"/>
            <w:bookmarkStart w:id="4" w:name="_Hlk52384291"/>
            <w:r w:rsidRPr="003712F0">
              <w:rPr>
                <w:sz w:val="24"/>
                <w:szCs w:val="24"/>
              </w:rPr>
              <w:t> </w:t>
            </w:r>
            <w:bookmarkEnd w:id="3"/>
          </w:p>
        </w:tc>
        <w:tc>
          <w:tcPr>
            <w:tcW w:w="1075" w:type="pct"/>
            <w:gridSpan w:val="2"/>
            <w:tcBorders>
              <w:top w:val="single" w:sz="4" w:space="0" w:color="auto"/>
              <w:left w:val="single" w:sz="4" w:space="0" w:color="auto"/>
              <w:bottom w:val="single" w:sz="4" w:space="0" w:color="auto"/>
              <w:right w:val="single" w:sz="4" w:space="0" w:color="auto"/>
            </w:tcBorders>
            <w:hideMark/>
          </w:tcPr>
          <w:p w14:paraId="0F610AAB" w14:textId="77777777" w:rsidR="00094747" w:rsidRPr="003712F0" w:rsidRDefault="00094747">
            <w:pPr>
              <w:jc w:val="center"/>
              <w:rPr>
                <w:b/>
                <w:bCs/>
                <w:sz w:val="24"/>
                <w:szCs w:val="24"/>
              </w:rPr>
            </w:pPr>
            <w:r w:rsidRPr="003712F0">
              <w:rPr>
                <w:b/>
                <w:bCs/>
                <w:sz w:val="24"/>
                <w:szCs w:val="24"/>
              </w:rPr>
              <w:t>Sitagliptin 100 mg</w:t>
            </w:r>
          </w:p>
        </w:tc>
        <w:tc>
          <w:tcPr>
            <w:tcW w:w="1075" w:type="pct"/>
            <w:gridSpan w:val="2"/>
            <w:tcBorders>
              <w:top w:val="single" w:sz="4" w:space="0" w:color="auto"/>
              <w:left w:val="single" w:sz="4" w:space="0" w:color="auto"/>
              <w:bottom w:val="single" w:sz="4" w:space="0" w:color="auto"/>
              <w:right w:val="single" w:sz="4" w:space="0" w:color="auto"/>
            </w:tcBorders>
            <w:hideMark/>
          </w:tcPr>
          <w:p w14:paraId="18E30376" w14:textId="77777777" w:rsidR="00094747" w:rsidRPr="003712F0" w:rsidRDefault="00094747">
            <w:pPr>
              <w:jc w:val="center"/>
              <w:rPr>
                <w:b/>
                <w:bCs/>
                <w:sz w:val="24"/>
                <w:szCs w:val="24"/>
              </w:rPr>
            </w:pPr>
            <w:r w:rsidRPr="003712F0">
              <w:rPr>
                <w:b/>
                <w:bCs/>
                <w:sz w:val="24"/>
                <w:szCs w:val="24"/>
              </w:rPr>
              <w:t>Placebo</w:t>
            </w:r>
          </w:p>
        </w:tc>
        <w:tc>
          <w:tcPr>
            <w:tcW w:w="858" w:type="pct"/>
            <w:vMerge w:val="restart"/>
            <w:tcBorders>
              <w:top w:val="single" w:sz="4" w:space="0" w:color="auto"/>
              <w:left w:val="single" w:sz="4" w:space="0" w:color="auto"/>
              <w:bottom w:val="single" w:sz="4" w:space="0" w:color="auto"/>
              <w:right w:val="single" w:sz="4" w:space="0" w:color="auto"/>
            </w:tcBorders>
            <w:hideMark/>
          </w:tcPr>
          <w:p w14:paraId="58088854" w14:textId="77777777" w:rsidR="00094747" w:rsidRPr="003712F0" w:rsidRDefault="00094747">
            <w:pPr>
              <w:jc w:val="center"/>
              <w:rPr>
                <w:b/>
                <w:bCs/>
                <w:sz w:val="24"/>
                <w:szCs w:val="24"/>
              </w:rPr>
            </w:pPr>
            <w:r w:rsidRPr="003712F0">
              <w:rPr>
                <w:b/>
                <w:bCs/>
                <w:sz w:val="24"/>
                <w:szCs w:val="24"/>
              </w:rPr>
              <w:t>Hazard Ratio (95% CI)</w:t>
            </w:r>
          </w:p>
        </w:tc>
        <w:tc>
          <w:tcPr>
            <w:tcW w:w="544" w:type="pct"/>
            <w:vMerge w:val="restart"/>
            <w:tcBorders>
              <w:top w:val="single" w:sz="4" w:space="0" w:color="auto"/>
              <w:left w:val="single" w:sz="4" w:space="0" w:color="auto"/>
              <w:bottom w:val="single" w:sz="4" w:space="0" w:color="auto"/>
              <w:right w:val="single" w:sz="4" w:space="0" w:color="auto"/>
            </w:tcBorders>
            <w:hideMark/>
          </w:tcPr>
          <w:p w14:paraId="5A62DCC6" w14:textId="77777777" w:rsidR="00094747" w:rsidRPr="003712F0" w:rsidRDefault="00094747">
            <w:pPr>
              <w:jc w:val="center"/>
              <w:rPr>
                <w:b/>
                <w:bCs/>
                <w:sz w:val="24"/>
                <w:szCs w:val="24"/>
              </w:rPr>
            </w:pPr>
            <w:r w:rsidRPr="003712F0">
              <w:rPr>
                <w:b/>
                <w:bCs/>
                <w:sz w:val="24"/>
                <w:szCs w:val="24"/>
              </w:rPr>
              <w:t>p-value</w:t>
            </w:r>
            <w:r w:rsidRPr="003712F0">
              <w:rPr>
                <w:sz w:val="24"/>
                <w:szCs w:val="24"/>
                <w:vertAlign w:val="superscript"/>
              </w:rPr>
              <w:t>†</w:t>
            </w:r>
          </w:p>
        </w:tc>
      </w:tr>
      <w:tr w:rsidR="00094747" w:rsidRPr="006B4708" w14:paraId="093BDB41" w14:textId="77777777" w:rsidTr="008C7DB3">
        <w:trPr>
          <w:trHeight w:val="288"/>
        </w:trPr>
        <w:tc>
          <w:tcPr>
            <w:tcW w:w="1449" w:type="pct"/>
            <w:vMerge/>
            <w:tcBorders>
              <w:top w:val="single" w:sz="4" w:space="0" w:color="auto"/>
              <w:left w:val="single" w:sz="4" w:space="0" w:color="auto"/>
              <w:bottom w:val="single" w:sz="4" w:space="0" w:color="auto"/>
              <w:right w:val="single" w:sz="4" w:space="0" w:color="auto"/>
            </w:tcBorders>
            <w:vAlign w:val="center"/>
            <w:hideMark/>
          </w:tcPr>
          <w:p w14:paraId="644B02DF" w14:textId="77777777" w:rsidR="00094747" w:rsidRPr="003712F0" w:rsidRDefault="00094747">
            <w:pPr>
              <w:rPr>
                <w:rFonts w:eastAsia="Times New Roman"/>
                <w:sz w:val="24"/>
                <w:szCs w:val="24"/>
                <w:lang w:eastAsia="en-US"/>
              </w:rPr>
            </w:pPr>
          </w:p>
        </w:tc>
        <w:tc>
          <w:tcPr>
            <w:tcW w:w="502" w:type="pct"/>
            <w:vMerge w:val="restart"/>
            <w:tcBorders>
              <w:top w:val="single" w:sz="4" w:space="0" w:color="auto"/>
              <w:left w:val="single" w:sz="4" w:space="0" w:color="auto"/>
              <w:bottom w:val="single" w:sz="4" w:space="0" w:color="auto"/>
              <w:right w:val="single" w:sz="4" w:space="0" w:color="auto"/>
            </w:tcBorders>
            <w:hideMark/>
          </w:tcPr>
          <w:p w14:paraId="2CBA0958" w14:textId="77777777" w:rsidR="00094747" w:rsidRPr="003712F0" w:rsidRDefault="00094747">
            <w:pPr>
              <w:jc w:val="center"/>
              <w:rPr>
                <w:b/>
                <w:bCs/>
                <w:sz w:val="24"/>
                <w:szCs w:val="24"/>
              </w:rPr>
            </w:pPr>
            <w:r w:rsidRPr="003712F0">
              <w:rPr>
                <w:b/>
                <w:bCs/>
                <w:sz w:val="24"/>
                <w:szCs w:val="24"/>
              </w:rPr>
              <w:t>N (%)</w:t>
            </w:r>
          </w:p>
        </w:tc>
        <w:tc>
          <w:tcPr>
            <w:tcW w:w="573" w:type="pct"/>
            <w:vMerge w:val="restart"/>
            <w:tcBorders>
              <w:top w:val="single" w:sz="4" w:space="0" w:color="auto"/>
              <w:left w:val="single" w:sz="4" w:space="0" w:color="auto"/>
              <w:bottom w:val="single" w:sz="4" w:space="0" w:color="auto"/>
              <w:right w:val="single" w:sz="4" w:space="0" w:color="auto"/>
            </w:tcBorders>
            <w:hideMark/>
          </w:tcPr>
          <w:p w14:paraId="780530C2" w14:textId="77777777" w:rsidR="00094747" w:rsidRPr="003712F0" w:rsidRDefault="00094747">
            <w:pPr>
              <w:jc w:val="center"/>
              <w:rPr>
                <w:b/>
                <w:bCs/>
                <w:sz w:val="24"/>
                <w:szCs w:val="24"/>
              </w:rPr>
            </w:pPr>
            <w:r w:rsidRPr="003712F0">
              <w:rPr>
                <w:b/>
                <w:bCs/>
                <w:sz w:val="24"/>
                <w:szCs w:val="24"/>
              </w:rPr>
              <w:t>Incidence rate per 100 patient-years*</w:t>
            </w:r>
          </w:p>
        </w:tc>
        <w:tc>
          <w:tcPr>
            <w:tcW w:w="502" w:type="pct"/>
            <w:vMerge w:val="restart"/>
            <w:tcBorders>
              <w:top w:val="single" w:sz="4" w:space="0" w:color="auto"/>
              <w:left w:val="single" w:sz="4" w:space="0" w:color="auto"/>
              <w:bottom w:val="single" w:sz="4" w:space="0" w:color="auto"/>
              <w:right w:val="single" w:sz="4" w:space="0" w:color="auto"/>
            </w:tcBorders>
            <w:hideMark/>
          </w:tcPr>
          <w:p w14:paraId="7A2C80BA" w14:textId="77777777" w:rsidR="00094747" w:rsidRPr="003712F0" w:rsidRDefault="00094747">
            <w:pPr>
              <w:jc w:val="center"/>
              <w:rPr>
                <w:b/>
                <w:bCs/>
                <w:sz w:val="24"/>
                <w:szCs w:val="24"/>
              </w:rPr>
            </w:pPr>
            <w:r w:rsidRPr="003712F0">
              <w:rPr>
                <w:b/>
                <w:bCs/>
                <w:sz w:val="24"/>
                <w:szCs w:val="24"/>
              </w:rPr>
              <w:t>N (%)</w:t>
            </w:r>
          </w:p>
        </w:tc>
        <w:tc>
          <w:tcPr>
            <w:tcW w:w="573" w:type="pct"/>
            <w:vMerge w:val="restart"/>
            <w:tcBorders>
              <w:top w:val="single" w:sz="4" w:space="0" w:color="auto"/>
              <w:left w:val="single" w:sz="4" w:space="0" w:color="auto"/>
              <w:bottom w:val="single" w:sz="4" w:space="0" w:color="auto"/>
              <w:right w:val="single" w:sz="4" w:space="0" w:color="auto"/>
            </w:tcBorders>
            <w:hideMark/>
          </w:tcPr>
          <w:p w14:paraId="18536253" w14:textId="77777777" w:rsidR="00094747" w:rsidRPr="003712F0" w:rsidRDefault="00094747">
            <w:pPr>
              <w:jc w:val="center"/>
              <w:rPr>
                <w:b/>
                <w:bCs/>
                <w:sz w:val="24"/>
                <w:szCs w:val="24"/>
              </w:rPr>
            </w:pPr>
            <w:r w:rsidRPr="003712F0">
              <w:rPr>
                <w:b/>
                <w:bCs/>
                <w:sz w:val="24"/>
                <w:szCs w:val="24"/>
              </w:rPr>
              <w:t>Incidence rate per 100 patient-years*</w:t>
            </w: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51EFBC47" w14:textId="77777777" w:rsidR="00094747" w:rsidRPr="003712F0" w:rsidRDefault="00094747">
            <w:pPr>
              <w:rPr>
                <w:rFonts w:eastAsia="Times New Roman"/>
                <w:b/>
                <w:bCs/>
                <w:sz w:val="24"/>
                <w:szCs w:val="24"/>
                <w:lang w:eastAsia="en-US"/>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7516DD7C" w14:textId="77777777" w:rsidR="00094747" w:rsidRPr="003712F0" w:rsidRDefault="00094747">
            <w:pPr>
              <w:rPr>
                <w:rFonts w:eastAsia="Times New Roman"/>
                <w:b/>
                <w:bCs/>
                <w:sz w:val="24"/>
                <w:szCs w:val="24"/>
                <w:lang w:eastAsia="en-US"/>
              </w:rPr>
            </w:pPr>
          </w:p>
        </w:tc>
      </w:tr>
      <w:tr w:rsidR="00094747" w:rsidRPr="006B4708" w14:paraId="41034FAF" w14:textId="77777777" w:rsidTr="008C7DB3">
        <w:trPr>
          <w:trHeight w:val="648"/>
        </w:trPr>
        <w:tc>
          <w:tcPr>
            <w:tcW w:w="1449" w:type="pct"/>
            <w:vMerge/>
            <w:tcBorders>
              <w:top w:val="single" w:sz="4" w:space="0" w:color="auto"/>
              <w:left w:val="single" w:sz="4" w:space="0" w:color="auto"/>
              <w:bottom w:val="single" w:sz="4" w:space="0" w:color="auto"/>
              <w:right w:val="single" w:sz="4" w:space="0" w:color="auto"/>
            </w:tcBorders>
            <w:vAlign w:val="center"/>
            <w:hideMark/>
          </w:tcPr>
          <w:p w14:paraId="5857142B" w14:textId="77777777" w:rsidR="00094747" w:rsidRPr="003712F0" w:rsidRDefault="00094747">
            <w:pPr>
              <w:rPr>
                <w:rFonts w:eastAsia="Times New Roman"/>
                <w:sz w:val="24"/>
                <w:szCs w:val="24"/>
                <w:lang w:eastAsia="en-US"/>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1FADA15F" w14:textId="77777777" w:rsidR="00094747" w:rsidRPr="003712F0" w:rsidRDefault="00094747">
            <w:pPr>
              <w:rPr>
                <w:rFonts w:eastAsia="Times New Roman"/>
                <w:b/>
                <w:bCs/>
                <w:sz w:val="24"/>
                <w:szCs w:val="24"/>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631474A1" w14:textId="77777777" w:rsidR="00094747" w:rsidRPr="003712F0" w:rsidRDefault="00094747">
            <w:pPr>
              <w:rPr>
                <w:rFonts w:eastAsia="Times New Roman"/>
                <w:b/>
                <w:bCs/>
                <w:sz w:val="24"/>
                <w:szCs w:val="24"/>
                <w:lang w:eastAsia="en-US"/>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14:paraId="22CB2A65" w14:textId="77777777" w:rsidR="00094747" w:rsidRPr="003712F0" w:rsidRDefault="00094747">
            <w:pPr>
              <w:rPr>
                <w:rFonts w:eastAsia="Times New Roman"/>
                <w:b/>
                <w:bCs/>
                <w:sz w:val="24"/>
                <w:szCs w:val="24"/>
                <w:lang w:eastAsia="en-U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6726195D" w14:textId="77777777" w:rsidR="00094747" w:rsidRPr="003712F0" w:rsidRDefault="00094747">
            <w:pPr>
              <w:rPr>
                <w:rFonts w:eastAsia="Times New Roman"/>
                <w:b/>
                <w:bCs/>
                <w:sz w:val="24"/>
                <w:szCs w:val="24"/>
                <w:lang w:eastAsia="en-US"/>
              </w:rPr>
            </w:pPr>
          </w:p>
        </w:tc>
        <w:tc>
          <w:tcPr>
            <w:tcW w:w="858" w:type="pct"/>
            <w:vMerge/>
            <w:tcBorders>
              <w:top w:val="single" w:sz="4" w:space="0" w:color="auto"/>
              <w:left w:val="single" w:sz="4" w:space="0" w:color="auto"/>
              <w:bottom w:val="single" w:sz="4" w:space="0" w:color="auto"/>
              <w:right w:val="single" w:sz="4" w:space="0" w:color="auto"/>
            </w:tcBorders>
            <w:vAlign w:val="center"/>
            <w:hideMark/>
          </w:tcPr>
          <w:p w14:paraId="3BA7F939" w14:textId="77777777" w:rsidR="00094747" w:rsidRPr="003712F0" w:rsidRDefault="00094747">
            <w:pPr>
              <w:rPr>
                <w:rFonts w:eastAsia="Times New Roman"/>
                <w:b/>
                <w:bCs/>
                <w:sz w:val="24"/>
                <w:szCs w:val="24"/>
                <w:lang w:eastAsia="en-US"/>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14:paraId="3610E3E3" w14:textId="77777777" w:rsidR="00094747" w:rsidRPr="003712F0" w:rsidRDefault="00094747">
            <w:pPr>
              <w:rPr>
                <w:rFonts w:eastAsia="Times New Roman"/>
                <w:b/>
                <w:bCs/>
                <w:sz w:val="24"/>
                <w:szCs w:val="24"/>
                <w:lang w:eastAsia="en-US"/>
              </w:rPr>
            </w:pPr>
          </w:p>
        </w:tc>
      </w:tr>
      <w:tr w:rsidR="00094747" w:rsidRPr="006B4708" w14:paraId="33FE1751" w14:textId="77777777" w:rsidTr="008C7DB3">
        <w:trPr>
          <w:trHeight w:val="528"/>
        </w:trPr>
        <w:tc>
          <w:tcPr>
            <w:tcW w:w="5000" w:type="pct"/>
            <w:gridSpan w:val="7"/>
            <w:tcBorders>
              <w:top w:val="single" w:sz="4" w:space="0" w:color="auto"/>
              <w:left w:val="single" w:sz="4" w:space="0" w:color="auto"/>
              <w:bottom w:val="single" w:sz="4" w:space="0" w:color="auto"/>
              <w:right w:val="single" w:sz="4" w:space="0" w:color="auto"/>
            </w:tcBorders>
            <w:hideMark/>
          </w:tcPr>
          <w:p w14:paraId="3714CCB5" w14:textId="77777777" w:rsidR="00094747" w:rsidRPr="003712F0" w:rsidRDefault="00094747">
            <w:pPr>
              <w:rPr>
                <w:b/>
                <w:bCs/>
                <w:sz w:val="24"/>
                <w:szCs w:val="24"/>
              </w:rPr>
            </w:pPr>
            <w:r w:rsidRPr="003712F0">
              <w:rPr>
                <w:b/>
                <w:bCs/>
                <w:sz w:val="24"/>
                <w:szCs w:val="24"/>
              </w:rPr>
              <w:t>Analysis in the Intention-to-Treat Population</w:t>
            </w:r>
          </w:p>
        </w:tc>
      </w:tr>
      <w:tr w:rsidR="00094747" w:rsidRPr="003712F0" w14:paraId="1803E7A5" w14:textId="77777777" w:rsidTr="008C7DB3">
        <w:trPr>
          <w:trHeight w:val="288"/>
        </w:trPr>
        <w:tc>
          <w:tcPr>
            <w:tcW w:w="1449" w:type="pct"/>
            <w:tcBorders>
              <w:top w:val="single" w:sz="4" w:space="0" w:color="auto"/>
              <w:left w:val="single" w:sz="4" w:space="0" w:color="auto"/>
              <w:bottom w:val="single" w:sz="4" w:space="0" w:color="auto"/>
              <w:right w:val="single" w:sz="4" w:space="0" w:color="auto"/>
            </w:tcBorders>
            <w:hideMark/>
          </w:tcPr>
          <w:p w14:paraId="35D156EB" w14:textId="77777777" w:rsidR="00094747" w:rsidRPr="003712F0" w:rsidRDefault="00094747">
            <w:pPr>
              <w:rPr>
                <w:b/>
                <w:bCs/>
                <w:sz w:val="24"/>
                <w:szCs w:val="24"/>
              </w:rPr>
            </w:pPr>
            <w:r w:rsidRPr="003712F0">
              <w:rPr>
                <w:b/>
                <w:bCs/>
                <w:sz w:val="24"/>
                <w:szCs w:val="24"/>
              </w:rPr>
              <w:t>Number of patients</w:t>
            </w:r>
          </w:p>
        </w:tc>
        <w:tc>
          <w:tcPr>
            <w:tcW w:w="1075" w:type="pct"/>
            <w:gridSpan w:val="2"/>
            <w:tcBorders>
              <w:top w:val="single" w:sz="4" w:space="0" w:color="auto"/>
              <w:left w:val="single" w:sz="4" w:space="0" w:color="auto"/>
              <w:bottom w:val="single" w:sz="4" w:space="0" w:color="auto"/>
              <w:right w:val="single" w:sz="4" w:space="0" w:color="auto"/>
            </w:tcBorders>
            <w:hideMark/>
          </w:tcPr>
          <w:p w14:paraId="3B003CB4" w14:textId="77777777" w:rsidR="00094747" w:rsidRPr="003712F0" w:rsidRDefault="00094747">
            <w:pPr>
              <w:jc w:val="center"/>
              <w:rPr>
                <w:b/>
                <w:bCs/>
                <w:sz w:val="24"/>
                <w:szCs w:val="24"/>
              </w:rPr>
            </w:pPr>
            <w:r w:rsidRPr="003712F0">
              <w:rPr>
                <w:b/>
                <w:bCs/>
                <w:sz w:val="24"/>
                <w:szCs w:val="24"/>
              </w:rPr>
              <w:t>7,332</w:t>
            </w:r>
          </w:p>
        </w:tc>
        <w:tc>
          <w:tcPr>
            <w:tcW w:w="1075" w:type="pct"/>
            <w:gridSpan w:val="2"/>
            <w:tcBorders>
              <w:top w:val="single" w:sz="4" w:space="0" w:color="auto"/>
              <w:left w:val="single" w:sz="4" w:space="0" w:color="auto"/>
              <w:bottom w:val="single" w:sz="4" w:space="0" w:color="auto"/>
              <w:right w:val="single" w:sz="4" w:space="0" w:color="auto"/>
            </w:tcBorders>
            <w:hideMark/>
          </w:tcPr>
          <w:p w14:paraId="13259C3C" w14:textId="77777777" w:rsidR="00094747" w:rsidRPr="003712F0" w:rsidRDefault="00094747">
            <w:pPr>
              <w:jc w:val="center"/>
              <w:rPr>
                <w:b/>
                <w:bCs/>
                <w:sz w:val="24"/>
                <w:szCs w:val="24"/>
              </w:rPr>
            </w:pPr>
            <w:r w:rsidRPr="003712F0">
              <w:rPr>
                <w:b/>
                <w:bCs/>
                <w:sz w:val="24"/>
                <w:szCs w:val="24"/>
              </w:rPr>
              <w:t>7,339</w:t>
            </w:r>
          </w:p>
        </w:tc>
        <w:tc>
          <w:tcPr>
            <w:tcW w:w="858" w:type="pct"/>
            <w:tcBorders>
              <w:top w:val="single" w:sz="4" w:space="0" w:color="auto"/>
              <w:left w:val="single" w:sz="4" w:space="0" w:color="auto"/>
              <w:bottom w:val="single" w:sz="4" w:space="0" w:color="auto"/>
              <w:right w:val="single" w:sz="4" w:space="0" w:color="auto"/>
            </w:tcBorders>
            <w:hideMark/>
          </w:tcPr>
          <w:p w14:paraId="24E77148" w14:textId="77777777" w:rsidR="00094747" w:rsidRPr="003712F0" w:rsidRDefault="00094747">
            <w:pPr>
              <w:rPr>
                <w:b/>
                <w:bCs/>
                <w:sz w:val="24"/>
                <w:szCs w:val="24"/>
              </w:rPr>
            </w:pPr>
          </w:p>
        </w:tc>
        <w:tc>
          <w:tcPr>
            <w:tcW w:w="544" w:type="pct"/>
            <w:tcBorders>
              <w:top w:val="single" w:sz="4" w:space="0" w:color="auto"/>
              <w:left w:val="single" w:sz="4" w:space="0" w:color="auto"/>
              <w:bottom w:val="single" w:sz="4" w:space="0" w:color="auto"/>
              <w:right w:val="single" w:sz="4" w:space="0" w:color="auto"/>
            </w:tcBorders>
            <w:hideMark/>
          </w:tcPr>
          <w:p w14:paraId="5DF19592" w14:textId="77777777" w:rsidR="00094747" w:rsidRPr="003712F0" w:rsidRDefault="00094747">
            <w:pPr>
              <w:rPr>
                <w:sz w:val="24"/>
                <w:szCs w:val="24"/>
                <w:lang w:eastAsia="da-DK"/>
              </w:rPr>
            </w:pPr>
          </w:p>
        </w:tc>
      </w:tr>
      <w:tr w:rsidR="00094747" w:rsidRPr="003712F0" w14:paraId="6B2FD32F" w14:textId="77777777" w:rsidTr="008C7DB3">
        <w:trPr>
          <w:trHeight w:val="948"/>
        </w:trPr>
        <w:tc>
          <w:tcPr>
            <w:tcW w:w="1449" w:type="pct"/>
            <w:tcBorders>
              <w:top w:val="single" w:sz="4" w:space="0" w:color="auto"/>
              <w:left w:val="single" w:sz="4" w:space="0" w:color="auto"/>
              <w:bottom w:val="single" w:sz="4" w:space="0" w:color="auto"/>
              <w:right w:val="single" w:sz="4" w:space="0" w:color="auto"/>
            </w:tcBorders>
            <w:hideMark/>
          </w:tcPr>
          <w:p w14:paraId="68DA641B" w14:textId="77777777" w:rsidR="00094747" w:rsidRPr="003712F0" w:rsidRDefault="00094747">
            <w:pPr>
              <w:rPr>
                <w:rFonts w:eastAsia="Times New Roman"/>
                <w:b/>
                <w:bCs/>
                <w:sz w:val="24"/>
                <w:szCs w:val="24"/>
                <w:lang w:eastAsia="en-US"/>
              </w:rPr>
            </w:pPr>
            <w:r w:rsidRPr="003712F0">
              <w:rPr>
                <w:b/>
                <w:bCs/>
                <w:sz w:val="24"/>
                <w:szCs w:val="24"/>
              </w:rPr>
              <w:t xml:space="preserve">Primary Composite Endpoint </w:t>
            </w:r>
            <w:r w:rsidRPr="003712F0">
              <w:rPr>
                <w:sz w:val="24"/>
                <w:szCs w:val="24"/>
              </w:rPr>
              <w:t>(Cardiovascular death, nonfatal myocardial infarction, nonfatal stroke, or hospitalisation for unstable angina)</w:t>
            </w:r>
          </w:p>
        </w:tc>
        <w:tc>
          <w:tcPr>
            <w:tcW w:w="502" w:type="pct"/>
            <w:tcBorders>
              <w:top w:val="single" w:sz="4" w:space="0" w:color="auto"/>
              <w:left w:val="single" w:sz="4" w:space="0" w:color="auto"/>
              <w:bottom w:val="single" w:sz="4" w:space="0" w:color="auto"/>
              <w:right w:val="single" w:sz="4" w:space="0" w:color="auto"/>
            </w:tcBorders>
            <w:hideMark/>
          </w:tcPr>
          <w:p w14:paraId="1D3F3E5F" w14:textId="77777777" w:rsidR="00094747" w:rsidRPr="003712F0" w:rsidRDefault="00094747">
            <w:pPr>
              <w:jc w:val="center"/>
              <w:rPr>
                <w:sz w:val="24"/>
                <w:szCs w:val="24"/>
              </w:rPr>
            </w:pPr>
            <w:r w:rsidRPr="003712F0">
              <w:rPr>
                <w:sz w:val="24"/>
                <w:szCs w:val="24"/>
              </w:rPr>
              <w:t>839 (11.4)</w:t>
            </w:r>
          </w:p>
        </w:tc>
        <w:tc>
          <w:tcPr>
            <w:tcW w:w="573" w:type="pct"/>
            <w:tcBorders>
              <w:top w:val="single" w:sz="4" w:space="0" w:color="auto"/>
              <w:left w:val="single" w:sz="4" w:space="0" w:color="auto"/>
              <w:bottom w:val="single" w:sz="4" w:space="0" w:color="auto"/>
              <w:right w:val="single" w:sz="4" w:space="0" w:color="auto"/>
            </w:tcBorders>
            <w:hideMark/>
          </w:tcPr>
          <w:p w14:paraId="1E487ED5" w14:textId="77777777" w:rsidR="00094747" w:rsidRPr="003712F0" w:rsidRDefault="00094747">
            <w:pPr>
              <w:jc w:val="center"/>
              <w:rPr>
                <w:sz w:val="24"/>
                <w:szCs w:val="24"/>
              </w:rPr>
            </w:pPr>
            <w:r w:rsidRPr="003712F0">
              <w:rPr>
                <w:sz w:val="24"/>
                <w:szCs w:val="24"/>
              </w:rPr>
              <w:t>4.1</w:t>
            </w:r>
          </w:p>
        </w:tc>
        <w:tc>
          <w:tcPr>
            <w:tcW w:w="502" w:type="pct"/>
            <w:tcBorders>
              <w:top w:val="single" w:sz="4" w:space="0" w:color="auto"/>
              <w:left w:val="single" w:sz="4" w:space="0" w:color="auto"/>
              <w:bottom w:val="single" w:sz="4" w:space="0" w:color="auto"/>
              <w:right w:val="single" w:sz="4" w:space="0" w:color="auto"/>
            </w:tcBorders>
            <w:hideMark/>
          </w:tcPr>
          <w:p w14:paraId="5E366D52" w14:textId="77777777" w:rsidR="00094747" w:rsidRPr="003712F0" w:rsidRDefault="00094747">
            <w:pPr>
              <w:jc w:val="center"/>
              <w:rPr>
                <w:sz w:val="24"/>
                <w:szCs w:val="24"/>
              </w:rPr>
            </w:pPr>
            <w:r w:rsidRPr="003712F0">
              <w:rPr>
                <w:sz w:val="24"/>
                <w:szCs w:val="24"/>
              </w:rPr>
              <w:t>851 (11.6)</w:t>
            </w:r>
          </w:p>
        </w:tc>
        <w:tc>
          <w:tcPr>
            <w:tcW w:w="573" w:type="pct"/>
            <w:tcBorders>
              <w:top w:val="single" w:sz="4" w:space="0" w:color="auto"/>
              <w:left w:val="single" w:sz="4" w:space="0" w:color="auto"/>
              <w:bottom w:val="single" w:sz="4" w:space="0" w:color="auto"/>
              <w:right w:val="single" w:sz="4" w:space="0" w:color="auto"/>
            </w:tcBorders>
            <w:hideMark/>
          </w:tcPr>
          <w:p w14:paraId="690CC89D" w14:textId="77777777" w:rsidR="00094747" w:rsidRPr="003712F0" w:rsidRDefault="00094747">
            <w:pPr>
              <w:jc w:val="center"/>
              <w:rPr>
                <w:sz w:val="24"/>
                <w:szCs w:val="24"/>
              </w:rPr>
            </w:pPr>
            <w:r w:rsidRPr="003712F0">
              <w:rPr>
                <w:sz w:val="24"/>
                <w:szCs w:val="24"/>
              </w:rPr>
              <w:t>4.2</w:t>
            </w:r>
          </w:p>
        </w:tc>
        <w:tc>
          <w:tcPr>
            <w:tcW w:w="858" w:type="pct"/>
            <w:tcBorders>
              <w:top w:val="single" w:sz="4" w:space="0" w:color="auto"/>
              <w:left w:val="single" w:sz="4" w:space="0" w:color="auto"/>
              <w:bottom w:val="single" w:sz="4" w:space="0" w:color="auto"/>
              <w:right w:val="single" w:sz="4" w:space="0" w:color="auto"/>
            </w:tcBorders>
            <w:hideMark/>
          </w:tcPr>
          <w:p w14:paraId="2A792978" w14:textId="77777777" w:rsidR="00094747" w:rsidRPr="003712F0" w:rsidRDefault="00094747">
            <w:pPr>
              <w:jc w:val="center"/>
              <w:rPr>
                <w:sz w:val="24"/>
                <w:szCs w:val="24"/>
              </w:rPr>
            </w:pPr>
            <w:r w:rsidRPr="003712F0">
              <w:rPr>
                <w:sz w:val="24"/>
                <w:szCs w:val="24"/>
              </w:rPr>
              <w:t>0.98 (0.89–1.08)</w:t>
            </w:r>
          </w:p>
        </w:tc>
        <w:tc>
          <w:tcPr>
            <w:tcW w:w="544" w:type="pct"/>
            <w:tcBorders>
              <w:top w:val="single" w:sz="4" w:space="0" w:color="auto"/>
              <w:left w:val="single" w:sz="4" w:space="0" w:color="auto"/>
              <w:bottom w:val="single" w:sz="4" w:space="0" w:color="auto"/>
              <w:right w:val="single" w:sz="4" w:space="0" w:color="auto"/>
            </w:tcBorders>
            <w:hideMark/>
          </w:tcPr>
          <w:p w14:paraId="0538B2CB" w14:textId="77777777" w:rsidR="00094747" w:rsidRPr="003712F0" w:rsidRDefault="00094747">
            <w:pPr>
              <w:jc w:val="center"/>
              <w:rPr>
                <w:sz w:val="24"/>
                <w:szCs w:val="24"/>
              </w:rPr>
            </w:pPr>
            <w:r w:rsidRPr="003712F0">
              <w:rPr>
                <w:sz w:val="24"/>
                <w:szCs w:val="24"/>
              </w:rPr>
              <w:t>&lt;0.001</w:t>
            </w:r>
          </w:p>
        </w:tc>
      </w:tr>
      <w:tr w:rsidR="00094747" w:rsidRPr="003712F0" w14:paraId="2B55DCBE" w14:textId="77777777" w:rsidTr="008C7DB3">
        <w:trPr>
          <w:trHeight w:val="948"/>
        </w:trPr>
        <w:tc>
          <w:tcPr>
            <w:tcW w:w="1449" w:type="pct"/>
            <w:tcBorders>
              <w:top w:val="single" w:sz="4" w:space="0" w:color="auto"/>
              <w:left w:val="single" w:sz="4" w:space="0" w:color="auto"/>
              <w:bottom w:val="single" w:sz="4" w:space="0" w:color="auto"/>
              <w:right w:val="single" w:sz="4" w:space="0" w:color="auto"/>
            </w:tcBorders>
            <w:hideMark/>
          </w:tcPr>
          <w:p w14:paraId="24C5B02E" w14:textId="77777777" w:rsidR="00094747" w:rsidRPr="003712F0" w:rsidRDefault="00094747">
            <w:pPr>
              <w:rPr>
                <w:b/>
                <w:bCs/>
                <w:sz w:val="24"/>
                <w:szCs w:val="24"/>
              </w:rPr>
            </w:pPr>
            <w:r w:rsidRPr="003712F0">
              <w:rPr>
                <w:b/>
                <w:bCs/>
                <w:sz w:val="24"/>
                <w:szCs w:val="24"/>
              </w:rPr>
              <w:t xml:space="preserve">Secondary Composite Endpoint </w:t>
            </w:r>
            <w:r w:rsidRPr="003712F0">
              <w:rPr>
                <w:sz w:val="24"/>
                <w:szCs w:val="24"/>
              </w:rPr>
              <w:t>(Cardiovascular death, nonfatal myocardial infarction, or nonfatal stroke)</w:t>
            </w:r>
          </w:p>
        </w:tc>
        <w:tc>
          <w:tcPr>
            <w:tcW w:w="502" w:type="pct"/>
            <w:tcBorders>
              <w:top w:val="single" w:sz="4" w:space="0" w:color="auto"/>
              <w:left w:val="single" w:sz="4" w:space="0" w:color="auto"/>
              <w:bottom w:val="single" w:sz="4" w:space="0" w:color="auto"/>
              <w:right w:val="single" w:sz="4" w:space="0" w:color="auto"/>
            </w:tcBorders>
            <w:hideMark/>
          </w:tcPr>
          <w:p w14:paraId="4F04A329" w14:textId="77777777" w:rsidR="00094747" w:rsidRPr="003712F0" w:rsidRDefault="00094747">
            <w:pPr>
              <w:jc w:val="center"/>
              <w:rPr>
                <w:sz w:val="24"/>
                <w:szCs w:val="24"/>
              </w:rPr>
            </w:pPr>
            <w:r w:rsidRPr="003712F0">
              <w:rPr>
                <w:sz w:val="24"/>
                <w:szCs w:val="24"/>
              </w:rPr>
              <w:t>745 (10.2)</w:t>
            </w:r>
          </w:p>
        </w:tc>
        <w:tc>
          <w:tcPr>
            <w:tcW w:w="573" w:type="pct"/>
            <w:tcBorders>
              <w:top w:val="single" w:sz="4" w:space="0" w:color="auto"/>
              <w:left w:val="single" w:sz="4" w:space="0" w:color="auto"/>
              <w:bottom w:val="single" w:sz="4" w:space="0" w:color="auto"/>
              <w:right w:val="single" w:sz="4" w:space="0" w:color="auto"/>
            </w:tcBorders>
            <w:hideMark/>
          </w:tcPr>
          <w:p w14:paraId="7FF43C8C" w14:textId="77777777" w:rsidR="00094747" w:rsidRPr="003712F0" w:rsidRDefault="00094747">
            <w:pPr>
              <w:jc w:val="center"/>
              <w:rPr>
                <w:sz w:val="24"/>
                <w:szCs w:val="24"/>
              </w:rPr>
            </w:pPr>
            <w:r w:rsidRPr="003712F0">
              <w:rPr>
                <w:sz w:val="24"/>
                <w:szCs w:val="24"/>
              </w:rPr>
              <w:t>3.6</w:t>
            </w:r>
          </w:p>
        </w:tc>
        <w:tc>
          <w:tcPr>
            <w:tcW w:w="502" w:type="pct"/>
            <w:tcBorders>
              <w:top w:val="single" w:sz="4" w:space="0" w:color="auto"/>
              <w:left w:val="single" w:sz="4" w:space="0" w:color="auto"/>
              <w:bottom w:val="single" w:sz="4" w:space="0" w:color="auto"/>
              <w:right w:val="single" w:sz="4" w:space="0" w:color="auto"/>
            </w:tcBorders>
            <w:hideMark/>
          </w:tcPr>
          <w:p w14:paraId="57C3D333" w14:textId="77777777" w:rsidR="00094747" w:rsidRPr="003712F0" w:rsidRDefault="00094747">
            <w:pPr>
              <w:jc w:val="center"/>
              <w:rPr>
                <w:sz w:val="24"/>
                <w:szCs w:val="24"/>
              </w:rPr>
            </w:pPr>
            <w:r w:rsidRPr="003712F0">
              <w:rPr>
                <w:sz w:val="24"/>
                <w:szCs w:val="24"/>
              </w:rPr>
              <w:t>746 (10.2)</w:t>
            </w:r>
          </w:p>
        </w:tc>
        <w:tc>
          <w:tcPr>
            <w:tcW w:w="573" w:type="pct"/>
            <w:tcBorders>
              <w:top w:val="single" w:sz="4" w:space="0" w:color="auto"/>
              <w:left w:val="single" w:sz="4" w:space="0" w:color="auto"/>
              <w:bottom w:val="single" w:sz="4" w:space="0" w:color="auto"/>
              <w:right w:val="single" w:sz="4" w:space="0" w:color="auto"/>
            </w:tcBorders>
            <w:hideMark/>
          </w:tcPr>
          <w:p w14:paraId="0E8A2D9D" w14:textId="77777777" w:rsidR="00094747" w:rsidRPr="003712F0" w:rsidRDefault="00094747">
            <w:pPr>
              <w:jc w:val="center"/>
              <w:rPr>
                <w:sz w:val="24"/>
                <w:szCs w:val="24"/>
              </w:rPr>
            </w:pPr>
            <w:r w:rsidRPr="003712F0">
              <w:rPr>
                <w:sz w:val="24"/>
                <w:szCs w:val="24"/>
              </w:rPr>
              <w:t>3.6</w:t>
            </w:r>
          </w:p>
        </w:tc>
        <w:tc>
          <w:tcPr>
            <w:tcW w:w="858" w:type="pct"/>
            <w:tcBorders>
              <w:top w:val="single" w:sz="4" w:space="0" w:color="auto"/>
              <w:left w:val="single" w:sz="4" w:space="0" w:color="auto"/>
              <w:bottom w:val="single" w:sz="4" w:space="0" w:color="auto"/>
              <w:right w:val="single" w:sz="4" w:space="0" w:color="auto"/>
            </w:tcBorders>
            <w:hideMark/>
          </w:tcPr>
          <w:p w14:paraId="66048A98" w14:textId="77777777" w:rsidR="00094747" w:rsidRPr="003712F0" w:rsidRDefault="00094747">
            <w:pPr>
              <w:jc w:val="center"/>
              <w:rPr>
                <w:sz w:val="24"/>
                <w:szCs w:val="24"/>
              </w:rPr>
            </w:pPr>
            <w:r w:rsidRPr="003712F0">
              <w:rPr>
                <w:sz w:val="24"/>
                <w:szCs w:val="24"/>
              </w:rPr>
              <w:t>0.99 (0.89–1.10)</w:t>
            </w:r>
          </w:p>
        </w:tc>
        <w:tc>
          <w:tcPr>
            <w:tcW w:w="544" w:type="pct"/>
            <w:tcBorders>
              <w:top w:val="single" w:sz="4" w:space="0" w:color="auto"/>
              <w:left w:val="single" w:sz="4" w:space="0" w:color="auto"/>
              <w:bottom w:val="single" w:sz="4" w:space="0" w:color="auto"/>
              <w:right w:val="single" w:sz="4" w:space="0" w:color="auto"/>
            </w:tcBorders>
            <w:hideMark/>
          </w:tcPr>
          <w:p w14:paraId="5745C9A6" w14:textId="77777777" w:rsidR="00094747" w:rsidRPr="003712F0" w:rsidRDefault="00094747">
            <w:pPr>
              <w:jc w:val="center"/>
              <w:rPr>
                <w:sz w:val="24"/>
                <w:szCs w:val="24"/>
              </w:rPr>
            </w:pPr>
            <w:r w:rsidRPr="003712F0">
              <w:rPr>
                <w:sz w:val="24"/>
                <w:szCs w:val="24"/>
              </w:rPr>
              <w:t>&lt;0.001</w:t>
            </w:r>
          </w:p>
        </w:tc>
      </w:tr>
      <w:tr w:rsidR="00094747" w:rsidRPr="003712F0" w14:paraId="268654BD" w14:textId="77777777" w:rsidTr="008C7DB3">
        <w:trPr>
          <w:trHeight w:val="288"/>
        </w:trPr>
        <w:tc>
          <w:tcPr>
            <w:tcW w:w="5000" w:type="pct"/>
            <w:gridSpan w:val="7"/>
            <w:tcBorders>
              <w:top w:val="single" w:sz="4" w:space="0" w:color="auto"/>
              <w:left w:val="single" w:sz="4" w:space="0" w:color="auto"/>
              <w:bottom w:val="single" w:sz="4" w:space="0" w:color="auto"/>
              <w:right w:val="single" w:sz="4" w:space="0" w:color="auto"/>
            </w:tcBorders>
            <w:hideMark/>
          </w:tcPr>
          <w:p w14:paraId="18022D08" w14:textId="77777777" w:rsidR="00094747" w:rsidRPr="003712F0" w:rsidRDefault="00094747">
            <w:pPr>
              <w:rPr>
                <w:b/>
                <w:bCs/>
                <w:sz w:val="24"/>
                <w:szCs w:val="24"/>
              </w:rPr>
            </w:pPr>
            <w:r w:rsidRPr="003712F0">
              <w:rPr>
                <w:b/>
                <w:bCs/>
                <w:sz w:val="24"/>
                <w:szCs w:val="24"/>
              </w:rPr>
              <w:t>Secondary Outcome</w:t>
            </w:r>
          </w:p>
        </w:tc>
      </w:tr>
      <w:tr w:rsidR="00094747" w:rsidRPr="003712F0" w14:paraId="7471256F" w14:textId="77777777" w:rsidTr="008C7DB3">
        <w:trPr>
          <w:trHeight w:val="288"/>
        </w:trPr>
        <w:tc>
          <w:tcPr>
            <w:tcW w:w="1449" w:type="pct"/>
            <w:tcBorders>
              <w:top w:val="single" w:sz="4" w:space="0" w:color="auto"/>
              <w:left w:val="single" w:sz="4" w:space="0" w:color="auto"/>
              <w:bottom w:val="single" w:sz="4" w:space="0" w:color="auto"/>
              <w:right w:val="single" w:sz="4" w:space="0" w:color="auto"/>
            </w:tcBorders>
            <w:hideMark/>
          </w:tcPr>
          <w:p w14:paraId="0A6D9F6B" w14:textId="77777777" w:rsidR="00094747" w:rsidRPr="003712F0" w:rsidRDefault="00094747">
            <w:pPr>
              <w:rPr>
                <w:sz w:val="24"/>
                <w:szCs w:val="24"/>
              </w:rPr>
            </w:pPr>
            <w:r w:rsidRPr="003712F0">
              <w:rPr>
                <w:sz w:val="24"/>
                <w:szCs w:val="24"/>
              </w:rPr>
              <w:t>Cardiovascular death</w:t>
            </w:r>
          </w:p>
        </w:tc>
        <w:tc>
          <w:tcPr>
            <w:tcW w:w="502" w:type="pct"/>
            <w:tcBorders>
              <w:top w:val="single" w:sz="4" w:space="0" w:color="auto"/>
              <w:left w:val="single" w:sz="4" w:space="0" w:color="auto"/>
              <w:bottom w:val="single" w:sz="4" w:space="0" w:color="auto"/>
              <w:right w:val="single" w:sz="4" w:space="0" w:color="auto"/>
            </w:tcBorders>
            <w:hideMark/>
          </w:tcPr>
          <w:p w14:paraId="2A898DA9" w14:textId="77777777" w:rsidR="00094747" w:rsidRPr="003712F0" w:rsidRDefault="00094747">
            <w:pPr>
              <w:jc w:val="center"/>
              <w:rPr>
                <w:sz w:val="24"/>
                <w:szCs w:val="24"/>
              </w:rPr>
            </w:pPr>
            <w:r w:rsidRPr="003712F0">
              <w:rPr>
                <w:sz w:val="24"/>
                <w:szCs w:val="24"/>
              </w:rPr>
              <w:t>380 (5.2)</w:t>
            </w:r>
          </w:p>
        </w:tc>
        <w:tc>
          <w:tcPr>
            <w:tcW w:w="573" w:type="pct"/>
            <w:tcBorders>
              <w:top w:val="single" w:sz="4" w:space="0" w:color="auto"/>
              <w:left w:val="single" w:sz="4" w:space="0" w:color="auto"/>
              <w:bottom w:val="single" w:sz="4" w:space="0" w:color="auto"/>
              <w:right w:val="single" w:sz="4" w:space="0" w:color="auto"/>
            </w:tcBorders>
            <w:hideMark/>
          </w:tcPr>
          <w:p w14:paraId="7A0C524D" w14:textId="77777777" w:rsidR="00094747" w:rsidRPr="003712F0" w:rsidRDefault="00094747">
            <w:pPr>
              <w:jc w:val="center"/>
              <w:rPr>
                <w:sz w:val="24"/>
                <w:szCs w:val="24"/>
              </w:rPr>
            </w:pPr>
            <w:r w:rsidRPr="003712F0">
              <w:rPr>
                <w:sz w:val="24"/>
                <w:szCs w:val="24"/>
              </w:rPr>
              <w:t>1.7</w:t>
            </w:r>
          </w:p>
        </w:tc>
        <w:tc>
          <w:tcPr>
            <w:tcW w:w="502" w:type="pct"/>
            <w:tcBorders>
              <w:top w:val="single" w:sz="4" w:space="0" w:color="auto"/>
              <w:left w:val="single" w:sz="4" w:space="0" w:color="auto"/>
              <w:bottom w:val="single" w:sz="4" w:space="0" w:color="auto"/>
              <w:right w:val="single" w:sz="4" w:space="0" w:color="auto"/>
            </w:tcBorders>
            <w:hideMark/>
          </w:tcPr>
          <w:p w14:paraId="45BE3FDF" w14:textId="77777777" w:rsidR="00094747" w:rsidRPr="003712F0" w:rsidRDefault="00094747">
            <w:pPr>
              <w:jc w:val="center"/>
              <w:rPr>
                <w:sz w:val="24"/>
                <w:szCs w:val="24"/>
              </w:rPr>
            </w:pPr>
            <w:r w:rsidRPr="003712F0">
              <w:rPr>
                <w:sz w:val="24"/>
                <w:szCs w:val="24"/>
              </w:rPr>
              <w:t>366 (5.0)</w:t>
            </w:r>
          </w:p>
        </w:tc>
        <w:tc>
          <w:tcPr>
            <w:tcW w:w="573" w:type="pct"/>
            <w:tcBorders>
              <w:top w:val="single" w:sz="4" w:space="0" w:color="auto"/>
              <w:left w:val="single" w:sz="4" w:space="0" w:color="auto"/>
              <w:bottom w:val="single" w:sz="4" w:space="0" w:color="auto"/>
              <w:right w:val="single" w:sz="4" w:space="0" w:color="auto"/>
            </w:tcBorders>
            <w:hideMark/>
          </w:tcPr>
          <w:p w14:paraId="2EA51711" w14:textId="77777777" w:rsidR="00094747" w:rsidRPr="003712F0" w:rsidRDefault="00094747">
            <w:pPr>
              <w:jc w:val="center"/>
              <w:rPr>
                <w:sz w:val="24"/>
                <w:szCs w:val="24"/>
              </w:rPr>
            </w:pPr>
            <w:r w:rsidRPr="003712F0">
              <w:rPr>
                <w:sz w:val="24"/>
                <w:szCs w:val="24"/>
              </w:rPr>
              <w:t>1.7</w:t>
            </w:r>
          </w:p>
        </w:tc>
        <w:tc>
          <w:tcPr>
            <w:tcW w:w="858" w:type="pct"/>
            <w:tcBorders>
              <w:top w:val="single" w:sz="4" w:space="0" w:color="auto"/>
              <w:left w:val="single" w:sz="4" w:space="0" w:color="auto"/>
              <w:bottom w:val="single" w:sz="4" w:space="0" w:color="auto"/>
              <w:right w:val="single" w:sz="4" w:space="0" w:color="auto"/>
            </w:tcBorders>
            <w:hideMark/>
          </w:tcPr>
          <w:p w14:paraId="0E72C4D7" w14:textId="77777777" w:rsidR="00094747" w:rsidRPr="003712F0" w:rsidRDefault="00094747">
            <w:pPr>
              <w:jc w:val="center"/>
              <w:rPr>
                <w:sz w:val="24"/>
                <w:szCs w:val="24"/>
              </w:rPr>
            </w:pPr>
            <w:r w:rsidRPr="003712F0">
              <w:rPr>
                <w:sz w:val="24"/>
                <w:szCs w:val="24"/>
              </w:rPr>
              <w:t>1.03 (0.89-1.19)</w:t>
            </w:r>
          </w:p>
        </w:tc>
        <w:tc>
          <w:tcPr>
            <w:tcW w:w="544" w:type="pct"/>
            <w:tcBorders>
              <w:top w:val="single" w:sz="4" w:space="0" w:color="auto"/>
              <w:left w:val="single" w:sz="4" w:space="0" w:color="auto"/>
              <w:bottom w:val="single" w:sz="4" w:space="0" w:color="auto"/>
              <w:right w:val="single" w:sz="4" w:space="0" w:color="auto"/>
            </w:tcBorders>
            <w:hideMark/>
          </w:tcPr>
          <w:p w14:paraId="63F62187" w14:textId="77777777" w:rsidR="00094747" w:rsidRPr="003712F0" w:rsidRDefault="00094747">
            <w:pPr>
              <w:jc w:val="center"/>
              <w:rPr>
                <w:sz w:val="24"/>
                <w:szCs w:val="24"/>
              </w:rPr>
            </w:pPr>
            <w:r w:rsidRPr="003712F0">
              <w:rPr>
                <w:sz w:val="24"/>
                <w:szCs w:val="24"/>
              </w:rPr>
              <w:t>0.711</w:t>
            </w:r>
          </w:p>
        </w:tc>
      </w:tr>
      <w:tr w:rsidR="00094747" w:rsidRPr="003712F0" w14:paraId="04DC6BB0" w14:textId="77777777" w:rsidTr="008C7DB3">
        <w:trPr>
          <w:trHeight w:val="480"/>
        </w:trPr>
        <w:tc>
          <w:tcPr>
            <w:tcW w:w="1449" w:type="pct"/>
            <w:tcBorders>
              <w:top w:val="single" w:sz="4" w:space="0" w:color="auto"/>
              <w:left w:val="single" w:sz="4" w:space="0" w:color="auto"/>
              <w:bottom w:val="single" w:sz="4" w:space="0" w:color="auto"/>
              <w:right w:val="single" w:sz="4" w:space="0" w:color="auto"/>
            </w:tcBorders>
            <w:hideMark/>
          </w:tcPr>
          <w:p w14:paraId="33B61B05" w14:textId="77777777" w:rsidR="00094747" w:rsidRPr="003712F0" w:rsidRDefault="00094747">
            <w:pPr>
              <w:rPr>
                <w:sz w:val="24"/>
                <w:szCs w:val="24"/>
              </w:rPr>
            </w:pPr>
            <w:r w:rsidRPr="003712F0">
              <w:rPr>
                <w:sz w:val="24"/>
                <w:szCs w:val="24"/>
              </w:rPr>
              <w:t>All myocardial infarction (fatal and non-fatal)</w:t>
            </w:r>
          </w:p>
        </w:tc>
        <w:tc>
          <w:tcPr>
            <w:tcW w:w="502" w:type="pct"/>
            <w:tcBorders>
              <w:top w:val="single" w:sz="4" w:space="0" w:color="auto"/>
              <w:left w:val="single" w:sz="4" w:space="0" w:color="auto"/>
              <w:bottom w:val="single" w:sz="4" w:space="0" w:color="auto"/>
              <w:right w:val="single" w:sz="4" w:space="0" w:color="auto"/>
            </w:tcBorders>
            <w:hideMark/>
          </w:tcPr>
          <w:p w14:paraId="6C3766DB" w14:textId="77777777" w:rsidR="00094747" w:rsidRPr="003712F0" w:rsidRDefault="00094747">
            <w:pPr>
              <w:jc w:val="center"/>
              <w:rPr>
                <w:sz w:val="24"/>
                <w:szCs w:val="24"/>
              </w:rPr>
            </w:pPr>
            <w:r w:rsidRPr="003712F0">
              <w:rPr>
                <w:sz w:val="24"/>
                <w:szCs w:val="24"/>
              </w:rPr>
              <w:t>300 (4.1)</w:t>
            </w:r>
          </w:p>
        </w:tc>
        <w:tc>
          <w:tcPr>
            <w:tcW w:w="573" w:type="pct"/>
            <w:tcBorders>
              <w:top w:val="single" w:sz="4" w:space="0" w:color="auto"/>
              <w:left w:val="single" w:sz="4" w:space="0" w:color="auto"/>
              <w:bottom w:val="single" w:sz="4" w:space="0" w:color="auto"/>
              <w:right w:val="single" w:sz="4" w:space="0" w:color="auto"/>
            </w:tcBorders>
            <w:hideMark/>
          </w:tcPr>
          <w:p w14:paraId="2471C9CF" w14:textId="77777777" w:rsidR="00094747" w:rsidRPr="003712F0" w:rsidRDefault="00094747">
            <w:pPr>
              <w:jc w:val="center"/>
              <w:rPr>
                <w:sz w:val="24"/>
                <w:szCs w:val="24"/>
              </w:rPr>
            </w:pPr>
            <w:r w:rsidRPr="003712F0">
              <w:rPr>
                <w:sz w:val="24"/>
                <w:szCs w:val="24"/>
              </w:rPr>
              <w:t>1.4</w:t>
            </w:r>
          </w:p>
        </w:tc>
        <w:tc>
          <w:tcPr>
            <w:tcW w:w="502" w:type="pct"/>
            <w:tcBorders>
              <w:top w:val="single" w:sz="4" w:space="0" w:color="auto"/>
              <w:left w:val="single" w:sz="4" w:space="0" w:color="auto"/>
              <w:bottom w:val="single" w:sz="4" w:space="0" w:color="auto"/>
              <w:right w:val="single" w:sz="4" w:space="0" w:color="auto"/>
            </w:tcBorders>
            <w:hideMark/>
          </w:tcPr>
          <w:p w14:paraId="3C57D38E" w14:textId="77777777" w:rsidR="00094747" w:rsidRPr="003712F0" w:rsidRDefault="00094747">
            <w:pPr>
              <w:jc w:val="center"/>
              <w:rPr>
                <w:sz w:val="24"/>
                <w:szCs w:val="24"/>
              </w:rPr>
            </w:pPr>
            <w:r w:rsidRPr="003712F0">
              <w:rPr>
                <w:sz w:val="24"/>
                <w:szCs w:val="24"/>
              </w:rPr>
              <w:t>316 (4.3)</w:t>
            </w:r>
          </w:p>
        </w:tc>
        <w:tc>
          <w:tcPr>
            <w:tcW w:w="573" w:type="pct"/>
            <w:tcBorders>
              <w:top w:val="single" w:sz="4" w:space="0" w:color="auto"/>
              <w:left w:val="single" w:sz="4" w:space="0" w:color="auto"/>
              <w:bottom w:val="single" w:sz="4" w:space="0" w:color="auto"/>
              <w:right w:val="single" w:sz="4" w:space="0" w:color="auto"/>
            </w:tcBorders>
            <w:hideMark/>
          </w:tcPr>
          <w:p w14:paraId="105BC1C2" w14:textId="77777777" w:rsidR="00094747" w:rsidRPr="003712F0" w:rsidRDefault="00094747">
            <w:pPr>
              <w:jc w:val="center"/>
              <w:rPr>
                <w:sz w:val="24"/>
                <w:szCs w:val="24"/>
              </w:rPr>
            </w:pPr>
            <w:r w:rsidRPr="003712F0">
              <w:rPr>
                <w:sz w:val="24"/>
                <w:szCs w:val="24"/>
              </w:rPr>
              <w:t>1.5</w:t>
            </w:r>
          </w:p>
        </w:tc>
        <w:tc>
          <w:tcPr>
            <w:tcW w:w="858" w:type="pct"/>
            <w:tcBorders>
              <w:top w:val="single" w:sz="4" w:space="0" w:color="auto"/>
              <w:left w:val="single" w:sz="4" w:space="0" w:color="auto"/>
              <w:bottom w:val="single" w:sz="4" w:space="0" w:color="auto"/>
              <w:right w:val="single" w:sz="4" w:space="0" w:color="auto"/>
            </w:tcBorders>
            <w:hideMark/>
          </w:tcPr>
          <w:p w14:paraId="2B24FAC8" w14:textId="77777777" w:rsidR="00094747" w:rsidRPr="003712F0" w:rsidRDefault="00094747">
            <w:pPr>
              <w:jc w:val="center"/>
              <w:rPr>
                <w:sz w:val="24"/>
                <w:szCs w:val="24"/>
              </w:rPr>
            </w:pPr>
            <w:r w:rsidRPr="003712F0">
              <w:rPr>
                <w:sz w:val="24"/>
                <w:szCs w:val="24"/>
              </w:rPr>
              <w:t>0.95 (0.81–1.11)</w:t>
            </w:r>
          </w:p>
        </w:tc>
        <w:tc>
          <w:tcPr>
            <w:tcW w:w="544" w:type="pct"/>
            <w:tcBorders>
              <w:top w:val="single" w:sz="4" w:space="0" w:color="auto"/>
              <w:left w:val="single" w:sz="4" w:space="0" w:color="auto"/>
              <w:bottom w:val="single" w:sz="4" w:space="0" w:color="auto"/>
              <w:right w:val="single" w:sz="4" w:space="0" w:color="auto"/>
            </w:tcBorders>
            <w:hideMark/>
          </w:tcPr>
          <w:p w14:paraId="44B59330" w14:textId="77777777" w:rsidR="00094747" w:rsidRPr="003712F0" w:rsidRDefault="00094747">
            <w:pPr>
              <w:jc w:val="center"/>
              <w:rPr>
                <w:sz w:val="24"/>
                <w:szCs w:val="24"/>
              </w:rPr>
            </w:pPr>
            <w:r w:rsidRPr="003712F0">
              <w:rPr>
                <w:sz w:val="24"/>
                <w:szCs w:val="24"/>
              </w:rPr>
              <w:t>0.487</w:t>
            </w:r>
          </w:p>
        </w:tc>
      </w:tr>
      <w:tr w:rsidR="00094747" w:rsidRPr="003712F0" w14:paraId="70DA8CDD" w14:textId="77777777" w:rsidTr="008C7DB3">
        <w:trPr>
          <w:trHeight w:val="288"/>
        </w:trPr>
        <w:tc>
          <w:tcPr>
            <w:tcW w:w="1449" w:type="pct"/>
            <w:tcBorders>
              <w:top w:val="single" w:sz="4" w:space="0" w:color="auto"/>
              <w:left w:val="single" w:sz="4" w:space="0" w:color="auto"/>
              <w:bottom w:val="single" w:sz="4" w:space="0" w:color="auto"/>
              <w:right w:val="single" w:sz="4" w:space="0" w:color="auto"/>
            </w:tcBorders>
            <w:hideMark/>
          </w:tcPr>
          <w:p w14:paraId="171BEAD9" w14:textId="77777777" w:rsidR="00094747" w:rsidRPr="003712F0" w:rsidRDefault="00094747">
            <w:pPr>
              <w:rPr>
                <w:sz w:val="24"/>
                <w:szCs w:val="24"/>
              </w:rPr>
            </w:pPr>
            <w:r w:rsidRPr="003712F0">
              <w:rPr>
                <w:sz w:val="24"/>
                <w:szCs w:val="24"/>
              </w:rPr>
              <w:t>All stroke (fatal and non-fatal)</w:t>
            </w:r>
          </w:p>
        </w:tc>
        <w:tc>
          <w:tcPr>
            <w:tcW w:w="502" w:type="pct"/>
            <w:tcBorders>
              <w:top w:val="single" w:sz="4" w:space="0" w:color="auto"/>
              <w:left w:val="single" w:sz="4" w:space="0" w:color="auto"/>
              <w:bottom w:val="single" w:sz="4" w:space="0" w:color="auto"/>
              <w:right w:val="single" w:sz="4" w:space="0" w:color="auto"/>
            </w:tcBorders>
            <w:hideMark/>
          </w:tcPr>
          <w:p w14:paraId="250D4B3E" w14:textId="77777777" w:rsidR="00094747" w:rsidRPr="003712F0" w:rsidRDefault="00094747">
            <w:pPr>
              <w:jc w:val="center"/>
              <w:rPr>
                <w:sz w:val="24"/>
                <w:szCs w:val="24"/>
              </w:rPr>
            </w:pPr>
            <w:r w:rsidRPr="003712F0">
              <w:rPr>
                <w:sz w:val="24"/>
                <w:szCs w:val="24"/>
              </w:rPr>
              <w:t>178 (2.4)</w:t>
            </w:r>
          </w:p>
        </w:tc>
        <w:tc>
          <w:tcPr>
            <w:tcW w:w="573" w:type="pct"/>
            <w:tcBorders>
              <w:top w:val="single" w:sz="4" w:space="0" w:color="auto"/>
              <w:left w:val="single" w:sz="4" w:space="0" w:color="auto"/>
              <w:bottom w:val="single" w:sz="4" w:space="0" w:color="auto"/>
              <w:right w:val="single" w:sz="4" w:space="0" w:color="auto"/>
            </w:tcBorders>
            <w:hideMark/>
          </w:tcPr>
          <w:p w14:paraId="0A0C5D26" w14:textId="77777777" w:rsidR="00094747" w:rsidRPr="003712F0" w:rsidRDefault="00094747">
            <w:pPr>
              <w:jc w:val="center"/>
              <w:rPr>
                <w:sz w:val="24"/>
                <w:szCs w:val="24"/>
              </w:rPr>
            </w:pPr>
            <w:r w:rsidRPr="003712F0">
              <w:rPr>
                <w:sz w:val="24"/>
                <w:szCs w:val="24"/>
              </w:rPr>
              <w:t>0.8</w:t>
            </w:r>
          </w:p>
        </w:tc>
        <w:tc>
          <w:tcPr>
            <w:tcW w:w="502" w:type="pct"/>
            <w:tcBorders>
              <w:top w:val="single" w:sz="4" w:space="0" w:color="auto"/>
              <w:left w:val="single" w:sz="4" w:space="0" w:color="auto"/>
              <w:bottom w:val="single" w:sz="4" w:space="0" w:color="auto"/>
              <w:right w:val="single" w:sz="4" w:space="0" w:color="auto"/>
            </w:tcBorders>
            <w:hideMark/>
          </w:tcPr>
          <w:p w14:paraId="175E2332" w14:textId="77777777" w:rsidR="00094747" w:rsidRPr="003712F0" w:rsidRDefault="00094747">
            <w:pPr>
              <w:jc w:val="center"/>
              <w:rPr>
                <w:sz w:val="24"/>
                <w:szCs w:val="24"/>
              </w:rPr>
            </w:pPr>
            <w:r w:rsidRPr="003712F0">
              <w:rPr>
                <w:sz w:val="24"/>
                <w:szCs w:val="24"/>
              </w:rPr>
              <w:t>183 (2.5)</w:t>
            </w:r>
          </w:p>
        </w:tc>
        <w:tc>
          <w:tcPr>
            <w:tcW w:w="573" w:type="pct"/>
            <w:tcBorders>
              <w:top w:val="single" w:sz="4" w:space="0" w:color="auto"/>
              <w:left w:val="single" w:sz="4" w:space="0" w:color="auto"/>
              <w:bottom w:val="single" w:sz="4" w:space="0" w:color="auto"/>
              <w:right w:val="single" w:sz="4" w:space="0" w:color="auto"/>
            </w:tcBorders>
            <w:hideMark/>
          </w:tcPr>
          <w:p w14:paraId="1178E4F9" w14:textId="77777777" w:rsidR="00094747" w:rsidRPr="003712F0" w:rsidRDefault="00094747">
            <w:pPr>
              <w:jc w:val="center"/>
              <w:rPr>
                <w:sz w:val="24"/>
                <w:szCs w:val="24"/>
              </w:rPr>
            </w:pPr>
            <w:r w:rsidRPr="003712F0">
              <w:rPr>
                <w:sz w:val="24"/>
                <w:szCs w:val="24"/>
              </w:rPr>
              <w:t>0.9</w:t>
            </w:r>
          </w:p>
        </w:tc>
        <w:tc>
          <w:tcPr>
            <w:tcW w:w="858" w:type="pct"/>
            <w:tcBorders>
              <w:top w:val="single" w:sz="4" w:space="0" w:color="auto"/>
              <w:left w:val="single" w:sz="4" w:space="0" w:color="auto"/>
              <w:bottom w:val="single" w:sz="4" w:space="0" w:color="auto"/>
              <w:right w:val="single" w:sz="4" w:space="0" w:color="auto"/>
            </w:tcBorders>
            <w:hideMark/>
          </w:tcPr>
          <w:p w14:paraId="65F4D396" w14:textId="77777777" w:rsidR="00094747" w:rsidRPr="003712F0" w:rsidRDefault="00094747">
            <w:pPr>
              <w:jc w:val="center"/>
              <w:rPr>
                <w:sz w:val="24"/>
                <w:szCs w:val="24"/>
              </w:rPr>
            </w:pPr>
            <w:r w:rsidRPr="003712F0">
              <w:rPr>
                <w:sz w:val="24"/>
                <w:szCs w:val="24"/>
              </w:rPr>
              <w:t>0.97 (0.79–1.19)</w:t>
            </w:r>
          </w:p>
        </w:tc>
        <w:tc>
          <w:tcPr>
            <w:tcW w:w="544" w:type="pct"/>
            <w:tcBorders>
              <w:top w:val="single" w:sz="4" w:space="0" w:color="auto"/>
              <w:left w:val="single" w:sz="4" w:space="0" w:color="auto"/>
              <w:bottom w:val="single" w:sz="4" w:space="0" w:color="auto"/>
              <w:right w:val="single" w:sz="4" w:space="0" w:color="auto"/>
            </w:tcBorders>
            <w:hideMark/>
          </w:tcPr>
          <w:p w14:paraId="7C6604FE" w14:textId="77777777" w:rsidR="00094747" w:rsidRPr="003712F0" w:rsidRDefault="00094747">
            <w:pPr>
              <w:jc w:val="center"/>
              <w:rPr>
                <w:sz w:val="24"/>
                <w:szCs w:val="24"/>
              </w:rPr>
            </w:pPr>
            <w:r w:rsidRPr="003712F0">
              <w:rPr>
                <w:sz w:val="24"/>
                <w:szCs w:val="24"/>
              </w:rPr>
              <w:t>0.760</w:t>
            </w:r>
          </w:p>
        </w:tc>
      </w:tr>
      <w:tr w:rsidR="00094747" w:rsidRPr="003712F0" w14:paraId="0A71FBBD" w14:textId="77777777" w:rsidTr="008C7DB3">
        <w:trPr>
          <w:trHeight w:val="288"/>
        </w:trPr>
        <w:tc>
          <w:tcPr>
            <w:tcW w:w="1449" w:type="pct"/>
            <w:tcBorders>
              <w:top w:val="single" w:sz="4" w:space="0" w:color="auto"/>
              <w:left w:val="single" w:sz="4" w:space="0" w:color="auto"/>
              <w:bottom w:val="single" w:sz="4" w:space="0" w:color="auto"/>
              <w:right w:val="single" w:sz="4" w:space="0" w:color="auto"/>
            </w:tcBorders>
            <w:hideMark/>
          </w:tcPr>
          <w:p w14:paraId="0B5AFF96" w14:textId="77777777" w:rsidR="00094747" w:rsidRPr="003712F0" w:rsidRDefault="00094747">
            <w:pPr>
              <w:rPr>
                <w:sz w:val="24"/>
                <w:szCs w:val="24"/>
              </w:rPr>
            </w:pPr>
            <w:r w:rsidRPr="003712F0">
              <w:rPr>
                <w:sz w:val="24"/>
                <w:szCs w:val="24"/>
              </w:rPr>
              <w:t>Hospitalisation for unstable angina</w:t>
            </w:r>
          </w:p>
        </w:tc>
        <w:tc>
          <w:tcPr>
            <w:tcW w:w="502" w:type="pct"/>
            <w:tcBorders>
              <w:top w:val="single" w:sz="4" w:space="0" w:color="auto"/>
              <w:left w:val="single" w:sz="4" w:space="0" w:color="auto"/>
              <w:bottom w:val="single" w:sz="4" w:space="0" w:color="auto"/>
              <w:right w:val="single" w:sz="4" w:space="0" w:color="auto"/>
            </w:tcBorders>
            <w:hideMark/>
          </w:tcPr>
          <w:p w14:paraId="3D0BD65D" w14:textId="77777777" w:rsidR="00094747" w:rsidRPr="003712F0" w:rsidRDefault="00094747">
            <w:pPr>
              <w:jc w:val="center"/>
              <w:rPr>
                <w:sz w:val="24"/>
                <w:szCs w:val="24"/>
              </w:rPr>
            </w:pPr>
            <w:r w:rsidRPr="003712F0">
              <w:rPr>
                <w:sz w:val="24"/>
                <w:szCs w:val="24"/>
              </w:rPr>
              <w:t>116 (1.6)</w:t>
            </w:r>
          </w:p>
        </w:tc>
        <w:tc>
          <w:tcPr>
            <w:tcW w:w="573" w:type="pct"/>
            <w:tcBorders>
              <w:top w:val="single" w:sz="4" w:space="0" w:color="auto"/>
              <w:left w:val="single" w:sz="4" w:space="0" w:color="auto"/>
              <w:bottom w:val="single" w:sz="4" w:space="0" w:color="auto"/>
              <w:right w:val="single" w:sz="4" w:space="0" w:color="auto"/>
            </w:tcBorders>
            <w:hideMark/>
          </w:tcPr>
          <w:p w14:paraId="0A2B8275" w14:textId="77777777" w:rsidR="00094747" w:rsidRPr="003712F0" w:rsidRDefault="00094747">
            <w:pPr>
              <w:jc w:val="center"/>
              <w:rPr>
                <w:sz w:val="24"/>
                <w:szCs w:val="24"/>
              </w:rPr>
            </w:pPr>
            <w:r w:rsidRPr="003712F0">
              <w:rPr>
                <w:sz w:val="24"/>
                <w:szCs w:val="24"/>
              </w:rPr>
              <w:t>0.5</w:t>
            </w:r>
          </w:p>
        </w:tc>
        <w:tc>
          <w:tcPr>
            <w:tcW w:w="502" w:type="pct"/>
            <w:tcBorders>
              <w:top w:val="single" w:sz="4" w:space="0" w:color="auto"/>
              <w:left w:val="single" w:sz="4" w:space="0" w:color="auto"/>
              <w:bottom w:val="single" w:sz="4" w:space="0" w:color="auto"/>
              <w:right w:val="single" w:sz="4" w:space="0" w:color="auto"/>
            </w:tcBorders>
            <w:hideMark/>
          </w:tcPr>
          <w:p w14:paraId="42387FB8" w14:textId="77777777" w:rsidR="00094747" w:rsidRPr="003712F0" w:rsidRDefault="00094747">
            <w:pPr>
              <w:jc w:val="center"/>
              <w:rPr>
                <w:sz w:val="24"/>
                <w:szCs w:val="24"/>
              </w:rPr>
            </w:pPr>
            <w:r w:rsidRPr="003712F0">
              <w:rPr>
                <w:sz w:val="24"/>
                <w:szCs w:val="24"/>
              </w:rPr>
              <w:t>129 (1.8)</w:t>
            </w:r>
          </w:p>
        </w:tc>
        <w:tc>
          <w:tcPr>
            <w:tcW w:w="573" w:type="pct"/>
            <w:tcBorders>
              <w:top w:val="single" w:sz="4" w:space="0" w:color="auto"/>
              <w:left w:val="single" w:sz="4" w:space="0" w:color="auto"/>
              <w:bottom w:val="single" w:sz="4" w:space="0" w:color="auto"/>
              <w:right w:val="single" w:sz="4" w:space="0" w:color="auto"/>
            </w:tcBorders>
            <w:hideMark/>
          </w:tcPr>
          <w:p w14:paraId="0C889F0C" w14:textId="77777777" w:rsidR="00094747" w:rsidRPr="003712F0" w:rsidRDefault="00094747">
            <w:pPr>
              <w:jc w:val="center"/>
              <w:rPr>
                <w:sz w:val="24"/>
                <w:szCs w:val="24"/>
              </w:rPr>
            </w:pPr>
            <w:r w:rsidRPr="003712F0">
              <w:rPr>
                <w:sz w:val="24"/>
                <w:szCs w:val="24"/>
              </w:rPr>
              <w:t>0.6</w:t>
            </w:r>
          </w:p>
        </w:tc>
        <w:tc>
          <w:tcPr>
            <w:tcW w:w="858" w:type="pct"/>
            <w:tcBorders>
              <w:top w:val="single" w:sz="4" w:space="0" w:color="auto"/>
              <w:left w:val="single" w:sz="4" w:space="0" w:color="auto"/>
              <w:bottom w:val="single" w:sz="4" w:space="0" w:color="auto"/>
              <w:right w:val="single" w:sz="4" w:space="0" w:color="auto"/>
            </w:tcBorders>
            <w:hideMark/>
          </w:tcPr>
          <w:p w14:paraId="704A43BB" w14:textId="77777777" w:rsidR="00094747" w:rsidRPr="003712F0" w:rsidRDefault="00094747">
            <w:pPr>
              <w:jc w:val="center"/>
              <w:rPr>
                <w:sz w:val="24"/>
                <w:szCs w:val="24"/>
              </w:rPr>
            </w:pPr>
            <w:r w:rsidRPr="003712F0">
              <w:rPr>
                <w:sz w:val="24"/>
                <w:szCs w:val="24"/>
              </w:rPr>
              <w:t>0.90 (0.70–1.16)</w:t>
            </w:r>
          </w:p>
        </w:tc>
        <w:tc>
          <w:tcPr>
            <w:tcW w:w="544" w:type="pct"/>
            <w:tcBorders>
              <w:top w:val="single" w:sz="4" w:space="0" w:color="auto"/>
              <w:left w:val="single" w:sz="4" w:space="0" w:color="auto"/>
              <w:bottom w:val="single" w:sz="4" w:space="0" w:color="auto"/>
              <w:right w:val="single" w:sz="4" w:space="0" w:color="auto"/>
            </w:tcBorders>
            <w:hideMark/>
          </w:tcPr>
          <w:p w14:paraId="6C155BDC" w14:textId="77777777" w:rsidR="00094747" w:rsidRPr="003712F0" w:rsidRDefault="00094747">
            <w:pPr>
              <w:jc w:val="center"/>
              <w:rPr>
                <w:sz w:val="24"/>
                <w:szCs w:val="24"/>
              </w:rPr>
            </w:pPr>
            <w:r w:rsidRPr="003712F0">
              <w:rPr>
                <w:sz w:val="24"/>
                <w:szCs w:val="24"/>
              </w:rPr>
              <w:t>0.419</w:t>
            </w:r>
          </w:p>
        </w:tc>
      </w:tr>
      <w:tr w:rsidR="00094747" w:rsidRPr="003712F0" w14:paraId="63CB7B33" w14:textId="77777777" w:rsidTr="008C7DB3">
        <w:trPr>
          <w:trHeight w:val="288"/>
        </w:trPr>
        <w:tc>
          <w:tcPr>
            <w:tcW w:w="1449" w:type="pct"/>
            <w:tcBorders>
              <w:top w:val="single" w:sz="4" w:space="0" w:color="auto"/>
              <w:left w:val="single" w:sz="4" w:space="0" w:color="auto"/>
              <w:bottom w:val="single" w:sz="4" w:space="0" w:color="auto"/>
              <w:right w:val="single" w:sz="4" w:space="0" w:color="auto"/>
            </w:tcBorders>
            <w:hideMark/>
          </w:tcPr>
          <w:p w14:paraId="51D33C07" w14:textId="77777777" w:rsidR="00094747" w:rsidRPr="003712F0" w:rsidRDefault="00094747">
            <w:pPr>
              <w:rPr>
                <w:sz w:val="24"/>
                <w:szCs w:val="24"/>
              </w:rPr>
            </w:pPr>
            <w:r w:rsidRPr="003712F0">
              <w:rPr>
                <w:sz w:val="24"/>
                <w:szCs w:val="24"/>
              </w:rPr>
              <w:t>Death from any cause</w:t>
            </w:r>
          </w:p>
        </w:tc>
        <w:tc>
          <w:tcPr>
            <w:tcW w:w="502" w:type="pct"/>
            <w:tcBorders>
              <w:top w:val="single" w:sz="4" w:space="0" w:color="auto"/>
              <w:left w:val="single" w:sz="4" w:space="0" w:color="auto"/>
              <w:bottom w:val="single" w:sz="4" w:space="0" w:color="auto"/>
              <w:right w:val="single" w:sz="4" w:space="0" w:color="auto"/>
            </w:tcBorders>
            <w:hideMark/>
          </w:tcPr>
          <w:p w14:paraId="2FB2C57D" w14:textId="77777777" w:rsidR="00094747" w:rsidRPr="003712F0" w:rsidRDefault="00094747">
            <w:pPr>
              <w:jc w:val="center"/>
              <w:rPr>
                <w:sz w:val="24"/>
                <w:szCs w:val="24"/>
              </w:rPr>
            </w:pPr>
            <w:r w:rsidRPr="003712F0">
              <w:rPr>
                <w:sz w:val="24"/>
                <w:szCs w:val="24"/>
              </w:rPr>
              <w:t>547 (7.5)</w:t>
            </w:r>
          </w:p>
        </w:tc>
        <w:tc>
          <w:tcPr>
            <w:tcW w:w="573" w:type="pct"/>
            <w:tcBorders>
              <w:top w:val="single" w:sz="4" w:space="0" w:color="auto"/>
              <w:left w:val="single" w:sz="4" w:space="0" w:color="auto"/>
              <w:bottom w:val="single" w:sz="4" w:space="0" w:color="auto"/>
              <w:right w:val="single" w:sz="4" w:space="0" w:color="auto"/>
            </w:tcBorders>
            <w:hideMark/>
          </w:tcPr>
          <w:p w14:paraId="784F2A4B" w14:textId="77777777" w:rsidR="00094747" w:rsidRPr="003712F0" w:rsidRDefault="00094747">
            <w:pPr>
              <w:jc w:val="center"/>
              <w:rPr>
                <w:sz w:val="24"/>
                <w:szCs w:val="24"/>
              </w:rPr>
            </w:pPr>
            <w:r w:rsidRPr="003712F0">
              <w:rPr>
                <w:sz w:val="24"/>
                <w:szCs w:val="24"/>
              </w:rPr>
              <w:t>2.5</w:t>
            </w:r>
          </w:p>
        </w:tc>
        <w:tc>
          <w:tcPr>
            <w:tcW w:w="502" w:type="pct"/>
            <w:tcBorders>
              <w:top w:val="single" w:sz="4" w:space="0" w:color="auto"/>
              <w:left w:val="single" w:sz="4" w:space="0" w:color="auto"/>
              <w:bottom w:val="single" w:sz="4" w:space="0" w:color="auto"/>
              <w:right w:val="single" w:sz="4" w:space="0" w:color="auto"/>
            </w:tcBorders>
            <w:hideMark/>
          </w:tcPr>
          <w:p w14:paraId="10166FF1" w14:textId="77777777" w:rsidR="00094747" w:rsidRPr="003712F0" w:rsidRDefault="00094747">
            <w:pPr>
              <w:jc w:val="center"/>
              <w:rPr>
                <w:sz w:val="24"/>
                <w:szCs w:val="24"/>
              </w:rPr>
            </w:pPr>
            <w:r w:rsidRPr="003712F0">
              <w:rPr>
                <w:sz w:val="24"/>
                <w:szCs w:val="24"/>
              </w:rPr>
              <w:t>537 (7.3)</w:t>
            </w:r>
          </w:p>
        </w:tc>
        <w:tc>
          <w:tcPr>
            <w:tcW w:w="573" w:type="pct"/>
            <w:tcBorders>
              <w:top w:val="single" w:sz="4" w:space="0" w:color="auto"/>
              <w:left w:val="single" w:sz="4" w:space="0" w:color="auto"/>
              <w:bottom w:val="single" w:sz="4" w:space="0" w:color="auto"/>
              <w:right w:val="single" w:sz="4" w:space="0" w:color="auto"/>
            </w:tcBorders>
            <w:hideMark/>
          </w:tcPr>
          <w:p w14:paraId="47D12B38" w14:textId="77777777" w:rsidR="00094747" w:rsidRPr="003712F0" w:rsidRDefault="00094747">
            <w:pPr>
              <w:jc w:val="center"/>
              <w:rPr>
                <w:sz w:val="24"/>
                <w:szCs w:val="24"/>
              </w:rPr>
            </w:pPr>
            <w:r w:rsidRPr="003712F0">
              <w:rPr>
                <w:sz w:val="24"/>
                <w:szCs w:val="24"/>
              </w:rPr>
              <w:t>2.5</w:t>
            </w:r>
          </w:p>
        </w:tc>
        <w:tc>
          <w:tcPr>
            <w:tcW w:w="858" w:type="pct"/>
            <w:tcBorders>
              <w:top w:val="single" w:sz="4" w:space="0" w:color="auto"/>
              <w:left w:val="single" w:sz="4" w:space="0" w:color="auto"/>
              <w:bottom w:val="single" w:sz="4" w:space="0" w:color="auto"/>
              <w:right w:val="single" w:sz="4" w:space="0" w:color="auto"/>
            </w:tcBorders>
            <w:hideMark/>
          </w:tcPr>
          <w:p w14:paraId="3E73E5CD" w14:textId="77777777" w:rsidR="00094747" w:rsidRPr="003712F0" w:rsidRDefault="00094747">
            <w:pPr>
              <w:jc w:val="center"/>
              <w:rPr>
                <w:sz w:val="24"/>
                <w:szCs w:val="24"/>
              </w:rPr>
            </w:pPr>
            <w:r w:rsidRPr="003712F0">
              <w:rPr>
                <w:sz w:val="24"/>
                <w:szCs w:val="24"/>
              </w:rPr>
              <w:t>1.01 (0.90–1.14)</w:t>
            </w:r>
          </w:p>
        </w:tc>
        <w:tc>
          <w:tcPr>
            <w:tcW w:w="544" w:type="pct"/>
            <w:tcBorders>
              <w:top w:val="single" w:sz="4" w:space="0" w:color="auto"/>
              <w:left w:val="single" w:sz="4" w:space="0" w:color="auto"/>
              <w:bottom w:val="single" w:sz="4" w:space="0" w:color="auto"/>
              <w:right w:val="single" w:sz="4" w:space="0" w:color="auto"/>
            </w:tcBorders>
            <w:hideMark/>
          </w:tcPr>
          <w:p w14:paraId="7F43B6DF" w14:textId="77777777" w:rsidR="00094747" w:rsidRPr="003712F0" w:rsidRDefault="00094747">
            <w:pPr>
              <w:jc w:val="center"/>
              <w:rPr>
                <w:sz w:val="24"/>
                <w:szCs w:val="24"/>
              </w:rPr>
            </w:pPr>
            <w:r w:rsidRPr="003712F0">
              <w:rPr>
                <w:sz w:val="24"/>
                <w:szCs w:val="24"/>
              </w:rPr>
              <w:t>0.875</w:t>
            </w:r>
          </w:p>
        </w:tc>
      </w:tr>
      <w:tr w:rsidR="00094747" w:rsidRPr="003712F0" w14:paraId="7E159BE4" w14:textId="77777777" w:rsidTr="008C7DB3">
        <w:trPr>
          <w:trHeight w:val="288"/>
        </w:trPr>
        <w:tc>
          <w:tcPr>
            <w:tcW w:w="1449" w:type="pct"/>
            <w:tcBorders>
              <w:top w:val="single" w:sz="4" w:space="0" w:color="auto"/>
              <w:left w:val="single" w:sz="4" w:space="0" w:color="auto"/>
              <w:bottom w:val="single" w:sz="4" w:space="0" w:color="auto"/>
              <w:right w:val="single" w:sz="4" w:space="0" w:color="auto"/>
            </w:tcBorders>
            <w:hideMark/>
          </w:tcPr>
          <w:p w14:paraId="10424CD7" w14:textId="77777777" w:rsidR="00094747" w:rsidRPr="003712F0" w:rsidRDefault="00094747">
            <w:pPr>
              <w:rPr>
                <w:sz w:val="24"/>
                <w:szCs w:val="24"/>
              </w:rPr>
            </w:pPr>
            <w:r w:rsidRPr="003712F0">
              <w:rPr>
                <w:sz w:val="24"/>
                <w:szCs w:val="24"/>
              </w:rPr>
              <w:t>Hospitalisation for heart failure</w:t>
            </w:r>
            <w:r w:rsidRPr="003712F0">
              <w:rPr>
                <w:sz w:val="24"/>
                <w:szCs w:val="24"/>
                <w:vertAlign w:val="superscript"/>
              </w:rPr>
              <w:t>‡</w:t>
            </w:r>
          </w:p>
        </w:tc>
        <w:tc>
          <w:tcPr>
            <w:tcW w:w="502" w:type="pct"/>
            <w:tcBorders>
              <w:top w:val="single" w:sz="4" w:space="0" w:color="auto"/>
              <w:left w:val="single" w:sz="4" w:space="0" w:color="auto"/>
              <w:bottom w:val="single" w:sz="4" w:space="0" w:color="auto"/>
              <w:right w:val="single" w:sz="4" w:space="0" w:color="auto"/>
            </w:tcBorders>
            <w:hideMark/>
          </w:tcPr>
          <w:p w14:paraId="5A8A8A81" w14:textId="77777777" w:rsidR="00094747" w:rsidRPr="003712F0" w:rsidRDefault="00094747">
            <w:pPr>
              <w:jc w:val="center"/>
              <w:rPr>
                <w:sz w:val="24"/>
                <w:szCs w:val="24"/>
              </w:rPr>
            </w:pPr>
            <w:r w:rsidRPr="003712F0">
              <w:rPr>
                <w:sz w:val="24"/>
                <w:szCs w:val="24"/>
              </w:rPr>
              <w:t>228 (3.1)</w:t>
            </w:r>
          </w:p>
        </w:tc>
        <w:tc>
          <w:tcPr>
            <w:tcW w:w="573" w:type="pct"/>
            <w:tcBorders>
              <w:top w:val="single" w:sz="4" w:space="0" w:color="auto"/>
              <w:left w:val="single" w:sz="4" w:space="0" w:color="auto"/>
              <w:bottom w:val="single" w:sz="4" w:space="0" w:color="auto"/>
              <w:right w:val="single" w:sz="4" w:space="0" w:color="auto"/>
            </w:tcBorders>
            <w:hideMark/>
          </w:tcPr>
          <w:p w14:paraId="0FF04BC3" w14:textId="77777777" w:rsidR="00094747" w:rsidRPr="003712F0" w:rsidRDefault="00094747">
            <w:pPr>
              <w:jc w:val="center"/>
              <w:rPr>
                <w:sz w:val="24"/>
                <w:szCs w:val="24"/>
              </w:rPr>
            </w:pPr>
            <w:r w:rsidRPr="003712F0">
              <w:rPr>
                <w:sz w:val="24"/>
                <w:szCs w:val="24"/>
              </w:rPr>
              <w:t>1.1</w:t>
            </w:r>
          </w:p>
        </w:tc>
        <w:tc>
          <w:tcPr>
            <w:tcW w:w="502" w:type="pct"/>
            <w:tcBorders>
              <w:top w:val="single" w:sz="4" w:space="0" w:color="auto"/>
              <w:left w:val="single" w:sz="4" w:space="0" w:color="auto"/>
              <w:bottom w:val="single" w:sz="4" w:space="0" w:color="auto"/>
              <w:right w:val="single" w:sz="4" w:space="0" w:color="auto"/>
            </w:tcBorders>
            <w:hideMark/>
          </w:tcPr>
          <w:p w14:paraId="1097239A" w14:textId="77777777" w:rsidR="00094747" w:rsidRPr="003712F0" w:rsidRDefault="00094747">
            <w:pPr>
              <w:jc w:val="center"/>
              <w:rPr>
                <w:sz w:val="24"/>
                <w:szCs w:val="24"/>
              </w:rPr>
            </w:pPr>
            <w:r w:rsidRPr="003712F0">
              <w:rPr>
                <w:sz w:val="24"/>
                <w:szCs w:val="24"/>
              </w:rPr>
              <w:t>229 (3.1)</w:t>
            </w:r>
          </w:p>
        </w:tc>
        <w:tc>
          <w:tcPr>
            <w:tcW w:w="573" w:type="pct"/>
            <w:tcBorders>
              <w:top w:val="single" w:sz="4" w:space="0" w:color="auto"/>
              <w:left w:val="single" w:sz="4" w:space="0" w:color="auto"/>
              <w:bottom w:val="single" w:sz="4" w:space="0" w:color="auto"/>
              <w:right w:val="single" w:sz="4" w:space="0" w:color="auto"/>
            </w:tcBorders>
            <w:hideMark/>
          </w:tcPr>
          <w:p w14:paraId="113D816C" w14:textId="77777777" w:rsidR="00094747" w:rsidRPr="003712F0" w:rsidRDefault="00094747">
            <w:pPr>
              <w:jc w:val="center"/>
              <w:rPr>
                <w:sz w:val="24"/>
                <w:szCs w:val="24"/>
              </w:rPr>
            </w:pPr>
            <w:r w:rsidRPr="003712F0">
              <w:rPr>
                <w:sz w:val="24"/>
                <w:szCs w:val="24"/>
              </w:rPr>
              <w:t>1.1</w:t>
            </w:r>
          </w:p>
        </w:tc>
        <w:tc>
          <w:tcPr>
            <w:tcW w:w="858" w:type="pct"/>
            <w:tcBorders>
              <w:top w:val="single" w:sz="4" w:space="0" w:color="auto"/>
              <w:left w:val="single" w:sz="4" w:space="0" w:color="auto"/>
              <w:bottom w:val="single" w:sz="4" w:space="0" w:color="auto"/>
              <w:right w:val="single" w:sz="4" w:space="0" w:color="auto"/>
            </w:tcBorders>
            <w:hideMark/>
          </w:tcPr>
          <w:p w14:paraId="7F9AC1BB" w14:textId="77777777" w:rsidR="00094747" w:rsidRPr="003712F0" w:rsidRDefault="00094747">
            <w:pPr>
              <w:jc w:val="center"/>
              <w:rPr>
                <w:sz w:val="24"/>
                <w:szCs w:val="24"/>
              </w:rPr>
            </w:pPr>
            <w:r w:rsidRPr="003712F0">
              <w:rPr>
                <w:sz w:val="24"/>
                <w:szCs w:val="24"/>
              </w:rPr>
              <w:t>1.00 (0.83–1.20)</w:t>
            </w:r>
          </w:p>
        </w:tc>
        <w:tc>
          <w:tcPr>
            <w:tcW w:w="544" w:type="pct"/>
            <w:tcBorders>
              <w:top w:val="single" w:sz="4" w:space="0" w:color="auto"/>
              <w:left w:val="single" w:sz="4" w:space="0" w:color="auto"/>
              <w:bottom w:val="single" w:sz="4" w:space="0" w:color="auto"/>
              <w:right w:val="single" w:sz="4" w:space="0" w:color="auto"/>
            </w:tcBorders>
            <w:hideMark/>
          </w:tcPr>
          <w:p w14:paraId="6F07174B" w14:textId="77777777" w:rsidR="00094747" w:rsidRPr="003712F0" w:rsidRDefault="00094747">
            <w:pPr>
              <w:jc w:val="center"/>
              <w:rPr>
                <w:sz w:val="24"/>
                <w:szCs w:val="24"/>
              </w:rPr>
            </w:pPr>
            <w:r w:rsidRPr="003712F0">
              <w:rPr>
                <w:sz w:val="24"/>
                <w:szCs w:val="24"/>
              </w:rPr>
              <w:t>0.983</w:t>
            </w:r>
            <w:bookmarkEnd w:id="4"/>
          </w:p>
        </w:tc>
      </w:tr>
    </w:tbl>
    <w:p w14:paraId="1E0A7F94" w14:textId="77777777" w:rsidR="00094747" w:rsidRPr="00726F3F" w:rsidRDefault="00094747" w:rsidP="00094747">
      <w:pPr>
        <w:rPr>
          <w:sz w:val="20"/>
          <w:lang w:val="en-GB" w:eastAsia="en-US"/>
        </w:rPr>
      </w:pPr>
      <w:r w:rsidRPr="00726F3F">
        <w:rPr>
          <w:sz w:val="20"/>
          <w:lang w:val="en-GB"/>
        </w:rPr>
        <w:t>* Incidence rate per 100 patient-years is calculated as 100 × (total number of patients with ≥ 1 event during eligible exposure period per total patient-years of follow-up).</w:t>
      </w:r>
    </w:p>
    <w:p w14:paraId="13CD0D16" w14:textId="77777777" w:rsidR="00094747" w:rsidRPr="00726F3F" w:rsidRDefault="00094747" w:rsidP="00094747">
      <w:pPr>
        <w:rPr>
          <w:sz w:val="20"/>
          <w:lang w:val="en-GB"/>
        </w:rPr>
      </w:pPr>
      <w:r w:rsidRPr="00726F3F">
        <w:rPr>
          <w:sz w:val="20"/>
          <w:lang w:val="en-GB"/>
        </w:rPr>
        <w:t>† Based on a Cox model stratified by region. For composite endpoints, the p-values correspond to a test of non-inferiority seeking to show that the hazard ratio is less than 1.3. For all other endpoints, the p-values correspond to a test of differences in hazard rates.</w:t>
      </w:r>
    </w:p>
    <w:p w14:paraId="3C7BC0EF" w14:textId="77777777" w:rsidR="00094747" w:rsidRPr="00726F3F" w:rsidRDefault="00094747" w:rsidP="00094747">
      <w:pPr>
        <w:rPr>
          <w:sz w:val="20"/>
          <w:lang w:val="en-GB"/>
        </w:rPr>
      </w:pPr>
      <w:r w:rsidRPr="00726F3F">
        <w:rPr>
          <w:sz w:val="20"/>
          <w:lang w:val="en-GB"/>
        </w:rPr>
        <w:t>‡ The analysis of hospitalisation for heart failure was adjusted for a history of heart failure at baseline.</w:t>
      </w:r>
    </w:p>
    <w:p w14:paraId="72A576A6" w14:textId="77777777" w:rsidR="00094747" w:rsidRPr="003712F0" w:rsidRDefault="00094747" w:rsidP="00094747">
      <w:pPr>
        <w:rPr>
          <w:sz w:val="24"/>
          <w:szCs w:val="24"/>
          <w:lang w:val="en-GB"/>
        </w:rPr>
      </w:pPr>
    </w:p>
    <w:p w14:paraId="50C5B8BD" w14:textId="77777777" w:rsidR="00094747" w:rsidRPr="003712F0" w:rsidRDefault="00094747" w:rsidP="008C7DB3">
      <w:pPr>
        <w:ind w:left="851"/>
        <w:rPr>
          <w:sz w:val="24"/>
          <w:szCs w:val="24"/>
          <w:u w:val="single"/>
          <w:lang w:val="en-GB"/>
        </w:rPr>
      </w:pPr>
      <w:r w:rsidRPr="003712F0">
        <w:rPr>
          <w:sz w:val="24"/>
          <w:szCs w:val="24"/>
          <w:u w:val="single"/>
          <w:lang w:val="en-GB"/>
        </w:rPr>
        <w:t>Paediatric population</w:t>
      </w:r>
    </w:p>
    <w:p w14:paraId="4C4CFD02" w14:textId="77777777" w:rsidR="00094747" w:rsidRPr="003712F0" w:rsidRDefault="00094747" w:rsidP="008C7DB3">
      <w:pPr>
        <w:ind w:left="851"/>
        <w:rPr>
          <w:sz w:val="24"/>
          <w:szCs w:val="24"/>
          <w:lang w:val="en-GB"/>
        </w:rPr>
      </w:pPr>
      <w:r w:rsidRPr="003712F0">
        <w:rPr>
          <w:sz w:val="24"/>
          <w:szCs w:val="24"/>
          <w:lang w:val="en-GB"/>
        </w:rPr>
        <w:t>The European Medicines Agency has waived the obligation to submit the results of studies with the reference medicinal product containing sitagliptin/metformin hydrochloride combination in all subsets of the paediatric population in type 2 diabetes mellitus (see section 4.2 for information on paediatric use).</w:t>
      </w:r>
    </w:p>
    <w:p w14:paraId="4093011B" w14:textId="77777777" w:rsidR="00094747" w:rsidRPr="003712F0" w:rsidRDefault="00094747" w:rsidP="008C7DB3">
      <w:pPr>
        <w:ind w:left="851"/>
        <w:rPr>
          <w:sz w:val="24"/>
          <w:szCs w:val="24"/>
          <w:lang w:val="en-GB"/>
        </w:rPr>
      </w:pPr>
      <w:r w:rsidRPr="003712F0">
        <w:rPr>
          <w:sz w:val="24"/>
          <w:szCs w:val="24"/>
          <w:lang w:val="en-GB"/>
        </w:rPr>
        <w:t>The safety and efficacy of the addition of sitagliptin in paediatric patients aged 10 to 17 years with type 2 diabetes and inadequate glycaemic control on metformin with or without insulin was assessed in two studies over 54 weeks. The addition of sitagliptin (administered as sitagliptin + metformin or sitagliptin + metformin extended release (XR)) was compared to the addition of placebo to metformin or metformin XR.</w:t>
      </w:r>
    </w:p>
    <w:p w14:paraId="629E384E" w14:textId="05BE8BFA" w:rsidR="00094747" w:rsidRPr="003712F0" w:rsidRDefault="00094747" w:rsidP="008C7DB3">
      <w:pPr>
        <w:ind w:left="851"/>
        <w:rPr>
          <w:sz w:val="24"/>
          <w:szCs w:val="24"/>
          <w:lang w:val="en-GB"/>
        </w:rPr>
      </w:pPr>
      <w:r w:rsidRPr="003712F0">
        <w:rPr>
          <w:sz w:val="24"/>
          <w:szCs w:val="24"/>
          <w:lang w:val="en-GB"/>
        </w:rPr>
        <w:t xml:space="preserve">While superiority of HbA1c reduction was demonstrated for sitagliptin + metformin / sitagliptin + metformin XR over metformin at Week 20 in the pooled analysis of these two studies, results from the individual studies were inconsistent. Furthermore, greater efficacy for sitagliptin + metformin / sitagliptin + metformin XR compared to metformin was not observed at Week 54. Therefore, </w:t>
      </w:r>
      <w:proofErr w:type="spellStart"/>
      <w:r w:rsidR="00AB2CF4">
        <w:rPr>
          <w:sz w:val="24"/>
          <w:szCs w:val="24"/>
          <w:lang w:val="en-GB"/>
        </w:rPr>
        <w:t>Glerova</w:t>
      </w:r>
      <w:proofErr w:type="spellEnd"/>
      <w:r w:rsidRPr="003712F0">
        <w:rPr>
          <w:sz w:val="24"/>
          <w:szCs w:val="24"/>
          <w:lang w:val="en-GB"/>
        </w:rPr>
        <w:t xml:space="preserve"> should not be used in paediatric patients aged 10 to 17 years old because of insufficient efficacy (see section 4.2 for information on paediatric use).</w:t>
      </w:r>
    </w:p>
    <w:p w14:paraId="4611CB1D" w14:textId="17EB5FEB" w:rsidR="00726F3F" w:rsidRDefault="00726F3F">
      <w:pPr>
        <w:rPr>
          <w:sz w:val="24"/>
          <w:szCs w:val="24"/>
          <w:lang w:val="en-GB"/>
        </w:rPr>
      </w:pPr>
      <w:r>
        <w:rPr>
          <w:sz w:val="24"/>
          <w:szCs w:val="24"/>
          <w:lang w:val="en-GB"/>
        </w:rPr>
        <w:br w:type="page"/>
      </w:r>
    </w:p>
    <w:p w14:paraId="3BCB7291" w14:textId="77777777" w:rsidR="007C5D2A" w:rsidRPr="003712F0" w:rsidRDefault="007C5D2A" w:rsidP="003E0341">
      <w:pPr>
        <w:tabs>
          <w:tab w:val="left" w:pos="851"/>
        </w:tabs>
        <w:ind w:left="851"/>
        <w:rPr>
          <w:sz w:val="24"/>
          <w:szCs w:val="24"/>
          <w:lang w:val="en-GB"/>
        </w:rPr>
      </w:pPr>
    </w:p>
    <w:p w14:paraId="33A9EF34" w14:textId="77777777" w:rsidR="007C5D2A" w:rsidRPr="003712F0" w:rsidRDefault="007C5D2A" w:rsidP="007C5D2A">
      <w:pPr>
        <w:tabs>
          <w:tab w:val="left" w:pos="851"/>
        </w:tabs>
        <w:ind w:left="851" w:hanging="851"/>
        <w:rPr>
          <w:b/>
          <w:sz w:val="24"/>
          <w:szCs w:val="24"/>
          <w:lang w:val="en-GB"/>
        </w:rPr>
      </w:pPr>
      <w:r w:rsidRPr="003712F0">
        <w:rPr>
          <w:b/>
          <w:sz w:val="24"/>
          <w:szCs w:val="24"/>
          <w:lang w:val="en-GB"/>
        </w:rPr>
        <w:t>5.2</w:t>
      </w:r>
      <w:r w:rsidRPr="003712F0">
        <w:rPr>
          <w:b/>
          <w:sz w:val="24"/>
          <w:szCs w:val="24"/>
          <w:lang w:val="en-GB"/>
        </w:rPr>
        <w:tab/>
        <w:t>Pharmacokinetic properties</w:t>
      </w:r>
      <w:r w:rsidRPr="003712F0">
        <w:rPr>
          <w:b/>
          <w:sz w:val="24"/>
          <w:szCs w:val="24"/>
          <w:lang w:val="en-GB"/>
        </w:rPr>
        <w:tab/>
      </w:r>
    </w:p>
    <w:p w14:paraId="3A9597BF" w14:textId="77777777" w:rsidR="00726F3F" w:rsidRDefault="00726F3F" w:rsidP="008C7DB3">
      <w:pPr>
        <w:ind w:left="851"/>
        <w:rPr>
          <w:rFonts w:eastAsia="SimSun"/>
          <w:sz w:val="24"/>
          <w:szCs w:val="24"/>
          <w:lang w:val="en-GB" w:eastAsia="en-GB"/>
        </w:rPr>
      </w:pPr>
    </w:p>
    <w:p w14:paraId="645C7DA9" w14:textId="41216E69" w:rsidR="00094747" w:rsidRPr="00726F3F" w:rsidRDefault="00094747" w:rsidP="008C7DB3">
      <w:pPr>
        <w:ind w:left="851"/>
        <w:rPr>
          <w:rFonts w:eastAsia="SimSun"/>
          <w:sz w:val="24"/>
          <w:szCs w:val="24"/>
          <w:u w:val="single"/>
          <w:lang w:val="en-GB" w:eastAsia="en-GB"/>
        </w:rPr>
      </w:pPr>
      <w:r w:rsidRPr="00726F3F">
        <w:rPr>
          <w:rFonts w:eastAsia="SimSun"/>
          <w:sz w:val="24"/>
          <w:szCs w:val="24"/>
          <w:u w:val="single"/>
          <w:lang w:val="en-GB" w:eastAsia="en-GB"/>
        </w:rPr>
        <w:t>Sitagliptin/Metformin</w:t>
      </w:r>
    </w:p>
    <w:p w14:paraId="4B4D9DF3"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A bioequivalence study in healthy subjects demonstrated that the sitagliptin/metformin combination tablets are bioequivalent to co-administration of metformin hydrochloride and sitagliptin phosphate as individual tablets.</w:t>
      </w:r>
    </w:p>
    <w:p w14:paraId="7BB16025" w14:textId="77777777" w:rsidR="00094747" w:rsidRPr="003712F0" w:rsidRDefault="00094747" w:rsidP="008C7DB3">
      <w:pPr>
        <w:ind w:left="851"/>
        <w:rPr>
          <w:rFonts w:eastAsia="SimSun"/>
          <w:sz w:val="24"/>
          <w:szCs w:val="24"/>
          <w:lang w:val="en-GB" w:eastAsia="en-GB"/>
        </w:rPr>
      </w:pPr>
    </w:p>
    <w:p w14:paraId="5EC268B8" w14:textId="53DB8DDD"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The following statements reflect the pharmacokinetic properties of the individual active substances of </w:t>
      </w:r>
      <w:proofErr w:type="spellStart"/>
      <w:r w:rsidR="00AB2CF4">
        <w:rPr>
          <w:rFonts w:eastAsia="SimSun"/>
          <w:sz w:val="24"/>
          <w:szCs w:val="24"/>
          <w:lang w:val="en-GB" w:eastAsia="en-GB"/>
        </w:rPr>
        <w:t>Glerova</w:t>
      </w:r>
      <w:proofErr w:type="spellEnd"/>
      <w:r w:rsidRPr="003712F0">
        <w:rPr>
          <w:rFonts w:eastAsia="SimSun"/>
          <w:sz w:val="24"/>
          <w:szCs w:val="24"/>
          <w:lang w:val="en-GB" w:eastAsia="en-GB"/>
        </w:rPr>
        <w:t>.</w:t>
      </w:r>
    </w:p>
    <w:p w14:paraId="63384FA8" w14:textId="77777777" w:rsidR="00094747" w:rsidRPr="003712F0" w:rsidRDefault="00094747" w:rsidP="008C7DB3">
      <w:pPr>
        <w:ind w:left="851"/>
        <w:rPr>
          <w:rFonts w:eastAsia="SimSun"/>
          <w:sz w:val="24"/>
          <w:szCs w:val="24"/>
          <w:lang w:val="en-GB" w:eastAsia="en-GB"/>
        </w:rPr>
      </w:pPr>
    </w:p>
    <w:p w14:paraId="0254C0B1" w14:textId="77777777" w:rsidR="00094747" w:rsidRPr="00726F3F" w:rsidRDefault="00094747" w:rsidP="008C7DB3">
      <w:pPr>
        <w:ind w:left="851"/>
        <w:rPr>
          <w:rFonts w:eastAsia="SimSun"/>
          <w:sz w:val="24"/>
          <w:szCs w:val="24"/>
          <w:u w:val="single"/>
          <w:lang w:val="en-GB" w:eastAsia="en-GB"/>
        </w:rPr>
      </w:pPr>
      <w:r w:rsidRPr="00726F3F">
        <w:rPr>
          <w:rFonts w:eastAsia="SimSun"/>
          <w:sz w:val="24"/>
          <w:szCs w:val="24"/>
          <w:u w:val="single"/>
          <w:lang w:val="en-GB" w:eastAsia="en-GB"/>
        </w:rPr>
        <w:t>Sitagliptin</w:t>
      </w:r>
    </w:p>
    <w:p w14:paraId="087105EB"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Absorption</w:t>
      </w:r>
    </w:p>
    <w:p w14:paraId="72FCC403" w14:textId="18D68976"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Following oral administration of a 100-mg dose to healthy subjects, sitagliptin was rapidly absorbed, with peak plasma concentrations (median </w:t>
      </w:r>
      <w:proofErr w:type="spellStart"/>
      <w:r w:rsidRPr="003712F0">
        <w:rPr>
          <w:rFonts w:eastAsia="SimSun"/>
          <w:sz w:val="24"/>
          <w:szCs w:val="24"/>
          <w:lang w:val="en-GB" w:eastAsia="en-GB"/>
        </w:rPr>
        <w:t>T</w:t>
      </w:r>
      <w:r w:rsidRPr="00726F3F">
        <w:rPr>
          <w:rFonts w:eastAsia="SimSun"/>
          <w:sz w:val="24"/>
          <w:szCs w:val="24"/>
          <w:vertAlign w:val="subscript"/>
          <w:lang w:val="en-GB" w:eastAsia="en-GB"/>
        </w:rPr>
        <w:t>max</w:t>
      </w:r>
      <w:proofErr w:type="spellEnd"/>
      <w:r w:rsidRPr="003712F0">
        <w:rPr>
          <w:rFonts w:eastAsia="SimSun"/>
          <w:sz w:val="24"/>
          <w:szCs w:val="24"/>
          <w:lang w:val="en-GB" w:eastAsia="en-GB"/>
        </w:rPr>
        <w:t xml:space="preserve">) occurring 1 to 4 hours post-dose, mean plasma AUC of sitagliptin was 8.52 </w:t>
      </w:r>
      <w:r w:rsidR="00726F3F" w:rsidRPr="00726F3F">
        <w:rPr>
          <w:sz w:val="24"/>
          <w:szCs w:val="24"/>
          <w:lang w:val="en-US"/>
        </w:rPr>
        <w:t>µ</w:t>
      </w:r>
      <w:proofErr w:type="spellStart"/>
      <w:r w:rsidRPr="003712F0">
        <w:rPr>
          <w:rFonts w:eastAsia="SimSun"/>
          <w:sz w:val="24"/>
          <w:szCs w:val="24"/>
          <w:lang w:val="en-GB" w:eastAsia="en-GB"/>
        </w:rPr>
        <w:t>M•hr</w:t>
      </w:r>
      <w:proofErr w:type="spellEnd"/>
      <w:r w:rsidRPr="003712F0">
        <w:rPr>
          <w:rFonts w:eastAsia="SimSun"/>
          <w:sz w:val="24"/>
          <w:szCs w:val="24"/>
          <w:lang w:val="en-GB" w:eastAsia="en-GB"/>
        </w:rPr>
        <w:t xml:space="preserve">, </w:t>
      </w:r>
      <w:proofErr w:type="spellStart"/>
      <w:r w:rsidRPr="003712F0">
        <w:rPr>
          <w:rFonts w:eastAsia="SimSun"/>
          <w:sz w:val="24"/>
          <w:szCs w:val="24"/>
          <w:lang w:val="en-GB" w:eastAsia="en-GB"/>
        </w:rPr>
        <w:t>C</w:t>
      </w:r>
      <w:r w:rsidRPr="00726F3F">
        <w:rPr>
          <w:rFonts w:eastAsia="SimSun"/>
          <w:sz w:val="24"/>
          <w:szCs w:val="24"/>
          <w:vertAlign w:val="subscript"/>
          <w:lang w:val="en-GB" w:eastAsia="en-GB"/>
        </w:rPr>
        <w:t>max</w:t>
      </w:r>
      <w:proofErr w:type="spellEnd"/>
      <w:r w:rsidRPr="003712F0">
        <w:rPr>
          <w:rFonts w:eastAsia="SimSun"/>
          <w:sz w:val="24"/>
          <w:szCs w:val="24"/>
          <w:lang w:val="en-GB" w:eastAsia="en-GB"/>
        </w:rPr>
        <w:t xml:space="preserve"> was 950 </w:t>
      </w:r>
      <w:proofErr w:type="spellStart"/>
      <w:r w:rsidRPr="003712F0">
        <w:rPr>
          <w:rFonts w:eastAsia="SimSun"/>
          <w:sz w:val="24"/>
          <w:szCs w:val="24"/>
          <w:lang w:val="en-GB" w:eastAsia="en-GB"/>
        </w:rPr>
        <w:t>nM.</w:t>
      </w:r>
      <w:proofErr w:type="spellEnd"/>
      <w:r w:rsidRPr="003712F0">
        <w:rPr>
          <w:rFonts w:eastAsia="SimSun"/>
          <w:sz w:val="24"/>
          <w:szCs w:val="24"/>
          <w:lang w:val="en-GB" w:eastAsia="en-GB"/>
        </w:rPr>
        <w:t xml:space="preserve"> The absolute bioavailability of sitagliptin is approximately 87 %. Since co-administration of a high-fat meal with sitagliptin had no effect on the pharmacokinetics, sitagliptin may be administered with or without food.</w:t>
      </w:r>
    </w:p>
    <w:p w14:paraId="65F8AE66" w14:textId="77777777" w:rsidR="00094747" w:rsidRPr="003712F0" w:rsidRDefault="00094747" w:rsidP="008C7DB3">
      <w:pPr>
        <w:ind w:left="851"/>
        <w:rPr>
          <w:rFonts w:eastAsia="SimSun"/>
          <w:sz w:val="24"/>
          <w:szCs w:val="24"/>
          <w:lang w:val="en-GB" w:eastAsia="en-GB"/>
        </w:rPr>
      </w:pPr>
    </w:p>
    <w:p w14:paraId="104771C6"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Plasma AUC of sitagliptin increased in a dose-proportional manner. Dose-proportionality was not established for </w:t>
      </w:r>
      <w:proofErr w:type="spellStart"/>
      <w:r w:rsidRPr="003712F0">
        <w:rPr>
          <w:rFonts w:eastAsia="SimSun"/>
          <w:sz w:val="24"/>
          <w:szCs w:val="24"/>
          <w:lang w:val="en-GB" w:eastAsia="en-GB"/>
        </w:rPr>
        <w:t>C</w:t>
      </w:r>
      <w:r w:rsidRPr="00726F3F">
        <w:rPr>
          <w:rFonts w:eastAsia="SimSun"/>
          <w:sz w:val="24"/>
          <w:szCs w:val="24"/>
          <w:vertAlign w:val="subscript"/>
          <w:lang w:val="en-GB" w:eastAsia="en-GB"/>
        </w:rPr>
        <w:t>max</w:t>
      </w:r>
      <w:proofErr w:type="spellEnd"/>
      <w:r w:rsidRPr="003712F0">
        <w:rPr>
          <w:rFonts w:eastAsia="SimSun"/>
          <w:sz w:val="24"/>
          <w:szCs w:val="24"/>
          <w:lang w:val="en-GB" w:eastAsia="en-GB"/>
        </w:rPr>
        <w:t xml:space="preserve"> and C</w:t>
      </w:r>
      <w:r w:rsidRPr="00726F3F">
        <w:rPr>
          <w:rFonts w:eastAsia="SimSun"/>
          <w:sz w:val="24"/>
          <w:szCs w:val="24"/>
          <w:vertAlign w:val="subscript"/>
          <w:lang w:val="en-GB" w:eastAsia="en-GB"/>
        </w:rPr>
        <w:t>24hr</w:t>
      </w:r>
      <w:r w:rsidRPr="003712F0">
        <w:rPr>
          <w:rFonts w:eastAsia="SimSun"/>
          <w:sz w:val="24"/>
          <w:szCs w:val="24"/>
          <w:lang w:val="en-GB" w:eastAsia="en-GB"/>
        </w:rPr>
        <w:t xml:space="preserve"> (</w:t>
      </w:r>
      <w:proofErr w:type="spellStart"/>
      <w:r w:rsidRPr="003712F0">
        <w:rPr>
          <w:rFonts w:eastAsia="SimSun"/>
          <w:sz w:val="24"/>
          <w:szCs w:val="24"/>
          <w:lang w:val="en-GB" w:eastAsia="en-GB"/>
        </w:rPr>
        <w:t>C</w:t>
      </w:r>
      <w:r w:rsidRPr="00726F3F">
        <w:rPr>
          <w:rFonts w:eastAsia="SimSun"/>
          <w:sz w:val="24"/>
          <w:szCs w:val="24"/>
          <w:vertAlign w:val="subscript"/>
          <w:lang w:val="en-GB" w:eastAsia="en-GB"/>
        </w:rPr>
        <w:t>max</w:t>
      </w:r>
      <w:proofErr w:type="spellEnd"/>
      <w:r w:rsidRPr="003712F0">
        <w:rPr>
          <w:rFonts w:eastAsia="SimSun"/>
          <w:sz w:val="24"/>
          <w:szCs w:val="24"/>
          <w:lang w:val="en-GB" w:eastAsia="en-GB"/>
        </w:rPr>
        <w:t xml:space="preserve"> increased in a greater than dose-proportional manner and C</w:t>
      </w:r>
      <w:r w:rsidRPr="00726F3F">
        <w:rPr>
          <w:rFonts w:eastAsia="SimSun"/>
          <w:sz w:val="24"/>
          <w:szCs w:val="24"/>
          <w:vertAlign w:val="subscript"/>
          <w:lang w:val="en-GB" w:eastAsia="en-GB"/>
        </w:rPr>
        <w:t>24hr</w:t>
      </w:r>
      <w:r w:rsidRPr="003712F0">
        <w:rPr>
          <w:rFonts w:eastAsia="SimSun"/>
          <w:sz w:val="24"/>
          <w:szCs w:val="24"/>
          <w:lang w:val="en-GB" w:eastAsia="en-GB"/>
        </w:rPr>
        <w:t xml:space="preserve"> increased in a less than dose-proportional manner).</w:t>
      </w:r>
    </w:p>
    <w:p w14:paraId="1FE46FEE" w14:textId="77777777" w:rsidR="00094747" w:rsidRPr="003712F0" w:rsidRDefault="00094747" w:rsidP="008C7DB3">
      <w:pPr>
        <w:ind w:left="851"/>
        <w:rPr>
          <w:rFonts w:eastAsia="SimSun"/>
          <w:i/>
          <w:iCs/>
          <w:sz w:val="24"/>
          <w:szCs w:val="24"/>
          <w:lang w:val="en-GB" w:eastAsia="en-GB"/>
        </w:rPr>
      </w:pPr>
    </w:p>
    <w:p w14:paraId="19A6BD61"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Distribution</w:t>
      </w:r>
    </w:p>
    <w:p w14:paraId="2CBBE365"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The mean volume of distribution at steady state following a single 100-mg intravenous dose of sitagliptin to healthy subjects is approximately 198 litres. The fraction of sitagliptin reversibly bound to plasma proteins is low (38 %).</w:t>
      </w:r>
    </w:p>
    <w:p w14:paraId="3F0F5329" w14:textId="77777777" w:rsidR="00094747" w:rsidRPr="003712F0" w:rsidRDefault="00094747" w:rsidP="008C7DB3">
      <w:pPr>
        <w:ind w:left="851"/>
        <w:rPr>
          <w:rFonts w:eastAsia="SimSun"/>
          <w:i/>
          <w:iCs/>
          <w:sz w:val="24"/>
          <w:szCs w:val="24"/>
          <w:lang w:val="en-GB" w:eastAsia="en-GB"/>
        </w:rPr>
      </w:pPr>
    </w:p>
    <w:p w14:paraId="49F631F2"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Biotransformation</w:t>
      </w:r>
    </w:p>
    <w:p w14:paraId="04E6F9E4"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Sitagliptin is primarily eliminated unchanged in urine, and metabolism is a minor pathway. Approximately 79 % of sitagliptin is excreted unchanged in the urine.</w:t>
      </w:r>
    </w:p>
    <w:p w14:paraId="2C0D65AA" w14:textId="77777777" w:rsidR="00094747" w:rsidRPr="003712F0" w:rsidRDefault="00094747" w:rsidP="008C7DB3">
      <w:pPr>
        <w:ind w:left="851"/>
        <w:rPr>
          <w:rFonts w:eastAsia="SimSun"/>
          <w:sz w:val="24"/>
          <w:szCs w:val="24"/>
          <w:lang w:val="en-GB" w:eastAsia="en-GB"/>
        </w:rPr>
      </w:pPr>
    </w:p>
    <w:p w14:paraId="1901E953"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Following a [</w:t>
      </w:r>
      <w:r w:rsidRPr="003712F0">
        <w:rPr>
          <w:rFonts w:eastAsia="SimSun"/>
          <w:sz w:val="24"/>
          <w:szCs w:val="24"/>
          <w:vertAlign w:val="superscript"/>
          <w:lang w:val="en-GB" w:eastAsia="en-GB"/>
        </w:rPr>
        <w:t>14</w:t>
      </w:r>
      <w:proofErr w:type="gramStart"/>
      <w:r w:rsidRPr="003712F0">
        <w:rPr>
          <w:rFonts w:eastAsia="SimSun"/>
          <w:sz w:val="24"/>
          <w:szCs w:val="24"/>
          <w:lang w:val="en-GB" w:eastAsia="en-GB"/>
        </w:rPr>
        <w:t>C]sitagliptin</w:t>
      </w:r>
      <w:proofErr w:type="gramEnd"/>
      <w:r w:rsidRPr="003712F0">
        <w:rPr>
          <w:rFonts w:eastAsia="SimSun"/>
          <w:sz w:val="24"/>
          <w:szCs w:val="24"/>
          <w:lang w:val="en-GB" w:eastAsia="en-GB"/>
        </w:rPr>
        <w:t xml:space="preserve"> oral dose, approximately 16 % of the radioactivity was excreted as metabolites of sitagliptin. Six metabolites were detected at trace levels and are not expected to contribute to the plasma DPP-4 inhibitory activity of sitagliptin. </w:t>
      </w:r>
      <w:r w:rsidRPr="003712F0">
        <w:rPr>
          <w:rFonts w:eastAsia="SimSun"/>
          <w:i/>
          <w:iCs/>
          <w:sz w:val="24"/>
          <w:szCs w:val="24"/>
          <w:lang w:val="en-GB" w:eastAsia="en-GB"/>
        </w:rPr>
        <w:t xml:space="preserve">In vitro </w:t>
      </w:r>
      <w:r w:rsidRPr="003712F0">
        <w:rPr>
          <w:rFonts w:eastAsia="SimSun"/>
          <w:sz w:val="24"/>
          <w:szCs w:val="24"/>
          <w:lang w:val="en-GB" w:eastAsia="en-GB"/>
        </w:rPr>
        <w:t>studies indicated that the primary enzyme responsible for the limited metabolism of sitagliptin was CYP3A4, with contribution from CYP2C8.</w:t>
      </w:r>
    </w:p>
    <w:p w14:paraId="7960E253" w14:textId="77777777" w:rsidR="00094747" w:rsidRPr="003712F0" w:rsidRDefault="00094747" w:rsidP="008C7DB3">
      <w:pPr>
        <w:ind w:left="851"/>
        <w:rPr>
          <w:rFonts w:eastAsia="SimSun"/>
          <w:i/>
          <w:iCs/>
          <w:sz w:val="24"/>
          <w:szCs w:val="24"/>
          <w:lang w:val="en-GB" w:eastAsia="en-GB"/>
        </w:rPr>
      </w:pPr>
    </w:p>
    <w:p w14:paraId="14D78DCE" w14:textId="77777777" w:rsidR="00094747" w:rsidRPr="003712F0" w:rsidRDefault="00094747" w:rsidP="008C7DB3">
      <w:pPr>
        <w:ind w:left="851"/>
        <w:rPr>
          <w:rFonts w:eastAsia="SimSun"/>
          <w:sz w:val="24"/>
          <w:szCs w:val="24"/>
          <w:lang w:val="en-GB" w:eastAsia="en-GB"/>
        </w:rPr>
      </w:pPr>
      <w:r w:rsidRPr="003712F0">
        <w:rPr>
          <w:rFonts w:eastAsia="SimSun"/>
          <w:i/>
          <w:iCs/>
          <w:sz w:val="24"/>
          <w:szCs w:val="24"/>
          <w:lang w:val="en-GB" w:eastAsia="en-GB"/>
        </w:rPr>
        <w:t xml:space="preserve">In vitro </w:t>
      </w:r>
      <w:r w:rsidRPr="003712F0">
        <w:rPr>
          <w:rFonts w:eastAsia="SimSun"/>
          <w:sz w:val="24"/>
          <w:szCs w:val="24"/>
          <w:lang w:val="en-GB" w:eastAsia="en-GB"/>
        </w:rPr>
        <w:t>data showed that sitagliptin is not an inhibitor of CYP isoenzymes CYP3A4, 2C8, 2C9, 2D6, 1A2, 2C19 or 2B6, and is not an inducer of CYP3A4 and CYP1A2.</w:t>
      </w:r>
    </w:p>
    <w:p w14:paraId="2C67D0DC" w14:textId="77777777" w:rsidR="00094747" w:rsidRPr="003712F0" w:rsidRDefault="00094747" w:rsidP="008C7DB3">
      <w:pPr>
        <w:ind w:left="851"/>
        <w:rPr>
          <w:rFonts w:eastAsia="SimSun"/>
          <w:i/>
          <w:iCs/>
          <w:sz w:val="24"/>
          <w:szCs w:val="24"/>
          <w:lang w:val="en-GB" w:eastAsia="en-GB"/>
        </w:rPr>
      </w:pPr>
    </w:p>
    <w:p w14:paraId="25C4442B"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Elimination</w:t>
      </w:r>
    </w:p>
    <w:p w14:paraId="7577DA98"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Following administration of an oral [</w:t>
      </w:r>
      <w:r w:rsidRPr="003712F0">
        <w:rPr>
          <w:rFonts w:eastAsia="SimSun"/>
          <w:sz w:val="24"/>
          <w:szCs w:val="24"/>
          <w:vertAlign w:val="superscript"/>
          <w:lang w:val="en-GB" w:eastAsia="en-GB"/>
        </w:rPr>
        <w:t>14</w:t>
      </w:r>
      <w:proofErr w:type="gramStart"/>
      <w:r w:rsidRPr="003712F0">
        <w:rPr>
          <w:rFonts w:eastAsia="SimSun"/>
          <w:sz w:val="24"/>
          <w:szCs w:val="24"/>
          <w:lang w:val="en-GB" w:eastAsia="en-GB"/>
        </w:rPr>
        <w:t>C]sitagliptin</w:t>
      </w:r>
      <w:proofErr w:type="gramEnd"/>
      <w:r w:rsidRPr="003712F0">
        <w:rPr>
          <w:rFonts w:eastAsia="SimSun"/>
          <w:sz w:val="24"/>
          <w:szCs w:val="24"/>
          <w:lang w:val="en-GB" w:eastAsia="en-GB"/>
        </w:rPr>
        <w:t xml:space="preserve"> dose to healthy subjects, approximately 100 % of the administered radioactivity was eliminated in faeces (13 %) or urine (87 %) within one week of dosing. The apparent terminal t½ following a 100-mg oral dose of sitagliptin was approximately 12.4 hours. Sitagliptin accumulates only minimally with multiple doses. The renal clearance was approximately 350 mL/min.</w:t>
      </w:r>
    </w:p>
    <w:p w14:paraId="1209E32C" w14:textId="77777777" w:rsidR="00094747" w:rsidRPr="003712F0" w:rsidRDefault="00094747" w:rsidP="008C7DB3">
      <w:pPr>
        <w:ind w:left="851"/>
        <w:rPr>
          <w:rFonts w:eastAsia="SimSun"/>
          <w:sz w:val="24"/>
          <w:szCs w:val="24"/>
          <w:lang w:val="en-GB" w:eastAsia="en-GB"/>
        </w:rPr>
      </w:pPr>
    </w:p>
    <w:p w14:paraId="205CBC78" w14:textId="205D18D8"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Elimination of sitagliptin occurs primarily via renal excretion and involves active tubular secretion. Sitagliptin is a substrate for human organic anion transporter-3 (hOAT-3), which may be involved in the renal elimination of sitagliptin. The clinical relevance of hOAT-3 in sitagliptin transport has not been established. Sitagliptin is also a substrate of p-glycoprotein, which may also be involved in mediating the renal elimination of sitagliptin. However, ciclosporin, a p-glycoprotein inhibitor, did not reduce the renal clearance of sitagliptin. Sitagliptin is not a substrate for OCT2 or OAT1 or PEPT1/2 transporters. </w:t>
      </w:r>
      <w:r w:rsidRPr="003712F0">
        <w:rPr>
          <w:rFonts w:eastAsia="SimSun"/>
          <w:i/>
          <w:iCs/>
          <w:sz w:val="24"/>
          <w:szCs w:val="24"/>
          <w:lang w:val="en-GB" w:eastAsia="en-GB"/>
        </w:rPr>
        <w:t>In vitro</w:t>
      </w:r>
      <w:r w:rsidRPr="003712F0">
        <w:rPr>
          <w:rFonts w:eastAsia="SimSun"/>
          <w:sz w:val="24"/>
          <w:szCs w:val="24"/>
          <w:lang w:val="en-GB" w:eastAsia="en-GB"/>
        </w:rPr>
        <w:t xml:space="preserve">, sitagliptin did not inhibit OAT3 (IC50=160 </w:t>
      </w:r>
      <w:r w:rsidR="00726F3F" w:rsidRPr="00726F3F">
        <w:rPr>
          <w:sz w:val="24"/>
          <w:szCs w:val="24"/>
          <w:lang w:val="en-US"/>
        </w:rPr>
        <w:t>µ</w:t>
      </w:r>
      <w:r w:rsidRPr="003712F0">
        <w:rPr>
          <w:rFonts w:eastAsia="SimSun"/>
          <w:sz w:val="24"/>
          <w:szCs w:val="24"/>
          <w:lang w:val="en-GB" w:eastAsia="en-GB"/>
        </w:rPr>
        <w:t xml:space="preserve">M) or p-glycoprotein (up to 250 </w:t>
      </w:r>
      <w:r w:rsidR="00726F3F" w:rsidRPr="00726F3F">
        <w:rPr>
          <w:sz w:val="24"/>
          <w:szCs w:val="24"/>
          <w:lang w:val="en-US"/>
        </w:rPr>
        <w:t>µ</w:t>
      </w:r>
      <w:r w:rsidRPr="003712F0">
        <w:rPr>
          <w:rFonts w:eastAsia="SimSun"/>
          <w:sz w:val="24"/>
          <w:szCs w:val="24"/>
          <w:lang w:val="en-GB" w:eastAsia="en-GB"/>
        </w:rPr>
        <w:t>M) mediated transport at therapeutically relevant plasma concentrations. In a clinical study sitagliptin had a small effect on plasma digoxin concentrations indicating that sitagliptin may be a mild inhibitor of p-glycoprotein.</w:t>
      </w:r>
    </w:p>
    <w:p w14:paraId="20B704E3" w14:textId="77777777" w:rsidR="00094747" w:rsidRPr="003712F0" w:rsidRDefault="00094747" w:rsidP="008C7DB3">
      <w:pPr>
        <w:ind w:left="851"/>
        <w:rPr>
          <w:rFonts w:eastAsia="SimSun"/>
          <w:i/>
          <w:iCs/>
          <w:sz w:val="24"/>
          <w:szCs w:val="24"/>
          <w:lang w:val="en-GB" w:eastAsia="en-GB"/>
        </w:rPr>
      </w:pPr>
    </w:p>
    <w:p w14:paraId="28434245"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Characteristics in patients</w:t>
      </w:r>
    </w:p>
    <w:p w14:paraId="375227AF"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The pharmacokinetics of sitagliptin were generally similar in healthy subjects and in patients with type 2 diabetes.</w:t>
      </w:r>
    </w:p>
    <w:p w14:paraId="65C93D83" w14:textId="77777777" w:rsidR="00094747" w:rsidRPr="003712F0" w:rsidRDefault="00094747" w:rsidP="008C7DB3">
      <w:pPr>
        <w:ind w:left="851"/>
        <w:rPr>
          <w:rFonts w:eastAsia="SimSun"/>
          <w:i/>
          <w:iCs/>
          <w:sz w:val="24"/>
          <w:szCs w:val="24"/>
          <w:lang w:val="en-GB" w:eastAsia="en-GB"/>
        </w:rPr>
      </w:pPr>
    </w:p>
    <w:p w14:paraId="7449BBBB"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Renal impairment</w:t>
      </w:r>
    </w:p>
    <w:p w14:paraId="4BB3D969"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A single-dose, open-label study was conducted to evaluate the pharmacokinetics of a reduced dose of sitagliptin (50 mg) in patients with varying degrees of chronic renal impairment compared to normal healthy control subjects. The study included patients with mild, moderate, and severe renal impairment, as well as patients with ESRD on haemodialysis. In addition, the effects of renal impairment on sitagliptin pharmacokinetics in patients with type 2 diabetes and mild, moderate, or severe renal impairment (including ESRD) were assessed using population pharmacokinetic analyses.</w:t>
      </w:r>
    </w:p>
    <w:p w14:paraId="4DA88150" w14:textId="77777777" w:rsidR="00094747" w:rsidRPr="003712F0" w:rsidRDefault="00094747" w:rsidP="008C7DB3">
      <w:pPr>
        <w:ind w:left="851"/>
        <w:rPr>
          <w:rFonts w:eastAsia="SimSun"/>
          <w:sz w:val="24"/>
          <w:szCs w:val="24"/>
          <w:lang w:val="en-GB" w:eastAsia="en-GB"/>
        </w:rPr>
      </w:pPr>
    </w:p>
    <w:p w14:paraId="5475B0AE" w14:textId="7D4CDCE0" w:rsidR="00094747" w:rsidRPr="003712F0" w:rsidRDefault="00094747" w:rsidP="008C7DB3">
      <w:pPr>
        <w:ind w:left="851"/>
        <w:rPr>
          <w:iCs/>
          <w:sz w:val="24"/>
          <w:szCs w:val="24"/>
          <w:lang w:val="en-GB" w:eastAsia="en-US"/>
        </w:rPr>
      </w:pPr>
      <w:r w:rsidRPr="003712F0">
        <w:rPr>
          <w:rFonts w:eastAsia="SimSun"/>
          <w:sz w:val="24"/>
          <w:szCs w:val="24"/>
          <w:lang w:val="en-GB" w:eastAsia="en-GB"/>
        </w:rPr>
        <w:t>Compared to normal healthy control subjects, plasma AUC of sitagliptin was increased by approximately 1.2-fold and 1.6-fold in patients with mild renal impairment (GFR ≥ 60 to &lt;</w:t>
      </w:r>
      <w:r w:rsidR="006550A8">
        <w:rPr>
          <w:rFonts w:eastAsia="SimSun"/>
          <w:sz w:val="24"/>
          <w:szCs w:val="24"/>
          <w:lang w:val="en-GB" w:eastAsia="en-GB"/>
        </w:rPr>
        <w:t> </w:t>
      </w:r>
      <w:r w:rsidRPr="003712F0">
        <w:rPr>
          <w:rFonts w:eastAsia="SimSun"/>
          <w:sz w:val="24"/>
          <w:szCs w:val="24"/>
          <w:lang w:val="en-GB" w:eastAsia="en-GB"/>
        </w:rPr>
        <w:t>90 mL/min) and patients with moderate renal impairment (GFR ≥ 45 to &lt; 60 mL/min), respectively.</w:t>
      </w:r>
    </w:p>
    <w:p w14:paraId="4207DC27" w14:textId="77777777" w:rsidR="00094747" w:rsidRPr="003712F0" w:rsidRDefault="00094747" w:rsidP="008C7DB3">
      <w:pPr>
        <w:ind w:left="851"/>
        <w:rPr>
          <w:iCs/>
          <w:sz w:val="24"/>
          <w:szCs w:val="24"/>
          <w:lang w:val="en-GB"/>
        </w:rPr>
      </w:pPr>
    </w:p>
    <w:p w14:paraId="42958EF2" w14:textId="71295AA4"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Because increases of this magnitude are not clinically relevant, dose adjustment in these patients is not necessary.</w:t>
      </w:r>
    </w:p>
    <w:p w14:paraId="7E99BE64" w14:textId="77777777" w:rsidR="00094747" w:rsidRPr="003712F0" w:rsidRDefault="00094747" w:rsidP="008C7DB3">
      <w:pPr>
        <w:ind w:left="851"/>
        <w:rPr>
          <w:rFonts w:eastAsia="SimSun"/>
          <w:sz w:val="24"/>
          <w:szCs w:val="24"/>
          <w:lang w:val="en-GB" w:eastAsia="en-GB"/>
        </w:rPr>
      </w:pPr>
    </w:p>
    <w:p w14:paraId="6B29F26B"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Plasma AUC of sitagliptin was increased approximately 2-fold in patients with moderate renal impairment (GFR ≥ 30 to &lt; 45 mL/min), and approximately 4-fold in patients with severe renal impairment (GFR &lt; 30 mL/min), including patients with ESRD on haemodialysis. Sitagliptin was modestly removed by haemodialysis (13.5 % over a 3- to 4-hour haemodialysis session starting 4 hours post-dose).</w:t>
      </w:r>
    </w:p>
    <w:p w14:paraId="4345E8E2" w14:textId="77777777" w:rsidR="00094747" w:rsidRPr="003712F0" w:rsidRDefault="00094747" w:rsidP="008C7DB3">
      <w:pPr>
        <w:ind w:left="851"/>
        <w:rPr>
          <w:rFonts w:eastAsia="SimSun"/>
          <w:sz w:val="24"/>
          <w:szCs w:val="24"/>
          <w:lang w:val="en-GB" w:eastAsia="en-GB"/>
        </w:rPr>
      </w:pPr>
    </w:p>
    <w:p w14:paraId="6C04033C"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Hepatic impairment</w:t>
      </w:r>
    </w:p>
    <w:p w14:paraId="70FD0C88" w14:textId="323A82E2"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No dose adjustment for sitagliptin is necessary for patients with mild or moderate hepatic impairment (Child-Pugh score </w:t>
      </w:r>
      <w:r w:rsidR="00726F3F" w:rsidRPr="00726F3F">
        <w:rPr>
          <w:sz w:val="24"/>
          <w:szCs w:val="24"/>
          <w:lang w:val="en-US"/>
        </w:rPr>
        <w:t>≤</w:t>
      </w:r>
      <w:r w:rsidR="00726F3F">
        <w:rPr>
          <w:sz w:val="24"/>
          <w:szCs w:val="24"/>
          <w:lang w:val="en-US"/>
        </w:rPr>
        <w:t xml:space="preserve"> </w:t>
      </w:r>
      <w:r w:rsidRPr="003712F0">
        <w:rPr>
          <w:rFonts w:eastAsia="SimSun"/>
          <w:sz w:val="24"/>
          <w:szCs w:val="24"/>
          <w:lang w:val="en-GB" w:eastAsia="en-GB"/>
        </w:rPr>
        <w:t>9). There is no clinical experience in patients with severe hepatic impairment (Child-Pugh score &gt; 9). However, because sitagliptin is primarily renally eliminated, severe hepatic impairment is not expected to affect the pharmacokinetics of sitagliptin.</w:t>
      </w:r>
    </w:p>
    <w:p w14:paraId="36D6A170" w14:textId="77777777" w:rsidR="00094747" w:rsidRPr="003712F0" w:rsidRDefault="00094747" w:rsidP="008C7DB3">
      <w:pPr>
        <w:ind w:left="851"/>
        <w:rPr>
          <w:rFonts w:eastAsia="SimSun"/>
          <w:sz w:val="24"/>
          <w:szCs w:val="24"/>
          <w:lang w:val="en-GB" w:eastAsia="en-GB"/>
        </w:rPr>
      </w:pPr>
    </w:p>
    <w:p w14:paraId="62FC0C0B"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Elderly</w:t>
      </w:r>
    </w:p>
    <w:p w14:paraId="7A66F156"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No dose adjustment is required based on age. Age did not have a clinically meaningful impact on the pharmacokinetics of sitagliptin based on a population pharmacokinetic analysis of Phase I and Phase II data. Elderly subjects (65 to 80 years) had approximately 19 % higher plasma concentrations of sitagliptin compared to younger subjects.</w:t>
      </w:r>
    </w:p>
    <w:p w14:paraId="5A456D4C" w14:textId="09BBF1F2" w:rsidR="00726F3F" w:rsidRDefault="00726F3F">
      <w:pPr>
        <w:rPr>
          <w:rFonts w:eastAsia="SimSun"/>
          <w:sz w:val="24"/>
          <w:szCs w:val="24"/>
          <w:lang w:val="en-GB" w:eastAsia="en-GB"/>
        </w:rPr>
      </w:pPr>
      <w:r>
        <w:rPr>
          <w:rFonts w:eastAsia="SimSun"/>
          <w:sz w:val="24"/>
          <w:szCs w:val="24"/>
          <w:lang w:val="en-GB" w:eastAsia="en-GB"/>
        </w:rPr>
        <w:br w:type="page"/>
      </w:r>
    </w:p>
    <w:p w14:paraId="0A3D7C3A" w14:textId="77777777" w:rsidR="00094747" w:rsidRPr="003712F0" w:rsidRDefault="00094747" w:rsidP="008C7DB3">
      <w:pPr>
        <w:ind w:left="851"/>
        <w:rPr>
          <w:rFonts w:eastAsia="SimSun"/>
          <w:sz w:val="24"/>
          <w:szCs w:val="24"/>
          <w:lang w:val="en-GB" w:eastAsia="en-GB"/>
        </w:rPr>
      </w:pPr>
    </w:p>
    <w:p w14:paraId="347EDC98"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Paediatric population</w:t>
      </w:r>
    </w:p>
    <w:p w14:paraId="01E180D9"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The pharmacokinetics of sitagliptin (single dose of 50 mg, 100 mg or 200 mg) were investigated in paediatric patients (10 to 17 years of age) with type 2 diabetes. In this population, the dose adjusted AUC of sitagliptin in plasma was approximately 18 % lower compared to adult patients with type 2 diabetes for a 100 mg dose. No studies with sitagliptin have been performed in paediatric patients </w:t>
      </w:r>
      <w:r w:rsidRPr="003712F0">
        <w:rPr>
          <w:rFonts w:eastAsia="SimSun"/>
          <w:sz w:val="24"/>
          <w:szCs w:val="24"/>
          <w:lang w:val="en-GB" w:eastAsia="en-GB"/>
        </w:rPr>
        <w:sym w:font="Symbol" w:char="F03C"/>
      </w:r>
      <w:r w:rsidRPr="003712F0">
        <w:rPr>
          <w:rFonts w:eastAsia="SimSun"/>
          <w:sz w:val="24"/>
          <w:szCs w:val="24"/>
          <w:lang w:val="en-GB" w:eastAsia="en-GB"/>
        </w:rPr>
        <w:t>10 years of age.</w:t>
      </w:r>
    </w:p>
    <w:p w14:paraId="4318BF34" w14:textId="77777777" w:rsidR="00094747" w:rsidRPr="003712F0" w:rsidRDefault="00094747" w:rsidP="008C7DB3">
      <w:pPr>
        <w:ind w:left="851"/>
        <w:rPr>
          <w:rFonts w:eastAsia="SimSun"/>
          <w:sz w:val="24"/>
          <w:szCs w:val="24"/>
          <w:lang w:val="en-GB" w:eastAsia="en-GB"/>
        </w:rPr>
      </w:pPr>
    </w:p>
    <w:p w14:paraId="276BF47A"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Other patient characteristics</w:t>
      </w:r>
    </w:p>
    <w:p w14:paraId="738EBAD8"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No dose adjustment is necessary based on gender, race, or body mass index (BMI). These characteristics had no clinically meaningful effect on the pharmacokinetics of sitagliptin based on a composite analysis of Phase I pharmacokinetic data and on a population pharmacokinetic analysis of Phase I and Phase II data.</w:t>
      </w:r>
    </w:p>
    <w:p w14:paraId="45A2D818" w14:textId="77777777" w:rsidR="00094747" w:rsidRPr="003712F0" w:rsidRDefault="00094747" w:rsidP="008C7DB3">
      <w:pPr>
        <w:ind w:left="851"/>
        <w:rPr>
          <w:rFonts w:eastAsia="SimSun"/>
          <w:sz w:val="24"/>
          <w:szCs w:val="24"/>
          <w:lang w:val="en-GB" w:eastAsia="en-GB"/>
        </w:rPr>
      </w:pPr>
    </w:p>
    <w:p w14:paraId="1348F2A7" w14:textId="77777777" w:rsidR="00094747" w:rsidRPr="00726F3F" w:rsidRDefault="00094747" w:rsidP="008C7DB3">
      <w:pPr>
        <w:ind w:left="851"/>
        <w:rPr>
          <w:rFonts w:eastAsia="SimSun"/>
          <w:sz w:val="24"/>
          <w:szCs w:val="24"/>
          <w:u w:val="single"/>
          <w:lang w:val="en-GB" w:eastAsia="en-GB"/>
        </w:rPr>
      </w:pPr>
      <w:r w:rsidRPr="00726F3F">
        <w:rPr>
          <w:rFonts w:eastAsia="SimSun"/>
          <w:sz w:val="24"/>
          <w:szCs w:val="24"/>
          <w:u w:val="single"/>
          <w:lang w:val="en-GB" w:eastAsia="en-GB"/>
        </w:rPr>
        <w:t>Metformin</w:t>
      </w:r>
    </w:p>
    <w:p w14:paraId="7091B3A7"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Absorption</w:t>
      </w:r>
    </w:p>
    <w:p w14:paraId="20A5F658"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After an oral dose of metformin, </w:t>
      </w:r>
      <w:proofErr w:type="spellStart"/>
      <w:r w:rsidRPr="003712F0">
        <w:rPr>
          <w:rFonts w:eastAsia="SimSun"/>
          <w:sz w:val="24"/>
          <w:szCs w:val="24"/>
          <w:lang w:val="en-GB" w:eastAsia="en-GB"/>
        </w:rPr>
        <w:t>T</w:t>
      </w:r>
      <w:r w:rsidRPr="00726F3F">
        <w:rPr>
          <w:rFonts w:eastAsia="SimSun"/>
          <w:sz w:val="24"/>
          <w:szCs w:val="24"/>
          <w:vertAlign w:val="subscript"/>
          <w:lang w:val="en-GB" w:eastAsia="en-GB"/>
        </w:rPr>
        <w:t>max</w:t>
      </w:r>
      <w:proofErr w:type="spellEnd"/>
      <w:r w:rsidRPr="003712F0">
        <w:rPr>
          <w:rFonts w:eastAsia="SimSun"/>
          <w:sz w:val="24"/>
          <w:szCs w:val="24"/>
          <w:lang w:val="en-GB" w:eastAsia="en-GB"/>
        </w:rPr>
        <w:t xml:space="preserve"> is reached in 2.5 h. Absolute bioavailability of a 500 mg metformin tablet is approximately 50-60 % in healthy subjects. After an oral dose, the non-absorbed fraction recovered in faeces was 20-30 %.</w:t>
      </w:r>
    </w:p>
    <w:p w14:paraId="19E85E5F" w14:textId="77777777" w:rsidR="00094747" w:rsidRPr="003712F0" w:rsidRDefault="00094747" w:rsidP="008C7DB3">
      <w:pPr>
        <w:ind w:left="851"/>
        <w:rPr>
          <w:rFonts w:eastAsia="SimSun"/>
          <w:sz w:val="24"/>
          <w:szCs w:val="24"/>
          <w:lang w:val="en-GB" w:eastAsia="en-GB"/>
        </w:rPr>
      </w:pPr>
    </w:p>
    <w:p w14:paraId="0279122C" w14:textId="3856C4F5"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After oral administration, metformin absorption is saturable and incomplete. It is assumed that the pharmacokinetics of metformin absorption is non-linear. At the usual metformin doses and dosing schedules, steady state plasma concentrations are reached within 24-48 h and are generally less than 1 </w:t>
      </w:r>
      <w:proofErr w:type="spellStart"/>
      <w:r w:rsidRPr="003712F0">
        <w:rPr>
          <w:rFonts w:eastAsia="SimSun"/>
          <w:sz w:val="24"/>
          <w:szCs w:val="24"/>
          <w:lang w:val="en-GB" w:eastAsia="en-GB"/>
        </w:rPr>
        <w:t>μg</w:t>
      </w:r>
      <w:proofErr w:type="spellEnd"/>
      <w:r w:rsidRPr="003712F0">
        <w:rPr>
          <w:rFonts w:eastAsia="SimSun"/>
          <w:sz w:val="24"/>
          <w:szCs w:val="24"/>
          <w:lang w:val="en-GB" w:eastAsia="en-GB"/>
        </w:rPr>
        <w:t>/</w:t>
      </w:r>
      <w:proofErr w:type="spellStart"/>
      <w:r w:rsidRPr="003712F0">
        <w:rPr>
          <w:rFonts w:eastAsia="SimSun"/>
          <w:sz w:val="24"/>
          <w:szCs w:val="24"/>
          <w:lang w:val="en-GB" w:eastAsia="en-GB"/>
        </w:rPr>
        <w:t>mL.</w:t>
      </w:r>
      <w:proofErr w:type="spellEnd"/>
      <w:r w:rsidRPr="003712F0">
        <w:rPr>
          <w:rFonts w:eastAsia="SimSun"/>
          <w:sz w:val="24"/>
          <w:szCs w:val="24"/>
          <w:lang w:val="en-GB" w:eastAsia="en-GB"/>
        </w:rPr>
        <w:t xml:space="preserve"> In controlled clinical </w:t>
      </w:r>
      <w:r w:rsidR="006B4708">
        <w:rPr>
          <w:rFonts w:eastAsia="SimSun"/>
          <w:sz w:val="24"/>
          <w:szCs w:val="24"/>
          <w:lang w:val="en-GB" w:eastAsia="en-GB"/>
        </w:rPr>
        <w:t>studies</w:t>
      </w:r>
      <w:r w:rsidRPr="003712F0">
        <w:rPr>
          <w:rFonts w:eastAsia="SimSun"/>
          <w:sz w:val="24"/>
          <w:szCs w:val="24"/>
          <w:lang w:val="en-GB" w:eastAsia="en-GB"/>
        </w:rPr>
        <w:t>, maximum metformin plasma levels (</w:t>
      </w:r>
      <w:proofErr w:type="spellStart"/>
      <w:r w:rsidRPr="003712F0">
        <w:rPr>
          <w:rFonts w:eastAsia="SimSun"/>
          <w:sz w:val="24"/>
          <w:szCs w:val="24"/>
          <w:lang w:val="en-GB" w:eastAsia="en-GB"/>
        </w:rPr>
        <w:t>C</w:t>
      </w:r>
      <w:r w:rsidRPr="00726F3F">
        <w:rPr>
          <w:rFonts w:eastAsia="SimSun"/>
          <w:sz w:val="24"/>
          <w:szCs w:val="24"/>
          <w:vertAlign w:val="subscript"/>
          <w:lang w:val="en-GB" w:eastAsia="en-GB"/>
        </w:rPr>
        <w:t>max</w:t>
      </w:r>
      <w:proofErr w:type="spellEnd"/>
      <w:r w:rsidRPr="003712F0">
        <w:rPr>
          <w:rFonts w:eastAsia="SimSun"/>
          <w:sz w:val="24"/>
          <w:szCs w:val="24"/>
          <w:lang w:val="en-GB" w:eastAsia="en-GB"/>
        </w:rPr>
        <w:t>) did not exceed 5 </w:t>
      </w:r>
      <w:proofErr w:type="spellStart"/>
      <w:r w:rsidRPr="003712F0">
        <w:rPr>
          <w:rFonts w:eastAsia="SimSun"/>
          <w:sz w:val="24"/>
          <w:szCs w:val="24"/>
          <w:lang w:val="en-GB" w:eastAsia="en-GB"/>
        </w:rPr>
        <w:t>μg</w:t>
      </w:r>
      <w:proofErr w:type="spellEnd"/>
      <w:r w:rsidRPr="003712F0">
        <w:rPr>
          <w:rFonts w:eastAsia="SimSun"/>
          <w:sz w:val="24"/>
          <w:szCs w:val="24"/>
          <w:lang w:val="en-GB" w:eastAsia="en-GB"/>
        </w:rPr>
        <w:t>/mL, even at maximum doses.</w:t>
      </w:r>
    </w:p>
    <w:p w14:paraId="79BAC32D" w14:textId="77777777" w:rsidR="00094747" w:rsidRPr="003712F0" w:rsidRDefault="00094747" w:rsidP="008C7DB3">
      <w:pPr>
        <w:ind w:left="851"/>
        <w:rPr>
          <w:rFonts w:eastAsia="SimSun"/>
          <w:sz w:val="24"/>
          <w:szCs w:val="24"/>
          <w:lang w:val="en-GB" w:eastAsia="en-GB"/>
        </w:rPr>
      </w:pPr>
    </w:p>
    <w:p w14:paraId="0CDE811A"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Food decreases the extent and slightly delays the absorption of metformin. Following administration of a dose of 850 mg, a 40 % lower plasma peak concentration, a 25 % decrease in AUC and a 35 min prolongation of time to peak plasma concentration was observed. The clinical relevance of this decrease is unknown.</w:t>
      </w:r>
    </w:p>
    <w:p w14:paraId="4F0B6E47" w14:textId="77777777" w:rsidR="00094747" w:rsidRPr="003712F0" w:rsidRDefault="00094747" w:rsidP="008C7DB3">
      <w:pPr>
        <w:ind w:left="851"/>
        <w:rPr>
          <w:rFonts w:eastAsia="SimSun"/>
          <w:sz w:val="24"/>
          <w:szCs w:val="24"/>
          <w:lang w:val="en-GB" w:eastAsia="en-GB"/>
        </w:rPr>
      </w:pPr>
    </w:p>
    <w:p w14:paraId="04927D9A"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Distribution</w:t>
      </w:r>
    </w:p>
    <w:p w14:paraId="02E92E54"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Plasma protein binding is negligible. Metformin partitions into erythrocytes. The blood peak is lower than the plasma peak and appears at approximately the same time. The red blood cells most likely represent a secondary compartment of distribution. The mean </w:t>
      </w:r>
      <w:proofErr w:type="spellStart"/>
      <w:r w:rsidRPr="003712F0">
        <w:rPr>
          <w:rFonts w:eastAsia="SimSun"/>
          <w:sz w:val="24"/>
          <w:szCs w:val="24"/>
          <w:lang w:val="en-GB" w:eastAsia="en-GB"/>
        </w:rPr>
        <w:t>Vd</w:t>
      </w:r>
      <w:proofErr w:type="spellEnd"/>
      <w:r w:rsidRPr="003712F0">
        <w:rPr>
          <w:rFonts w:eastAsia="SimSun"/>
          <w:sz w:val="24"/>
          <w:szCs w:val="24"/>
          <w:lang w:val="en-GB" w:eastAsia="en-GB"/>
        </w:rPr>
        <w:t xml:space="preserve"> ranged between 63 – 276 L.</w:t>
      </w:r>
    </w:p>
    <w:p w14:paraId="46A2F487" w14:textId="77777777" w:rsidR="00094747" w:rsidRPr="003712F0" w:rsidRDefault="00094747" w:rsidP="008C7DB3">
      <w:pPr>
        <w:ind w:left="851"/>
        <w:rPr>
          <w:rFonts w:eastAsia="SimSun"/>
          <w:sz w:val="24"/>
          <w:szCs w:val="24"/>
          <w:lang w:val="en-GB" w:eastAsia="en-GB"/>
        </w:rPr>
      </w:pPr>
    </w:p>
    <w:p w14:paraId="748BB8BB"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Biotransformation</w:t>
      </w:r>
    </w:p>
    <w:p w14:paraId="2F3ADF09" w14:textId="77777777" w:rsidR="00094747" w:rsidRPr="003712F0" w:rsidRDefault="00094747" w:rsidP="008C7DB3">
      <w:pPr>
        <w:ind w:left="851"/>
        <w:rPr>
          <w:iCs/>
          <w:sz w:val="24"/>
          <w:szCs w:val="24"/>
          <w:lang w:val="en-GB" w:eastAsia="en-US"/>
        </w:rPr>
      </w:pPr>
      <w:r w:rsidRPr="003712F0">
        <w:rPr>
          <w:rFonts w:eastAsia="SimSun"/>
          <w:sz w:val="24"/>
          <w:szCs w:val="24"/>
          <w:lang w:val="en-GB" w:eastAsia="en-GB"/>
        </w:rPr>
        <w:t>Metformin is excreted unchanged in the urine. No metabolites have been identified in humans.</w:t>
      </w:r>
    </w:p>
    <w:p w14:paraId="008B34EA" w14:textId="77777777" w:rsidR="00094747" w:rsidRPr="003712F0" w:rsidRDefault="00094747" w:rsidP="008C7DB3">
      <w:pPr>
        <w:ind w:left="851"/>
        <w:rPr>
          <w:iCs/>
          <w:sz w:val="24"/>
          <w:szCs w:val="24"/>
          <w:lang w:val="en-GB"/>
        </w:rPr>
      </w:pPr>
    </w:p>
    <w:p w14:paraId="7779A3E9" w14:textId="77777777" w:rsidR="00094747" w:rsidRPr="003712F0" w:rsidRDefault="00094747" w:rsidP="008C7DB3">
      <w:pPr>
        <w:ind w:left="851"/>
        <w:rPr>
          <w:rFonts w:eastAsia="SimSun"/>
          <w:i/>
          <w:iCs/>
          <w:sz w:val="24"/>
          <w:szCs w:val="24"/>
          <w:lang w:val="en-GB" w:eastAsia="en-GB"/>
        </w:rPr>
      </w:pPr>
      <w:r w:rsidRPr="003712F0">
        <w:rPr>
          <w:rFonts w:eastAsia="SimSun"/>
          <w:i/>
          <w:iCs/>
          <w:sz w:val="24"/>
          <w:szCs w:val="24"/>
          <w:lang w:val="en-GB" w:eastAsia="en-GB"/>
        </w:rPr>
        <w:t>Elimination</w:t>
      </w:r>
    </w:p>
    <w:p w14:paraId="1092169D" w14:textId="77777777" w:rsidR="00094747" w:rsidRPr="003712F0" w:rsidRDefault="00094747" w:rsidP="008C7DB3">
      <w:pPr>
        <w:ind w:left="851"/>
        <w:rPr>
          <w:iCs/>
          <w:sz w:val="24"/>
          <w:szCs w:val="24"/>
          <w:lang w:val="en-GB" w:eastAsia="en-US"/>
        </w:rPr>
      </w:pPr>
      <w:r w:rsidRPr="003712F0">
        <w:rPr>
          <w:rFonts w:eastAsia="SimSun"/>
          <w:sz w:val="24"/>
          <w:szCs w:val="24"/>
          <w:lang w:val="en-GB" w:eastAsia="en-GB"/>
        </w:rPr>
        <w:t>Renal clearance of metformin is &gt; 400 mL/min, indicating that metformin is eliminated by glomerular filtration and tubular secretion. Following an oral dose, the apparent terminal elimination half-life is approximately 6.5 h. When renal function is impaired, renal clearance is decreased in proportion to that of creatinine and thus the elimination half-life is prolonged, leading to increased levels of metformin in plasma.</w:t>
      </w:r>
    </w:p>
    <w:p w14:paraId="561CF26B" w14:textId="77777777" w:rsidR="007C5D2A" w:rsidRPr="003712F0" w:rsidRDefault="007C5D2A" w:rsidP="003E0341">
      <w:pPr>
        <w:tabs>
          <w:tab w:val="left" w:pos="851"/>
        </w:tabs>
        <w:ind w:left="851"/>
        <w:rPr>
          <w:sz w:val="24"/>
          <w:szCs w:val="24"/>
          <w:lang w:val="en-GB"/>
        </w:rPr>
      </w:pPr>
    </w:p>
    <w:p w14:paraId="2F8CDC99" w14:textId="77777777" w:rsidR="007C5D2A" w:rsidRPr="003712F0" w:rsidRDefault="00180A12" w:rsidP="007C5D2A">
      <w:pPr>
        <w:tabs>
          <w:tab w:val="left" w:pos="851"/>
        </w:tabs>
        <w:ind w:left="851" w:hanging="851"/>
        <w:rPr>
          <w:b/>
          <w:sz w:val="24"/>
          <w:szCs w:val="24"/>
          <w:lang w:val="en-GB"/>
        </w:rPr>
      </w:pPr>
      <w:r w:rsidRPr="003712F0">
        <w:rPr>
          <w:b/>
          <w:sz w:val="24"/>
          <w:szCs w:val="24"/>
          <w:lang w:val="en-GB"/>
        </w:rPr>
        <w:t>5.3</w:t>
      </w:r>
      <w:r w:rsidRPr="003712F0">
        <w:rPr>
          <w:b/>
          <w:sz w:val="24"/>
          <w:szCs w:val="24"/>
          <w:lang w:val="en-GB"/>
        </w:rPr>
        <w:tab/>
        <w:t>Preclinical safety data</w:t>
      </w:r>
    </w:p>
    <w:p w14:paraId="2373E517"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No animal studies have been conducted with sitagliptin/metformin.</w:t>
      </w:r>
    </w:p>
    <w:p w14:paraId="302864FE" w14:textId="77777777" w:rsidR="00094747" w:rsidRPr="003712F0" w:rsidRDefault="00094747" w:rsidP="008C7DB3">
      <w:pPr>
        <w:ind w:left="851"/>
        <w:rPr>
          <w:rFonts w:eastAsia="SimSun"/>
          <w:sz w:val="24"/>
          <w:szCs w:val="24"/>
          <w:lang w:val="en-GB" w:eastAsia="en-GB"/>
        </w:rPr>
      </w:pPr>
    </w:p>
    <w:p w14:paraId="18B7429C"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In 16-week studies in which dogs were treated with either metformin alone or a combination of metformin and sitagliptin, no additional toxicity was observed from the combination. The NOEL in these studies was observed at exposures to sitagliptin of approximately 6 times the human exposure and to metformin of approximately 2.5 times the human exposure.</w:t>
      </w:r>
    </w:p>
    <w:p w14:paraId="49832872" w14:textId="77777777" w:rsidR="00094747" w:rsidRPr="003712F0" w:rsidRDefault="00094747" w:rsidP="008C7DB3">
      <w:pPr>
        <w:ind w:left="851"/>
        <w:rPr>
          <w:rFonts w:eastAsia="SimSun"/>
          <w:sz w:val="24"/>
          <w:szCs w:val="24"/>
          <w:lang w:val="en-GB" w:eastAsia="en-GB"/>
        </w:rPr>
      </w:pPr>
    </w:p>
    <w:p w14:paraId="47B38C15"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The following data are findings in studies performed with sitagliptin or metformin individually.</w:t>
      </w:r>
    </w:p>
    <w:p w14:paraId="4E11E655" w14:textId="77777777" w:rsidR="00094747" w:rsidRPr="003712F0" w:rsidRDefault="00094747" w:rsidP="008C7DB3">
      <w:pPr>
        <w:ind w:left="851"/>
        <w:rPr>
          <w:rFonts w:eastAsia="SimSun"/>
          <w:sz w:val="24"/>
          <w:szCs w:val="24"/>
          <w:lang w:val="en-GB" w:eastAsia="en-GB"/>
        </w:rPr>
      </w:pPr>
    </w:p>
    <w:p w14:paraId="1FBE2984" w14:textId="77777777" w:rsidR="00094747" w:rsidRPr="003712F0" w:rsidRDefault="00094747" w:rsidP="008C7DB3">
      <w:pPr>
        <w:ind w:left="851"/>
        <w:rPr>
          <w:rFonts w:eastAsia="SimSun"/>
          <w:sz w:val="24"/>
          <w:szCs w:val="24"/>
          <w:u w:val="single"/>
          <w:lang w:val="en-GB" w:eastAsia="en-GB"/>
        </w:rPr>
      </w:pPr>
      <w:r w:rsidRPr="003712F0">
        <w:rPr>
          <w:rFonts w:eastAsia="SimSun"/>
          <w:sz w:val="24"/>
          <w:szCs w:val="24"/>
          <w:u w:val="single"/>
          <w:lang w:val="en-GB" w:eastAsia="en-GB"/>
        </w:rPr>
        <w:t>Sitagliptin</w:t>
      </w:r>
    </w:p>
    <w:p w14:paraId="5D4B703D"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Renal and liver toxicity were observed in rodents at systemic exposure values 58 times the human exposure level, while the no-effect level was found at 19 times the human exposure level. Incisor teeth abnormalities were observed in rats at exposure levels 67 times the clinical exposure level; the no</w:t>
      </w:r>
      <w:r w:rsidRPr="003712F0">
        <w:rPr>
          <w:rFonts w:eastAsia="SimSun"/>
          <w:sz w:val="24"/>
          <w:szCs w:val="24"/>
          <w:lang w:val="en-GB" w:eastAsia="en-GB"/>
        </w:rPr>
        <w:noBreakHyphen/>
        <w:t>effect level for this finding was 58-fold based on the 14-week rat study. The relevance of these findings for humans is unknown. Transient treatment-related physical signs, some of which suggest neural toxicity, such as open-mouth breathing, salivation, white foamy emesis, ataxia, trembling, decreased activity, and/or hunched posture were observed in dogs at exposure levels approximately 23 times the clinical exposure level. In addition, very slight to slight skeletal muscle degeneration was also observed histologically at doses resulting in systemic exposure levels of approximately 23 times the human exposure level. A no-effect level for these findings was found at an exposure 6-fold the clinical exposure level.</w:t>
      </w:r>
    </w:p>
    <w:p w14:paraId="321DB259" w14:textId="77777777" w:rsidR="00094747" w:rsidRPr="003712F0" w:rsidRDefault="00094747" w:rsidP="008C7DB3">
      <w:pPr>
        <w:ind w:left="851"/>
        <w:rPr>
          <w:rFonts w:eastAsia="SimSun"/>
          <w:sz w:val="24"/>
          <w:szCs w:val="24"/>
          <w:lang w:val="en-GB" w:eastAsia="en-GB"/>
        </w:rPr>
      </w:pPr>
    </w:p>
    <w:p w14:paraId="384FC02C"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Sitagliptin has not been demonstrated to be genotoxic in preclinical studies. Sitagliptin was not carcinogenic in mice. In rats, there was an increased incidence of hepatic adenomas and carcinomas at systemic exposure levels 58 times the human exposure level. Since hepatotoxicity has been shown to correlate with induction of hepatic neoplasia in rats, this increased incidence of hepatic tumours in rats was likely secondary to chronic hepatic toxicity at this high dose. Because of the high safety margin (19-fold at this no-effect level), these neoplastic changes are not considered relevant for the situation in humans.</w:t>
      </w:r>
    </w:p>
    <w:p w14:paraId="668C2888" w14:textId="77777777" w:rsidR="00094747" w:rsidRPr="003712F0" w:rsidRDefault="00094747" w:rsidP="008C7DB3">
      <w:pPr>
        <w:ind w:left="851"/>
        <w:rPr>
          <w:rFonts w:eastAsia="SimSun"/>
          <w:sz w:val="24"/>
          <w:szCs w:val="24"/>
          <w:lang w:val="en-GB" w:eastAsia="en-GB"/>
        </w:rPr>
      </w:pPr>
    </w:p>
    <w:p w14:paraId="29FBCD5D"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No treatment related effects on fertility were observed in male and female rats given sitagliptin prior to and throughout mating.</w:t>
      </w:r>
    </w:p>
    <w:p w14:paraId="3C02281A" w14:textId="77777777" w:rsidR="00094747" w:rsidRPr="003712F0" w:rsidRDefault="00094747" w:rsidP="008C7DB3">
      <w:pPr>
        <w:ind w:left="851"/>
        <w:rPr>
          <w:rFonts w:eastAsia="SimSun"/>
          <w:sz w:val="24"/>
          <w:szCs w:val="24"/>
          <w:lang w:val="en-GB" w:eastAsia="en-GB"/>
        </w:rPr>
      </w:pPr>
    </w:p>
    <w:p w14:paraId="39C93394" w14:textId="52D2A435"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 xml:space="preserve">In a pre-/post-natal development study performed in rats sitagliptin showed no adverse </w:t>
      </w:r>
      <w:r w:rsidR="006B4708">
        <w:rPr>
          <w:rFonts w:eastAsia="SimSun"/>
          <w:sz w:val="24"/>
          <w:szCs w:val="24"/>
          <w:lang w:val="en-GB" w:eastAsia="en-GB"/>
        </w:rPr>
        <w:t>reactions</w:t>
      </w:r>
      <w:r w:rsidRPr="003712F0">
        <w:rPr>
          <w:rFonts w:eastAsia="SimSun"/>
          <w:sz w:val="24"/>
          <w:szCs w:val="24"/>
          <w:lang w:val="en-GB" w:eastAsia="en-GB"/>
        </w:rPr>
        <w:t>.</w:t>
      </w:r>
    </w:p>
    <w:p w14:paraId="76CC8F33" w14:textId="77777777" w:rsidR="00094747" w:rsidRPr="003712F0" w:rsidRDefault="00094747" w:rsidP="008C7DB3">
      <w:pPr>
        <w:ind w:left="851"/>
        <w:rPr>
          <w:rFonts w:eastAsia="SimSun"/>
          <w:sz w:val="24"/>
          <w:szCs w:val="24"/>
          <w:lang w:val="en-GB" w:eastAsia="en-GB"/>
        </w:rPr>
      </w:pPr>
    </w:p>
    <w:p w14:paraId="209EA0F3" w14:textId="77777777" w:rsidR="00094747" w:rsidRPr="003712F0" w:rsidRDefault="00094747" w:rsidP="008C7DB3">
      <w:pPr>
        <w:ind w:left="851"/>
        <w:rPr>
          <w:rFonts w:eastAsia="SimSun"/>
          <w:sz w:val="24"/>
          <w:szCs w:val="24"/>
          <w:lang w:val="en-GB" w:eastAsia="en-GB"/>
        </w:rPr>
      </w:pPr>
      <w:r w:rsidRPr="003712F0">
        <w:rPr>
          <w:rFonts w:eastAsia="SimSun"/>
          <w:sz w:val="24"/>
          <w:szCs w:val="24"/>
          <w:lang w:val="en-GB" w:eastAsia="en-GB"/>
        </w:rPr>
        <w:t>Reproductive toxicity studies showed a slight treatment-related increased incidence of foetal rib malformations (absent, hypoplastic and wavy ribs) in the offspring of rats at systemic exposure levels more than 29 times the human exposure levels. Maternal toxicity was seen in rabbits at more than 29 times the human exposure levels. Because of the high safety margins, these findings do not suggest a relevant risk for human reproduction. Sitagliptin is secreted in considerable amounts into the milk of lactating rats (milk/plasma ratio: 4:1).</w:t>
      </w:r>
    </w:p>
    <w:p w14:paraId="009142DA" w14:textId="77777777" w:rsidR="00094747" w:rsidRPr="003712F0" w:rsidRDefault="00094747" w:rsidP="008C7DB3">
      <w:pPr>
        <w:ind w:left="851"/>
        <w:rPr>
          <w:rFonts w:eastAsia="SimSun"/>
          <w:sz w:val="24"/>
          <w:szCs w:val="24"/>
          <w:lang w:val="en-GB" w:eastAsia="en-GB"/>
        </w:rPr>
      </w:pPr>
    </w:p>
    <w:p w14:paraId="5FBE5DFD" w14:textId="77777777" w:rsidR="00094747" w:rsidRPr="003712F0" w:rsidRDefault="00094747" w:rsidP="008C7DB3">
      <w:pPr>
        <w:ind w:left="851"/>
        <w:rPr>
          <w:rFonts w:eastAsia="SimSun"/>
          <w:sz w:val="24"/>
          <w:szCs w:val="24"/>
          <w:u w:val="single"/>
          <w:lang w:val="en-GB" w:eastAsia="en-GB"/>
        </w:rPr>
      </w:pPr>
      <w:r w:rsidRPr="003712F0">
        <w:rPr>
          <w:rFonts w:eastAsia="SimSun"/>
          <w:sz w:val="24"/>
          <w:szCs w:val="24"/>
          <w:u w:val="single"/>
          <w:lang w:val="en-GB" w:eastAsia="en-GB"/>
        </w:rPr>
        <w:t>Metformin</w:t>
      </w:r>
    </w:p>
    <w:p w14:paraId="2528A6FA" w14:textId="77777777" w:rsidR="00094747" w:rsidRPr="003712F0" w:rsidRDefault="00094747" w:rsidP="008C7DB3">
      <w:pPr>
        <w:ind w:left="851"/>
        <w:rPr>
          <w:sz w:val="24"/>
          <w:szCs w:val="24"/>
          <w:lang w:val="en-GB" w:eastAsia="en-US"/>
        </w:rPr>
      </w:pPr>
      <w:r w:rsidRPr="003712F0">
        <w:rPr>
          <w:rFonts w:eastAsia="SimSun"/>
          <w:sz w:val="24"/>
          <w:szCs w:val="24"/>
          <w:lang w:val="en-GB" w:eastAsia="en-GB"/>
        </w:rPr>
        <w:t xml:space="preserve">Preclinical data for metformin </w:t>
      </w:r>
      <w:proofErr w:type="gramStart"/>
      <w:r w:rsidRPr="003712F0">
        <w:rPr>
          <w:rFonts w:eastAsia="SimSun"/>
          <w:sz w:val="24"/>
          <w:szCs w:val="24"/>
          <w:lang w:val="en-GB" w:eastAsia="en-GB"/>
        </w:rPr>
        <w:t>reveal</w:t>
      </w:r>
      <w:proofErr w:type="gramEnd"/>
      <w:r w:rsidRPr="003712F0">
        <w:rPr>
          <w:rFonts w:eastAsia="SimSun"/>
          <w:sz w:val="24"/>
          <w:szCs w:val="24"/>
          <w:lang w:val="en-GB" w:eastAsia="en-GB"/>
        </w:rPr>
        <w:t xml:space="preserve"> no special hazard for humans based on conventional studies of safety pharmacology, repeated dose toxicity, genotoxicity, carcinogenic potential, toxicity to reproduction.</w:t>
      </w:r>
    </w:p>
    <w:p w14:paraId="3A9D5698" w14:textId="77777777" w:rsidR="007C5D2A" w:rsidRPr="003712F0" w:rsidRDefault="007C5D2A" w:rsidP="003E0341">
      <w:pPr>
        <w:tabs>
          <w:tab w:val="left" w:pos="851"/>
        </w:tabs>
        <w:ind w:left="851"/>
        <w:rPr>
          <w:sz w:val="24"/>
          <w:szCs w:val="24"/>
          <w:lang w:val="en-GB"/>
        </w:rPr>
      </w:pPr>
    </w:p>
    <w:p w14:paraId="410FD624" w14:textId="77777777" w:rsidR="007C5D2A" w:rsidRPr="003712F0" w:rsidRDefault="007C5D2A" w:rsidP="003E0341">
      <w:pPr>
        <w:tabs>
          <w:tab w:val="left" w:pos="851"/>
        </w:tabs>
        <w:ind w:left="851"/>
        <w:rPr>
          <w:sz w:val="24"/>
          <w:szCs w:val="24"/>
          <w:lang w:val="en-GB"/>
        </w:rPr>
      </w:pPr>
    </w:p>
    <w:p w14:paraId="17970383" w14:textId="77777777" w:rsidR="007C5D2A" w:rsidRPr="003712F0" w:rsidRDefault="009925C9" w:rsidP="007C5D2A">
      <w:pPr>
        <w:ind w:left="851" w:hanging="851"/>
        <w:rPr>
          <w:b/>
          <w:sz w:val="24"/>
          <w:szCs w:val="24"/>
          <w:lang w:val="en-GB"/>
        </w:rPr>
      </w:pPr>
      <w:r w:rsidRPr="003712F0">
        <w:rPr>
          <w:b/>
          <w:sz w:val="24"/>
          <w:szCs w:val="24"/>
          <w:lang w:val="en-GB"/>
        </w:rPr>
        <w:t>6.</w:t>
      </w:r>
      <w:r w:rsidR="007C5D2A" w:rsidRPr="003712F0">
        <w:rPr>
          <w:b/>
          <w:sz w:val="24"/>
          <w:szCs w:val="24"/>
          <w:lang w:val="en-GB"/>
        </w:rPr>
        <w:tab/>
        <w:t>PHARMACEUTICAL PARTICULARS</w:t>
      </w:r>
    </w:p>
    <w:p w14:paraId="176E89AA" w14:textId="77777777" w:rsidR="007C5D2A" w:rsidRPr="003712F0" w:rsidRDefault="007C5D2A" w:rsidP="003E0341">
      <w:pPr>
        <w:tabs>
          <w:tab w:val="left" w:pos="851"/>
        </w:tabs>
        <w:ind w:left="851"/>
        <w:rPr>
          <w:sz w:val="24"/>
          <w:szCs w:val="24"/>
          <w:lang w:val="en-GB"/>
        </w:rPr>
      </w:pPr>
    </w:p>
    <w:p w14:paraId="06A406C5" w14:textId="77777777" w:rsidR="007C5D2A" w:rsidRPr="003712F0" w:rsidRDefault="007C5D2A" w:rsidP="007C5D2A">
      <w:pPr>
        <w:ind w:left="851" w:hanging="851"/>
        <w:rPr>
          <w:b/>
          <w:sz w:val="24"/>
          <w:szCs w:val="24"/>
          <w:lang w:val="en-GB"/>
        </w:rPr>
      </w:pPr>
      <w:r w:rsidRPr="003712F0">
        <w:rPr>
          <w:b/>
          <w:sz w:val="24"/>
          <w:szCs w:val="24"/>
          <w:lang w:val="en-GB"/>
        </w:rPr>
        <w:t>6.1</w:t>
      </w:r>
      <w:r w:rsidRPr="003712F0">
        <w:rPr>
          <w:b/>
          <w:sz w:val="24"/>
          <w:szCs w:val="24"/>
          <w:lang w:val="en-GB"/>
        </w:rPr>
        <w:tab/>
        <w:t>List of excipients</w:t>
      </w:r>
    </w:p>
    <w:p w14:paraId="11803D4F" w14:textId="77777777" w:rsidR="00726F3F" w:rsidRPr="00F47F2E" w:rsidRDefault="00726F3F" w:rsidP="008C7DB3">
      <w:pPr>
        <w:ind w:left="851"/>
        <w:rPr>
          <w:sz w:val="24"/>
          <w:szCs w:val="24"/>
          <w:u w:val="single"/>
          <w:lang w:val="en-GB"/>
        </w:rPr>
      </w:pPr>
    </w:p>
    <w:p w14:paraId="030BAB2A" w14:textId="73D37018" w:rsidR="00094747" w:rsidRPr="00F47F2E" w:rsidRDefault="00094747" w:rsidP="008C7DB3">
      <w:pPr>
        <w:ind w:left="851"/>
        <w:rPr>
          <w:sz w:val="24"/>
          <w:szCs w:val="24"/>
          <w:u w:val="single"/>
          <w:lang w:val="en-GB"/>
        </w:rPr>
      </w:pPr>
      <w:r w:rsidRPr="00F47F2E">
        <w:rPr>
          <w:sz w:val="24"/>
          <w:szCs w:val="24"/>
          <w:u w:val="single"/>
          <w:lang w:val="en-GB"/>
        </w:rPr>
        <w:t>Tablet core</w:t>
      </w:r>
    </w:p>
    <w:p w14:paraId="5B508E45" w14:textId="77777777" w:rsidR="00094747" w:rsidRPr="00F47F2E" w:rsidRDefault="00094747" w:rsidP="008C7DB3">
      <w:pPr>
        <w:ind w:left="851"/>
        <w:rPr>
          <w:sz w:val="24"/>
          <w:szCs w:val="24"/>
          <w:lang w:val="en-GB"/>
        </w:rPr>
      </w:pPr>
      <w:r w:rsidRPr="00F47F2E">
        <w:rPr>
          <w:sz w:val="24"/>
          <w:szCs w:val="24"/>
          <w:lang w:val="en-GB"/>
        </w:rPr>
        <w:t>Cellulose, Microcrystalline</w:t>
      </w:r>
    </w:p>
    <w:p w14:paraId="3C6EC99A" w14:textId="77777777" w:rsidR="00094747" w:rsidRPr="00F47F2E" w:rsidRDefault="00094747" w:rsidP="008C7DB3">
      <w:pPr>
        <w:ind w:left="851"/>
        <w:rPr>
          <w:sz w:val="24"/>
          <w:szCs w:val="24"/>
          <w:lang w:val="en-GB"/>
        </w:rPr>
      </w:pPr>
      <w:r w:rsidRPr="00F47F2E">
        <w:rPr>
          <w:sz w:val="24"/>
          <w:szCs w:val="24"/>
          <w:lang w:val="en-GB"/>
        </w:rPr>
        <w:t>Silica, Colloidal anhydrous</w:t>
      </w:r>
    </w:p>
    <w:p w14:paraId="0138FF4D" w14:textId="77777777" w:rsidR="00094747" w:rsidRPr="00F47F2E" w:rsidRDefault="00094747" w:rsidP="008C7DB3">
      <w:pPr>
        <w:ind w:left="851"/>
        <w:rPr>
          <w:sz w:val="24"/>
          <w:szCs w:val="24"/>
          <w:lang w:val="en-GB"/>
        </w:rPr>
      </w:pPr>
      <w:r w:rsidRPr="00F47F2E">
        <w:rPr>
          <w:sz w:val="24"/>
          <w:szCs w:val="24"/>
          <w:lang w:val="en-GB"/>
        </w:rPr>
        <w:t>Croscarmellose Sodium</w:t>
      </w:r>
    </w:p>
    <w:p w14:paraId="02A6E519" w14:textId="77777777" w:rsidR="00094747" w:rsidRPr="00F47F2E" w:rsidRDefault="00094747" w:rsidP="008C7DB3">
      <w:pPr>
        <w:ind w:left="851"/>
        <w:rPr>
          <w:sz w:val="24"/>
          <w:szCs w:val="24"/>
          <w:lang w:val="en-GB"/>
        </w:rPr>
      </w:pPr>
      <w:r w:rsidRPr="00F47F2E">
        <w:rPr>
          <w:sz w:val="24"/>
          <w:szCs w:val="24"/>
          <w:lang w:val="en-GB"/>
        </w:rPr>
        <w:t xml:space="preserve">Sodium </w:t>
      </w:r>
      <w:proofErr w:type="spellStart"/>
      <w:r w:rsidRPr="00F47F2E">
        <w:rPr>
          <w:sz w:val="24"/>
          <w:szCs w:val="24"/>
          <w:lang w:val="en-GB"/>
        </w:rPr>
        <w:t>Laurilsulfate</w:t>
      </w:r>
      <w:proofErr w:type="spellEnd"/>
    </w:p>
    <w:p w14:paraId="57AFA56E" w14:textId="77777777" w:rsidR="00094747" w:rsidRPr="00F47F2E" w:rsidRDefault="00094747" w:rsidP="008C7DB3">
      <w:pPr>
        <w:ind w:left="851"/>
        <w:rPr>
          <w:sz w:val="24"/>
          <w:szCs w:val="24"/>
          <w:lang w:val="en-GB"/>
        </w:rPr>
      </w:pPr>
      <w:r w:rsidRPr="00F47F2E">
        <w:rPr>
          <w:sz w:val="24"/>
          <w:szCs w:val="24"/>
          <w:lang w:val="en-GB"/>
        </w:rPr>
        <w:t xml:space="preserve">Povidone </w:t>
      </w:r>
    </w:p>
    <w:p w14:paraId="086A5EE4" w14:textId="77777777" w:rsidR="00094747" w:rsidRPr="00F47F2E" w:rsidRDefault="00094747" w:rsidP="008C7DB3">
      <w:pPr>
        <w:ind w:left="851"/>
        <w:rPr>
          <w:sz w:val="24"/>
          <w:szCs w:val="24"/>
          <w:lang w:val="en-GB"/>
        </w:rPr>
      </w:pPr>
      <w:r w:rsidRPr="00F47F2E">
        <w:rPr>
          <w:sz w:val="24"/>
          <w:szCs w:val="24"/>
          <w:lang w:val="en-GB"/>
        </w:rPr>
        <w:t>Sodium Stearyl Fumarate</w:t>
      </w:r>
    </w:p>
    <w:p w14:paraId="73C70799" w14:textId="77777777" w:rsidR="00094747" w:rsidRPr="00F47F2E" w:rsidRDefault="00094747" w:rsidP="008C7DB3">
      <w:pPr>
        <w:ind w:left="851"/>
        <w:rPr>
          <w:sz w:val="24"/>
          <w:szCs w:val="24"/>
          <w:lang w:val="en-GB"/>
        </w:rPr>
      </w:pPr>
    </w:p>
    <w:p w14:paraId="75FFCCCC" w14:textId="77777777" w:rsidR="00F47F2E" w:rsidRPr="00F47F2E" w:rsidRDefault="00F47F2E" w:rsidP="00F47F2E">
      <w:pPr>
        <w:ind w:left="851"/>
        <w:rPr>
          <w:sz w:val="24"/>
          <w:szCs w:val="24"/>
          <w:u w:val="single"/>
          <w:lang w:val="en-US"/>
        </w:rPr>
      </w:pPr>
      <w:r w:rsidRPr="00F47F2E">
        <w:rPr>
          <w:sz w:val="24"/>
          <w:szCs w:val="24"/>
          <w:u w:val="single"/>
          <w:lang w:val="en-GB"/>
        </w:rPr>
        <w:t xml:space="preserve">Film coating </w:t>
      </w:r>
      <w:r w:rsidRPr="00F47F2E">
        <w:rPr>
          <w:sz w:val="24"/>
          <w:szCs w:val="24"/>
          <w:u w:val="single"/>
          <w:lang w:val="en-US"/>
        </w:rPr>
        <w:t xml:space="preserve">50 mg/850 mg </w:t>
      </w:r>
    </w:p>
    <w:p w14:paraId="655E1C1F" w14:textId="16CDF369" w:rsidR="00F47F2E" w:rsidRPr="00F47F2E" w:rsidRDefault="00F47F2E" w:rsidP="00F47F2E">
      <w:pPr>
        <w:ind w:left="851"/>
        <w:rPr>
          <w:sz w:val="24"/>
          <w:szCs w:val="24"/>
          <w:lang w:val="en-GB"/>
        </w:rPr>
      </w:pPr>
      <w:r w:rsidRPr="00F47F2E">
        <w:rPr>
          <w:sz w:val="24"/>
          <w:szCs w:val="24"/>
          <w:lang w:val="en-GB"/>
        </w:rPr>
        <w:t>Polyvinyl Alcohol</w:t>
      </w:r>
    </w:p>
    <w:p w14:paraId="6669C16D" w14:textId="77777777" w:rsidR="00F47F2E" w:rsidRPr="00F47F2E" w:rsidRDefault="00F47F2E" w:rsidP="00F47F2E">
      <w:pPr>
        <w:ind w:left="851"/>
        <w:rPr>
          <w:sz w:val="24"/>
          <w:szCs w:val="24"/>
          <w:lang w:val="en-GB"/>
        </w:rPr>
      </w:pPr>
      <w:r w:rsidRPr="00F47F2E">
        <w:rPr>
          <w:sz w:val="24"/>
          <w:szCs w:val="24"/>
          <w:lang w:val="en-GB"/>
        </w:rPr>
        <w:t>Macrogol</w:t>
      </w:r>
    </w:p>
    <w:p w14:paraId="022E6F95" w14:textId="77777777" w:rsidR="00F47F2E" w:rsidRPr="00F47F2E" w:rsidRDefault="00F47F2E" w:rsidP="00F47F2E">
      <w:pPr>
        <w:ind w:left="851"/>
        <w:rPr>
          <w:sz w:val="24"/>
          <w:szCs w:val="24"/>
          <w:lang w:val="en-GB"/>
        </w:rPr>
      </w:pPr>
      <w:r w:rsidRPr="00F47F2E">
        <w:rPr>
          <w:sz w:val="24"/>
          <w:szCs w:val="24"/>
          <w:lang w:val="en-GB"/>
        </w:rPr>
        <w:t>Talc</w:t>
      </w:r>
    </w:p>
    <w:p w14:paraId="4A7B59B5" w14:textId="77777777" w:rsidR="00F47F2E" w:rsidRPr="00F47F2E" w:rsidRDefault="00F47F2E" w:rsidP="00F47F2E">
      <w:pPr>
        <w:ind w:left="851"/>
        <w:rPr>
          <w:sz w:val="24"/>
          <w:szCs w:val="24"/>
          <w:lang w:val="en-GB"/>
        </w:rPr>
      </w:pPr>
      <w:r w:rsidRPr="00F47F2E">
        <w:rPr>
          <w:sz w:val="24"/>
          <w:szCs w:val="24"/>
          <w:lang w:val="en-GB"/>
        </w:rPr>
        <w:t>Titanium Dioxide (E171)</w:t>
      </w:r>
    </w:p>
    <w:p w14:paraId="792D3F88" w14:textId="77777777" w:rsidR="00F47F2E" w:rsidRPr="00F47F2E" w:rsidRDefault="00F47F2E" w:rsidP="00F47F2E">
      <w:pPr>
        <w:ind w:left="851"/>
        <w:rPr>
          <w:sz w:val="24"/>
          <w:szCs w:val="24"/>
          <w:lang w:val="en-GB"/>
        </w:rPr>
      </w:pPr>
      <w:r w:rsidRPr="00F47F2E">
        <w:rPr>
          <w:sz w:val="24"/>
          <w:szCs w:val="24"/>
          <w:lang w:val="en-GB"/>
        </w:rPr>
        <w:t>Red Iron Oxide (E172)</w:t>
      </w:r>
    </w:p>
    <w:p w14:paraId="57EB3FE3" w14:textId="77777777" w:rsidR="00F47F2E" w:rsidRPr="00F47F2E" w:rsidRDefault="00F47F2E" w:rsidP="00F47F2E">
      <w:pPr>
        <w:ind w:left="851"/>
        <w:rPr>
          <w:sz w:val="24"/>
          <w:szCs w:val="24"/>
          <w:lang w:val="en-GB"/>
        </w:rPr>
      </w:pPr>
      <w:r w:rsidRPr="00F47F2E">
        <w:rPr>
          <w:sz w:val="24"/>
          <w:szCs w:val="24"/>
          <w:lang w:val="en-GB"/>
        </w:rPr>
        <w:t>Yellow Iron Oxide (E172)</w:t>
      </w:r>
    </w:p>
    <w:p w14:paraId="76FECE7D" w14:textId="77777777" w:rsidR="00F47F2E" w:rsidRPr="00F47F2E" w:rsidRDefault="00F47F2E" w:rsidP="00F47F2E">
      <w:pPr>
        <w:ind w:left="851"/>
        <w:rPr>
          <w:sz w:val="24"/>
          <w:szCs w:val="24"/>
          <w:lang w:val="en-GB"/>
        </w:rPr>
      </w:pPr>
    </w:p>
    <w:p w14:paraId="28448840" w14:textId="77777777" w:rsidR="00F47F2E" w:rsidRPr="00F47F2E" w:rsidRDefault="00F47F2E" w:rsidP="00F47F2E">
      <w:pPr>
        <w:ind w:left="851"/>
        <w:rPr>
          <w:sz w:val="24"/>
          <w:szCs w:val="24"/>
          <w:u w:val="single"/>
          <w:lang w:val="en-US"/>
        </w:rPr>
      </w:pPr>
      <w:r w:rsidRPr="00F47F2E">
        <w:rPr>
          <w:sz w:val="24"/>
          <w:szCs w:val="24"/>
          <w:u w:val="single"/>
          <w:lang w:val="en-GB"/>
        </w:rPr>
        <w:t xml:space="preserve">Film coating </w:t>
      </w:r>
      <w:r w:rsidRPr="00F47F2E">
        <w:rPr>
          <w:sz w:val="24"/>
          <w:szCs w:val="24"/>
          <w:u w:val="single"/>
          <w:lang w:val="en-US"/>
        </w:rPr>
        <w:t xml:space="preserve">50 mg/1000 mg </w:t>
      </w:r>
    </w:p>
    <w:p w14:paraId="682BB605" w14:textId="77777777" w:rsidR="00F47F2E" w:rsidRPr="00F47F2E" w:rsidRDefault="00F47F2E" w:rsidP="00F47F2E">
      <w:pPr>
        <w:ind w:left="851"/>
        <w:rPr>
          <w:sz w:val="24"/>
          <w:szCs w:val="24"/>
          <w:lang w:val="en-GB"/>
        </w:rPr>
      </w:pPr>
      <w:r w:rsidRPr="00F47F2E">
        <w:rPr>
          <w:sz w:val="24"/>
          <w:szCs w:val="24"/>
          <w:lang w:val="en-GB"/>
        </w:rPr>
        <w:t>Polyvinyl Alcohol</w:t>
      </w:r>
    </w:p>
    <w:p w14:paraId="6FF2D58D" w14:textId="77777777" w:rsidR="00F47F2E" w:rsidRPr="00F47F2E" w:rsidRDefault="00F47F2E" w:rsidP="00F47F2E">
      <w:pPr>
        <w:ind w:left="851"/>
        <w:rPr>
          <w:sz w:val="24"/>
          <w:szCs w:val="24"/>
          <w:lang w:val="en-GB"/>
        </w:rPr>
      </w:pPr>
      <w:r w:rsidRPr="00F47F2E">
        <w:rPr>
          <w:sz w:val="24"/>
          <w:szCs w:val="24"/>
          <w:lang w:val="en-GB"/>
        </w:rPr>
        <w:t>Macrogol</w:t>
      </w:r>
    </w:p>
    <w:p w14:paraId="51F7661A" w14:textId="77777777" w:rsidR="00F47F2E" w:rsidRPr="00F47F2E" w:rsidRDefault="00F47F2E" w:rsidP="00F47F2E">
      <w:pPr>
        <w:ind w:left="851"/>
        <w:rPr>
          <w:sz w:val="24"/>
          <w:szCs w:val="24"/>
          <w:lang w:val="en-GB"/>
        </w:rPr>
      </w:pPr>
      <w:r w:rsidRPr="00F47F2E">
        <w:rPr>
          <w:sz w:val="24"/>
          <w:szCs w:val="24"/>
          <w:lang w:val="en-GB"/>
        </w:rPr>
        <w:t>Talc</w:t>
      </w:r>
    </w:p>
    <w:p w14:paraId="1B14D23B" w14:textId="77777777" w:rsidR="00F47F2E" w:rsidRPr="00F47F2E" w:rsidRDefault="00F47F2E" w:rsidP="00F47F2E">
      <w:pPr>
        <w:ind w:left="851"/>
        <w:rPr>
          <w:sz w:val="24"/>
          <w:szCs w:val="24"/>
          <w:lang w:val="en-GB"/>
        </w:rPr>
      </w:pPr>
      <w:r w:rsidRPr="00F47F2E">
        <w:rPr>
          <w:sz w:val="24"/>
          <w:szCs w:val="24"/>
          <w:lang w:val="en-GB"/>
        </w:rPr>
        <w:t>Titanium Dioxide (E171)</w:t>
      </w:r>
    </w:p>
    <w:p w14:paraId="08D1F2A9" w14:textId="77777777" w:rsidR="00F47F2E" w:rsidRPr="00F47F2E" w:rsidRDefault="00F47F2E" w:rsidP="00F47F2E">
      <w:pPr>
        <w:ind w:left="851"/>
        <w:rPr>
          <w:sz w:val="24"/>
          <w:szCs w:val="24"/>
          <w:lang w:val="en-GB"/>
        </w:rPr>
      </w:pPr>
      <w:r w:rsidRPr="00F47F2E">
        <w:rPr>
          <w:sz w:val="24"/>
          <w:szCs w:val="24"/>
          <w:lang w:val="en-GB"/>
        </w:rPr>
        <w:t>Red Iron Oxide (E172)</w:t>
      </w:r>
    </w:p>
    <w:p w14:paraId="7956ECF9" w14:textId="77777777" w:rsidR="00F47F2E" w:rsidRPr="00F47F2E" w:rsidRDefault="00F47F2E" w:rsidP="00F47F2E">
      <w:pPr>
        <w:ind w:left="851"/>
        <w:rPr>
          <w:sz w:val="24"/>
          <w:szCs w:val="24"/>
          <w:lang w:val="en-GB"/>
        </w:rPr>
      </w:pPr>
      <w:r w:rsidRPr="00F47F2E">
        <w:rPr>
          <w:sz w:val="24"/>
          <w:szCs w:val="24"/>
          <w:lang w:val="en-GB"/>
        </w:rPr>
        <w:t>Black Iron Oxide (E172)</w:t>
      </w:r>
    </w:p>
    <w:p w14:paraId="04856007" w14:textId="77777777" w:rsidR="007C5D2A" w:rsidRPr="00F47F2E" w:rsidRDefault="007C5D2A" w:rsidP="003D727E">
      <w:pPr>
        <w:tabs>
          <w:tab w:val="left" w:pos="851"/>
        </w:tabs>
        <w:ind w:left="851"/>
        <w:rPr>
          <w:sz w:val="24"/>
          <w:szCs w:val="24"/>
          <w:lang w:val="en-GB"/>
        </w:rPr>
      </w:pPr>
    </w:p>
    <w:p w14:paraId="0BC1AE55" w14:textId="77777777" w:rsidR="007C5D2A" w:rsidRPr="003712F0" w:rsidRDefault="007C5D2A" w:rsidP="007C5D2A">
      <w:pPr>
        <w:ind w:left="851" w:hanging="851"/>
        <w:rPr>
          <w:b/>
          <w:sz w:val="24"/>
          <w:szCs w:val="24"/>
          <w:lang w:val="en-GB"/>
        </w:rPr>
      </w:pPr>
      <w:r w:rsidRPr="003712F0">
        <w:rPr>
          <w:b/>
          <w:sz w:val="24"/>
          <w:szCs w:val="24"/>
          <w:lang w:val="en-GB"/>
        </w:rPr>
        <w:t>6.2</w:t>
      </w:r>
      <w:r w:rsidRPr="003712F0">
        <w:rPr>
          <w:b/>
          <w:sz w:val="24"/>
          <w:szCs w:val="24"/>
          <w:lang w:val="en-GB"/>
        </w:rPr>
        <w:tab/>
        <w:t>Incompatibilities</w:t>
      </w:r>
    </w:p>
    <w:p w14:paraId="55096E74" w14:textId="77777777" w:rsidR="00094747" w:rsidRPr="003712F0" w:rsidRDefault="00094747" w:rsidP="008C7DB3">
      <w:pPr>
        <w:ind w:left="851"/>
        <w:rPr>
          <w:sz w:val="24"/>
          <w:szCs w:val="24"/>
          <w:lang w:val="en-GB"/>
        </w:rPr>
      </w:pPr>
      <w:r w:rsidRPr="003712F0">
        <w:rPr>
          <w:sz w:val="24"/>
          <w:szCs w:val="24"/>
          <w:lang w:val="en-GB"/>
        </w:rPr>
        <w:t>Not applicable.</w:t>
      </w:r>
    </w:p>
    <w:p w14:paraId="4742E2EB" w14:textId="77777777" w:rsidR="007C5D2A" w:rsidRPr="003712F0" w:rsidRDefault="007C5D2A" w:rsidP="003E0341">
      <w:pPr>
        <w:tabs>
          <w:tab w:val="left" w:pos="851"/>
        </w:tabs>
        <w:ind w:left="851"/>
        <w:rPr>
          <w:sz w:val="24"/>
          <w:szCs w:val="24"/>
          <w:lang w:val="en-GB"/>
        </w:rPr>
      </w:pPr>
    </w:p>
    <w:p w14:paraId="6C081A6C" w14:textId="77777777" w:rsidR="007C5D2A" w:rsidRPr="003712F0" w:rsidRDefault="007C5D2A" w:rsidP="007C5D2A">
      <w:pPr>
        <w:ind w:left="851" w:hanging="851"/>
        <w:rPr>
          <w:b/>
          <w:sz w:val="24"/>
          <w:szCs w:val="24"/>
          <w:lang w:val="en-GB"/>
        </w:rPr>
      </w:pPr>
      <w:r w:rsidRPr="003712F0">
        <w:rPr>
          <w:b/>
          <w:sz w:val="24"/>
          <w:szCs w:val="24"/>
          <w:lang w:val="en-GB"/>
        </w:rPr>
        <w:t>6.3</w:t>
      </w:r>
      <w:r w:rsidRPr="003712F0">
        <w:rPr>
          <w:b/>
          <w:sz w:val="24"/>
          <w:szCs w:val="24"/>
          <w:lang w:val="en-GB"/>
        </w:rPr>
        <w:tab/>
        <w:t>Shelf</w:t>
      </w:r>
      <w:r w:rsidR="00B45DC5" w:rsidRPr="003712F0">
        <w:rPr>
          <w:b/>
          <w:sz w:val="24"/>
          <w:szCs w:val="24"/>
          <w:lang w:val="en-GB"/>
        </w:rPr>
        <w:t xml:space="preserve"> </w:t>
      </w:r>
      <w:r w:rsidRPr="003712F0">
        <w:rPr>
          <w:b/>
          <w:sz w:val="24"/>
          <w:szCs w:val="24"/>
          <w:lang w:val="en-GB"/>
        </w:rPr>
        <w:t>life</w:t>
      </w:r>
    </w:p>
    <w:p w14:paraId="11540502" w14:textId="77777777" w:rsidR="00094747" w:rsidRPr="003712F0" w:rsidRDefault="00094747" w:rsidP="008C7DB3">
      <w:pPr>
        <w:ind w:left="851"/>
        <w:rPr>
          <w:sz w:val="24"/>
          <w:szCs w:val="24"/>
          <w:lang w:val="en-GB"/>
        </w:rPr>
      </w:pPr>
      <w:r w:rsidRPr="003712F0">
        <w:rPr>
          <w:sz w:val="24"/>
          <w:szCs w:val="24"/>
          <w:lang w:val="en-GB"/>
        </w:rPr>
        <w:t>2 years</w:t>
      </w:r>
    </w:p>
    <w:p w14:paraId="7DD2B0E9" w14:textId="77777777" w:rsidR="007C5D2A" w:rsidRPr="003712F0" w:rsidRDefault="007C5D2A" w:rsidP="003E0341">
      <w:pPr>
        <w:tabs>
          <w:tab w:val="left" w:pos="851"/>
        </w:tabs>
        <w:ind w:left="851"/>
        <w:rPr>
          <w:sz w:val="24"/>
          <w:szCs w:val="24"/>
          <w:lang w:val="en-GB"/>
        </w:rPr>
      </w:pPr>
    </w:p>
    <w:p w14:paraId="16D9D5FB" w14:textId="77777777" w:rsidR="007C5D2A" w:rsidRPr="003712F0" w:rsidRDefault="007C5D2A" w:rsidP="007C5D2A">
      <w:pPr>
        <w:ind w:left="851" w:hanging="851"/>
        <w:rPr>
          <w:b/>
          <w:sz w:val="24"/>
          <w:szCs w:val="24"/>
          <w:lang w:val="en-GB"/>
        </w:rPr>
      </w:pPr>
      <w:r w:rsidRPr="003712F0">
        <w:rPr>
          <w:b/>
          <w:sz w:val="24"/>
          <w:szCs w:val="24"/>
          <w:lang w:val="en-GB"/>
        </w:rPr>
        <w:t>6.4</w:t>
      </w:r>
      <w:r w:rsidRPr="003712F0">
        <w:rPr>
          <w:b/>
          <w:sz w:val="24"/>
          <w:szCs w:val="24"/>
          <w:lang w:val="en-GB"/>
        </w:rPr>
        <w:tab/>
        <w:t>Special precautions for storage</w:t>
      </w:r>
    </w:p>
    <w:p w14:paraId="592631B0" w14:textId="77777777" w:rsidR="00094747" w:rsidRPr="003712F0" w:rsidRDefault="00094747" w:rsidP="008C7DB3">
      <w:pPr>
        <w:ind w:left="851"/>
        <w:rPr>
          <w:i/>
          <w:sz w:val="24"/>
          <w:szCs w:val="24"/>
          <w:lang w:val="en-GB"/>
        </w:rPr>
      </w:pPr>
      <w:bookmarkStart w:id="5" w:name="_Hlk52432460"/>
      <w:r w:rsidRPr="003712F0">
        <w:rPr>
          <w:sz w:val="24"/>
          <w:szCs w:val="24"/>
          <w:lang w:val="en-GB"/>
        </w:rPr>
        <w:t>This medicinal product does not require any special storage conditions.</w:t>
      </w:r>
      <w:bookmarkEnd w:id="5"/>
    </w:p>
    <w:p w14:paraId="227F731A" w14:textId="77777777" w:rsidR="007C5D2A" w:rsidRPr="003712F0" w:rsidRDefault="007C5D2A" w:rsidP="003E0341">
      <w:pPr>
        <w:tabs>
          <w:tab w:val="left" w:pos="851"/>
        </w:tabs>
        <w:ind w:left="851"/>
        <w:rPr>
          <w:sz w:val="24"/>
          <w:szCs w:val="24"/>
          <w:lang w:val="en-GB"/>
        </w:rPr>
      </w:pPr>
    </w:p>
    <w:p w14:paraId="0E6F8071" w14:textId="77777777" w:rsidR="007C5D2A" w:rsidRPr="003712F0" w:rsidRDefault="007C5D2A" w:rsidP="007C5D2A">
      <w:pPr>
        <w:ind w:left="851" w:hanging="851"/>
        <w:rPr>
          <w:b/>
          <w:sz w:val="24"/>
          <w:szCs w:val="24"/>
          <w:lang w:val="en-GB"/>
        </w:rPr>
      </w:pPr>
      <w:r w:rsidRPr="003712F0">
        <w:rPr>
          <w:b/>
          <w:sz w:val="24"/>
          <w:szCs w:val="24"/>
          <w:lang w:val="en-GB"/>
        </w:rPr>
        <w:t>6.5</w:t>
      </w:r>
      <w:r w:rsidRPr="003712F0">
        <w:rPr>
          <w:b/>
          <w:sz w:val="24"/>
          <w:szCs w:val="24"/>
          <w:lang w:val="en-GB"/>
        </w:rPr>
        <w:tab/>
        <w:t>Nature and contents of container</w:t>
      </w:r>
    </w:p>
    <w:p w14:paraId="08D5ED1F" w14:textId="77777777" w:rsidR="00726F3F" w:rsidRDefault="00726F3F" w:rsidP="008C7DB3">
      <w:pPr>
        <w:ind w:left="851"/>
        <w:rPr>
          <w:sz w:val="24"/>
          <w:szCs w:val="24"/>
          <w:u w:val="single"/>
          <w:lang w:val="en-GB"/>
        </w:rPr>
      </w:pPr>
    </w:p>
    <w:p w14:paraId="32E18161" w14:textId="7FBCCB73" w:rsidR="00094747" w:rsidRPr="003712F0" w:rsidRDefault="00094747" w:rsidP="008C7DB3">
      <w:pPr>
        <w:ind w:left="851"/>
        <w:rPr>
          <w:sz w:val="24"/>
          <w:szCs w:val="24"/>
          <w:u w:val="single"/>
          <w:lang w:val="en-GB"/>
        </w:rPr>
      </w:pPr>
      <w:r w:rsidRPr="003712F0">
        <w:rPr>
          <w:sz w:val="24"/>
          <w:szCs w:val="24"/>
          <w:u w:val="single"/>
          <w:lang w:val="en-GB"/>
        </w:rPr>
        <w:t>PVC/PE/</w:t>
      </w:r>
      <w:proofErr w:type="spellStart"/>
      <w:r w:rsidRPr="003712F0">
        <w:rPr>
          <w:sz w:val="24"/>
          <w:szCs w:val="24"/>
          <w:u w:val="single"/>
          <w:lang w:val="en-GB"/>
        </w:rPr>
        <w:t>PVdC</w:t>
      </w:r>
      <w:proofErr w:type="spellEnd"/>
      <w:r w:rsidRPr="003712F0">
        <w:rPr>
          <w:sz w:val="24"/>
          <w:szCs w:val="24"/>
          <w:u w:val="single"/>
          <w:lang w:val="en-GB"/>
        </w:rPr>
        <w:t xml:space="preserve"> – Alu blisters </w:t>
      </w:r>
    </w:p>
    <w:p w14:paraId="102D3FA2" w14:textId="77777777" w:rsidR="00094747" w:rsidRPr="003712F0" w:rsidRDefault="00094747" w:rsidP="008C7DB3">
      <w:pPr>
        <w:ind w:left="851"/>
        <w:rPr>
          <w:sz w:val="24"/>
          <w:szCs w:val="24"/>
          <w:lang w:val="en-GB"/>
        </w:rPr>
      </w:pPr>
    </w:p>
    <w:p w14:paraId="32EED1B7" w14:textId="77777777" w:rsidR="00094747" w:rsidRPr="003712F0" w:rsidRDefault="00094747" w:rsidP="008C7DB3">
      <w:pPr>
        <w:ind w:left="851"/>
        <w:rPr>
          <w:sz w:val="24"/>
          <w:szCs w:val="24"/>
          <w:lang w:val="en-GB"/>
        </w:rPr>
      </w:pPr>
      <w:r w:rsidRPr="003712F0">
        <w:rPr>
          <w:sz w:val="24"/>
          <w:szCs w:val="24"/>
          <w:lang w:val="en-GB"/>
        </w:rPr>
        <w:t>Blisters containing 14, 30 or 56 film-coated tablets and a multi-pack containing 196 (2 packs of 98) film-coated tablets.</w:t>
      </w:r>
    </w:p>
    <w:p w14:paraId="0EF0253C" w14:textId="785D381B" w:rsidR="00094747" w:rsidRPr="003712F0" w:rsidRDefault="00094747" w:rsidP="008C7DB3">
      <w:pPr>
        <w:ind w:left="851"/>
        <w:rPr>
          <w:sz w:val="24"/>
          <w:szCs w:val="24"/>
          <w:lang w:val="en-GB"/>
        </w:rPr>
      </w:pPr>
      <w:r w:rsidRPr="003712F0">
        <w:rPr>
          <w:sz w:val="24"/>
          <w:szCs w:val="24"/>
          <w:lang w:val="en-GB"/>
        </w:rPr>
        <w:t xml:space="preserve">Unit-dose blisters containing 14 </w:t>
      </w:r>
      <w:r w:rsidR="006550A8">
        <w:rPr>
          <w:sz w:val="24"/>
          <w:szCs w:val="24"/>
          <w:lang w:val="en-GB"/>
        </w:rPr>
        <w:t>×</w:t>
      </w:r>
      <w:r w:rsidRPr="003712F0">
        <w:rPr>
          <w:sz w:val="24"/>
          <w:szCs w:val="24"/>
          <w:lang w:val="en-GB"/>
        </w:rPr>
        <w:t xml:space="preserve"> 1, 56 </w:t>
      </w:r>
      <w:r w:rsidR="006550A8">
        <w:rPr>
          <w:sz w:val="24"/>
          <w:szCs w:val="24"/>
          <w:lang w:val="en-GB"/>
        </w:rPr>
        <w:t>×</w:t>
      </w:r>
      <w:r w:rsidRPr="003712F0">
        <w:rPr>
          <w:sz w:val="24"/>
          <w:szCs w:val="24"/>
          <w:lang w:val="en-GB"/>
        </w:rPr>
        <w:t xml:space="preserve"> 1 or 60 </w:t>
      </w:r>
      <w:r w:rsidR="006550A8">
        <w:rPr>
          <w:sz w:val="24"/>
          <w:szCs w:val="24"/>
          <w:lang w:val="en-GB"/>
        </w:rPr>
        <w:t>×</w:t>
      </w:r>
      <w:r w:rsidRPr="003712F0">
        <w:rPr>
          <w:sz w:val="24"/>
          <w:szCs w:val="24"/>
          <w:lang w:val="en-GB"/>
        </w:rPr>
        <w:t xml:space="preserve"> 1 film-coated tablets.</w:t>
      </w:r>
    </w:p>
    <w:p w14:paraId="2DD13AC7" w14:textId="77777777" w:rsidR="00094747" w:rsidRPr="003712F0" w:rsidRDefault="00094747" w:rsidP="008C7DB3">
      <w:pPr>
        <w:ind w:left="851"/>
        <w:rPr>
          <w:sz w:val="24"/>
          <w:szCs w:val="24"/>
          <w:lang w:val="en-GB"/>
        </w:rPr>
      </w:pPr>
    </w:p>
    <w:p w14:paraId="4EC89ED0" w14:textId="77777777" w:rsidR="00094747" w:rsidRPr="003712F0" w:rsidRDefault="00094747" w:rsidP="008C7DB3">
      <w:pPr>
        <w:ind w:left="851"/>
        <w:rPr>
          <w:sz w:val="24"/>
          <w:szCs w:val="24"/>
          <w:u w:val="single"/>
          <w:lang w:val="en-GB"/>
        </w:rPr>
      </w:pPr>
      <w:r w:rsidRPr="003712F0">
        <w:rPr>
          <w:sz w:val="24"/>
          <w:szCs w:val="24"/>
          <w:u w:val="single"/>
          <w:lang w:val="en-GB"/>
        </w:rPr>
        <w:t>High density polyethylene (HDPE) bottles</w:t>
      </w:r>
      <w:r w:rsidRPr="003712F0">
        <w:rPr>
          <w:sz w:val="24"/>
          <w:szCs w:val="24"/>
          <w:lang w:val="en-GB"/>
        </w:rPr>
        <w:t xml:space="preserve"> </w:t>
      </w:r>
      <w:r w:rsidRPr="003712F0">
        <w:rPr>
          <w:sz w:val="24"/>
          <w:szCs w:val="24"/>
          <w:u w:val="single"/>
          <w:lang w:val="en-GB"/>
        </w:rPr>
        <w:t>with white opaque polypropylene screw cap with aluminium induction sealing liner wad</w:t>
      </w:r>
    </w:p>
    <w:p w14:paraId="01816616" w14:textId="77777777" w:rsidR="00094747" w:rsidRPr="003712F0" w:rsidRDefault="00094747" w:rsidP="008C7DB3">
      <w:pPr>
        <w:ind w:left="851"/>
        <w:rPr>
          <w:sz w:val="24"/>
          <w:szCs w:val="24"/>
          <w:lang w:val="en-GB"/>
        </w:rPr>
      </w:pPr>
    </w:p>
    <w:p w14:paraId="5C360945" w14:textId="77777777" w:rsidR="00094747" w:rsidRPr="003712F0" w:rsidRDefault="00094747" w:rsidP="008C7DB3">
      <w:pPr>
        <w:ind w:left="851"/>
        <w:rPr>
          <w:sz w:val="24"/>
          <w:szCs w:val="24"/>
          <w:lang w:val="en-GB"/>
        </w:rPr>
      </w:pPr>
      <w:r w:rsidRPr="003712F0">
        <w:rPr>
          <w:sz w:val="24"/>
          <w:szCs w:val="24"/>
          <w:lang w:val="en-GB"/>
        </w:rPr>
        <w:t>Bottles containing 90 or 196 film-coated tablets</w:t>
      </w:r>
    </w:p>
    <w:p w14:paraId="200E8D83" w14:textId="77777777" w:rsidR="00094747" w:rsidRPr="003712F0" w:rsidRDefault="00094747" w:rsidP="008C7DB3">
      <w:pPr>
        <w:ind w:left="851"/>
        <w:rPr>
          <w:sz w:val="24"/>
          <w:szCs w:val="24"/>
          <w:lang w:val="en-GB"/>
        </w:rPr>
      </w:pPr>
    </w:p>
    <w:p w14:paraId="058B9DB9" w14:textId="3427808B" w:rsidR="00726F3F" w:rsidRDefault="00094747" w:rsidP="00F47F2E">
      <w:pPr>
        <w:ind w:left="851"/>
        <w:rPr>
          <w:sz w:val="24"/>
          <w:szCs w:val="24"/>
          <w:lang w:val="en-GB"/>
        </w:rPr>
      </w:pPr>
      <w:r w:rsidRPr="003712F0">
        <w:rPr>
          <w:sz w:val="24"/>
          <w:szCs w:val="24"/>
          <w:lang w:val="en-GB"/>
        </w:rPr>
        <w:t>Not all pack sizes may be marketed.</w:t>
      </w:r>
      <w:r w:rsidR="00726F3F">
        <w:rPr>
          <w:sz w:val="24"/>
          <w:szCs w:val="24"/>
          <w:lang w:val="en-GB"/>
        </w:rPr>
        <w:br w:type="page"/>
      </w:r>
    </w:p>
    <w:p w14:paraId="378A24EB" w14:textId="77777777" w:rsidR="007C5D2A" w:rsidRPr="003712F0" w:rsidRDefault="007C5D2A" w:rsidP="003E0341">
      <w:pPr>
        <w:tabs>
          <w:tab w:val="left" w:pos="851"/>
        </w:tabs>
        <w:ind w:left="851"/>
        <w:rPr>
          <w:sz w:val="24"/>
          <w:szCs w:val="24"/>
          <w:lang w:val="en-GB"/>
        </w:rPr>
      </w:pPr>
    </w:p>
    <w:p w14:paraId="582E7336" w14:textId="77777777" w:rsidR="007C5D2A" w:rsidRPr="003712F0" w:rsidRDefault="007C5D2A" w:rsidP="007C5D2A">
      <w:pPr>
        <w:ind w:left="851" w:hanging="851"/>
        <w:rPr>
          <w:b/>
          <w:sz w:val="24"/>
          <w:szCs w:val="24"/>
          <w:lang w:val="en-GB"/>
        </w:rPr>
      </w:pPr>
      <w:r w:rsidRPr="003712F0">
        <w:rPr>
          <w:b/>
          <w:sz w:val="24"/>
          <w:szCs w:val="24"/>
          <w:lang w:val="en-GB"/>
        </w:rPr>
        <w:t>6.6</w:t>
      </w:r>
      <w:r w:rsidRPr="003712F0">
        <w:rPr>
          <w:b/>
          <w:sz w:val="24"/>
          <w:szCs w:val="24"/>
          <w:lang w:val="en-GB"/>
        </w:rPr>
        <w:tab/>
        <w:t>Special precautions for disposal and other handling</w:t>
      </w:r>
    </w:p>
    <w:p w14:paraId="40CB7889" w14:textId="77777777" w:rsidR="00094747" w:rsidRPr="003712F0" w:rsidRDefault="00094747" w:rsidP="008C7DB3">
      <w:pPr>
        <w:ind w:left="851"/>
        <w:rPr>
          <w:sz w:val="24"/>
          <w:szCs w:val="24"/>
          <w:lang w:val="en-GB"/>
        </w:rPr>
      </w:pPr>
      <w:r w:rsidRPr="003712F0">
        <w:rPr>
          <w:sz w:val="24"/>
          <w:szCs w:val="24"/>
          <w:lang w:val="en-GB"/>
        </w:rPr>
        <w:t>Any unused medicinal product or waste material should be disposed of in accordance with local requirements.</w:t>
      </w:r>
    </w:p>
    <w:p w14:paraId="60AE7FE2" w14:textId="77777777" w:rsidR="007C5D2A" w:rsidRPr="003712F0" w:rsidRDefault="007C5D2A" w:rsidP="00AB4376">
      <w:pPr>
        <w:tabs>
          <w:tab w:val="left" w:pos="851"/>
        </w:tabs>
        <w:ind w:left="851"/>
        <w:rPr>
          <w:sz w:val="24"/>
          <w:szCs w:val="24"/>
          <w:lang w:val="en-GB"/>
        </w:rPr>
      </w:pPr>
    </w:p>
    <w:p w14:paraId="216CE954" w14:textId="77777777" w:rsidR="007C5D2A" w:rsidRPr="003712F0" w:rsidRDefault="007C5D2A" w:rsidP="007C5D2A">
      <w:pPr>
        <w:tabs>
          <w:tab w:val="left" w:pos="851"/>
        </w:tabs>
        <w:ind w:left="851" w:hanging="851"/>
        <w:jc w:val="both"/>
        <w:rPr>
          <w:b/>
          <w:sz w:val="24"/>
          <w:szCs w:val="24"/>
          <w:lang w:val="en-GB"/>
        </w:rPr>
      </w:pPr>
      <w:r w:rsidRPr="003712F0">
        <w:rPr>
          <w:b/>
          <w:sz w:val="24"/>
          <w:szCs w:val="24"/>
          <w:lang w:val="en-GB"/>
        </w:rPr>
        <w:t>7.</w:t>
      </w:r>
      <w:r w:rsidRPr="003712F0">
        <w:rPr>
          <w:b/>
          <w:sz w:val="24"/>
          <w:szCs w:val="24"/>
          <w:lang w:val="en-GB"/>
        </w:rPr>
        <w:tab/>
        <w:t>MARKETING AUTHORISATION HOLDER</w:t>
      </w:r>
    </w:p>
    <w:p w14:paraId="6A400864" w14:textId="0856C089" w:rsidR="007C5D2A" w:rsidRPr="003712F0" w:rsidRDefault="00143DE7" w:rsidP="00A85D26">
      <w:pPr>
        <w:tabs>
          <w:tab w:val="left" w:pos="851"/>
        </w:tabs>
        <w:ind w:left="851"/>
        <w:jc w:val="both"/>
        <w:rPr>
          <w:sz w:val="24"/>
          <w:szCs w:val="24"/>
          <w:lang w:val="en-GB"/>
        </w:rPr>
      </w:pPr>
      <w:proofErr w:type="spellStart"/>
      <w:r w:rsidRPr="003712F0">
        <w:rPr>
          <w:sz w:val="24"/>
          <w:szCs w:val="24"/>
          <w:lang w:val="en-GB"/>
        </w:rPr>
        <w:t>Viatris</w:t>
      </w:r>
      <w:proofErr w:type="spellEnd"/>
      <w:r w:rsidRPr="003712F0">
        <w:rPr>
          <w:sz w:val="24"/>
          <w:szCs w:val="24"/>
          <w:lang w:val="en-GB"/>
        </w:rPr>
        <w:t xml:space="preserve"> Limited</w:t>
      </w:r>
    </w:p>
    <w:p w14:paraId="0324EA8A" w14:textId="7FC16D12" w:rsidR="00143DE7" w:rsidRPr="003712F0" w:rsidRDefault="00143DE7" w:rsidP="00A85D26">
      <w:pPr>
        <w:tabs>
          <w:tab w:val="left" w:pos="851"/>
        </w:tabs>
        <w:ind w:left="851"/>
        <w:jc w:val="both"/>
        <w:rPr>
          <w:sz w:val="24"/>
          <w:szCs w:val="24"/>
          <w:lang w:val="en-GB"/>
        </w:rPr>
      </w:pPr>
      <w:proofErr w:type="spellStart"/>
      <w:r w:rsidRPr="003712F0">
        <w:rPr>
          <w:sz w:val="24"/>
          <w:szCs w:val="24"/>
          <w:lang w:val="en-GB"/>
        </w:rPr>
        <w:t>Damastown</w:t>
      </w:r>
      <w:proofErr w:type="spellEnd"/>
      <w:r w:rsidRPr="003712F0">
        <w:rPr>
          <w:sz w:val="24"/>
          <w:szCs w:val="24"/>
          <w:lang w:val="en-GB"/>
        </w:rPr>
        <w:t xml:space="preserve"> Industrial Park</w:t>
      </w:r>
    </w:p>
    <w:p w14:paraId="3A8248E5" w14:textId="7F59EEFE" w:rsidR="00143DE7" w:rsidRPr="003712F0" w:rsidRDefault="00143DE7" w:rsidP="00A85D26">
      <w:pPr>
        <w:tabs>
          <w:tab w:val="left" w:pos="851"/>
        </w:tabs>
        <w:ind w:left="851"/>
        <w:jc w:val="both"/>
        <w:rPr>
          <w:sz w:val="24"/>
          <w:szCs w:val="24"/>
          <w:lang w:val="en-GB"/>
        </w:rPr>
      </w:pPr>
      <w:proofErr w:type="spellStart"/>
      <w:r w:rsidRPr="003712F0">
        <w:rPr>
          <w:sz w:val="24"/>
          <w:szCs w:val="24"/>
          <w:lang w:val="en-GB"/>
        </w:rPr>
        <w:t>Mulhuddart</w:t>
      </w:r>
      <w:proofErr w:type="spellEnd"/>
    </w:p>
    <w:p w14:paraId="383284D4" w14:textId="27670BE4" w:rsidR="00143DE7" w:rsidRPr="003712F0" w:rsidRDefault="00143DE7" w:rsidP="00A85D26">
      <w:pPr>
        <w:tabs>
          <w:tab w:val="left" w:pos="851"/>
        </w:tabs>
        <w:ind w:left="851"/>
        <w:jc w:val="both"/>
        <w:rPr>
          <w:sz w:val="24"/>
          <w:szCs w:val="24"/>
          <w:lang w:val="en-GB"/>
        </w:rPr>
      </w:pPr>
      <w:r w:rsidRPr="003712F0">
        <w:rPr>
          <w:sz w:val="24"/>
          <w:szCs w:val="24"/>
          <w:lang w:val="en-GB"/>
        </w:rPr>
        <w:t>D15XD71, Dublin 15</w:t>
      </w:r>
    </w:p>
    <w:p w14:paraId="358ECC1B" w14:textId="1B83582C" w:rsidR="007C5D2A" w:rsidRPr="003712F0" w:rsidRDefault="00143DE7" w:rsidP="003E0341">
      <w:pPr>
        <w:tabs>
          <w:tab w:val="left" w:pos="851"/>
        </w:tabs>
        <w:ind w:left="851"/>
        <w:jc w:val="both"/>
        <w:rPr>
          <w:sz w:val="24"/>
          <w:szCs w:val="24"/>
          <w:lang w:val="en-GB"/>
        </w:rPr>
      </w:pPr>
      <w:r w:rsidRPr="003712F0">
        <w:rPr>
          <w:sz w:val="24"/>
          <w:szCs w:val="24"/>
          <w:lang w:val="en-GB"/>
        </w:rPr>
        <w:t>Ireland</w:t>
      </w:r>
    </w:p>
    <w:p w14:paraId="18DA5B5D" w14:textId="77777777" w:rsidR="00143DE7" w:rsidRPr="003712F0" w:rsidRDefault="00143DE7" w:rsidP="003E0341">
      <w:pPr>
        <w:tabs>
          <w:tab w:val="left" w:pos="851"/>
        </w:tabs>
        <w:ind w:left="851"/>
        <w:jc w:val="both"/>
        <w:rPr>
          <w:sz w:val="24"/>
          <w:szCs w:val="24"/>
          <w:lang w:val="en-GB"/>
        </w:rPr>
      </w:pPr>
    </w:p>
    <w:p w14:paraId="4238F13D" w14:textId="77777777" w:rsidR="008A24F6" w:rsidRPr="003712F0" w:rsidRDefault="005A498B" w:rsidP="003E0341">
      <w:pPr>
        <w:tabs>
          <w:tab w:val="left" w:pos="851"/>
        </w:tabs>
        <w:ind w:left="851"/>
        <w:jc w:val="both"/>
        <w:rPr>
          <w:b/>
          <w:sz w:val="24"/>
          <w:szCs w:val="24"/>
          <w:lang w:val="en-GB"/>
        </w:rPr>
      </w:pPr>
      <w:r w:rsidRPr="003712F0">
        <w:rPr>
          <w:b/>
          <w:sz w:val="24"/>
          <w:szCs w:val="24"/>
          <w:lang w:val="en-GB"/>
        </w:rPr>
        <w:t>Representative</w:t>
      </w:r>
    </w:p>
    <w:p w14:paraId="1D8B8B4D" w14:textId="30987067" w:rsidR="005A498B" w:rsidRPr="003712F0" w:rsidRDefault="00143DE7" w:rsidP="005A498B">
      <w:pPr>
        <w:tabs>
          <w:tab w:val="left" w:pos="851"/>
        </w:tabs>
        <w:ind w:left="851"/>
        <w:jc w:val="both"/>
        <w:rPr>
          <w:sz w:val="24"/>
          <w:szCs w:val="24"/>
          <w:lang w:val="en-GB"/>
        </w:rPr>
      </w:pPr>
      <w:proofErr w:type="spellStart"/>
      <w:r w:rsidRPr="003712F0">
        <w:rPr>
          <w:sz w:val="24"/>
          <w:szCs w:val="24"/>
          <w:lang w:val="en-GB"/>
        </w:rPr>
        <w:t>Viatris</w:t>
      </w:r>
      <w:proofErr w:type="spellEnd"/>
      <w:r w:rsidRPr="003712F0">
        <w:rPr>
          <w:sz w:val="24"/>
          <w:szCs w:val="24"/>
          <w:lang w:val="en-GB"/>
        </w:rPr>
        <w:t xml:space="preserve"> </w:t>
      </w:r>
      <w:proofErr w:type="spellStart"/>
      <w:r w:rsidRPr="003712F0">
        <w:rPr>
          <w:sz w:val="24"/>
          <w:szCs w:val="24"/>
          <w:lang w:val="en-GB"/>
        </w:rPr>
        <w:t>ApS</w:t>
      </w:r>
      <w:proofErr w:type="spellEnd"/>
    </w:p>
    <w:p w14:paraId="631CF00A" w14:textId="7D3DE131" w:rsidR="00143DE7" w:rsidRPr="003712F0" w:rsidRDefault="00143DE7" w:rsidP="005A498B">
      <w:pPr>
        <w:tabs>
          <w:tab w:val="left" w:pos="851"/>
        </w:tabs>
        <w:ind w:left="851"/>
        <w:jc w:val="both"/>
        <w:rPr>
          <w:sz w:val="24"/>
          <w:szCs w:val="24"/>
          <w:lang w:val="en-GB"/>
        </w:rPr>
      </w:pPr>
      <w:proofErr w:type="spellStart"/>
      <w:r w:rsidRPr="003712F0">
        <w:rPr>
          <w:sz w:val="24"/>
          <w:szCs w:val="24"/>
          <w:lang w:val="en-GB"/>
        </w:rPr>
        <w:t>Borupvang</w:t>
      </w:r>
      <w:proofErr w:type="spellEnd"/>
      <w:r w:rsidRPr="003712F0">
        <w:rPr>
          <w:sz w:val="24"/>
          <w:szCs w:val="24"/>
          <w:lang w:val="en-GB"/>
        </w:rPr>
        <w:t xml:space="preserve"> 1</w:t>
      </w:r>
    </w:p>
    <w:p w14:paraId="49F5099D" w14:textId="41BE5D27" w:rsidR="00143DE7" w:rsidRPr="003712F0" w:rsidRDefault="00143DE7" w:rsidP="005A498B">
      <w:pPr>
        <w:tabs>
          <w:tab w:val="left" w:pos="851"/>
        </w:tabs>
        <w:ind w:left="851"/>
        <w:jc w:val="both"/>
        <w:rPr>
          <w:sz w:val="24"/>
          <w:szCs w:val="24"/>
          <w:lang w:val="en-GB"/>
        </w:rPr>
      </w:pPr>
      <w:r w:rsidRPr="003712F0">
        <w:rPr>
          <w:sz w:val="24"/>
          <w:szCs w:val="24"/>
          <w:lang w:val="en-GB"/>
        </w:rPr>
        <w:t xml:space="preserve">2750 </w:t>
      </w:r>
      <w:proofErr w:type="spellStart"/>
      <w:r w:rsidRPr="003712F0">
        <w:rPr>
          <w:sz w:val="24"/>
          <w:szCs w:val="24"/>
          <w:lang w:val="en-GB"/>
        </w:rPr>
        <w:t>Ballerup</w:t>
      </w:r>
      <w:proofErr w:type="spellEnd"/>
    </w:p>
    <w:p w14:paraId="0D6BD028" w14:textId="77777777" w:rsidR="008A24F6" w:rsidRPr="003712F0" w:rsidRDefault="008A24F6" w:rsidP="003E0341">
      <w:pPr>
        <w:tabs>
          <w:tab w:val="left" w:pos="851"/>
        </w:tabs>
        <w:ind w:left="851"/>
        <w:jc w:val="both"/>
        <w:rPr>
          <w:sz w:val="24"/>
          <w:szCs w:val="24"/>
          <w:lang w:val="en-GB"/>
        </w:rPr>
      </w:pPr>
    </w:p>
    <w:p w14:paraId="7C1D576F" w14:textId="77777777" w:rsidR="007C5D2A" w:rsidRPr="003712F0" w:rsidRDefault="007C5D2A" w:rsidP="007C5D2A">
      <w:pPr>
        <w:ind w:left="851" w:hanging="851"/>
        <w:jc w:val="both"/>
        <w:rPr>
          <w:b/>
          <w:sz w:val="24"/>
          <w:szCs w:val="24"/>
          <w:lang w:val="en-GB"/>
        </w:rPr>
      </w:pPr>
      <w:r w:rsidRPr="003712F0">
        <w:rPr>
          <w:b/>
          <w:sz w:val="24"/>
          <w:szCs w:val="24"/>
          <w:lang w:val="en-GB"/>
        </w:rPr>
        <w:t>8.</w:t>
      </w:r>
      <w:r w:rsidRPr="003712F0">
        <w:rPr>
          <w:b/>
          <w:sz w:val="24"/>
          <w:szCs w:val="24"/>
          <w:lang w:val="en-GB"/>
        </w:rPr>
        <w:tab/>
        <w:t>MARKETING AUTHORISATION NUMBER(S)</w:t>
      </w:r>
    </w:p>
    <w:p w14:paraId="1746457B" w14:textId="2F4123A9" w:rsidR="00DB0844" w:rsidRPr="003712F0" w:rsidRDefault="00DB0844" w:rsidP="00566356">
      <w:pPr>
        <w:tabs>
          <w:tab w:val="left" w:pos="2694"/>
        </w:tabs>
        <w:ind w:left="851"/>
        <w:rPr>
          <w:sz w:val="24"/>
          <w:szCs w:val="24"/>
          <w:lang w:val="en-GB"/>
        </w:rPr>
      </w:pPr>
      <w:r w:rsidRPr="003712F0">
        <w:rPr>
          <w:sz w:val="24"/>
          <w:szCs w:val="24"/>
          <w:lang w:val="en-GB"/>
        </w:rPr>
        <w:t xml:space="preserve">50 mg/850 mg: </w:t>
      </w:r>
      <w:r w:rsidR="00566356" w:rsidRPr="003712F0">
        <w:rPr>
          <w:sz w:val="24"/>
          <w:szCs w:val="24"/>
          <w:lang w:val="en-GB"/>
        </w:rPr>
        <w:tab/>
      </w:r>
      <w:r w:rsidRPr="003712F0">
        <w:rPr>
          <w:sz w:val="24"/>
          <w:szCs w:val="24"/>
          <w:lang w:val="en-GB"/>
        </w:rPr>
        <w:t>65432</w:t>
      </w:r>
    </w:p>
    <w:p w14:paraId="7DE449A2" w14:textId="7101CF2D" w:rsidR="00DB0844" w:rsidRPr="003712F0" w:rsidRDefault="00DB0844" w:rsidP="00566356">
      <w:pPr>
        <w:tabs>
          <w:tab w:val="left" w:pos="2694"/>
        </w:tabs>
        <w:ind w:left="851"/>
        <w:rPr>
          <w:b/>
          <w:sz w:val="24"/>
          <w:szCs w:val="24"/>
          <w:lang w:val="en-GB"/>
        </w:rPr>
      </w:pPr>
      <w:r w:rsidRPr="003712F0">
        <w:rPr>
          <w:sz w:val="24"/>
          <w:szCs w:val="24"/>
          <w:lang w:val="en-GB"/>
        </w:rPr>
        <w:t xml:space="preserve">50 mg/1000 mg: </w:t>
      </w:r>
      <w:r w:rsidR="00566356" w:rsidRPr="003712F0">
        <w:rPr>
          <w:sz w:val="24"/>
          <w:szCs w:val="24"/>
          <w:lang w:val="en-GB"/>
        </w:rPr>
        <w:tab/>
      </w:r>
      <w:r w:rsidRPr="003712F0">
        <w:rPr>
          <w:sz w:val="24"/>
          <w:szCs w:val="24"/>
          <w:lang w:val="en-GB"/>
        </w:rPr>
        <w:t>65433</w:t>
      </w:r>
    </w:p>
    <w:p w14:paraId="5EB1272C" w14:textId="77777777" w:rsidR="007C5D2A" w:rsidRPr="003712F0" w:rsidRDefault="007C5D2A" w:rsidP="00180A12">
      <w:pPr>
        <w:tabs>
          <w:tab w:val="left" w:pos="851"/>
        </w:tabs>
        <w:ind w:left="851"/>
        <w:jc w:val="both"/>
        <w:rPr>
          <w:sz w:val="24"/>
          <w:szCs w:val="24"/>
          <w:lang w:val="en-GB"/>
        </w:rPr>
      </w:pPr>
    </w:p>
    <w:p w14:paraId="4D38AFA1" w14:textId="77777777" w:rsidR="007C5D2A" w:rsidRPr="003712F0" w:rsidRDefault="007C5D2A" w:rsidP="007C5D2A">
      <w:pPr>
        <w:tabs>
          <w:tab w:val="left" w:pos="851"/>
        </w:tabs>
        <w:jc w:val="both"/>
        <w:rPr>
          <w:sz w:val="24"/>
          <w:szCs w:val="24"/>
          <w:lang w:val="en-GB"/>
        </w:rPr>
      </w:pPr>
      <w:r w:rsidRPr="003712F0">
        <w:rPr>
          <w:b/>
          <w:sz w:val="24"/>
          <w:szCs w:val="24"/>
          <w:lang w:val="en-GB"/>
        </w:rPr>
        <w:t>9.</w:t>
      </w:r>
      <w:r w:rsidRPr="003712F0">
        <w:rPr>
          <w:b/>
          <w:sz w:val="24"/>
          <w:szCs w:val="24"/>
          <w:lang w:val="en-GB"/>
        </w:rPr>
        <w:tab/>
        <w:t>DATE OF FIRST AUTHORISATION</w:t>
      </w:r>
    </w:p>
    <w:p w14:paraId="12B69BDE" w14:textId="6F5F48D1" w:rsidR="007C5D2A" w:rsidRPr="003712F0" w:rsidRDefault="00531952" w:rsidP="00A85D26">
      <w:pPr>
        <w:ind w:left="851"/>
        <w:jc w:val="both"/>
        <w:rPr>
          <w:sz w:val="24"/>
          <w:szCs w:val="24"/>
          <w:lang w:val="en-GB"/>
        </w:rPr>
      </w:pPr>
      <w:r>
        <w:rPr>
          <w:sz w:val="24"/>
          <w:szCs w:val="24"/>
          <w:lang w:val="en-GB"/>
        </w:rPr>
        <w:t>1 August 2023</w:t>
      </w:r>
    </w:p>
    <w:p w14:paraId="0286481A" w14:textId="77777777" w:rsidR="007C5D2A" w:rsidRPr="003712F0" w:rsidRDefault="007C5D2A" w:rsidP="003E0341">
      <w:pPr>
        <w:tabs>
          <w:tab w:val="left" w:pos="851"/>
        </w:tabs>
        <w:ind w:left="851"/>
        <w:jc w:val="both"/>
        <w:rPr>
          <w:sz w:val="24"/>
          <w:szCs w:val="24"/>
          <w:lang w:val="en-GB"/>
        </w:rPr>
      </w:pPr>
    </w:p>
    <w:p w14:paraId="7488C69D" w14:textId="77777777" w:rsidR="007C5D2A" w:rsidRPr="003712F0" w:rsidRDefault="007C5D2A" w:rsidP="007C5D2A">
      <w:pPr>
        <w:tabs>
          <w:tab w:val="left" w:pos="851"/>
        </w:tabs>
        <w:jc w:val="both"/>
        <w:rPr>
          <w:sz w:val="24"/>
          <w:szCs w:val="24"/>
          <w:lang w:val="en-GB"/>
        </w:rPr>
      </w:pPr>
      <w:r w:rsidRPr="003712F0">
        <w:rPr>
          <w:b/>
          <w:sz w:val="24"/>
          <w:szCs w:val="24"/>
          <w:lang w:val="en-GB"/>
        </w:rPr>
        <w:t>10.</w:t>
      </w:r>
      <w:r w:rsidRPr="003712F0">
        <w:rPr>
          <w:b/>
          <w:sz w:val="24"/>
          <w:szCs w:val="24"/>
          <w:lang w:val="en-GB"/>
        </w:rPr>
        <w:tab/>
        <w:t>DATE OF REVISION OF THE TEXT</w:t>
      </w:r>
    </w:p>
    <w:p w14:paraId="3E386595" w14:textId="6EF0D359" w:rsidR="007C5D2A" w:rsidRPr="003712F0" w:rsidRDefault="006550A8" w:rsidP="003E0341">
      <w:pPr>
        <w:tabs>
          <w:tab w:val="left" w:pos="851"/>
        </w:tabs>
        <w:ind w:left="851"/>
        <w:jc w:val="both"/>
        <w:rPr>
          <w:sz w:val="24"/>
          <w:szCs w:val="24"/>
          <w:lang w:val="en-GB"/>
        </w:rPr>
      </w:pPr>
      <w:r>
        <w:rPr>
          <w:sz w:val="24"/>
          <w:szCs w:val="24"/>
          <w:lang w:val="en-GB"/>
        </w:rPr>
        <w:t>17 January 2025</w:t>
      </w:r>
    </w:p>
    <w:sectPr w:rsidR="007C5D2A" w:rsidRPr="003712F0"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039DE" w14:textId="77777777" w:rsidR="00A4785F" w:rsidRDefault="00A4785F">
      <w:r>
        <w:separator/>
      </w:r>
    </w:p>
  </w:endnote>
  <w:endnote w:type="continuationSeparator" w:id="0">
    <w:p w14:paraId="6259459D" w14:textId="77777777" w:rsidR="00A4785F" w:rsidRDefault="00A4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BoldItalic">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641C" w14:textId="77777777" w:rsidR="00A4785F" w:rsidRDefault="00A4785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E6A0" w14:textId="77777777" w:rsidR="00A4785F" w:rsidRDefault="00A4785F">
    <w:pPr>
      <w:pStyle w:val="Sidefod"/>
      <w:pBdr>
        <w:bottom w:val="single" w:sz="6" w:space="1" w:color="auto"/>
      </w:pBdr>
    </w:pPr>
  </w:p>
  <w:p w14:paraId="1D6786C2" w14:textId="77777777" w:rsidR="00A4785F" w:rsidRDefault="00A4785F">
    <w:pPr>
      <w:pStyle w:val="Sidefod"/>
      <w:tabs>
        <w:tab w:val="clear" w:pos="4819"/>
        <w:tab w:val="left" w:pos="8647"/>
      </w:tabs>
      <w:rPr>
        <w:i/>
        <w:snapToGrid w:val="0"/>
        <w:sz w:val="18"/>
      </w:rPr>
    </w:pPr>
  </w:p>
  <w:p w14:paraId="27A9730E" w14:textId="7FFAEBA0" w:rsidR="00A4785F" w:rsidRDefault="00A4785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Glerova, filmovertrukne tabletter 50+850 mg og 50+1000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0C79" w14:textId="77777777" w:rsidR="00A4785F" w:rsidRDefault="00A4785F">
    <w:pPr>
      <w:pStyle w:val="Sidefod"/>
      <w:pBdr>
        <w:bottom w:val="single" w:sz="6" w:space="1" w:color="auto"/>
      </w:pBdr>
      <w:tabs>
        <w:tab w:val="clear" w:pos="4819"/>
        <w:tab w:val="left" w:pos="8789"/>
      </w:tabs>
      <w:rPr>
        <w:i/>
        <w:snapToGrid w:val="0"/>
        <w:sz w:val="18"/>
      </w:rPr>
    </w:pPr>
  </w:p>
  <w:p w14:paraId="65705B04" w14:textId="77777777" w:rsidR="00A4785F" w:rsidRDefault="00A4785F">
    <w:pPr>
      <w:pStyle w:val="Sidefod"/>
      <w:tabs>
        <w:tab w:val="clear" w:pos="4819"/>
        <w:tab w:val="left" w:pos="8789"/>
      </w:tabs>
      <w:rPr>
        <w:i/>
        <w:snapToGrid w:val="0"/>
        <w:sz w:val="18"/>
      </w:rPr>
    </w:pPr>
  </w:p>
  <w:p w14:paraId="22609939" w14:textId="02B8D933" w:rsidR="00A4785F" w:rsidRDefault="00A4785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Glerova, filmovertrukne tabletter 50+850 mg og 50+1000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D55D5" w14:textId="77777777" w:rsidR="00A4785F" w:rsidRDefault="00A4785F">
      <w:r>
        <w:separator/>
      </w:r>
    </w:p>
  </w:footnote>
  <w:footnote w:type="continuationSeparator" w:id="0">
    <w:p w14:paraId="5250EEC0" w14:textId="77777777" w:rsidR="00A4785F" w:rsidRDefault="00A4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0761" w14:textId="77777777" w:rsidR="00A4785F" w:rsidRDefault="00A4785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F728F" w14:textId="77777777" w:rsidR="00A4785F" w:rsidRDefault="00A4785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AC4C4" w14:textId="77777777" w:rsidR="00A4785F" w:rsidRDefault="00A4785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3F"/>
    <w:rsid w:val="00056601"/>
    <w:rsid w:val="00094747"/>
    <w:rsid w:val="000C3846"/>
    <w:rsid w:val="000C6218"/>
    <w:rsid w:val="000D3C9D"/>
    <w:rsid w:val="000F0D47"/>
    <w:rsid w:val="001242DE"/>
    <w:rsid w:val="00143DE7"/>
    <w:rsid w:val="00180A12"/>
    <w:rsid w:val="001E6344"/>
    <w:rsid w:val="001F663D"/>
    <w:rsid w:val="00214331"/>
    <w:rsid w:val="00214CF4"/>
    <w:rsid w:val="00281F03"/>
    <w:rsid w:val="0029458A"/>
    <w:rsid w:val="002A1587"/>
    <w:rsid w:val="002B27C5"/>
    <w:rsid w:val="002F6D9C"/>
    <w:rsid w:val="00303008"/>
    <w:rsid w:val="003712F0"/>
    <w:rsid w:val="00373B55"/>
    <w:rsid w:val="003D727E"/>
    <w:rsid w:val="003E0341"/>
    <w:rsid w:val="003E3402"/>
    <w:rsid w:val="003F4736"/>
    <w:rsid w:val="00401B49"/>
    <w:rsid w:val="0042292D"/>
    <w:rsid w:val="00437D5B"/>
    <w:rsid w:val="00440254"/>
    <w:rsid w:val="004629A1"/>
    <w:rsid w:val="004860D3"/>
    <w:rsid w:val="00494D2F"/>
    <w:rsid w:val="004A3BF4"/>
    <w:rsid w:val="004A5DB3"/>
    <w:rsid w:val="0051013F"/>
    <w:rsid w:val="005152D9"/>
    <w:rsid w:val="00531952"/>
    <w:rsid w:val="00533AD4"/>
    <w:rsid w:val="00534849"/>
    <w:rsid w:val="00560102"/>
    <w:rsid w:val="00562EA1"/>
    <w:rsid w:val="00566356"/>
    <w:rsid w:val="005A2543"/>
    <w:rsid w:val="005A498B"/>
    <w:rsid w:val="00617BB8"/>
    <w:rsid w:val="006207FF"/>
    <w:rsid w:val="00651574"/>
    <w:rsid w:val="006550A8"/>
    <w:rsid w:val="00680052"/>
    <w:rsid w:val="00683267"/>
    <w:rsid w:val="006844E9"/>
    <w:rsid w:val="006B3847"/>
    <w:rsid w:val="006B4708"/>
    <w:rsid w:val="00726F3F"/>
    <w:rsid w:val="0075453D"/>
    <w:rsid w:val="007A4CC6"/>
    <w:rsid w:val="007C3623"/>
    <w:rsid w:val="007C5D2A"/>
    <w:rsid w:val="007F1E00"/>
    <w:rsid w:val="00827444"/>
    <w:rsid w:val="008400E3"/>
    <w:rsid w:val="00864538"/>
    <w:rsid w:val="00873B4F"/>
    <w:rsid w:val="008A24F6"/>
    <w:rsid w:val="008C7DB3"/>
    <w:rsid w:val="008E51AE"/>
    <w:rsid w:val="008F2F8C"/>
    <w:rsid w:val="009153EE"/>
    <w:rsid w:val="009925C9"/>
    <w:rsid w:val="009A2322"/>
    <w:rsid w:val="00A179D0"/>
    <w:rsid w:val="00A358A3"/>
    <w:rsid w:val="00A46747"/>
    <w:rsid w:val="00A4785F"/>
    <w:rsid w:val="00A80446"/>
    <w:rsid w:val="00A85D26"/>
    <w:rsid w:val="00A9153A"/>
    <w:rsid w:val="00AB2CF4"/>
    <w:rsid w:val="00AB4376"/>
    <w:rsid w:val="00AC033C"/>
    <w:rsid w:val="00AD2E36"/>
    <w:rsid w:val="00B45DC5"/>
    <w:rsid w:val="00BA6BD8"/>
    <w:rsid w:val="00BD3490"/>
    <w:rsid w:val="00C26226"/>
    <w:rsid w:val="00C32C1A"/>
    <w:rsid w:val="00C3571D"/>
    <w:rsid w:val="00C54F0B"/>
    <w:rsid w:val="00C82621"/>
    <w:rsid w:val="00CB1423"/>
    <w:rsid w:val="00D02508"/>
    <w:rsid w:val="00D778CC"/>
    <w:rsid w:val="00D82FE9"/>
    <w:rsid w:val="00D97B77"/>
    <w:rsid w:val="00DB0844"/>
    <w:rsid w:val="00DB6A85"/>
    <w:rsid w:val="00E06B32"/>
    <w:rsid w:val="00E1290F"/>
    <w:rsid w:val="00E36A80"/>
    <w:rsid w:val="00EB21D7"/>
    <w:rsid w:val="00EC432F"/>
    <w:rsid w:val="00EE3EB7"/>
    <w:rsid w:val="00F47F2E"/>
    <w:rsid w:val="00F57E16"/>
    <w:rsid w:val="00F60336"/>
    <w:rsid w:val="00FC181D"/>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F29B6"/>
  <w15:chartTrackingRefBased/>
  <w15:docId w15:val="{16BCDB50-8552-4074-AAAA-4860FBCF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094747"/>
    <w:rPr>
      <w:color w:val="0000FF"/>
      <w:u w:val="single"/>
    </w:rPr>
  </w:style>
  <w:style w:type="table" w:styleId="Tabel-Gitter">
    <w:name w:val="Table Grid"/>
    <w:basedOn w:val="Tabel-Normal"/>
    <w:rsid w:val="00094747"/>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322">
      <w:bodyDiv w:val="1"/>
      <w:marLeft w:val="0"/>
      <w:marRight w:val="0"/>
      <w:marTop w:val="0"/>
      <w:marBottom w:val="0"/>
      <w:divBdr>
        <w:top w:val="none" w:sz="0" w:space="0" w:color="auto"/>
        <w:left w:val="none" w:sz="0" w:space="0" w:color="auto"/>
        <w:bottom w:val="none" w:sz="0" w:space="0" w:color="auto"/>
        <w:right w:val="none" w:sz="0" w:space="0" w:color="auto"/>
      </w:divBdr>
    </w:div>
    <w:div w:id="58943792">
      <w:bodyDiv w:val="1"/>
      <w:marLeft w:val="0"/>
      <w:marRight w:val="0"/>
      <w:marTop w:val="0"/>
      <w:marBottom w:val="0"/>
      <w:divBdr>
        <w:top w:val="none" w:sz="0" w:space="0" w:color="auto"/>
        <w:left w:val="none" w:sz="0" w:space="0" w:color="auto"/>
        <w:bottom w:val="none" w:sz="0" w:space="0" w:color="auto"/>
        <w:right w:val="none" w:sz="0" w:space="0" w:color="auto"/>
      </w:divBdr>
    </w:div>
    <w:div w:id="205070198">
      <w:bodyDiv w:val="1"/>
      <w:marLeft w:val="0"/>
      <w:marRight w:val="0"/>
      <w:marTop w:val="0"/>
      <w:marBottom w:val="0"/>
      <w:divBdr>
        <w:top w:val="none" w:sz="0" w:space="0" w:color="auto"/>
        <w:left w:val="none" w:sz="0" w:space="0" w:color="auto"/>
        <w:bottom w:val="none" w:sz="0" w:space="0" w:color="auto"/>
        <w:right w:val="none" w:sz="0" w:space="0" w:color="auto"/>
      </w:divBdr>
    </w:div>
    <w:div w:id="284581589">
      <w:bodyDiv w:val="1"/>
      <w:marLeft w:val="0"/>
      <w:marRight w:val="0"/>
      <w:marTop w:val="0"/>
      <w:marBottom w:val="0"/>
      <w:divBdr>
        <w:top w:val="none" w:sz="0" w:space="0" w:color="auto"/>
        <w:left w:val="none" w:sz="0" w:space="0" w:color="auto"/>
        <w:bottom w:val="none" w:sz="0" w:space="0" w:color="auto"/>
        <w:right w:val="none" w:sz="0" w:space="0" w:color="auto"/>
      </w:divBdr>
    </w:div>
    <w:div w:id="358507563">
      <w:bodyDiv w:val="1"/>
      <w:marLeft w:val="0"/>
      <w:marRight w:val="0"/>
      <w:marTop w:val="0"/>
      <w:marBottom w:val="0"/>
      <w:divBdr>
        <w:top w:val="none" w:sz="0" w:space="0" w:color="auto"/>
        <w:left w:val="none" w:sz="0" w:space="0" w:color="auto"/>
        <w:bottom w:val="none" w:sz="0" w:space="0" w:color="auto"/>
        <w:right w:val="none" w:sz="0" w:space="0" w:color="auto"/>
      </w:divBdr>
    </w:div>
    <w:div w:id="397484679">
      <w:bodyDiv w:val="1"/>
      <w:marLeft w:val="0"/>
      <w:marRight w:val="0"/>
      <w:marTop w:val="0"/>
      <w:marBottom w:val="0"/>
      <w:divBdr>
        <w:top w:val="none" w:sz="0" w:space="0" w:color="auto"/>
        <w:left w:val="none" w:sz="0" w:space="0" w:color="auto"/>
        <w:bottom w:val="none" w:sz="0" w:space="0" w:color="auto"/>
        <w:right w:val="none" w:sz="0" w:space="0" w:color="auto"/>
      </w:divBdr>
    </w:div>
    <w:div w:id="459613682">
      <w:bodyDiv w:val="1"/>
      <w:marLeft w:val="0"/>
      <w:marRight w:val="0"/>
      <w:marTop w:val="0"/>
      <w:marBottom w:val="0"/>
      <w:divBdr>
        <w:top w:val="none" w:sz="0" w:space="0" w:color="auto"/>
        <w:left w:val="none" w:sz="0" w:space="0" w:color="auto"/>
        <w:bottom w:val="none" w:sz="0" w:space="0" w:color="auto"/>
        <w:right w:val="none" w:sz="0" w:space="0" w:color="auto"/>
      </w:divBdr>
    </w:div>
    <w:div w:id="494763805">
      <w:bodyDiv w:val="1"/>
      <w:marLeft w:val="0"/>
      <w:marRight w:val="0"/>
      <w:marTop w:val="0"/>
      <w:marBottom w:val="0"/>
      <w:divBdr>
        <w:top w:val="none" w:sz="0" w:space="0" w:color="auto"/>
        <w:left w:val="none" w:sz="0" w:space="0" w:color="auto"/>
        <w:bottom w:val="none" w:sz="0" w:space="0" w:color="auto"/>
        <w:right w:val="none" w:sz="0" w:space="0" w:color="auto"/>
      </w:divBdr>
    </w:div>
    <w:div w:id="507410318">
      <w:bodyDiv w:val="1"/>
      <w:marLeft w:val="0"/>
      <w:marRight w:val="0"/>
      <w:marTop w:val="0"/>
      <w:marBottom w:val="0"/>
      <w:divBdr>
        <w:top w:val="none" w:sz="0" w:space="0" w:color="auto"/>
        <w:left w:val="none" w:sz="0" w:space="0" w:color="auto"/>
        <w:bottom w:val="none" w:sz="0" w:space="0" w:color="auto"/>
        <w:right w:val="none" w:sz="0" w:space="0" w:color="auto"/>
      </w:divBdr>
    </w:div>
    <w:div w:id="578558040">
      <w:bodyDiv w:val="1"/>
      <w:marLeft w:val="0"/>
      <w:marRight w:val="0"/>
      <w:marTop w:val="0"/>
      <w:marBottom w:val="0"/>
      <w:divBdr>
        <w:top w:val="none" w:sz="0" w:space="0" w:color="auto"/>
        <w:left w:val="none" w:sz="0" w:space="0" w:color="auto"/>
        <w:bottom w:val="none" w:sz="0" w:space="0" w:color="auto"/>
        <w:right w:val="none" w:sz="0" w:space="0" w:color="auto"/>
      </w:divBdr>
    </w:div>
    <w:div w:id="628976042">
      <w:bodyDiv w:val="1"/>
      <w:marLeft w:val="0"/>
      <w:marRight w:val="0"/>
      <w:marTop w:val="0"/>
      <w:marBottom w:val="0"/>
      <w:divBdr>
        <w:top w:val="none" w:sz="0" w:space="0" w:color="auto"/>
        <w:left w:val="none" w:sz="0" w:space="0" w:color="auto"/>
        <w:bottom w:val="none" w:sz="0" w:space="0" w:color="auto"/>
        <w:right w:val="none" w:sz="0" w:space="0" w:color="auto"/>
      </w:divBdr>
    </w:div>
    <w:div w:id="644898280">
      <w:bodyDiv w:val="1"/>
      <w:marLeft w:val="0"/>
      <w:marRight w:val="0"/>
      <w:marTop w:val="0"/>
      <w:marBottom w:val="0"/>
      <w:divBdr>
        <w:top w:val="none" w:sz="0" w:space="0" w:color="auto"/>
        <w:left w:val="none" w:sz="0" w:space="0" w:color="auto"/>
        <w:bottom w:val="none" w:sz="0" w:space="0" w:color="auto"/>
        <w:right w:val="none" w:sz="0" w:space="0" w:color="auto"/>
      </w:divBdr>
    </w:div>
    <w:div w:id="675960143">
      <w:bodyDiv w:val="1"/>
      <w:marLeft w:val="0"/>
      <w:marRight w:val="0"/>
      <w:marTop w:val="0"/>
      <w:marBottom w:val="0"/>
      <w:divBdr>
        <w:top w:val="none" w:sz="0" w:space="0" w:color="auto"/>
        <w:left w:val="none" w:sz="0" w:space="0" w:color="auto"/>
        <w:bottom w:val="none" w:sz="0" w:space="0" w:color="auto"/>
        <w:right w:val="none" w:sz="0" w:space="0" w:color="auto"/>
      </w:divBdr>
    </w:div>
    <w:div w:id="718239996">
      <w:bodyDiv w:val="1"/>
      <w:marLeft w:val="0"/>
      <w:marRight w:val="0"/>
      <w:marTop w:val="0"/>
      <w:marBottom w:val="0"/>
      <w:divBdr>
        <w:top w:val="none" w:sz="0" w:space="0" w:color="auto"/>
        <w:left w:val="none" w:sz="0" w:space="0" w:color="auto"/>
        <w:bottom w:val="none" w:sz="0" w:space="0" w:color="auto"/>
        <w:right w:val="none" w:sz="0" w:space="0" w:color="auto"/>
      </w:divBdr>
    </w:div>
    <w:div w:id="993988567">
      <w:bodyDiv w:val="1"/>
      <w:marLeft w:val="0"/>
      <w:marRight w:val="0"/>
      <w:marTop w:val="0"/>
      <w:marBottom w:val="0"/>
      <w:divBdr>
        <w:top w:val="none" w:sz="0" w:space="0" w:color="auto"/>
        <w:left w:val="none" w:sz="0" w:space="0" w:color="auto"/>
        <w:bottom w:val="none" w:sz="0" w:space="0" w:color="auto"/>
        <w:right w:val="none" w:sz="0" w:space="0" w:color="auto"/>
      </w:divBdr>
    </w:div>
    <w:div w:id="1090151991">
      <w:bodyDiv w:val="1"/>
      <w:marLeft w:val="0"/>
      <w:marRight w:val="0"/>
      <w:marTop w:val="0"/>
      <w:marBottom w:val="0"/>
      <w:divBdr>
        <w:top w:val="none" w:sz="0" w:space="0" w:color="auto"/>
        <w:left w:val="none" w:sz="0" w:space="0" w:color="auto"/>
        <w:bottom w:val="none" w:sz="0" w:space="0" w:color="auto"/>
        <w:right w:val="none" w:sz="0" w:space="0" w:color="auto"/>
      </w:divBdr>
    </w:div>
    <w:div w:id="1130439250">
      <w:bodyDiv w:val="1"/>
      <w:marLeft w:val="0"/>
      <w:marRight w:val="0"/>
      <w:marTop w:val="0"/>
      <w:marBottom w:val="0"/>
      <w:divBdr>
        <w:top w:val="none" w:sz="0" w:space="0" w:color="auto"/>
        <w:left w:val="none" w:sz="0" w:space="0" w:color="auto"/>
        <w:bottom w:val="none" w:sz="0" w:space="0" w:color="auto"/>
        <w:right w:val="none" w:sz="0" w:space="0" w:color="auto"/>
      </w:divBdr>
    </w:div>
    <w:div w:id="1459909992">
      <w:bodyDiv w:val="1"/>
      <w:marLeft w:val="0"/>
      <w:marRight w:val="0"/>
      <w:marTop w:val="0"/>
      <w:marBottom w:val="0"/>
      <w:divBdr>
        <w:top w:val="none" w:sz="0" w:space="0" w:color="auto"/>
        <w:left w:val="none" w:sz="0" w:space="0" w:color="auto"/>
        <w:bottom w:val="none" w:sz="0" w:space="0" w:color="auto"/>
        <w:right w:val="none" w:sz="0" w:space="0" w:color="auto"/>
      </w:divBdr>
    </w:div>
    <w:div w:id="1486168546">
      <w:bodyDiv w:val="1"/>
      <w:marLeft w:val="0"/>
      <w:marRight w:val="0"/>
      <w:marTop w:val="0"/>
      <w:marBottom w:val="0"/>
      <w:divBdr>
        <w:top w:val="none" w:sz="0" w:space="0" w:color="auto"/>
        <w:left w:val="none" w:sz="0" w:space="0" w:color="auto"/>
        <w:bottom w:val="none" w:sz="0" w:space="0" w:color="auto"/>
        <w:right w:val="none" w:sz="0" w:space="0" w:color="auto"/>
      </w:divBdr>
    </w:div>
    <w:div w:id="1614748181">
      <w:bodyDiv w:val="1"/>
      <w:marLeft w:val="0"/>
      <w:marRight w:val="0"/>
      <w:marTop w:val="0"/>
      <w:marBottom w:val="0"/>
      <w:divBdr>
        <w:top w:val="none" w:sz="0" w:space="0" w:color="auto"/>
        <w:left w:val="none" w:sz="0" w:space="0" w:color="auto"/>
        <w:bottom w:val="none" w:sz="0" w:space="0" w:color="auto"/>
        <w:right w:val="none" w:sz="0" w:space="0" w:color="auto"/>
      </w:divBdr>
    </w:div>
    <w:div w:id="1739937960">
      <w:bodyDiv w:val="1"/>
      <w:marLeft w:val="0"/>
      <w:marRight w:val="0"/>
      <w:marTop w:val="0"/>
      <w:marBottom w:val="0"/>
      <w:divBdr>
        <w:top w:val="none" w:sz="0" w:space="0" w:color="auto"/>
        <w:left w:val="none" w:sz="0" w:space="0" w:color="auto"/>
        <w:bottom w:val="none" w:sz="0" w:space="0" w:color="auto"/>
        <w:right w:val="none" w:sz="0" w:space="0" w:color="auto"/>
      </w:divBdr>
    </w:div>
    <w:div w:id="1749107694">
      <w:bodyDiv w:val="1"/>
      <w:marLeft w:val="0"/>
      <w:marRight w:val="0"/>
      <w:marTop w:val="0"/>
      <w:marBottom w:val="0"/>
      <w:divBdr>
        <w:top w:val="none" w:sz="0" w:space="0" w:color="auto"/>
        <w:left w:val="none" w:sz="0" w:space="0" w:color="auto"/>
        <w:bottom w:val="none" w:sz="0" w:space="0" w:color="auto"/>
        <w:right w:val="none" w:sz="0" w:space="0" w:color="auto"/>
      </w:divBdr>
    </w:div>
    <w:div w:id="1762291001">
      <w:bodyDiv w:val="1"/>
      <w:marLeft w:val="0"/>
      <w:marRight w:val="0"/>
      <w:marTop w:val="0"/>
      <w:marBottom w:val="0"/>
      <w:divBdr>
        <w:top w:val="none" w:sz="0" w:space="0" w:color="auto"/>
        <w:left w:val="none" w:sz="0" w:space="0" w:color="auto"/>
        <w:bottom w:val="none" w:sz="0" w:space="0" w:color="auto"/>
        <w:right w:val="none" w:sz="0" w:space="0" w:color="auto"/>
      </w:divBdr>
    </w:div>
    <w:div w:id="1939869232">
      <w:bodyDiv w:val="1"/>
      <w:marLeft w:val="0"/>
      <w:marRight w:val="0"/>
      <w:marTop w:val="0"/>
      <w:marBottom w:val="0"/>
      <w:divBdr>
        <w:top w:val="none" w:sz="0" w:space="0" w:color="auto"/>
        <w:left w:val="none" w:sz="0" w:space="0" w:color="auto"/>
        <w:bottom w:val="none" w:sz="0" w:space="0" w:color="auto"/>
        <w:right w:val="none" w:sz="0" w:space="0" w:color="auto"/>
      </w:divBdr>
    </w:div>
    <w:div w:id="2106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12</TotalTime>
  <Pages>23</Pages>
  <Words>8399</Words>
  <Characters>49647</Characters>
  <Application>Microsoft Office Word</Application>
  <DocSecurity>0</DocSecurity>
  <Lines>413</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2024030383, var. 8, opdatering iht reference produkt</dc:description>
  <cp:lastModifiedBy>Gitte Jørgensen</cp:lastModifiedBy>
  <cp:revision>9</cp:revision>
  <cp:lastPrinted>2006-02-24T09:31:00Z</cp:lastPrinted>
  <dcterms:created xsi:type="dcterms:W3CDTF">2025-01-17T09:29:00Z</dcterms:created>
  <dcterms:modified xsi:type="dcterms:W3CDTF">2025-01-17T09:44:00Z</dcterms:modified>
</cp:coreProperties>
</file>