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9AC63" w14:textId="38A741C7" w:rsidR="009260DE" w:rsidRPr="001C2314" w:rsidRDefault="0021526C" w:rsidP="001C2314">
      <w:pPr>
        <w:rPr>
          <w:b/>
          <w:sz w:val="24"/>
          <w:szCs w:val="24"/>
        </w:rPr>
      </w:pPr>
      <w:r w:rsidRPr="001C2314">
        <w:rPr>
          <w:noProof/>
          <w:sz w:val="24"/>
          <w:szCs w:val="24"/>
          <w:lang w:eastAsia="da-DK"/>
        </w:rPr>
        <w:drawing>
          <wp:anchor distT="0" distB="0" distL="114300" distR="114300" simplePos="0" relativeHeight="251658240" behindDoc="0" locked="0" layoutInCell="1" allowOverlap="1" wp14:anchorId="190E5298" wp14:editId="55833D6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C2314">
        <w:rPr>
          <w:sz w:val="24"/>
          <w:szCs w:val="24"/>
        </w:rPr>
        <w:br w:type="textWrapping" w:clear="all"/>
      </w:r>
    </w:p>
    <w:p w14:paraId="10D6F64F" w14:textId="4E840266" w:rsidR="009260DE" w:rsidRPr="000C55C4" w:rsidRDefault="009260DE" w:rsidP="009260DE">
      <w:pPr>
        <w:pStyle w:val="Titel"/>
        <w:tabs>
          <w:tab w:val="right" w:pos="9356"/>
        </w:tabs>
        <w:jc w:val="left"/>
        <w:rPr>
          <w:szCs w:val="24"/>
          <w:lang w:eastAsia="en-US"/>
        </w:rPr>
      </w:pPr>
      <w:r w:rsidRPr="001C2314">
        <w:rPr>
          <w:b w:val="0"/>
          <w:szCs w:val="24"/>
          <w:lang w:eastAsia="en-US"/>
        </w:rPr>
        <w:tab/>
      </w:r>
      <w:r w:rsidR="000C55C4" w:rsidRPr="000C55C4">
        <w:rPr>
          <w:szCs w:val="24"/>
          <w:lang w:eastAsia="en-US"/>
        </w:rPr>
        <w:t>3. april 2025</w:t>
      </w:r>
    </w:p>
    <w:p w14:paraId="21B3EBDA" w14:textId="77777777" w:rsidR="009260DE" w:rsidRPr="001C2314" w:rsidRDefault="009260DE" w:rsidP="009260DE">
      <w:pPr>
        <w:pStyle w:val="Titel"/>
        <w:tabs>
          <w:tab w:val="left" w:pos="8222"/>
        </w:tabs>
        <w:jc w:val="left"/>
        <w:rPr>
          <w:b w:val="0"/>
          <w:szCs w:val="24"/>
        </w:rPr>
      </w:pPr>
    </w:p>
    <w:p w14:paraId="0E6BC8B0" w14:textId="77777777" w:rsidR="009260DE" w:rsidRPr="001C2314" w:rsidRDefault="009260DE" w:rsidP="009260DE">
      <w:pPr>
        <w:pStyle w:val="Titel"/>
        <w:jc w:val="left"/>
        <w:rPr>
          <w:b w:val="0"/>
          <w:szCs w:val="24"/>
        </w:rPr>
      </w:pPr>
    </w:p>
    <w:p w14:paraId="57FECE25" w14:textId="77777777" w:rsidR="009260DE" w:rsidRPr="001C2314" w:rsidRDefault="009260DE" w:rsidP="009260DE">
      <w:pPr>
        <w:pStyle w:val="Titel"/>
        <w:jc w:val="left"/>
        <w:rPr>
          <w:b w:val="0"/>
          <w:szCs w:val="24"/>
        </w:rPr>
      </w:pPr>
    </w:p>
    <w:p w14:paraId="653742D9" w14:textId="77777777" w:rsidR="009260DE" w:rsidRPr="001C2314" w:rsidRDefault="009260DE" w:rsidP="009260DE">
      <w:pPr>
        <w:jc w:val="center"/>
        <w:rPr>
          <w:b/>
          <w:sz w:val="24"/>
          <w:szCs w:val="24"/>
        </w:rPr>
      </w:pPr>
      <w:r w:rsidRPr="001C2314">
        <w:rPr>
          <w:b/>
          <w:sz w:val="24"/>
          <w:szCs w:val="24"/>
        </w:rPr>
        <w:t>PRODUKTRESUMÉ</w:t>
      </w:r>
    </w:p>
    <w:p w14:paraId="140C5DC5" w14:textId="77777777" w:rsidR="009260DE" w:rsidRPr="001C2314" w:rsidRDefault="009260DE" w:rsidP="009260DE">
      <w:pPr>
        <w:jc w:val="center"/>
        <w:rPr>
          <w:b/>
          <w:sz w:val="24"/>
          <w:szCs w:val="24"/>
        </w:rPr>
      </w:pPr>
    </w:p>
    <w:p w14:paraId="3976075D" w14:textId="77777777" w:rsidR="009260DE" w:rsidRPr="001C2314" w:rsidRDefault="009260DE" w:rsidP="009260DE">
      <w:pPr>
        <w:jc w:val="center"/>
        <w:rPr>
          <w:b/>
          <w:sz w:val="24"/>
          <w:szCs w:val="24"/>
        </w:rPr>
      </w:pPr>
      <w:r w:rsidRPr="001C2314">
        <w:rPr>
          <w:b/>
          <w:sz w:val="24"/>
          <w:szCs w:val="24"/>
        </w:rPr>
        <w:t>for</w:t>
      </w:r>
    </w:p>
    <w:p w14:paraId="0005487D" w14:textId="77777777" w:rsidR="000B058C" w:rsidRPr="001C2314" w:rsidRDefault="000B058C" w:rsidP="009260DE">
      <w:pPr>
        <w:jc w:val="center"/>
        <w:rPr>
          <w:b/>
          <w:sz w:val="24"/>
          <w:szCs w:val="24"/>
        </w:rPr>
      </w:pPr>
    </w:p>
    <w:p w14:paraId="65BAA4BF" w14:textId="34788D1E" w:rsidR="009260DE" w:rsidRPr="001C2314" w:rsidRDefault="002743CF" w:rsidP="009260DE">
      <w:pPr>
        <w:jc w:val="center"/>
        <w:rPr>
          <w:b/>
          <w:sz w:val="24"/>
          <w:szCs w:val="24"/>
        </w:rPr>
      </w:pPr>
      <w:proofErr w:type="spellStart"/>
      <w:r w:rsidRPr="001C2314">
        <w:rPr>
          <w:b/>
          <w:sz w:val="24"/>
          <w:szCs w:val="24"/>
        </w:rPr>
        <w:t>Glycopyrronium</w:t>
      </w:r>
      <w:proofErr w:type="spellEnd"/>
      <w:r w:rsidRPr="001C2314">
        <w:rPr>
          <w:b/>
          <w:sz w:val="24"/>
          <w:szCs w:val="24"/>
        </w:rPr>
        <w:t xml:space="preserve"> </w:t>
      </w:r>
      <w:r w:rsidR="003D2392">
        <w:rPr>
          <w:b/>
          <w:sz w:val="24"/>
          <w:szCs w:val="24"/>
        </w:rPr>
        <w:t>"</w:t>
      </w:r>
      <w:r w:rsidRPr="001C2314">
        <w:rPr>
          <w:b/>
          <w:sz w:val="24"/>
          <w:szCs w:val="24"/>
        </w:rPr>
        <w:t>Medical Valley</w:t>
      </w:r>
      <w:r w:rsidR="003D2392">
        <w:rPr>
          <w:b/>
          <w:sz w:val="24"/>
          <w:szCs w:val="24"/>
        </w:rPr>
        <w:t>"</w:t>
      </w:r>
      <w:r w:rsidRPr="001C2314">
        <w:rPr>
          <w:b/>
          <w:sz w:val="24"/>
          <w:szCs w:val="24"/>
        </w:rPr>
        <w:t>, inhalationspulver, hård kapsel</w:t>
      </w:r>
    </w:p>
    <w:p w14:paraId="444F1C36" w14:textId="77777777" w:rsidR="009260DE" w:rsidRPr="001C2314" w:rsidRDefault="009260DE" w:rsidP="009260DE">
      <w:pPr>
        <w:jc w:val="both"/>
        <w:rPr>
          <w:sz w:val="24"/>
          <w:szCs w:val="24"/>
        </w:rPr>
      </w:pPr>
    </w:p>
    <w:p w14:paraId="29FA2FBE" w14:textId="77777777" w:rsidR="009260DE" w:rsidRPr="001C2314" w:rsidRDefault="009260DE" w:rsidP="009260DE">
      <w:pPr>
        <w:jc w:val="both"/>
        <w:rPr>
          <w:sz w:val="24"/>
          <w:szCs w:val="24"/>
        </w:rPr>
      </w:pPr>
    </w:p>
    <w:p w14:paraId="7E06439E" w14:textId="77777777" w:rsidR="009260DE" w:rsidRPr="001C2314" w:rsidRDefault="009260DE" w:rsidP="009260DE">
      <w:pPr>
        <w:tabs>
          <w:tab w:val="left" w:pos="851"/>
        </w:tabs>
        <w:ind w:left="851" w:hanging="851"/>
        <w:rPr>
          <w:b/>
          <w:sz w:val="24"/>
          <w:szCs w:val="24"/>
        </w:rPr>
      </w:pPr>
      <w:r w:rsidRPr="001C2314">
        <w:rPr>
          <w:b/>
          <w:sz w:val="24"/>
          <w:szCs w:val="24"/>
        </w:rPr>
        <w:t>0.</w:t>
      </w:r>
      <w:r w:rsidRPr="001C2314">
        <w:rPr>
          <w:b/>
          <w:sz w:val="24"/>
          <w:szCs w:val="24"/>
        </w:rPr>
        <w:tab/>
        <w:t>D.SP.NR.</w:t>
      </w:r>
    </w:p>
    <w:p w14:paraId="515CFC0F" w14:textId="53826485" w:rsidR="009260DE" w:rsidRPr="001C2314" w:rsidRDefault="002743CF" w:rsidP="009260DE">
      <w:pPr>
        <w:tabs>
          <w:tab w:val="left" w:pos="851"/>
        </w:tabs>
        <w:ind w:left="851"/>
        <w:rPr>
          <w:sz w:val="24"/>
          <w:szCs w:val="24"/>
        </w:rPr>
      </w:pPr>
      <w:r w:rsidRPr="001C2314">
        <w:rPr>
          <w:sz w:val="24"/>
          <w:szCs w:val="24"/>
        </w:rPr>
        <w:t>33538</w:t>
      </w:r>
    </w:p>
    <w:p w14:paraId="773EA86F" w14:textId="77777777" w:rsidR="009260DE" w:rsidRPr="001C2314" w:rsidRDefault="009260DE" w:rsidP="009260DE">
      <w:pPr>
        <w:tabs>
          <w:tab w:val="left" w:pos="851"/>
        </w:tabs>
        <w:ind w:left="851"/>
        <w:rPr>
          <w:sz w:val="24"/>
          <w:szCs w:val="24"/>
        </w:rPr>
      </w:pPr>
    </w:p>
    <w:p w14:paraId="39D09420" w14:textId="77777777" w:rsidR="009260DE" w:rsidRPr="001C2314" w:rsidRDefault="009260DE" w:rsidP="009260DE">
      <w:pPr>
        <w:tabs>
          <w:tab w:val="left" w:pos="851"/>
        </w:tabs>
        <w:ind w:left="851" w:hanging="851"/>
        <w:rPr>
          <w:b/>
          <w:sz w:val="24"/>
          <w:szCs w:val="24"/>
        </w:rPr>
      </w:pPr>
      <w:r w:rsidRPr="001C2314">
        <w:rPr>
          <w:b/>
          <w:sz w:val="24"/>
          <w:szCs w:val="24"/>
        </w:rPr>
        <w:t>1.</w:t>
      </w:r>
      <w:r w:rsidRPr="001C2314">
        <w:rPr>
          <w:b/>
          <w:sz w:val="24"/>
          <w:szCs w:val="24"/>
        </w:rPr>
        <w:tab/>
        <w:t>LÆGEMIDLETS NAVN</w:t>
      </w:r>
    </w:p>
    <w:p w14:paraId="11CF5563" w14:textId="1A2C8111" w:rsidR="009260DE" w:rsidRPr="001C2314" w:rsidRDefault="002743CF" w:rsidP="009260DE">
      <w:pPr>
        <w:tabs>
          <w:tab w:val="left" w:pos="851"/>
        </w:tabs>
        <w:ind w:left="851"/>
        <w:rPr>
          <w:sz w:val="24"/>
          <w:szCs w:val="24"/>
        </w:rPr>
      </w:pP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p>
    <w:p w14:paraId="5A0B6E8F" w14:textId="77777777" w:rsidR="009260DE" w:rsidRPr="001C2314" w:rsidRDefault="009260DE" w:rsidP="009260DE">
      <w:pPr>
        <w:tabs>
          <w:tab w:val="left" w:pos="851"/>
        </w:tabs>
        <w:ind w:left="851"/>
        <w:rPr>
          <w:sz w:val="24"/>
          <w:szCs w:val="24"/>
        </w:rPr>
      </w:pPr>
    </w:p>
    <w:p w14:paraId="039D5B9D" w14:textId="77777777" w:rsidR="009260DE" w:rsidRPr="001C2314" w:rsidRDefault="009260DE" w:rsidP="009260DE">
      <w:pPr>
        <w:tabs>
          <w:tab w:val="left" w:pos="851"/>
        </w:tabs>
        <w:ind w:left="851" w:hanging="851"/>
        <w:rPr>
          <w:b/>
          <w:sz w:val="24"/>
          <w:szCs w:val="24"/>
        </w:rPr>
      </w:pPr>
      <w:r w:rsidRPr="001C2314">
        <w:rPr>
          <w:b/>
          <w:sz w:val="24"/>
          <w:szCs w:val="24"/>
        </w:rPr>
        <w:t>2.</w:t>
      </w:r>
      <w:r w:rsidRPr="001C2314">
        <w:rPr>
          <w:b/>
          <w:sz w:val="24"/>
          <w:szCs w:val="24"/>
        </w:rPr>
        <w:tab/>
        <w:t>KVALITATIV OG KVANTITATIV SAMMENSÆTNING</w:t>
      </w:r>
    </w:p>
    <w:p w14:paraId="7FA2076B" w14:textId="77777777" w:rsidR="002743CF" w:rsidRPr="001C2314" w:rsidRDefault="002743CF" w:rsidP="001C2314">
      <w:pPr>
        <w:suppressAutoHyphens/>
        <w:ind w:left="851"/>
        <w:rPr>
          <w:sz w:val="24"/>
          <w:szCs w:val="24"/>
        </w:rPr>
      </w:pPr>
      <w:r w:rsidRPr="001C2314">
        <w:rPr>
          <w:sz w:val="24"/>
          <w:szCs w:val="24"/>
        </w:rPr>
        <w:t xml:space="preserve">Hver kapsel indeholder 63 mikrogram </w:t>
      </w:r>
      <w:proofErr w:type="spellStart"/>
      <w:r w:rsidRPr="001C2314">
        <w:rPr>
          <w:sz w:val="24"/>
          <w:szCs w:val="24"/>
        </w:rPr>
        <w:t>glycopyrroniumbromid</w:t>
      </w:r>
      <w:proofErr w:type="spellEnd"/>
      <w:r w:rsidRPr="001C2314">
        <w:rPr>
          <w:sz w:val="24"/>
          <w:szCs w:val="24"/>
        </w:rPr>
        <w:t xml:space="preserve"> svarende til 50 mikrogram </w:t>
      </w:r>
      <w:proofErr w:type="spellStart"/>
      <w:r w:rsidRPr="001C2314">
        <w:rPr>
          <w:sz w:val="24"/>
          <w:szCs w:val="24"/>
        </w:rPr>
        <w:t>glycopyrronium</w:t>
      </w:r>
      <w:proofErr w:type="spellEnd"/>
      <w:r w:rsidRPr="001C2314">
        <w:rPr>
          <w:sz w:val="24"/>
          <w:szCs w:val="24"/>
        </w:rPr>
        <w:t>.</w:t>
      </w:r>
    </w:p>
    <w:p w14:paraId="0603A34A" w14:textId="77777777" w:rsidR="002743CF" w:rsidRPr="001C2314" w:rsidRDefault="002743CF" w:rsidP="001C2314">
      <w:pPr>
        <w:suppressAutoHyphens/>
        <w:ind w:left="851"/>
        <w:rPr>
          <w:sz w:val="24"/>
          <w:szCs w:val="24"/>
        </w:rPr>
      </w:pPr>
    </w:p>
    <w:p w14:paraId="549BF478" w14:textId="77777777" w:rsidR="002743CF" w:rsidRPr="001C2314" w:rsidRDefault="002743CF" w:rsidP="001C2314">
      <w:pPr>
        <w:suppressAutoHyphens/>
        <w:ind w:left="851"/>
        <w:rPr>
          <w:sz w:val="24"/>
          <w:szCs w:val="24"/>
        </w:rPr>
      </w:pPr>
      <w:r w:rsidRPr="001C2314">
        <w:rPr>
          <w:sz w:val="24"/>
          <w:szCs w:val="24"/>
        </w:rPr>
        <w:t xml:space="preserve">Hver leveret dosis (den dosis, der afgives fra mundstykket af inhalatoren) indeholder 55 mikrogram </w:t>
      </w:r>
      <w:proofErr w:type="spellStart"/>
      <w:r w:rsidRPr="001C2314">
        <w:rPr>
          <w:sz w:val="24"/>
          <w:szCs w:val="24"/>
        </w:rPr>
        <w:t>glycopyrroniumbromid</w:t>
      </w:r>
      <w:proofErr w:type="spellEnd"/>
      <w:r w:rsidRPr="001C2314">
        <w:rPr>
          <w:sz w:val="24"/>
          <w:szCs w:val="24"/>
        </w:rPr>
        <w:t xml:space="preserve"> svarende til 44 mikrogram </w:t>
      </w:r>
      <w:bookmarkStart w:id="0" w:name="_Hlk184979819"/>
      <w:proofErr w:type="spellStart"/>
      <w:r w:rsidRPr="001C2314">
        <w:rPr>
          <w:sz w:val="24"/>
          <w:szCs w:val="24"/>
        </w:rPr>
        <w:t>glycopyrronium</w:t>
      </w:r>
      <w:bookmarkEnd w:id="0"/>
      <w:proofErr w:type="spellEnd"/>
      <w:r w:rsidRPr="001C2314">
        <w:rPr>
          <w:sz w:val="24"/>
          <w:szCs w:val="24"/>
        </w:rPr>
        <w:t>.</w:t>
      </w:r>
    </w:p>
    <w:p w14:paraId="7DFE8E56" w14:textId="77777777" w:rsidR="002743CF" w:rsidRPr="001C2314" w:rsidRDefault="002743CF" w:rsidP="001C2314">
      <w:pPr>
        <w:suppressAutoHyphens/>
        <w:ind w:left="851"/>
        <w:rPr>
          <w:sz w:val="24"/>
          <w:szCs w:val="24"/>
        </w:rPr>
      </w:pPr>
    </w:p>
    <w:p w14:paraId="29A764EA" w14:textId="77777777" w:rsidR="002743CF" w:rsidRPr="001C2314" w:rsidRDefault="002743CF" w:rsidP="001C2314">
      <w:pPr>
        <w:pStyle w:val="EMEAEnBodyText"/>
        <w:autoSpaceDE w:val="0"/>
        <w:autoSpaceDN w:val="0"/>
        <w:adjustRightInd w:val="0"/>
        <w:spacing w:before="0" w:after="0"/>
        <w:ind w:left="851"/>
        <w:rPr>
          <w:sz w:val="24"/>
          <w:szCs w:val="24"/>
          <w:u w:val="single"/>
          <w:lang w:val="da-DK"/>
        </w:rPr>
      </w:pPr>
      <w:r w:rsidRPr="001C2314">
        <w:rPr>
          <w:sz w:val="24"/>
          <w:szCs w:val="24"/>
          <w:u w:val="single"/>
          <w:lang w:val="da-DK"/>
        </w:rPr>
        <w:t>Hjælpestof(fer), som behandleren skal være opmærksom på</w:t>
      </w:r>
    </w:p>
    <w:p w14:paraId="15D73F99" w14:textId="77777777" w:rsidR="002743CF" w:rsidRPr="001C2314" w:rsidRDefault="002743CF" w:rsidP="001C2314">
      <w:pPr>
        <w:pStyle w:val="EMEAEnBodyText"/>
        <w:autoSpaceDE w:val="0"/>
        <w:autoSpaceDN w:val="0"/>
        <w:adjustRightInd w:val="0"/>
        <w:spacing w:before="0" w:after="0"/>
        <w:ind w:left="851"/>
        <w:rPr>
          <w:sz w:val="24"/>
          <w:szCs w:val="24"/>
          <w:lang w:val="da-DK"/>
        </w:rPr>
      </w:pPr>
      <w:r w:rsidRPr="001C2314">
        <w:rPr>
          <w:sz w:val="24"/>
          <w:szCs w:val="24"/>
          <w:lang w:val="da-DK"/>
        </w:rPr>
        <w:t xml:space="preserve">Hver kapsel indeholder 23,6 mg </w:t>
      </w:r>
      <w:proofErr w:type="spellStart"/>
      <w:r w:rsidRPr="001C2314">
        <w:rPr>
          <w:sz w:val="24"/>
          <w:szCs w:val="24"/>
          <w:lang w:val="da-DK"/>
        </w:rPr>
        <w:t>lactose</w:t>
      </w:r>
      <w:proofErr w:type="spellEnd"/>
      <w:r w:rsidRPr="001C2314">
        <w:rPr>
          <w:sz w:val="24"/>
          <w:szCs w:val="24"/>
          <w:lang w:val="da-DK"/>
        </w:rPr>
        <w:t xml:space="preserve"> (som monohydrat).</w:t>
      </w:r>
    </w:p>
    <w:p w14:paraId="7DAF9B35" w14:textId="77777777" w:rsidR="002743CF" w:rsidRPr="001C2314" w:rsidRDefault="002743CF" w:rsidP="001C2314">
      <w:pPr>
        <w:tabs>
          <w:tab w:val="left" w:pos="567"/>
        </w:tabs>
        <w:spacing w:line="260" w:lineRule="exact"/>
        <w:ind w:left="851"/>
        <w:rPr>
          <w:sz w:val="24"/>
          <w:szCs w:val="24"/>
        </w:rPr>
      </w:pPr>
    </w:p>
    <w:p w14:paraId="54E23D29" w14:textId="77777777" w:rsidR="002743CF" w:rsidRPr="001C2314" w:rsidRDefault="002743CF" w:rsidP="001C2314">
      <w:pPr>
        <w:tabs>
          <w:tab w:val="left" w:pos="567"/>
        </w:tabs>
        <w:spacing w:line="260" w:lineRule="exact"/>
        <w:ind w:left="851"/>
        <w:rPr>
          <w:sz w:val="24"/>
          <w:szCs w:val="24"/>
        </w:rPr>
      </w:pPr>
      <w:r w:rsidRPr="001C2314">
        <w:rPr>
          <w:sz w:val="24"/>
          <w:szCs w:val="24"/>
        </w:rPr>
        <w:t>Alle hjælpestoffer er anført under pkt. 6.1.</w:t>
      </w:r>
    </w:p>
    <w:p w14:paraId="4016D2F6" w14:textId="77777777" w:rsidR="009260DE" w:rsidRPr="001C2314" w:rsidRDefault="009260DE" w:rsidP="009260DE">
      <w:pPr>
        <w:tabs>
          <w:tab w:val="left" w:pos="851"/>
        </w:tabs>
        <w:ind w:left="851"/>
        <w:rPr>
          <w:sz w:val="24"/>
          <w:szCs w:val="24"/>
        </w:rPr>
      </w:pPr>
    </w:p>
    <w:p w14:paraId="46A7F13F" w14:textId="77777777" w:rsidR="009260DE" w:rsidRPr="001C2314" w:rsidRDefault="009260DE" w:rsidP="009260DE">
      <w:pPr>
        <w:tabs>
          <w:tab w:val="left" w:pos="851"/>
        </w:tabs>
        <w:ind w:left="851" w:hanging="851"/>
        <w:rPr>
          <w:b/>
          <w:sz w:val="24"/>
          <w:szCs w:val="24"/>
        </w:rPr>
      </w:pPr>
      <w:r w:rsidRPr="001C2314">
        <w:rPr>
          <w:b/>
          <w:sz w:val="24"/>
          <w:szCs w:val="24"/>
        </w:rPr>
        <w:t>3.</w:t>
      </w:r>
      <w:r w:rsidRPr="001C2314">
        <w:rPr>
          <w:b/>
          <w:sz w:val="24"/>
          <w:szCs w:val="24"/>
        </w:rPr>
        <w:tab/>
        <w:t>LÆGEMIDDELFORM</w:t>
      </w:r>
    </w:p>
    <w:p w14:paraId="3B340A2F" w14:textId="5AD22905" w:rsidR="002743CF" w:rsidRPr="001C2314" w:rsidRDefault="002743CF" w:rsidP="001C2314">
      <w:pPr>
        <w:suppressAutoHyphens/>
        <w:ind w:left="851"/>
        <w:rPr>
          <w:sz w:val="24"/>
          <w:szCs w:val="24"/>
        </w:rPr>
      </w:pPr>
      <w:r w:rsidRPr="001C2314">
        <w:rPr>
          <w:spacing w:val="-3"/>
          <w:sz w:val="24"/>
          <w:szCs w:val="24"/>
        </w:rPr>
        <w:t>Inhalationspulver, hård kapsel</w:t>
      </w:r>
    </w:p>
    <w:p w14:paraId="56778F3B" w14:textId="77777777" w:rsidR="002743CF" w:rsidRPr="001C2314" w:rsidRDefault="002743CF" w:rsidP="001C2314">
      <w:pPr>
        <w:suppressAutoHyphens/>
        <w:ind w:left="851"/>
        <w:rPr>
          <w:sz w:val="24"/>
          <w:szCs w:val="24"/>
        </w:rPr>
      </w:pPr>
    </w:p>
    <w:p w14:paraId="43BEA253" w14:textId="77777777" w:rsidR="002743CF" w:rsidRPr="001C2314" w:rsidRDefault="002743CF" w:rsidP="001C2314">
      <w:pPr>
        <w:ind w:left="851"/>
        <w:rPr>
          <w:sz w:val="24"/>
          <w:szCs w:val="24"/>
        </w:rPr>
      </w:pPr>
      <w:r w:rsidRPr="001C2314">
        <w:rPr>
          <w:sz w:val="24"/>
          <w:szCs w:val="24"/>
        </w:rPr>
        <w:t>Kapsler med en orange, gennemsigtig hætte og en farveløs, gennemsigtig krop indeholdende et hvidt, eller næsten hvidt pulver.</w:t>
      </w:r>
    </w:p>
    <w:p w14:paraId="079685C8" w14:textId="77777777" w:rsidR="009260DE" w:rsidRPr="001C2314" w:rsidRDefault="009260DE" w:rsidP="009260DE">
      <w:pPr>
        <w:tabs>
          <w:tab w:val="left" w:pos="851"/>
        </w:tabs>
        <w:ind w:left="851"/>
        <w:rPr>
          <w:sz w:val="24"/>
          <w:szCs w:val="24"/>
        </w:rPr>
      </w:pPr>
    </w:p>
    <w:p w14:paraId="3496EE72" w14:textId="77777777" w:rsidR="009260DE" w:rsidRPr="001C2314" w:rsidRDefault="009260DE" w:rsidP="009260DE">
      <w:pPr>
        <w:tabs>
          <w:tab w:val="left" w:pos="851"/>
        </w:tabs>
        <w:ind w:left="851"/>
        <w:rPr>
          <w:sz w:val="24"/>
          <w:szCs w:val="24"/>
        </w:rPr>
      </w:pPr>
    </w:p>
    <w:p w14:paraId="1D466C60" w14:textId="77777777" w:rsidR="009260DE" w:rsidRPr="001C2314" w:rsidRDefault="009260DE" w:rsidP="009260DE">
      <w:pPr>
        <w:tabs>
          <w:tab w:val="left" w:pos="851"/>
        </w:tabs>
        <w:ind w:left="851" w:hanging="851"/>
        <w:rPr>
          <w:b/>
          <w:sz w:val="24"/>
          <w:szCs w:val="24"/>
        </w:rPr>
      </w:pPr>
      <w:r w:rsidRPr="001C2314">
        <w:rPr>
          <w:b/>
          <w:sz w:val="24"/>
          <w:szCs w:val="24"/>
        </w:rPr>
        <w:t>4.</w:t>
      </w:r>
      <w:r w:rsidRPr="001C2314">
        <w:rPr>
          <w:b/>
          <w:sz w:val="24"/>
          <w:szCs w:val="24"/>
        </w:rPr>
        <w:tab/>
        <w:t>KLINISKE OPLYSNINGER</w:t>
      </w:r>
    </w:p>
    <w:p w14:paraId="31B85400" w14:textId="77777777" w:rsidR="009260DE" w:rsidRPr="001C2314" w:rsidRDefault="009260DE" w:rsidP="009260DE">
      <w:pPr>
        <w:tabs>
          <w:tab w:val="left" w:pos="851"/>
        </w:tabs>
        <w:ind w:left="851"/>
        <w:rPr>
          <w:b/>
          <w:sz w:val="24"/>
          <w:szCs w:val="24"/>
        </w:rPr>
      </w:pPr>
    </w:p>
    <w:p w14:paraId="077B5587" w14:textId="77777777" w:rsidR="009260DE" w:rsidRPr="001C2314" w:rsidRDefault="009260DE" w:rsidP="009260DE">
      <w:pPr>
        <w:tabs>
          <w:tab w:val="left" w:pos="851"/>
        </w:tabs>
        <w:ind w:left="851" w:hanging="851"/>
        <w:rPr>
          <w:b/>
          <w:sz w:val="24"/>
          <w:szCs w:val="24"/>
          <w:u w:val="single"/>
        </w:rPr>
      </w:pPr>
      <w:r w:rsidRPr="001C2314">
        <w:rPr>
          <w:b/>
          <w:sz w:val="24"/>
          <w:szCs w:val="24"/>
        </w:rPr>
        <w:t>4.1</w:t>
      </w:r>
      <w:r w:rsidRPr="001C2314">
        <w:rPr>
          <w:b/>
          <w:sz w:val="24"/>
          <w:szCs w:val="24"/>
        </w:rPr>
        <w:tab/>
        <w:t>Terapeutiske indikationer</w:t>
      </w:r>
    </w:p>
    <w:p w14:paraId="0A0695F7" w14:textId="568A7472" w:rsidR="002743CF" w:rsidRPr="001C2314" w:rsidRDefault="002743CF" w:rsidP="001C2314">
      <w:pPr>
        <w:ind w:left="851"/>
        <w:rPr>
          <w:sz w:val="24"/>
          <w:szCs w:val="24"/>
        </w:rPr>
      </w:pP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er indiceret som </w:t>
      </w:r>
      <w:proofErr w:type="spellStart"/>
      <w:r w:rsidRPr="001C2314">
        <w:rPr>
          <w:sz w:val="24"/>
          <w:szCs w:val="24"/>
        </w:rPr>
        <w:t>bronkodilaterende</w:t>
      </w:r>
      <w:proofErr w:type="spellEnd"/>
      <w:r w:rsidRPr="001C2314">
        <w:rPr>
          <w:sz w:val="24"/>
          <w:szCs w:val="24"/>
        </w:rPr>
        <w:t xml:space="preserve"> vedligeholdelses</w:t>
      </w:r>
      <w:r w:rsidR="00993EA8">
        <w:rPr>
          <w:sz w:val="24"/>
          <w:szCs w:val="24"/>
        </w:rPr>
        <w:softHyphen/>
      </w:r>
      <w:r w:rsidRPr="001C2314">
        <w:rPr>
          <w:sz w:val="24"/>
          <w:szCs w:val="24"/>
        </w:rPr>
        <w:t>behandling til symptomlindring hos voksne patienter med kronisk obstruktiv lungesygdom (KOL).</w:t>
      </w:r>
    </w:p>
    <w:p w14:paraId="2FDA0BD2" w14:textId="25872C7D" w:rsidR="003D2392" w:rsidRDefault="003D2392">
      <w:pPr>
        <w:rPr>
          <w:sz w:val="24"/>
          <w:szCs w:val="24"/>
        </w:rPr>
      </w:pPr>
      <w:r>
        <w:rPr>
          <w:sz w:val="24"/>
          <w:szCs w:val="24"/>
        </w:rPr>
        <w:br w:type="page"/>
      </w:r>
    </w:p>
    <w:p w14:paraId="4DC26EDC" w14:textId="77777777" w:rsidR="009260DE" w:rsidRPr="001C2314" w:rsidRDefault="009260DE" w:rsidP="009260DE">
      <w:pPr>
        <w:tabs>
          <w:tab w:val="left" w:pos="851"/>
        </w:tabs>
        <w:ind w:left="851"/>
        <w:rPr>
          <w:sz w:val="24"/>
          <w:szCs w:val="24"/>
        </w:rPr>
      </w:pPr>
    </w:p>
    <w:p w14:paraId="5B04424A" w14:textId="77777777" w:rsidR="009260DE" w:rsidRPr="001C2314" w:rsidRDefault="009260DE" w:rsidP="009260DE">
      <w:pPr>
        <w:tabs>
          <w:tab w:val="left" w:pos="851"/>
        </w:tabs>
        <w:ind w:left="851" w:hanging="851"/>
        <w:rPr>
          <w:b/>
          <w:sz w:val="24"/>
          <w:szCs w:val="24"/>
        </w:rPr>
      </w:pPr>
      <w:r w:rsidRPr="001C2314">
        <w:rPr>
          <w:b/>
          <w:sz w:val="24"/>
          <w:szCs w:val="24"/>
        </w:rPr>
        <w:t>4.2</w:t>
      </w:r>
      <w:r w:rsidRPr="001C2314">
        <w:rPr>
          <w:b/>
          <w:sz w:val="24"/>
          <w:szCs w:val="24"/>
        </w:rPr>
        <w:tab/>
        <w:t xml:space="preserve">Dosering og </w:t>
      </w:r>
      <w:r w:rsidR="002C1EC0" w:rsidRPr="001C2314">
        <w:rPr>
          <w:b/>
          <w:sz w:val="24"/>
          <w:szCs w:val="24"/>
        </w:rPr>
        <w:t>administration</w:t>
      </w:r>
    </w:p>
    <w:p w14:paraId="04BD060F" w14:textId="77777777" w:rsidR="001C2314" w:rsidRDefault="001C2314" w:rsidP="001C2314">
      <w:pPr>
        <w:ind w:left="851"/>
        <w:rPr>
          <w:sz w:val="24"/>
          <w:szCs w:val="24"/>
        </w:rPr>
      </w:pPr>
    </w:p>
    <w:p w14:paraId="30A946B9" w14:textId="4B7C906A" w:rsidR="002743CF" w:rsidRPr="001C2314" w:rsidRDefault="002743CF" w:rsidP="001C2314">
      <w:pPr>
        <w:ind w:left="851"/>
        <w:rPr>
          <w:sz w:val="24"/>
          <w:szCs w:val="24"/>
          <w:u w:val="single"/>
        </w:rPr>
      </w:pPr>
      <w:r w:rsidRPr="001C2314">
        <w:rPr>
          <w:sz w:val="24"/>
          <w:szCs w:val="24"/>
          <w:u w:val="single"/>
        </w:rPr>
        <w:t>Dosering</w:t>
      </w:r>
    </w:p>
    <w:p w14:paraId="690B0145" w14:textId="35C781F6" w:rsidR="002743CF" w:rsidRPr="001C2314" w:rsidRDefault="002743CF" w:rsidP="001C2314">
      <w:pPr>
        <w:ind w:left="851"/>
        <w:rPr>
          <w:sz w:val="24"/>
          <w:szCs w:val="24"/>
        </w:rPr>
      </w:pPr>
      <w:r w:rsidRPr="001C2314">
        <w:rPr>
          <w:sz w:val="24"/>
          <w:szCs w:val="24"/>
        </w:rPr>
        <w:t xml:space="preserve">Den anbefalede dosis er inhalation af indholdet i en kapsel én gang dagligt ved hjælp af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 xml:space="preserve">Medical </w:t>
      </w:r>
      <w:proofErr w:type="spellStart"/>
      <w:r w:rsidRPr="001C2314">
        <w:rPr>
          <w:sz w:val="24"/>
          <w:szCs w:val="24"/>
        </w:rPr>
        <w:t>Valley</w:t>
      </w:r>
      <w:r w:rsidR="003D2392">
        <w:rPr>
          <w:sz w:val="24"/>
          <w:szCs w:val="24"/>
        </w:rPr>
        <w:t>"</w:t>
      </w:r>
      <w:r w:rsidRPr="001C2314">
        <w:rPr>
          <w:sz w:val="24"/>
          <w:szCs w:val="24"/>
        </w:rPr>
        <w:t>-inhalatoren</w:t>
      </w:r>
      <w:proofErr w:type="spellEnd"/>
      <w:r w:rsidRPr="001C2314">
        <w:rPr>
          <w:sz w:val="24"/>
          <w:szCs w:val="24"/>
        </w:rPr>
        <w:t>.</w:t>
      </w:r>
    </w:p>
    <w:p w14:paraId="663C9AA4" w14:textId="77777777" w:rsidR="002743CF" w:rsidRPr="001C2314" w:rsidRDefault="002743CF" w:rsidP="001C2314">
      <w:pPr>
        <w:ind w:left="851"/>
        <w:rPr>
          <w:sz w:val="24"/>
          <w:szCs w:val="24"/>
        </w:rPr>
      </w:pPr>
    </w:p>
    <w:p w14:paraId="3E0578F8" w14:textId="4CA49DAF" w:rsidR="002743CF" w:rsidRPr="001C2314" w:rsidRDefault="002743CF" w:rsidP="001C2314">
      <w:pPr>
        <w:ind w:left="851"/>
        <w:rPr>
          <w:sz w:val="24"/>
          <w:szCs w:val="24"/>
        </w:rPr>
      </w:pPr>
      <w:r w:rsidRPr="001C2314">
        <w:rPr>
          <w:sz w:val="24"/>
          <w:szCs w:val="24"/>
        </w:rPr>
        <w:t xml:space="preserve">Det anbefales at tage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på samme tidspunkt hver dag. Hvis en dosis glemmes, skal næste dosis tages hurtigst muligt. Patienterne skal informeres om, at de ikke må tage mere end en dosis om dagen.</w:t>
      </w:r>
    </w:p>
    <w:p w14:paraId="72FE9171" w14:textId="77777777" w:rsidR="002743CF" w:rsidRPr="001C2314" w:rsidRDefault="002743CF" w:rsidP="001C2314">
      <w:pPr>
        <w:ind w:left="851"/>
        <w:rPr>
          <w:sz w:val="24"/>
          <w:szCs w:val="24"/>
        </w:rPr>
      </w:pPr>
    </w:p>
    <w:p w14:paraId="2B1E839A" w14:textId="77777777" w:rsidR="002743CF" w:rsidRPr="001C2314" w:rsidRDefault="002743CF" w:rsidP="001C2314">
      <w:pPr>
        <w:ind w:left="851"/>
        <w:rPr>
          <w:i/>
          <w:sz w:val="24"/>
          <w:szCs w:val="24"/>
        </w:rPr>
      </w:pPr>
      <w:r w:rsidRPr="001C2314">
        <w:rPr>
          <w:i/>
          <w:sz w:val="24"/>
          <w:szCs w:val="24"/>
        </w:rPr>
        <w:t>Ældre population</w:t>
      </w:r>
    </w:p>
    <w:p w14:paraId="4CAB85FC" w14:textId="2F0F36E8" w:rsidR="002743CF" w:rsidRPr="001C2314" w:rsidRDefault="002743CF" w:rsidP="001C2314">
      <w:pPr>
        <w:ind w:left="851"/>
        <w:rPr>
          <w:iCs/>
          <w:sz w:val="24"/>
          <w:szCs w:val="24"/>
        </w:rPr>
      </w:pP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iCs/>
          <w:sz w:val="24"/>
          <w:szCs w:val="24"/>
        </w:rPr>
        <w:t xml:space="preserve"> kan bruges ved den anbefalede dosis til ældre patienter (75 år og derover) (se pkt. 4.8).</w:t>
      </w:r>
    </w:p>
    <w:p w14:paraId="6B3FE29F" w14:textId="77777777" w:rsidR="002743CF" w:rsidRPr="001C2314" w:rsidRDefault="002743CF" w:rsidP="001C2314">
      <w:pPr>
        <w:ind w:left="851"/>
        <w:rPr>
          <w:iCs/>
          <w:sz w:val="24"/>
          <w:szCs w:val="24"/>
        </w:rPr>
      </w:pPr>
    </w:p>
    <w:p w14:paraId="0CE5D1F2" w14:textId="77777777" w:rsidR="002743CF" w:rsidRPr="001C2314" w:rsidRDefault="002743CF" w:rsidP="001C2314">
      <w:pPr>
        <w:ind w:left="851"/>
        <w:rPr>
          <w:i/>
          <w:iCs/>
          <w:sz w:val="24"/>
          <w:szCs w:val="24"/>
        </w:rPr>
      </w:pPr>
      <w:r w:rsidRPr="001C2314">
        <w:rPr>
          <w:i/>
          <w:iCs/>
          <w:sz w:val="24"/>
          <w:szCs w:val="24"/>
        </w:rPr>
        <w:t>Nedsat nyrefunktion</w:t>
      </w:r>
    </w:p>
    <w:p w14:paraId="67B3DED8" w14:textId="04739A7D" w:rsidR="002743CF" w:rsidRPr="001C2314" w:rsidRDefault="002743CF" w:rsidP="001C2314">
      <w:pPr>
        <w:ind w:left="851"/>
        <w:rPr>
          <w:iCs/>
          <w:sz w:val="24"/>
          <w:szCs w:val="24"/>
        </w:rPr>
      </w:pP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iCs/>
          <w:sz w:val="24"/>
          <w:szCs w:val="24"/>
        </w:rPr>
        <w:t xml:space="preserve"> kan bruges ved den anbefalede dosis hos patienter med let til moderat nedsat nyrefunktion. Hos patienter med svært nedsat nyrefunktion eller slutstadiet af nyresygdom, som kræver dialyse, må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iCs/>
          <w:sz w:val="24"/>
          <w:szCs w:val="24"/>
        </w:rPr>
        <w:t xml:space="preserve"> udelukkende bruges, hvis den forventede fordel opvejer den potentielle risiko, eftersom den systemiske eksponering for </w:t>
      </w:r>
      <w:proofErr w:type="spellStart"/>
      <w:r w:rsidRPr="001C2314">
        <w:rPr>
          <w:iCs/>
          <w:sz w:val="24"/>
          <w:szCs w:val="24"/>
        </w:rPr>
        <w:t>glycopyrronium</w:t>
      </w:r>
      <w:proofErr w:type="spellEnd"/>
      <w:r w:rsidRPr="001C2314">
        <w:rPr>
          <w:iCs/>
          <w:sz w:val="24"/>
          <w:szCs w:val="24"/>
        </w:rPr>
        <w:t xml:space="preserve"> kan være øget hos denne population. (se pkt. 4.4 og 5.2).</w:t>
      </w:r>
    </w:p>
    <w:p w14:paraId="7A78EB91" w14:textId="77777777" w:rsidR="002743CF" w:rsidRPr="001C2314" w:rsidRDefault="002743CF" w:rsidP="001C2314">
      <w:pPr>
        <w:ind w:left="851"/>
        <w:rPr>
          <w:iCs/>
          <w:sz w:val="24"/>
          <w:szCs w:val="24"/>
        </w:rPr>
      </w:pPr>
    </w:p>
    <w:p w14:paraId="0BF2177C" w14:textId="77777777" w:rsidR="002743CF" w:rsidRPr="001C2314" w:rsidRDefault="002743CF" w:rsidP="001C2314">
      <w:pPr>
        <w:ind w:left="851"/>
        <w:rPr>
          <w:i/>
          <w:iCs/>
          <w:sz w:val="24"/>
          <w:szCs w:val="24"/>
        </w:rPr>
      </w:pPr>
      <w:r w:rsidRPr="001C2314">
        <w:rPr>
          <w:i/>
          <w:iCs/>
          <w:sz w:val="24"/>
          <w:szCs w:val="24"/>
        </w:rPr>
        <w:t>Nedsat leverfunktion</w:t>
      </w:r>
    </w:p>
    <w:p w14:paraId="617BA29F" w14:textId="77777777" w:rsidR="002743CF" w:rsidRPr="001C2314" w:rsidRDefault="002743CF" w:rsidP="001C2314">
      <w:pPr>
        <w:ind w:left="851"/>
        <w:rPr>
          <w:iCs/>
          <w:sz w:val="24"/>
          <w:szCs w:val="24"/>
        </w:rPr>
      </w:pPr>
      <w:r w:rsidRPr="001C2314">
        <w:rPr>
          <w:iCs/>
          <w:sz w:val="24"/>
          <w:szCs w:val="24"/>
        </w:rPr>
        <w:t xml:space="preserve">Der er ikke udført studier hos patienter med nedsat leverfunktion. </w:t>
      </w:r>
      <w:proofErr w:type="spellStart"/>
      <w:r w:rsidRPr="001C2314">
        <w:rPr>
          <w:iCs/>
          <w:sz w:val="24"/>
          <w:szCs w:val="24"/>
        </w:rPr>
        <w:t>Glycopyrronium</w:t>
      </w:r>
      <w:proofErr w:type="spellEnd"/>
      <w:r w:rsidRPr="001C2314">
        <w:rPr>
          <w:iCs/>
          <w:sz w:val="24"/>
          <w:szCs w:val="24"/>
        </w:rPr>
        <w:t xml:space="preserve"> udskilles hovedsageligt via nyrerne, og der forventes derfor ikke en større stigning i eksponeringen hos patienter med nedsat leverfunktion. Dosisjustering er ikke påkrævet hos patienter med nedsat leverfunktion.</w:t>
      </w:r>
    </w:p>
    <w:p w14:paraId="5F1A9EE7" w14:textId="77777777" w:rsidR="002743CF" w:rsidRPr="001C2314" w:rsidRDefault="002743CF" w:rsidP="001C2314">
      <w:pPr>
        <w:ind w:left="851"/>
        <w:rPr>
          <w:i/>
          <w:sz w:val="24"/>
          <w:szCs w:val="24"/>
        </w:rPr>
      </w:pPr>
    </w:p>
    <w:p w14:paraId="1B4EE866" w14:textId="77777777" w:rsidR="002743CF" w:rsidRPr="001C2314" w:rsidRDefault="002743CF" w:rsidP="001C2314">
      <w:pPr>
        <w:ind w:left="851"/>
        <w:rPr>
          <w:sz w:val="24"/>
          <w:szCs w:val="24"/>
        </w:rPr>
      </w:pPr>
      <w:r w:rsidRPr="001C2314">
        <w:rPr>
          <w:i/>
          <w:sz w:val="24"/>
          <w:szCs w:val="24"/>
        </w:rPr>
        <w:t>Pædiatrisk population</w:t>
      </w:r>
    </w:p>
    <w:p w14:paraId="3D365AC9" w14:textId="29D7C43D" w:rsidR="002743CF" w:rsidRPr="001C2314" w:rsidRDefault="002743CF" w:rsidP="001C2314">
      <w:pPr>
        <w:ind w:left="851"/>
        <w:rPr>
          <w:sz w:val="24"/>
          <w:szCs w:val="24"/>
        </w:rPr>
      </w:pPr>
      <w:r w:rsidRPr="001C2314">
        <w:rPr>
          <w:sz w:val="24"/>
          <w:szCs w:val="24"/>
        </w:rPr>
        <w:t xml:space="preserve">Det er ikke relevant at anvende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hos den pædiatriske population (under 18 år) ved indikationen KOL.</w:t>
      </w:r>
    </w:p>
    <w:p w14:paraId="6945A0AB" w14:textId="77777777" w:rsidR="002743CF" w:rsidRPr="001C2314" w:rsidRDefault="002743CF" w:rsidP="001C2314">
      <w:pPr>
        <w:ind w:left="851"/>
        <w:rPr>
          <w:sz w:val="24"/>
          <w:szCs w:val="24"/>
        </w:rPr>
      </w:pPr>
    </w:p>
    <w:p w14:paraId="2F319D2F" w14:textId="77777777" w:rsidR="002743CF" w:rsidRPr="001C2314" w:rsidRDefault="002743CF" w:rsidP="001C2314">
      <w:pPr>
        <w:ind w:left="851"/>
        <w:rPr>
          <w:sz w:val="24"/>
          <w:szCs w:val="24"/>
          <w:u w:val="single"/>
        </w:rPr>
      </w:pPr>
      <w:r w:rsidRPr="001C2314">
        <w:rPr>
          <w:sz w:val="24"/>
          <w:szCs w:val="24"/>
          <w:u w:val="single"/>
        </w:rPr>
        <w:t>Administration</w:t>
      </w:r>
    </w:p>
    <w:p w14:paraId="1D67DE7B" w14:textId="77777777" w:rsidR="002743CF" w:rsidRPr="001C2314" w:rsidRDefault="002743CF" w:rsidP="001C2314">
      <w:pPr>
        <w:ind w:left="851"/>
        <w:rPr>
          <w:sz w:val="24"/>
          <w:szCs w:val="24"/>
        </w:rPr>
      </w:pPr>
      <w:r w:rsidRPr="001C2314">
        <w:rPr>
          <w:sz w:val="24"/>
          <w:szCs w:val="24"/>
        </w:rPr>
        <w:t>Kun til inhalation.</w:t>
      </w:r>
    </w:p>
    <w:p w14:paraId="34CED652" w14:textId="77777777" w:rsidR="002743CF" w:rsidRPr="001C2314" w:rsidRDefault="002743CF" w:rsidP="001C2314">
      <w:pPr>
        <w:ind w:left="851"/>
        <w:rPr>
          <w:sz w:val="24"/>
          <w:szCs w:val="24"/>
        </w:rPr>
      </w:pPr>
    </w:p>
    <w:p w14:paraId="7E00E61F" w14:textId="5F396E43" w:rsidR="002743CF" w:rsidRPr="001C2314" w:rsidRDefault="002743CF" w:rsidP="001C2314">
      <w:pPr>
        <w:ind w:left="851"/>
        <w:rPr>
          <w:iCs/>
          <w:sz w:val="24"/>
          <w:szCs w:val="24"/>
        </w:rPr>
      </w:pPr>
      <w:r w:rsidRPr="001C2314">
        <w:rPr>
          <w:iCs/>
          <w:sz w:val="24"/>
          <w:szCs w:val="24"/>
        </w:rPr>
        <w:t xml:space="preserve">Kapslerne må kun administreres ved hjælp af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 xml:space="preserve">Medical </w:t>
      </w:r>
      <w:proofErr w:type="spellStart"/>
      <w:r w:rsidRPr="001C2314">
        <w:rPr>
          <w:sz w:val="24"/>
          <w:szCs w:val="24"/>
        </w:rPr>
        <w:t>Valley</w:t>
      </w:r>
      <w:r w:rsidR="003D2392">
        <w:rPr>
          <w:sz w:val="24"/>
          <w:szCs w:val="24"/>
        </w:rPr>
        <w:t>"</w:t>
      </w:r>
      <w:r w:rsidRPr="001C2314">
        <w:rPr>
          <w:iCs/>
          <w:sz w:val="24"/>
          <w:szCs w:val="24"/>
        </w:rPr>
        <w:t>-inhalatoren</w:t>
      </w:r>
      <w:proofErr w:type="spellEnd"/>
      <w:r w:rsidRPr="001C2314">
        <w:rPr>
          <w:iCs/>
          <w:sz w:val="24"/>
          <w:szCs w:val="24"/>
        </w:rPr>
        <w:t xml:space="preserve"> (se pkt. 6.6).</w:t>
      </w:r>
    </w:p>
    <w:p w14:paraId="03892768" w14:textId="77777777" w:rsidR="002743CF" w:rsidRPr="001C2314" w:rsidRDefault="002743CF" w:rsidP="001C2314">
      <w:pPr>
        <w:ind w:left="851"/>
        <w:rPr>
          <w:iCs/>
          <w:sz w:val="24"/>
          <w:szCs w:val="24"/>
        </w:rPr>
      </w:pPr>
    </w:p>
    <w:p w14:paraId="3FB962E0" w14:textId="77777777" w:rsidR="002743CF" w:rsidRPr="001C2314" w:rsidRDefault="002743CF" w:rsidP="001C2314">
      <w:pPr>
        <w:ind w:left="851"/>
        <w:rPr>
          <w:iCs/>
          <w:sz w:val="24"/>
          <w:szCs w:val="24"/>
        </w:rPr>
      </w:pPr>
      <w:r w:rsidRPr="001C2314">
        <w:rPr>
          <w:iCs/>
          <w:sz w:val="24"/>
          <w:szCs w:val="24"/>
        </w:rPr>
        <w:t>Kapslerne må først tages ud af blisteren umiddelbart inden anvendelse.</w:t>
      </w:r>
    </w:p>
    <w:p w14:paraId="4612F7A7" w14:textId="77777777" w:rsidR="002743CF" w:rsidRPr="001C2314" w:rsidRDefault="002743CF" w:rsidP="001C2314">
      <w:pPr>
        <w:ind w:left="851"/>
        <w:rPr>
          <w:iCs/>
          <w:sz w:val="24"/>
          <w:szCs w:val="24"/>
        </w:rPr>
      </w:pPr>
    </w:p>
    <w:p w14:paraId="60B3980F" w14:textId="77777777" w:rsidR="002743CF" w:rsidRPr="001C2314" w:rsidRDefault="002743CF" w:rsidP="001C2314">
      <w:pPr>
        <w:ind w:left="851"/>
        <w:rPr>
          <w:iCs/>
          <w:sz w:val="24"/>
          <w:szCs w:val="24"/>
        </w:rPr>
      </w:pPr>
      <w:r w:rsidRPr="001C2314">
        <w:rPr>
          <w:iCs/>
          <w:sz w:val="24"/>
          <w:szCs w:val="24"/>
        </w:rPr>
        <w:t>Kapslerne må ikke synkes.</w:t>
      </w:r>
    </w:p>
    <w:p w14:paraId="64DD61D8" w14:textId="77777777" w:rsidR="002743CF" w:rsidRPr="001C2314" w:rsidRDefault="002743CF" w:rsidP="001C2314">
      <w:pPr>
        <w:ind w:left="851"/>
        <w:rPr>
          <w:iCs/>
          <w:sz w:val="24"/>
          <w:szCs w:val="24"/>
        </w:rPr>
      </w:pPr>
    </w:p>
    <w:p w14:paraId="1BFF98FA" w14:textId="77777777" w:rsidR="002743CF" w:rsidRPr="001C2314" w:rsidRDefault="002743CF" w:rsidP="001C2314">
      <w:pPr>
        <w:ind w:left="851"/>
        <w:rPr>
          <w:iCs/>
          <w:sz w:val="24"/>
          <w:szCs w:val="24"/>
        </w:rPr>
      </w:pPr>
      <w:r w:rsidRPr="001C2314">
        <w:rPr>
          <w:iCs/>
          <w:sz w:val="24"/>
          <w:szCs w:val="24"/>
        </w:rPr>
        <w:t>Patienter skal informeres om korrekt administration af lægemidlet. Patienter, der ikke oplever en forbedring i vejrtrækningen, skal spørges, om de synker lægemidlet i stedet for at inhalere det.</w:t>
      </w:r>
    </w:p>
    <w:p w14:paraId="379C6BD0" w14:textId="77777777" w:rsidR="002743CF" w:rsidRPr="001C2314" w:rsidRDefault="002743CF" w:rsidP="001C2314">
      <w:pPr>
        <w:ind w:left="851"/>
        <w:rPr>
          <w:iCs/>
          <w:sz w:val="24"/>
          <w:szCs w:val="24"/>
        </w:rPr>
      </w:pPr>
    </w:p>
    <w:p w14:paraId="06E0DEDC" w14:textId="77777777" w:rsidR="002743CF" w:rsidRPr="001C2314" w:rsidRDefault="002743CF" w:rsidP="001C2314">
      <w:pPr>
        <w:ind w:left="851"/>
        <w:rPr>
          <w:iCs/>
          <w:sz w:val="24"/>
          <w:szCs w:val="24"/>
        </w:rPr>
      </w:pPr>
      <w:r w:rsidRPr="001C2314">
        <w:rPr>
          <w:iCs/>
          <w:sz w:val="24"/>
          <w:szCs w:val="24"/>
        </w:rPr>
        <w:t>For instruktioner om brug af lægemidlet før administration, se pkt. 6.6.</w:t>
      </w:r>
    </w:p>
    <w:p w14:paraId="5E46B66E" w14:textId="3723C849" w:rsidR="003D2392" w:rsidRDefault="003D2392">
      <w:pPr>
        <w:rPr>
          <w:sz w:val="24"/>
          <w:szCs w:val="24"/>
        </w:rPr>
      </w:pPr>
      <w:r>
        <w:rPr>
          <w:sz w:val="24"/>
          <w:szCs w:val="24"/>
        </w:rPr>
        <w:br w:type="page"/>
      </w:r>
    </w:p>
    <w:p w14:paraId="72C7749B" w14:textId="77777777" w:rsidR="009260DE" w:rsidRPr="001C2314" w:rsidRDefault="009260DE" w:rsidP="009260DE">
      <w:pPr>
        <w:tabs>
          <w:tab w:val="left" w:pos="851"/>
        </w:tabs>
        <w:ind w:left="851"/>
        <w:rPr>
          <w:sz w:val="24"/>
          <w:szCs w:val="24"/>
        </w:rPr>
      </w:pPr>
    </w:p>
    <w:p w14:paraId="59D19118" w14:textId="77777777" w:rsidR="009260DE" w:rsidRPr="001C2314" w:rsidRDefault="009260DE" w:rsidP="009260DE">
      <w:pPr>
        <w:tabs>
          <w:tab w:val="left" w:pos="851"/>
        </w:tabs>
        <w:ind w:left="851" w:hanging="851"/>
        <w:rPr>
          <w:b/>
          <w:sz w:val="24"/>
          <w:szCs w:val="24"/>
        </w:rPr>
      </w:pPr>
      <w:r w:rsidRPr="001C2314">
        <w:rPr>
          <w:b/>
          <w:sz w:val="24"/>
          <w:szCs w:val="24"/>
        </w:rPr>
        <w:t>4.3</w:t>
      </w:r>
      <w:r w:rsidRPr="001C2314">
        <w:rPr>
          <w:b/>
          <w:sz w:val="24"/>
          <w:szCs w:val="24"/>
        </w:rPr>
        <w:tab/>
        <w:t>Kontraindikationer</w:t>
      </w:r>
    </w:p>
    <w:p w14:paraId="57778DEA" w14:textId="77777777" w:rsidR="002743CF" w:rsidRPr="001C2314" w:rsidRDefault="002743CF" w:rsidP="001C2314">
      <w:pPr>
        <w:ind w:left="851"/>
        <w:rPr>
          <w:sz w:val="24"/>
          <w:szCs w:val="24"/>
        </w:rPr>
      </w:pPr>
      <w:r w:rsidRPr="001C2314">
        <w:rPr>
          <w:sz w:val="24"/>
          <w:szCs w:val="24"/>
        </w:rPr>
        <w:t>Overfølsomhed over for det aktive stof eller over for et eller flere af hjælpestofferne anført i pkt. 6.1.</w:t>
      </w:r>
    </w:p>
    <w:p w14:paraId="52458D14" w14:textId="77777777" w:rsidR="009260DE" w:rsidRPr="001C2314" w:rsidRDefault="009260DE" w:rsidP="009260DE">
      <w:pPr>
        <w:tabs>
          <w:tab w:val="left" w:pos="851"/>
        </w:tabs>
        <w:ind w:left="851"/>
        <w:rPr>
          <w:sz w:val="24"/>
          <w:szCs w:val="24"/>
        </w:rPr>
      </w:pPr>
    </w:p>
    <w:p w14:paraId="514225E3" w14:textId="77777777" w:rsidR="009260DE" w:rsidRPr="001C2314" w:rsidRDefault="009260DE" w:rsidP="009260DE">
      <w:pPr>
        <w:tabs>
          <w:tab w:val="left" w:pos="851"/>
        </w:tabs>
        <w:ind w:left="851" w:hanging="851"/>
        <w:rPr>
          <w:b/>
          <w:sz w:val="24"/>
          <w:szCs w:val="24"/>
        </w:rPr>
      </w:pPr>
      <w:r w:rsidRPr="001C2314">
        <w:rPr>
          <w:b/>
          <w:sz w:val="24"/>
          <w:szCs w:val="24"/>
        </w:rPr>
        <w:t>4.4</w:t>
      </w:r>
      <w:r w:rsidRPr="001C2314">
        <w:rPr>
          <w:b/>
          <w:sz w:val="24"/>
          <w:szCs w:val="24"/>
        </w:rPr>
        <w:tab/>
        <w:t>Særlige advarsler og forsigtighedsregler vedrørende brugen</w:t>
      </w:r>
    </w:p>
    <w:p w14:paraId="64AD34EF" w14:textId="77777777" w:rsidR="001C2314" w:rsidRDefault="001C2314" w:rsidP="001C2314">
      <w:pPr>
        <w:ind w:left="851"/>
        <w:rPr>
          <w:sz w:val="24"/>
          <w:szCs w:val="24"/>
          <w:lang w:eastAsia="en-GB"/>
        </w:rPr>
      </w:pPr>
    </w:p>
    <w:p w14:paraId="04D50B1A" w14:textId="629E0EDE" w:rsidR="002743CF" w:rsidRPr="001C2314" w:rsidRDefault="002743CF" w:rsidP="001C2314">
      <w:pPr>
        <w:ind w:left="851"/>
        <w:rPr>
          <w:b/>
          <w:sz w:val="24"/>
          <w:szCs w:val="24"/>
          <w:u w:val="single"/>
          <w:lang w:eastAsia="en-GB"/>
        </w:rPr>
      </w:pPr>
      <w:r w:rsidRPr="001C2314">
        <w:rPr>
          <w:sz w:val="24"/>
          <w:szCs w:val="24"/>
          <w:u w:val="single"/>
          <w:lang w:eastAsia="en-GB"/>
        </w:rPr>
        <w:t>Ikke til akut anvendelse</w:t>
      </w:r>
    </w:p>
    <w:p w14:paraId="7C17A841" w14:textId="7C513C52" w:rsidR="002743CF" w:rsidRPr="001C2314" w:rsidRDefault="002743CF" w:rsidP="001C2314">
      <w:pPr>
        <w:ind w:left="851"/>
        <w:rPr>
          <w:sz w:val="24"/>
          <w:szCs w:val="24"/>
          <w:lang w:eastAsia="en-GB"/>
        </w:rPr>
      </w:pPr>
      <w:proofErr w:type="spellStart"/>
      <w:r w:rsidRPr="001C2314">
        <w:rPr>
          <w:sz w:val="24"/>
          <w:szCs w:val="24"/>
        </w:rPr>
        <w:t>Glycopyrronium</w:t>
      </w:r>
      <w:proofErr w:type="spellEnd"/>
      <w:r w:rsidRPr="001C2314">
        <w:rPr>
          <w:sz w:val="24"/>
          <w:szCs w:val="24"/>
          <w:lang w:eastAsia="en-GB"/>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sz w:val="24"/>
          <w:szCs w:val="24"/>
          <w:lang w:eastAsia="en-GB"/>
        </w:rPr>
        <w:t xml:space="preserve">er til langtidsvedligeholdelsesbehandling én gang dagligt, og er ikke indiceret til initialbehandling af akutte tilfælde af </w:t>
      </w:r>
      <w:proofErr w:type="spellStart"/>
      <w:r w:rsidRPr="001C2314">
        <w:rPr>
          <w:sz w:val="24"/>
          <w:szCs w:val="24"/>
          <w:lang w:eastAsia="en-GB"/>
        </w:rPr>
        <w:t>bronkospasmer</w:t>
      </w:r>
      <w:proofErr w:type="spellEnd"/>
      <w:r w:rsidRPr="001C2314">
        <w:rPr>
          <w:sz w:val="24"/>
          <w:szCs w:val="24"/>
          <w:lang w:eastAsia="en-GB"/>
        </w:rPr>
        <w:t>, dvs.</w:t>
      </w:r>
      <w:r w:rsidRPr="001C2314">
        <w:rPr>
          <w:i/>
          <w:sz w:val="24"/>
          <w:szCs w:val="24"/>
          <w:lang w:eastAsia="en-GB"/>
        </w:rPr>
        <w:t xml:space="preserve"> </w:t>
      </w:r>
      <w:r w:rsidRPr="001C2314">
        <w:rPr>
          <w:sz w:val="24"/>
          <w:szCs w:val="24"/>
          <w:lang w:eastAsia="en-GB"/>
        </w:rPr>
        <w:t xml:space="preserve">som </w:t>
      </w:r>
      <w:proofErr w:type="spellStart"/>
      <w:r w:rsidRPr="001C2314">
        <w:rPr>
          <w:sz w:val="24"/>
          <w:szCs w:val="24"/>
          <w:lang w:eastAsia="en-GB"/>
        </w:rPr>
        <w:t>anfaldsbehandling</w:t>
      </w:r>
      <w:proofErr w:type="spellEnd"/>
      <w:r w:rsidRPr="001C2314">
        <w:rPr>
          <w:sz w:val="24"/>
          <w:szCs w:val="24"/>
          <w:lang w:eastAsia="en-GB"/>
        </w:rPr>
        <w:t>.</w:t>
      </w:r>
    </w:p>
    <w:p w14:paraId="329EAE37" w14:textId="77777777" w:rsidR="002743CF" w:rsidRPr="001C2314" w:rsidRDefault="002743CF" w:rsidP="001C2314">
      <w:pPr>
        <w:ind w:left="851"/>
        <w:rPr>
          <w:sz w:val="24"/>
          <w:szCs w:val="24"/>
          <w:lang w:eastAsia="en-GB"/>
        </w:rPr>
      </w:pPr>
    </w:p>
    <w:p w14:paraId="0C8E3D57" w14:textId="77777777" w:rsidR="002743CF" w:rsidRPr="001C2314" w:rsidRDefault="002743CF" w:rsidP="001C2314">
      <w:pPr>
        <w:ind w:left="851"/>
        <w:rPr>
          <w:b/>
          <w:sz w:val="24"/>
          <w:szCs w:val="24"/>
          <w:u w:val="single"/>
          <w:lang w:eastAsia="en-GB"/>
        </w:rPr>
      </w:pPr>
      <w:r w:rsidRPr="001C2314">
        <w:rPr>
          <w:sz w:val="24"/>
          <w:szCs w:val="24"/>
          <w:u w:val="single"/>
          <w:lang w:eastAsia="en-GB"/>
        </w:rPr>
        <w:t>Overfølsomhed</w:t>
      </w:r>
    </w:p>
    <w:p w14:paraId="47D3DF6A" w14:textId="604657B1" w:rsidR="002743CF" w:rsidRPr="001C2314" w:rsidRDefault="002743CF" w:rsidP="001C2314">
      <w:pPr>
        <w:ind w:left="851"/>
        <w:rPr>
          <w:sz w:val="24"/>
          <w:szCs w:val="24"/>
          <w:lang w:eastAsia="en-GB"/>
        </w:rPr>
      </w:pPr>
      <w:r w:rsidRPr="001C2314">
        <w:rPr>
          <w:sz w:val="24"/>
          <w:szCs w:val="24"/>
          <w:lang w:eastAsia="en-GB"/>
        </w:rPr>
        <w:t xml:space="preserve">Der er rapporteret øjeblikkelige overfølsomhedsreaktioner efter administration af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lang w:eastAsia="en-GB"/>
        </w:rPr>
        <w:t xml:space="preserve">. Hvis der opstår symptomer, som antyder allergiske reaktioner, især </w:t>
      </w:r>
      <w:proofErr w:type="spellStart"/>
      <w:r w:rsidRPr="001C2314">
        <w:rPr>
          <w:sz w:val="24"/>
          <w:szCs w:val="24"/>
          <w:lang w:eastAsia="en-GB"/>
        </w:rPr>
        <w:t>angioødem</w:t>
      </w:r>
      <w:proofErr w:type="spellEnd"/>
      <w:r w:rsidRPr="001C2314">
        <w:rPr>
          <w:sz w:val="24"/>
          <w:szCs w:val="24"/>
          <w:lang w:eastAsia="en-GB"/>
        </w:rPr>
        <w:t xml:space="preserve"> (omfattende vejrtræknings</w:t>
      </w:r>
      <w:r w:rsidRPr="001C2314">
        <w:rPr>
          <w:sz w:val="24"/>
          <w:szCs w:val="24"/>
          <w:lang w:eastAsia="en-GB"/>
        </w:rPr>
        <w:noBreakHyphen/>
        <w:t xml:space="preserve"> eller synkebesvær, hævet tunge, læber og ansigt), </w:t>
      </w:r>
      <w:proofErr w:type="spellStart"/>
      <w:r w:rsidRPr="001C2314">
        <w:rPr>
          <w:sz w:val="24"/>
          <w:szCs w:val="24"/>
          <w:lang w:eastAsia="en-GB"/>
        </w:rPr>
        <w:t>urticaria</w:t>
      </w:r>
      <w:proofErr w:type="spellEnd"/>
      <w:r w:rsidRPr="001C2314">
        <w:rPr>
          <w:sz w:val="24"/>
          <w:szCs w:val="24"/>
          <w:lang w:eastAsia="en-GB"/>
        </w:rPr>
        <w:t xml:space="preserve"> eller hududslæt, skal behandlingen seponeres med det samme og alternativ terapi startes.</w:t>
      </w:r>
    </w:p>
    <w:p w14:paraId="262EB0D0" w14:textId="77777777" w:rsidR="002743CF" w:rsidRPr="001C2314" w:rsidRDefault="002743CF" w:rsidP="001C2314">
      <w:pPr>
        <w:ind w:left="851"/>
        <w:rPr>
          <w:sz w:val="24"/>
          <w:szCs w:val="24"/>
          <w:lang w:eastAsia="en-GB"/>
        </w:rPr>
      </w:pPr>
    </w:p>
    <w:p w14:paraId="6841E417" w14:textId="77777777" w:rsidR="002743CF" w:rsidRPr="001C2314" w:rsidRDefault="002743CF" w:rsidP="001C2314">
      <w:pPr>
        <w:ind w:left="851"/>
        <w:rPr>
          <w:b/>
          <w:sz w:val="24"/>
          <w:szCs w:val="24"/>
          <w:u w:val="single"/>
          <w:lang w:eastAsia="en-GB"/>
        </w:rPr>
      </w:pPr>
      <w:r w:rsidRPr="001C2314">
        <w:rPr>
          <w:sz w:val="24"/>
          <w:szCs w:val="24"/>
          <w:u w:val="single"/>
          <w:lang w:eastAsia="en-GB"/>
        </w:rPr>
        <w:t xml:space="preserve">Paradokse </w:t>
      </w:r>
      <w:proofErr w:type="spellStart"/>
      <w:r w:rsidRPr="001C2314">
        <w:rPr>
          <w:sz w:val="24"/>
          <w:szCs w:val="24"/>
          <w:u w:val="single"/>
          <w:lang w:eastAsia="en-GB"/>
        </w:rPr>
        <w:t>bronkospasmer</w:t>
      </w:r>
      <w:proofErr w:type="spellEnd"/>
    </w:p>
    <w:p w14:paraId="42D83FF7" w14:textId="1D16EFDC" w:rsidR="002743CF" w:rsidRPr="001C2314" w:rsidRDefault="002743CF" w:rsidP="001C2314">
      <w:pPr>
        <w:ind w:left="851"/>
        <w:rPr>
          <w:sz w:val="24"/>
          <w:szCs w:val="24"/>
          <w:lang w:eastAsia="en-GB"/>
        </w:rPr>
      </w:pPr>
      <w:r w:rsidRPr="001C2314">
        <w:rPr>
          <w:sz w:val="24"/>
          <w:szCs w:val="24"/>
          <w:lang w:eastAsia="en-GB"/>
        </w:rPr>
        <w:t xml:space="preserve">Der er ikke observeret paradoks </w:t>
      </w:r>
      <w:proofErr w:type="spellStart"/>
      <w:r w:rsidRPr="001C2314">
        <w:rPr>
          <w:sz w:val="24"/>
          <w:szCs w:val="24"/>
          <w:lang w:eastAsia="en-GB"/>
        </w:rPr>
        <w:t>bronkospasme</w:t>
      </w:r>
      <w:proofErr w:type="spellEnd"/>
      <w:r w:rsidRPr="001C2314">
        <w:rPr>
          <w:sz w:val="24"/>
          <w:szCs w:val="24"/>
          <w:lang w:eastAsia="en-GB"/>
        </w:rPr>
        <w:t xml:space="preserve"> i kliniske studier med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lang w:eastAsia="en-GB"/>
        </w:rPr>
        <w:t xml:space="preserve">. Paradoks </w:t>
      </w:r>
      <w:proofErr w:type="spellStart"/>
      <w:r w:rsidRPr="001C2314">
        <w:rPr>
          <w:sz w:val="24"/>
          <w:szCs w:val="24"/>
          <w:lang w:eastAsia="en-GB"/>
        </w:rPr>
        <w:t>bronkospasme</w:t>
      </w:r>
      <w:proofErr w:type="spellEnd"/>
      <w:r w:rsidRPr="001C2314">
        <w:rPr>
          <w:sz w:val="24"/>
          <w:szCs w:val="24"/>
          <w:lang w:eastAsia="en-GB"/>
        </w:rPr>
        <w:t xml:space="preserve"> er dog observeret ved anden inhalationsbehandling og kan være livstruende. Hvis det opstår, skal behandlingen straks seponeres og erstattes med alternativ behandling.</w:t>
      </w:r>
    </w:p>
    <w:p w14:paraId="7D1AB900" w14:textId="77777777" w:rsidR="002743CF" w:rsidRPr="001C2314" w:rsidRDefault="002743CF" w:rsidP="001C2314">
      <w:pPr>
        <w:ind w:left="851"/>
        <w:rPr>
          <w:sz w:val="24"/>
          <w:szCs w:val="24"/>
          <w:lang w:eastAsia="en-GB"/>
        </w:rPr>
      </w:pPr>
    </w:p>
    <w:p w14:paraId="05381FC7" w14:textId="77777777" w:rsidR="002743CF" w:rsidRPr="001C2314" w:rsidRDefault="002743CF" w:rsidP="001C2314">
      <w:pPr>
        <w:ind w:left="851"/>
        <w:rPr>
          <w:b/>
          <w:sz w:val="24"/>
          <w:szCs w:val="24"/>
          <w:u w:val="single"/>
          <w:lang w:eastAsia="en-GB"/>
        </w:rPr>
      </w:pPr>
      <w:proofErr w:type="spellStart"/>
      <w:r w:rsidRPr="001C2314">
        <w:rPr>
          <w:sz w:val="24"/>
          <w:szCs w:val="24"/>
          <w:u w:val="single"/>
          <w:lang w:eastAsia="en-GB"/>
        </w:rPr>
        <w:t>Antikolinerg</w:t>
      </w:r>
      <w:proofErr w:type="spellEnd"/>
      <w:r w:rsidRPr="001C2314">
        <w:rPr>
          <w:sz w:val="24"/>
          <w:szCs w:val="24"/>
          <w:u w:val="single"/>
          <w:lang w:eastAsia="en-GB"/>
        </w:rPr>
        <w:t xml:space="preserve"> virkning</w:t>
      </w:r>
    </w:p>
    <w:p w14:paraId="5527C2A0" w14:textId="397067AB" w:rsidR="002743CF" w:rsidRPr="001C2314" w:rsidRDefault="002743CF" w:rsidP="001C2314">
      <w:pPr>
        <w:ind w:left="851"/>
        <w:rPr>
          <w:sz w:val="24"/>
          <w:szCs w:val="24"/>
          <w:lang w:eastAsia="en-GB"/>
        </w:rPr>
      </w:pPr>
      <w:proofErr w:type="spellStart"/>
      <w:r w:rsidRPr="001C2314">
        <w:rPr>
          <w:sz w:val="24"/>
          <w:szCs w:val="24"/>
        </w:rPr>
        <w:t>Glycopyrronium</w:t>
      </w:r>
      <w:proofErr w:type="spellEnd"/>
      <w:r w:rsidRPr="001C2314">
        <w:rPr>
          <w:sz w:val="24"/>
          <w:szCs w:val="24"/>
          <w:lang w:eastAsia="en-GB"/>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sz w:val="24"/>
          <w:szCs w:val="24"/>
          <w:lang w:eastAsia="en-GB"/>
        </w:rPr>
        <w:t xml:space="preserve">skal bruges med forsigtighed til patienter med snævervinklet </w:t>
      </w:r>
      <w:proofErr w:type="spellStart"/>
      <w:r w:rsidRPr="001C2314">
        <w:rPr>
          <w:sz w:val="24"/>
          <w:szCs w:val="24"/>
          <w:lang w:eastAsia="en-GB"/>
        </w:rPr>
        <w:t>glaukom</w:t>
      </w:r>
      <w:proofErr w:type="spellEnd"/>
      <w:r w:rsidRPr="001C2314">
        <w:rPr>
          <w:sz w:val="24"/>
          <w:szCs w:val="24"/>
          <w:lang w:eastAsia="en-GB"/>
        </w:rPr>
        <w:t xml:space="preserve"> eller urinretention.</w:t>
      </w:r>
    </w:p>
    <w:p w14:paraId="716249D7" w14:textId="77777777" w:rsidR="002743CF" w:rsidRPr="001C2314" w:rsidRDefault="002743CF" w:rsidP="001C2314">
      <w:pPr>
        <w:ind w:left="851"/>
        <w:rPr>
          <w:sz w:val="24"/>
          <w:szCs w:val="24"/>
          <w:lang w:eastAsia="en-GB"/>
        </w:rPr>
      </w:pPr>
    </w:p>
    <w:p w14:paraId="62B7B583" w14:textId="78B7E528" w:rsidR="002743CF" w:rsidRPr="001C2314" w:rsidRDefault="002743CF" w:rsidP="001C2314">
      <w:pPr>
        <w:ind w:left="851"/>
        <w:rPr>
          <w:sz w:val="24"/>
          <w:szCs w:val="24"/>
          <w:lang w:eastAsia="en-GB"/>
        </w:rPr>
      </w:pPr>
      <w:r w:rsidRPr="001C2314">
        <w:rPr>
          <w:sz w:val="24"/>
          <w:szCs w:val="24"/>
          <w:lang w:eastAsia="en-GB"/>
        </w:rPr>
        <w:t xml:space="preserve">Patienterne skal informeres om tegn og symptomer på akut snævervinklet </w:t>
      </w:r>
      <w:proofErr w:type="spellStart"/>
      <w:r w:rsidRPr="001C2314">
        <w:rPr>
          <w:sz w:val="24"/>
          <w:szCs w:val="24"/>
          <w:lang w:eastAsia="en-GB"/>
        </w:rPr>
        <w:t>glaukom</w:t>
      </w:r>
      <w:proofErr w:type="spellEnd"/>
      <w:r w:rsidRPr="001C2314">
        <w:rPr>
          <w:sz w:val="24"/>
          <w:szCs w:val="24"/>
          <w:lang w:eastAsia="en-GB"/>
        </w:rPr>
        <w:t xml:space="preserve"> og skal informeres om øjeblikkelig </w:t>
      </w:r>
      <w:proofErr w:type="spellStart"/>
      <w:r w:rsidRPr="001C2314">
        <w:rPr>
          <w:sz w:val="24"/>
          <w:szCs w:val="24"/>
          <w:lang w:eastAsia="en-GB"/>
        </w:rPr>
        <w:t>seponering</w:t>
      </w:r>
      <w:proofErr w:type="spellEnd"/>
      <w:r w:rsidRPr="001C2314">
        <w:rPr>
          <w:sz w:val="24"/>
          <w:szCs w:val="24"/>
          <w:lang w:eastAsia="en-GB"/>
        </w:rPr>
        <w:t xml:space="preserve"> af </w:t>
      </w:r>
      <w:proofErr w:type="spellStart"/>
      <w:r w:rsidRPr="001C2314">
        <w:rPr>
          <w:sz w:val="24"/>
          <w:szCs w:val="24"/>
        </w:rPr>
        <w:t>Glycopyrronium</w:t>
      </w:r>
      <w:proofErr w:type="spellEnd"/>
      <w:r w:rsidRPr="001C2314">
        <w:rPr>
          <w:sz w:val="24"/>
          <w:szCs w:val="24"/>
          <w:lang w:eastAsia="en-GB"/>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sz w:val="24"/>
          <w:szCs w:val="24"/>
          <w:lang w:eastAsia="en-GB"/>
        </w:rPr>
        <w:t>og kontakte lægen, hvis patienten udvikler nogle af disse tegn eller symptomer.</w:t>
      </w:r>
    </w:p>
    <w:p w14:paraId="3CBB5EE5" w14:textId="77777777" w:rsidR="002743CF" w:rsidRPr="001C2314" w:rsidRDefault="002743CF" w:rsidP="001C2314">
      <w:pPr>
        <w:ind w:left="851"/>
        <w:rPr>
          <w:sz w:val="24"/>
          <w:szCs w:val="24"/>
          <w:lang w:eastAsia="en-GB"/>
        </w:rPr>
      </w:pPr>
    </w:p>
    <w:p w14:paraId="7B345E24" w14:textId="77777777" w:rsidR="002743CF" w:rsidRPr="001C2314" w:rsidRDefault="002743CF" w:rsidP="001C2314">
      <w:pPr>
        <w:ind w:left="851"/>
        <w:rPr>
          <w:b/>
          <w:sz w:val="24"/>
          <w:szCs w:val="24"/>
          <w:u w:val="single"/>
          <w:lang w:eastAsia="en-GB"/>
        </w:rPr>
      </w:pPr>
      <w:r w:rsidRPr="001C2314">
        <w:rPr>
          <w:sz w:val="24"/>
          <w:szCs w:val="24"/>
          <w:u w:val="single"/>
          <w:lang w:eastAsia="en-GB"/>
        </w:rPr>
        <w:t>Patienter med svært nedsat nyrefunktion</w:t>
      </w:r>
    </w:p>
    <w:p w14:paraId="230C7AF3" w14:textId="259C5049" w:rsidR="002743CF" w:rsidRPr="001C2314" w:rsidRDefault="002743CF" w:rsidP="001C2314">
      <w:pPr>
        <w:ind w:left="851"/>
        <w:rPr>
          <w:sz w:val="24"/>
          <w:szCs w:val="24"/>
          <w:lang w:eastAsia="en-GB"/>
        </w:rPr>
      </w:pPr>
      <w:r w:rsidRPr="001C2314">
        <w:rPr>
          <w:sz w:val="24"/>
          <w:szCs w:val="24"/>
          <w:lang w:eastAsia="en-GB"/>
        </w:rPr>
        <w:t>En moderat, gennemsnitlig forøgelse i den samlede systemiske eksponering (</w:t>
      </w:r>
      <w:proofErr w:type="spellStart"/>
      <w:r w:rsidRPr="001C2314">
        <w:rPr>
          <w:sz w:val="24"/>
          <w:szCs w:val="24"/>
          <w:lang w:eastAsia="en-GB"/>
        </w:rPr>
        <w:t>AUC</w:t>
      </w:r>
      <w:r w:rsidRPr="001C2314">
        <w:rPr>
          <w:sz w:val="24"/>
          <w:szCs w:val="24"/>
          <w:vertAlign w:val="subscript"/>
          <w:lang w:eastAsia="en-GB"/>
        </w:rPr>
        <w:t>last</w:t>
      </w:r>
      <w:proofErr w:type="spellEnd"/>
      <w:r w:rsidRPr="001C2314">
        <w:rPr>
          <w:sz w:val="24"/>
          <w:szCs w:val="24"/>
          <w:lang w:eastAsia="en-GB"/>
        </w:rPr>
        <w:t xml:space="preserve">) på op til 1,4 gange er set hos forsøgspersoner med let og moderat nedsat nyrefunktion, og op til 2,2 gange hos forsøgspersoner med svært nedsat nyrefunktion og i slutstadiet af nyresygdom. Hos patienter med svært nedsat nyrefunktion (estimeret </w:t>
      </w:r>
      <w:proofErr w:type="spellStart"/>
      <w:r w:rsidRPr="001C2314">
        <w:rPr>
          <w:sz w:val="24"/>
          <w:szCs w:val="24"/>
          <w:lang w:eastAsia="en-GB"/>
        </w:rPr>
        <w:t>glomerulær</w:t>
      </w:r>
      <w:proofErr w:type="spellEnd"/>
      <w:r w:rsidRPr="001C2314">
        <w:rPr>
          <w:sz w:val="24"/>
          <w:szCs w:val="24"/>
          <w:lang w:eastAsia="en-GB"/>
        </w:rPr>
        <w:t xml:space="preserve"> filtrationshastighed på under 30 ml/min/1,73 m</w:t>
      </w:r>
      <w:r w:rsidRPr="001C2314">
        <w:rPr>
          <w:sz w:val="24"/>
          <w:szCs w:val="24"/>
          <w:vertAlign w:val="superscript"/>
          <w:lang w:eastAsia="en-GB"/>
        </w:rPr>
        <w:t>2</w:t>
      </w:r>
      <w:r w:rsidRPr="001C2314">
        <w:rPr>
          <w:sz w:val="24"/>
          <w:szCs w:val="24"/>
          <w:lang w:eastAsia="en-GB"/>
        </w:rPr>
        <w:t xml:space="preserve">), herunder patienter med slutstadiet af nyresygdom, hvor dialyse er påkrævet, må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lang w:eastAsia="en-GB"/>
        </w:rPr>
        <w:t xml:space="preserve"> kun bruges, hvis den forventede fordel opvejer den potentielle risiko (se punkt 5.2). Disse patienter skal monitoreres nøje for potentielle bivirkninger.</w:t>
      </w:r>
    </w:p>
    <w:p w14:paraId="30D57719" w14:textId="77777777" w:rsidR="002743CF" w:rsidRPr="001C2314" w:rsidRDefault="002743CF" w:rsidP="001C2314">
      <w:pPr>
        <w:ind w:left="851"/>
        <w:rPr>
          <w:sz w:val="24"/>
          <w:szCs w:val="24"/>
          <w:lang w:eastAsia="en-GB"/>
        </w:rPr>
      </w:pPr>
    </w:p>
    <w:p w14:paraId="0846C41D" w14:textId="77777777" w:rsidR="002743CF" w:rsidRPr="001C2314" w:rsidRDefault="002743CF" w:rsidP="001C2314">
      <w:pPr>
        <w:ind w:left="851"/>
        <w:rPr>
          <w:sz w:val="24"/>
          <w:szCs w:val="24"/>
          <w:u w:val="single"/>
          <w:lang w:eastAsia="en-GB"/>
        </w:rPr>
      </w:pPr>
      <w:r w:rsidRPr="001C2314">
        <w:rPr>
          <w:sz w:val="24"/>
          <w:szCs w:val="24"/>
          <w:u w:val="single"/>
          <w:lang w:eastAsia="en-GB"/>
        </w:rPr>
        <w:t xml:space="preserve">Patienter med kendt </w:t>
      </w:r>
      <w:proofErr w:type="spellStart"/>
      <w:r w:rsidRPr="001C2314">
        <w:rPr>
          <w:sz w:val="24"/>
          <w:szCs w:val="24"/>
          <w:u w:val="single"/>
          <w:lang w:eastAsia="en-GB"/>
        </w:rPr>
        <w:t>kardiovaskulær</w:t>
      </w:r>
      <w:proofErr w:type="spellEnd"/>
      <w:r w:rsidRPr="001C2314">
        <w:rPr>
          <w:sz w:val="24"/>
          <w:szCs w:val="24"/>
          <w:u w:val="single"/>
          <w:lang w:eastAsia="en-GB"/>
        </w:rPr>
        <w:t xml:space="preserve"> sygdom</w:t>
      </w:r>
    </w:p>
    <w:p w14:paraId="1DDE51B2" w14:textId="4AD2EA29" w:rsidR="002743CF" w:rsidRPr="001C2314" w:rsidRDefault="002743CF" w:rsidP="001C2314">
      <w:pPr>
        <w:ind w:left="851"/>
        <w:rPr>
          <w:sz w:val="24"/>
          <w:szCs w:val="24"/>
          <w:lang w:eastAsia="en-GB"/>
        </w:rPr>
      </w:pPr>
      <w:r w:rsidRPr="001C2314">
        <w:rPr>
          <w:sz w:val="24"/>
          <w:szCs w:val="24"/>
          <w:lang w:eastAsia="en-GB"/>
        </w:rPr>
        <w:t xml:space="preserve">Patienter med ustabil iskæmisk hjertelidelse, venstre </w:t>
      </w:r>
      <w:proofErr w:type="spellStart"/>
      <w:r w:rsidRPr="001C2314">
        <w:rPr>
          <w:sz w:val="24"/>
          <w:szCs w:val="24"/>
          <w:lang w:eastAsia="en-GB"/>
        </w:rPr>
        <w:t>ventrikulær</w:t>
      </w:r>
      <w:proofErr w:type="spellEnd"/>
      <w:r w:rsidRPr="001C2314">
        <w:rPr>
          <w:sz w:val="24"/>
          <w:szCs w:val="24"/>
          <w:lang w:eastAsia="en-GB"/>
        </w:rPr>
        <w:t xml:space="preserve"> dysfunktion, tidligere myokardieinfarkt, </w:t>
      </w:r>
      <w:proofErr w:type="spellStart"/>
      <w:r w:rsidRPr="001C2314">
        <w:rPr>
          <w:sz w:val="24"/>
          <w:szCs w:val="24"/>
          <w:lang w:eastAsia="en-GB"/>
        </w:rPr>
        <w:t>arytmi</w:t>
      </w:r>
      <w:proofErr w:type="spellEnd"/>
      <w:r w:rsidRPr="001C2314">
        <w:rPr>
          <w:sz w:val="24"/>
          <w:szCs w:val="24"/>
          <w:lang w:eastAsia="en-GB"/>
        </w:rPr>
        <w:t xml:space="preserve"> (eksklusive kronisk stabil atrieflimren), kendt langt QT-syndrom eller hvis </w:t>
      </w:r>
      <w:proofErr w:type="spellStart"/>
      <w:r w:rsidRPr="001C2314">
        <w:rPr>
          <w:sz w:val="24"/>
          <w:szCs w:val="24"/>
          <w:lang w:eastAsia="en-GB"/>
        </w:rPr>
        <w:t>QTc</w:t>
      </w:r>
      <w:proofErr w:type="spellEnd"/>
      <w:r w:rsidRPr="001C2314">
        <w:rPr>
          <w:sz w:val="24"/>
          <w:szCs w:val="24"/>
          <w:lang w:eastAsia="en-GB"/>
        </w:rPr>
        <w:t xml:space="preserve"> (</w:t>
      </w:r>
      <w:proofErr w:type="spellStart"/>
      <w:r w:rsidRPr="001C2314">
        <w:rPr>
          <w:sz w:val="24"/>
          <w:szCs w:val="24"/>
          <w:lang w:eastAsia="en-GB"/>
        </w:rPr>
        <w:t>Fridericia</w:t>
      </w:r>
      <w:proofErr w:type="spellEnd"/>
      <w:r w:rsidRPr="001C2314">
        <w:rPr>
          <w:sz w:val="24"/>
          <w:szCs w:val="24"/>
          <w:lang w:eastAsia="en-GB"/>
        </w:rPr>
        <w:t xml:space="preserve"> metode) var forlænget (&gt; 450 ms for mænd eller &gt; 470 ms for kvinder) blev ekskluderet i de kliniske studier, og erfaringen med disse patientgrupper er derfor begrænset.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lang w:eastAsia="en-GB"/>
        </w:rPr>
        <w:t xml:space="preserve"> bør derfor bruges med forsigtighed i disse patientgrupper.</w:t>
      </w:r>
    </w:p>
    <w:p w14:paraId="74F0E63D" w14:textId="77777777" w:rsidR="002743CF" w:rsidRPr="001C2314" w:rsidRDefault="002743CF" w:rsidP="001C2314">
      <w:pPr>
        <w:ind w:left="851"/>
        <w:rPr>
          <w:sz w:val="24"/>
          <w:szCs w:val="24"/>
          <w:lang w:eastAsia="en-GB"/>
        </w:rPr>
      </w:pPr>
    </w:p>
    <w:p w14:paraId="58BDA46D" w14:textId="77777777" w:rsidR="002743CF" w:rsidRPr="00612FBF" w:rsidRDefault="002743CF" w:rsidP="001C2314">
      <w:pPr>
        <w:ind w:left="851"/>
        <w:rPr>
          <w:sz w:val="24"/>
          <w:szCs w:val="24"/>
          <w:u w:val="single"/>
          <w:lang w:eastAsia="en-GB"/>
        </w:rPr>
      </w:pPr>
      <w:r w:rsidRPr="00612FBF">
        <w:rPr>
          <w:sz w:val="24"/>
          <w:szCs w:val="24"/>
          <w:u w:val="single"/>
          <w:lang w:eastAsia="en-GB"/>
        </w:rPr>
        <w:lastRenderedPageBreak/>
        <w:t>Hjælpestoffer</w:t>
      </w:r>
    </w:p>
    <w:p w14:paraId="7E59C395" w14:textId="77777777" w:rsidR="002743CF" w:rsidRPr="001C2314" w:rsidRDefault="002743CF" w:rsidP="001C2314">
      <w:pPr>
        <w:ind w:left="851"/>
        <w:rPr>
          <w:sz w:val="24"/>
          <w:szCs w:val="24"/>
          <w:lang w:eastAsia="en-GB"/>
        </w:rPr>
      </w:pPr>
      <w:r w:rsidRPr="001C2314">
        <w:rPr>
          <w:sz w:val="24"/>
          <w:szCs w:val="24"/>
          <w:lang w:eastAsia="en-GB"/>
        </w:rPr>
        <w:t xml:space="preserve">Dette lægemiddel bør ikke anvendes til patienter med hereditær </w:t>
      </w:r>
      <w:proofErr w:type="spellStart"/>
      <w:r w:rsidRPr="001C2314">
        <w:rPr>
          <w:sz w:val="24"/>
          <w:szCs w:val="24"/>
          <w:lang w:eastAsia="en-GB"/>
        </w:rPr>
        <w:t>galactoseintolerans</w:t>
      </w:r>
      <w:proofErr w:type="spellEnd"/>
      <w:r w:rsidRPr="001C2314">
        <w:rPr>
          <w:sz w:val="24"/>
          <w:szCs w:val="24"/>
          <w:lang w:eastAsia="en-GB"/>
        </w:rPr>
        <w:t xml:space="preserve">, total </w:t>
      </w:r>
      <w:proofErr w:type="spellStart"/>
      <w:r w:rsidRPr="001C2314">
        <w:rPr>
          <w:sz w:val="24"/>
          <w:szCs w:val="24"/>
          <w:lang w:eastAsia="en-GB"/>
        </w:rPr>
        <w:t>lactasemangel</w:t>
      </w:r>
      <w:proofErr w:type="spellEnd"/>
      <w:r w:rsidRPr="001C2314">
        <w:rPr>
          <w:sz w:val="24"/>
          <w:szCs w:val="24"/>
          <w:lang w:eastAsia="en-GB"/>
        </w:rPr>
        <w:t xml:space="preserve"> eller </w:t>
      </w:r>
      <w:proofErr w:type="spellStart"/>
      <w:r w:rsidRPr="001C2314">
        <w:rPr>
          <w:sz w:val="24"/>
          <w:szCs w:val="24"/>
          <w:lang w:eastAsia="en-GB"/>
        </w:rPr>
        <w:t>glucose</w:t>
      </w:r>
      <w:proofErr w:type="spellEnd"/>
      <w:r w:rsidRPr="001C2314">
        <w:rPr>
          <w:sz w:val="24"/>
          <w:szCs w:val="24"/>
          <w:lang w:eastAsia="en-GB"/>
        </w:rPr>
        <w:t>/</w:t>
      </w:r>
      <w:proofErr w:type="spellStart"/>
      <w:r w:rsidRPr="001C2314">
        <w:rPr>
          <w:sz w:val="24"/>
          <w:szCs w:val="24"/>
          <w:lang w:eastAsia="en-GB"/>
        </w:rPr>
        <w:t>galactosemalabsorption</w:t>
      </w:r>
      <w:proofErr w:type="spellEnd"/>
      <w:r w:rsidRPr="001C2314">
        <w:rPr>
          <w:sz w:val="24"/>
          <w:szCs w:val="24"/>
          <w:lang w:eastAsia="en-GB"/>
        </w:rPr>
        <w:t>.</w:t>
      </w:r>
    </w:p>
    <w:p w14:paraId="2BD4E636" w14:textId="77777777" w:rsidR="009260DE" w:rsidRPr="001C2314" w:rsidRDefault="009260DE" w:rsidP="009260DE">
      <w:pPr>
        <w:tabs>
          <w:tab w:val="left" w:pos="851"/>
        </w:tabs>
        <w:ind w:left="851"/>
        <w:rPr>
          <w:sz w:val="24"/>
          <w:szCs w:val="24"/>
        </w:rPr>
      </w:pPr>
    </w:p>
    <w:p w14:paraId="219063BC" w14:textId="77777777" w:rsidR="009260DE" w:rsidRPr="001C2314" w:rsidRDefault="009260DE" w:rsidP="009260DE">
      <w:pPr>
        <w:tabs>
          <w:tab w:val="left" w:pos="851"/>
        </w:tabs>
        <w:ind w:left="851" w:hanging="851"/>
        <w:rPr>
          <w:b/>
          <w:sz w:val="24"/>
          <w:szCs w:val="24"/>
        </w:rPr>
      </w:pPr>
      <w:r w:rsidRPr="001C2314">
        <w:rPr>
          <w:b/>
          <w:sz w:val="24"/>
          <w:szCs w:val="24"/>
        </w:rPr>
        <w:t>4.5</w:t>
      </w:r>
      <w:r w:rsidRPr="001C2314">
        <w:rPr>
          <w:b/>
          <w:sz w:val="24"/>
          <w:szCs w:val="24"/>
        </w:rPr>
        <w:tab/>
        <w:t>Interaktion med andre lægemidler og andre former for interaktion</w:t>
      </w:r>
    </w:p>
    <w:p w14:paraId="5288CC8C" w14:textId="4F5620EE" w:rsidR="002743CF" w:rsidRPr="001C2314" w:rsidRDefault="002743CF" w:rsidP="001C2314">
      <w:pPr>
        <w:ind w:left="851"/>
        <w:rPr>
          <w:sz w:val="24"/>
          <w:szCs w:val="24"/>
        </w:rPr>
      </w:pPr>
      <w:r w:rsidRPr="001C2314">
        <w:rPr>
          <w:sz w:val="24"/>
          <w:szCs w:val="24"/>
        </w:rPr>
        <w:t xml:space="preserve">Samtidig behandling med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og andre </w:t>
      </w:r>
      <w:proofErr w:type="spellStart"/>
      <w:r w:rsidRPr="001C2314">
        <w:rPr>
          <w:sz w:val="24"/>
          <w:szCs w:val="24"/>
        </w:rPr>
        <w:t>antikolinerge</w:t>
      </w:r>
      <w:proofErr w:type="spellEnd"/>
      <w:r w:rsidRPr="001C2314">
        <w:rPr>
          <w:sz w:val="24"/>
          <w:szCs w:val="24"/>
        </w:rPr>
        <w:t xml:space="preserve"> lægemidler er ikke undersøgt og anbefales derfor ikke.</w:t>
      </w:r>
    </w:p>
    <w:p w14:paraId="651C060D" w14:textId="77777777" w:rsidR="002743CF" w:rsidRPr="001C2314" w:rsidRDefault="002743CF" w:rsidP="001C2314">
      <w:pPr>
        <w:ind w:left="851"/>
        <w:rPr>
          <w:sz w:val="24"/>
          <w:szCs w:val="24"/>
        </w:rPr>
      </w:pPr>
    </w:p>
    <w:p w14:paraId="7F210FD6" w14:textId="79F3028A" w:rsidR="002743CF" w:rsidRPr="001C2314" w:rsidRDefault="002743CF" w:rsidP="001C2314">
      <w:pPr>
        <w:ind w:left="851"/>
        <w:rPr>
          <w:sz w:val="24"/>
          <w:szCs w:val="24"/>
        </w:rPr>
      </w:pPr>
      <w:r w:rsidRPr="001C2314">
        <w:rPr>
          <w:sz w:val="24"/>
          <w:szCs w:val="24"/>
        </w:rPr>
        <w:t xml:space="preserve">Der er ikke udført formelle interaktionsstudier, men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er blevet anvendt sammen med andre KOL-lægemidler, herunder </w:t>
      </w:r>
      <w:proofErr w:type="spellStart"/>
      <w:r w:rsidRPr="001C2314">
        <w:rPr>
          <w:sz w:val="24"/>
          <w:szCs w:val="24"/>
        </w:rPr>
        <w:t>sympatomimetiske</w:t>
      </w:r>
      <w:proofErr w:type="spellEnd"/>
      <w:r w:rsidRPr="001C2314">
        <w:rPr>
          <w:sz w:val="24"/>
          <w:szCs w:val="24"/>
        </w:rPr>
        <w:t xml:space="preserve"> </w:t>
      </w:r>
      <w:proofErr w:type="spellStart"/>
      <w:r w:rsidRPr="001C2314">
        <w:rPr>
          <w:sz w:val="24"/>
          <w:szCs w:val="24"/>
        </w:rPr>
        <w:t>bronkodilatorer</w:t>
      </w:r>
      <w:proofErr w:type="spellEnd"/>
      <w:r w:rsidRPr="001C2314">
        <w:rPr>
          <w:sz w:val="24"/>
          <w:szCs w:val="24"/>
        </w:rPr>
        <w:t xml:space="preserve">, </w:t>
      </w:r>
      <w:proofErr w:type="spellStart"/>
      <w:r w:rsidRPr="001C2314">
        <w:rPr>
          <w:sz w:val="24"/>
          <w:szCs w:val="24"/>
        </w:rPr>
        <w:t>methylxanthiner</w:t>
      </w:r>
      <w:proofErr w:type="spellEnd"/>
      <w:r w:rsidRPr="001C2314">
        <w:rPr>
          <w:sz w:val="24"/>
          <w:szCs w:val="24"/>
        </w:rPr>
        <w:t xml:space="preserve"> samt orale og inhalerede steroider, uden kliniske tegn på lægemiddelinteraktioner.</w:t>
      </w:r>
    </w:p>
    <w:p w14:paraId="32699342" w14:textId="77777777" w:rsidR="002743CF" w:rsidRPr="001C2314" w:rsidRDefault="002743CF" w:rsidP="001C2314">
      <w:pPr>
        <w:ind w:left="851"/>
        <w:rPr>
          <w:sz w:val="24"/>
          <w:szCs w:val="24"/>
        </w:rPr>
      </w:pPr>
    </w:p>
    <w:p w14:paraId="1743110A" w14:textId="77777777" w:rsidR="002743CF" w:rsidRPr="001C2314" w:rsidRDefault="002743CF" w:rsidP="001C2314">
      <w:pPr>
        <w:ind w:left="851"/>
        <w:rPr>
          <w:sz w:val="24"/>
          <w:szCs w:val="24"/>
        </w:rPr>
      </w:pPr>
      <w:r w:rsidRPr="001C2314">
        <w:rPr>
          <w:sz w:val="24"/>
          <w:szCs w:val="24"/>
        </w:rPr>
        <w:t xml:space="preserve">I et klinisk studie med raske forsøgspersoner forårsagede </w:t>
      </w:r>
      <w:proofErr w:type="spellStart"/>
      <w:r w:rsidRPr="001C2314">
        <w:rPr>
          <w:sz w:val="24"/>
          <w:szCs w:val="24"/>
        </w:rPr>
        <w:t>cimetidin</w:t>
      </w:r>
      <w:proofErr w:type="spellEnd"/>
      <w:r w:rsidRPr="001C2314">
        <w:rPr>
          <w:sz w:val="24"/>
          <w:szCs w:val="24"/>
        </w:rPr>
        <w:t xml:space="preserve">, en hæmmer af organisk kation-transport, som menes at bidrage til </w:t>
      </w:r>
      <w:proofErr w:type="spellStart"/>
      <w:r w:rsidRPr="001C2314">
        <w:rPr>
          <w:sz w:val="24"/>
          <w:szCs w:val="24"/>
        </w:rPr>
        <w:t>renal</w:t>
      </w:r>
      <w:proofErr w:type="spellEnd"/>
      <w:r w:rsidRPr="001C2314">
        <w:rPr>
          <w:sz w:val="24"/>
          <w:szCs w:val="24"/>
        </w:rPr>
        <w:t xml:space="preserve"> udskillelse af </w:t>
      </w:r>
      <w:proofErr w:type="spellStart"/>
      <w:r w:rsidRPr="001C2314">
        <w:rPr>
          <w:sz w:val="24"/>
          <w:szCs w:val="24"/>
        </w:rPr>
        <w:t>glycopyrronium</w:t>
      </w:r>
      <w:proofErr w:type="spellEnd"/>
      <w:r w:rsidRPr="001C2314">
        <w:rPr>
          <w:sz w:val="24"/>
          <w:szCs w:val="24"/>
        </w:rPr>
        <w:t xml:space="preserve">, en stigning i den samlede eksponering (AUC) for </w:t>
      </w:r>
      <w:proofErr w:type="spellStart"/>
      <w:r w:rsidRPr="001C2314">
        <w:rPr>
          <w:sz w:val="24"/>
          <w:szCs w:val="24"/>
        </w:rPr>
        <w:t>glycopyrronium</w:t>
      </w:r>
      <w:proofErr w:type="spellEnd"/>
      <w:r w:rsidRPr="001C2314">
        <w:rPr>
          <w:sz w:val="24"/>
          <w:szCs w:val="24"/>
        </w:rPr>
        <w:t xml:space="preserve"> på 22 % og en reduktion i </w:t>
      </w:r>
      <w:proofErr w:type="spellStart"/>
      <w:r w:rsidRPr="001C2314">
        <w:rPr>
          <w:sz w:val="24"/>
          <w:szCs w:val="24"/>
        </w:rPr>
        <w:t>renal</w:t>
      </w:r>
      <w:proofErr w:type="spellEnd"/>
      <w:r w:rsidRPr="001C2314">
        <w:rPr>
          <w:sz w:val="24"/>
          <w:szCs w:val="24"/>
        </w:rPr>
        <w:t xml:space="preserve"> </w:t>
      </w:r>
      <w:proofErr w:type="spellStart"/>
      <w:r w:rsidRPr="001C2314">
        <w:rPr>
          <w:sz w:val="24"/>
          <w:szCs w:val="24"/>
        </w:rPr>
        <w:t>clearance</w:t>
      </w:r>
      <w:proofErr w:type="spellEnd"/>
      <w:r w:rsidRPr="001C2314">
        <w:rPr>
          <w:sz w:val="24"/>
          <w:szCs w:val="24"/>
        </w:rPr>
        <w:t xml:space="preserve"> på 23 %. På baggrund af disse ændringers omfang forventes der ingen klinisk relevant lægemiddelinteraktion, når </w:t>
      </w:r>
      <w:proofErr w:type="spellStart"/>
      <w:r w:rsidRPr="001C2314">
        <w:rPr>
          <w:sz w:val="24"/>
          <w:szCs w:val="24"/>
        </w:rPr>
        <w:t>glycopyrronium</w:t>
      </w:r>
      <w:proofErr w:type="spellEnd"/>
      <w:r w:rsidRPr="001C2314">
        <w:rPr>
          <w:sz w:val="24"/>
          <w:szCs w:val="24"/>
        </w:rPr>
        <w:t xml:space="preserve"> administreres sammen med </w:t>
      </w:r>
      <w:proofErr w:type="spellStart"/>
      <w:r w:rsidRPr="001C2314">
        <w:rPr>
          <w:sz w:val="24"/>
          <w:szCs w:val="24"/>
        </w:rPr>
        <w:t>cimetidin</w:t>
      </w:r>
      <w:proofErr w:type="spellEnd"/>
      <w:r w:rsidRPr="001C2314">
        <w:rPr>
          <w:sz w:val="24"/>
          <w:szCs w:val="24"/>
        </w:rPr>
        <w:t xml:space="preserve"> eller andre </w:t>
      </w:r>
      <w:proofErr w:type="spellStart"/>
      <w:r w:rsidRPr="001C2314">
        <w:rPr>
          <w:sz w:val="24"/>
          <w:szCs w:val="24"/>
        </w:rPr>
        <w:t>hæmmere</w:t>
      </w:r>
      <w:proofErr w:type="spellEnd"/>
      <w:r w:rsidRPr="001C2314">
        <w:rPr>
          <w:sz w:val="24"/>
          <w:szCs w:val="24"/>
        </w:rPr>
        <w:t xml:space="preserve"> af organisk kation-transport.</w:t>
      </w:r>
    </w:p>
    <w:p w14:paraId="02F159BE" w14:textId="77777777" w:rsidR="002743CF" w:rsidRPr="001C2314" w:rsidRDefault="002743CF" w:rsidP="001C2314">
      <w:pPr>
        <w:ind w:left="851"/>
        <w:rPr>
          <w:sz w:val="24"/>
          <w:szCs w:val="24"/>
        </w:rPr>
      </w:pPr>
    </w:p>
    <w:p w14:paraId="000C8ED7" w14:textId="77777777" w:rsidR="002743CF" w:rsidRPr="001C2314" w:rsidRDefault="002743CF" w:rsidP="001C2314">
      <w:pPr>
        <w:ind w:left="851"/>
        <w:rPr>
          <w:sz w:val="24"/>
          <w:szCs w:val="24"/>
        </w:rPr>
      </w:pPr>
      <w:r w:rsidRPr="001C2314">
        <w:rPr>
          <w:sz w:val="24"/>
          <w:szCs w:val="24"/>
        </w:rPr>
        <w:t xml:space="preserve">Samtidig administration af </w:t>
      </w:r>
      <w:proofErr w:type="spellStart"/>
      <w:r w:rsidRPr="001C2314">
        <w:rPr>
          <w:sz w:val="24"/>
          <w:szCs w:val="24"/>
        </w:rPr>
        <w:t>glycopyrronium</w:t>
      </w:r>
      <w:proofErr w:type="spellEnd"/>
      <w:r w:rsidRPr="001C2314">
        <w:rPr>
          <w:sz w:val="24"/>
          <w:szCs w:val="24"/>
        </w:rPr>
        <w:t xml:space="preserve"> og oralt inhaleret </w:t>
      </w:r>
      <w:proofErr w:type="spellStart"/>
      <w:r w:rsidRPr="001C2314">
        <w:rPr>
          <w:sz w:val="24"/>
          <w:szCs w:val="24"/>
        </w:rPr>
        <w:t>indacaterol</w:t>
      </w:r>
      <w:proofErr w:type="spellEnd"/>
      <w:r w:rsidRPr="001C2314">
        <w:rPr>
          <w:sz w:val="24"/>
          <w:szCs w:val="24"/>
        </w:rPr>
        <w:t xml:space="preserve">, som er en </w:t>
      </w:r>
      <w:proofErr w:type="spellStart"/>
      <w:r w:rsidRPr="001C2314">
        <w:rPr>
          <w:sz w:val="24"/>
          <w:szCs w:val="24"/>
        </w:rPr>
        <w:t>adrenerg</w:t>
      </w:r>
      <w:proofErr w:type="spellEnd"/>
      <w:r w:rsidRPr="001C2314">
        <w:rPr>
          <w:sz w:val="24"/>
          <w:szCs w:val="24"/>
        </w:rPr>
        <w:t xml:space="preserve"> beta</w:t>
      </w:r>
      <w:r w:rsidRPr="001C2314">
        <w:rPr>
          <w:sz w:val="24"/>
          <w:szCs w:val="24"/>
          <w:vertAlign w:val="subscript"/>
        </w:rPr>
        <w:t>2</w:t>
      </w:r>
      <w:r w:rsidRPr="001C2314">
        <w:rPr>
          <w:sz w:val="24"/>
          <w:szCs w:val="24"/>
        </w:rPr>
        <w:noBreakHyphen/>
        <w:t xml:space="preserve">agonist, havde ingen indvirkning på farmakokinetikken for de to lægemidler under </w:t>
      </w:r>
      <w:proofErr w:type="spellStart"/>
      <w:r w:rsidRPr="001C2314">
        <w:rPr>
          <w:i/>
          <w:iCs/>
          <w:sz w:val="24"/>
          <w:szCs w:val="24"/>
        </w:rPr>
        <w:t>steady</w:t>
      </w:r>
      <w:proofErr w:type="spellEnd"/>
      <w:r w:rsidRPr="001C2314">
        <w:rPr>
          <w:i/>
          <w:iCs/>
          <w:sz w:val="24"/>
          <w:szCs w:val="24"/>
        </w:rPr>
        <w:t xml:space="preserve"> state</w:t>
      </w:r>
      <w:r w:rsidRPr="001C2314">
        <w:rPr>
          <w:sz w:val="24"/>
          <w:szCs w:val="24"/>
        </w:rPr>
        <w:t>-forhold for begge aktive stoffer.</w:t>
      </w:r>
    </w:p>
    <w:p w14:paraId="7CD08627" w14:textId="77777777" w:rsidR="002743CF" w:rsidRPr="001C2314" w:rsidRDefault="002743CF" w:rsidP="001C2314">
      <w:pPr>
        <w:ind w:left="851"/>
        <w:rPr>
          <w:sz w:val="24"/>
          <w:szCs w:val="24"/>
          <w:u w:val="single"/>
        </w:rPr>
      </w:pPr>
    </w:p>
    <w:p w14:paraId="66B771E8" w14:textId="77777777" w:rsidR="002743CF" w:rsidRPr="001C2314" w:rsidRDefault="002743CF" w:rsidP="001C2314">
      <w:pPr>
        <w:ind w:left="851"/>
        <w:rPr>
          <w:sz w:val="24"/>
          <w:szCs w:val="24"/>
        </w:rPr>
      </w:pPr>
      <w:r w:rsidRPr="001C2314">
        <w:rPr>
          <w:sz w:val="24"/>
          <w:szCs w:val="24"/>
        </w:rPr>
        <w:t>Interaktionsstudier er kun udført hos voksne.</w:t>
      </w:r>
    </w:p>
    <w:p w14:paraId="5B5D0D29" w14:textId="77777777" w:rsidR="00612FBF" w:rsidRPr="001C2314" w:rsidRDefault="00612FBF" w:rsidP="009260DE">
      <w:pPr>
        <w:tabs>
          <w:tab w:val="left" w:pos="851"/>
        </w:tabs>
        <w:ind w:left="851"/>
        <w:rPr>
          <w:sz w:val="24"/>
          <w:szCs w:val="24"/>
        </w:rPr>
      </w:pPr>
    </w:p>
    <w:p w14:paraId="26B635DD" w14:textId="77777777" w:rsidR="009260DE" w:rsidRPr="001C2314" w:rsidRDefault="009260DE" w:rsidP="009260DE">
      <w:pPr>
        <w:tabs>
          <w:tab w:val="left" w:pos="851"/>
        </w:tabs>
        <w:ind w:left="851" w:hanging="851"/>
        <w:rPr>
          <w:b/>
          <w:sz w:val="24"/>
          <w:szCs w:val="24"/>
        </w:rPr>
      </w:pPr>
      <w:r w:rsidRPr="001C2314">
        <w:rPr>
          <w:b/>
          <w:sz w:val="24"/>
          <w:szCs w:val="24"/>
        </w:rPr>
        <w:t>4.6</w:t>
      </w:r>
      <w:r w:rsidRPr="001C2314">
        <w:rPr>
          <w:b/>
          <w:sz w:val="24"/>
          <w:szCs w:val="24"/>
        </w:rPr>
        <w:tab/>
      </w:r>
      <w:r w:rsidR="0071241E" w:rsidRPr="001C2314">
        <w:rPr>
          <w:b/>
          <w:sz w:val="24"/>
          <w:szCs w:val="24"/>
        </w:rPr>
        <w:t>Fertilitet, g</w:t>
      </w:r>
      <w:r w:rsidRPr="001C2314">
        <w:rPr>
          <w:b/>
          <w:sz w:val="24"/>
          <w:szCs w:val="24"/>
        </w:rPr>
        <w:t>raviditet og amning</w:t>
      </w:r>
    </w:p>
    <w:p w14:paraId="65265090" w14:textId="77777777" w:rsidR="00612FBF" w:rsidRDefault="00612FBF" w:rsidP="001C2314">
      <w:pPr>
        <w:ind w:left="851"/>
        <w:rPr>
          <w:sz w:val="24"/>
          <w:szCs w:val="24"/>
          <w:u w:val="single"/>
        </w:rPr>
      </w:pPr>
    </w:p>
    <w:p w14:paraId="033D2BC4" w14:textId="1BCEBC9B" w:rsidR="002743CF" w:rsidRPr="001C2314" w:rsidRDefault="002743CF" w:rsidP="001C2314">
      <w:pPr>
        <w:ind w:left="851"/>
        <w:rPr>
          <w:sz w:val="24"/>
          <w:szCs w:val="24"/>
          <w:u w:val="single"/>
        </w:rPr>
      </w:pPr>
      <w:r w:rsidRPr="001C2314">
        <w:rPr>
          <w:sz w:val="24"/>
          <w:szCs w:val="24"/>
          <w:u w:val="single"/>
        </w:rPr>
        <w:t>Graviditet</w:t>
      </w:r>
    </w:p>
    <w:p w14:paraId="5CC4C336" w14:textId="108A6E47" w:rsidR="002743CF" w:rsidRPr="001C2314" w:rsidRDefault="002743CF" w:rsidP="001C2314">
      <w:pPr>
        <w:ind w:left="851"/>
        <w:rPr>
          <w:sz w:val="24"/>
          <w:szCs w:val="24"/>
        </w:rPr>
      </w:pPr>
      <w:r w:rsidRPr="001C2314">
        <w:rPr>
          <w:sz w:val="24"/>
          <w:szCs w:val="24"/>
        </w:rPr>
        <w:t xml:space="preserve">Der er ingen data fra anvendelse af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til gravide kvinder. Dyrestudier indikerer hverken direkte eller indirekte skadelige virkninger, hvad angår reproduktionstoksicitet (se pkt. 5.3). </w:t>
      </w:r>
      <w:proofErr w:type="spellStart"/>
      <w:r w:rsidRPr="001C2314">
        <w:rPr>
          <w:sz w:val="24"/>
          <w:szCs w:val="24"/>
        </w:rPr>
        <w:t>Glycopyrronium</w:t>
      </w:r>
      <w:proofErr w:type="spellEnd"/>
      <w:r w:rsidRPr="001C2314">
        <w:rPr>
          <w:sz w:val="24"/>
          <w:szCs w:val="24"/>
        </w:rPr>
        <w:t xml:space="preserve"> må kun anvendes under graviditet, hvis den forventede fordel for patienten opvejer den potentielle risiko for fosteret.</w:t>
      </w:r>
    </w:p>
    <w:p w14:paraId="0381D3A0" w14:textId="77777777" w:rsidR="002743CF" w:rsidRPr="001C2314" w:rsidRDefault="002743CF" w:rsidP="001C2314">
      <w:pPr>
        <w:ind w:left="851"/>
        <w:rPr>
          <w:sz w:val="24"/>
          <w:szCs w:val="24"/>
          <w:u w:val="single"/>
        </w:rPr>
      </w:pPr>
    </w:p>
    <w:p w14:paraId="26A065E9" w14:textId="77777777" w:rsidR="002743CF" w:rsidRPr="001C2314" w:rsidRDefault="002743CF" w:rsidP="001C2314">
      <w:pPr>
        <w:ind w:left="851"/>
        <w:rPr>
          <w:sz w:val="24"/>
          <w:szCs w:val="24"/>
          <w:u w:val="single"/>
        </w:rPr>
      </w:pPr>
      <w:r w:rsidRPr="001C2314">
        <w:rPr>
          <w:sz w:val="24"/>
          <w:szCs w:val="24"/>
          <w:u w:val="single"/>
        </w:rPr>
        <w:t>Amning</w:t>
      </w:r>
    </w:p>
    <w:p w14:paraId="72726BBD" w14:textId="77777777" w:rsidR="002743CF" w:rsidRPr="001C2314" w:rsidRDefault="002743CF" w:rsidP="001C2314">
      <w:pPr>
        <w:ind w:left="851"/>
        <w:rPr>
          <w:sz w:val="24"/>
          <w:szCs w:val="24"/>
        </w:rPr>
      </w:pPr>
      <w:r w:rsidRPr="001C2314">
        <w:rPr>
          <w:sz w:val="24"/>
          <w:szCs w:val="24"/>
        </w:rPr>
        <w:t xml:space="preserve">Det er ukendt, om </w:t>
      </w:r>
      <w:proofErr w:type="spellStart"/>
      <w:r w:rsidRPr="001C2314">
        <w:rPr>
          <w:sz w:val="24"/>
          <w:szCs w:val="24"/>
        </w:rPr>
        <w:t>glycopyrroniumbromid</w:t>
      </w:r>
      <w:proofErr w:type="spellEnd"/>
      <w:r w:rsidRPr="001C2314">
        <w:rPr>
          <w:sz w:val="24"/>
          <w:szCs w:val="24"/>
        </w:rPr>
        <w:t xml:space="preserve"> udskilles i human mælk. </w:t>
      </w:r>
      <w:proofErr w:type="spellStart"/>
      <w:r w:rsidRPr="001C2314">
        <w:rPr>
          <w:sz w:val="24"/>
          <w:szCs w:val="24"/>
        </w:rPr>
        <w:t>Glycopyrroniumbromid</w:t>
      </w:r>
      <w:proofErr w:type="spellEnd"/>
      <w:r w:rsidRPr="001C2314">
        <w:rPr>
          <w:sz w:val="24"/>
          <w:szCs w:val="24"/>
        </w:rPr>
        <w:t xml:space="preserve"> (herunder metabolitter) udskilles imidlertid i mælk fra diende rotter (se pkt. 5.3). Anvendelsen af </w:t>
      </w:r>
      <w:proofErr w:type="spellStart"/>
      <w:r w:rsidRPr="001C2314">
        <w:rPr>
          <w:sz w:val="24"/>
          <w:szCs w:val="24"/>
        </w:rPr>
        <w:t>glycopyrronium</w:t>
      </w:r>
      <w:proofErr w:type="spellEnd"/>
      <w:r w:rsidRPr="001C2314">
        <w:rPr>
          <w:sz w:val="24"/>
          <w:szCs w:val="24"/>
        </w:rPr>
        <w:t xml:space="preserve"> hos ammende kvinder bør kun overvejes, hvis den forventede fordel for kvinden er større end den potentielle risiko for spædbarnet (se pkt. 5.3).</w:t>
      </w:r>
    </w:p>
    <w:p w14:paraId="2A9C3888" w14:textId="77777777" w:rsidR="002743CF" w:rsidRPr="001C2314" w:rsidRDefault="002743CF" w:rsidP="001C2314">
      <w:pPr>
        <w:ind w:left="851"/>
        <w:rPr>
          <w:sz w:val="24"/>
          <w:szCs w:val="24"/>
        </w:rPr>
      </w:pPr>
    </w:p>
    <w:p w14:paraId="46319172" w14:textId="77777777" w:rsidR="002743CF" w:rsidRPr="001C2314" w:rsidRDefault="002743CF" w:rsidP="001C2314">
      <w:pPr>
        <w:ind w:left="851"/>
        <w:rPr>
          <w:sz w:val="24"/>
          <w:szCs w:val="24"/>
          <w:u w:val="single"/>
        </w:rPr>
      </w:pPr>
      <w:r w:rsidRPr="001C2314">
        <w:rPr>
          <w:sz w:val="24"/>
          <w:szCs w:val="24"/>
          <w:u w:val="single"/>
        </w:rPr>
        <w:t>Fertilitet</w:t>
      </w:r>
    </w:p>
    <w:p w14:paraId="76A5ACA9" w14:textId="77777777" w:rsidR="002743CF" w:rsidRPr="001C2314" w:rsidRDefault="002743CF" w:rsidP="001C2314">
      <w:pPr>
        <w:ind w:left="851"/>
        <w:rPr>
          <w:sz w:val="24"/>
          <w:szCs w:val="24"/>
        </w:rPr>
      </w:pPr>
      <w:r w:rsidRPr="001C2314">
        <w:rPr>
          <w:sz w:val="24"/>
          <w:szCs w:val="24"/>
        </w:rPr>
        <w:t>Reproduktionsstudier og andre data fra dyr indikerer ikke problemer i forbindelse med fertilitet hos hverken mænd eller kvinder (se pkt. 5.3).</w:t>
      </w:r>
    </w:p>
    <w:p w14:paraId="40752CF0" w14:textId="77777777" w:rsidR="009260DE" w:rsidRPr="001C2314" w:rsidRDefault="009260DE" w:rsidP="009260DE">
      <w:pPr>
        <w:tabs>
          <w:tab w:val="left" w:pos="851"/>
        </w:tabs>
        <w:ind w:left="851"/>
        <w:rPr>
          <w:sz w:val="24"/>
          <w:szCs w:val="24"/>
        </w:rPr>
      </w:pPr>
    </w:p>
    <w:p w14:paraId="6A49D185" w14:textId="77777777" w:rsidR="009260DE" w:rsidRPr="001C2314" w:rsidRDefault="009260DE" w:rsidP="009260DE">
      <w:pPr>
        <w:tabs>
          <w:tab w:val="left" w:pos="851"/>
        </w:tabs>
        <w:ind w:left="851" w:hanging="851"/>
        <w:rPr>
          <w:b/>
          <w:sz w:val="24"/>
          <w:szCs w:val="24"/>
        </w:rPr>
      </w:pPr>
      <w:r w:rsidRPr="001C2314">
        <w:rPr>
          <w:b/>
          <w:sz w:val="24"/>
          <w:szCs w:val="24"/>
        </w:rPr>
        <w:t>4.7</w:t>
      </w:r>
      <w:r w:rsidRPr="001C2314">
        <w:rPr>
          <w:b/>
          <w:sz w:val="24"/>
          <w:szCs w:val="24"/>
        </w:rPr>
        <w:tab/>
        <w:t xml:space="preserve">Virkning på evnen til at føre motorkøretøj </w:t>
      </w:r>
      <w:r w:rsidR="0071241E" w:rsidRPr="001C2314">
        <w:rPr>
          <w:b/>
          <w:sz w:val="24"/>
          <w:szCs w:val="24"/>
        </w:rPr>
        <w:t>og</w:t>
      </w:r>
      <w:r w:rsidRPr="001C2314">
        <w:rPr>
          <w:b/>
          <w:sz w:val="24"/>
          <w:szCs w:val="24"/>
        </w:rPr>
        <w:t xml:space="preserve"> betjene maskiner</w:t>
      </w:r>
    </w:p>
    <w:p w14:paraId="7CD33FB6" w14:textId="77777777" w:rsidR="00DB35E9" w:rsidRDefault="00DB35E9" w:rsidP="001C2314">
      <w:pPr>
        <w:ind w:left="851"/>
        <w:rPr>
          <w:sz w:val="24"/>
          <w:szCs w:val="24"/>
        </w:rPr>
      </w:pPr>
      <w:r>
        <w:rPr>
          <w:sz w:val="24"/>
          <w:szCs w:val="24"/>
        </w:rPr>
        <w:t>Ikke mærkning.</w:t>
      </w:r>
    </w:p>
    <w:p w14:paraId="28BEEAD6" w14:textId="13B0B317" w:rsidR="002743CF" w:rsidRPr="001C2314" w:rsidRDefault="002743CF" w:rsidP="001C2314">
      <w:pPr>
        <w:ind w:left="851"/>
        <w:rPr>
          <w:sz w:val="24"/>
          <w:szCs w:val="24"/>
        </w:rPr>
      </w:pPr>
      <w:proofErr w:type="spellStart"/>
      <w:r w:rsidRPr="001C2314">
        <w:rPr>
          <w:sz w:val="24"/>
          <w:szCs w:val="24"/>
        </w:rPr>
        <w:t>Glycopyrronium</w:t>
      </w:r>
      <w:proofErr w:type="spellEnd"/>
      <w:r w:rsidRPr="001C2314">
        <w:rPr>
          <w:sz w:val="24"/>
          <w:szCs w:val="24"/>
        </w:rPr>
        <w:t xml:space="preserve"> påvirker ikke eller kun i ubetydelig grad evnen til at føre motorkøretøj og betjene maskiner.</w:t>
      </w:r>
    </w:p>
    <w:p w14:paraId="39DE83CF" w14:textId="68D14136" w:rsidR="003D2392" w:rsidRDefault="003D2392">
      <w:pPr>
        <w:rPr>
          <w:sz w:val="24"/>
          <w:szCs w:val="24"/>
        </w:rPr>
      </w:pPr>
      <w:r>
        <w:rPr>
          <w:sz w:val="24"/>
          <w:szCs w:val="24"/>
        </w:rPr>
        <w:br w:type="page"/>
      </w:r>
    </w:p>
    <w:p w14:paraId="3EBFABD4" w14:textId="77777777" w:rsidR="009260DE" w:rsidRPr="001C2314" w:rsidRDefault="009260DE" w:rsidP="009260DE">
      <w:pPr>
        <w:tabs>
          <w:tab w:val="left" w:pos="851"/>
        </w:tabs>
        <w:ind w:left="851"/>
        <w:rPr>
          <w:sz w:val="24"/>
          <w:szCs w:val="24"/>
        </w:rPr>
      </w:pPr>
    </w:p>
    <w:p w14:paraId="287380E8" w14:textId="77777777" w:rsidR="009260DE" w:rsidRPr="001C2314" w:rsidRDefault="009260DE" w:rsidP="009260DE">
      <w:pPr>
        <w:tabs>
          <w:tab w:val="left" w:pos="851"/>
        </w:tabs>
        <w:ind w:left="851" w:hanging="851"/>
        <w:rPr>
          <w:b/>
          <w:sz w:val="24"/>
          <w:szCs w:val="24"/>
        </w:rPr>
      </w:pPr>
      <w:r w:rsidRPr="001C2314">
        <w:rPr>
          <w:b/>
          <w:sz w:val="24"/>
          <w:szCs w:val="24"/>
        </w:rPr>
        <w:t>4.8</w:t>
      </w:r>
      <w:r w:rsidRPr="001C2314">
        <w:rPr>
          <w:b/>
          <w:sz w:val="24"/>
          <w:szCs w:val="24"/>
        </w:rPr>
        <w:tab/>
        <w:t>Bivirkninger</w:t>
      </w:r>
    </w:p>
    <w:p w14:paraId="3C5D4C07" w14:textId="77777777" w:rsidR="002743CF" w:rsidRPr="001C2314" w:rsidRDefault="002743CF" w:rsidP="002743CF">
      <w:pPr>
        <w:rPr>
          <w:sz w:val="24"/>
          <w:szCs w:val="24"/>
        </w:rPr>
      </w:pPr>
    </w:p>
    <w:p w14:paraId="623A7531" w14:textId="77777777" w:rsidR="002743CF" w:rsidRPr="00DB35E9" w:rsidRDefault="002743CF" w:rsidP="001C2314">
      <w:pPr>
        <w:ind w:left="851"/>
        <w:rPr>
          <w:sz w:val="24"/>
          <w:szCs w:val="24"/>
          <w:u w:val="single"/>
        </w:rPr>
      </w:pPr>
      <w:r w:rsidRPr="00DB35E9">
        <w:rPr>
          <w:sz w:val="24"/>
          <w:szCs w:val="24"/>
          <w:u w:val="single"/>
        </w:rPr>
        <w:t>Opsummering af sikkerhedsprofilen</w:t>
      </w:r>
    </w:p>
    <w:p w14:paraId="77AED208" w14:textId="77777777" w:rsidR="002743CF" w:rsidRPr="001C2314" w:rsidRDefault="002743CF" w:rsidP="001C2314">
      <w:pPr>
        <w:ind w:left="851"/>
        <w:rPr>
          <w:sz w:val="24"/>
          <w:szCs w:val="24"/>
        </w:rPr>
      </w:pPr>
      <w:r w:rsidRPr="001C2314">
        <w:rPr>
          <w:sz w:val="24"/>
          <w:szCs w:val="24"/>
        </w:rPr>
        <w:t xml:space="preserve">Den mest almindelige </w:t>
      </w:r>
      <w:proofErr w:type="spellStart"/>
      <w:r w:rsidRPr="001C2314">
        <w:rPr>
          <w:sz w:val="24"/>
          <w:szCs w:val="24"/>
        </w:rPr>
        <w:t>antikolinerge</w:t>
      </w:r>
      <w:proofErr w:type="spellEnd"/>
      <w:r w:rsidRPr="001C2314">
        <w:rPr>
          <w:sz w:val="24"/>
          <w:szCs w:val="24"/>
        </w:rPr>
        <w:t xml:space="preserve"> bivirkning var tørhed i munden (2,4 %). Størstedelen af rapporteringerne om mundtørhed formodedes at være relateret til lægemidlet og var lette. Der var ingen svære tilfælde.</w:t>
      </w:r>
    </w:p>
    <w:p w14:paraId="08BC7911" w14:textId="77777777" w:rsidR="002743CF" w:rsidRPr="001C2314" w:rsidRDefault="002743CF" w:rsidP="001C2314">
      <w:pPr>
        <w:ind w:left="851"/>
        <w:rPr>
          <w:sz w:val="24"/>
          <w:szCs w:val="24"/>
        </w:rPr>
      </w:pPr>
    </w:p>
    <w:p w14:paraId="417D33E7" w14:textId="77777777" w:rsidR="002743CF" w:rsidRPr="001C2314" w:rsidRDefault="002743CF" w:rsidP="001C2314">
      <w:pPr>
        <w:ind w:left="851"/>
        <w:rPr>
          <w:sz w:val="24"/>
          <w:szCs w:val="24"/>
        </w:rPr>
      </w:pPr>
      <w:r w:rsidRPr="001C2314">
        <w:rPr>
          <w:sz w:val="24"/>
          <w:szCs w:val="24"/>
        </w:rPr>
        <w:t xml:space="preserve">Sikkerhedsprofilen er yderligere karakteriseret af andre symptomer relateret til </w:t>
      </w:r>
      <w:proofErr w:type="spellStart"/>
      <w:r w:rsidRPr="001C2314">
        <w:rPr>
          <w:sz w:val="24"/>
          <w:szCs w:val="24"/>
        </w:rPr>
        <w:t>antikolinerge</w:t>
      </w:r>
      <w:proofErr w:type="spellEnd"/>
      <w:r w:rsidRPr="001C2314">
        <w:rPr>
          <w:sz w:val="24"/>
          <w:szCs w:val="24"/>
        </w:rPr>
        <w:t xml:space="preserve"> virkninger, herunder tegn på urinvejsretention, som var ikke almindelige. </w:t>
      </w:r>
      <w:proofErr w:type="spellStart"/>
      <w:r w:rsidRPr="001C2314">
        <w:rPr>
          <w:sz w:val="24"/>
          <w:szCs w:val="24"/>
        </w:rPr>
        <w:t>Gastrointestinale</w:t>
      </w:r>
      <w:proofErr w:type="spellEnd"/>
      <w:r w:rsidRPr="001C2314">
        <w:rPr>
          <w:sz w:val="24"/>
          <w:szCs w:val="24"/>
        </w:rPr>
        <w:t xml:space="preserve"> virkninger, herunder </w:t>
      </w:r>
      <w:proofErr w:type="spellStart"/>
      <w:r w:rsidRPr="001C2314">
        <w:rPr>
          <w:sz w:val="24"/>
          <w:szCs w:val="24"/>
        </w:rPr>
        <w:t>gastroenteritis</w:t>
      </w:r>
      <w:proofErr w:type="spellEnd"/>
      <w:r w:rsidRPr="001C2314">
        <w:rPr>
          <w:sz w:val="24"/>
          <w:szCs w:val="24"/>
        </w:rPr>
        <w:t xml:space="preserve"> og dyspepsi blev ligeledes observeret. Bivirkninger, relateret til lokal </w:t>
      </w:r>
      <w:proofErr w:type="spellStart"/>
      <w:r w:rsidRPr="001C2314">
        <w:rPr>
          <w:sz w:val="24"/>
          <w:szCs w:val="24"/>
        </w:rPr>
        <w:t>tolerabilitet</w:t>
      </w:r>
      <w:proofErr w:type="spellEnd"/>
      <w:r w:rsidRPr="001C2314">
        <w:rPr>
          <w:sz w:val="24"/>
          <w:szCs w:val="24"/>
        </w:rPr>
        <w:t xml:space="preserve">, omfattede halsirritation, </w:t>
      </w:r>
      <w:proofErr w:type="spellStart"/>
      <w:r w:rsidRPr="001C2314">
        <w:rPr>
          <w:sz w:val="24"/>
          <w:szCs w:val="24"/>
        </w:rPr>
        <w:t>nasopharyngitis</w:t>
      </w:r>
      <w:proofErr w:type="spellEnd"/>
      <w:r w:rsidRPr="001C2314">
        <w:rPr>
          <w:sz w:val="24"/>
          <w:szCs w:val="24"/>
        </w:rPr>
        <w:t xml:space="preserve">, </w:t>
      </w:r>
      <w:proofErr w:type="spellStart"/>
      <w:r w:rsidRPr="001C2314">
        <w:rPr>
          <w:sz w:val="24"/>
          <w:szCs w:val="24"/>
        </w:rPr>
        <w:t>rhinitis</w:t>
      </w:r>
      <w:proofErr w:type="spellEnd"/>
      <w:r w:rsidRPr="001C2314">
        <w:rPr>
          <w:sz w:val="24"/>
          <w:szCs w:val="24"/>
        </w:rPr>
        <w:t xml:space="preserve"> og </w:t>
      </w:r>
      <w:proofErr w:type="spellStart"/>
      <w:r w:rsidRPr="001C2314">
        <w:rPr>
          <w:sz w:val="24"/>
          <w:szCs w:val="24"/>
        </w:rPr>
        <w:t>sinusitis</w:t>
      </w:r>
      <w:proofErr w:type="spellEnd"/>
      <w:r w:rsidRPr="001C2314">
        <w:rPr>
          <w:sz w:val="24"/>
          <w:szCs w:val="24"/>
        </w:rPr>
        <w:t>.</w:t>
      </w:r>
    </w:p>
    <w:p w14:paraId="7B3CFDA1" w14:textId="77777777" w:rsidR="002743CF" w:rsidRPr="001C2314" w:rsidRDefault="002743CF" w:rsidP="001C2314">
      <w:pPr>
        <w:ind w:left="851"/>
        <w:rPr>
          <w:sz w:val="24"/>
          <w:szCs w:val="24"/>
        </w:rPr>
      </w:pPr>
    </w:p>
    <w:p w14:paraId="6DDB0C16" w14:textId="77777777" w:rsidR="002743CF" w:rsidRPr="001C2314" w:rsidRDefault="002743CF" w:rsidP="001C2314">
      <w:pPr>
        <w:ind w:left="851"/>
        <w:rPr>
          <w:b/>
          <w:sz w:val="24"/>
          <w:szCs w:val="24"/>
          <w:u w:val="single"/>
        </w:rPr>
      </w:pPr>
      <w:r w:rsidRPr="001C2314">
        <w:rPr>
          <w:sz w:val="24"/>
          <w:szCs w:val="24"/>
          <w:u w:val="single"/>
        </w:rPr>
        <w:t>Tabuleret resumé af bivirkninger</w:t>
      </w:r>
    </w:p>
    <w:p w14:paraId="076B98EA" w14:textId="77777777" w:rsidR="002743CF" w:rsidRPr="001C2314" w:rsidRDefault="002743CF" w:rsidP="001C2314">
      <w:pPr>
        <w:ind w:left="851"/>
        <w:rPr>
          <w:sz w:val="24"/>
          <w:szCs w:val="24"/>
        </w:rPr>
      </w:pPr>
      <w:r w:rsidRPr="001C2314">
        <w:rPr>
          <w:sz w:val="24"/>
          <w:szCs w:val="24"/>
        </w:rPr>
        <w:t xml:space="preserve">Bivirkninger rapporteret i løbet af de første seks måneder i to pivotale fase III-studier med en varighed på 6 og 12 måneder er angivet i henhold til </w:t>
      </w:r>
      <w:proofErr w:type="spellStart"/>
      <w:r w:rsidRPr="001C2314">
        <w:rPr>
          <w:sz w:val="24"/>
          <w:szCs w:val="24"/>
        </w:rPr>
        <w:t>MedDRA</w:t>
      </w:r>
      <w:proofErr w:type="spellEnd"/>
      <w:r w:rsidRPr="001C2314">
        <w:rPr>
          <w:sz w:val="24"/>
          <w:szCs w:val="24"/>
        </w:rPr>
        <w:t>-systemorganklasserne (tabel 1). Inden for hver systemorganklasse er bivirkningerne ordnet efter hyppighed med den hyppigste bivirkning først. Inden for hver enkelt frekvensgruppe er bivirkningerne opstillet efter faldende alvorlighed. Derudover er den tilsvarende hyppighedskategori for hver bivirkning baseret på følgende konvention: meget almindelig (≥ 1/10); almindelig (≥ 1/100 til &lt; 1/10); ikke almindelig (≥ 1/1.000 til &lt; 1/100); sjælden (≥ 1/10.000 til &lt; 1/1.000); meget sjælden (&lt; 1/10.000); ikke kendt (kan ikke estimeres ud fra forhåndenværende data).</w:t>
      </w:r>
    </w:p>
    <w:p w14:paraId="45D5F24B" w14:textId="77777777" w:rsidR="002743CF" w:rsidRPr="001C2314" w:rsidRDefault="002743CF" w:rsidP="001C2314">
      <w:pPr>
        <w:ind w:left="851"/>
        <w:rPr>
          <w:sz w:val="24"/>
          <w:szCs w:val="24"/>
          <w:u w:val="single"/>
        </w:rPr>
      </w:pPr>
    </w:p>
    <w:p w14:paraId="3BBD044F" w14:textId="3179CB42" w:rsidR="002743CF" w:rsidRPr="001C2314" w:rsidRDefault="002743CF" w:rsidP="00DB35E9">
      <w:pPr>
        <w:ind w:left="851"/>
        <w:rPr>
          <w:b/>
          <w:sz w:val="24"/>
          <w:szCs w:val="24"/>
        </w:rPr>
      </w:pPr>
      <w:r w:rsidRPr="001C2314">
        <w:rPr>
          <w:b/>
          <w:sz w:val="24"/>
          <w:szCs w:val="24"/>
        </w:rPr>
        <w:t>Tabel 1</w:t>
      </w:r>
      <w:r w:rsidR="00DB35E9">
        <w:rPr>
          <w:b/>
          <w:sz w:val="24"/>
          <w:szCs w:val="24"/>
        </w:rPr>
        <w:t xml:space="preserve">. </w:t>
      </w:r>
      <w:r w:rsidRPr="001C2314">
        <w:rPr>
          <w:b/>
          <w:sz w:val="24"/>
          <w:szCs w:val="24"/>
        </w:rPr>
        <w:t>Bivirkninger</w:t>
      </w:r>
    </w:p>
    <w:p w14:paraId="5D5B151A" w14:textId="77777777" w:rsidR="002743CF" w:rsidRPr="001C2314" w:rsidRDefault="002743CF" w:rsidP="00DB35E9">
      <w:pPr>
        <w:ind w:left="851"/>
        <w:rPr>
          <w:sz w:val="24"/>
          <w:szCs w:val="24"/>
          <w:u w:val="single"/>
        </w:rPr>
      </w:pPr>
    </w:p>
    <w:tbl>
      <w:tblPr>
        <w:tblW w:w="4564" w:type="pct"/>
        <w:tblInd w:w="846" w:type="dxa"/>
        <w:tblCellMar>
          <w:right w:w="115" w:type="dxa"/>
        </w:tblCellMar>
        <w:tblLook w:val="04A0" w:firstRow="1" w:lastRow="0" w:firstColumn="1" w:lastColumn="0" w:noHBand="0" w:noVBand="1"/>
      </w:tblPr>
      <w:tblGrid>
        <w:gridCol w:w="4818"/>
        <w:gridCol w:w="3970"/>
      </w:tblGrid>
      <w:tr w:rsidR="002743CF" w:rsidRPr="00993EA8" w14:paraId="4BD63886" w14:textId="77777777" w:rsidTr="00DB35E9">
        <w:trPr>
          <w:trHeight w:val="262"/>
        </w:trPr>
        <w:tc>
          <w:tcPr>
            <w:tcW w:w="2741" w:type="pct"/>
            <w:tcBorders>
              <w:top w:val="single" w:sz="4" w:space="0" w:color="000000"/>
              <w:left w:val="single" w:sz="4" w:space="0" w:color="000000"/>
              <w:bottom w:val="single" w:sz="4" w:space="0" w:color="000000"/>
              <w:right w:val="single" w:sz="4" w:space="0" w:color="000000"/>
            </w:tcBorders>
            <w:hideMark/>
          </w:tcPr>
          <w:p w14:paraId="0A456E73" w14:textId="77777777" w:rsidR="002743CF" w:rsidRPr="00993EA8" w:rsidRDefault="002743CF" w:rsidP="00993EA8">
            <w:pPr>
              <w:rPr>
                <w:sz w:val="24"/>
                <w:szCs w:val="24"/>
              </w:rPr>
            </w:pPr>
            <w:r w:rsidRPr="00993EA8">
              <w:rPr>
                <w:b/>
                <w:sz w:val="24"/>
                <w:szCs w:val="24"/>
              </w:rPr>
              <w:t>Bivirkninger</w:t>
            </w:r>
          </w:p>
        </w:tc>
        <w:tc>
          <w:tcPr>
            <w:tcW w:w="2259" w:type="pct"/>
            <w:tcBorders>
              <w:top w:val="single" w:sz="4" w:space="0" w:color="000000"/>
              <w:left w:val="single" w:sz="4" w:space="0" w:color="000000"/>
              <w:bottom w:val="single" w:sz="4" w:space="0" w:color="000000"/>
              <w:right w:val="single" w:sz="4" w:space="0" w:color="000000"/>
            </w:tcBorders>
            <w:hideMark/>
          </w:tcPr>
          <w:p w14:paraId="24AAE9C0" w14:textId="77777777" w:rsidR="002743CF" w:rsidRPr="00993EA8" w:rsidRDefault="002743CF" w:rsidP="00993EA8">
            <w:pPr>
              <w:rPr>
                <w:sz w:val="24"/>
                <w:szCs w:val="24"/>
              </w:rPr>
            </w:pPr>
            <w:r w:rsidRPr="00993EA8">
              <w:rPr>
                <w:b/>
                <w:sz w:val="24"/>
                <w:szCs w:val="24"/>
              </w:rPr>
              <w:t>Hyppighed</w:t>
            </w:r>
          </w:p>
        </w:tc>
      </w:tr>
      <w:tr w:rsidR="002743CF" w:rsidRPr="00993EA8" w14:paraId="5A6A44DC" w14:textId="77777777" w:rsidTr="00DB35E9">
        <w:trPr>
          <w:trHeight w:val="558"/>
        </w:trPr>
        <w:tc>
          <w:tcPr>
            <w:tcW w:w="2741" w:type="pct"/>
            <w:tcBorders>
              <w:top w:val="single" w:sz="4" w:space="0" w:color="000000"/>
              <w:left w:val="single" w:sz="4" w:space="0" w:color="000000"/>
              <w:bottom w:val="nil"/>
              <w:right w:val="single" w:sz="4" w:space="0" w:color="000000"/>
            </w:tcBorders>
            <w:hideMark/>
          </w:tcPr>
          <w:p w14:paraId="74435B59" w14:textId="77777777" w:rsidR="002743CF" w:rsidRPr="00993EA8" w:rsidRDefault="002743CF" w:rsidP="00993EA8">
            <w:pPr>
              <w:rPr>
                <w:sz w:val="24"/>
                <w:szCs w:val="24"/>
              </w:rPr>
            </w:pPr>
            <w:r w:rsidRPr="00993EA8">
              <w:rPr>
                <w:b/>
                <w:sz w:val="24"/>
                <w:szCs w:val="24"/>
              </w:rPr>
              <w:t>Infektioner og parasitære sygdomme</w:t>
            </w:r>
          </w:p>
          <w:p w14:paraId="57144A09" w14:textId="77777777" w:rsidR="002743CF" w:rsidRPr="00993EA8" w:rsidRDefault="002743CF" w:rsidP="00993EA8">
            <w:pPr>
              <w:rPr>
                <w:sz w:val="24"/>
                <w:szCs w:val="24"/>
              </w:rPr>
            </w:pPr>
            <w:r w:rsidRPr="00993EA8">
              <w:rPr>
                <w:sz w:val="24"/>
                <w:szCs w:val="24"/>
              </w:rPr>
              <w:t>Nasofaryngitis</w:t>
            </w:r>
            <w:r w:rsidRPr="00993EA8">
              <w:rPr>
                <w:sz w:val="24"/>
                <w:szCs w:val="24"/>
                <w:vertAlign w:val="superscript"/>
              </w:rPr>
              <w:t>1)</w:t>
            </w:r>
          </w:p>
        </w:tc>
        <w:tc>
          <w:tcPr>
            <w:tcW w:w="2259" w:type="pct"/>
            <w:tcBorders>
              <w:top w:val="single" w:sz="4" w:space="0" w:color="000000"/>
              <w:left w:val="single" w:sz="4" w:space="0" w:color="000000"/>
              <w:bottom w:val="nil"/>
              <w:right w:val="single" w:sz="4" w:space="0" w:color="000000"/>
            </w:tcBorders>
          </w:tcPr>
          <w:p w14:paraId="406919E7" w14:textId="77777777" w:rsidR="002743CF" w:rsidRPr="00993EA8" w:rsidRDefault="002743CF" w:rsidP="00993EA8">
            <w:pPr>
              <w:rPr>
                <w:sz w:val="24"/>
                <w:szCs w:val="24"/>
              </w:rPr>
            </w:pPr>
          </w:p>
          <w:p w14:paraId="1B139C92" w14:textId="77777777" w:rsidR="002743CF" w:rsidRPr="00993EA8" w:rsidRDefault="002743CF" w:rsidP="00993EA8">
            <w:pPr>
              <w:rPr>
                <w:sz w:val="24"/>
                <w:szCs w:val="24"/>
              </w:rPr>
            </w:pPr>
            <w:r w:rsidRPr="00993EA8">
              <w:rPr>
                <w:sz w:val="24"/>
                <w:szCs w:val="24"/>
              </w:rPr>
              <w:t>Almindelig</w:t>
            </w:r>
          </w:p>
        </w:tc>
      </w:tr>
      <w:tr w:rsidR="002743CF" w:rsidRPr="00993EA8" w14:paraId="38BDC9F1" w14:textId="77777777" w:rsidTr="00DB35E9">
        <w:trPr>
          <w:trHeight w:val="286"/>
        </w:trPr>
        <w:tc>
          <w:tcPr>
            <w:tcW w:w="2741" w:type="pct"/>
            <w:tcBorders>
              <w:top w:val="nil"/>
              <w:left w:val="single" w:sz="4" w:space="0" w:color="000000"/>
              <w:bottom w:val="nil"/>
              <w:right w:val="single" w:sz="4" w:space="0" w:color="000000"/>
            </w:tcBorders>
            <w:hideMark/>
          </w:tcPr>
          <w:p w14:paraId="39E09220" w14:textId="77777777" w:rsidR="002743CF" w:rsidRPr="00993EA8" w:rsidRDefault="002743CF" w:rsidP="00993EA8">
            <w:pPr>
              <w:rPr>
                <w:sz w:val="24"/>
                <w:szCs w:val="24"/>
              </w:rPr>
            </w:pPr>
            <w:proofErr w:type="spellStart"/>
            <w:r w:rsidRPr="00993EA8">
              <w:rPr>
                <w:sz w:val="24"/>
                <w:szCs w:val="24"/>
              </w:rPr>
              <w:t>Rhinitis</w:t>
            </w:r>
            <w:proofErr w:type="spellEnd"/>
          </w:p>
        </w:tc>
        <w:tc>
          <w:tcPr>
            <w:tcW w:w="2259" w:type="pct"/>
            <w:tcBorders>
              <w:top w:val="nil"/>
              <w:left w:val="single" w:sz="4" w:space="0" w:color="000000"/>
              <w:bottom w:val="nil"/>
              <w:right w:val="single" w:sz="4" w:space="0" w:color="000000"/>
            </w:tcBorders>
            <w:hideMark/>
          </w:tcPr>
          <w:p w14:paraId="7752A62B" w14:textId="77777777" w:rsidR="002743CF" w:rsidRPr="00993EA8" w:rsidRDefault="002743CF" w:rsidP="00993EA8">
            <w:pPr>
              <w:rPr>
                <w:sz w:val="24"/>
                <w:szCs w:val="24"/>
              </w:rPr>
            </w:pPr>
            <w:r w:rsidRPr="00993EA8">
              <w:rPr>
                <w:sz w:val="24"/>
                <w:szCs w:val="24"/>
              </w:rPr>
              <w:t>Ikke almindelig</w:t>
            </w:r>
          </w:p>
        </w:tc>
      </w:tr>
      <w:tr w:rsidR="002743CF" w:rsidRPr="00993EA8" w14:paraId="6D7E7673" w14:textId="77777777" w:rsidTr="00DB35E9">
        <w:trPr>
          <w:trHeight w:val="430"/>
        </w:trPr>
        <w:tc>
          <w:tcPr>
            <w:tcW w:w="2741" w:type="pct"/>
            <w:tcBorders>
              <w:top w:val="nil"/>
              <w:left w:val="single" w:sz="4" w:space="0" w:color="000000"/>
              <w:bottom w:val="nil"/>
              <w:right w:val="single" w:sz="4" w:space="0" w:color="000000"/>
            </w:tcBorders>
            <w:vAlign w:val="bottom"/>
          </w:tcPr>
          <w:p w14:paraId="63F8E203" w14:textId="77777777" w:rsidR="002743CF" w:rsidRPr="00993EA8" w:rsidRDefault="002743CF" w:rsidP="00993EA8">
            <w:pPr>
              <w:rPr>
                <w:sz w:val="24"/>
                <w:szCs w:val="24"/>
              </w:rPr>
            </w:pPr>
            <w:r w:rsidRPr="00993EA8">
              <w:rPr>
                <w:sz w:val="24"/>
                <w:szCs w:val="24"/>
              </w:rPr>
              <w:t>Cystitis</w:t>
            </w:r>
          </w:p>
          <w:p w14:paraId="5E038785"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4872F1E0" w14:textId="77777777" w:rsidR="002743CF" w:rsidRPr="00993EA8" w:rsidRDefault="002743CF" w:rsidP="00993EA8">
            <w:pPr>
              <w:rPr>
                <w:sz w:val="24"/>
                <w:szCs w:val="24"/>
              </w:rPr>
            </w:pPr>
            <w:r w:rsidRPr="00993EA8">
              <w:rPr>
                <w:sz w:val="24"/>
                <w:szCs w:val="24"/>
              </w:rPr>
              <w:t>Ikke almindelig</w:t>
            </w:r>
          </w:p>
          <w:p w14:paraId="7CB6022D" w14:textId="77777777" w:rsidR="002743CF" w:rsidRPr="00993EA8" w:rsidRDefault="002743CF" w:rsidP="00993EA8">
            <w:pPr>
              <w:rPr>
                <w:sz w:val="24"/>
                <w:szCs w:val="24"/>
              </w:rPr>
            </w:pPr>
          </w:p>
        </w:tc>
      </w:tr>
      <w:tr w:rsidR="002743CF" w:rsidRPr="00993EA8" w14:paraId="778CF1BA" w14:textId="77777777" w:rsidTr="00DB35E9">
        <w:trPr>
          <w:trHeight w:val="707"/>
        </w:trPr>
        <w:tc>
          <w:tcPr>
            <w:tcW w:w="2741" w:type="pct"/>
            <w:tcBorders>
              <w:top w:val="nil"/>
              <w:left w:val="single" w:sz="4" w:space="0" w:color="000000"/>
              <w:bottom w:val="nil"/>
              <w:right w:val="single" w:sz="4" w:space="0" w:color="000000"/>
            </w:tcBorders>
            <w:vAlign w:val="bottom"/>
            <w:hideMark/>
          </w:tcPr>
          <w:p w14:paraId="27930E98" w14:textId="77777777" w:rsidR="002743CF" w:rsidRPr="00993EA8" w:rsidRDefault="002743CF" w:rsidP="00993EA8">
            <w:pPr>
              <w:rPr>
                <w:b/>
                <w:sz w:val="24"/>
                <w:szCs w:val="24"/>
              </w:rPr>
            </w:pPr>
            <w:r w:rsidRPr="00993EA8">
              <w:rPr>
                <w:b/>
                <w:sz w:val="24"/>
                <w:szCs w:val="24"/>
              </w:rPr>
              <w:t>Immunsystemet</w:t>
            </w:r>
          </w:p>
          <w:p w14:paraId="4FA39796" w14:textId="77777777" w:rsidR="002743CF" w:rsidRPr="00993EA8" w:rsidRDefault="002743CF" w:rsidP="00993EA8">
            <w:pPr>
              <w:rPr>
                <w:b/>
                <w:sz w:val="24"/>
                <w:szCs w:val="24"/>
              </w:rPr>
            </w:pPr>
            <w:r w:rsidRPr="00993EA8">
              <w:rPr>
                <w:sz w:val="24"/>
                <w:szCs w:val="24"/>
              </w:rPr>
              <w:t>Overfølsomhed</w:t>
            </w:r>
          </w:p>
        </w:tc>
        <w:tc>
          <w:tcPr>
            <w:tcW w:w="2259" w:type="pct"/>
            <w:tcBorders>
              <w:top w:val="nil"/>
              <w:left w:val="single" w:sz="4" w:space="0" w:color="000000"/>
              <w:bottom w:val="nil"/>
              <w:right w:val="single" w:sz="4" w:space="0" w:color="000000"/>
            </w:tcBorders>
            <w:vAlign w:val="bottom"/>
          </w:tcPr>
          <w:p w14:paraId="51FB4270" w14:textId="77777777" w:rsidR="002743CF" w:rsidRPr="00993EA8" w:rsidRDefault="002743CF" w:rsidP="00993EA8">
            <w:pPr>
              <w:rPr>
                <w:sz w:val="24"/>
                <w:szCs w:val="24"/>
              </w:rPr>
            </w:pPr>
          </w:p>
          <w:p w14:paraId="2F30A093" w14:textId="77777777" w:rsidR="002743CF" w:rsidRPr="00993EA8" w:rsidRDefault="002743CF" w:rsidP="00993EA8">
            <w:pPr>
              <w:rPr>
                <w:sz w:val="24"/>
                <w:szCs w:val="24"/>
              </w:rPr>
            </w:pPr>
            <w:r w:rsidRPr="00993EA8">
              <w:rPr>
                <w:sz w:val="24"/>
                <w:szCs w:val="24"/>
              </w:rPr>
              <w:t>Ikke almindelig</w:t>
            </w:r>
          </w:p>
        </w:tc>
      </w:tr>
      <w:tr w:rsidR="002743CF" w:rsidRPr="00993EA8" w14:paraId="14D643DE" w14:textId="77777777" w:rsidTr="00DB35E9">
        <w:trPr>
          <w:trHeight w:val="433"/>
        </w:trPr>
        <w:tc>
          <w:tcPr>
            <w:tcW w:w="2741" w:type="pct"/>
            <w:tcBorders>
              <w:top w:val="nil"/>
              <w:left w:val="single" w:sz="4" w:space="0" w:color="000000"/>
              <w:bottom w:val="nil"/>
              <w:right w:val="single" w:sz="4" w:space="0" w:color="000000"/>
            </w:tcBorders>
            <w:vAlign w:val="bottom"/>
          </w:tcPr>
          <w:p w14:paraId="752273F6" w14:textId="77777777" w:rsidR="002743CF" w:rsidRPr="00993EA8" w:rsidRDefault="002743CF" w:rsidP="00993EA8">
            <w:pPr>
              <w:rPr>
                <w:sz w:val="24"/>
                <w:szCs w:val="24"/>
              </w:rPr>
            </w:pPr>
            <w:r w:rsidRPr="00993EA8">
              <w:rPr>
                <w:sz w:val="24"/>
                <w:szCs w:val="24"/>
              </w:rPr>
              <w:t>Angioødem</w:t>
            </w:r>
            <w:r w:rsidRPr="00993EA8">
              <w:rPr>
                <w:sz w:val="24"/>
                <w:szCs w:val="24"/>
                <w:vertAlign w:val="superscript"/>
              </w:rPr>
              <w:t>2)</w:t>
            </w:r>
          </w:p>
          <w:p w14:paraId="45C7AD43"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184EB7C9" w14:textId="77777777" w:rsidR="002743CF" w:rsidRPr="00993EA8" w:rsidRDefault="002743CF" w:rsidP="00993EA8">
            <w:pPr>
              <w:rPr>
                <w:sz w:val="24"/>
                <w:szCs w:val="24"/>
              </w:rPr>
            </w:pPr>
            <w:r w:rsidRPr="00993EA8">
              <w:rPr>
                <w:sz w:val="24"/>
                <w:szCs w:val="24"/>
              </w:rPr>
              <w:t>Ikke almindelig</w:t>
            </w:r>
          </w:p>
          <w:p w14:paraId="1EED68B2" w14:textId="77777777" w:rsidR="002743CF" w:rsidRPr="00993EA8" w:rsidRDefault="002743CF" w:rsidP="00993EA8">
            <w:pPr>
              <w:rPr>
                <w:sz w:val="24"/>
                <w:szCs w:val="24"/>
              </w:rPr>
            </w:pPr>
          </w:p>
        </w:tc>
      </w:tr>
      <w:tr w:rsidR="002743CF" w:rsidRPr="00993EA8" w14:paraId="7F2D5946" w14:textId="77777777" w:rsidTr="00DB35E9">
        <w:trPr>
          <w:trHeight w:val="856"/>
        </w:trPr>
        <w:tc>
          <w:tcPr>
            <w:tcW w:w="2741" w:type="pct"/>
            <w:tcBorders>
              <w:top w:val="nil"/>
              <w:left w:val="single" w:sz="4" w:space="0" w:color="000000"/>
              <w:bottom w:val="nil"/>
              <w:right w:val="single" w:sz="4" w:space="0" w:color="000000"/>
            </w:tcBorders>
            <w:vAlign w:val="bottom"/>
          </w:tcPr>
          <w:p w14:paraId="7AF64EE5" w14:textId="77777777" w:rsidR="002743CF" w:rsidRPr="00993EA8" w:rsidRDefault="002743CF" w:rsidP="00993EA8">
            <w:pPr>
              <w:rPr>
                <w:sz w:val="24"/>
                <w:szCs w:val="24"/>
              </w:rPr>
            </w:pPr>
            <w:r w:rsidRPr="00993EA8">
              <w:rPr>
                <w:b/>
                <w:sz w:val="24"/>
                <w:szCs w:val="24"/>
              </w:rPr>
              <w:t>Metabolisme og ernæring</w:t>
            </w:r>
          </w:p>
          <w:p w14:paraId="563DB0AF" w14:textId="77777777" w:rsidR="002743CF" w:rsidRPr="00993EA8" w:rsidRDefault="002743CF" w:rsidP="00993EA8">
            <w:pPr>
              <w:rPr>
                <w:sz w:val="24"/>
                <w:szCs w:val="24"/>
              </w:rPr>
            </w:pPr>
            <w:proofErr w:type="spellStart"/>
            <w:r w:rsidRPr="00993EA8">
              <w:rPr>
                <w:sz w:val="24"/>
                <w:szCs w:val="24"/>
              </w:rPr>
              <w:t>Hyperglykæmi</w:t>
            </w:r>
            <w:proofErr w:type="spellEnd"/>
          </w:p>
          <w:p w14:paraId="17B00F68"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584BB67D" w14:textId="77777777" w:rsidR="002743CF" w:rsidRPr="00993EA8" w:rsidRDefault="002743CF" w:rsidP="00993EA8">
            <w:pPr>
              <w:rPr>
                <w:sz w:val="24"/>
                <w:szCs w:val="24"/>
              </w:rPr>
            </w:pPr>
          </w:p>
          <w:p w14:paraId="6BA4AB9B" w14:textId="77777777" w:rsidR="002743CF" w:rsidRPr="00993EA8" w:rsidRDefault="002743CF" w:rsidP="00993EA8">
            <w:pPr>
              <w:rPr>
                <w:sz w:val="24"/>
                <w:szCs w:val="24"/>
              </w:rPr>
            </w:pPr>
            <w:r w:rsidRPr="00993EA8">
              <w:rPr>
                <w:sz w:val="24"/>
                <w:szCs w:val="24"/>
              </w:rPr>
              <w:t>Ikke almindelig</w:t>
            </w:r>
          </w:p>
          <w:p w14:paraId="27583D1D" w14:textId="77777777" w:rsidR="002743CF" w:rsidRPr="00993EA8" w:rsidRDefault="002743CF" w:rsidP="00993EA8">
            <w:pPr>
              <w:rPr>
                <w:sz w:val="24"/>
                <w:szCs w:val="24"/>
              </w:rPr>
            </w:pPr>
          </w:p>
        </w:tc>
      </w:tr>
      <w:tr w:rsidR="002743CF" w:rsidRPr="00993EA8" w14:paraId="32F0E840" w14:textId="77777777" w:rsidTr="00DB35E9">
        <w:trPr>
          <w:trHeight w:val="854"/>
        </w:trPr>
        <w:tc>
          <w:tcPr>
            <w:tcW w:w="2741" w:type="pct"/>
            <w:tcBorders>
              <w:top w:val="nil"/>
              <w:left w:val="single" w:sz="4" w:space="0" w:color="000000"/>
              <w:bottom w:val="nil"/>
              <w:right w:val="single" w:sz="4" w:space="0" w:color="000000"/>
            </w:tcBorders>
            <w:vAlign w:val="bottom"/>
          </w:tcPr>
          <w:p w14:paraId="09C6C72C" w14:textId="77777777" w:rsidR="002743CF" w:rsidRPr="00993EA8" w:rsidRDefault="002743CF" w:rsidP="00993EA8">
            <w:pPr>
              <w:rPr>
                <w:sz w:val="24"/>
                <w:szCs w:val="24"/>
              </w:rPr>
            </w:pPr>
            <w:r w:rsidRPr="00993EA8">
              <w:rPr>
                <w:b/>
                <w:sz w:val="24"/>
                <w:szCs w:val="24"/>
              </w:rPr>
              <w:t>Psykiske forstyrrelser</w:t>
            </w:r>
          </w:p>
          <w:p w14:paraId="29D39676" w14:textId="77777777" w:rsidR="002743CF" w:rsidRPr="00993EA8" w:rsidRDefault="002743CF" w:rsidP="00993EA8">
            <w:pPr>
              <w:rPr>
                <w:sz w:val="24"/>
                <w:szCs w:val="24"/>
              </w:rPr>
            </w:pPr>
            <w:r w:rsidRPr="00993EA8">
              <w:rPr>
                <w:sz w:val="24"/>
                <w:szCs w:val="24"/>
              </w:rPr>
              <w:t>Søvnløshed</w:t>
            </w:r>
          </w:p>
          <w:p w14:paraId="353FFE8A"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7314CD85" w14:textId="77777777" w:rsidR="002743CF" w:rsidRPr="00993EA8" w:rsidRDefault="002743CF" w:rsidP="00993EA8">
            <w:pPr>
              <w:rPr>
                <w:sz w:val="24"/>
                <w:szCs w:val="24"/>
              </w:rPr>
            </w:pPr>
          </w:p>
          <w:p w14:paraId="001D5BE9" w14:textId="77777777" w:rsidR="002743CF" w:rsidRPr="00993EA8" w:rsidRDefault="002743CF" w:rsidP="00993EA8">
            <w:pPr>
              <w:rPr>
                <w:sz w:val="24"/>
                <w:szCs w:val="24"/>
              </w:rPr>
            </w:pPr>
            <w:r w:rsidRPr="00993EA8">
              <w:rPr>
                <w:sz w:val="24"/>
                <w:szCs w:val="24"/>
              </w:rPr>
              <w:t>Almindelig</w:t>
            </w:r>
          </w:p>
          <w:p w14:paraId="015B9F0A" w14:textId="77777777" w:rsidR="002743CF" w:rsidRPr="00993EA8" w:rsidRDefault="002743CF" w:rsidP="00993EA8">
            <w:pPr>
              <w:rPr>
                <w:sz w:val="24"/>
                <w:szCs w:val="24"/>
              </w:rPr>
            </w:pPr>
          </w:p>
        </w:tc>
      </w:tr>
      <w:tr w:rsidR="002743CF" w:rsidRPr="00993EA8" w14:paraId="45BEB3F6" w14:textId="77777777" w:rsidTr="00DB35E9">
        <w:trPr>
          <w:trHeight w:val="710"/>
        </w:trPr>
        <w:tc>
          <w:tcPr>
            <w:tcW w:w="2741" w:type="pct"/>
            <w:tcBorders>
              <w:top w:val="nil"/>
              <w:left w:val="single" w:sz="4" w:space="0" w:color="000000"/>
              <w:bottom w:val="nil"/>
              <w:right w:val="single" w:sz="4" w:space="0" w:color="000000"/>
            </w:tcBorders>
            <w:vAlign w:val="bottom"/>
            <w:hideMark/>
          </w:tcPr>
          <w:p w14:paraId="5F0AA824" w14:textId="77777777" w:rsidR="002743CF" w:rsidRPr="00993EA8" w:rsidRDefault="002743CF" w:rsidP="00993EA8">
            <w:pPr>
              <w:rPr>
                <w:b/>
                <w:sz w:val="24"/>
                <w:szCs w:val="24"/>
              </w:rPr>
            </w:pPr>
            <w:r w:rsidRPr="00993EA8">
              <w:rPr>
                <w:b/>
                <w:sz w:val="24"/>
                <w:szCs w:val="24"/>
              </w:rPr>
              <w:t>Nervesystemet</w:t>
            </w:r>
          </w:p>
          <w:p w14:paraId="36E157C7" w14:textId="77777777" w:rsidR="002743CF" w:rsidRPr="00993EA8" w:rsidRDefault="002743CF" w:rsidP="00993EA8">
            <w:pPr>
              <w:rPr>
                <w:sz w:val="24"/>
                <w:szCs w:val="24"/>
              </w:rPr>
            </w:pPr>
            <w:r w:rsidRPr="00993EA8">
              <w:rPr>
                <w:sz w:val="24"/>
                <w:szCs w:val="24"/>
              </w:rPr>
              <w:t>Hovedpine</w:t>
            </w:r>
            <w:r w:rsidRPr="00993EA8">
              <w:rPr>
                <w:sz w:val="24"/>
                <w:szCs w:val="24"/>
                <w:vertAlign w:val="superscript"/>
              </w:rPr>
              <w:t>3)</w:t>
            </w:r>
          </w:p>
        </w:tc>
        <w:tc>
          <w:tcPr>
            <w:tcW w:w="2259" w:type="pct"/>
            <w:tcBorders>
              <w:top w:val="nil"/>
              <w:left w:val="single" w:sz="4" w:space="0" w:color="000000"/>
              <w:bottom w:val="nil"/>
              <w:right w:val="single" w:sz="4" w:space="0" w:color="000000"/>
            </w:tcBorders>
            <w:vAlign w:val="bottom"/>
          </w:tcPr>
          <w:p w14:paraId="7DF139F1" w14:textId="77777777" w:rsidR="002743CF" w:rsidRPr="00993EA8" w:rsidRDefault="002743CF" w:rsidP="00993EA8">
            <w:pPr>
              <w:rPr>
                <w:sz w:val="24"/>
                <w:szCs w:val="24"/>
              </w:rPr>
            </w:pPr>
          </w:p>
          <w:p w14:paraId="2A48CBC9" w14:textId="77777777" w:rsidR="002743CF" w:rsidRPr="00993EA8" w:rsidRDefault="002743CF" w:rsidP="00993EA8">
            <w:pPr>
              <w:rPr>
                <w:sz w:val="24"/>
                <w:szCs w:val="24"/>
              </w:rPr>
            </w:pPr>
            <w:r w:rsidRPr="00993EA8">
              <w:rPr>
                <w:sz w:val="24"/>
                <w:szCs w:val="24"/>
              </w:rPr>
              <w:t>Almindelig</w:t>
            </w:r>
          </w:p>
        </w:tc>
      </w:tr>
      <w:tr w:rsidR="002743CF" w:rsidRPr="00993EA8" w14:paraId="1CB4248B" w14:textId="77777777" w:rsidTr="00DB35E9">
        <w:trPr>
          <w:trHeight w:val="430"/>
        </w:trPr>
        <w:tc>
          <w:tcPr>
            <w:tcW w:w="2741" w:type="pct"/>
            <w:tcBorders>
              <w:top w:val="nil"/>
              <w:left w:val="single" w:sz="4" w:space="0" w:color="000000"/>
              <w:bottom w:val="nil"/>
              <w:right w:val="single" w:sz="4" w:space="0" w:color="000000"/>
            </w:tcBorders>
            <w:vAlign w:val="bottom"/>
          </w:tcPr>
          <w:p w14:paraId="400ACB52" w14:textId="77777777" w:rsidR="002743CF" w:rsidRPr="00993EA8" w:rsidRDefault="002743CF" w:rsidP="00993EA8">
            <w:pPr>
              <w:rPr>
                <w:sz w:val="24"/>
                <w:szCs w:val="24"/>
              </w:rPr>
            </w:pPr>
            <w:proofErr w:type="spellStart"/>
            <w:r w:rsidRPr="00993EA8">
              <w:rPr>
                <w:sz w:val="24"/>
                <w:szCs w:val="24"/>
              </w:rPr>
              <w:t>Hypæstesi</w:t>
            </w:r>
            <w:proofErr w:type="spellEnd"/>
          </w:p>
          <w:p w14:paraId="7926D24A"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615E685A" w14:textId="77777777" w:rsidR="002743CF" w:rsidRPr="00993EA8" w:rsidRDefault="002743CF" w:rsidP="00993EA8">
            <w:pPr>
              <w:rPr>
                <w:sz w:val="24"/>
                <w:szCs w:val="24"/>
              </w:rPr>
            </w:pPr>
            <w:r w:rsidRPr="00993EA8">
              <w:rPr>
                <w:sz w:val="24"/>
                <w:szCs w:val="24"/>
              </w:rPr>
              <w:t>Ikke almindelig</w:t>
            </w:r>
          </w:p>
          <w:p w14:paraId="7DD62E1E" w14:textId="77777777" w:rsidR="002743CF" w:rsidRPr="00993EA8" w:rsidRDefault="002743CF" w:rsidP="00993EA8">
            <w:pPr>
              <w:rPr>
                <w:sz w:val="24"/>
                <w:szCs w:val="24"/>
              </w:rPr>
            </w:pPr>
          </w:p>
        </w:tc>
      </w:tr>
      <w:tr w:rsidR="002743CF" w:rsidRPr="00993EA8" w14:paraId="05D6227E" w14:textId="77777777" w:rsidTr="00DB35E9">
        <w:trPr>
          <w:trHeight w:val="711"/>
        </w:trPr>
        <w:tc>
          <w:tcPr>
            <w:tcW w:w="2741" w:type="pct"/>
            <w:tcBorders>
              <w:top w:val="nil"/>
              <w:left w:val="single" w:sz="4" w:space="0" w:color="000000"/>
              <w:bottom w:val="nil"/>
              <w:right w:val="single" w:sz="4" w:space="0" w:color="000000"/>
            </w:tcBorders>
            <w:vAlign w:val="bottom"/>
            <w:hideMark/>
          </w:tcPr>
          <w:p w14:paraId="45EAB4D9" w14:textId="77777777" w:rsidR="002743CF" w:rsidRPr="00993EA8" w:rsidRDefault="002743CF" w:rsidP="00993EA8">
            <w:pPr>
              <w:rPr>
                <w:sz w:val="24"/>
                <w:szCs w:val="24"/>
              </w:rPr>
            </w:pPr>
            <w:r w:rsidRPr="00993EA8">
              <w:rPr>
                <w:b/>
                <w:sz w:val="24"/>
                <w:szCs w:val="24"/>
              </w:rPr>
              <w:t>Hjerte</w:t>
            </w:r>
          </w:p>
          <w:p w14:paraId="5828C631" w14:textId="77777777" w:rsidR="002743CF" w:rsidRPr="00993EA8" w:rsidRDefault="002743CF" w:rsidP="00993EA8">
            <w:pPr>
              <w:rPr>
                <w:sz w:val="24"/>
                <w:szCs w:val="24"/>
              </w:rPr>
            </w:pPr>
            <w:r w:rsidRPr="00993EA8">
              <w:rPr>
                <w:sz w:val="24"/>
                <w:szCs w:val="24"/>
              </w:rPr>
              <w:t>Atrieflimren</w:t>
            </w:r>
          </w:p>
        </w:tc>
        <w:tc>
          <w:tcPr>
            <w:tcW w:w="2259" w:type="pct"/>
            <w:tcBorders>
              <w:top w:val="nil"/>
              <w:left w:val="single" w:sz="4" w:space="0" w:color="000000"/>
              <w:bottom w:val="nil"/>
              <w:right w:val="single" w:sz="4" w:space="0" w:color="000000"/>
            </w:tcBorders>
            <w:vAlign w:val="bottom"/>
          </w:tcPr>
          <w:p w14:paraId="2F482C14" w14:textId="77777777" w:rsidR="002743CF" w:rsidRPr="00993EA8" w:rsidRDefault="002743CF" w:rsidP="00993EA8">
            <w:pPr>
              <w:rPr>
                <w:sz w:val="24"/>
                <w:szCs w:val="24"/>
              </w:rPr>
            </w:pPr>
          </w:p>
          <w:p w14:paraId="7ECFD2C7" w14:textId="77777777" w:rsidR="002743CF" w:rsidRPr="00993EA8" w:rsidRDefault="002743CF" w:rsidP="00993EA8">
            <w:pPr>
              <w:rPr>
                <w:sz w:val="24"/>
                <w:szCs w:val="24"/>
              </w:rPr>
            </w:pPr>
            <w:r w:rsidRPr="00993EA8">
              <w:rPr>
                <w:sz w:val="24"/>
                <w:szCs w:val="24"/>
              </w:rPr>
              <w:t>Ikke almindelig</w:t>
            </w:r>
          </w:p>
        </w:tc>
      </w:tr>
      <w:tr w:rsidR="002743CF" w:rsidRPr="00993EA8" w14:paraId="48DBD2C3" w14:textId="77777777" w:rsidTr="00DB35E9">
        <w:trPr>
          <w:trHeight w:val="593"/>
        </w:trPr>
        <w:tc>
          <w:tcPr>
            <w:tcW w:w="2741" w:type="pct"/>
            <w:tcBorders>
              <w:top w:val="nil"/>
              <w:left w:val="single" w:sz="4" w:space="0" w:color="000000"/>
              <w:bottom w:val="nil"/>
              <w:right w:val="single" w:sz="4" w:space="0" w:color="000000"/>
            </w:tcBorders>
          </w:tcPr>
          <w:p w14:paraId="02F5FB8B" w14:textId="77777777" w:rsidR="002743CF" w:rsidRPr="00993EA8" w:rsidRDefault="002743CF" w:rsidP="00993EA8">
            <w:pPr>
              <w:rPr>
                <w:sz w:val="24"/>
                <w:szCs w:val="24"/>
              </w:rPr>
            </w:pPr>
            <w:proofErr w:type="spellStart"/>
            <w:r w:rsidRPr="00993EA8">
              <w:rPr>
                <w:sz w:val="24"/>
                <w:szCs w:val="24"/>
              </w:rPr>
              <w:lastRenderedPageBreak/>
              <w:t>Palpitationer</w:t>
            </w:r>
            <w:proofErr w:type="spellEnd"/>
          </w:p>
          <w:p w14:paraId="31BFA6B7"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tcPr>
          <w:p w14:paraId="206B7C32" w14:textId="77777777" w:rsidR="002743CF" w:rsidRPr="00993EA8" w:rsidRDefault="002743CF" w:rsidP="00993EA8">
            <w:pPr>
              <w:rPr>
                <w:sz w:val="24"/>
                <w:szCs w:val="24"/>
              </w:rPr>
            </w:pPr>
            <w:r w:rsidRPr="00993EA8">
              <w:rPr>
                <w:sz w:val="24"/>
                <w:szCs w:val="24"/>
              </w:rPr>
              <w:t>Ikke almindelig</w:t>
            </w:r>
          </w:p>
          <w:p w14:paraId="5688601B" w14:textId="77777777" w:rsidR="002743CF" w:rsidRPr="00993EA8" w:rsidRDefault="002743CF" w:rsidP="00993EA8">
            <w:pPr>
              <w:rPr>
                <w:sz w:val="24"/>
                <w:szCs w:val="24"/>
              </w:rPr>
            </w:pPr>
          </w:p>
        </w:tc>
      </w:tr>
      <w:tr w:rsidR="002743CF" w:rsidRPr="00993EA8" w14:paraId="30B39450" w14:textId="77777777" w:rsidTr="00DB35E9">
        <w:trPr>
          <w:trHeight w:val="558"/>
        </w:trPr>
        <w:tc>
          <w:tcPr>
            <w:tcW w:w="2741" w:type="pct"/>
            <w:tcBorders>
              <w:top w:val="nil"/>
              <w:left w:val="single" w:sz="4" w:space="0" w:color="000000"/>
              <w:bottom w:val="nil"/>
              <w:right w:val="single" w:sz="4" w:space="0" w:color="000000"/>
            </w:tcBorders>
            <w:hideMark/>
          </w:tcPr>
          <w:p w14:paraId="34314C58" w14:textId="77777777" w:rsidR="002743CF" w:rsidRPr="00993EA8" w:rsidRDefault="002743CF" w:rsidP="00993EA8">
            <w:pPr>
              <w:rPr>
                <w:b/>
                <w:sz w:val="24"/>
                <w:szCs w:val="24"/>
              </w:rPr>
            </w:pPr>
            <w:r w:rsidRPr="00993EA8">
              <w:rPr>
                <w:b/>
                <w:sz w:val="24"/>
                <w:szCs w:val="24"/>
              </w:rPr>
              <w:t xml:space="preserve">Luftveje, thorax og </w:t>
            </w:r>
            <w:proofErr w:type="spellStart"/>
            <w:r w:rsidRPr="00993EA8">
              <w:rPr>
                <w:b/>
                <w:sz w:val="24"/>
                <w:szCs w:val="24"/>
              </w:rPr>
              <w:t>mediastinum</w:t>
            </w:r>
            <w:proofErr w:type="spellEnd"/>
          </w:p>
          <w:p w14:paraId="624AAD13" w14:textId="77777777" w:rsidR="002743CF" w:rsidRPr="00993EA8" w:rsidRDefault="002743CF" w:rsidP="00993EA8">
            <w:pPr>
              <w:rPr>
                <w:sz w:val="24"/>
                <w:szCs w:val="24"/>
              </w:rPr>
            </w:pPr>
            <w:r w:rsidRPr="00993EA8">
              <w:rPr>
                <w:sz w:val="24"/>
                <w:szCs w:val="24"/>
              </w:rPr>
              <w:t>Tilstopning af bihuler</w:t>
            </w:r>
          </w:p>
        </w:tc>
        <w:tc>
          <w:tcPr>
            <w:tcW w:w="2259" w:type="pct"/>
            <w:tcBorders>
              <w:top w:val="nil"/>
              <w:left w:val="single" w:sz="4" w:space="0" w:color="000000"/>
              <w:bottom w:val="nil"/>
              <w:right w:val="single" w:sz="4" w:space="0" w:color="000000"/>
            </w:tcBorders>
          </w:tcPr>
          <w:p w14:paraId="65DE9B53" w14:textId="77777777" w:rsidR="002743CF" w:rsidRPr="00993EA8" w:rsidRDefault="002743CF" w:rsidP="00993EA8">
            <w:pPr>
              <w:rPr>
                <w:sz w:val="24"/>
                <w:szCs w:val="24"/>
              </w:rPr>
            </w:pPr>
          </w:p>
          <w:p w14:paraId="27F9AECC" w14:textId="77777777" w:rsidR="002743CF" w:rsidRPr="00993EA8" w:rsidRDefault="002743CF" w:rsidP="00993EA8">
            <w:pPr>
              <w:rPr>
                <w:sz w:val="24"/>
                <w:szCs w:val="24"/>
              </w:rPr>
            </w:pPr>
            <w:r w:rsidRPr="00993EA8">
              <w:rPr>
                <w:sz w:val="24"/>
                <w:szCs w:val="24"/>
              </w:rPr>
              <w:t>Ikke almindelig</w:t>
            </w:r>
          </w:p>
        </w:tc>
      </w:tr>
      <w:tr w:rsidR="002743CF" w:rsidRPr="00993EA8" w14:paraId="273D3885" w14:textId="77777777" w:rsidTr="00DB35E9">
        <w:trPr>
          <w:trHeight w:val="286"/>
        </w:trPr>
        <w:tc>
          <w:tcPr>
            <w:tcW w:w="2741" w:type="pct"/>
            <w:tcBorders>
              <w:top w:val="nil"/>
              <w:left w:val="single" w:sz="4" w:space="0" w:color="000000"/>
              <w:bottom w:val="nil"/>
              <w:right w:val="single" w:sz="4" w:space="0" w:color="000000"/>
            </w:tcBorders>
            <w:hideMark/>
          </w:tcPr>
          <w:p w14:paraId="744D907C" w14:textId="77777777" w:rsidR="002743CF" w:rsidRPr="00993EA8" w:rsidRDefault="002743CF" w:rsidP="00993EA8">
            <w:pPr>
              <w:rPr>
                <w:sz w:val="24"/>
                <w:szCs w:val="24"/>
              </w:rPr>
            </w:pPr>
            <w:r w:rsidRPr="00993EA8">
              <w:rPr>
                <w:sz w:val="24"/>
                <w:szCs w:val="24"/>
              </w:rPr>
              <w:t>Produktiv hoste</w:t>
            </w:r>
          </w:p>
        </w:tc>
        <w:tc>
          <w:tcPr>
            <w:tcW w:w="2259" w:type="pct"/>
            <w:tcBorders>
              <w:top w:val="nil"/>
              <w:left w:val="single" w:sz="4" w:space="0" w:color="000000"/>
              <w:bottom w:val="nil"/>
              <w:right w:val="single" w:sz="4" w:space="0" w:color="000000"/>
            </w:tcBorders>
            <w:hideMark/>
          </w:tcPr>
          <w:p w14:paraId="5EACD391" w14:textId="77777777" w:rsidR="002743CF" w:rsidRPr="00993EA8" w:rsidRDefault="002743CF" w:rsidP="00993EA8">
            <w:pPr>
              <w:rPr>
                <w:sz w:val="24"/>
                <w:szCs w:val="24"/>
              </w:rPr>
            </w:pPr>
            <w:r w:rsidRPr="00993EA8">
              <w:rPr>
                <w:sz w:val="24"/>
                <w:szCs w:val="24"/>
              </w:rPr>
              <w:t>Ikke almindelig</w:t>
            </w:r>
          </w:p>
        </w:tc>
      </w:tr>
      <w:tr w:rsidR="002743CF" w:rsidRPr="00993EA8" w14:paraId="2ABDFD25" w14:textId="77777777" w:rsidTr="00DB35E9">
        <w:trPr>
          <w:trHeight w:val="286"/>
        </w:trPr>
        <w:tc>
          <w:tcPr>
            <w:tcW w:w="2741" w:type="pct"/>
            <w:tcBorders>
              <w:top w:val="nil"/>
              <w:left w:val="single" w:sz="4" w:space="0" w:color="000000"/>
              <w:bottom w:val="nil"/>
              <w:right w:val="single" w:sz="4" w:space="0" w:color="000000"/>
            </w:tcBorders>
            <w:hideMark/>
          </w:tcPr>
          <w:p w14:paraId="72AE0DCC" w14:textId="77777777" w:rsidR="002743CF" w:rsidRPr="00993EA8" w:rsidRDefault="002743CF" w:rsidP="00993EA8">
            <w:pPr>
              <w:rPr>
                <w:sz w:val="24"/>
                <w:szCs w:val="24"/>
              </w:rPr>
            </w:pPr>
            <w:r w:rsidRPr="00993EA8">
              <w:rPr>
                <w:sz w:val="24"/>
                <w:szCs w:val="24"/>
              </w:rPr>
              <w:t>Halsirritation</w:t>
            </w:r>
          </w:p>
        </w:tc>
        <w:tc>
          <w:tcPr>
            <w:tcW w:w="2259" w:type="pct"/>
            <w:tcBorders>
              <w:top w:val="nil"/>
              <w:left w:val="single" w:sz="4" w:space="0" w:color="000000"/>
              <w:bottom w:val="nil"/>
              <w:right w:val="single" w:sz="4" w:space="0" w:color="000000"/>
            </w:tcBorders>
            <w:hideMark/>
          </w:tcPr>
          <w:p w14:paraId="1A542FE4" w14:textId="77777777" w:rsidR="002743CF" w:rsidRPr="00993EA8" w:rsidRDefault="002743CF" w:rsidP="00993EA8">
            <w:pPr>
              <w:rPr>
                <w:sz w:val="24"/>
                <w:szCs w:val="24"/>
              </w:rPr>
            </w:pPr>
            <w:r w:rsidRPr="00993EA8">
              <w:rPr>
                <w:sz w:val="24"/>
                <w:szCs w:val="24"/>
              </w:rPr>
              <w:t>Ikke almindelig</w:t>
            </w:r>
          </w:p>
        </w:tc>
      </w:tr>
      <w:tr w:rsidR="002743CF" w:rsidRPr="00993EA8" w14:paraId="24CB622A" w14:textId="77777777" w:rsidTr="00DB35E9">
        <w:trPr>
          <w:trHeight w:val="281"/>
        </w:trPr>
        <w:tc>
          <w:tcPr>
            <w:tcW w:w="2741" w:type="pct"/>
            <w:tcBorders>
              <w:top w:val="nil"/>
              <w:left w:val="single" w:sz="4" w:space="0" w:color="000000"/>
              <w:bottom w:val="nil"/>
              <w:right w:val="single" w:sz="4" w:space="0" w:color="000000"/>
            </w:tcBorders>
            <w:hideMark/>
          </w:tcPr>
          <w:p w14:paraId="55A53A93" w14:textId="77777777" w:rsidR="002743CF" w:rsidRPr="00993EA8" w:rsidRDefault="002743CF" w:rsidP="00993EA8">
            <w:pPr>
              <w:rPr>
                <w:sz w:val="24"/>
                <w:szCs w:val="24"/>
              </w:rPr>
            </w:pPr>
            <w:proofErr w:type="spellStart"/>
            <w:r w:rsidRPr="00993EA8">
              <w:rPr>
                <w:sz w:val="24"/>
                <w:szCs w:val="24"/>
              </w:rPr>
              <w:t>Epistaxis</w:t>
            </w:r>
            <w:proofErr w:type="spellEnd"/>
          </w:p>
        </w:tc>
        <w:tc>
          <w:tcPr>
            <w:tcW w:w="2259" w:type="pct"/>
            <w:tcBorders>
              <w:top w:val="nil"/>
              <w:left w:val="single" w:sz="4" w:space="0" w:color="000000"/>
              <w:bottom w:val="nil"/>
              <w:right w:val="single" w:sz="4" w:space="0" w:color="000000"/>
            </w:tcBorders>
            <w:hideMark/>
          </w:tcPr>
          <w:p w14:paraId="3EC4F3D7" w14:textId="77777777" w:rsidR="002743CF" w:rsidRPr="00993EA8" w:rsidRDefault="002743CF" w:rsidP="00993EA8">
            <w:pPr>
              <w:rPr>
                <w:sz w:val="24"/>
                <w:szCs w:val="24"/>
              </w:rPr>
            </w:pPr>
            <w:r w:rsidRPr="00993EA8">
              <w:rPr>
                <w:sz w:val="24"/>
                <w:szCs w:val="24"/>
              </w:rPr>
              <w:t>Ikke almindelig</w:t>
            </w:r>
          </w:p>
        </w:tc>
      </w:tr>
      <w:tr w:rsidR="002743CF" w:rsidRPr="00993EA8" w14:paraId="28C39145" w14:textId="77777777" w:rsidTr="00DB35E9">
        <w:trPr>
          <w:trHeight w:val="284"/>
        </w:trPr>
        <w:tc>
          <w:tcPr>
            <w:tcW w:w="2741" w:type="pct"/>
            <w:tcBorders>
              <w:top w:val="nil"/>
              <w:left w:val="single" w:sz="4" w:space="0" w:color="000000"/>
              <w:bottom w:val="nil"/>
              <w:right w:val="single" w:sz="4" w:space="0" w:color="000000"/>
            </w:tcBorders>
            <w:hideMark/>
          </w:tcPr>
          <w:p w14:paraId="29819DAE" w14:textId="77777777" w:rsidR="002743CF" w:rsidRPr="00993EA8" w:rsidRDefault="002743CF" w:rsidP="00993EA8">
            <w:pPr>
              <w:rPr>
                <w:sz w:val="24"/>
                <w:szCs w:val="24"/>
              </w:rPr>
            </w:pPr>
            <w:r w:rsidRPr="00993EA8">
              <w:rPr>
                <w:sz w:val="24"/>
                <w:szCs w:val="24"/>
              </w:rPr>
              <w:t>Dysfoni</w:t>
            </w:r>
            <w:r w:rsidRPr="00993EA8">
              <w:rPr>
                <w:sz w:val="24"/>
                <w:szCs w:val="24"/>
                <w:vertAlign w:val="superscript"/>
              </w:rPr>
              <w:t>2)</w:t>
            </w:r>
          </w:p>
        </w:tc>
        <w:tc>
          <w:tcPr>
            <w:tcW w:w="2259" w:type="pct"/>
            <w:tcBorders>
              <w:top w:val="nil"/>
              <w:left w:val="single" w:sz="4" w:space="0" w:color="000000"/>
              <w:bottom w:val="nil"/>
              <w:right w:val="single" w:sz="4" w:space="0" w:color="000000"/>
            </w:tcBorders>
            <w:hideMark/>
          </w:tcPr>
          <w:p w14:paraId="6C8AED6E" w14:textId="77777777" w:rsidR="002743CF" w:rsidRPr="00993EA8" w:rsidRDefault="002743CF" w:rsidP="00993EA8">
            <w:pPr>
              <w:rPr>
                <w:sz w:val="24"/>
                <w:szCs w:val="24"/>
              </w:rPr>
            </w:pPr>
            <w:r w:rsidRPr="00993EA8">
              <w:rPr>
                <w:sz w:val="24"/>
                <w:szCs w:val="24"/>
              </w:rPr>
              <w:t>Ikke almindelig</w:t>
            </w:r>
          </w:p>
        </w:tc>
      </w:tr>
      <w:tr w:rsidR="002743CF" w:rsidRPr="00993EA8" w14:paraId="1AEC14EB" w14:textId="77777777" w:rsidTr="00DB35E9">
        <w:trPr>
          <w:trHeight w:val="434"/>
        </w:trPr>
        <w:tc>
          <w:tcPr>
            <w:tcW w:w="2741" w:type="pct"/>
            <w:tcBorders>
              <w:top w:val="nil"/>
              <w:left w:val="single" w:sz="4" w:space="0" w:color="000000"/>
              <w:bottom w:val="nil"/>
              <w:right w:val="single" w:sz="4" w:space="0" w:color="000000"/>
            </w:tcBorders>
            <w:hideMark/>
          </w:tcPr>
          <w:p w14:paraId="71A8C4BA" w14:textId="77777777" w:rsidR="002743CF" w:rsidRPr="00993EA8" w:rsidRDefault="002743CF" w:rsidP="00993EA8">
            <w:pPr>
              <w:rPr>
                <w:sz w:val="24"/>
                <w:szCs w:val="24"/>
              </w:rPr>
            </w:pPr>
            <w:r w:rsidRPr="00993EA8">
              <w:rPr>
                <w:sz w:val="24"/>
                <w:szCs w:val="24"/>
              </w:rPr>
              <w:t>Paradoks bronkospasme</w:t>
            </w:r>
            <w:r w:rsidRPr="00993EA8">
              <w:rPr>
                <w:sz w:val="24"/>
                <w:szCs w:val="24"/>
                <w:vertAlign w:val="superscript"/>
              </w:rPr>
              <w:t>2)</w:t>
            </w:r>
          </w:p>
        </w:tc>
        <w:tc>
          <w:tcPr>
            <w:tcW w:w="2259" w:type="pct"/>
            <w:tcBorders>
              <w:top w:val="nil"/>
              <w:left w:val="single" w:sz="4" w:space="0" w:color="000000"/>
              <w:bottom w:val="nil"/>
              <w:right w:val="single" w:sz="4" w:space="0" w:color="000000"/>
            </w:tcBorders>
            <w:hideMark/>
          </w:tcPr>
          <w:p w14:paraId="72900A67" w14:textId="77777777" w:rsidR="002743CF" w:rsidRPr="00993EA8" w:rsidRDefault="002743CF" w:rsidP="00993EA8">
            <w:pPr>
              <w:rPr>
                <w:sz w:val="24"/>
                <w:szCs w:val="24"/>
              </w:rPr>
            </w:pPr>
            <w:r w:rsidRPr="00993EA8">
              <w:rPr>
                <w:sz w:val="24"/>
                <w:szCs w:val="24"/>
              </w:rPr>
              <w:t>Ikke kendt</w:t>
            </w:r>
          </w:p>
        </w:tc>
      </w:tr>
      <w:tr w:rsidR="002743CF" w:rsidRPr="00993EA8" w14:paraId="2192282A" w14:textId="77777777" w:rsidTr="00DB35E9">
        <w:trPr>
          <w:trHeight w:val="709"/>
        </w:trPr>
        <w:tc>
          <w:tcPr>
            <w:tcW w:w="2741" w:type="pct"/>
            <w:tcBorders>
              <w:top w:val="nil"/>
              <w:left w:val="single" w:sz="4" w:space="0" w:color="000000"/>
              <w:bottom w:val="nil"/>
              <w:right w:val="single" w:sz="4" w:space="0" w:color="000000"/>
            </w:tcBorders>
          </w:tcPr>
          <w:p w14:paraId="6DEB4CD1" w14:textId="77777777" w:rsidR="002743CF" w:rsidRPr="00993EA8" w:rsidRDefault="002743CF" w:rsidP="00993EA8">
            <w:pPr>
              <w:rPr>
                <w:sz w:val="24"/>
                <w:szCs w:val="24"/>
              </w:rPr>
            </w:pPr>
          </w:p>
          <w:p w14:paraId="76EED8C5" w14:textId="77777777" w:rsidR="002743CF" w:rsidRPr="00993EA8" w:rsidRDefault="002743CF" w:rsidP="00993EA8">
            <w:pPr>
              <w:rPr>
                <w:sz w:val="24"/>
                <w:szCs w:val="24"/>
              </w:rPr>
            </w:pPr>
            <w:r w:rsidRPr="00993EA8">
              <w:rPr>
                <w:b/>
                <w:sz w:val="24"/>
                <w:szCs w:val="24"/>
              </w:rPr>
              <w:t>Mave-tarm-kanalen</w:t>
            </w:r>
          </w:p>
          <w:p w14:paraId="43FEFEAB" w14:textId="77777777" w:rsidR="002743CF" w:rsidRPr="00993EA8" w:rsidRDefault="002743CF" w:rsidP="00993EA8">
            <w:pPr>
              <w:rPr>
                <w:sz w:val="24"/>
                <w:szCs w:val="24"/>
              </w:rPr>
            </w:pPr>
            <w:r w:rsidRPr="00993EA8">
              <w:rPr>
                <w:sz w:val="24"/>
                <w:szCs w:val="24"/>
              </w:rPr>
              <w:t>Mundtørhed</w:t>
            </w:r>
          </w:p>
        </w:tc>
        <w:tc>
          <w:tcPr>
            <w:tcW w:w="2259" w:type="pct"/>
            <w:tcBorders>
              <w:top w:val="nil"/>
              <w:left w:val="single" w:sz="4" w:space="0" w:color="000000"/>
              <w:bottom w:val="nil"/>
              <w:right w:val="single" w:sz="4" w:space="0" w:color="000000"/>
            </w:tcBorders>
          </w:tcPr>
          <w:p w14:paraId="287CBEC3" w14:textId="77777777" w:rsidR="002743CF" w:rsidRPr="00993EA8" w:rsidRDefault="002743CF" w:rsidP="00993EA8">
            <w:pPr>
              <w:rPr>
                <w:sz w:val="24"/>
                <w:szCs w:val="24"/>
              </w:rPr>
            </w:pPr>
          </w:p>
          <w:p w14:paraId="54AF141B" w14:textId="77777777" w:rsidR="002743CF" w:rsidRPr="00993EA8" w:rsidRDefault="002743CF" w:rsidP="00993EA8">
            <w:pPr>
              <w:rPr>
                <w:sz w:val="24"/>
                <w:szCs w:val="24"/>
              </w:rPr>
            </w:pPr>
          </w:p>
          <w:p w14:paraId="5BA344C5" w14:textId="77777777" w:rsidR="002743CF" w:rsidRPr="00993EA8" w:rsidRDefault="002743CF" w:rsidP="00993EA8">
            <w:pPr>
              <w:rPr>
                <w:sz w:val="24"/>
                <w:szCs w:val="24"/>
              </w:rPr>
            </w:pPr>
            <w:r w:rsidRPr="00993EA8">
              <w:rPr>
                <w:sz w:val="24"/>
                <w:szCs w:val="24"/>
              </w:rPr>
              <w:t>Almindelig</w:t>
            </w:r>
          </w:p>
        </w:tc>
      </w:tr>
      <w:tr w:rsidR="002743CF" w:rsidRPr="00993EA8" w14:paraId="03BB8528" w14:textId="77777777" w:rsidTr="00DB35E9">
        <w:trPr>
          <w:trHeight w:val="520"/>
        </w:trPr>
        <w:tc>
          <w:tcPr>
            <w:tcW w:w="2741" w:type="pct"/>
            <w:tcBorders>
              <w:top w:val="nil"/>
              <w:left w:val="single" w:sz="4" w:space="0" w:color="000000"/>
              <w:bottom w:val="nil"/>
              <w:right w:val="single" w:sz="4" w:space="0" w:color="000000"/>
            </w:tcBorders>
            <w:hideMark/>
          </w:tcPr>
          <w:p w14:paraId="7F1B8AA0" w14:textId="77777777" w:rsidR="002743CF" w:rsidRPr="00993EA8" w:rsidRDefault="002743CF" w:rsidP="00993EA8">
            <w:pPr>
              <w:rPr>
                <w:sz w:val="24"/>
                <w:szCs w:val="24"/>
              </w:rPr>
            </w:pPr>
            <w:proofErr w:type="spellStart"/>
            <w:r w:rsidRPr="00993EA8">
              <w:rPr>
                <w:sz w:val="24"/>
                <w:szCs w:val="24"/>
              </w:rPr>
              <w:t>Gastroenteritis</w:t>
            </w:r>
            <w:proofErr w:type="spellEnd"/>
          </w:p>
          <w:p w14:paraId="5EA2253E" w14:textId="77777777" w:rsidR="002743CF" w:rsidRPr="00993EA8" w:rsidRDefault="002743CF" w:rsidP="00993EA8">
            <w:pPr>
              <w:rPr>
                <w:sz w:val="24"/>
                <w:szCs w:val="24"/>
              </w:rPr>
            </w:pPr>
            <w:r w:rsidRPr="00993EA8">
              <w:rPr>
                <w:sz w:val="24"/>
                <w:szCs w:val="24"/>
              </w:rPr>
              <w:t>Kvalme</w:t>
            </w:r>
            <w:r w:rsidRPr="00993EA8">
              <w:rPr>
                <w:sz w:val="24"/>
                <w:szCs w:val="24"/>
                <w:vertAlign w:val="superscript"/>
              </w:rPr>
              <w:t>2)</w:t>
            </w:r>
          </w:p>
        </w:tc>
        <w:tc>
          <w:tcPr>
            <w:tcW w:w="2259" w:type="pct"/>
            <w:tcBorders>
              <w:top w:val="nil"/>
              <w:left w:val="single" w:sz="4" w:space="0" w:color="000000"/>
              <w:bottom w:val="nil"/>
              <w:right w:val="single" w:sz="4" w:space="0" w:color="000000"/>
            </w:tcBorders>
            <w:hideMark/>
          </w:tcPr>
          <w:p w14:paraId="0D7BA4F3" w14:textId="77777777" w:rsidR="002743CF" w:rsidRPr="00993EA8" w:rsidRDefault="002743CF" w:rsidP="00993EA8">
            <w:pPr>
              <w:rPr>
                <w:sz w:val="24"/>
                <w:szCs w:val="24"/>
              </w:rPr>
            </w:pPr>
            <w:r w:rsidRPr="00993EA8">
              <w:rPr>
                <w:sz w:val="24"/>
                <w:szCs w:val="24"/>
              </w:rPr>
              <w:t>Almindelig</w:t>
            </w:r>
          </w:p>
          <w:p w14:paraId="5B73C78E" w14:textId="77777777" w:rsidR="002743CF" w:rsidRPr="00993EA8" w:rsidRDefault="002743CF" w:rsidP="00993EA8">
            <w:pPr>
              <w:rPr>
                <w:sz w:val="24"/>
                <w:szCs w:val="24"/>
              </w:rPr>
            </w:pPr>
            <w:r w:rsidRPr="00993EA8">
              <w:rPr>
                <w:sz w:val="24"/>
                <w:szCs w:val="24"/>
              </w:rPr>
              <w:t>Ikke almindelig</w:t>
            </w:r>
          </w:p>
        </w:tc>
      </w:tr>
      <w:tr w:rsidR="002743CF" w:rsidRPr="00993EA8" w14:paraId="0FC1E4A5" w14:textId="77777777" w:rsidTr="00DB35E9">
        <w:trPr>
          <w:trHeight w:val="273"/>
        </w:trPr>
        <w:tc>
          <w:tcPr>
            <w:tcW w:w="2741" w:type="pct"/>
            <w:tcBorders>
              <w:top w:val="nil"/>
              <w:left w:val="single" w:sz="4" w:space="0" w:color="000000"/>
              <w:bottom w:val="nil"/>
              <w:right w:val="single" w:sz="4" w:space="0" w:color="000000"/>
            </w:tcBorders>
            <w:hideMark/>
          </w:tcPr>
          <w:p w14:paraId="4BEFF897" w14:textId="77777777" w:rsidR="002743CF" w:rsidRPr="00993EA8" w:rsidRDefault="002743CF" w:rsidP="00993EA8">
            <w:pPr>
              <w:rPr>
                <w:sz w:val="24"/>
                <w:szCs w:val="24"/>
              </w:rPr>
            </w:pPr>
            <w:r w:rsidRPr="00993EA8">
              <w:rPr>
                <w:sz w:val="24"/>
                <w:szCs w:val="24"/>
              </w:rPr>
              <w:t>Opkastning</w:t>
            </w:r>
            <w:r w:rsidRPr="00993EA8">
              <w:rPr>
                <w:sz w:val="24"/>
                <w:szCs w:val="24"/>
                <w:vertAlign w:val="superscript"/>
              </w:rPr>
              <w:t>1) 2)</w:t>
            </w:r>
          </w:p>
        </w:tc>
        <w:tc>
          <w:tcPr>
            <w:tcW w:w="2259" w:type="pct"/>
            <w:tcBorders>
              <w:top w:val="nil"/>
              <w:left w:val="single" w:sz="4" w:space="0" w:color="000000"/>
              <w:bottom w:val="nil"/>
              <w:right w:val="single" w:sz="4" w:space="0" w:color="000000"/>
            </w:tcBorders>
            <w:hideMark/>
          </w:tcPr>
          <w:p w14:paraId="5020A760" w14:textId="77777777" w:rsidR="002743CF" w:rsidRPr="00993EA8" w:rsidRDefault="002743CF" w:rsidP="00993EA8">
            <w:pPr>
              <w:rPr>
                <w:sz w:val="24"/>
                <w:szCs w:val="24"/>
              </w:rPr>
            </w:pPr>
            <w:r w:rsidRPr="00993EA8">
              <w:rPr>
                <w:sz w:val="24"/>
                <w:szCs w:val="24"/>
              </w:rPr>
              <w:t>Ikke almindelig</w:t>
            </w:r>
          </w:p>
        </w:tc>
      </w:tr>
      <w:tr w:rsidR="002743CF" w:rsidRPr="00993EA8" w14:paraId="2A99E1DD" w14:textId="77777777" w:rsidTr="00DB35E9">
        <w:trPr>
          <w:trHeight w:val="284"/>
        </w:trPr>
        <w:tc>
          <w:tcPr>
            <w:tcW w:w="2741" w:type="pct"/>
            <w:tcBorders>
              <w:top w:val="nil"/>
              <w:left w:val="single" w:sz="4" w:space="0" w:color="000000"/>
              <w:bottom w:val="nil"/>
              <w:right w:val="single" w:sz="4" w:space="0" w:color="000000"/>
            </w:tcBorders>
            <w:hideMark/>
          </w:tcPr>
          <w:p w14:paraId="1C6D4E75" w14:textId="77777777" w:rsidR="002743CF" w:rsidRPr="00993EA8" w:rsidRDefault="002743CF" w:rsidP="00993EA8">
            <w:pPr>
              <w:rPr>
                <w:sz w:val="24"/>
                <w:szCs w:val="24"/>
              </w:rPr>
            </w:pPr>
            <w:r w:rsidRPr="00993EA8">
              <w:rPr>
                <w:sz w:val="24"/>
                <w:szCs w:val="24"/>
              </w:rPr>
              <w:t>Dyspepsi</w:t>
            </w:r>
          </w:p>
        </w:tc>
        <w:tc>
          <w:tcPr>
            <w:tcW w:w="2259" w:type="pct"/>
            <w:tcBorders>
              <w:top w:val="nil"/>
              <w:left w:val="single" w:sz="4" w:space="0" w:color="000000"/>
              <w:bottom w:val="nil"/>
              <w:right w:val="single" w:sz="4" w:space="0" w:color="000000"/>
            </w:tcBorders>
            <w:hideMark/>
          </w:tcPr>
          <w:p w14:paraId="2867A10B" w14:textId="77777777" w:rsidR="002743CF" w:rsidRPr="00993EA8" w:rsidRDefault="002743CF" w:rsidP="00993EA8">
            <w:pPr>
              <w:rPr>
                <w:sz w:val="24"/>
                <w:szCs w:val="24"/>
              </w:rPr>
            </w:pPr>
            <w:r w:rsidRPr="00993EA8">
              <w:rPr>
                <w:sz w:val="24"/>
                <w:szCs w:val="24"/>
              </w:rPr>
              <w:t>Ikke almindelig</w:t>
            </w:r>
          </w:p>
        </w:tc>
      </w:tr>
      <w:tr w:rsidR="002743CF" w:rsidRPr="00993EA8" w14:paraId="318482B2" w14:textId="77777777" w:rsidTr="00DB35E9">
        <w:trPr>
          <w:trHeight w:val="430"/>
        </w:trPr>
        <w:tc>
          <w:tcPr>
            <w:tcW w:w="2741" w:type="pct"/>
            <w:tcBorders>
              <w:top w:val="nil"/>
              <w:left w:val="single" w:sz="4" w:space="0" w:color="000000"/>
              <w:bottom w:val="nil"/>
              <w:right w:val="single" w:sz="4" w:space="0" w:color="000000"/>
            </w:tcBorders>
            <w:vAlign w:val="bottom"/>
          </w:tcPr>
          <w:p w14:paraId="6C7A9DF8" w14:textId="77777777" w:rsidR="002743CF" w:rsidRPr="00993EA8" w:rsidRDefault="002743CF" w:rsidP="00993EA8">
            <w:pPr>
              <w:rPr>
                <w:sz w:val="24"/>
                <w:szCs w:val="24"/>
              </w:rPr>
            </w:pPr>
            <w:r w:rsidRPr="00993EA8">
              <w:rPr>
                <w:sz w:val="24"/>
                <w:szCs w:val="24"/>
              </w:rPr>
              <w:t>Karies</w:t>
            </w:r>
          </w:p>
          <w:p w14:paraId="370B2642"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41C792DC" w14:textId="77777777" w:rsidR="002743CF" w:rsidRPr="00993EA8" w:rsidRDefault="002743CF" w:rsidP="00993EA8">
            <w:pPr>
              <w:rPr>
                <w:sz w:val="24"/>
                <w:szCs w:val="24"/>
              </w:rPr>
            </w:pPr>
            <w:r w:rsidRPr="00993EA8">
              <w:rPr>
                <w:sz w:val="24"/>
                <w:szCs w:val="24"/>
              </w:rPr>
              <w:t>Ikke almindelig</w:t>
            </w:r>
          </w:p>
          <w:p w14:paraId="2059D671" w14:textId="77777777" w:rsidR="002743CF" w:rsidRPr="00993EA8" w:rsidRDefault="002743CF" w:rsidP="00993EA8">
            <w:pPr>
              <w:rPr>
                <w:sz w:val="24"/>
                <w:szCs w:val="24"/>
              </w:rPr>
            </w:pPr>
          </w:p>
        </w:tc>
      </w:tr>
      <w:tr w:rsidR="002743CF" w:rsidRPr="00993EA8" w14:paraId="44B5A366" w14:textId="77777777" w:rsidTr="00DB35E9">
        <w:trPr>
          <w:trHeight w:val="707"/>
        </w:trPr>
        <w:tc>
          <w:tcPr>
            <w:tcW w:w="2741" w:type="pct"/>
            <w:tcBorders>
              <w:top w:val="nil"/>
              <w:left w:val="single" w:sz="4" w:space="0" w:color="000000"/>
              <w:bottom w:val="nil"/>
              <w:right w:val="single" w:sz="4" w:space="0" w:color="000000"/>
            </w:tcBorders>
            <w:vAlign w:val="bottom"/>
            <w:hideMark/>
          </w:tcPr>
          <w:p w14:paraId="4396B1BE" w14:textId="77777777" w:rsidR="002743CF" w:rsidRPr="00993EA8" w:rsidRDefault="002743CF" w:rsidP="00993EA8">
            <w:pPr>
              <w:rPr>
                <w:b/>
                <w:sz w:val="24"/>
                <w:szCs w:val="24"/>
              </w:rPr>
            </w:pPr>
            <w:r w:rsidRPr="00993EA8">
              <w:rPr>
                <w:b/>
                <w:sz w:val="24"/>
                <w:szCs w:val="24"/>
              </w:rPr>
              <w:t>Hud og subkutane væv</w:t>
            </w:r>
          </w:p>
          <w:p w14:paraId="072DA004" w14:textId="77777777" w:rsidR="002743CF" w:rsidRPr="00993EA8" w:rsidRDefault="002743CF" w:rsidP="00993EA8">
            <w:pPr>
              <w:rPr>
                <w:sz w:val="24"/>
                <w:szCs w:val="24"/>
              </w:rPr>
            </w:pPr>
            <w:r w:rsidRPr="00993EA8">
              <w:rPr>
                <w:sz w:val="24"/>
                <w:szCs w:val="24"/>
              </w:rPr>
              <w:t>Udslæt</w:t>
            </w:r>
          </w:p>
        </w:tc>
        <w:tc>
          <w:tcPr>
            <w:tcW w:w="2259" w:type="pct"/>
            <w:tcBorders>
              <w:top w:val="nil"/>
              <w:left w:val="single" w:sz="4" w:space="0" w:color="000000"/>
              <w:bottom w:val="nil"/>
              <w:right w:val="single" w:sz="4" w:space="0" w:color="000000"/>
            </w:tcBorders>
            <w:vAlign w:val="bottom"/>
          </w:tcPr>
          <w:p w14:paraId="7C6072B2" w14:textId="77777777" w:rsidR="002743CF" w:rsidRPr="00993EA8" w:rsidRDefault="002743CF" w:rsidP="00993EA8">
            <w:pPr>
              <w:rPr>
                <w:sz w:val="24"/>
                <w:szCs w:val="24"/>
              </w:rPr>
            </w:pPr>
          </w:p>
          <w:p w14:paraId="1B1D0E2D" w14:textId="77777777" w:rsidR="002743CF" w:rsidRPr="00993EA8" w:rsidRDefault="002743CF" w:rsidP="00993EA8">
            <w:pPr>
              <w:rPr>
                <w:sz w:val="24"/>
                <w:szCs w:val="24"/>
              </w:rPr>
            </w:pPr>
            <w:r w:rsidRPr="00993EA8">
              <w:rPr>
                <w:sz w:val="24"/>
                <w:szCs w:val="24"/>
              </w:rPr>
              <w:t>Ikke almindelig</w:t>
            </w:r>
          </w:p>
        </w:tc>
      </w:tr>
      <w:tr w:rsidR="002743CF" w:rsidRPr="00993EA8" w14:paraId="14720558" w14:textId="77777777" w:rsidTr="00DB35E9">
        <w:trPr>
          <w:trHeight w:val="433"/>
        </w:trPr>
        <w:tc>
          <w:tcPr>
            <w:tcW w:w="2741" w:type="pct"/>
            <w:tcBorders>
              <w:top w:val="nil"/>
              <w:left w:val="single" w:sz="4" w:space="0" w:color="000000"/>
              <w:bottom w:val="nil"/>
              <w:right w:val="single" w:sz="4" w:space="0" w:color="000000"/>
            </w:tcBorders>
            <w:hideMark/>
          </w:tcPr>
          <w:p w14:paraId="074A4BBC" w14:textId="77777777" w:rsidR="002743CF" w:rsidRPr="00993EA8" w:rsidRDefault="002743CF" w:rsidP="00993EA8">
            <w:pPr>
              <w:rPr>
                <w:sz w:val="24"/>
                <w:szCs w:val="24"/>
              </w:rPr>
            </w:pPr>
            <w:r w:rsidRPr="00993EA8">
              <w:rPr>
                <w:sz w:val="24"/>
                <w:szCs w:val="24"/>
              </w:rPr>
              <w:t>Pruritus</w:t>
            </w:r>
            <w:r w:rsidRPr="00993EA8">
              <w:rPr>
                <w:sz w:val="24"/>
                <w:szCs w:val="24"/>
                <w:vertAlign w:val="superscript"/>
              </w:rPr>
              <w:t>2)</w:t>
            </w:r>
          </w:p>
        </w:tc>
        <w:tc>
          <w:tcPr>
            <w:tcW w:w="2259" w:type="pct"/>
            <w:tcBorders>
              <w:top w:val="nil"/>
              <w:left w:val="single" w:sz="4" w:space="0" w:color="000000"/>
              <w:bottom w:val="nil"/>
              <w:right w:val="single" w:sz="4" w:space="0" w:color="000000"/>
            </w:tcBorders>
            <w:hideMark/>
          </w:tcPr>
          <w:p w14:paraId="4848304E" w14:textId="77777777" w:rsidR="002743CF" w:rsidRPr="00993EA8" w:rsidRDefault="002743CF" w:rsidP="00993EA8">
            <w:pPr>
              <w:rPr>
                <w:sz w:val="24"/>
                <w:szCs w:val="24"/>
              </w:rPr>
            </w:pPr>
            <w:r w:rsidRPr="00993EA8">
              <w:rPr>
                <w:sz w:val="24"/>
                <w:szCs w:val="24"/>
              </w:rPr>
              <w:t>Ikke almindelig</w:t>
            </w:r>
          </w:p>
        </w:tc>
      </w:tr>
      <w:tr w:rsidR="002743CF" w:rsidRPr="00993EA8" w14:paraId="3FD162C0" w14:textId="77777777" w:rsidTr="00DB35E9">
        <w:trPr>
          <w:trHeight w:val="710"/>
        </w:trPr>
        <w:tc>
          <w:tcPr>
            <w:tcW w:w="2741" w:type="pct"/>
            <w:tcBorders>
              <w:top w:val="nil"/>
              <w:left w:val="single" w:sz="4" w:space="0" w:color="000000"/>
              <w:bottom w:val="nil"/>
              <w:right w:val="single" w:sz="4" w:space="0" w:color="000000"/>
            </w:tcBorders>
          </w:tcPr>
          <w:p w14:paraId="7543AEBF" w14:textId="77777777" w:rsidR="002743CF" w:rsidRPr="00993EA8" w:rsidRDefault="002743CF" w:rsidP="00993EA8">
            <w:pPr>
              <w:rPr>
                <w:sz w:val="24"/>
                <w:szCs w:val="24"/>
              </w:rPr>
            </w:pPr>
          </w:p>
          <w:p w14:paraId="4093D4EA" w14:textId="77777777" w:rsidR="002743CF" w:rsidRPr="00993EA8" w:rsidRDefault="002743CF" w:rsidP="00993EA8">
            <w:pPr>
              <w:rPr>
                <w:sz w:val="24"/>
                <w:szCs w:val="24"/>
              </w:rPr>
            </w:pPr>
            <w:r w:rsidRPr="00993EA8">
              <w:rPr>
                <w:b/>
                <w:sz w:val="24"/>
                <w:szCs w:val="24"/>
              </w:rPr>
              <w:t>Knogler, led, muskler og bindevæv</w:t>
            </w:r>
          </w:p>
          <w:p w14:paraId="025BF4D8" w14:textId="77777777" w:rsidR="002743CF" w:rsidRPr="00993EA8" w:rsidRDefault="002743CF" w:rsidP="00993EA8">
            <w:pPr>
              <w:rPr>
                <w:sz w:val="24"/>
                <w:szCs w:val="24"/>
              </w:rPr>
            </w:pPr>
            <w:proofErr w:type="spellStart"/>
            <w:r w:rsidRPr="00993EA8">
              <w:rPr>
                <w:sz w:val="24"/>
                <w:szCs w:val="24"/>
              </w:rPr>
              <w:t>Muskuskeletale</w:t>
            </w:r>
            <w:proofErr w:type="spellEnd"/>
            <w:r w:rsidRPr="00993EA8">
              <w:rPr>
                <w:sz w:val="24"/>
                <w:szCs w:val="24"/>
              </w:rPr>
              <w:t xml:space="preserve"> smerter</w:t>
            </w:r>
            <w:r w:rsidRPr="00993EA8">
              <w:rPr>
                <w:sz w:val="24"/>
                <w:szCs w:val="24"/>
                <w:vertAlign w:val="superscript"/>
              </w:rPr>
              <w:t>1) 2)</w:t>
            </w:r>
          </w:p>
        </w:tc>
        <w:tc>
          <w:tcPr>
            <w:tcW w:w="2259" w:type="pct"/>
            <w:tcBorders>
              <w:top w:val="nil"/>
              <w:left w:val="single" w:sz="4" w:space="0" w:color="000000"/>
              <w:bottom w:val="nil"/>
              <w:right w:val="single" w:sz="4" w:space="0" w:color="000000"/>
            </w:tcBorders>
          </w:tcPr>
          <w:p w14:paraId="1CCCC229" w14:textId="77777777" w:rsidR="002743CF" w:rsidRPr="00993EA8" w:rsidRDefault="002743CF" w:rsidP="00993EA8">
            <w:pPr>
              <w:rPr>
                <w:sz w:val="24"/>
                <w:szCs w:val="24"/>
              </w:rPr>
            </w:pPr>
          </w:p>
          <w:p w14:paraId="76416181" w14:textId="77777777" w:rsidR="002743CF" w:rsidRPr="00993EA8" w:rsidRDefault="002743CF" w:rsidP="00993EA8">
            <w:pPr>
              <w:rPr>
                <w:sz w:val="24"/>
                <w:szCs w:val="24"/>
              </w:rPr>
            </w:pPr>
          </w:p>
          <w:p w14:paraId="45469510" w14:textId="77777777" w:rsidR="002743CF" w:rsidRPr="00993EA8" w:rsidRDefault="002743CF" w:rsidP="00993EA8">
            <w:pPr>
              <w:rPr>
                <w:sz w:val="24"/>
                <w:szCs w:val="24"/>
              </w:rPr>
            </w:pPr>
            <w:r w:rsidRPr="00993EA8">
              <w:rPr>
                <w:sz w:val="24"/>
                <w:szCs w:val="24"/>
              </w:rPr>
              <w:t>Almindelig</w:t>
            </w:r>
          </w:p>
        </w:tc>
      </w:tr>
      <w:tr w:rsidR="002743CF" w:rsidRPr="00993EA8" w14:paraId="02C45C8B" w14:textId="77777777" w:rsidTr="00DB35E9">
        <w:trPr>
          <w:trHeight w:val="285"/>
        </w:trPr>
        <w:tc>
          <w:tcPr>
            <w:tcW w:w="2741" w:type="pct"/>
            <w:tcBorders>
              <w:top w:val="nil"/>
              <w:left w:val="single" w:sz="4" w:space="0" w:color="000000"/>
              <w:bottom w:val="nil"/>
              <w:right w:val="single" w:sz="4" w:space="0" w:color="000000"/>
            </w:tcBorders>
            <w:hideMark/>
          </w:tcPr>
          <w:p w14:paraId="5EC634B8" w14:textId="77777777" w:rsidR="002743CF" w:rsidRPr="00993EA8" w:rsidRDefault="002743CF" w:rsidP="00993EA8">
            <w:pPr>
              <w:rPr>
                <w:sz w:val="24"/>
                <w:szCs w:val="24"/>
              </w:rPr>
            </w:pPr>
            <w:r w:rsidRPr="00993EA8">
              <w:rPr>
                <w:sz w:val="24"/>
                <w:szCs w:val="24"/>
              </w:rPr>
              <w:t>Smerter i ekstremiteter</w:t>
            </w:r>
          </w:p>
        </w:tc>
        <w:tc>
          <w:tcPr>
            <w:tcW w:w="2259" w:type="pct"/>
            <w:tcBorders>
              <w:top w:val="nil"/>
              <w:left w:val="single" w:sz="4" w:space="0" w:color="000000"/>
              <w:bottom w:val="nil"/>
              <w:right w:val="single" w:sz="4" w:space="0" w:color="000000"/>
            </w:tcBorders>
            <w:hideMark/>
          </w:tcPr>
          <w:p w14:paraId="74E14FEE" w14:textId="77777777" w:rsidR="002743CF" w:rsidRPr="00993EA8" w:rsidRDefault="002743CF" w:rsidP="00993EA8">
            <w:pPr>
              <w:rPr>
                <w:sz w:val="24"/>
                <w:szCs w:val="24"/>
              </w:rPr>
            </w:pPr>
            <w:r w:rsidRPr="00993EA8">
              <w:rPr>
                <w:sz w:val="24"/>
                <w:szCs w:val="24"/>
              </w:rPr>
              <w:t>Ikke almindelig</w:t>
            </w:r>
          </w:p>
        </w:tc>
      </w:tr>
      <w:tr w:rsidR="002743CF" w:rsidRPr="00993EA8" w14:paraId="75EE9439" w14:textId="77777777" w:rsidTr="00DB35E9">
        <w:trPr>
          <w:trHeight w:val="431"/>
        </w:trPr>
        <w:tc>
          <w:tcPr>
            <w:tcW w:w="2741" w:type="pct"/>
            <w:tcBorders>
              <w:top w:val="nil"/>
              <w:left w:val="single" w:sz="4" w:space="0" w:color="000000"/>
              <w:bottom w:val="nil"/>
              <w:right w:val="single" w:sz="4" w:space="0" w:color="000000"/>
            </w:tcBorders>
            <w:vAlign w:val="bottom"/>
          </w:tcPr>
          <w:p w14:paraId="421EF65F" w14:textId="77777777" w:rsidR="002743CF" w:rsidRPr="00993EA8" w:rsidRDefault="002743CF" w:rsidP="00993EA8">
            <w:pPr>
              <w:rPr>
                <w:sz w:val="24"/>
                <w:szCs w:val="24"/>
              </w:rPr>
            </w:pPr>
            <w:proofErr w:type="spellStart"/>
            <w:r w:rsidRPr="00993EA8">
              <w:rPr>
                <w:sz w:val="24"/>
                <w:szCs w:val="24"/>
              </w:rPr>
              <w:t>Muskuskeletale</w:t>
            </w:r>
            <w:proofErr w:type="spellEnd"/>
            <w:r w:rsidRPr="00993EA8">
              <w:rPr>
                <w:sz w:val="24"/>
                <w:szCs w:val="24"/>
              </w:rPr>
              <w:t xml:space="preserve"> brystsmerter</w:t>
            </w:r>
          </w:p>
          <w:p w14:paraId="38DE64FE"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46D543E2" w14:textId="77777777" w:rsidR="002743CF" w:rsidRPr="00993EA8" w:rsidRDefault="002743CF" w:rsidP="00993EA8">
            <w:pPr>
              <w:rPr>
                <w:sz w:val="24"/>
                <w:szCs w:val="24"/>
              </w:rPr>
            </w:pPr>
            <w:r w:rsidRPr="00993EA8">
              <w:rPr>
                <w:sz w:val="24"/>
                <w:szCs w:val="24"/>
              </w:rPr>
              <w:t>Ikke almindelig</w:t>
            </w:r>
          </w:p>
          <w:p w14:paraId="7E9A063F" w14:textId="77777777" w:rsidR="002743CF" w:rsidRPr="00993EA8" w:rsidRDefault="002743CF" w:rsidP="00993EA8">
            <w:pPr>
              <w:rPr>
                <w:sz w:val="24"/>
                <w:szCs w:val="24"/>
              </w:rPr>
            </w:pPr>
          </w:p>
        </w:tc>
      </w:tr>
      <w:tr w:rsidR="002743CF" w:rsidRPr="00993EA8" w14:paraId="4F5E3ACE" w14:textId="77777777" w:rsidTr="00DB35E9">
        <w:trPr>
          <w:trHeight w:val="709"/>
        </w:trPr>
        <w:tc>
          <w:tcPr>
            <w:tcW w:w="2741" w:type="pct"/>
            <w:tcBorders>
              <w:top w:val="nil"/>
              <w:left w:val="single" w:sz="4" w:space="0" w:color="000000"/>
              <w:bottom w:val="nil"/>
              <w:right w:val="single" w:sz="4" w:space="0" w:color="000000"/>
            </w:tcBorders>
            <w:vAlign w:val="bottom"/>
            <w:hideMark/>
          </w:tcPr>
          <w:p w14:paraId="5CB939EE" w14:textId="77777777" w:rsidR="002743CF" w:rsidRPr="00993EA8" w:rsidRDefault="002743CF" w:rsidP="00993EA8">
            <w:pPr>
              <w:rPr>
                <w:b/>
                <w:sz w:val="24"/>
                <w:szCs w:val="24"/>
              </w:rPr>
            </w:pPr>
            <w:r w:rsidRPr="00993EA8">
              <w:rPr>
                <w:b/>
                <w:sz w:val="24"/>
                <w:szCs w:val="24"/>
              </w:rPr>
              <w:t>Nyrer og urinveje</w:t>
            </w:r>
          </w:p>
          <w:p w14:paraId="48F0369A" w14:textId="77777777" w:rsidR="002743CF" w:rsidRPr="00993EA8" w:rsidRDefault="002743CF" w:rsidP="00993EA8">
            <w:pPr>
              <w:rPr>
                <w:sz w:val="24"/>
                <w:szCs w:val="24"/>
              </w:rPr>
            </w:pPr>
            <w:r w:rsidRPr="00993EA8">
              <w:rPr>
                <w:sz w:val="24"/>
                <w:szCs w:val="24"/>
              </w:rPr>
              <w:t>Urinvejsinfektioner</w:t>
            </w:r>
            <w:r w:rsidRPr="00993EA8">
              <w:rPr>
                <w:sz w:val="24"/>
                <w:szCs w:val="24"/>
                <w:vertAlign w:val="superscript"/>
              </w:rPr>
              <w:t>3)</w:t>
            </w:r>
          </w:p>
        </w:tc>
        <w:tc>
          <w:tcPr>
            <w:tcW w:w="2259" w:type="pct"/>
            <w:tcBorders>
              <w:top w:val="nil"/>
              <w:left w:val="single" w:sz="4" w:space="0" w:color="000000"/>
              <w:bottom w:val="nil"/>
              <w:right w:val="single" w:sz="4" w:space="0" w:color="000000"/>
            </w:tcBorders>
            <w:vAlign w:val="bottom"/>
          </w:tcPr>
          <w:p w14:paraId="426B954D" w14:textId="77777777" w:rsidR="002743CF" w:rsidRPr="00993EA8" w:rsidRDefault="002743CF" w:rsidP="00993EA8">
            <w:pPr>
              <w:rPr>
                <w:sz w:val="24"/>
                <w:szCs w:val="24"/>
              </w:rPr>
            </w:pPr>
          </w:p>
          <w:p w14:paraId="344B7F45" w14:textId="77777777" w:rsidR="002743CF" w:rsidRPr="00993EA8" w:rsidRDefault="002743CF" w:rsidP="00993EA8">
            <w:pPr>
              <w:rPr>
                <w:sz w:val="24"/>
                <w:szCs w:val="24"/>
              </w:rPr>
            </w:pPr>
            <w:r w:rsidRPr="00993EA8">
              <w:rPr>
                <w:sz w:val="24"/>
                <w:szCs w:val="24"/>
              </w:rPr>
              <w:t>Almindelig</w:t>
            </w:r>
          </w:p>
        </w:tc>
      </w:tr>
      <w:tr w:rsidR="002743CF" w:rsidRPr="00993EA8" w14:paraId="4BED2B5B" w14:textId="77777777" w:rsidTr="00DB35E9">
        <w:trPr>
          <w:trHeight w:val="286"/>
        </w:trPr>
        <w:tc>
          <w:tcPr>
            <w:tcW w:w="2741" w:type="pct"/>
            <w:tcBorders>
              <w:top w:val="nil"/>
              <w:left w:val="single" w:sz="4" w:space="0" w:color="000000"/>
              <w:bottom w:val="nil"/>
              <w:right w:val="single" w:sz="4" w:space="0" w:color="000000"/>
            </w:tcBorders>
            <w:hideMark/>
          </w:tcPr>
          <w:p w14:paraId="6D02C846" w14:textId="77777777" w:rsidR="002743CF" w:rsidRPr="00993EA8" w:rsidRDefault="002743CF" w:rsidP="00993EA8">
            <w:pPr>
              <w:rPr>
                <w:sz w:val="24"/>
                <w:szCs w:val="24"/>
              </w:rPr>
            </w:pPr>
            <w:proofErr w:type="spellStart"/>
            <w:r w:rsidRPr="00993EA8">
              <w:rPr>
                <w:sz w:val="24"/>
                <w:szCs w:val="24"/>
              </w:rPr>
              <w:t>Dysuri</w:t>
            </w:r>
            <w:proofErr w:type="spellEnd"/>
          </w:p>
        </w:tc>
        <w:tc>
          <w:tcPr>
            <w:tcW w:w="2259" w:type="pct"/>
            <w:tcBorders>
              <w:top w:val="nil"/>
              <w:left w:val="single" w:sz="4" w:space="0" w:color="000000"/>
              <w:bottom w:val="nil"/>
              <w:right w:val="single" w:sz="4" w:space="0" w:color="000000"/>
            </w:tcBorders>
            <w:hideMark/>
          </w:tcPr>
          <w:p w14:paraId="1ECA24A9" w14:textId="77777777" w:rsidR="002743CF" w:rsidRPr="00993EA8" w:rsidRDefault="002743CF" w:rsidP="00993EA8">
            <w:pPr>
              <w:rPr>
                <w:sz w:val="24"/>
                <w:szCs w:val="24"/>
              </w:rPr>
            </w:pPr>
            <w:r w:rsidRPr="00993EA8">
              <w:rPr>
                <w:sz w:val="24"/>
                <w:szCs w:val="24"/>
              </w:rPr>
              <w:t>Ikke almindelig</w:t>
            </w:r>
          </w:p>
        </w:tc>
      </w:tr>
      <w:tr w:rsidR="002743CF" w:rsidRPr="00993EA8" w14:paraId="620D18F2" w14:textId="77777777" w:rsidTr="00DB35E9">
        <w:trPr>
          <w:trHeight w:val="430"/>
        </w:trPr>
        <w:tc>
          <w:tcPr>
            <w:tcW w:w="2741" w:type="pct"/>
            <w:tcBorders>
              <w:top w:val="nil"/>
              <w:left w:val="single" w:sz="4" w:space="0" w:color="000000"/>
              <w:bottom w:val="nil"/>
              <w:right w:val="single" w:sz="4" w:space="0" w:color="000000"/>
            </w:tcBorders>
            <w:vAlign w:val="bottom"/>
          </w:tcPr>
          <w:p w14:paraId="64A5123B" w14:textId="77777777" w:rsidR="002743CF" w:rsidRPr="00993EA8" w:rsidRDefault="002743CF" w:rsidP="00993EA8">
            <w:pPr>
              <w:rPr>
                <w:sz w:val="24"/>
                <w:szCs w:val="24"/>
              </w:rPr>
            </w:pPr>
            <w:r w:rsidRPr="00993EA8">
              <w:rPr>
                <w:sz w:val="24"/>
                <w:szCs w:val="24"/>
              </w:rPr>
              <w:t>Urinretention</w:t>
            </w:r>
          </w:p>
          <w:p w14:paraId="2BB948E9" w14:textId="77777777" w:rsidR="002743CF" w:rsidRPr="00993EA8" w:rsidRDefault="002743CF" w:rsidP="00993EA8">
            <w:pPr>
              <w:rPr>
                <w:sz w:val="24"/>
                <w:szCs w:val="24"/>
              </w:rPr>
            </w:pPr>
          </w:p>
        </w:tc>
        <w:tc>
          <w:tcPr>
            <w:tcW w:w="2259" w:type="pct"/>
            <w:tcBorders>
              <w:top w:val="nil"/>
              <w:left w:val="single" w:sz="4" w:space="0" w:color="000000"/>
              <w:bottom w:val="nil"/>
              <w:right w:val="single" w:sz="4" w:space="0" w:color="000000"/>
            </w:tcBorders>
            <w:vAlign w:val="bottom"/>
          </w:tcPr>
          <w:p w14:paraId="7E2EE690" w14:textId="77777777" w:rsidR="002743CF" w:rsidRPr="00993EA8" w:rsidRDefault="002743CF" w:rsidP="00993EA8">
            <w:pPr>
              <w:rPr>
                <w:sz w:val="24"/>
                <w:szCs w:val="24"/>
              </w:rPr>
            </w:pPr>
            <w:r w:rsidRPr="00993EA8">
              <w:rPr>
                <w:sz w:val="24"/>
                <w:szCs w:val="24"/>
              </w:rPr>
              <w:t>Ikke almindelig</w:t>
            </w:r>
          </w:p>
          <w:p w14:paraId="68500CEF" w14:textId="77777777" w:rsidR="002743CF" w:rsidRPr="00993EA8" w:rsidRDefault="002743CF" w:rsidP="00993EA8">
            <w:pPr>
              <w:rPr>
                <w:sz w:val="24"/>
                <w:szCs w:val="24"/>
              </w:rPr>
            </w:pPr>
          </w:p>
        </w:tc>
      </w:tr>
      <w:tr w:rsidR="002743CF" w:rsidRPr="00993EA8" w14:paraId="6753BD8F" w14:textId="77777777" w:rsidTr="00DB35E9">
        <w:trPr>
          <w:trHeight w:val="931"/>
        </w:trPr>
        <w:tc>
          <w:tcPr>
            <w:tcW w:w="2741" w:type="pct"/>
            <w:tcBorders>
              <w:top w:val="nil"/>
              <w:left w:val="single" w:sz="4" w:space="0" w:color="000000"/>
              <w:bottom w:val="nil"/>
              <w:right w:val="single" w:sz="4" w:space="0" w:color="000000"/>
            </w:tcBorders>
            <w:vAlign w:val="bottom"/>
            <w:hideMark/>
          </w:tcPr>
          <w:p w14:paraId="2B82D9E0" w14:textId="77777777" w:rsidR="002743CF" w:rsidRPr="00993EA8" w:rsidRDefault="002743CF" w:rsidP="00993EA8">
            <w:pPr>
              <w:rPr>
                <w:b/>
                <w:sz w:val="24"/>
                <w:szCs w:val="24"/>
              </w:rPr>
            </w:pPr>
            <w:r w:rsidRPr="00993EA8">
              <w:rPr>
                <w:b/>
                <w:sz w:val="24"/>
                <w:szCs w:val="24"/>
              </w:rPr>
              <w:t>Almene symptomer og reaktioner på administrationsstedet</w:t>
            </w:r>
          </w:p>
          <w:p w14:paraId="55ED37AC" w14:textId="77777777" w:rsidR="002743CF" w:rsidRPr="00993EA8" w:rsidRDefault="002743CF" w:rsidP="00993EA8">
            <w:pPr>
              <w:rPr>
                <w:sz w:val="24"/>
                <w:szCs w:val="24"/>
              </w:rPr>
            </w:pPr>
            <w:r w:rsidRPr="00993EA8">
              <w:rPr>
                <w:sz w:val="24"/>
                <w:szCs w:val="24"/>
              </w:rPr>
              <w:t>Træthed</w:t>
            </w:r>
          </w:p>
        </w:tc>
        <w:tc>
          <w:tcPr>
            <w:tcW w:w="2259" w:type="pct"/>
            <w:tcBorders>
              <w:top w:val="nil"/>
              <w:left w:val="single" w:sz="4" w:space="0" w:color="000000"/>
              <w:bottom w:val="nil"/>
              <w:right w:val="single" w:sz="4" w:space="0" w:color="000000"/>
            </w:tcBorders>
            <w:vAlign w:val="bottom"/>
          </w:tcPr>
          <w:p w14:paraId="087D9E66" w14:textId="77777777" w:rsidR="002743CF" w:rsidRPr="00993EA8" w:rsidRDefault="002743CF" w:rsidP="00993EA8">
            <w:pPr>
              <w:rPr>
                <w:sz w:val="24"/>
                <w:szCs w:val="24"/>
              </w:rPr>
            </w:pPr>
          </w:p>
          <w:p w14:paraId="56326B85" w14:textId="77777777" w:rsidR="002743CF" w:rsidRPr="00993EA8" w:rsidRDefault="002743CF" w:rsidP="00993EA8">
            <w:pPr>
              <w:rPr>
                <w:sz w:val="24"/>
                <w:szCs w:val="24"/>
              </w:rPr>
            </w:pPr>
            <w:r w:rsidRPr="00993EA8">
              <w:rPr>
                <w:sz w:val="24"/>
                <w:szCs w:val="24"/>
              </w:rPr>
              <w:t>Ikke almindelig</w:t>
            </w:r>
          </w:p>
        </w:tc>
      </w:tr>
      <w:tr w:rsidR="002743CF" w:rsidRPr="00993EA8" w14:paraId="35806C02" w14:textId="77777777" w:rsidTr="00DB35E9">
        <w:trPr>
          <w:trHeight w:val="309"/>
        </w:trPr>
        <w:tc>
          <w:tcPr>
            <w:tcW w:w="2741" w:type="pct"/>
            <w:tcBorders>
              <w:top w:val="nil"/>
              <w:left w:val="single" w:sz="4" w:space="0" w:color="000000"/>
              <w:bottom w:val="single" w:sz="4" w:space="0" w:color="000000"/>
              <w:right w:val="single" w:sz="4" w:space="0" w:color="000000"/>
            </w:tcBorders>
            <w:hideMark/>
          </w:tcPr>
          <w:p w14:paraId="129BF48A" w14:textId="77777777" w:rsidR="002743CF" w:rsidRPr="00993EA8" w:rsidRDefault="002743CF" w:rsidP="00993EA8">
            <w:pPr>
              <w:rPr>
                <w:sz w:val="24"/>
                <w:szCs w:val="24"/>
              </w:rPr>
            </w:pPr>
            <w:r w:rsidRPr="00993EA8">
              <w:rPr>
                <w:sz w:val="24"/>
                <w:szCs w:val="24"/>
              </w:rPr>
              <w:t>Asteni</w:t>
            </w:r>
          </w:p>
        </w:tc>
        <w:tc>
          <w:tcPr>
            <w:tcW w:w="2259" w:type="pct"/>
            <w:tcBorders>
              <w:top w:val="nil"/>
              <w:left w:val="single" w:sz="4" w:space="0" w:color="000000"/>
              <w:bottom w:val="single" w:sz="4" w:space="0" w:color="000000"/>
              <w:right w:val="single" w:sz="4" w:space="0" w:color="000000"/>
            </w:tcBorders>
            <w:hideMark/>
          </w:tcPr>
          <w:p w14:paraId="04010098" w14:textId="77777777" w:rsidR="002743CF" w:rsidRPr="00993EA8" w:rsidRDefault="002743CF" w:rsidP="00993EA8">
            <w:pPr>
              <w:rPr>
                <w:sz w:val="24"/>
                <w:szCs w:val="24"/>
              </w:rPr>
            </w:pPr>
            <w:r w:rsidRPr="00993EA8">
              <w:rPr>
                <w:sz w:val="24"/>
                <w:szCs w:val="24"/>
              </w:rPr>
              <w:t>Ikke almindelig</w:t>
            </w:r>
          </w:p>
        </w:tc>
      </w:tr>
    </w:tbl>
    <w:p w14:paraId="1ABC69B0" w14:textId="77777777" w:rsidR="002743CF" w:rsidRPr="001C2314" w:rsidRDefault="002743CF" w:rsidP="00644B42">
      <w:pPr>
        <w:numPr>
          <w:ilvl w:val="0"/>
          <w:numId w:val="6"/>
        </w:numPr>
        <w:ind w:left="1134" w:hanging="283"/>
        <w:rPr>
          <w:sz w:val="24"/>
          <w:szCs w:val="24"/>
        </w:rPr>
      </w:pPr>
      <w:r w:rsidRPr="001C2314">
        <w:rPr>
          <w:i/>
          <w:sz w:val="24"/>
          <w:szCs w:val="24"/>
        </w:rPr>
        <w:t xml:space="preserve">Kun mere hyppigt for </w:t>
      </w:r>
      <w:proofErr w:type="spellStart"/>
      <w:r w:rsidRPr="001C2314">
        <w:rPr>
          <w:i/>
          <w:sz w:val="24"/>
          <w:szCs w:val="24"/>
        </w:rPr>
        <w:t>glycopyrronium</w:t>
      </w:r>
      <w:proofErr w:type="spellEnd"/>
      <w:r w:rsidRPr="001C2314">
        <w:rPr>
          <w:i/>
          <w:sz w:val="24"/>
          <w:szCs w:val="24"/>
        </w:rPr>
        <w:t xml:space="preserve"> end for placebo i 12 måneders databasen.</w:t>
      </w:r>
    </w:p>
    <w:p w14:paraId="492F3A10" w14:textId="512BEEE8" w:rsidR="002743CF" w:rsidRPr="001C2314" w:rsidRDefault="002743CF" w:rsidP="00644B42">
      <w:pPr>
        <w:numPr>
          <w:ilvl w:val="0"/>
          <w:numId w:val="6"/>
        </w:numPr>
        <w:ind w:left="1134" w:hanging="283"/>
        <w:rPr>
          <w:sz w:val="24"/>
          <w:szCs w:val="24"/>
        </w:rPr>
      </w:pPr>
      <w:r w:rsidRPr="001C2314">
        <w:rPr>
          <w:i/>
          <w:sz w:val="24"/>
          <w:szCs w:val="24"/>
        </w:rPr>
        <w:t xml:space="preserve">Rapporteret efter markedsføring i forbindelse med brug af </w:t>
      </w:r>
      <w:proofErr w:type="spellStart"/>
      <w:r w:rsidRPr="001C2314">
        <w:rPr>
          <w:i/>
          <w:sz w:val="24"/>
          <w:szCs w:val="24"/>
        </w:rPr>
        <w:t>Glycopyrronium</w:t>
      </w:r>
      <w:proofErr w:type="spellEnd"/>
      <w:r w:rsidRPr="001C2314">
        <w:rPr>
          <w:i/>
          <w:sz w:val="24"/>
          <w:szCs w:val="24"/>
        </w:rPr>
        <w:t xml:space="preserve"> </w:t>
      </w:r>
      <w:r w:rsidR="003D2392">
        <w:rPr>
          <w:i/>
          <w:sz w:val="24"/>
          <w:szCs w:val="24"/>
        </w:rPr>
        <w:t>"</w:t>
      </w:r>
      <w:r w:rsidRPr="001C2314">
        <w:rPr>
          <w:i/>
          <w:sz w:val="24"/>
          <w:szCs w:val="24"/>
        </w:rPr>
        <w:t>Medical Valley</w:t>
      </w:r>
      <w:r w:rsidR="003D2392">
        <w:rPr>
          <w:i/>
          <w:sz w:val="24"/>
          <w:szCs w:val="24"/>
        </w:rPr>
        <w:t>"</w:t>
      </w:r>
      <w:r w:rsidRPr="001C2314">
        <w:rPr>
          <w:i/>
          <w:sz w:val="24"/>
          <w:szCs w:val="24"/>
        </w:rPr>
        <w:t xml:space="preserve"> og indberettet frivilligt fra en population af ukendt størrelse. Det er derfor ikke altid muligt på pålidelig vis at estimere frekvensen eller fastslå en årsagssammenhæng til eksponering for lægemidlet. Derfor er frekvensberegningen baseret på erfaring fra kliniske studier.</w:t>
      </w:r>
    </w:p>
    <w:p w14:paraId="33D34956" w14:textId="77777777" w:rsidR="002743CF" w:rsidRPr="001C2314" w:rsidRDefault="002743CF" w:rsidP="00644B42">
      <w:pPr>
        <w:numPr>
          <w:ilvl w:val="0"/>
          <w:numId w:val="6"/>
        </w:numPr>
        <w:ind w:left="1134" w:hanging="283"/>
        <w:rPr>
          <w:sz w:val="24"/>
          <w:szCs w:val="24"/>
        </w:rPr>
      </w:pPr>
      <w:r w:rsidRPr="001C2314">
        <w:rPr>
          <w:i/>
          <w:sz w:val="24"/>
          <w:szCs w:val="24"/>
        </w:rPr>
        <w:t xml:space="preserve">Kun set mere hyppigt for </w:t>
      </w:r>
      <w:proofErr w:type="spellStart"/>
      <w:r w:rsidRPr="001C2314">
        <w:rPr>
          <w:i/>
          <w:sz w:val="24"/>
          <w:szCs w:val="24"/>
        </w:rPr>
        <w:t>glycopyrronium</w:t>
      </w:r>
      <w:proofErr w:type="spellEnd"/>
      <w:r w:rsidRPr="001C2314">
        <w:rPr>
          <w:i/>
          <w:sz w:val="24"/>
          <w:szCs w:val="24"/>
        </w:rPr>
        <w:t xml:space="preserve"> end for placebo hos ældre &gt; 75 år.</w:t>
      </w:r>
    </w:p>
    <w:p w14:paraId="4BB133B2" w14:textId="77777777" w:rsidR="002743CF" w:rsidRPr="001C2314" w:rsidRDefault="002743CF" w:rsidP="002743CF">
      <w:pPr>
        <w:rPr>
          <w:sz w:val="24"/>
          <w:szCs w:val="24"/>
          <w:u w:val="single"/>
        </w:rPr>
      </w:pPr>
    </w:p>
    <w:p w14:paraId="68190A21" w14:textId="77777777" w:rsidR="002743CF" w:rsidRPr="001C2314" w:rsidRDefault="002743CF" w:rsidP="001C2314">
      <w:pPr>
        <w:ind w:left="851"/>
        <w:rPr>
          <w:b/>
          <w:sz w:val="24"/>
          <w:szCs w:val="24"/>
        </w:rPr>
      </w:pPr>
      <w:r w:rsidRPr="001C2314">
        <w:rPr>
          <w:sz w:val="24"/>
          <w:szCs w:val="24"/>
          <w:u w:val="single"/>
        </w:rPr>
        <w:t>Beskrivelse af udvalgte bivirkninger</w:t>
      </w:r>
    </w:p>
    <w:p w14:paraId="23A6855B" w14:textId="291EE1F1" w:rsidR="002743CF" w:rsidRPr="001C2314" w:rsidRDefault="002743CF" w:rsidP="001C2314">
      <w:pPr>
        <w:ind w:left="851"/>
        <w:rPr>
          <w:sz w:val="24"/>
          <w:szCs w:val="24"/>
        </w:rPr>
      </w:pPr>
      <w:r w:rsidRPr="001C2314">
        <w:rPr>
          <w:sz w:val="24"/>
          <w:szCs w:val="24"/>
        </w:rPr>
        <w:t xml:space="preserve">I den samlede database for 6 måneder var hyppigheden for mundtørhed 2,2 % </w:t>
      </w:r>
      <w:r w:rsidRPr="001C2314">
        <w:rPr>
          <w:i/>
          <w:sz w:val="24"/>
          <w:szCs w:val="24"/>
        </w:rPr>
        <w:t>vs.</w:t>
      </w:r>
      <w:r w:rsidRPr="001C2314">
        <w:rPr>
          <w:sz w:val="24"/>
          <w:szCs w:val="24"/>
        </w:rPr>
        <w:t xml:space="preserve"> 1,1 %, for søvnløshed 1,0 % </w:t>
      </w:r>
      <w:r w:rsidRPr="001C2314">
        <w:rPr>
          <w:i/>
          <w:sz w:val="24"/>
          <w:szCs w:val="24"/>
        </w:rPr>
        <w:t>vs.</w:t>
      </w:r>
      <w:r w:rsidRPr="001C2314">
        <w:rPr>
          <w:sz w:val="24"/>
          <w:szCs w:val="24"/>
        </w:rPr>
        <w:t xml:space="preserve"> 0,8 % og for </w:t>
      </w:r>
      <w:proofErr w:type="spellStart"/>
      <w:r w:rsidRPr="001C2314">
        <w:rPr>
          <w:sz w:val="24"/>
          <w:szCs w:val="24"/>
        </w:rPr>
        <w:t>gastroenteritis</w:t>
      </w:r>
      <w:proofErr w:type="spellEnd"/>
      <w:r w:rsidRPr="001C2314">
        <w:rPr>
          <w:sz w:val="24"/>
          <w:szCs w:val="24"/>
        </w:rPr>
        <w:t xml:space="preserve"> 1,4 % </w:t>
      </w:r>
      <w:r w:rsidRPr="001C2314">
        <w:rPr>
          <w:i/>
          <w:sz w:val="24"/>
          <w:szCs w:val="24"/>
        </w:rPr>
        <w:t>vs.</w:t>
      </w:r>
      <w:r w:rsidRPr="001C2314">
        <w:rPr>
          <w:sz w:val="24"/>
          <w:szCs w:val="24"/>
        </w:rPr>
        <w:t xml:space="preserve"> 0,9 %,</w:t>
      </w:r>
      <w:r w:rsidRPr="001C2314">
        <w:rPr>
          <w:b/>
          <w:sz w:val="24"/>
          <w:szCs w:val="24"/>
        </w:rPr>
        <w:t xml:space="preserve"> </w:t>
      </w:r>
      <w:r w:rsidRPr="001C2314">
        <w:rPr>
          <w:sz w:val="24"/>
          <w:szCs w:val="24"/>
        </w:rPr>
        <w:t xml:space="preserve">for henholdsvis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og placebo.</w:t>
      </w:r>
    </w:p>
    <w:p w14:paraId="4656C714" w14:textId="77777777" w:rsidR="002743CF" w:rsidRPr="001C2314" w:rsidRDefault="002743CF" w:rsidP="001C2314">
      <w:pPr>
        <w:ind w:left="851"/>
        <w:rPr>
          <w:sz w:val="24"/>
          <w:szCs w:val="24"/>
        </w:rPr>
      </w:pPr>
    </w:p>
    <w:p w14:paraId="0A202E00" w14:textId="77777777" w:rsidR="002743CF" w:rsidRPr="001C2314" w:rsidRDefault="002743CF" w:rsidP="001C2314">
      <w:pPr>
        <w:ind w:left="851"/>
        <w:rPr>
          <w:sz w:val="24"/>
          <w:szCs w:val="24"/>
        </w:rPr>
      </w:pPr>
      <w:r w:rsidRPr="001C2314">
        <w:rPr>
          <w:sz w:val="24"/>
          <w:szCs w:val="24"/>
        </w:rPr>
        <w:t>Mundtørhed blev hovedsageligt rapporteret i løbet af de første 4 ugers behandling med en median varighed på fire uger for størstedelen af patienterne. I 40 % af tilfældene fortsatte symptomerne dog i den fulde 6 måneders periode. Der rapporteredes ingen nye tilfælde af mundtørhed i månederne 7</w:t>
      </w:r>
      <w:r w:rsidRPr="001C2314">
        <w:rPr>
          <w:sz w:val="24"/>
          <w:szCs w:val="24"/>
        </w:rPr>
        <w:noBreakHyphen/>
        <w:t>12.</w:t>
      </w:r>
    </w:p>
    <w:p w14:paraId="0F91606A" w14:textId="77777777" w:rsidR="002743CF" w:rsidRPr="001C2314" w:rsidRDefault="002743CF" w:rsidP="001C2314">
      <w:pPr>
        <w:ind w:left="851"/>
        <w:rPr>
          <w:i/>
          <w:sz w:val="24"/>
          <w:szCs w:val="24"/>
        </w:rPr>
      </w:pPr>
    </w:p>
    <w:p w14:paraId="572C6EA4" w14:textId="77777777" w:rsidR="002743CF" w:rsidRPr="001C2314" w:rsidRDefault="002743CF" w:rsidP="001C2314">
      <w:pPr>
        <w:autoSpaceDE w:val="0"/>
        <w:autoSpaceDN w:val="0"/>
        <w:adjustRightInd w:val="0"/>
        <w:ind w:left="851"/>
        <w:rPr>
          <w:sz w:val="24"/>
          <w:szCs w:val="24"/>
          <w:u w:val="single"/>
        </w:rPr>
      </w:pPr>
      <w:r w:rsidRPr="001C2314">
        <w:rPr>
          <w:sz w:val="24"/>
          <w:szCs w:val="24"/>
          <w:u w:val="single"/>
        </w:rPr>
        <w:t>Indberetning af formodede bivirkninger</w:t>
      </w:r>
    </w:p>
    <w:p w14:paraId="5E9D62E4" w14:textId="2932359A" w:rsidR="002743CF" w:rsidRDefault="002743CF" w:rsidP="001C2314">
      <w:pPr>
        <w:autoSpaceDE w:val="0"/>
        <w:autoSpaceDN w:val="0"/>
        <w:adjustRightInd w:val="0"/>
        <w:ind w:left="851"/>
        <w:rPr>
          <w:sz w:val="24"/>
          <w:szCs w:val="24"/>
        </w:rPr>
      </w:pPr>
      <w:r w:rsidRPr="001C2314">
        <w:rPr>
          <w:sz w:val="24"/>
          <w:szCs w:val="24"/>
        </w:rPr>
        <w:t>Når lægemidlet er godkendt, er indberetning af formodede bivirkninger vigtig. Det muliggør løbende overvågning af benefit/</w:t>
      </w:r>
      <w:proofErr w:type="spellStart"/>
      <w:r w:rsidRPr="001C2314">
        <w:rPr>
          <w:sz w:val="24"/>
          <w:szCs w:val="24"/>
        </w:rPr>
        <w:t>risk</w:t>
      </w:r>
      <w:proofErr w:type="spellEnd"/>
      <w:r w:rsidRPr="001C2314">
        <w:rPr>
          <w:sz w:val="24"/>
          <w:szCs w:val="24"/>
        </w:rPr>
        <w:t>-forholdet for lægemidlet. Sundhedspersoner anmodes om at indberette alle formodede bivirkninger via</w:t>
      </w:r>
    </w:p>
    <w:p w14:paraId="063F183C" w14:textId="77777777" w:rsidR="00644B42" w:rsidRPr="001C2314" w:rsidRDefault="00644B42" w:rsidP="001C2314">
      <w:pPr>
        <w:autoSpaceDE w:val="0"/>
        <w:autoSpaceDN w:val="0"/>
        <w:adjustRightInd w:val="0"/>
        <w:ind w:left="851"/>
        <w:rPr>
          <w:sz w:val="24"/>
          <w:szCs w:val="24"/>
          <w:u w:val="single"/>
        </w:rPr>
      </w:pPr>
    </w:p>
    <w:p w14:paraId="56E7B272" w14:textId="77777777" w:rsidR="002743CF" w:rsidRPr="001C2314" w:rsidRDefault="002743CF" w:rsidP="001C2314">
      <w:pPr>
        <w:ind w:left="851"/>
        <w:rPr>
          <w:sz w:val="24"/>
          <w:szCs w:val="24"/>
        </w:rPr>
      </w:pPr>
      <w:r w:rsidRPr="001C2314">
        <w:rPr>
          <w:sz w:val="24"/>
          <w:szCs w:val="24"/>
        </w:rPr>
        <w:t>Lægemiddelstyrelsen</w:t>
      </w:r>
    </w:p>
    <w:p w14:paraId="11B5B5A7" w14:textId="77777777" w:rsidR="002743CF" w:rsidRPr="001C2314" w:rsidRDefault="002743CF" w:rsidP="001C2314">
      <w:pPr>
        <w:ind w:left="851"/>
        <w:rPr>
          <w:sz w:val="24"/>
          <w:szCs w:val="24"/>
        </w:rPr>
      </w:pPr>
      <w:r w:rsidRPr="001C2314">
        <w:rPr>
          <w:sz w:val="24"/>
          <w:szCs w:val="24"/>
        </w:rPr>
        <w:t>Axel Heides Gade 1</w:t>
      </w:r>
    </w:p>
    <w:p w14:paraId="03069346" w14:textId="77777777" w:rsidR="002743CF" w:rsidRPr="001C2314" w:rsidRDefault="002743CF" w:rsidP="001C2314">
      <w:pPr>
        <w:ind w:left="851"/>
        <w:rPr>
          <w:sz w:val="24"/>
          <w:szCs w:val="24"/>
        </w:rPr>
      </w:pPr>
      <w:r w:rsidRPr="001C2314">
        <w:rPr>
          <w:sz w:val="24"/>
          <w:szCs w:val="24"/>
        </w:rPr>
        <w:t>DK</w:t>
      </w:r>
      <w:r w:rsidRPr="001C2314">
        <w:rPr>
          <w:sz w:val="24"/>
          <w:szCs w:val="24"/>
        </w:rPr>
        <w:noBreakHyphen/>
        <w:t>2300 København S</w:t>
      </w:r>
    </w:p>
    <w:p w14:paraId="2E4CA279" w14:textId="77777777" w:rsidR="002743CF" w:rsidRPr="001C2314" w:rsidRDefault="002743CF" w:rsidP="001C2314">
      <w:pPr>
        <w:ind w:left="851"/>
        <w:rPr>
          <w:sz w:val="24"/>
          <w:szCs w:val="24"/>
        </w:rPr>
      </w:pPr>
      <w:r w:rsidRPr="001C2314">
        <w:rPr>
          <w:sz w:val="24"/>
          <w:szCs w:val="24"/>
        </w:rPr>
        <w:t xml:space="preserve">Websted: </w:t>
      </w:r>
      <w:hyperlink r:id="rId8" w:history="1">
        <w:r w:rsidRPr="001C2314">
          <w:rPr>
            <w:rStyle w:val="Hyperlink"/>
            <w:sz w:val="24"/>
            <w:szCs w:val="24"/>
          </w:rPr>
          <w:t>www.meldenbivirkning.dk</w:t>
        </w:r>
      </w:hyperlink>
    </w:p>
    <w:p w14:paraId="0FF996E0" w14:textId="77777777" w:rsidR="009260DE" w:rsidRPr="001C2314" w:rsidRDefault="009260DE" w:rsidP="00A10294">
      <w:pPr>
        <w:tabs>
          <w:tab w:val="left" w:pos="851"/>
        </w:tabs>
        <w:ind w:left="851"/>
        <w:rPr>
          <w:sz w:val="24"/>
          <w:szCs w:val="24"/>
        </w:rPr>
      </w:pPr>
    </w:p>
    <w:p w14:paraId="751DC758" w14:textId="77777777" w:rsidR="009260DE" w:rsidRPr="001C2314" w:rsidRDefault="009260DE" w:rsidP="009260DE">
      <w:pPr>
        <w:tabs>
          <w:tab w:val="left" w:pos="851"/>
        </w:tabs>
        <w:ind w:left="851" w:hanging="851"/>
        <w:rPr>
          <w:b/>
          <w:sz w:val="24"/>
          <w:szCs w:val="24"/>
        </w:rPr>
      </w:pPr>
      <w:r w:rsidRPr="001C2314">
        <w:rPr>
          <w:b/>
          <w:sz w:val="24"/>
          <w:szCs w:val="24"/>
        </w:rPr>
        <w:t>4.9</w:t>
      </w:r>
      <w:r w:rsidRPr="001C2314">
        <w:rPr>
          <w:b/>
          <w:sz w:val="24"/>
          <w:szCs w:val="24"/>
        </w:rPr>
        <w:tab/>
        <w:t>Overdosering</w:t>
      </w:r>
    </w:p>
    <w:p w14:paraId="5E6F3DBA" w14:textId="77777777" w:rsidR="002743CF" w:rsidRPr="001C2314" w:rsidRDefault="002743CF" w:rsidP="001C2314">
      <w:pPr>
        <w:ind w:left="851"/>
        <w:rPr>
          <w:sz w:val="24"/>
          <w:szCs w:val="24"/>
        </w:rPr>
      </w:pPr>
      <w:r w:rsidRPr="001C2314">
        <w:rPr>
          <w:sz w:val="24"/>
          <w:szCs w:val="24"/>
        </w:rPr>
        <w:t xml:space="preserve">Store doser af </w:t>
      </w:r>
      <w:proofErr w:type="spellStart"/>
      <w:r w:rsidRPr="001C2314">
        <w:rPr>
          <w:sz w:val="24"/>
          <w:szCs w:val="24"/>
        </w:rPr>
        <w:t>glycopyrronium</w:t>
      </w:r>
      <w:proofErr w:type="spellEnd"/>
      <w:r w:rsidRPr="001C2314">
        <w:rPr>
          <w:sz w:val="24"/>
          <w:szCs w:val="24"/>
        </w:rPr>
        <w:t xml:space="preserve"> kan medføre </w:t>
      </w:r>
      <w:proofErr w:type="spellStart"/>
      <w:r w:rsidRPr="001C2314">
        <w:rPr>
          <w:sz w:val="24"/>
          <w:szCs w:val="24"/>
        </w:rPr>
        <w:t>antikolinerge</w:t>
      </w:r>
      <w:proofErr w:type="spellEnd"/>
      <w:r w:rsidRPr="001C2314">
        <w:rPr>
          <w:sz w:val="24"/>
          <w:szCs w:val="24"/>
        </w:rPr>
        <w:t xml:space="preserve"> tegn og symptomer, hvor symptomatisk behandling kan være indiceret.</w:t>
      </w:r>
    </w:p>
    <w:p w14:paraId="6C9FF537" w14:textId="77777777" w:rsidR="002743CF" w:rsidRPr="001C2314" w:rsidRDefault="002743CF" w:rsidP="001C2314">
      <w:pPr>
        <w:ind w:left="851"/>
        <w:rPr>
          <w:sz w:val="24"/>
          <w:szCs w:val="24"/>
        </w:rPr>
      </w:pPr>
    </w:p>
    <w:p w14:paraId="4F8F275B" w14:textId="3B84D142" w:rsidR="002743CF" w:rsidRPr="001C2314" w:rsidRDefault="002743CF" w:rsidP="001C2314">
      <w:pPr>
        <w:ind w:left="851"/>
        <w:rPr>
          <w:sz w:val="24"/>
          <w:szCs w:val="24"/>
        </w:rPr>
      </w:pPr>
      <w:r w:rsidRPr="001C2314">
        <w:rPr>
          <w:sz w:val="24"/>
          <w:szCs w:val="24"/>
        </w:rPr>
        <w:t xml:space="preserve">Akut forgiftning ved utilsigtet oral indtagelse af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 xml:space="preserve">Medical </w:t>
      </w:r>
      <w:proofErr w:type="spellStart"/>
      <w:r w:rsidRPr="001C2314">
        <w:rPr>
          <w:sz w:val="24"/>
          <w:szCs w:val="24"/>
        </w:rPr>
        <w:t>Valley</w:t>
      </w:r>
      <w:r w:rsidR="003D2392">
        <w:rPr>
          <w:sz w:val="24"/>
          <w:szCs w:val="24"/>
        </w:rPr>
        <w:t>"</w:t>
      </w:r>
      <w:r w:rsidRPr="001C2314">
        <w:rPr>
          <w:sz w:val="24"/>
          <w:szCs w:val="24"/>
        </w:rPr>
        <w:t>-kapsler</w:t>
      </w:r>
      <w:proofErr w:type="spellEnd"/>
      <w:r w:rsidRPr="001C2314">
        <w:rPr>
          <w:sz w:val="24"/>
          <w:szCs w:val="24"/>
        </w:rPr>
        <w:t xml:space="preserve"> er ikke sandsynlig pga. den lave orale biotilgængelighed (omkring 5 %).</w:t>
      </w:r>
    </w:p>
    <w:p w14:paraId="41E5A8F2" w14:textId="77777777" w:rsidR="002743CF" w:rsidRPr="001C2314" w:rsidRDefault="002743CF" w:rsidP="001C2314">
      <w:pPr>
        <w:ind w:left="851"/>
        <w:rPr>
          <w:sz w:val="24"/>
          <w:szCs w:val="24"/>
        </w:rPr>
      </w:pPr>
    </w:p>
    <w:p w14:paraId="228F326B" w14:textId="6E5617CD" w:rsidR="002743CF" w:rsidRPr="001C2314" w:rsidRDefault="002743CF" w:rsidP="001C2314">
      <w:pPr>
        <w:ind w:left="851"/>
        <w:rPr>
          <w:sz w:val="24"/>
          <w:szCs w:val="24"/>
        </w:rPr>
      </w:pPr>
      <w:r w:rsidRPr="001C2314">
        <w:rPr>
          <w:sz w:val="24"/>
          <w:szCs w:val="24"/>
        </w:rPr>
        <w:t xml:space="preserve">Maksimale plasmaniveauer og samlet systemisk eksponering efter intravenøs administration af 150 mikrogram </w:t>
      </w:r>
      <w:proofErr w:type="spellStart"/>
      <w:r w:rsidRPr="001C2314">
        <w:rPr>
          <w:sz w:val="24"/>
          <w:szCs w:val="24"/>
        </w:rPr>
        <w:t>glycopyrroniumbromid</w:t>
      </w:r>
      <w:proofErr w:type="spellEnd"/>
      <w:r w:rsidRPr="001C2314">
        <w:rPr>
          <w:sz w:val="24"/>
          <w:szCs w:val="24"/>
        </w:rPr>
        <w:t xml:space="preserve"> (svarende til 120 mikrogram </w:t>
      </w:r>
      <w:proofErr w:type="spellStart"/>
      <w:r w:rsidRPr="001C2314">
        <w:rPr>
          <w:sz w:val="24"/>
          <w:szCs w:val="24"/>
        </w:rPr>
        <w:t>glycopyrronium</w:t>
      </w:r>
      <w:proofErr w:type="spellEnd"/>
      <w:r w:rsidRPr="001C2314">
        <w:rPr>
          <w:sz w:val="24"/>
          <w:szCs w:val="24"/>
        </w:rPr>
        <w:t xml:space="preserve">) hos raske forsøgspersoner var henholdsvis omkring 50 og 6 gange højere end det maksimale plasmaniveau og den samlede eksponering ved </w:t>
      </w:r>
      <w:proofErr w:type="spellStart"/>
      <w:r w:rsidRPr="001C2314">
        <w:rPr>
          <w:i/>
          <w:iCs/>
          <w:sz w:val="24"/>
          <w:szCs w:val="24"/>
        </w:rPr>
        <w:t>steady</w:t>
      </w:r>
      <w:proofErr w:type="spellEnd"/>
      <w:r w:rsidRPr="001C2314">
        <w:rPr>
          <w:i/>
          <w:iCs/>
          <w:sz w:val="24"/>
          <w:szCs w:val="24"/>
        </w:rPr>
        <w:t xml:space="preserve"> </w:t>
      </w:r>
      <w:proofErr w:type="spellStart"/>
      <w:r w:rsidRPr="001C2314">
        <w:rPr>
          <w:i/>
          <w:iCs/>
          <w:sz w:val="24"/>
          <w:szCs w:val="24"/>
        </w:rPr>
        <w:t>state</w:t>
      </w:r>
      <w:proofErr w:type="spellEnd"/>
      <w:r w:rsidRPr="001C2314">
        <w:rPr>
          <w:sz w:val="24"/>
          <w:szCs w:val="24"/>
        </w:rPr>
        <w:t xml:space="preserve">, som blev opnået med den anbefalede dosis (44 mikrogram én gang dagligt) af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og var veltolereret.</w:t>
      </w:r>
    </w:p>
    <w:p w14:paraId="3E344DA1" w14:textId="77777777" w:rsidR="009260DE" w:rsidRPr="001C2314" w:rsidRDefault="009260DE" w:rsidP="009260DE">
      <w:pPr>
        <w:tabs>
          <w:tab w:val="left" w:pos="851"/>
        </w:tabs>
        <w:ind w:left="851"/>
        <w:rPr>
          <w:sz w:val="24"/>
          <w:szCs w:val="24"/>
        </w:rPr>
      </w:pPr>
    </w:p>
    <w:p w14:paraId="7792E5C3" w14:textId="77777777" w:rsidR="009260DE" w:rsidRPr="001C2314" w:rsidRDefault="009260DE" w:rsidP="009260DE">
      <w:pPr>
        <w:tabs>
          <w:tab w:val="left" w:pos="851"/>
        </w:tabs>
        <w:ind w:left="851" w:hanging="851"/>
        <w:rPr>
          <w:b/>
          <w:sz w:val="24"/>
          <w:szCs w:val="24"/>
        </w:rPr>
      </w:pPr>
      <w:r w:rsidRPr="001C2314">
        <w:rPr>
          <w:b/>
          <w:sz w:val="24"/>
          <w:szCs w:val="24"/>
        </w:rPr>
        <w:t>4.10</w:t>
      </w:r>
      <w:r w:rsidRPr="001C2314">
        <w:rPr>
          <w:b/>
          <w:sz w:val="24"/>
          <w:szCs w:val="24"/>
        </w:rPr>
        <w:tab/>
        <w:t>Udlevering</w:t>
      </w:r>
    </w:p>
    <w:p w14:paraId="59856698" w14:textId="74689E17" w:rsidR="009260DE" w:rsidRPr="001C2314" w:rsidRDefault="0039180B" w:rsidP="009260DE">
      <w:pPr>
        <w:tabs>
          <w:tab w:val="left" w:pos="851"/>
        </w:tabs>
        <w:ind w:left="851"/>
        <w:rPr>
          <w:sz w:val="24"/>
          <w:szCs w:val="24"/>
        </w:rPr>
      </w:pPr>
      <w:r w:rsidRPr="001C2314">
        <w:rPr>
          <w:sz w:val="24"/>
          <w:szCs w:val="24"/>
        </w:rPr>
        <w:t>B</w:t>
      </w:r>
    </w:p>
    <w:p w14:paraId="6DBDBFB0" w14:textId="77777777" w:rsidR="009260DE" w:rsidRPr="001C2314" w:rsidRDefault="009260DE" w:rsidP="009260DE">
      <w:pPr>
        <w:tabs>
          <w:tab w:val="left" w:pos="851"/>
        </w:tabs>
        <w:ind w:left="851"/>
        <w:rPr>
          <w:sz w:val="24"/>
          <w:szCs w:val="24"/>
        </w:rPr>
      </w:pPr>
    </w:p>
    <w:p w14:paraId="236FC76A" w14:textId="77777777" w:rsidR="009260DE" w:rsidRPr="001C2314" w:rsidRDefault="009260DE" w:rsidP="009260DE">
      <w:pPr>
        <w:tabs>
          <w:tab w:val="left" w:pos="851"/>
        </w:tabs>
        <w:ind w:left="851"/>
        <w:rPr>
          <w:sz w:val="24"/>
          <w:szCs w:val="24"/>
        </w:rPr>
      </w:pPr>
    </w:p>
    <w:p w14:paraId="1241E662" w14:textId="77777777" w:rsidR="009260DE" w:rsidRPr="001C2314" w:rsidRDefault="009260DE" w:rsidP="009260DE">
      <w:pPr>
        <w:tabs>
          <w:tab w:val="left" w:pos="851"/>
        </w:tabs>
        <w:ind w:left="851" w:hanging="851"/>
        <w:rPr>
          <w:b/>
          <w:sz w:val="24"/>
          <w:szCs w:val="24"/>
        </w:rPr>
      </w:pPr>
      <w:r w:rsidRPr="001C2314">
        <w:rPr>
          <w:b/>
          <w:sz w:val="24"/>
          <w:szCs w:val="24"/>
        </w:rPr>
        <w:t>5.</w:t>
      </w:r>
      <w:r w:rsidRPr="001C2314">
        <w:rPr>
          <w:b/>
          <w:sz w:val="24"/>
          <w:szCs w:val="24"/>
        </w:rPr>
        <w:tab/>
        <w:t>FARMAKOLOGISKE EGENSKABER</w:t>
      </w:r>
    </w:p>
    <w:p w14:paraId="052FEBE9" w14:textId="77777777" w:rsidR="009260DE" w:rsidRPr="001C2314" w:rsidRDefault="009260DE" w:rsidP="009260DE">
      <w:pPr>
        <w:tabs>
          <w:tab w:val="left" w:pos="851"/>
        </w:tabs>
        <w:ind w:left="851"/>
        <w:rPr>
          <w:sz w:val="24"/>
          <w:szCs w:val="24"/>
        </w:rPr>
      </w:pPr>
    </w:p>
    <w:p w14:paraId="1A7A06DD" w14:textId="77777777" w:rsidR="009260DE" w:rsidRPr="001C2314" w:rsidRDefault="009260DE" w:rsidP="009260DE">
      <w:pPr>
        <w:tabs>
          <w:tab w:val="num" w:pos="851"/>
        </w:tabs>
        <w:ind w:left="851" w:hanging="851"/>
        <w:rPr>
          <w:b/>
          <w:sz w:val="24"/>
          <w:szCs w:val="24"/>
        </w:rPr>
      </w:pPr>
      <w:r w:rsidRPr="001C2314">
        <w:rPr>
          <w:b/>
          <w:sz w:val="24"/>
          <w:szCs w:val="24"/>
        </w:rPr>
        <w:t>5.1</w:t>
      </w:r>
      <w:r w:rsidRPr="001C2314">
        <w:rPr>
          <w:b/>
          <w:sz w:val="24"/>
          <w:szCs w:val="24"/>
        </w:rPr>
        <w:tab/>
      </w:r>
      <w:proofErr w:type="spellStart"/>
      <w:r w:rsidRPr="001C2314">
        <w:rPr>
          <w:b/>
          <w:sz w:val="24"/>
          <w:szCs w:val="24"/>
        </w:rPr>
        <w:t>Farmakodynamiske</w:t>
      </w:r>
      <w:proofErr w:type="spellEnd"/>
      <w:r w:rsidRPr="001C2314">
        <w:rPr>
          <w:b/>
          <w:sz w:val="24"/>
          <w:szCs w:val="24"/>
        </w:rPr>
        <w:t xml:space="preserve"> egenskaber</w:t>
      </w:r>
    </w:p>
    <w:p w14:paraId="39AD2EC1" w14:textId="77777777" w:rsidR="002743CF" w:rsidRPr="001C2314" w:rsidRDefault="002743CF" w:rsidP="001C2314">
      <w:pPr>
        <w:ind w:left="851"/>
        <w:rPr>
          <w:sz w:val="24"/>
          <w:szCs w:val="24"/>
        </w:rPr>
      </w:pPr>
      <w:proofErr w:type="spellStart"/>
      <w:r w:rsidRPr="001C2314">
        <w:rPr>
          <w:sz w:val="24"/>
          <w:szCs w:val="24"/>
        </w:rPr>
        <w:t>Farmakoterapeutisk</w:t>
      </w:r>
      <w:proofErr w:type="spellEnd"/>
      <w:r w:rsidRPr="001C2314">
        <w:rPr>
          <w:sz w:val="24"/>
          <w:szCs w:val="24"/>
        </w:rPr>
        <w:t xml:space="preserve"> klassifikation: Midler mod obstruktiv lungesygdom, </w:t>
      </w:r>
      <w:proofErr w:type="spellStart"/>
      <w:r w:rsidRPr="001C2314">
        <w:rPr>
          <w:sz w:val="24"/>
          <w:szCs w:val="24"/>
        </w:rPr>
        <w:t>antikolinergika</w:t>
      </w:r>
      <w:proofErr w:type="spellEnd"/>
      <w:r w:rsidRPr="001C2314">
        <w:rPr>
          <w:sz w:val="24"/>
          <w:szCs w:val="24"/>
        </w:rPr>
        <w:t>, ATC-kode: R03BB06</w:t>
      </w:r>
    </w:p>
    <w:p w14:paraId="43E77881" w14:textId="77777777" w:rsidR="002743CF" w:rsidRPr="001C2314" w:rsidRDefault="002743CF" w:rsidP="001C2314">
      <w:pPr>
        <w:ind w:left="851"/>
        <w:rPr>
          <w:bCs/>
          <w:sz w:val="24"/>
          <w:szCs w:val="24"/>
        </w:rPr>
      </w:pPr>
    </w:p>
    <w:p w14:paraId="2206D743" w14:textId="77777777" w:rsidR="002743CF" w:rsidRPr="001C2314" w:rsidRDefault="002743CF" w:rsidP="001C2314">
      <w:pPr>
        <w:ind w:left="851"/>
        <w:rPr>
          <w:bCs/>
          <w:sz w:val="24"/>
          <w:szCs w:val="24"/>
          <w:u w:val="single"/>
        </w:rPr>
      </w:pPr>
      <w:r w:rsidRPr="001C2314">
        <w:rPr>
          <w:bCs/>
          <w:sz w:val="24"/>
          <w:szCs w:val="24"/>
          <w:u w:val="single"/>
        </w:rPr>
        <w:t>Virkningsmekanisme</w:t>
      </w:r>
    </w:p>
    <w:p w14:paraId="7B7CFC7A" w14:textId="01043277" w:rsidR="002743CF" w:rsidRPr="001C2314" w:rsidRDefault="002743CF" w:rsidP="001C2314">
      <w:pPr>
        <w:ind w:left="851"/>
        <w:rPr>
          <w:bCs/>
          <w:sz w:val="24"/>
          <w:szCs w:val="24"/>
        </w:rPr>
      </w:pPr>
      <w:proofErr w:type="spellStart"/>
      <w:r w:rsidRPr="001C2314">
        <w:rPr>
          <w:bCs/>
          <w:sz w:val="24"/>
          <w:szCs w:val="24"/>
        </w:rPr>
        <w:t>Glycopyrronium</w:t>
      </w:r>
      <w:proofErr w:type="spellEnd"/>
      <w:r w:rsidRPr="001C2314">
        <w:rPr>
          <w:bCs/>
          <w:sz w:val="24"/>
          <w:szCs w:val="24"/>
        </w:rPr>
        <w:t xml:space="preserve"> er en langtidsvirkende </w:t>
      </w:r>
      <w:proofErr w:type="spellStart"/>
      <w:r w:rsidRPr="001C2314">
        <w:rPr>
          <w:bCs/>
          <w:sz w:val="24"/>
          <w:szCs w:val="24"/>
        </w:rPr>
        <w:t>muskarinreceptorantagonist</w:t>
      </w:r>
      <w:proofErr w:type="spellEnd"/>
      <w:r w:rsidRPr="001C2314">
        <w:rPr>
          <w:bCs/>
          <w:sz w:val="24"/>
          <w:szCs w:val="24"/>
        </w:rPr>
        <w:t xml:space="preserve"> (</w:t>
      </w:r>
      <w:proofErr w:type="spellStart"/>
      <w:r w:rsidRPr="001C2314">
        <w:rPr>
          <w:bCs/>
          <w:sz w:val="24"/>
          <w:szCs w:val="24"/>
        </w:rPr>
        <w:t>antikolinergt</w:t>
      </w:r>
      <w:proofErr w:type="spellEnd"/>
      <w:r w:rsidRPr="001C2314">
        <w:rPr>
          <w:bCs/>
          <w:sz w:val="24"/>
          <w:szCs w:val="24"/>
        </w:rPr>
        <w:t xml:space="preserve"> lægemiddel) til inhalation én gang dagligt til </w:t>
      </w:r>
      <w:proofErr w:type="spellStart"/>
      <w:r w:rsidRPr="001C2314">
        <w:rPr>
          <w:bCs/>
          <w:sz w:val="24"/>
          <w:szCs w:val="24"/>
        </w:rPr>
        <w:t>bronkodilaterende</w:t>
      </w:r>
      <w:proofErr w:type="spellEnd"/>
      <w:r w:rsidRPr="001C2314">
        <w:rPr>
          <w:bCs/>
          <w:sz w:val="24"/>
          <w:szCs w:val="24"/>
        </w:rPr>
        <w:t xml:space="preserve"> vedligeholdelses</w:t>
      </w:r>
      <w:r w:rsidR="00993EA8">
        <w:rPr>
          <w:bCs/>
          <w:sz w:val="24"/>
          <w:szCs w:val="24"/>
        </w:rPr>
        <w:softHyphen/>
      </w:r>
      <w:r w:rsidRPr="001C2314">
        <w:rPr>
          <w:bCs/>
          <w:sz w:val="24"/>
          <w:szCs w:val="24"/>
        </w:rPr>
        <w:t xml:space="preserve">behandling af KOL. Parasympatiske nerver er de primære </w:t>
      </w:r>
      <w:proofErr w:type="spellStart"/>
      <w:r w:rsidRPr="001C2314">
        <w:rPr>
          <w:bCs/>
          <w:sz w:val="24"/>
          <w:szCs w:val="24"/>
        </w:rPr>
        <w:t>bronkokonstriktive</w:t>
      </w:r>
      <w:proofErr w:type="spellEnd"/>
      <w:r w:rsidRPr="001C2314">
        <w:rPr>
          <w:bCs/>
          <w:sz w:val="24"/>
          <w:szCs w:val="24"/>
        </w:rPr>
        <w:t xml:space="preserve"> neurale signalveje i luftvejene, og </w:t>
      </w:r>
      <w:proofErr w:type="spellStart"/>
      <w:r w:rsidRPr="001C2314">
        <w:rPr>
          <w:bCs/>
          <w:sz w:val="24"/>
          <w:szCs w:val="24"/>
        </w:rPr>
        <w:t>kolinerg</w:t>
      </w:r>
      <w:proofErr w:type="spellEnd"/>
      <w:r w:rsidRPr="001C2314">
        <w:rPr>
          <w:bCs/>
          <w:sz w:val="24"/>
          <w:szCs w:val="24"/>
        </w:rPr>
        <w:t xml:space="preserve"> </w:t>
      </w:r>
      <w:proofErr w:type="spellStart"/>
      <w:r w:rsidRPr="001C2314">
        <w:rPr>
          <w:bCs/>
          <w:sz w:val="24"/>
          <w:szCs w:val="24"/>
        </w:rPr>
        <w:t>tonus</w:t>
      </w:r>
      <w:proofErr w:type="spellEnd"/>
      <w:r w:rsidRPr="001C2314">
        <w:rPr>
          <w:bCs/>
          <w:sz w:val="24"/>
          <w:szCs w:val="24"/>
        </w:rPr>
        <w:t xml:space="preserve"> er den vigtigste reversible komponent for luftvejsobstruktion ved KOL. </w:t>
      </w:r>
      <w:proofErr w:type="spellStart"/>
      <w:r w:rsidRPr="001C2314">
        <w:rPr>
          <w:bCs/>
          <w:sz w:val="24"/>
          <w:szCs w:val="24"/>
        </w:rPr>
        <w:t>Glycopyrronium</w:t>
      </w:r>
      <w:proofErr w:type="spellEnd"/>
      <w:r w:rsidRPr="001C2314">
        <w:rPr>
          <w:bCs/>
          <w:sz w:val="24"/>
          <w:szCs w:val="24"/>
        </w:rPr>
        <w:t xml:space="preserve"> virker ved at blokere den </w:t>
      </w:r>
      <w:proofErr w:type="spellStart"/>
      <w:r w:rsidRPr="001C2314">
        <w:rPr>
          <w:bCs/>
          <w:sz w:val="24"/>
          <w:szCs w:val="24"/>
        </w:rPr>
        <w:t>bronkokonstriktive</w:t>
      </w:r>
      <w:proofErr w:type="spellEnd"/>
      <w:r w:rsidRPr="001C2314">
        <w:rPr>
          <w:bCs/>
          <w:sz w:val="24"/>
          <w:szCs w:val="24"/>
        </w:rPr>
        <w:t xml:space="preserve"> virkning af acetylkolin på luftvejenes glatte muskelceller, hvilket udvider luftvejene.</w:t>
      </w:r>
    </w:p>
    <w:p w14:paraId="04EEDE0B" w14:textId="77777777" w:rsidR="002743CF" w:rsidRPr="001C2314" w:rsidRDefault="002743CF" w:rsidP="001C2314">
      <w:pPr>
        <w:ind w:left="851"/>
        <w:rPr>
          <w:bCs/>
          <w:sz w:val="24"/>
          <w:szCs w:val="24"/>
        </w:rPr>
      </w:pPr>
    </w:p>
    <w:p w14:paraId="5AC8FA13" w14:textId="77777777" w:rsidR="002743CF" w:rsidRPr="001C2314" w:rsidRDefault="002743CF" w:rsidP="001C2314">
      <w:pPr>
        <w:ind w:left="851"/>
        <w:rPr>
          <w:bCs/>
          <w:sz w:val="24"/>
          <w:szCs w:val="24"/>
        </w:rPr>
      </w:pPr>
      <w:proofErr w:type="spellStart"/>
      <w:r w:rsidRPr="001C2314">
        <w:rPr>
          <w:bCs/>
          <w:sz w:val="24"/>
          <w:szCs w:val="24"/>
        </w:rPr>
        <w:t>Glycopyrroniumbromid</w:t>
      </w:r>
      <w:proofErr w:type="spellEnd"/>
      <w:r w:rsidRPr="001C2314">
        <w:rPr>
          <w:bCs/>
          <w:sz w:val="24"/>
          <w:szCs w:val="24"/>
        </w:rPr>
        <w:t xml:space="preserve"> er en </w:t>
      </w:r>
      <w:proofErr w:type="spellStart"/>
      <w:r w:rsidRPr="001C2314">
        <w:rPr>
          <w:bCs/>
          <w:sz w:val="24"/>
          <w:szCs w:val="24"/>
        </w:rPr>
        <w:t>muskarinreceptorantagonist</w:t>
      </w:r>
      <w:proofErr w:type="spellEnd"/>
      <w:r w:rsidRPr="001C2314">
        <w:rPr>
          <w:bCs/>
          <w:sz w:val="24"/>
          <w:szCs w:val="24"/>
        </w:rPr>
        <w:t xml:space="preserve"> med høj affinitet. Der er påvist en selektivitet på mere end fire gange over for de humane M3</w:t>
      </w:r>
      <w:r w:rsidRPr="001C2314">
        <w:rPr>
          <w:bCs/>
          <w:sz w:val="24"/>
          <w:szCs w:val="24"/>
        </w:rPr>
        <w:noBreakHyphen/>
        <w:t xml:space="preserve">receptorer end over for de </w:t>
      </w:r>
      <w:r w:rsidRPr="001C2314">
        <w:rPr>
          <w:bCs/>
          <w:sz w:val="24"/>
          <w:szCs w:val="24"/>
        </w:rPr>
        <w:lastRenderedPageBreak/>
        <w:t>humane M2</w:t>
      </w:r>
      <w:r w:rsidRPr="001C2314">
        <w:rPr>
          <w:bCs/>
          <w:sz w:val="24"/>
          <w:szCs w:val="24"/>
        </w:rPr>
        <w:noBreakHyphen/>
        <w:t xml:space="preserve">receptorer ved hjælp af forsøg med </w:t>
      </w:r>
      <w:proofErr w:type="spellStart"/>
      <w:r w:rsidRPr="001C2314">
        <w:rPr>
          <w:bCs/>
          <w:sz w:val="24"/>
          <w:szCs w:val="24"/>
        </w:rPr>
        <w:t>radioligand</w:t>
      </w:r>
      <w:proofErr w:type="spellEnd"/>
      <w:r w:rsidRPr="001C2314">
        <w:rPr>
          <w:bCs/>
          <w:sz w:val="24"/>
          <w:szCs w:val="24"/>
        </w:rPr>
        <w:t>-binding. Det har en hurtig indsættende virkning, hvilket er påvist ved observerede kinetiske parametre for receptorassociation/-dissociation og ved indsættende virkning efter inhalation i kliniske studier.</w:t>
      </w:r>
    </w:p>
    <w:p w14:paraId="6B2E9FF0" w14:textId="77777777" w:rsidR="002743CF" w:rsidRPr="001C2314" w:rsidRDefault="002743CF" w:rsidP="001C2314">
      <w:pPr>
        <w:ind w:left="851"/>
        <w:rPr>
          <w:bCs/>
          <w:sz w:val="24"/>
          <w:szCs w:val="24"/>
        </w:rPr>
      </w:pPr>
    </w:p>
    <w:p w14:paraId="76BAAFBF" w14:textId="475917BD" w:rsidR="002743CF" w:rsidRPr="001C2314" w:rsidRDefault="002743CF" w:rsidP="001C2314">
      <w:pPr>
        <w:ind w:left="851"/>
        <w:rPr>
          <w:bCs/>
          <w:sz w:val="24"/>
          <w:szCs w:val="24"/>
        </w:rPr>
      </w:pPr>
      <w:r w:rsidRPr="001C2314">
        <w:rPr>
          <w:bCs/>
          <w:sz w:val="24"/>
          <w:szCs w:val="24"/>
        </w:rPr>
        <w:t xml:space="preserve">Den lange virkningsvarighed kan delvist tillægges vedvarende koncentrationer af det aktive stof i lungerne, som afspejles af den forlængede terminale eliminationshalveringstid for </w:t>
      </w:r>
      <w:proofErr w:type="spellStart"/>
      <w:r w:rsidRPr="001C2314">
        <w:rPr>
          <w:bCs/>
          <w:sz w:val="24"/>
          <w:szCs w:val="24"/>
        </w:rPr>
        <w:t>glycopyrronium</w:t>
      </w:r>
      <w:proofErr w:type="spellEnd"/>
      <w:r w:rsidRPr="001C2314">
        <w:rPr>
          <w:bCs/>
          <w:sz w:val="24"/>
          <w:szCs w:val="24"/>
        </w:rPr>
        <w:t xml:space="preserve"> efter inhalation via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 xml:space="preserve">Medical </w:t>
      </w:r>
      <w:proofErr w:type="spellStart"/>
      <w:r w:rsidRPr="001C2314">
        <w:rPr>
          <w:sz w:val="24"/>
          <w:szCs w:val="24"/>
        </w:rPr>
        <w:t>Valley</w:t>
      </w:r>
      <w:r w:rsidR="003D2392">
        <w:rPr>
          <w:sz w:val="24"/>
          <w:szCs w:val="24"/>
        </w:rPr>
        <w:t>"</w:t>
      </w:r>
      <w:r w:rsidRPr="001C2314">
        <w:rPr>
          <w:bCs/>
          <w:sz w:val="24"/>
          <w:szCs w:val="24"/>
        </w:rPr>
        <w:t>-inhalatoren</w:t>
      </w:r>
      <w:proofErr w:type="spellEnd"/>
      <w:r w:rsidRPr="001C2314">
        <w:rPr>
          <w:bCs/>
          <w:sz w:val="24"/>
          <w:szCs w:val="24"/>
        </w:rPr>
        <w:t xml:space="preserve"> i modsætning til halveringstiden efter intravenøs administration (se pkt. 5.2).</w:t>
      </w:r>
    </w:p>
    <w:p w14:paraId="72F53270" w14:textId="77777777" w:rsidR="002743CF" w:rsidRPr="001C2314" w:rsidRDefault="002743CF" w:rsidP="001C2314">
      <w:pPr>
        <w:ind w:left="851"/>
        <w:rPr>
          <w:bCs/>
          <w:sz w:val="24"/>
          <w:szCs w:val="24"/>
          <w:u w:val="single"/>
        </w:rPr>
      </w:pPr>
    </w:p>
    <w:p w14:paraId="439CDCDC" w14:textId="77777777" w:rsidR="002743CF" w:rsidRPr="001C2314" w:rsidRDefault="002743CF" w:rsidP="001C2314">
      <w:pPr>
        <w:ind w:left="851"/>
        <w:rPr>
          <w:bCs/>
          <w:sz w:val="24"/>
          <w:szCs w:val="24"/>
          <w:u w:val="single"/>
        </w:rPr>
      </w:pPr>
      <w:proofErr w:type="spellStart"/>
      <w:r w:rsidRPr="001C2314">
        <w:rPr>
          <w:bCs/>
          <w:sz w:val="24"/>
          <w:szCs w:val="24"/>
          <w:u w:val="single"/>
        </w:rPr>
        <w:t>Farmakodynamisk</w:t>
      </w:r>
      <w:proofErr w:type="spellEnd"/>
      <w:r w:rsidRPr="001C2314">
        <w:rPr>
          <w:bCs/>
          <w:sz w:val="24"/>
          <w:szCs w:val="24"/>
          <w:u w:val="single"/>
        </w:rPr>
        <w:t xml:space="preserve"> virkning</w:t>
      </w:r>
    </w:p>
    <w:p w14:paraId="73D1CC98" w14:textId="77777777" w:rsidR="002743CF" w:rsidRPr="001C2314" w:rsidRDefault="002743CF" w:rsidP="001C2314">
      <w:pPr>
        <w:ind w:left="851"/>
        <w:rPr>
          <w:bCs/>
          <w:sz w:val="24"/>
          <w:szCs w:val="24"/>
        </w:rPr>
      </w:pPr>
      <w:r w:rsidRPr="001C2314">
        <w:rPr>
          <w:bCs/>
          <w:sz w:val="24"/>
          <w:szCs w:val="24"/>
        </w:rPr>
        <w:t>Udviklingsprogrammet for den kliniske fase III omfattede to fase</w:t>
      </w:r>
      <w:r w:rsidRPr="001C2314">
        <w:rPr>
          <w:sz w:val="24"/>
          <w:szCs w:val="24"/>
        </w:rPr>
        <w:t> </w:t>
      </w:r>
      <w:r w:rsidRPr="001C2314">
        <w:rPr>
          <w:bCs/>
          <w:sz w:val="24"/>
          <w:szCs w:val="24"/>
        </w:rPr>
        <w:t xml:space="preserve">III-studier: et placebokontrolleret studie på 6 måneder og et placebo- og aktivkontrolleret studie (open-label </w:t>
      </w:r>
      <w:proofErr w:type="spellStart"/>
      <w:r w:rsidRPr="001C2314">
        <w:rPr>
          <w:bCs/>
          <w:sz w:val="24"/>
          <w:szCs w:val="24"/>
        </w:rPr>
        <w:t>tiotropium</w:t>
      </w:r>
      <w:proofErr w:type="spellEnd"/>
      <w:r w:rsidRPr="001C2314">
        <w:rPr>
          <w:bCs/>
          <w:sz w:val="24"/>
          <w:szCs w:val="24"/>
        </w:rPr>
        <w:t xml:space="preserve"> på 18 mikrogram én gang dagligt) på 12 måneder, hvor begge studier var med patienter med klinisk diagnosticeret moderat til svær KOL.</w:t>
      </w:r>
    </w:p>
    <w:p w14:paraId="52A2D9E8" w14:textId="77777777" w:rsidR="002743CF" w:rsidRPr="001C2314" w:rsidRDefault="002743CF" w:rsidP="001C2314">
      <w:pPr>
        <w:ind w:left="851"/>
        <w:rPr>
          <w:bCs/>
          <w:sz w:val="24"/>
          <w:szCs w:val="24"/>
        </w:rPr>
      </w:pPr>
    </w:p>
    <w:p w14:paraId="4C8E6855" w14:textId="77777777" w:rsidR="002743CF" w:rsidRPr="001C2314" w:rsidRDefault="002743CF" w:rsidP="001C2314">
      <w:pPr>
        <w:ind w:left="851"/>
        <w:rPr>
          <w:bCs/>
          <w:i/>
          <w:sz w:val="24"/>
          <w:szCs w:val="24"/>
        </w:rPr>
      </w:pPr>
      <w:r w:rsidRPr="001C2314">
        <w:rPr>
          <w:bCs/>
          <w:i/>
          <w:sz w:val="24"/>
          <w:szCs w:val="24"/>
        </w:rPr>
        <w:t>Virkning på lungefunktion</w:t>
      </w:r>
    </w:p>
    <w:p w14:paraId="0E45508F" w14:textId="5E3D7C24" w:rsidR="002743CF" w:rsidRPr="001C2314" w:rsidRDefault="002743CF" w:rsidP="001C2314">
      <w:pPr>
        <w:ind w:left="851"/>
        <w:rPr>
          <w:bCs/>
          <w:sz w:val="24"/>
          <w:szCs w:val="24"/>
        </w:rPr>
      </w:pP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44 mikrogram én gang dagligt medførte konsekvent, statistisk signifikant forbedring af lungefunktionen (forceret udåndingsvolumen i et sekund, FEV</w:t>
      </w:r>
      <w:r w:rsidRPr="001C2314">
        <w:rPr>
          <w:bCs/>
          <w:sz w:val="24"/>
          <w:szCs w:val="24"/>
          <w:vertAlign w:val="subscript"/>
        </w:rPr>
        <w:t>1</w:t>
      </w:r>
      <w:r w:rsidRPr="001C2314">
        <w:rPr>
          <w:bCs/>
          <w:sz w:val="24"/>
          <w:szCs w:val="24"/>
        </w:rPr>
        <w:t xml:space="preserve">, forceret vitalkapacitet, FVC, og inspiratorisk kapacitet, IC) i en række kliniske studier. I kliniske fase III-studier sås </w:t>
      </w:r>
      <w:proofErr w:type="spellStart"/>
      <w:r w:rsidRPr="001C2314">
        <w:rPr>
          <w:bCs/>
          <w:sz w:val="24"/>
          <w:szCs w:val="24"/>
        </w:rPr>
        <w:t>bronkodilaterende</w:t>
      </w:r>
      <w:proofErr w:type="spellEnd"/>
      <w:r w:rsidRPr="001C2314">
        <w:rPr>
          <w:bCs/>
          <w:sz w:val="24"/>
          <w:szCs w:val="24"/>
        </w:rPr>
        <w:t xml:space="preserve"> virkninger inden for 5 minutter efter første dosis, og disse blev opretholdt i løbet af doseringsintervallet på 24 timer fra første dosis. Den </w:t>
      </w:r>
      <w:proofErr w:type="spellStart"/>
      <w:r w:rsidRPr="001C2314">
        <w:rPr>
          <w:bCs/>
          <w:sz w:val="24"/>
          <w:szCs w:val="24"/>
        </w:rPr>
        <w:t>bronkodilaterende</w:t>
      </w:r>
      <w:proofErr w:type="spellEnd"/>
      <w:r w:rsidRPr="001C2314">
        <w:rPr>
          <w:bCs/>
          <w:sz w:val="24"/>
          <w:szCs w:val="24"/>
        </w:rPr>
        <w:t xml:space="preserve"> virkning aftog ikke over tid i studierne på 6 og 12 måneder. Virkningens størrelse var afhængig af graden af reversibilitet i luftvejsbegrænsning ved </w:t>
      </w:r>
      <w:r w:rsidRPr="001C2314">
        <w:rPr>
          <w:bCs/>
          <w:i/>
          <w:sz w:val="24"/>
          <w:szCs w:val="24"/>
        </w:rPr>
        <w:t>baseline</w:t>
      </w:r>
      <w:r w:rsidRPr="001C2314">
        <w:rPr>
          <w:bCs/>
          <w:sz w:val="24"/>
          <w:szCs w:val="24"/>
        </w:rPr>
        <w:t xml:space="preserve"> (testet ved administration af en korttidsvirkende </w:t>
      </w:r>
      <w:proofErr w:type="spellStart"/>
      <w:r w:rsidRPr="001C2314">
        <w:rPr>
          <w:bCs/>
          <w:sz w:val="24"/>
          <w:szCs w:val="24"/>
        </w:rPr>
        <w:t>muskarin</w:t>
      </w:r>
      <w:proofErr w:type="spellEnd"/>
      <w:r w:rsidRPr="001C2314">
        <w:rPr>
          <w:bCs/>
          <w:sz w:val="24"/>
          <w:szCs w:val="24"/>
        </w:rPr>
        <w:t xml:space="preserve"> antagonist </w:t>
      </w:r>
      <w:proofErr w:type="spellStart"/>
      <w:r w:rsidRPr="001C2314">
        <w:rPr>
          <w:bCs/>
          <w:sz w:val="24"/>
          <w:szCs w:val="24"/>
        </w:rPr>
        <w:t>bronkodilator</w:t>
      </w:r>
      <w:proofErr w:type="spellEnd"/>
      <w:r w:rsidRPr="001C2314">
        <w:rPr>
          <w:bCs/>
          <w:sz w:val="24"/>
          <w:szCs w:val="24"/>
        </w:rPr>
        <w:t xml:space="preserve">): patienter med den mindste grad af reversibilitet ved </w:t>
      </w:r>
      <w:r w:rsidRPr="001C2314">
        <w:rPr>
          <w:bCs/>
          <w:i/>
          <w:sz w:val="24"/>
          <w:szCs w:val="24"/>
        </w:rPr>
        <w:t>baseline</w:t>
      </w:r>
      <w:r w:rsidRPr="001C2314">
        <w:rPr>
          <w:bCs/>
          <w:sz w:val="24"/>
          <w:szCs w:val="24"/>
        </w:rPr>
        <w:t xml:space="preserve"> (&lt; 5 %) viste generelt et lavere </w:t>
      </w:r>
      <w:proofErr w:type="spellStart"/>
      <w:r w:rsidRPr="001C2314">
        <w:rPr>
          <w:bCs/>
          <w:sz w:val="24"/>
          <w:szCs w:val="24"/>
        </w:rPr>
        <w:t>bronkodilaterende</w:t>
      </w:r>
      <w:proofErr w:type="spellEnd"/>
      <w:r w:rsidRPr="001C2314">
        <w:rPr>
          <w:bCs/>
          <w:sz w:val="24"/>
          <w:szCs w:val="24"/>
        </w:rPr>
        <w:t xml:space="preserve"> respons end patienter med en større grad af reversibilitet ved </w:t>
      </w:r>
      <w:r w:rsidRPr="001C2314">
        <w:rPr>
          <w:bCs/>
          <w:i/>
          <w:sz w:val="24"/>
          <w:szCs w:val="24"/>
        </w:rPr>
        <w:t>baseline</w:t>
      </w:r>
      <w:r w:rsidRPr="001C2314">
        <w:rPr>
          <w:bCs/>
          <w:sz w:val="24"/>
          <w:szCs w:val="24"/>
        </w:rPr>
        <w:t xml:space="preserve"> (≥ 5 %). Ved 12 uger (primært endepunkt) øgede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dal-FEV</w:t>
      </w:r>
      <w:r w:rsidRPr="001C2314">
        <w:rPr>
          <w:bCs/>
          <w:sz w:val="24"/>
          <w:szCs w:val="24"/>
          <w:vertAlign w:val="subscript"/>
        </w:rPr>
        <w:t>1</w:t>
      </w:r>
      <w:r w:rsidRPr="001C2314">
        <w:rPr>
          <w:bCs/>
          <w:sz w:val="24"/>
          <w:szCs w:val="24"/>
        </w:rPr>
        <w:t xml:space="preserve"> med 72 ml hos patienter med den laveste grad af reversibilitet (&lt; 5 %) og med 113 ml i de patienter med en højere grad af reversibilitet ved </w:t>
      </w:r>
      <w:r w:rsidRPr="001C2314">
        <w:rPr>
          <w:bCs/>
          <w:i/>
          <w:sz w:val="24"/>
          <w:szCs w:val="24"/>
        </w:rPr>
        <w:t>baseline</w:t>
      </w:r>
      <w:r w:rsidRPr="001C2314">
        <w:rPr>
          <w:bCs/>
          <w:sz w:val="24"/>
          <w:szCs w:val="24"/>
        </w:rPr>
        <w:t xml:space="preserve"> (≥ 5 %) sammenlignet med placebo (begge p &lt; 0,05).</w:t>
      </w:r>
    </w:p>
    <w:p w14:paraId="143042F6" w14:textId="77777777" w:rsidR="002743CF" w:rsidRPr="001C2314" w:rsidRDefault="002743CF" w:rsidP="001C2314">
      <w:pPr>
        <w:ind w:left="851"/>
        <w:rPr>
          <w:bCs/>
          <w:sz w:val="24"/>
          <w:szCs w:val="24"/>
        </w:rPr>
      </w:pPr>
    </w:p>
    <w:p w14:paraId="1A859603" w14:textId="6D0E84CC" w:rsidR="002743CF" w:rsidRPr="001C2314" w:rsidRDefault="002743CF" w:rsidP="001C2314">
      <w:pPr>
        <w:ind w:left="851"/>
        <w:rPr>
          <w:bCs/>
          <w:sz w:val="24"/>
          <w:szCs w:val="24"/>
        </w:rPr>
      </w:pPr>
      <w:r w:rsidRPr="001C2314">
        <w:rPr>
          <w:bCs/>
          <w:sz w:val="24"/>
          <w:szCs w:val="24"/>
        </w:rPr>
        <w:t>I 6</w:t>
      </w:r>
      <w:r w:rsidRPr="001C2314">
        <w:rPr>
          <w:bCs/>
          <w:sz w:val="24"/>
          <w:szCs w:val="24"/>
        </w:rPr>
        <w:noBreakHyphen/>
        <w:t xml:space="preserve">måneders-studiet forøgede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FEV</w:t>
      </w:r>
      <w:r w:rsidRPr="001C2314">
        <w:rPr>
          <w:bCs/>
          <w:sz w:val="24"/>
          <w:szCs w:val="24"/>
          <w:vertAlign w:val="subscript"/>
        </w:rPr>
        <w:t>1</w:t>
      </w:r>
      <w:r w:rsidRPr="001C2314">
        <w:rPr>
          <w:bCs/>
          <w:sz w:val="24"/>
          <w:szCs w:val="24"/>
        </w:rPr>
        <w:t xml:space="preserve"> efter første dosis med 93 ml inden for 5 minutter og 144 ml inden for 15 minutter fra doseringen sammenlignet med placebo (begge med p &lt; 0,001). 12</w:t>
      </w:r>
      <w:r w:rsidRPr="001C2314">
        <w:rPr>
          <w:bCs/>
          <w:sz w:val="24"/>
          <w:szCs w:val="24"/>
        </w:rPr>
        <w:noBreakHyphen/>
        <w:t>måneders-studiet var forbedringerne på 87 ml ved 5 minutter og 143 ml ved 15 minutter (begge med p &lt; 0,001). I 12</w:t>
      </w:r>
      <w:r w:rsidRPr="001C2314">
        <w:rPr>
          <w:bCs/>
          <w:sz w:val="24"/>
          <w:szCs w:val="24"/>
        </w:rPr>
        <w:noBreakHyphen/>
        <w:t xml:space="preserve">måneders-studiet viste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statistiske signifikante forbedringer i FEV</w:t>
      </w:r>
      <w:r w:rsidRPr="001C2314">
        <w:rPr>
          <w:bCs/>
          <w:sz w:val="24"/>
          <w:szCs w:val="24"/>
          <w:vertAlign w:val="subscript"/>
        </w:rPr>
        <w:t>1</w:t>
      </w:r>
      <w:r w:rsidRPr="001C2314">
        <w:rPr>
          <w:bCs/>
          <w:sz w:val="24"/>
          <w:szCs w:val="24"/>
        </w:rPr>
        <w:t xml:space="preserve"> sammenlignet med </w:t>
      </w:r>
      <w:proofErr w:type="spellStart"/>
      <w:r w:rsidRPr="001C2314">
        <w:rPr>
          <w:bCs/>
          <w:sz w:val="24"/>
          <w:szCs w:val="24"/>
        </w:rPr>
        <w:t>tiotropium</w:t>
      </w:r>
      <w:proofErr w:type="spellEnd"/>
      <w:r w:rsidRPr="001C2314">
        <w:rPr>
          <w:bCs/>
          <w:sz w:val="24"/>
          <w:szCs w:val="24"/>
        </w:rPr>
        <w:t xml:space="preserve"> i de første 4 timer efter dosering på dag 1 og ved uge 26 samt numerisk højere værdier for FEV</w:t>
      </w:r>
      <w:r w:rsidRPr="001C2314">
        <w:rPr>
          <w:bCs/>
          <w:sz w:val="24"/>
          <w:szCs w:val="24"/>
          <w:vertAlign w:val="subscript"/>
        </w:rPr>
        <w:t>1</w:t>
      </w:r>
      <w:r w:rsidRPr="001C2314">
        <w:rPr>
          <w:bCs/>
          <w:sz w:val="24"/>
          <w:szCs w:val="24"/>
        </w:rPr>
        <w:t xml:space="preserve"> i de første 4 timer efter dosering end </w:t>
      </w:r>
      <w:proofErr w:type="spellStart"/>
      <w:r w:rsidRPr="001C2314">
        <w:rPr>
          <w:bCs/>
          <w:sz w:val="24"/>
          <w:szCs w:val="24"/>
        </w:rPr>
        <w:t>tiotropium</w:t>
      </w:r>
      <w:proofErr w:type="spellEnd"/>
      <w:r w:rsidRPr="001C2314">
        <w:rPr>
          <w:bCs/>
          <w:sz w:val="24"/>
          <w:szCs w:val="24"/>
        </w:rPr>
        <w:t xml:space="preserve"> ved uge 12 og uge 52. </w:t>
      </w:r>
    </w:p>
    <w:p w14:paraId="11D89EE0" w14:textId="77777777" w:rsidR="002743CF" w:rsidRPr="001C2314" w:rsidRDefault="002743CF" w:rsidP="001C2314">
      <w:pPr>
        <w:ind w:left="851"/>
        <w:rPr>
          <w:bCs/>
          <w:sz w:val="24"/>
          <w:szCs w:val="24"/>
        </w:rPr>
      </w:pPr>
    </w:p>
    <w:p w14:paraId="3E53AA2D" w14:textId="4A0AA15E" w:rsidR="002743CF" w:rsidRPr="001C2314" w:rsidRDefault="002743CF" w:rsidP="001C2314">
      <w:pPr>
        <w:ind w:left="851"/>
        <w:rPr>
          <w:bCs/>
          <w:sz w:val="24"/>
          <w:szCs w:val="24"/>
        </w:rPr>
      </w:pPr>
      <w:r w:rsidRPr="001C2314">
        <w:rPr>
          <w:bCs/>
          <w:sz w:val="24"/>
          <w:szCs w:val="24"/>
        </w:rPr>
        <w:t>Værdierne for FEV</w:t>
      </w:r>
      <w:r w:rsidRPr="001C2314">
        <w:rPr>
          <w:bCs/>
          <w:sz w:val="24"/>
          <w:szCs w:val="24"/>
          <w:vertAlign w:val="subscript"/>
        </w:rPr>
        <w:t>1</w:t>
      </w:r>
      <w:r w:rsidRPr="001C2314">
        <w:rPr>
          <w:bCs/>
          <w:sz w:val="24"/>
          <w:szCs w:val="24"/>
        </w:rPr>
        <w:t xml:space="preserve"> i slutningen af doseringsintervallet (24 timer efter dosis) var tilsvarende mellem første dosis og dem, der sås efter 1 års dosering. Ved 12 uger (primært endepunkt) øgede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dal-FEV</w:t>
      </w:r>
      <w:r w:rsidRPr="001C2314">
        <w:rPr>
          <w:bCs/>
          <w:sz w:val="24"/>
          <w:szCs w:val="24"/>
          <w:vertAlign w:val="subscript"/>
        </w:rPr>
        <w:t>1</w:t>
      </w:r>
      <w:r w:rsidRPr="001C2314">
        <w:rPr>
          <w:bCs/>
          <w:sz w:val="24"/>
          <w:szCs w:val="24"/>
        </w:rPr>
        <w:t xml:space="preserve"> med 108 ml i 6</w:t>
      </w:r>
      <w:r w:rsidRPr="001C2314">
        <w:rPr>
          <w:bCs/>
          <w:sz w:val="24"/>
          <w:szCs w:val="24"/>
        </w:rPr>
        <w:noBreakHyphen/>
        <w:t>måneders-studiet og med 97 ml i 12</w:t>
      </w:r>
      <w:r w:rsidRPr="001C2314">
        <w:rPr>
          <w:bCs/>
          <w:sz w:val="24"/>
          <w:szCs w:val="24"/>
        </w:rPr>
        <w:noBreakHyphen/>
        <w:t>måneders-studiet sammenlignet med placebo (begge med p &lt; 0,001). I 12</w:t>
      </w:r>
      <w:r w:rsidRPr="001C2314">
        <w:rPr>
          <w:bCs/>
          <w:sz w:val="24"/>
          <w:szCs w:val="24"/>
        </w:rPr>
        <w:noBreakHyphen/>
        <w:t xml:space="preserve">måneders-studiet var forbedringen i forhold til placebo for </w:t>
      </w:r>
      <w:proofErr w:type="spellStart"/>
      <w:r w:rsidRPr="001C2314">
        <w:rPr>
          <w:bCs/>
          <w:sz w:val="24"/>
          <w:szCs w:val="24"/>
        </w:rPr>
        <w:t>tiotropium</w:t>
      </w:r>
      <w:proofErr w:type="spellEnd"/>
      <w:r w:rsidRPr="001C2314">
        <w:rPr>
          <w:bCs/>
          <w:sz w:val="24"/>
          <w:szCs w:val="24"/>
        </w:rPr>
        <w:t xml:space="preserve"> 83 ml (p &lt; 0,001). </w:t>
      </w:r>
    </w:p>
    <w:p w14:paraId="2AB46008" w14:textId="77777777" w:rsidR="002743CF" w:rsidRPr="001C2314" w:rsidRDefault="002743CF" w:rsidP="001C2314">
      <w:pPr>
        <w:ind w:left="851"/>
        <w:rPr>
          <w:bCs/>
          <w:sz w:val="24"/>
          <w:szCs w:val="24"/>
        </w:rPr>
      </w:pPr>
    </w:p>
    <w:p w14:paraId="64D4EB05" w14:textId="77777777" w:rsidR="002743CF" w:rsidRPr="001C2314" w:rsidRDefault="002743CF" w:rsidP="001C2314">
      <w:pPr>
        <w:ind w:left="851"/>
        <w:rPr>
          <w:bCs/>
          <w:i/>
          <w:sz w:val="24"/>
          <w:szCs w:val="24"/>
        </w:rPr>
      </w:pPr>
      <w:r w:rsidRPr="001C2314">
        <w:rPr>
          <w:bCs/>
          <w:i/>
          <w:sz w:val="24"/>
          <w:szCs w:val="24"/>
        </w:rPr>
        <w:t xml:space="preserve">Symptomatiske endepunkter </w:t>
      </w:r>
    </w:p>
    <w:p w14:paraId="57491008" w14:textId="34F07E07" w:rsidR="002743CF" w:rsidRPr="001C2314" w:rsidRDefault="002743CF" w:rsidP="001C2314">
      <w:pPr>
        <w:ind w:left="851"/>
        <w:rPr>
          <w:bCs/>
          <w:sz w:val="24"/>
          <w:szCs w:val="24"/>
        </w:rPr>
      </w:pP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bCs/>
          <w:sz w:val="24"/>
          <w:szCs w:val="24"/>
        </w:rPr>
        <w:t>administreret som 44 mikrogram én gang dagligt reducerer åndenød statistisk signifikant evalueret ved TDI (</w:t>
      </w:r>
      <w:proofErr w:type="spellStart"/>
      <w:r w:rsidRPr="001C2314">
        <w:rPr>
          <w:bCs/>
          <w:sz w:val="24"/>
          <w:szCs w:val="24"/>
        </w:rPr>
        <w:t>Transitional</w:t>
      </w:r>
      <w:proofErr w:type="spellEnd"/>
      <w:r w:rsidRPr="001C2314">
        <w:rPr>
          <w:bCs/>
          <w:sz w:val="24"/>
          <w:szCs w:val="24"/>
        </w:rPr>
        <w:t xml:space="preserve"> </w:t>
      </w:r>
      <w:proofErr w:type="spellStart"/>
      <w:r w:rsidRPr="001C2314">
        <w:rPr>
          <w:bCs/>
          <w:sz w:val="24"/>
          <w:szCs w:val="24"/>
        </w:rPr>
        <w:t>Dyspnoea</w:t>
      </w:r>
      <w:proofErr w:type="spellEnd"/>
      <w:r w:rsidRPr="001C2314">
        <w:rPr>
          <w:bCs/>
          <w:sz w:val="24"/>
          <w:szCs w:val="24"/>
        </w:rPr>
        <w:t xml:space="preserve"> Index). I </w:t>
      </w:r>
      <w:r w:rsidRPr="001C2314">
        <w:rPr>
          <w:bCs/>
          <w:sz w:val="24"/>
          <w:szCs w:val="24"/>
        </w:rPr>
        <w:lastRenderedPageBreak/>
        <w:t xml:space="preserve">en samlet analyse af de pivotale studier på 6 og 12 måneder reagerede en statistisk signifikant større procentdel af patienterne, der fik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med en forbedring på 1 point eller mere i TDI-</w:t>
      </w:r>
      <w:proofErr w:type="spellStart"/>
      <w:r w:rsidRPr="001C2314">
        <w:rPr>
          <w:bCs/>
          <w:sz w:val="24"/>
          <w:szCs w:val="24"/>
        </w:rPr>
        <w:t>fokalscoren</w:t>
      </w:r>
      <w:proofErr w:type="spellEnd"/>
      <w:r w:rsidRPr="001C2314">
        <w:rPr>
          <w:bCs/>
          <w:sz w:val="24"/>
          <w:szCs w:val="24"/>
        </w:rPr>
        <w:t xml:space="preserve"> ved uge 26 sammenlignet med placebo (henholdsvis 58,4 % og 46,4 %, p &lt; 0,001). Disse resultater var svarende til dem, der sås hos patienter på </w:t>
      </w:r>
      <w:proofErr w:type="spellStart"/>
      <w:r w:rsidRPr="001C2314">
        <w:rPr>
          <w:bCs/>
          <w:sz w:val="24"/>
          <w:szCs w:val="24"/>
        </w:rPr>
        <w:t>tiotropium</w:t>
      </w:r>
      <w:proofErr w:type="spellEnd"/>
      <w:r w:rsidRPr="001C2314">
        <w:rPr>
          <w:bCs/>
          <w:sz w:val="24"/>
          <w:szCs w:val="24"/>
        </w:rPr>
        <w:t>, hvor 53,4 % reagerede med en forbedring på 1 point eller mere (p = 0,009 sammenlignet med placebo).</w:t>
      </w:r>
    </w:p>
    <w:p w14:paraId="28F8EE5B" w14:textId="77777777" w:rsidR="002743CF" w:rsidRPr="001C2314" w:rsidRDefault="002743CF" w:rsidP="001C2314">
      <w:pPr>
        <w:ind w:left="851"/>
        <w:rPr>
          <w:bCs/>
          <w:sz w:val="24"/>
          <w:szCs w:val="24"/>
        </w:rPr>
      </w:pPr>
    </w:p>
    <w:p w14:paraId="70DCDEAA" w14:textId="25BE4B56" w:rsidR="002743CF" w:rsidRPr="001C2314" w:rsidRDefault="002743CF" w:rsidP="001C2314">
      <w:pPr>
        <w:ind w:left="851"/>
        <w:rPr>
          <w:bCs/>
          <w:sz w:val="24"/>
          <w:szCs w:val="24"/>
        </w:rPr>
      </w:pP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én gang dagligt har ligeledes vist en statistisk signifikant virkning på helbredsrelateret livskvalitet målt ved hjælp af St. George’s </w:t>
      </w:r>
      <w:proofErr w:type="spellStart"/>
      <w:r w:rsidRPr="001C2314">
        <w:rPr>
          <w:bCs/>
          <w:sz w:val="24"/>
          <w:szCs w:val="24"/>
        </w:rPr>
        <w:t>Respiratory</w:t>
      </w:r>
      <w:proofErr w:type="spellEnd"/>
      <w:r w:rsidRPr="001C2314">
        <w:rPr>
          <w:bCs/>
          <w:sz w:val="24"/>
          <w:szCs w:val="24"/>
        </w:rPr>
        <w:t xml:space="preserve"> </w:t>
      </w:r>
      <w:proofErr w:type="spellStart"/>
      <w:r w:rsidRPr="001C2314">
        <w:rPr>
          <w:bCs/>
          <w:sz w:val="24"/>
          <w:szCs w:val="24"/>
        </w:rPr>
        <w:t>Questionnaire</w:t>
      </w:r>
      <w:proofErr w:type="spellEnd"/>
      <w:r w:rsidRPr="001C2314">
        <w:rPr>
          <w:bCs/>
          <w:sz w:val="24"/>
          <w:szCs w:val="24"/>
        </w:rPr>
        <w:t xml:space="preserve"> (SGRQ). En samlet analyse af de pivotale studier på 6 og 12 måneder viste, at en statistisk signifikant større procentdel af patienter på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reagerede med en forbedring på 4 point eller mere i SGRQ sammenlignet med placebo ved uge 26 (henholdsvis 57,8 % og 47,6 %, p &lt; 0,001). Hos patienter på </w:t>
      </w:r>
      <w:proofErr w:type="spellStart"/>
      <w:r w:rsidRPr="001C2314">
        <w:rPr>
          <w:bCs/>
          <w:sz w:val="24"/>
          <w:szCs w:val="24"/>
        </w:rPr>
        <w:t>tiotropium</w:t>
      </w:r>
      <w:proofErr w:type="spellEnd"/>
      <w:r w:rsidRPr="001C2314">
        <w:rPr>
          <w:bCs/>
          <w:sz w:val="24"/>
          <w:szCs w:val="24"/>
        </w:rPr>
        <w:t xml:space="preserve"> reagerede 61,0 % med en forbedring på 4 point eller mere i SGRQ (p = 0,004 sammenlignet med placebo).</w:t>
      </w:r>
    </w:p>
    <w:p w14:paraId="64571625" w14:textId="77777777" w:rsidR="002743CF" w:rsidRPr="001C2314" w:rsidRDefault="002743CF" w:rsidP="001C2314">
      <w:pPr>
        <w:ind w:left="851"/>
        <w:rPr>
          <w:bCs/>
          <w:sz w:val="24"/>
          <w:szCs w:val="24"/>
        </w:rPr>
      </w:pPr>
    </w:p>
    <w:p w14:paraId="7BF962FA" w14:textId="77777777" w:rsidR="002743CF" w:rsidRPr="001C2314" w:rsidRDefault="002743CF" w:rsidP="001C2314">
      <w:pPr>
        <w:ind w:left="851"/>
        <w:rPr>
          <w:bCs/>
          <w:i/>
          <w:sz w:val="24"/>
          <w:szCs w:val="24"/>
        </w:rPr>
      </w:pPr>
      <w:r w:rsidRPr="001C2314">
        <w:rPr>
          <w:bCs/>
          <w:i/>
          <w:sz w:val="24"/>
          <w:szCs w:val="24"/>
        </w:rPr>
        <w:t>Reduktion i KOL-</w:t>
      </w:r>
      <w:proofErr w:type="spellStart"/>
      <w:r w:rsidRPr="001C2314">
        <w:rPr>
          <w:bCs/>
          <w:i/>
          <w:sz w:val="24"/>
          <w:szCs w:val="24"/>
        </w:rPr>
        <w:t>eksacerbationer</w:t>
      </w:r>
      <w:proofErr w:type="spellEnd"/>
      <w:r w:rsidRPr="001C2314">
        <w:rPr>
          <w:bCs/>
          <w:sz w:val="24"/>
          <w:szCs w:val="24"/>
        </w:rPr>
        <w:t xml:space="preserve"> </w:t>
      </w:r>
    </w:p>
    <w:p w14:paraId="29571359" w14:textId="18186A8C" w:rsidR="002743CF" w:rsidRPr="001C2314" w:rsidRDefault="002743CF" w:rsidP="001C2314">
      <w:pPr>
        <w:ind w:left="851"/>
        <w:rPr>
          <w:bCs/>
          <w:sz w:val="24"/>
          <w:szCs w:val="24"/>
        </w:rPr>
      </w:pPr>
      <w:r w:rsidRPr="001C2314">
        <w:rPr>
          <w:bCs/>
          <w:sz w:val="24"/>
          <w:szCs w:val="24"/>
        </w:rPr>
        <w:t>Data vedrørende KOL-</w:t>
      </w:r>
      <w:proofErr w:type="spellStart"/>
      <w:r w:rsidRPr="001C2314">
        <w:rPr>
          <w:bCs/>
          <w:sz w:val="24"/>
          <w:szCs w:val="24"/>
        </w:rPr>
        <w:t>eksacerbationer</w:t>
      </w:r>
      <w:proofErr w:type="spellEnd"/>
      <w:r w:rsidRPr="001C2314">
        <w:rPr>
          <w:bCs/>
          <w:sz w:val="24"/>
          <w:szCs w:val="24"/>
        </w:rPr>
        <w:t xml:space="preserve"> blev indsamlet i de 6</w:t>
      </w:r>
      <w:r w:rsidRPr="001C2314">
        <w:rPr>
          <w:bCs/>
          <w:sz w:val="24"/>
          <w:szCs w:val="24"/>
        </w:rPr>
        <w:noBreakHyphen/>
        <w:t>måneders og 12</w:t>
      </w:r>
      <w:r w:rsidRPr="001C2314">
        <w:rPr>
          <w:bCs/>
          <w:sz w:val="24"/>
          <w:szCs w:val="24"/>
        </w:rPr>
        <w:noBreakHyphen/>
        <w:t xml:space="preserve">måneders pivotale studier. I begge studier var procentdelen af patienter, der oplevede moderate til svære </w:t>
      </w:r>
      <w:proofErr w:type="spellStart"/>
      <w:r w:rsidRPr="001C2314">
        <w:rPr>
          <w:bCs/>
          <w:sz w:val="24"/>
          <w:szCs w:val="24"/>
        </w:rPr>
        <w:t>eksacerbationer</w:t>
      </w:r>
      <w:proofErr w:type="spellEnd"/>
      <w:r w:rsidRPr="001C2314">
        <w:rPr>
          <w:bCs/>
          <w:sz w:val="24"/>
          <w:szCs w:val="24"/>
        </w:rPr>
        <w:t xml:space="preserve"> (defineret som krævende behandling med systemiske </w:t>
      </w:r>
      <w:proofErr w:type="spellStart"/>
      <w:r w:rsidRPr="001C2314">
        <w:rPr>
          <w:bCs/>
          <w:sz w:val="24"/>
          <w:szCs w:val="24"/>
        </w:rPr>
        <w:t>kortikosteroider</w:t>
      </w:r>
      <w:proofErr w:type="spellEnd"/>
      <w:r w:rsidRPr="001C2314">
        <w:rPr>
          <w:bCs/>
          <w:sz w:val="24"/>
          <w:szCs w:val="24"/>
        </w:rPr>
        <w:t xml:space="preserve"> og/eller antibiotika eller indlæggelse), reduceret. I 6</w:t>
      </w:r>
      <w:r w:rsidRPr="001C2314">
        <w:rPr>
          <w:bCs/>
          <w:sz w:val="24"/>
          <w:szCs w:val="24"/>
        </w:rPr>
        <w:noBreakHyphen/>
        <w:t xml:space="preserve">måneders-studiet var procentdelen af patienter, der oplevede moderate til svære </w:t>
      </w:r>
      <w:proofErr w:type="spellStart"/>
      <w:r w:rsidRPr="001C2314">
        <w:rPr>
          <w:bCs/>
          <w:sz w:val="24"/>
          <w:szCs w:val="24"/>
        </w:rPr>
        <w:t>eksacerbationer</w:t>
      </w:r>
      <w:proofErr w:type="spellEnd"/>
      <w:r w:rsidRPr="001C2314">
        <w:rPr>
          <w:bCs/>
          <w:sz w:val="24"/>
          <w:szCs w:val="24"/>
        </w:rPr>
        <w:t xml:space="preserve">, 17,5 % for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og 24,2 % for placebo (</w:t>
      </w:r>
      <w:proofErr w:type="spellStart"/>
      <w:r w:rsidRPr="001C2314">
        <w:rPr>
          <w:bCs/>
          <w:i/>
          <w:sz w:val="24"/>
          <w:szCs w:val="24"/>
        </w:rPr>
        <w:t>hazard</w:t>
      </w:r>
      <w:proofErr w:type="spellEnd"/>
      <w:r w:rsidRPr="001C2314">
        <w:rPr>
          <w:bCs/>
          <w:sz w:val="24"/>
          <w:szCs w:val="24"/>
        </w:rPr>
        <w:t xml:space="preserve"> ratio: 0,69, p = 0,023), og i 12</w:t>
      </w:r>
      <w:r w:rsidRPr="001C2314">
        <w:rPr>
          <w:bCs/>
          <w:sz w:val="24"/>
          <w:szCs w:val="24"/>
        </w:rPr>
        <w:noBreakHyphen/>
        <w:t xml:space="preserve">måneders-studiet var det 32,8 % for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og 40,2 % for placebo (</w:t>
      </w:r>
      <w:proofErr w:type="spellStart"/>
      <w:r w:rsidRPr="001C2314">
        <w:rPr>
          <w:bCs/>
          <w:i/>
          <w:sz w:val="24"/>
          <w:szCs w:val="24"/>
        </w:rPr>
        <w:t>hazard</w:t>
      </w:r>
      <w:proofErr w:type="spellEnd"/>
      <w:r w:rsidRPr="001C2314">
        <w:rPr>
          <w:bCs/>
          <w:sz w:val="24"/>
          <w:szCs w:val="24"/>
        </w:rPr>
        <w:t xml:space="preserve"> ratio: 0,66, p = 0,001). I en samlet analyse af de første 6 måneders behandling i studierne på 6 og 12 måneder forlængede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bCs/>
          <w:sz w:val="24"/>
          <w:szCs w:val="24"/>
        </w:rPr>
        <w:t xml:space="preserve">statistisk </w:t>
      </w:r>
      <w:proofErr w:type="gramStart"/>
      <w:r w:rsidRPr="001C2314">
        <w:rPr>
          <w:bCs/>
          <w:sz w:val="24"/>
          <w:szCs w:val="24"/>
        </w:rPr>
        <w:t>signifikant varigheden</w:t>
      </w:r>
      <w:proofErr w:type="gramEnd"/>
      <w:r w:rsidRPr="001C2314">
        <w:rPr>
          <w:bCs/>
          <w:sz w:val="24"/>
          <w:szCs w:val="24"/>
        </w:rPr>
        <w:t xml:space="preserve"> til første moderate eller svære </w:t>
      </w:r>
      <w:proofErr w:type="spellStart"/>
      <w:r w:rsidRPr="001C2314">
        <w:rPr>
          <w:bCs/>
          <w:sz w:val="24"/>
          <w:szCs w:val="24"/>
        </w:rPr>
        <w:t>eksacerbation</w:t>
      </w:r>
      <w:proofErr w:type="spellEnd"/>
      <w:r w:rsidRPr="001C2314">
        <w:rPr>
          <w:bCs/>
          <w:sz w:val="24"/>
          <w:szCs w:val="24"/>
        </w:rPr>
        <w:t xml:space="preserve"> og reducerede hyppigheden af moderate eller svære KOL-</w:t>
      </w:r>
      <w:proofErr w:type="spellStart"/>
      <w:r w:rsidRPr="001C2314">
        <w:rPr>
          <w:bCs/>
          <w:sz w:val="24"/>
          <w:szCs w:val="24"/>
        </w:rPr>
        <w:t>eksacerbationer</w:t>
      </w:r>
      <w:proofErr w:type="spellEnd"/>
      <w:r w:rsidRPr="001C2314">
        <w:rPr>
          <w:bCs/>
          <w:sz w:val="24"/>
          <w:szCs w:val="24"/>
        </w:rPr>
        <w:t xml:space="preserve"> sammenlignet med placebo (0,53 </w:t>
      </w:r>
      <w:proofErr w:type="spellStart"/>
      <w:r w:rsidRPr="001C2314">
        <w:rPr>
          <w:bCs/>
          <w:sz w:val="24"/>
          <w:szCs w:val="24"/>
        </w:rPr>
        <w:t>eksacerbationer</w:t>
      </w:r>
      <w:proofErr w:type="spellEnd"/>
      <w:r w:rsidRPr="001C2314">
        <w:rPr>
          <w:bCs/>
          <w:sz w:val="24"/>
          <w:szCs w:val="24"/>
        </w:rPr>
        <w:t>/år mod 0,77 </w:t>
      </w:r>
      <w:proofErr w:type="spellStart"/>
      <w:r w:rsidRPr="001C2314">
        <w:rPr>
          <w:bCs/>
          <w:sz w:val="24"/>
          <w:szCs w:val="24"/>
        </w:rPr>
        <w:t>eksacerbationer</w:t>
      </w:r>
      <w:proofErr w:type="spellEnd"/>
      <w:r w:rsidRPr="001C2314">
        <w:rPr>
          <w:bCs/>
          <w:sz w:val="24"/>
          <w:szCs w:val="24"/>
        </w:rPr>
        <w:t xml:space="preserve">/år, p &lt; 0,001). Den samlede analyse viste også, at færre patienter på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bCs/>
          <w:sz w:val="24"/>
          <w:szCs w:val="24"/>
        </w:rPr>
        <w:t xml:space="preserve">sammenlignet med placebo oplevede en </w:t>
      </w:r>
      <w:proofErr w:type="spellStart"/>
      <w:r w:rsidRPr="001C2314">
        <w:rPr>
          <w:bCs/>
          <w:sz w:val="24"/>
          <w:szCs w:val="24"/>
        </w:rPr>
        <w:t>eksacerbation</w:t>
      </w:r>
      <w:proofErr w:type="spellEnd"/>
      <w:r w:rsidRPr="001C2314">
        <w:rPr>
          <w:bCs/>
          <w:sz w:val="24"/>
          <w:szCs w:val="24"/>
        </w:rPr>
        <w:t xml:space="preserve">, der krævede indlæggelse (1,7 % </w:t>
      </w:r>
      <w:r w:rsidRPr="001C2314">
        <w:rPr>
          <w:bCs/>
          <w:i/>
          <w:sz w:val="24"/>
          <w:szCs w:val="24"/>
        </w:rPr>
        <w:t>vs.</w:t>
      </w:r>
      <w:r w:rsidRPr="001C2314">
        <w:rPr>
          <w:bCs/>
          <w:sz w:val="24"/>
          <w:szCs w:val="24"/>
        </w:rPr>
        <w:t xml:space="preserve"> 4,2 %, p = 0,003).</w:t>
      </w:r>
    </w:p>
    <w:p w14:paraId="0C8E00FF" w14:textId="77777777" w:rsidR="002743CF" w:rsidRPr="001C2314" w:rsidRDefault="002743CF" w:rsidP="001C2314">
      <w:pPr>
        <w:ind w:left="851"/>
        <w:rPr>
          <w:bCs/>
          <w:sz w:val="24"/>
          <w:szCs w:val="24"/>
        </w:rPr>
      </w:pPr>
    </w:p>
    <w:p w14:paraId="3EC8EAF0" w14:textId="77777777" w:rsidR="002743CF" w:rsidRPr="001C2314" w:rsidRDefault="002743CF" w:rsidP="001C2314">
      <w:pPr>
        <w:ind w:left="851"/>
        <w:rPr>
          <w:bCs/>
          <w:i/>
          <w:sz w:val="24"/>
          <w:szCs w:val="24"/>
        </w:rPr>
      </w:pPr>
      <w:r w:rsidRPr="001C2314">
        <w:rPr>
          <w:bCs/>
          <w:i/>
          <w:sz w:val="24"/>
          <w:szCs w:val="24"/>
        </w:rPr>
        <w:t>Andre virkninger</w:t>
      </w:r>
      <w:r w:rsidRPr="001C2314">
        <w:rPr>
          <w:bCs/>
          <w:sz w:val="24"/>
          <w:szCs w:val="24"/>
        </w:rPr>
        <w:t xml:space="preserve"> </w:t>
      </w:r>
    </w:p>
    <w:p w14:paraId="3CE9CAC9" w14:textId="4B7C3E92" w:rsidR="002743CF" w:rsidRPr="001C2314" w:rsidRDefault="002743CF" w:rsidP="001C2314">
      <w:pPr>
        <w:ind w:left="851"/>
        <w:rPr>
          <w:bCs/>
          <w:sz w:val="24"/>
          <w:szCs w:val="24"/>
        </w:rPr>
      </w:pP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én gang dagligt reducerede brugen af </w:t>
      </w:r>
      <w:proofErr w:type="spellStart"/>
      <w:r w:rsidRPr="001C2314">
        <w:rPr>
          <w:bCs/>
          <w:sz w:val="24"/>
          <w:szCs w:val="24"/>
        </w:rPr>
        <w:t>anfaldsmedicin</w:t>
      </w:r>
      <w:proofErr w:type="spellEnd"/>
      <w:r w:rsidRPr="001C2314">
        <w:rPr>
          <w:bCs/>
          <w:sz w:val="24"/>
          <w:szCs w:val="24"/>
        </w:rPr>
        <w:t xml:space="preserve"> (</w:t>
      </w:r>
      <w:proofErr w:type="spellStart"/>
      <w:r w:rsidRPr="001C2314">
        <w:rPr>
          <w:bCs/>
          <w:sz w:val="24"/>
          <w:szCs w:val="24"/>
        </w:rPr>
        <w:t>salbutamol</w:t>
      </w:r>
      <w:proofErr w:type="spellEnd"/>
      <w:r w:rsidRPr="001C2314">
        <w:rPr>
          <w:bCs/>
          <w:sz w:val="24"/>
          <w:szCs w:val="24"/>
        </w:rPr>
        <w:t>) statistisk signifikant med 0,46 sug pr. dag (p = 0,005) i løbet af 26 uger og med 0,37 sug pr. dag (p = 0,039) i løbet af 52 uger sammenlignet med placebo i henholdsvis studierne på 6 og 12 måneder.</w:t>
      </w:r>
    </w:p>
    <w:p w14:paraId="70155370" w14:textId="77777777" w:rsidR="002743CF" w:rsidRPr="001C2314" w:rsidRDefault="002743CF" w:rsidP="001C2314">
      <w:pPr>
        <w:ind w:left="851"/>
        <w:rPr>
          <w:bCs/>
          <w:sz w:val="24"/>
          <w:szCs w:val="24"/>
        </w:rPr>
      </w:pPr>
    </w:p>
    <w:p w14:paraId="7D2EE865" w14:textId="5414A610" w:rsidR="002743CF" w:rsidRPr="001C2314" w:rsidRDefault="002743CF" w:rsidP="001C2314">
      <w:pPr>
        <w:ind w:left="851"/>
        <w:rPr>
          <w:bCs/>
          <w:sz w:val="24"/>
          <w:szCs w:val="24"/>
        </w:rPr>
      </w:pPr>
      <w:r w:rsidRPr="001C2314">
        <w:rPr>
          <w:bCs/>
          <w:sz w:val="24"/>
          <w:szCs w:val="24"/>
        </w:rPr>
        <w:t>I et 3</w:t>
      </w:r>
      <w:r w:rsidRPr="001C2314">
        <w:rPr>
          <w:bCs/>
          <w:sz w:val="24"/>
          <w:szCs w:val="24"/>
        </w:rPr>
        <w:noBreakHyphen/>
        <w:t xml:space="preserve">ugers-studie, hvor fysisk udholdenhed blev undersøgt ved </w:t>
      </w:r>
      <w:proofErr w:type="spellStart"/>
      <w:r w:rsidRPr="001C2314">
        <w:rPr>
          <w:bCs/>
          <w:sz w:val="24"/>
          <w:szCs w:val="24"/>
        </w:rPr>
        <w:t>cykelergometri</w:t>
      </w:r>
      <w:proofErr w:type="spellEnd"/>
      <w:r w:rsidRPr="001C2314">
        <w:rPr>
          <w:bCs/>
          <w:sz w:val="24"/>
          <w:szCs w:val="24"/>
        </w:rPr>
        <w:t xml:space="preserve"> ved submaksimal (80 %) arbejdsbelastning (submaksimal fysisk udholdenhedstest), reducerede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givet om morgenen dynamisk hyperinflation og forbedrede varigheden af den tid patienten kunne motionere fra første dosis og frem. På behandlingens første dag blev den inspiratoriske kapacitet under motion forbedret med 230 ml, og den fysiske udholdenhed blev forbedret med 43 sekunder (en forøgelse på 10 %) sammenlignet med placebo. Efter tre ugers behandling var forbedringen i inspiratorisk kapacitet med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svarende til den første dag (200 ml), mens fysisk udholdenhedstid var forøget med 89 sekunder (en forøgelse på 21 %) sammenlignet med placebo.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bCs/>
          <w:sz w:val="24"/>
          <w:szCs w:val="24"/>
        </w:rPr>
        <w:t xml:space="preserve">viste sig at kunne reducere dyspnø og ubehag i benene under motion målt ved Borg-skalaer.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w:t>
      </w:r>
      <w:r w:rsidRPr="001C2314">
        <w:rPr>
          <w:bCs/>
          <w:sz w:val="24"/>
          <w:szCs w:val="24"/>
        </w:rPr>
        <w:t xml:space="preserve">reducerede ligeledes åndenød i hvile målt ved </w:t>
      </w:r>
      <w:proofErr w:type="spellStart"/>
      <w:r w:rsidRPr="001C2314">
        <w:rPr>
          <w:bCs/>
          <w:sz w:val="24"/>
          <w:szCs w:val="24"/>
        </w:rPr>
        <w:t>Transitional</w:t>
      </w:r>
      <w:proofErr w:type="spellEnd"/>
      <w:r w:rsidRPr="001C2314">
        <w:rPr>
          <w:bCs/>
          <w:sz w:val="24"/>
          <w:szCs w:val="24"/>
        </w:rPr>
        <w:t xml:space="preserve"> </w:t>
      </w:r>
      <w:proofErr w:type="spellStart"/>
      <w:r w:rsidRPr="001C2314">
        <w:rPr>
          <w:bCs/>
          <w:sz w:val="24"/>
          <w:szCs w:val="24"/>
        </w:rPr>
        <w:t>Dyspnoea</w:t>
      </w:r>
      <w:proofErr w:type="spellEnd"/>
      <w:r w:rsidRPr="001C2314">
        <w:rPr>
          <w:bCs/>
          <w:sz w:val="24"/>
          <w:szCs w:val="24"/>
        </w:rPr>
        <w:t xml:space="preserve"> Index. </w:t>
      </w:r>
    </w:p>
    <w:p w14:paraId="0B965C83" w14:textId="77777777" w:rsidR="002743CF" w:rsidRPr="001C2314" w:rsidRDefault="002743CF" w:rsidP="001C2314">
      <w:pPr>
        <w:ind w:left="851"/>
        <w:rPr>
          <w:bCs/>
          <w:sz w:val="24"/>
          <w:szCs w:val="24"/>
        </w:rPr>
      </w:pPr>
    </w:p>
    <w:p w14:paraId="2267BDC5" w14:textId="77777777" w:rsidR="002743CF" w:rsidRPr="001C2314" w:rsidRDefault="002743CF" w:rsidP="001C2314">
      <w:pPr>
        <w:ind w:left="851"/>
        <w:rPr>
          <w:bCs/>
          <w:i/>
          <w:sz w:val="24"/>
          <w:szCs w:val="24"/>
        </w:rPr>
      </w:pPr>
      <w:r w:rsidRPr="001C2314">
        <w:rPr>
          <w:bCs/>
          <w:i/>
          <w:sz w:val="24"/>
          <w:szCs w:val="24"/>
        </w:rPr>
        <w:t xml:space="preserve">Sekundære </w:t>
      </w:r>
      <w:proofErr w:type="spellStart"/>
      <w:r w:rsidRPr="001C2314">
        <w:rPr>
          <w:bCs/>
          <w:i/>
          <w:sz w:val="24"/>
          <w:szCs w:val="24"/>
        </w:rPr>
        <w:t>farmakodynamiske</w:t>
      </w:r>
      <w:proofErr w:type="spellEnd"/>
      <w:r w:rsidRPr="001C2314">
        <w:rPr>
          <w:bCs/>
          <w:i/>
          <w:sz w:val="24"/>
          <w:szCs w:val="24"/>
        </w:rPr>
        <w:t xml:space="preserve"> virkninger </w:t>
      </w:r>
    </w:p>
    <w:p w14:paraId="00E8008B" w14:textId="384D370D" w:rsidR="002743CF" w:rsidRPr="001C2314" w:rsidRDefault="002743CF" w:rsidP="001C2314">
      <w:pPr>
        <w:ind w:left="851"/>
        <w:rPr>
          <w:bCs/>
          <w:sz w:val="24"/>
          <w:szCs w:val="24"/>
        </w:rPr>
      </w:pPr>
      <w:r w:rsidRPr="001C2314">
        <w:rPr>
          <w:bCs/>
          <w:sz w:val="24"/>
          <w:szCs w:val="24"/>
        </w:rPr>
        <w:t xml:space="preserve">Der blev ikke observeret ændringer i middelhjertefrekvens eller </w:t>
      </w:r>
      <w:proofErr w:type="spellStart"/>
      <w:r w:rsidRPr="001C2314">
        <w:rPr>
          <w:bCs/>
          <w:sz w:val="24"/>
          <w:szCs w:val="24"/>
        </w:rPr>
        <w:t>QTc</w:t>
      </w:r>
      <w:proofErr w:type="spellEnd"/>
      <w:r w:rsidRPr="001C2314">
        <w:rPr>
          <w:bCs/>
          <w:sz w:val="24"/>
          <w:szCs w:val="24"/>
        </w:rPr>
        <w:t xml:space="preserve">-interval med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bCs/>
          <w:sz w:val="24"/>
          <w:szCs w:val="24"/>
        </w:rPr>
        <w:t xml:space="preserve"> i doser på op til 176 mikrogram hos KOL-patienter. I et dedikeret QT-studie med 73 raske forsøgspersoner forlængede en enkelt inhaleret dosis på 352 mikrogram af </w:t>
      </w:r>
      <w:proofErr w:type="spellStart"/>
      <w:r w:rsidRPr="001C2314">
        <w:rPr>
          <w:bCs/>
          <w:sz w:val="24"/>
          <w:szCs w:val="24"/>
        </w:rPr>
        <w:t>glycopyrronium</w:t>
      </w:r>
      <w:proofErr w:type="spellEnd"/>
      <w:r w:rsidRPr="001C2314">
        <w:rPr>
          <w:bCs/>
          <w:sz w:val="24"/>
          <w:szCs w:val="24"/>
        </w:rPr>
        <w:t xml:space="preserve"> (8 gange den terapeutisk dosis) ikke </w:t>
      </w:r>
      <w:proofErr w:type="spellStart"/>
      <w:r w:rsidRPr="001C2314">
        <w:rPr>
          <w:bCs/>
          <w:sz w:val="24"/>
          <w:szCs w:val="24"/>
        </w:rPr>
        <w:t>QTc</w:t>
      </w:r>
      <w:proofErr w:type="spellEnd"/>
      <w:r w:rsidRPr="001C2314">
        <w:rPr>
          <w:bCs/>
          <w:sz w:val="24"/>
          <w:szCs w:val="24"/>
        </w:rPr>
        <w:t xml:space="preserve">-intervallet og reducerede hjertefrekvensen lidt (maksimal virkning </w:t>
      </w:r>
      <w:r w:rsidRPr="001C2314">
        <w:rPr>
          <w:bCs/>
          <w:sz w:val="24"/>
          <w:szCs w:val="24"/>
        </w:rPr>
        <w:noBreakHyphen/>
        <w:t xml:space="preserve">5,9 slag pr. minut; gennemsnitlig virkning over 24 timer </w:t>
      </w:r>
      <w:r w:rsidRPr="001C2314">
        <w:rPr>
          <w:bCs/>
          <w:sz w:val="24"/>
          <w:szCs w:val="24"/>
        </w:rPr>
        <w:noBreakHyphen/>
        <w:t xml:space="preserve">2,8 slag pr. minut) sammenlignet med placebo. Virkningen på hjertefrekvens og </w:t>
      </w:r>
      <w:proofErr w:type="spellStart"/>
      <w:r w:rsidRPr="001C2314">
        <w:rPr>
          <w:bCs/>
          <w:sz w:val="24"/>
          <w:szCs w:val="24"/>
        </w:rPr>
        <w:t>QTc</w:t>
      </w:r>
      <w:proofErr w:type="spellEnd"/>
      <w:r w:rsidRPr="001C2314">
        <w:rPr>
          <w:bCs/>
          <w:sz w:val="24"/>
          <w:szCs w:val="24"/>
        </w:rPr>
        <w:t xml:space="preserve">-interval for 150 mikrogram </w:t>
      </w:r>
      <w:proofErr w:type="spellStart"/>
      <w:r w:rsidRPr="001C2314">
        <w:rPr>
          <w:bCs/>
          <w:sz w:val="24"/>
          <w:szCs w:val="24"/>
        </w:rPr>
        <w:t>glycopyrroniumbromid</w:t>
      </w:r>
      <w:proofErr w:type="spellEnd"/>
      <w:r w:rsidRPr="001C2314">
        <w:rPr>
          <w:bCs/>
          <w:sz w:val="24"/>
          <w:szCs w:val="24"/>
        </w:rPr>
        <w:t xml:space="preserve"> (svarende til 120 mikrogram </w:t>
      </w:r>
      <w:proofErr w:type="spellStart"/>
      <w:r w:rsidRPr="001C2314">
        <w:rPr>
          <w:bCs/>
          <w:sz w:val="24"/>
          <w:szCs w:val="24"/>
        </w:rPr>
        <w:t>glycopyrronium</w:t>
      </w:r>
      <w:proofErr w:type="spellEnd"/>
      <w:r w:rsidRPr="001C2314">
        <w:rPr>
          <w:bCs/>
          <w:sz w:val="24"/>
          <w:szCs w:val="24"/>
        </w:rPr>
        <w:t>), administreret intravenøst, blev undersøgt hos unge raske forsøgspersoner. Maksimal eksponering (</w:t>
      </w:r>
      <w:proofErr w:type="spellStart"/>
      <w:r w:rsidRPr="001C2314">
        <w:rPr>
          <w:bCs/>
          <w:sz w:val="24"/>
          <w:szCs w:val="24"/>
        </w:rPr>
        <w:t>C</w:t>
      </w:r>
      <w:r w:rsidRPr="001C2314">
        <w:rPr>
          <w:bCs/>
          <w:sz w:val="24"/>
          <w:szCs w:val="24"/>
          <w:vertAlign w:val="subscript"/>
        </w:rPr>
        <w:t>max</w:t>
      </w:r>
      <w:proofErr w:type="spellEnd"/>
      <w:r w:rsidRPr="001C2314">
        <w:rPr>
          <w:bCs/>
          <w:sz w:val="24"/>
          <w:szCs w:val="24"/>
        </w:rPr>
        <w:t xml:space="preserve">) på omkring 50 gange større end efter inhalation af </w:t>
      </w:r>
      <w:proofErr w:type="spellStart"/>
      <w:r w:rsidRPr="001C2314">
        <w:rPr>
          <w:bCs/>
          <w:sz w:val="24"/>
          <w:szCs w:val="24"/>
        </w:rPr>
        <w:t>glycopyrronum</w:t>
      </w:r>
      <w:proofErr w:type="spellEnd"/>
      <w:r w:rsidRPr="001C2314">
        <w:rPr>
          <w:bCs/>
          <w:sz w:val="24"/>
          <w:szCs w:val="24"/>
        </w:rPr>
        <w:t xml:space="preserve"> 44 mikrogram ved </w:t>
      </w:r>
      <w:r w:rsidRPr="001C2314">
        <w:rPr>
          <w:bCs/>
          <w:i/>
          <w:iCs/>
          <w:noProof/>
          <w:sz w:val="24"/>
          <w:szCs w:val="24"/>
        </w:rPr>
        <w:t>steady state</w:t>
      </w:r>
      <w:r w:rsidRPr="001C2314">
        <w:rPr>
          <w:bCs/>
          <w:sz w:val="24"/>
          <w:szCs w:val="24"/>
        </w:rPr>
        <w:t xml:space="preserve"> blev opnået og medførte ikke </w:t>
      </w:r>
      <w:proofErr w:type="spellStart"/>
      <w:r w:rsidRPr="001C2314">
        <w:rPr>
          <w:bCs/>
          <w:sz w:val="24"/>
          <w:szCs w:val="24"/>
        </w:rPr>
        <w:t>takykardi</w:t>
      </w:r>
      <w:proofErr w:type="spellEnd"/>
      <w:r w:rsidRPr="001C2314">
        <w:rPr>
          <w:bCs/>
          <w:sz w:val="24"/>
          <w:szCs w:val="24"/>
        </w:rPr>
        <w:t xml:space="preserve"> eller </w:t>
      </w:r>
      <w:proofErr w:type="spellStart"/>
      <w:r w:rsidRPr="001C2314">
        <w:rPr>
          <w:bCs/>
          <w:sz w:val="24"/>
          <w:szCs w:val="24"/>
        </w:rPr>
        <w:t>QTc</w:t>
      </w:r>
      <w:proofErr w:type="spellEnd"/>
      <w:r w:rsidRPr="001C2314">
        <w:rPr>
          <w:bCs/>
          <w:sz w:val="24"/>
          <w:szCs w:val="24"/>
        </w:rPr>
        <w:t xml:space="preserve">-forlængelse. Der blev observeret en mindre reduktion i hjertefrekvens (middelforskel over 24 timer var </w:t>
      </w:r>
      <w:r w:rsidRPr="001C2314">
        <w:rPr>
          <w:bCs/>
          <w:sz w:val="24"/>
          <w:szCs w:val="24"/>
        </w:rPr>
        <w:noBreakHyphen/>
        <w:t xml:space="preserve">2 slag pr. minut ved sammenligning med placebo), hvilket er en kendt virkning af lave eksponeringer for </w:t>
      </w:r>
      <w:proofErr w:type="spellStart"/>
      <w:r w:rsidRPr="001C2314">
        <w:rPr>
          <w:bCs/>
          <w:sz w:val="24"/>
          <w:szCs w:val="24"/>
        </w:rPr>
        <w:t>antikolinerge</w:t>
      </w:r>
      <w:proofErr w:type="spellEnd"/>
      <w:r w:rsidRPr="001C2314">
        <w:rPr>
          <w:bCs/>
          <w:sz w:val="24"/>
          <w:szCs w:val="24"/>
        </w:rPr>
        <w:t xml:space="preserve"> stoffer hos unge raske forsøgspersoner. </w:t>
      </w:r>
    </w:p>
    <w:p w14:paraId="5F697D08" w14:textId="77777777" w:rsidR="002743CF" w:rsidRPr="001C2314" w:rsidRDefault="002743CF" w:rsidP="001C2314">
      <w:pPr>
        <w:ind w:left="851"/>
        <w:rPr>
          <w:bCs/>
          <w:sz w:val="24"/>
          <w:szCs w:val="24"/>
        </w:rPr>
      </w:pPr>
    </w:p>
    <w:p w14:paraId="6CEE8002" w14:textId="77777777" w:rsidR="002743CF" w:rsidRPr="001C2314" w:rsidRDefault="002743CF" w:rsidP="001C2314">
      <w:pPr>
        <w:ind w:left="851"/>
        <w:rPr>
          <w:bCs/>
          <w:sz w:val="24"/>
          <w:szCs w:val="24"/>
          <w:u w:val="single"/>
        </w:rPr>
      </w:pPr>
      <w:r w:rsidRPr="001C2314">
        <w:rPr>
          <w:bCs/>
          <w:sz w:val="24"/>
          <w:szCs w:val="24"/>
          <w:u w:val="single"/>
        </w:rPr>
        <w:t>Pædiatrisk population</w:t>
      </w:r>
    </w:p>
    <w:p w14:paraId="14B1CBCF" w14:textId="77777777" w:rsidR="002743CF" w:rsidRPr="001C2314" w:rsidRDefault="002743CF" w:rsidP="001C2314">
      <w:pPr>
        <w:ind w:left="851"/>
        <w:rPr>
          <w:sz w:val="24"/>
          <w:szCs w:val="24"/>
          <w:u w:val="single"/>
        </w:rPr>
      </w:pPr>
    </w:p>
    <w:p w14:paraId="03E47A14" w14:textId="3022A16A" w:rsidR="002743CF" w:rsidRPr="001C2314" w:rsidRDefault="002743CF" w:rsidP="001C2314">
      <w:pPr>
        <w:ind w:left="851"/>
        <w:rPr>
          <w:rFonts w:eastAsia="SimSun"/>
          <w:sz w:val="24"/>
          <w:szCs w:val="24"/>
          <w:lang w:eastAsia="zh-CN"/>
        </w:rPr>
      </w:pPr>
      <w:r w:rsidRPr="001C2314">
        <w:rPr>
          <w:sz w:val="24"/>
          <w:szCs w:val="24"/>
        </w:rPr>
        <w:t xml:space="preserve">Det Europæiske Lægemiddelagentur </w:t>
      </w:r>
      <w:r w:rsidRPr="001C2314">
        <w:rPr>
          <w:rFonts w:eastAsia="SimSun"/>
          <w:sz w:val="24"/>
          <w:szCs w:val="24"/>
          <w:lang w:eastAsia="zh-CN"/>
        </w:rPr>
        <w:t xml:space="preserve">har dispenseret fra kravet om at fremlægge resultaterne af studier med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rFonts w:eastAsia="SimSun"/>
          <w:sz w:val="24"/>
          <w:szCs w:val="24"/>
          <w:lang w:eastAsia="zh-CN"/>
        </w:rPr>
        <w:t xml:space="preserve"> i alle undergrupper af den pædiatriske population </w:t>
      </w:r>
      <w:r w:rsidRPr="001C2314">
        <w:rPr>
          <w:sz w:val="24"/>
          <w:szCs w:val="24"/>
        </w:rPr>
        <w:t>med KOL</w:t>
      </w:r>
      <w:r w:rsidRPr="001C2314">
        <w:rPr>
          <w:rFonts w:eastAsia="SimSun"/>
          <w:iCs/>
          <w:sz w:val="24"/>
          <w:szCs w:val="24"/>
          <w:lang w:eastAsia="zh-CN"/>
        </w:rPr>
        <w:t xml:space="preserve"> </w:t>
      </w:r>
      <w:r w:rsidRPr="001C2314">
        <w:rPr>
          <w:rFonts w:eastAsia="SimSun"/>
          <w:sz w:val="24"/>
          <w:szCs w:val="24"/>
          <w:lang w:eastAsia="zh-CN"/>
        </w:rPr>
        <w:t xml:space="preserve">(se pkt. 4.2 for </w:t>
      </w:r>
      <w:r w:rsidRPr="001C2314">
        <w:rPr>
          <w:sz w:val="24"/>
          <w:szCs w:val="24"/>
        </w:rPr>
        <w:t>oplysninger</w:t>
      </w:r>
      <w:r w:rsidRPr="001C2314">
        <w:rPr>
          <w:rFonts w:eastAsia="SimSun"/>
          <w:sz w:val="24"/>
          <w:szCs w:val="24"/>
          <w:lang w:eastAsia="zh-CN"/>
        </w:rPr>
        <w:t xml:space="preserve"> om pædiatrisk anvendelse).</w:t>
      </w:r>
    </w:p>
    <w:p w14:paraId="245EF300" w14:textId="77777777" w:rsidR="009260DE" w:rsidRPr="001C2314" w:rsidRDefault="009260DE" w:rsidP="009260DE">
      <w:pPr>
        <w:tabs>
          <w:tab w:val="left" w:pos="851"/>
        </w:tabs>
        <w:ind w:left="851"/>
        <w:rPr>
          <w:sz w:val="24"/>
          <w:szCs w:val="24"/>
        </w:rPr>
      </w:pPr>
    </w:p>
    <w:p w14:paraId="699D1F90" w14:textId="77777777" w:rsidR="009260DE" w:rsidRPr="001C2314" w:rsidRDefault="009260DE" w:rsidP="009260DE">
      <w:pPr>
        <w:tabs>
          <w:tab w:val="left" w:pos="851"/>
        </w:tabs>
        <w:ind w:left="851" w:hanging="851"/>
        <w:rPr>
          <w:b/>
          <w:sz w:val="24"/>
          <w:szCs w:val="24"/>
        </w:rPr>
      </w:pPr>
      <w:r w:rsidRPr="001C2314">
        <w:rPr>
          <w:b/>
          <w:sz w:val="24"/>
          <w:szCs w:val="24"/>
        </w:rPr>
        <w:t>5.2</w:t>
      </w:r>
      <w:r w:rsidRPr="001C2314">
        <w:rPr>
          <w:b/>
          <w:sz w:val="24"/>
          <w:szCs w:val="24"/>
        </w:rPr>
        <w:tab/>
      </w:r>
      <w:proofErr w:type="spellStart"/>
      <w:r w:rsidRPr="001C2314">
        <w:rPr>
          <w:b/>
          <w:sz w:val="24"/>
          <w:szCs w:val="24"/>
        </w:rPr>
        <w:t>Farmakokinetiske</w:t>
      </w:r>
      <w:proofErr w:type="spellEnd"/>
      <w:r w:rsidRPr="001C2314">
        <w:rPr>
          <w:b/>
          <w:sz w:val="24"/>
          <w:szCs w:val="24"/>
        </w:rPr>
        <w:t xml:space="preserve"> egenskaber</w:t>
      </w:r>
    </w:p>
    <w:p w14:paraId="0F272C9B" w14:textId="77777777" w:rsidR="00644B42" w:rsidRDefault="00644B42" w:rsidP="001C2314">
      <w:pPr>
        <w:ind w:left="851"/>
        <w:rPr>
          <w:sz w:val="24"/>
          <w:szCs w:val="24"/>
          <w:u w:val="single"/>
        </w:rPr>
      </w:pPr>
    </w:p>
    <w:p w14:paraId="3FED9FF6" w14:textId="3D916D9E" w:rsidR="002743CF" w:rsidRPr="001C2314" w:rsidRDefault="002743CF" w:rsidP="001C2314">
      <w:pPr>
        <w:ind w:left="851"/>
        <w:rPr>
          <w:sz w:val="24"/>
          <w:szCs w:val="24"/>
          <w:u w:val="single"/>
        </w:rPr>
      </w:pPr>
      <w:r w:rsidRPr="001C2314">
        <w:rPr>
          <w:sz w:val="24"/>
          <w:szCs w:val="24"/>
          <w:u w:val="single"/>
        </w:rPr>
        <w:t>Absorption</w:t>
      </w:r>
    </w:p>
    <w:p w14:paraId="1A1E7B42" w14:textId="293EFC38" w:rsidR="002743CF" w:rsidRPr="001C2314" w:rsidRDefault="002743CF" w:rsidP="001C2314">
      <w:pPr>
        <w:ind w:left="851"/>
        <w:rPr>
          <w:sz w:val="24"/>
          <w:szCs w:val="24"/>
        </w:rPr>
      </w:pPr>
      <w:r w:rsidRPr="001C2314">
        <w:rPr>
          <w:sz w:val="24"/>
          <w:szCs w:val="24"/>
        </w:rPr>
        <w:t xml:space="preserve">Efter oral inhalation med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 xml:space="preserve">Medical </w:t>
      </w:r>
      <w:proofErr w:type="spellStart"/>
      <w:r w:rsidRPr="001C2314">
        <w:rPr>
          <w:sz w:val="24"/>
          <w:szCs w:val="24"/>
        </w:rPr>
        <w:t>Valley</w:t>
      </w:r>
      <w:r w:rsidR="003D2392">
        <w:rPr>
          <w:sz w:val="24"/>
          <w:szCs w:val="24"/>
        </w:rPr>
        <w:t>"</w:t>
      </w:r>
      <w:r w:rsidRPr="001C2314">
        <w:rPr>
          <w:sz w:val="24"/>
          <w:szCs w:val="24"/>
        </w:rPr>
        <w:t>-inhalatoren</w:t>
      </w:r>
      <w:proofErr w:type="spellEnd"/>
      <w:r w:rsidRPr="001C2314">
        <w:rPr>
          <w:sz w:val="24"/>
          <w:szCs w:val="24"/>
        </w:rPr>
        <w:t xml:space="preserve"> blev </w:t>
      </w:r>
      <w:proofErr w:type="spellStart"/>
      <w:r w:rsidRPr="001C2314">
        <w:rPr>
          <w:sz w:val="24"/>
          <w:szCs w:val="24"/>
        </w:rPr>
        <w:t>glycopyrronium</w:t>
      </w:r>
      <w:proofErr w:type="spellEnd"/>
      <w:r w:rsidRPr="001C2314">
        <w:rPr>
          <w:sz w:val="24"/>
          <w:szCs w:val="24"/>
        </w:rPr>
        <w:t xml:space="preserve"> hurtigt absorberet og nåede maksimale plasmaniveauer 5 minutter efter dosis. </w:t>
      </w:r>
    </w:p>
    <w:p w14:paraId="1E6B531E" w14:textId="77777777" w:rsidR="002743CF" w:rsidRPr="001C2314" w:rsidRDefault="002743CF" w:rsidP="001C2314">
      <w:pPr>
        <w:ind w:left="851"/>
        <w:rPr>
          <w:sz w:val="24"/>
          <w:szCs w:val="24"/>
        </w:rPr>
      </w:pPr>
      <w:r w:rsidRPr="001C2314">
        <w:rPr>
          <w:sz w:val="24"/>
          <w:szCs w:val="24"/>
        </w:rPr>
        <w:t xml:space="preserve"> </w:t>
      </w:r>
    </w:p>
    <w:p w14:paraId="16606BF6" w14:textId="360D1AFB" w:rsidR="002743CF" w:rsidRPr="001C2314" w:rsidRDefault="002743CF" w:rsidP="001C2314">
      <w:pPr>
        <w:ind w:left="851"/>
        <w:rPr>
          <w:sz w:val="24"/>
          <w:szCs w:val="24"/>
        </w:rPr>
      </w:pPr>
      <w:r w:rsidRPr="001C2314">
        <w:rPr>
          <w:sz w:val="24"/>
          <w:szCs w:val="24"/>
        </w:rPr>
        <w:t xml:space="preserve">Den absolutte biotilgængelighed for </w:t>
      </w:r>
      <w:proofErr w:type="spellStart"/>
      <w:r w:rsidRPr="001C2314">
        <w:rPr>
          <w:sz w:val="24"/>
          <w:szCs w:val="24"/>
        </w:rPr>
        <w:t>glycopyrronium</w:t>
      </w:r>
      <w:proofErr w:type="spellEnd"/>
      <w:r w:rsidRPr="001C2314">
        <w:rPr>
          <w:sz w:val="24"/>
          <w:szCs w:val="24"/>
        </w:rPr>
        <w:t xml:space="preserve">, inhaleret med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blev estimeret til ca. 45 % af leveret dosis. Omkring 90 % af den systemiske eksponering efter inhalation skyldes absorption i lungerne, 10 % skyldes </w:t>
      </w:r>
      <w:proofErr w:type="spellStart"/>
      <w:r w:rsidRPr="001C2314">
        <w:rPr>
          <w:sz w:val="24"/>
          <w:szCs w:val="24"/>
        </w:rPr>
        <w:t>gastrointestinal</w:t>
      </w:r>
      <w:proofErr w:type="spellEnd"/>
      <w:r w:rsidRPr="001C2314">
        <w:rPr>
          <w:sz w:val="24"/>
          <w:szCs w:val="24"/>
        </w:rPr>
        <w:t xml:space="preserve"> absorption. </w:t>
      </w:r>
    </w:p>
    <w:p w14:paraId="0C1A697A" w14:textId="77777777" w:rsidR="002743CF" w:rsidRPr="001C2314" w:rsidRDefault="002743CF" w:rsidP="001C2314">
      <w:pPr>
        <w:ind w:left="851"/>
        <w:rPr>
          <w:sz w:val="24"/>
          <w:szCs w:val="24"/>
        </w:rPr>
      </w:pPr>
      <w:r w:rsidRPr="001C2314">
        <w:rPr>
          <w:sz w:val="24"/>
          <w:szCs w:val="24"/>
        </w:rPr>
        <w:t xml:space="preserve"> </w:t>
      </w:r>
    </w:p>
    <w:p w14:paraId="6C4D2E22" w14:textId="77777777" w:rsidR="002743CF" w:rsidRPr="001C2314" w:rsidRDefault="002743CF" w:rsidP="001C2314">
      <w:pPr>
        <w:ind w:left="851"/>
        <w:rPr>
          <w:sz w:val="24"/>
          <w:szCs w:val="24"/>
        </w:rPr>
      </w:pPr>
      <w:r w:rsidRPr="001C2314">
        <w:rPr>
          <w:sz w:val="24"/>
          <w:szCs w:val="24"/>
        </w:rPr>
        <w:t xml:space="preserve">Hos patienter med KOL blev den </w:t>
      </w:r>
      <w:proofErr w:type="spellStart"/>
      <w:r w:rsidRPr="001C2314">
        <w:rPr>
          <w:sz w:val="24"/>
          <w:szCs w:val="24"/>
        </w:rPr>
        <w:t>farmakokinetiske</w:t>
      </w:r>
      <w:proofErr w:type="spellEnd"/>
      <w:r w:rsidRPr="001C2314">
        <w:rPr>
          <w:sz w:val="24"/>
          <w:szCs w:val="24"/>
        </w:rPr>
        <w:t xml:space="preserve"> </w:t>
      </w:r>
      <w:proofErr w:type="spellStart"/>
      <w:r w:rsidRPr="001C2314">
        <w:rPr>
          <w:i/>
          <w:iCs/>
          <w:sz w:val="24"/>
          <w:szCs w:val="24"/>
        </w:rPr>
        <w:t>steady</w:t>
      </w:r>
      <w:proofErr w:type="spellEnd"/>
      <w:r w:rsidRPr="001C2314">
        <w:rPr>
          <w:i/>
          <w:iCs/>
          <w:sz w:val="24"/>
          <w:szCs w:val="24"/>
        </w:rPr>
        <w:t xml:space="preserve"> </w:t>
      </w:r>
      <w:proofErr w:type="spellStart"/>
      <w:r w:rsidRPr="001C2314">
        <w:rPr>
          <w:i/>
          <w:iCs/>
          <w:sz w:val="24"/>
          <w:szCs w:val="24"/>
        </w:rPr>
        <w:t>state</w:t>
      </w:r>
      <w:proofErr w:type="spellEnd"/>
      <w:r w:rsidRPr="001C2314">
        <w:rPr>
          <w:sz w:val="24"/>
          <w:szCs w:val="24"/>
        </w:rPr>
        <w:t xml:space="preserve"> for </w:t>
      </w:r>
      <w:proofErr w:type="spellStart"/>
      <w:r w:rsidRPr="001C2314">
        <w:rPr>
          <w:sz w:val="24"/>
          <w:szCs w:val="24"/>
        </w:rPr>
        <w:t>glycopyrronium</w:t>
      </w:r>
      <w:proofErr w:type="spellEnd"/>
      <w:r w:rsidRPr="001C2314">
        <w:rPr>
          <w:sz w:val="24"/>
          <w:szCs w:val="24"/>
        </w:rPr>
        <w:t xml:space="preserve"> nået inden for en uge efter behandlingsstart. Gennemsnitlige maksimal og minimum plasmakoncentrationer af </w:t>
      </w:r>
      <w:proofErr w:type="spellStart"/>
      <w:r w:rsidRPr="001C2314">
        <w:rPr>
          <w:sz w:val="24"/>
          <w:szCs w:val="24"/>
        </w:rPr>
        <w:t>glycopyrronium</w:t>
      </w:r>
      <w:proofErr w:type="spellEnd"/>
      <w:r w:rsidRPr="001C2314">
        <w:rPr>
          <w:sz w:val="24"/>
          <w:szCs w:val="24"/>
        </w:rPr>
        <w:t xml:space="preserve"> for et dosisregime på 44 mikrogram én gang dagligt ved </w:t>
      </w:r>
      <w:proofErr w:type="spellStart"/>
      <w:r w:rsidRPr="001C2314">
        <w:rPr>
          <w:i/>
          <w:iCs/>
          <w:sz w:val="24"/>
          <w:szCs w:val="24"/>
        </w:rPr>
        <w:t>steady</w:t>
      </w:r>
      <w:proofErr w:type="spellEnd"/>
      <w:r w:rsidRPr="001C2314">
        <w:rPr>
          <w:i/>
          <w:iCs/>
          <w:sz w:val="24"/>
          <w:szCs w:val="24"/>
        </w:rPr>
        <w:t xml:space="preserve"> </w:t>
      </w:r>
      <w:proofErr w:type="spellStart"/>
      <w:r w:rsidRPr="001C2314">
        <w:rPr>
          <w:i/>
          <w:iCs/>
          <w:sz w:val="24"/>
          <w:szCs w:val="24"/>
        </w:rPr>
        <w:t>state</w:t>
      </w:r>
      <w:proofErr w:type="spellEnd"/>
      <w:r w:rsidRPr="001C2314">
        <w:rPr>
          <w:sz w:val="24"/>
          <w:szCs w:val="24"/>
        </w:rPr>
        <w:t xml:space="preserve"> var henholdsvis 166 picogram/ml og 8 picogram/ml. </w:t>
      </w:r>
      <w:proofErr w:type="spellStart"/>
      <w:r w:rsidRPr="001C2314">
        <w:rPr>
          <w:i/>
          <w:iCs/>
          <w:sz w:val="24"/>
          <w:szCs w:val="24"/>
        </w:rPr>
        <w:t>Steady</w:t>
      </w:r>
      <w:proofErr w:type="spellEnd"/>
      <w:r w:rsidRPr="001C2314">
        <w:rPr>
          <w:i/>
          <w:iCs/>
          <w:sz w:val="24"/>
          <w:szCs w:val="24"/>
        </w:rPr>
        <w:t xml:space="preserve"> state</w:t>
      </w:r>
      <w:r w:rsidRPr="001C2314">
        <w:rPr>
          <w:sz w:val="24"/>
          <w:szCs w:val="24"/>
        </w:rPr>
        <w:t xml:space="preserve">-eksponering for </w:t>
      </w:r>
      <w:proofErr w:type="spellStart"/>
      <w:r w:rsidRPr="001C2314">
        <w:rPr>
          <w:sz w:val="24"/>
          <w:szCs w:val="24"/>
        </w:rPr>
        <w:t>glycopyrronium</w:t>
      </w:r>
      <w:proofErr w:type="spellEnd"/>
      <w:r w:rsidRPr="001C2314">
        <w:rPr>
          <w:sz w:val="24"/>
          <w:szCs w:val="24"/>
        </w:rPr>
        <w:t xml:space="preserve"> (AUC i løbet af dosisregimet på 24 timer) var ca. 1,4 til 1,7 gange større end efter første dosis. </w:t>
      </w:r>
    </w:p>
    <w:p w14:paraId="67EFACC2" w14:textId="77777777" w:rsidR="002743CF" w:rsidRPr="001C2314" w:rsidRDefault="002743CF" w:rsidP="001C2314">
      <w:pPr>
        <w:ind w:left="851"/>
        <w:rPr>
          <w:sz w:val="24"/>
          <w:szCs w:val="24"/>
          <w:u w:val="single"/>
        </w:rPr>
      </w:pPr>
    </w:p>
    <w:p w14:paraId="70C38995" w14:textId="77777777" w:rsidR="002743CF" w:rsidRPr="001C2314" w:rsidRDefault="002743CF" w:rsidP="001C2314">
      <w:pPr>
        <w:ind w:left="851"/>
        <w:rPr>
          <w:sz w:val="24"/>
          <w:szCs w:val="24"/>
          <w:u w:val="single"/>
        </w:rPr>
      </w:pPr>
      <w:r w:rsidRPr="001C2314">
        <w:rPr>
          <w:sz w:val="24"/>
          <w:szCs w:val="24"/>
          <w:u w:val="single"/>
        </w:rPr>
        <w:t>Fordeling</w:t>
      </w:r>
    </w:p>
    <w:p w14:paraId="188203AE" w14:textId="77777777" w:rsidR="002743CF" w:rsidRPr="001C2314" w:rsidRDefault="002743CF" w:rsidP="001C2314">
      <w:pPr>
        <w:ind w:left="851"/>
        <w:rPr>
          <w:sz w:val="24"/>
          <w:szCs w:val="24"/>
        </w:rPr>
      </w:pPr>
      <w:r w:rsidRPr="001C2314">
        <w:rPr>
          <w:sz w:val="24"/>
          <w:szCs w:val="24"/>
        </w:rPr>
        <w:t xml:space="preserve">Efter intravenøs dosering var fordelingsvolumen af </w:t>
      </w:r>
      <w:proofErr w:type="spellStart"/>
      <w:r w:rsidRPr="001C2314">
        <w:rPr>
          <w:sz w:val="24"/>
          <w:szCs w:val="24"/>
        </w:rPr>
        <w:t>glycopyrronium</w:t>
      </w:r>
      <w:proofErr w:type="spellEnd"/>
      <w:r w:rsidRPr="001C2314">
        <w:rPr>
          <w:sz w:val="24"/>
          <w:szCs w:val="24"/>
        </w:rPr>
        <w:t xml:space="preserve"> ved </w:t>
      </w:r>
      <w:proofErr w:type="spellStart"/>
      <w:r w:rsidRPr="001C2314">
        <w:rPr>
          <w:i/>
          <w:iCs/>
          <w:sz w:val="24"/>
          <w:szCs w:val="24"/>
        </w:rPr>
        <w:t>steady</w:t>
      </w:r>
      <w:proofErr w:type="spellEnd"/>
      <w:r w:rsidRPr="001C2314">
        <w:rPr>
          <w:i/>
          <w:iCs/>
          <w:sz w:val="24"/>
          <w:szCs w:val="24"/>
        </w:rPr>
        <w:t xml:space="preserve"> </w:t>
      </w:r>
      <w:proofErr w:type="spellStart"/>
      <w:r w:rsidRPr="001C2314">
        <w:rPr>
          <w:i/>
          <w:iCs/>
          <w:sz w:val="24"/>
          <w:szCs w:val="24"/>
        </w:rPr>
        <w:t>state</w:t>
      </w:r>
      <w:proofErr w:type="spellEnd"/>
      <w:r w:rsidRPr="001C2314">
        <w:rPr>
          <w:sz w:val="24"/>
          <w:szCs w:val="24"/>
        </w:rPr>
        <w:t xml:space="preserve"> 83 liter, og fordelingsvolumen i den terminale fase var 376 liter. Det tilsyneladende fordelingsvolumen i den terminale fase efter inhalation var næsten 20 gange større, hvilket afspejler den meget langsommere eliminering efter inhalation. </w:t>
      </w:r>
      <w:r w:rsidRPr="001C2314">
        <w:rPr>
          <w:i/>
          <w:sz w:val="24"/>
          <w:szCs w:val="24"/>
        </w:rPr>
        <w:t xml:space="preserve">In </w:t>
      </w:r>
      <w:proofErr w:type="spellStart"/>
      <w:r w:rsidRPr="001C2314">
        <w:rPr>
          <w:i/>
          <w:sz w:val="24"/>
          <w:szCs w:val="24"/>
        </w:rPr>
        <w:t>vitro</w:t>
      </w:r>
      <w:proofErr w:type="spellEnd"/>
      <w:r w:rsidRPr="001C2314">
        <w:rPr>
          <w:sz w:val="24"/>
          <w:szCs w:val="24"/>
        </w:rPr>
        <w:t xml:space="preserve">-binding til humant plasmaprotein af </w:t>
      </w:r>
      <w:proofErr w:type="spellStart"/>
      <w:r w:rsidRPr="001C2314">
        <w:rPr>
          <w:sz w:val="24"/>
          <w:szCs w:val="24"/>
        </w:rPr>
        <w:t>glycopyrronium</w:t>
      </w:r>
      <w:proofErr w:type="spellEnd"/>
      <w:r w:rsidRPr="001C2314">
        <w:rPr>
          <w:sz w:val="24"/>
          <w:szCs w:val="24"/>
        </w:rPr>
        <w:t xml:space="preserve"> var 38 % til 41 % ved koncentrationer på 1 til 10 nanogram/ml.</w:t>
      </w:r>
    </w:p>
    <w:p w14:paraId="4ED3E913" w14:textId="5A2FBD7B" w:rsidR="003D2392" w:rsidRDefault="003D2392">
      <w:pPr>
        <w:rPr>
          <w:sz w:val="24"/>
          <w:szCs w:val="24"/>
        </w:rPr>
      </w:pPr>
      <w:r>
        <w:rPr>
          <w:sz w:val="24"/>
          <w:szCs w:val="24"/>
        </w:rPr>
        <w:br w:type="page"/>
      </w:r>
    </w:p>
    <w:p w14:paraId="7484ECE0" w14:textId="77777777" w:rsidR="002743CF" w:rsidRPr="001C2314" w:rsidRDefault="002743CF" w:rsidP="001C2314">
      <w:pPr>
        <w:ind w:left="851"/>
        <w:rPr>
          <w:sz w:val="24"/>
          <w:szCs w:val="24"/>
        </w:rPr>
      </w:pPr>
    </w:p>
    <w:p w14:paraId="32A166F4" w14:textId="77777777" w:rsidR="002743CF" w:rsidRPr="001C2314" w:rsidRDefault="002743CF" w:rsidP="001C2314">
      <w:pPr>
        <w:ind w:left="851"/>
        <w:rPr>
          <w:sz w:val="24"/>
          <w:szCs w:val="24"/>
          <w:u w:val="single"/>
        </w:rPr>
      </w:pPr>
      <w:r w:rsidRPr="001C2314">
        <w:rPr>
          <w:sz w:val="24"/>
          <w:szCs w:val="24"/>
          <w:u w:val="single"/>
        </w:rPr>
        <w:t>Biotransformation</w:t>
      </w:r>
    </w:p>
    <w:p w14:paraId="74F76B70" w14:textId="77777777" w:rsidR="002743CF" w:rsidRPr="001C2314" w:rsidRDefault="002743CF" w:rsidP="001C2314">
      <w:pPr>
        <w:ind w:left="851"/>
        <w:rPr>
          <w:sz w:val="24"/>
          <w:szCs w:val="24"/>
        </w:rPr>
      </w:pPr>
      <w:r w:rsidRPr="001C2314">
        <w:rPr>
          <w:i/>
          <w:sz w:val="24"/>
          <w:szCs w:val="24"/>
        </w:rPr>
        <w:t xml:space="preserve">In </w:t>
      </w:r>
      <w:proofErr w:type="spellStart"/>
      <w:r w:rsidRPr="001C2314">
        <w:rPr>
          <w:i/>
          <w:sz w:val="24"/>
          <w:szCs w:val="24"/>
        </w:rPr>
        <w:t>vitro</w:t>
      </w:r>
      <w:proofErr w:type="spellEnd"/>
      <w:r w:rsidRPr="001C2314">
        <w:rPr>
          <w:sz w:val="24"/>
          <w:szCs w:val="24"/>
        </w:rPr>
        <w:t xml:space="preserve">-metabolismestudier har vist overensstemmende metaboliske signalveje for </w:t>
      </w:r>
      <w:proofErr w:type="spellStart"/>
      <w:r w:rsidRPr="001C2314">
        <w:rPr>
          <w:sz w:val="24"/>
          <w:szCs w:val="24"/>
        </w:rPr>
        <w:t>glycopyrroniumbromid</w:t>
      </w:r>
      <w:proofErr w:type="spellEnd"/>
      <w:r w:rsidRPr="001C2314">
        <w:rPr>
          <w:sz w:val="24"/>
          <w:szCs w:val="24"/>
        </w:rPr>
        <w:t xml:space="preserve"> mellem dyr og mennesker. Der sås </w:t>
      </w:r>
      <w:proofErr w:type="spellStart"/>
      <w:r w:rsidRPr="001C2314">
        <w:rPr>
          <w:sz w:val="24"/>
          <w:szCs w:val="24"/>
        </w:rPr>
        <w:t>hydroxylering</w:t>
      </w:r>
      <w:proofErr w:type="spellEnd"/>
      <w:r w:rsidRPr="001C2314">
        <w:rPr>
          <w:sz w:val="24"/>
          <w:szCs w:val="24"/>
        </w:rPr>
        <w:t>, som medførte en række mono- og bis-</w:t>
      </w:r>
      <w:proofErr w:type="spellStart"/>
      <w:r w:rsidRPr="001C2314">
        <w:rPr>
          <w:sz w:val="24"/>
          <w:szCs w:val="24"/>
        </w:rPr>
        <w:t>hydroxylerede</w:t>
      </w:r>
      <w:proofErr w:type="spellEnd"/>
      <w:r w:rsidRPr="001C2314">
        <w:rPr>
          <w:sz w:val="24"/>
          <w:szCs w:val="24"/>
        </w:rPr>
        <w:t xml:space="preserve"> metabolitter, og direkte hydrolyse, som medførte dannelsen af et carboxylsyrederivat (M9). M9 dannes </w:t>
      </w:r>
      <w:r w:rsidRPr="001C2314">
        <w:rPr>
          <w:i/>
          <w:sz w:val="24"/>
          <w:szCs w:val="24"/>
        </w:rPr>
        <w:t xml:space="preserve">in </w:t>
      </w:r>
      <w:proofErr w:type="spellStart"/>
      <w:r w:rsidRPr="001C2314">
        <w:rPr>
          <w:i/>
          <w:sz w:val="24"/>
          <w:szCs w:val="24"/>
        </w:rPr>
        <w:t>vivo</w:t>
      </w:r>
      <w:proofErr w:type="spellEnd"/>
      <w:r w:rsidRPr="001C2314">
        <w:rPr>
          <w:sz w:val="24"/>
          <w:szCs w:val="24"/>
        </w:rPr>
        <w:t xml:space="preserve"> fra den slugte dosisfraktion af inhaleret </w:t>
      </w:r>
      <w:proofErr w:type="spellStart"/>
      <w:r w:rsidRPr="001C2314">
        <w:rPr>
          <w:sz w:val="24"/>
          <w:szCs w:val="24"/>
        </w:rPr>
        <w:t>glycopyrroniumbromid</w:t>
      </w:r>
      <w:proofErr w:type="spellEnd"/>
      <w:r w:rsidRPr="001C2314">
        <w:rPr>
          <w:sz w:val="24"/>
          <w:szCs w:val="24"/>
        </w:rPr>
        <w:t xml:space="preserve">. </w:t>
      </w:r>
      <w:proofErr w:type="spellStart"/>
      <w:r w:rsidRPr="001C2314">
        <w:rPr>
          <w:sz w:val="24"/>
          <w:szCs w:val="24"/>
        </w:rPr>
        <w:t>Glukuronid</w:t>
      </w:r>
      <w:proofErr w:type="spellEnd"/>
      <w:r w:rsidRPr="001C2314">
        <w:rPr>
          <w:sz w:val="24"/>
          <w:szCs w:val="24"/>
        </w:rPr>
        <w:t xml:space="preserve">- og/eller </w:t>
      </w:r>
      <w:proofErr w:type="spellStart"/>
      <w:r w:rsidRPr="001C2314">
        <w:rPr>
          <w:sz w:val="24"/>
          <w:szCs w:val="24"/>
        </w:rPr>
        <w:t>sulfatkonjugater</w:t>
      </w:r>
      <w:proofErr w:type="spellEnd"/>
      <w:r w:rsidRPr="001C2314">
        <w:rPr>
          <w:sz w:val="24"/>
          <w:szCs w:val="24"/>
        </w:rPr>
        <w:t xml:space="preserve"> af </w:t>
      </w:r>
      <w:proofErr w:type="spellStart"/>
      <w:r w:rsidRPr="001C2314">
        <w:rPr>
          <w:sz w:val="24"/>
          <w:szCs w:val="24"/>
        </w:rPr>
        <w:t>glycopyrronium</w:t>
      </w:r>
      <w:proofErr w:type="spellEnd"/>
      <w:r w:rsidRPr="001C2314">
        <w:rPr>
          <w:sz w:val="24"/>
          <w:szCs w:val="24"/>
        </w:rPr>
        <w:t xml:space="preserve"> blev fundet i urin hos mennesker efter gentagen inhalation og udgør ca. 3 % af dosis. </w:t>
      </w:r>
    </w:p>
    <w:p w14:paraId="52E1AEDB" w14:textId="77777777" w:rsidR="002743CF" w:rsidRPr="001C2314" w:rsidRDefault="002743CF" w:rsidP="001C2314">
      <w:pPr>
        <w:ind w:left="851"/>
        <w:rPr>
          <w:sz w:val="24"/>
          <w:szCs w:val="24"/>
        </w:rPr>
      </w:pPr>
    </w:p>
    <w:p w14:paraId="36FDFB79" w14:textId="77777777" w:rsidR="002743CF" w:rsidRPr="001C2314" w:rsidRDefault="002743CF" w:rsidP="001C2314">
      <w:pPr>
        <w:ind w:left="851"/>
        <w:rPr>
          <w:sz w:val="24"/>
          <w:szCs w:val="24"/>
        </w:rPr>
      </w:pPr>
      <w:r w:rsidRPr="001C2314">
        <w:rPr>
          <w:sz w:val="24"/>
          <w:szCs w:val="24"/>
        </w:rPr>
        <w:t>Adskillige CYP-</w:t>
      </w:r>
      <w:proofErr w:type="spellStart"/>
      <w:r w:rsidRPr="001C2314">
        <w:rPr>
          <w:sz w:val="24"/>
          <w:szCs w:val="24"/>
        </w:rPr>
        <w:t>isoenzymer</w:t>
      </w:r>
      <w:proofErr w:type="spellEnd"/>
      <w:r w:rsidRPr="001C2314">
        <w:rPr>
          <w:sz w:val="24"/>
          <w:szCs w:val="24"/>
        </w:rPr>
        <w:t xml:space="preserve"> medvirker til den </w:t>
      </w:r>
      <w:proofErr w:type="spellStart"/>
      <w:r w:rsidRPr="001C2314">
        <w:rPr>
          <w:sz w:val="24"/>
          <w:szCs w:val="24"/>
        </w:rPr>
        <w:t>oxidative</w:t>
      </w:r>
      <w:proofErr w:type="spellEnd"/>
      <w:r w:rsidRPr="001C2314">
        <w:rPr>
          <w:sz w:val="24"/>
          <w:szCs w:val="24"/>
        </w:rPr>
        <w:t xml:space="preserve"> biotransformation af </w:t>
      </w:r>
      <w:proofErr w:type="spellStart"/>
      <w:r w:rsidRPr="001C2314">
        <w:rPr>
          <w:sz w:val="24"/>
          <w:szCs w:val="24"/>
        </w:rPr>
        <w:t>glycopyrronium</w:t>
      </w:r>
      <w:proofErr w:type="spellEnd"/>
      <w:r w:rsidRPr="001C2314">
        <w:rPr>
          <w:sz w:val="24"/>
          <w:szCs w:val="24"/>
        </w:rPr>
        <w:t xml:space="preserve">. Det er usandsynligt, at en hæmning eller induktion af </w:t>
      </w:r>
      <w:proofErr w:type="spellStart"/>
      <w:r w:rsidRPr="001C2314">
        <w:rPr>
          <w:sz w:val="24"/>
          <w:szCs w:val="24"/>
        </w:rPr>
        <w:t>glycopyrroniums</w:t>
      </w:r>
      <w:proofErr w:type="spellEnd"/>
      <w:r w:rsidRPr="001C2314">
        <w:rPr>
          <w:sz w:val="24"/>
          <w:szCs w:val="24"/>
        </w:rPr>
        <w:t xml:space="preserve"> metabolisme resulterer i en relevant ændring i systemisk eksponering for det aktive stof. </w:t>
      </w:r>
    </w:p>
    <w:p w14:paraId="48A52AB9" w14:textId="77777777" w:rsidR="002743CF" w:rsidRPr="001C2314" w:rsidRDefault="002743CF" w:rsidP="001C2314">
      <w:pPr>
        <w:ind w:left="851"/>
        <w:rPr>
          <w:sz w:val="24"/>
          <w:szCs w:val="24"/>
        </w:rPr>
      </w:pPr>
    </w:p>
    <w:p w14:paraId="0364C5EA" w14:textId="77777777" w:rsidR="002743CF" w:rsidRPr="001C2314" w:rsidRDefault="002743CF" w:rsidP="001C2314">
      <w:pPr>
        <w:ind w:left="851"/>
        <w:rPr>
          <w:sz w:val="24"/>
          <w:szCs w:val="24"/>
        </w:rPr>
      </w:pPr>
      <w:r w:rsidRPr="001C2314">
        <w:rPr>
          <w:i/>
          <w:sz w:val="24"/>
          <w:szCs w:val="24"/>
        </w:rPr>
        <w:t xml:space="preserve">In </w:t>
      </w:r>
      <w:proofErr w:type="spellStart"/>
      <w:r w:rsidRPr="001C2314">
        <w:rPr>
          <w:i/>
          <w:sz w:val="24"/>
          <w:szCs w:val="24"/>
        </w:rPr>
        <w:t>vitro</w:t>
      </w:r>
      <w:proofErr w:type="spellEnd"/>
      <w:r w:rsidRPr="001C2314">
        <w:rPr>
          <w:sz w:val="24"/>
          <w:szCs w:val="24"/>
        </w:rPr>
        <w:t xml:space="preserve">-hæmningsstudier påviste, at </w:t>
      </w:r>
      <w:proofErr w:type="spellStart"/>
      <w:r w:rsidRPr="001C2314">
        <w:rPr>
          <w:sz w:val="24"/>
          <w:szCs w:val="24"/>
        </w:rPr>
        <w:t>glycopyrroniumbromid</w:t>
      </w:r>
      <w:proofErr w:type="spellEnd"/>
      <w:r w:rsidRPr="001C2314">
        <w:rPr>
          <w:sz w:val="24"/>
          <w:szCs w:val="24"/>
        </w:rPr>
        <w:t xml:space="preserve"> ikke har relevant kapacitet til at hæmme CYP1A2, CYP2A6, CYP2C8, CYP2C9, CYP2C19, CYP2D6, CYP2E1 eller CYP3A4/5, </w:t>
      </w:r>
      <w:proofErr w:type="spellStart"/>
      <w:r w:rsidRPr="001C2314">
        <w:rPr>
          <w:sz w:val="24"/>
          <w:szCs w:val="24"/>
        </w:rPr>
        <w:t>effluxtransportørerne</w:t>
      </w:r>
      <w:proofErr w:type="spellEnd"/>
      <w:r w:rsidRPr="001C2314">
        <w:rPr>
          <w:sz w:val="24"/>
          <w:szCs w:val="24"/>
        </w:rPr>
        <w:t xml:space="preserve"> MDR1, MRP2 eller MXR og optagelsestransportørerne OCT1 eller OCT2. </w:t>
      </w:r>
      <w:r w:rsidRPr="001C2314">
        <w:rPr>
          <w:i/>
          <w:sz w:val="24"/>
          <w:szCs w:val="24"/>
        </w:rPr>
        <w:t xml:space="preserve">In </w:t>
      </w:r>
      <w:proofErr w:type="spellStart"/>
      <w:r w:rsidRPr="001C2314">
        <w:rPr>
          <w:i/>
          <w:sz w:val="24"/>
          <w:szCs w:val="24"/>
        </w:rPr>
        <w:t>vitro</w:t>
      </w:r>
      <w:proofErr w:type="spellEnd"/>
      <w:r w:rsidRPr="001C2314">
        <w:rPr>
          <w:sz w:val="24"/>
          <w:szCs w:val="24"/>
        </w:rPr>
        <w:t xml:space="preserve">-studier med enzyminduktion har ikke indikeret, at </w:t>
      </w:r>
      <w:proofErr w:type="spellStart"/>
      <w:r w:rsidRPr="001C2314">
        <w:rPr>
          <w:sz w:val="24"/>
          <w:szCs w:val="24"/>
        </w:rPr>
        <w:t>glycopyrroniumbromid</w:t>
      </w:r>
      <w:proofErr w:type="spellEnd"/>
      <w:r w:rsidRPr="001C2314">
        <w:rPr>
          <w:sz w:val="24"/>
          <w:szCs w:val="24"/>
        </w:rPr>
        <w:t xml:space="preserve"> medfører en klinisk relevant induktion af </w:t>
      </w:r>
      <w:proofErr w:type="spellStart"/>
      <w:r w:rsidRPr="001C2314">
        <w:rPr>
          <w:sz w:val="24"/>
          <w:szCs w:val="24"/>
        </w:rPr>
        <w:t>cytochrom</w:t>
      </w:r>
      <w:proofErr w:type="spellEnd"/>
      <w:r w:rsidRPr="001C2314">
        <w:rPr>
          <w:sz w:val="24"/>
          <w:szCs w:val="24"/>
        </w:rPr>
        <w:t xml:space="preserve"> P450-isoenzymer eller af UGT1A1 og transportørerne MDR1 og MRP2. </w:t>
      </w:r>
    </w:p>
    <w:p w14:paraId="4C095928" w14:textId="77777777" w:rsidR="002743CF" w:rsidRPr="001C2314" w:rsidRDefault="002743CF" w:rsidP="001C2314">
      <w:pPr>
        <w:ind w:left="851"/>
        <w:rPr>
          <w:sz w:val="24"/>
          <w:szCs w:val="24"/>
        </w:rPr>
      </w:pPr>
    </w:p>
    <w:p w14:paraId="1DAE2162" w14:textId="77777777" w:rsidR="002743CF" w:rsidRPr="001C2314" w:rsidRDefault="002743CF" w:rsidP="001C2314">
      <w:pPr>
        <w:ind w:left="851"/>
        <w:rPr>
          <w:sz w:val="24"/>
          <w:szCs w:val="24"/>
          <w:u w:val="single"/>
        </w:rPr>
      </w:pPr>
      <w:r w:rsidRPr="001C2314">
        <w:rPr>
          <w:sz w:val="24"/>
          <w:szCs w:val="24"/>
          <w:u w:val="single"/>
        </w:rPr>
        <w:t>Elimination</w:t>
      </w:r>
    </w:p>
    <w:p w14:paraId="3C437BE0" w14:textId="77777777" w:rsidR="002743CF" w:rsidRPr="001C2314" w:rsidRDefault="002743CF" w:rsidP="001C2314">
      <w:pPr>
        <w:ind w:left="851"/>
        <w:rPr>
          <w:sz w:val="24"/>
          <w:szCs w:val="24"/>
        </w:rPr>
      </w:pPr>
      <w:r w:rsidRPr="001C2314">
        <w:rPr>
          <w:sz w:val="24"/>
          <w:szCs w:val="24"/>
        </w:rPr>
        <w:t>Efter intravenøs administration af [</w:t>
      </w:r>
      <w:r w:rsidRPr="001C2314">
        <w:rPr>
          <w:sz w:val="24"/>
          <w:szCs w:val="24"/>
          <w:vertAlign w:val="superscript"/>
        </w:rPr>
        <w:t>3</w:t>
      </w:r>
      <w:proofErr w:type="gramStart"/>
      <w:r w:rsidRPr="001C2314">
        <w:rPr>
          <w:sz w:val="24"/>
          <w:szCs w:val="24"/>
        </w:rPr>
        <w:t>H]-</w:t>
      </w:r>
      <w:proofErr w:type="gramEnd"/>
      <w:r w:rsidRPr="001C2314">
        <w:rPr>
          <w:sz w:val="24"/>
          <w:szCs w:val="24"/>
        </w:rPr>
        <w:t xml:space="preserve">mærket </w:t>
      </w:r>
      <w:proofErr w:type="spellStart"/>
      <w:r w:rsidRPr="001C2314">
        <w:rPr>
          <w:sz w:val="24"/>
          <w:szCs w:val="24"/>
        </w:rPr>
        <w:t>glycopyrroniumbromid</w:t>
      </w:r>
      <w:proofErr w:type="spellEnd"/>
      <w:r w:rsidRPr="001C2314">
        <w:rPr>
          <w:sz w:val="24"/>
          <w:szCs w:val="24"/>
        </w:rPr>
        <w:t xml:space="preserve"> hos mennesker udgjorde middelværdien for urinudskillelse af radioaktivitet over 48 timer 85 % af dosis. Yderligere 5 % af dosis blev fundet i galden.</w:t>
      </w:r>
    </w:p>
    <w:p w14:paraId="03F420F6" w14:textId="77777777" w:rsidR="002743CF" w:rsidRPr="001C2314" w:rsidRDefault="002743CF" w:rsidP="001C2314">
      <w:pPr>
        <w:ind w:left="851"/>
        <w:rPr>
          <w:sz w:val="24"/>
          <w:szCs w:val="24"/>
        </w:rPr>
      </w:pPr>
    </w:p>
    <w:p w14:paraId="47A13603" w14:textId="77777777" w:rsidR="002743CF" w:rsidRPr="001C2314" w:rsidRDefault="002743CF" w:rsidP="001C2314">
      <w:pPr>
        <w:ind w:left="851"/>
        <w:rPr>
          <w:sz w:val="24"/>
          <w:szCs w:val="24"/>
        </w:rPr>
      </w:pPr>
      <w:proofErr w:type="spellStart"/>
      <w:r w:rsidRPr="001C2314">
        <w:rPr>
          <w:sz w:val="24"/>
          <w:szCs w:val="24"/>
        </w:rPr>
        <w:t>Renal</w:t>
      </w:r>
      <w:proofErr w:type="spellEnd"/>
      <w:r w:rsidRPr="001C2314">
        <w:rPr>
          <w:sz w:val="24"/>
          <w:szCs w:val="24"/>
        </w:rPr>
        <w:t xml:space="preserve"> udskillelse af moderstoffet står for ca. 60 til 70 % af den totale </w:t>
      </w:r>
      <w:proofErr w:type="spellStart"/>
      <w:r w:rsidRPr="001C2314">
        <w:rPr>
          <w:sz w:val="24"/>
          <w:szCs w:val="24"/>
        </w:rPr>
        <w:t>clearance</w:t>
      </w:r>
      <w:proofErr w:type="spellEnd"/>
      <w:r w:rsidRPr="001C2314">
        <w:rPr>
          <w:sz w:val="24"/>
          <w:szCs w:val="24"/>
        </w:rPr>
        <w:t xml:space="preserve"> af systemisk tilgængeligt </w:t>
      </w:r>
      <w:proofErr w:type="spellStart"/>
      <w:r w:rsidRPr="001C2314">
        <w:rPr>
          <w:sz w:val="24"/>
          <w:szCs w:val="24"/>
        </w:rPr>
        <w:t>glycopyrronium</w:t>
      </w:r>
      <w:proofErr w:type="spellEnd"/>
      <w:r w:rsidRPr="001C2314">
        <w:rPr>
          <w:sz w:val="24"/>
          <w:szCs w:val="24"/>
        </w:rPr>
        <w:t>, mens ikke-</w:t>
      </w:r>
      <w:proofErr w:type="spellStart"/>
      <w:r w:rsidRPr="001C2314">
        <w:rPr>
          <w:sz w:val="24"/>
          <w:szCs w:val="24"/>
        </w:rPr>
        <w:t>renale</w:t>
      </w:r>
      <w:proofErr w:type="spellEnd"/>
      <w:r w:rsidRPr="001C2314">
        <w:rPr>
          <w:sz w:val="24"/>
          <w:szCs w:val="24"/>
        </w:rPr>
        <w:t xml:space="preserve"> </w:t>
      </w:r>
      <w:proofErr w:type="spellStart"/>
      <w:r w:rsidRPr="001C2314">
        <w:rPr>
          <w:sz w:val="24"/>
          <w:szCs w:val="24"/>
        </w:rPr>
        <w:t>clearanceprocesser</w:t>
      </w:r>
      <w:proofErr w:type="spellEnd"/>
      <w:r w:rsidRPr="001C2314">
        <w:rPr>
          <w:sz w:val="24"/>
          <w:szCs w:val="24"/>
        </w:rPr>
        <w:t xml:space="preserve"> står for ca. 30 til 40 %. Biliær </w:t>
      </w:r>
      <w:proofErr w:type="spellStart"/>
      <w:r w:rsidRPr="001C2314">
        <w:rPr>
          <w:sz w:val="24"/>
          <w:szCs w:val="24"/>
        </w:rPr>
        <w:t>clearance</w:t>
      </w:r>
      <w:proofErr w:type="spellEnd"/>
      <w:r w:rsidRPr="001C2314">
        <w:rPr>
          <w:sz w:val="24"/>
          <w:szCs w:val="24"/>
        </w:rPr>
        <w:t xml:space="preserve"> bidrager til ikke-</w:t>
      </w:r>
      <w:proofErr w:type="spellStart"/>
      <w:r w:rsidRPr="001C2314">
        <w:rPr>
          <w:sz w:val="24"/>
          <w:szCs w:val="24"/>
        </w:rPr>
        <w:t>renal</w:t>
      </w:r>
      <w:proofErr w:type="spellEnd"/>
      <w:r w:rsidRPr="001C2314">
        <w:rPr>
          <w:sz w:val="24"/>
          <w:szCs w:val="24"/>
        </w:rPr>
        <w:t xml:space="preserve"> </w:t>
      </w:r>
      <w:proofErr w:type="spellStart"/>
      <w:r w:rsidRPr="001C2314">
        <w:rPr>
          <w:sz w:val="24"/>
          <w:szCs w:val="24"/>
        </w:rPr>
        <w:t>clearance</w:t>
      </w:r>
      <w:proofErr w:type="spellEnd"/>
      <w:r w:rsidRPr="001C2314">
        <w:rPr>
          <w:sz w:val="24"/>
          <w:szCs w:val="24"/>
        </w:rPr>
        <w:t>, men størstedelen af ikke-</w:t>
      </w:r>
      <w:proofErr w:type="spellStart"/>
      <w:r w:rsidRPr="001C2314">
        <w:rPr>
          <w:sz w:val="24"/>
          <w:szCs w:val="24"/>
        </w:rPr>
        <w:t>renal</w:t>
      </w:r>
      <w:proofErr w:type="spellEnd"/>
      <w:r w:rsidRPr="001C2314">
        <w:rPr>
          <w:sz w:val="24"/>
          <w:szCs w:val="24"/>
        </w:rPr>
        <w:t xml:space="preserve"> </w:t>
      </w:r>
      <w:proofErr w:type="spellStart"/>
      <w:r w:rsidRPr="001C2314">
        <w:rPr>
          <w:sz w:val="24"/>
          <w:szCs w:val="24"/>
        </w:rPr>
        <w:t>clerance</w:t>
      </w:r>
      <w:proofErr w:type="spellEnd"/>
      <w:r w:rsidRPr="001C2314">
        <w:rPr>
          <w:sz w:val="24"/>
          <w:szCs w:val="24"/>
        </w:rPr>
        <w:t xml:space="preserve"> menes at skyldes metabolisme.</w:t>
      </w:r>
    </w:p>
    <w:p w14:paraId="0EA1F738" w14:textId="77777777" w:rsidR="002743CF" w:rsidRPr="001C2314" w:rsidRDefault="002743CF" w:rsidP="001C2314">
      <w:pPr>
        <w:ind w:left="851"/>
        <w:rPr>
          <w:sz w:val="24"/>
          <w:szCs w:val="24"/>
        </w:rPr>
      </w:pPr>
    </w:p>
    <w:p w14:paraId="7695E8EC" w14:textId="77777777" w:rsidR="002743CF" w:rsidRPr="001C2314" w:rsidRDefault="002743CF" w:rsidP="001C2314">
      <w:pPr>
        <w:ind w:left="851"/>
        <w:rPr>
          <w:sz w:val="24"/>
          <w:szCs w:val="24"/>
        </w:rPr>
      </w:pPr>
      <w:r w:rsidRPr="001C2314">
        <w:rPr>
          <w:sz w:val="24"/>
          <w:szCs w:val="24"/>
        </w:rPr>
        <w:t xml:space="preserve">Middeltallet for </w:t>
      </w:r>
      <w:proofErr w:type="spellStart"/>
      <w:r w:rsidRPr="001C2314">
        <w:rPr>
          <w:sz w:val="24"/>
          <w:szCs w:val="24"/>
        </w:rPr>
        <w:t>renal</w:t>
      </w:r>
      <w:proofErr w:type="spellEnd"/>
      <w:r w:rsidRPr="001C2314">
        <w:rPr>
          <w:sz w:val="24"/>
          <w:szCs w:val="24"/>
        </w:rPr>
        <w:t xml:space="preserve"> </w:t>
      </w:r>
      <w:proofErr w:type="spellStart"/>
      <w:r w:rsidRPr="001C2314">
        <w:rPr>
          <w:sz w:val="24"/>
          <w:szCs w:val="24"/>
        </w:rPr>
        <w:t>clearance</w:t>
      </w:r>
      <w:proofErr w:type="spellEnd"/>
      <w:r w:rsidRPr="001C2314">
        <w:rPr>
          <w:sz w:val="24"/>
          <w:szCs w:val="24"/>
        </w:rPr>
        <w:t xml:space="preserve"> af </w:t>
      </w:r>
      <w:proofErr w:type="spellStart"/>
      <w:r w:rsidRPr="001C2314">
        <w:rPr>
          <w:sz w:val="24"/>
          <w:szCs w:val="24"/>
        </w:rPr>
        <w:t>glycopyrronium</w:t>
      </w:r>
      <w:proofErr w:type="spellEnd"/>
      <w:r w:rsidRPr="001C2314">
        <w:rPr>
          <w:sz w:val="24"/>
          <w:szCs w:val="24"/>
        </w:rPr>
        <w:t xml:space="preserve"> efter inhalation lå i intervallet fra 17,4 til 24,4 liter/time. Aktiv </w:t>
      </w:r>
      <w:proofErr w:type="spellStart"/>
      <w:r w:rsidRPr="001C2314">
        <w:rPr>
          <w:sz w:val="24"/>
          <w:szCs w:val="24"/>
        </w:rPr>
        <w:t>tubular</w:t>
      </w:r>
      <w:proofErr w:type="spellEnd"/>
      <w:r w:rsidRPr="001C2314">
        <w:rPr>
          <w:sz w:val="24"/>
          <w:szCs w:val="24"/>
        </w:rPr>
        <w:t xml:space="preserve"> sekretion bidrager til </w:t>
      </w:r>
      <w:proofErr w:type="spellStart"/>
      <w:r w:rsidRPr="001C2314">
        <w:rPr>
          <w:sz w:val="24"/>
          <w:szCs w:val="24"/>
        </w:rPr>
        <w:t>renal</w:t>
      </w:r>
      <w:proofErr w:type="spellEnd"/>
      <w:r w:rsidRPr="001C2314">
        <w:rPr>
          <w:sz w:val="24"/>
          <w:szCs w:val="24"/>
        </w:rPr>
        <w:t xml:space="preserve"> udskillelse af </w:t>
      </w:r>
      <w:proofErr w:type="spellStart"/>
      <w:r w:rsidRPr="001C2314">
        <w:rPr>
          <w:sz w:val="24"/>
          <w:szCs w:val="24"/>
        </w:rPr>
        <w:t>glycopyrronium</w:t>
      </w:r>
      <w:proofErr w:type="spellEnd"/>
      <w:r w:rsidRPr="001C2314">
        <w:rPr>
          <w:sz w:val="24"/>
          <w:szCs w:val="24"/>
        </w:rPr>
        <w:t>. Op til 23 % af leveret dosis blev fundet i urin i form af moderstoffet.</w:t>
      </w:r>
    </w:p>
    <w:p w14:paraId="70158DCF" w14:textId="77777777" w:rsidR="002743CF" w:rsidRPr="001C2314" w:rsidRDefault="002743CF" w:rsidP="001C2314">
      <w:pPr>
        <w:ind w:left="851"/>
        <w:rPr>
          <w:sz w:val="24"/>
          <w:szCs w:val="24"/>
        </w:rPr>
      </w:pPr>
    </w:p>
    <w:p w14:paraId="05EE2395" w14:textId="77777777" w:rsidR="002743CF" w:rsidRPr="001C2314" w:rsidRDefault="002743CF" w:rsidP="001C2314">
      <w:pPr>
        <w:ind w:left="851"/>
        <w:rPr>
          <w:sz w:val="24"/>
          <w:szCs w:val="24"/>
        </w:rPr>
      </w:pPr>
      <w:r w:rsidRPr="001C2314">
        <w:rPr>
          <w:sz w:val="24"/>
          <w:szCs w:val="24"/>
        </w:rPr>
        <w:t xml:space="preserve">Plasmakoncentrationer af </w:t>
      </w:r>
      <w:proofErr w:type="spellStart"/>
      <w:r w:rsidRPr="001C2314">
        <w:rPr>
          <w:sz w:val="24"/>
          <w:szCs w:val="24"/>
        </w:rPr>
        <w:t>glycopyrronium</w:t>
      </w:r>
      <w:proofErr w:type="spellEnd"/>
      <w:r w:rsidRPr="001C2314">
        <w:rPr>
          <w:sz w:val="24"/>
          <w:szCs w:val="24"/>
        </w:rPr>
        <w:t xml:space="preserve"> faldt på </w:t>
      </w:r>
      <w:proofErr w:type="spellStart"/>
      <w:r w:rsidRPr="001C2314">
        <w:rPr>
          <w:sz w:val="24"/>
          <w:szCs w:val="24"/>
        </w:rPr>
        <w:t>multifasisk</w:t>
      </w:r>
      <w:proofErr w:type="spellEnd"/>
      <w:r w:rsidRPr="001C2314">
        <w:rPr>
          <w:sz w:val="24"/>
          <w:szCs w:val="24"/>
        </w:rPr>
        <w:t xml:space="preserve"> vis. Middeltallet for terminal eliminationshalveringstid var meget længere efter inhalation (33 til 57 timer) end efter intravenøs (6,2 timer) og oral (2,8 timer) administration. Elimineringsmønstret tyder på vedvarende absorption i lungerne og/eller overførelse af </w:t>
      </w:r>
      <w:proofErr w:type="spellStart"/>
      <w:r w:rsidRPr="001C2314">
        <w:rPr>
          <w:sz w:val="24"/>
          <w:szCs w:val="24"/>
        </w:rPr>
        <w:t>glycopyrronium</w:t>
      </w:r>
      <w:proofErr w:type="spellEnd"/>
      <w:r w:rsidRPr="001C2314">
        <w:rPr>
          <w:sz w:val="24"/>
          <w:szCs w:val="24"/>
        </w:rPr>
        <w:t xml:space="preserve"> i den systemiske cirkulation ved og efter 24 timer efter inhalation. </w:t>
      </w:r>
    </w:p>
    <w:p w14:paraId="1BD7B577" w14:textId="77777777" w:rsidR="002743CF" w:rsidRPr="001C2314" w:rsidRDefault="002743CF" w:rsidP="001C2314">
      <w:pPr>
        <w:ind w:left="851"/>
        <w:rPr>
          <w:sz w:val="24"/>
          <w:szCs w:val="24"/>
          <w:u w:val="single"/>
        </w:rPr>
      </w:pPr>
    </w:p>
    <w:p w14:paraId="3D5961C2" w14:textId="77777777" w:rsidR="002743CF" w:rsidRPr="001C2314" w:rsidRDefault="002743CF" w:rsidP="001C2314">
      <w:pPr>
        <w:ind w:left="851"/>
        <w:rPr>
          <w:sz w:val="24"/>
          <w:szCs w:val="24"/>
          <w:u w:val="single"/>
        </w:rPr>
      </w:pPr>
      <w:r w:rsidRPr="001C2314">
        <w:rPr>
          <w:sz w:val="24"/>
          <w:szCs w:val="24"/>
          <w:u w:val="single"/>
        </w:rPr>
        <w:t>Linearitet/non-linearitet</w:t>
      </w:r>
    </w:p>
    <w:p w14:paraId="29082CEA" w14:textId="77777777" w:rsidR="002743CF" w:rsidRPr="001C2314" w:rsidRDefault="002743CF" w:rsidP="001C2314">
      <w:pPr>
        <w:ind w:left="851"/>
        <w:rPr>
          <w:sz w:val="24"/>
          <w:szCs w:val="24"/>
        </w:rPr>
      </w:pPr>
      <w:r w:rsidRPr="001C2314">
        <w:rPr>
          <w:sz w:val="24"/>
          <w:szCs w:val="24"/>
        </w:rPr>
        <w:t xml:space="preserve">Hos KOL-patienter øges både systemisk eksponering for og samlet urinudskillelse af </w:t>
      </w:r>
      <w:proofErr w:type="spellStart"/>
      <w:r w:rsidRPr="001C2314">
        <w:rPr>
          <w:sz w:val="24"/>
          <w:szCs w:val="24"/>
        </w:rPr>
        <w:t>glycopyrronium</w:t>
      </w:r>
      <w:proofErr w:type="spellEnd"/>
      <w:r w:rsidRPr="001C2314">
        <w:rPr>
          <w:sz w:val="24"/>
          <w:szCs w:val="24"/>
        </w:rPr>
        <w:t xml:space="preserve"> omtrentligt dosisproportionalt i dosisområdet 44 til 176 mikrogram ved </w:t>
      </w:r>
      <w:proofErr w:type="spellStart"/>
      <w:r w:rsidRPr="001C2314">
        <w:rPr>
          <w:sz w:val="24"/>
          <w:szCs w:val="24"/>
        </w:rPr>
        <w:t>farmakokinetisk</w:t>
      </w:r>
      <w:proofErr w:type="spellEnd"/>
      <w:r w:rsidRPr="001C2314">
        <w:rPr>
          <w:sz w:val="24"/>
          <w:szCs w:val="24"/>
        </w:rPr>
        <w:t xml:space="preserve"> </w:t>
      </w:r>
      <w:proofErr w:type="spellStart"/>
      <w:r w:rsidRPr="001C2314">
        <w:rPr>
          <w:i/>
          <w:iCs/>
          <w:sz w:val="24"/>
          <w:szCs w:val="24"/>
        </w:rPr>
        <w:t>steady</w:t>
      </w:r>
      <w:proofErr w:type="spellEnd"/>
      <w:r w:rsidRPr="001C2314">
        <w:rPr>
          <w:i/>
          <w:iCs/>
          <w:sz w:val="24"/>
          <w:szCs w:val="24"/>
        </w:rPr>
        <w:t xml:space="preserve"> </w:t>
      </w:r>
      <w:proofErr w:type="spellStart"/>
      <w:r w:rsidRPr="001C2314">
        <w:rPr>
          <w:i/>
          <w:iCs/>
          <w:sz w:val="24"/>
          <w:szCs w:val="24"/>
        </w:rPr>
        <w:t>state</w:t>
      </w:r>
      <w:proofErr w:type="spellEnd"/>
      <w:r w:rsidRPr="001C2314">
        <w:rPr>
          <w:sz w:val="24"/>
          <w:szCs w:val="24"/>
        </w:rPr>
        <w:t xml:space="preserve">. </w:t>
      </w:r>
    </w:p>
    <w:p w14:paraId="39AFD3E4" w14:textId="77777777" w:rsidR="002743CF" w:rsidRPr="001C2314" w:rsidRDefault="002743CF" w:rsidP="001C2314">
      <w:pPr>
        <w:ind w:left="851"/>
        <w:rPr>
          <w:sz w:val="24"/>
          <w:szCs w:val="24"/>
          <w:u w:val="single"/>
        </w:rPr>
      </w:pPr>
    </w:p>
    <w:p w14:paraId="2960A53A" w14:textId="77777777" w:rsidR="002743CF" w:rsidRPr="001C2314" w:rsidRDefault="002743CF" w:rsidP="001C2314">
      <w:pPr>
        <w:ind w:left="851"/>
        <w:rPr>
          <w:sz w:val="24"/>
          <w:szCs w:val="24"/>
          <w:u w:val="single"/>
        </w:rPr>
      </w:pPr>
      <w:proofErr w:type="spellStart"/>
      <w:r w:rsidRPr="001C2314">
        <w:rPr>
          <w:sz w:val="24"/>
          <w:szCs w:val="24"/>
          <w:u w:val="single"/>
        </w:rPr>
        <w:t>Farmakokinetiske</w:t>
      </w:r>
      <w:proofErr w:type="spellEnd"/>
      <w:r w:rsidRPr="001C2314">
        <w:rPr>
          <w:sz w:val="24"/>
          <w:szCs w:val="24"/>
          <w:u w:val="single"/>
        </w:rPr>
        <w:t>/</w:t>
      </w:r>
      <w:proofErr w:type="spellStart"/>
      <w:r w:rsidRPr="001C2314">
        <w:rPr>
          <w:sz w:val="24"/>
          <w:szCs w:val="24"/>
          <w:u w:val="single"/>
        </w:rPr>
        <w:t>farmakodynamiske</w:t>
      </w:r>
      <w:proofErr w:type="spellEnd"/>
      <w:r w:rsidRPr="001C2314">
        <w:rPr>
          <w:sz w:val="24"/>
          <w:szCs w:val="24"/>
          <w:u w:val="single"/>
        </w:rPr>
        <w:t xml:space="preserve"> forhold</w:t>
      </w:r>
    </w:p>
    <w:p w14:paraId="7BAF5BE9" w14:textId="77777777" w:rsidR="002743CF" w:rsidRPr="001C2314" w:rsidRDefault="002743CF" w:rsidP="001C2314">
      <w:pPr>
        <w:ind w:left="851"/>
        <w:rPr>
          <w:sz w:val="24"/>
          <w:szCs w:val="24"/>
        </w:rPr>
      </w:pPr>
      <w:r w:rsidRPr="001C2314">
        <w:rPr>
          <w:sz w:val="24"/>
          <w:szCs w:val="24"/>
          <w:u w:val="single"/>
        </w:rPr>
        <w:t>Særlige populationer</w:t>
      </w:r>
    </w:p>
    <w:p w14:paraId="1166028B" w14:textId="1C9ACDC0" w:rsidR="002743CF" w:rsidRPr="001C2314" w:rsidRDefault="002743CF" w:rsidP="001C2314">
      <w:pPr>
        <w:ind w:left="851"/>
        <w:rPr>
          <w:sz w:val="24"/>
          <w:szCs w:val="24"/>
        </w:rPr>
      </w:pPr>
      <w:r w:rsidRPr="001C2314">
        <w:rPr>
          <w:sz w:val="24"/>
          <w:szCs w:val="24"/>
        </w:rPr>
        <w:t xml:space="preserve">En </w:t>
      </w:r>
      <w:proofErr w:type="spellStart"/>
      <w:r w:rsidRPr="001C2314">
        <w:rPr>
          <w:sz w:val="24"/>
          <w:szCs w:val="24"/>
        </w:rPr>
        <w:t>farmakokinetisk</w:t>
      </w:r>
      <w:proofErr w:type="spellEnd"/>
      <w:r w:rsidRPr="001C2314">
        <w:rPr>
          <w:sz w:val="24"/>
          <w:szCs w:val="24"/>
        </w:rPr>
        <w:t xml:space="preserve"> populationsanalyse af data fra KOL-patienter klarlagde kropsvægt og alder som de faktorer, der bidrager til variation i systemisk eksponering mellem patienter. </w:t>
      </w:r>
      <w:proofErr w:type="spellStart"/>
      <w:r w:rsidRPr="001C2314">
        <w:rPr>
          <w:bCs/>
          <w:sz w:val="24"/>
          <w:szCs w:val="24"/>
        </w:rPr>
        <w:t>Glycopyrronium</w:t>
      </w:r>
      <w:proofErr w:type="spellEnd"/>
      <w:r w:rsidRPr="001C2314">
        <w:rPr>
          <w:bCs/>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44 mikrogram én gang dagligt kan anvendes sikkert i alle alders- og vægtgrupper. </w:t>
      </w:r>
    </w:p>
    <w:p w14:paraId="117C3C95" w14:textId="77777777" w:rsidR="002743CF" w:rsidRPr="001C2314" w:rsidRDefault="002743CF" w:rsidP="001C2314">
      <w:pPr>
        <w:ind w:left="851"/>
        <w:rPr>
          <w:sz w:val="24"/>
          <w:szCs w:val="24"/>
        </w:rPr>
      </w:pPr>
    </w:p>
    <w:p w14:paraId="662CC870" w14:textId="77777777" w:rsidR="002743CF" w:rsidRPr="001C2314" w:rsidRDefault="002743CF" w:rsidP="001C2314">
      <w:pPr>
        <w:ind w:left="851"/>
        <w:rPr>
          <w:sz w:val="24"/>
          <w:szCs w:val="24"/>
        </w:rPr>
      </w:pPr>
      <w:r w:rsidRPr="001C2314">
        <w:rPr>
          <w:sz w:val="24"/>
          <w:szCs w:val="24"/>
        </w:rPr>
        <w:t>Køn, rygevaner og baseline FEV</w:t>
      </w:r>
      <w:r w:rsidRPr="001C2314">
        <w:rPr>
          <w:sz w:val="24"/>
          <w:szCs w:val="24"/>
          <w:vertAlign w:val="subscript"/>
        </w:rPr>
        <w:t>1</w:t>
      </w:r>
      <w:r w:rsidRPr="001C2314">
        <w:rPr>
          <w:sz w:val="24"/>
          <w:szCs w:val="24"/>
        </w:rPr>
        <w:t xml:space="preserve"> havde ingen åbenlys virkning på systemisk eksponering. </w:t>
      </w:r>
    </w:p>
    <w:p w14:paraId="5F126640" w14:textId="77777777" w:rsidR="002743CF" w:rsidRPr="001C2314" w:rsidRDefault="002743CF" w:rsidP="001C2314">
      <w:pPr>
        <w:ind w:left="851"/>
        <w:rPr>
          <w:sz w:val="24"/>
          <w:szCs w:val="24"/>
        </w:rPr>
      </w:pPr>
    </w:p>
    <w:p w14:paraId="5FE97EDD" w14:textId="77777777" w:rsidR="002743CF" w:rsidRPr="001C2314" w:rsidRDefault="002743CF" w:rsidP="001C2314">
      <w:pPr>
        <w:ind w:left="851"/>
        <w:rPr>
          <w:sz w:val="24"/>
          <w:szCs w:val="24"/>
        </w:rPr>
      </w:pPr>
      <w:r w:rsidRPr="001C2314">
        <w:rPr>
          <w:sz w:val="24"/>
          <w:szCs w:val="24"/>
        </w:rPr>
        <w:t xml:space="preserve">Der var ingen større forskelle i total systemisk eksponering (AUC) mellem japanske og kaukasiske forsøgspersoner efter inhalation af </w:t>
      </w:r>
      <w:proofErr w:type="spellStart"/>
      <w:r w:rsidRPr="001C2314">
        <w:rPr>
          <w:sz w:val="24"/>
          <w:szCs w:val="24"/>
        </w:rPr>
        <w:t>glycopyrroniumbromid</w:t>
      </w:r>
      <w:proofErr w:type="spellEnd"/>
      <w:r w:rsidRPr="001C2314">
        <w:rPr>
          <w:sz w:val="24"/>
          <w:szCs w:val="24"/>
        </w:rPr>
        <w:t xml:space="preserve">. Der er ikke tilstrækkelige </w:t>
      </w:r>
      <w:proofErr w:type="spellStart"/>
      <w:r w:rsidRPr="001C2314">
        <w:rPr>
          <w:sz w:val="24"/>
          <w:szCs w:val="24"/>
        </w:rPr>
        <w:t>farmakokinetiske</w:t>
      </w:r>
      <w:proofErr w:type="spellEnd"/>
      <w:r w:rsidRPr="001C2314">
        <w:rPr>
          <w:sz w:val="24"/>
          <w:szCs w:val="24"/>
        </w:rPr>
        <w:t xml:space="preserve"> data for andre etniske grupper eller racer.</w:t>
      </w:r>
    </w:p>
    <w:p w14:paraId="1BB4C76B" w14:textId="77777777" w:rsidR="002743CF" w:rsidRPr="001C2314" w:rsidRDefault="002743CF" w:rsidP="001C2314">
      <w:pPr>
        <w:ind w:left="851"/>
        <w:rPr>
          <w:sz w:val="24"/>
          <w:szCs w:val="24"/>
        </w:rPr>
      </w:pPr>
    </w:p>
    <w:p w14:paraId="01531344" w14:textId="77777777" w:rsidR="002743CF" w:rsidRPr="001C2314" w:rsidRDefault="002743CF" w:rsidP="001C2314">
      <w:pPr>
        <w:ind w:left="851"/>
        <w:rPr>
          <w:i/>
          <w:sz w:val="24"/>
          <w:szCs w:val="24"/>
        </w:rPr>
      </w:pPr>
      <w:r w:rsidRPr="001C2314">
        <w:rPr>
          <w:i/>
          <w:sz w:val="24"/>
          <w:szCs w:val="24"/>
        </w:rPr>
        <w:t xml:space="preserve">Patienter med nedsat leverfunktion </w:t>
      </w:r>
    </w:p>
    <w:p w14:paraId="6B16BE70" w14:textId="77777777" w:rsidR="002743CF" w:rsidRPr="001C2314" w:rsidRDefault="002743CF" w:rsidP="001C2314">
      <w:pPr>
        <w:ind w:left="851"/>
        <w:rPr>
          <w:sz w:val="24"/>
          <w:szCs w:val="24"/>
        </w:rPr>
      </w:pPr>
      <w:r w:rsidRPr="001C2314">
        <w:rPr>
          <w:sz w:val="24"/>
          <w:szCs w:val="24"/>
        </w:rPr>
        <w:t xml:space="preserve">Der er ikke udført kliniske studier hos patienter med nedsat leverfunktion. </w:t>
      </w:r>
      <w:proofErr w:type="spellStart"/>
      <w:r w:rsidRPr="001C2314">
        <w:rPr>
          <w:sz w:val="24"/>
          <w:szCs w:val="24"/>
        </w:rPr>
        <w:t>Glycopyrronium</w:t>
      </w:r>
      <w:proofErr w:type="spellEnd"/>
      <w:r w:rsidRPr="001C2314">
        <w:rPr>
          <w:sz w:val="24"/>
          <w:szCs w:val="24"/>
        </w:rPr>
        <w:t xml:space="preserve"> udskilles overvejende fra det systemiske kredsløb ved </w:t>
      </w:r>
      <w:proofErr w:type="spellStart"/>
      <w:r w:rsidRPr="001C2314">
        <w:rPr>
          <w:sz w:val="24"/>
          <w:szCs w:val="24"/>
        </w:rPr>
        <w:t>renal</w:t>
      </w:r>
      <w:proofErr w:type="spellEnd"/>
      <w:r w:rsidRPr="001C2314">
        <w:rPr>
          <w:sz w:val="24"/>
          <w:szCs w:val="24"/>
        </w:rPr>
        <w:t xml:space="preserve"> udskillelse. Nedsættelse af </w:t>
      </w:r>
      <w:proofErr w:type="spellStart"/>
      <w:r w:rsidRPr="001C2314">
        <w:rPr>
          <w:sz w:val="24"/>
          <w:szCs w:val="24"/>
        </w:rPr>
        <w:t>glycopyrroniums</w:t>
      </w:r>
      <w:proofErr w:type="spellEnd"/>
      <w:r w:rsidRPr="001C2314">
        <w:rPr>
          <w:sz w:val="24"/>
          <w:szCs w:val="24"/>
        </w:rPr>
        <w:t xml:space="preserve"> metabolisme i leveren menes ikke at medføre en klinisk relevant forøgelse af systemisk eksponering.</w:t>
      </w:r>
    </w:p>
    <w:p w14:paraId="6294CB5E" w14:textId="77777777" w:rsidR="002743CF" w:rsidRPr="001C2314" w:rsidRDefault="002743CF" w:rsidP="001C2314">
      <w:pPr>
        <w:ind w:left="851"/>
        <w:rPr>
          <w:sz w:val="24"/>
          <w:szCs w:val="24"/>
        </w:rPr>
      </w:pPr>
    </w:p>
    <w:p w14:paraId="014AC41F" w14:textId="77777777" w:rsidR="002743CF" w:rsidRPr="001C2314" w:rsidRDefault="002743CF" w:rsidP="001C2314">
      <w:pPr>
        <w:ind w:left="851"/>
        <w:rPr>
          <w:i/>
          <w:sz w:val="24"/>
          <w:szCs w:val="24"/>
        </w:rPr>
      </w:pPr>
      <w:r w:rsidRPr="001C2314">
        <w:rPr>
          <w:i/>
          <w:sz w:val="24"/>
          <w:szCs w:val="24"/>
        </w:rPr>
        <w:t xml:space="preserve">Patienter med nedsat nyrefunktion </w:t>
      </w:r>
    </w:p>
    <w:p w14:paraId="2C528D1D" w14:textId="4EDD56ED" w:rsidR="002743CF" w:rsidRPr="001C2314" w:rsidRDefault="002743CF" w:rsidP="001C2314">
      <w:pPr>
        <w:ind w:left="851"/>
        <w:rPr>
          <w:sz w:val="24"/>
          <w:szCs w:val="24"/>
        </w:rPr>
      </w:pPr>
      <w:r w:rsidRPr="001C2314">
        <w:rPr>
          <w:sz w:val="24"/>
          <w:szCs w:val="24"/>
        </w:rPr>
        <w:t xml:space="preserve">Nedsat nyrefunktion har en indvirkning på den systemiske eksponering for </w:t>
      </w:r>
      <w:proofErr w:type="spellStart"/>
      <w:r w:rsidRPr="001C2314">
        <w:rPr>
          <w:sz w:val="24"/>
          <w:szCs w:val="24"/>
        </w:rPr>
        <w:t>glycopyrro</w:t>
      </w:r>
      <w:r w:rsidR="00644B42">
        <w:rPr>
          <w:sz w:val="24"/>
          <w:szCs w:val="24"/>
        </w:rPr>
        <w:softHyphen/>
      </w:r>
      <w:r w:rsidRPr="001C2314">
        <w:rPr>
          <w:sz w:val="24"/>
          <w:szCs w:val="24"/>
        </w:rPr>
        <w:t>nium</w:t>
      </w:r>
      <w:r w:rsidR="00644B42">
        <w:rPr>
          <w:sz w:val="24"/>
          <w:szCs w:val="24"/>
        </w:rPr>
        <w:softHyphen/>
      </w:r>
      <w:r w:rsidRPr="001C2314">
        <w:rPr>
          <w:sz w:val="24"/>
          <w:szCs w:val="24"/>
        </w:rPr>
        <w:t>bromid</w:t>
      </w:r>
      <w:proofErr w:type="spellEnd"/>
      <w:r w:rsidRPr="001C2314">
        <w:rPr>
          <w:sz w:val="24"/>
          <w:szCs w:val="24"/>
        </w:rPr>
        <w:t>. En moderat gennemsnitlig forøgelse af total systemisk eksponering (</w:t>
      </w:r>
      <w:proofErr w:type="spellStart"/>
      <w:r w:rsidRPr="001C2314">
        <w:rPr>
          <w:sz w:val="24"/>
          <w:szCs w:val="24"/>
        </w:rPr>
        <w:t>AUC</w:t>
      </w:r>
      <w:r w:rsidRPr="001C2314">
        <w:rPr>
          <w:sz w:val="24"/>
          <w:szCs w:val="24"/>
          <w:vertAlign w:val="subscript"/>
        </w:rPr>
        <w:t>last</w:t>
      </w:r>
      <w:proofErr w:type="spellEnd"/>
      <w:r w:rsidRPr="001C2314">
        <w:rPr>
          <w:sz w:val="24"/>
          <w:szCs w:val="24"/>
        </w:rPr>
        <w:t xml:space="preserve">) på op til 1,4 gange blev set hos forsøgspersoner med </w:t>
      </w:r>
      <w:proofErr w:type="gramStart"/>
      <w:r w:rsidRPr="001C2314">
        <w:rPr>
          <w:sz w:val="24"/>
          <w:szCs w:val="24"/>
        </w:rPr>
        <w:t>mildt og moderat nedsat nyrefunktion</w:t>
      </w:r>
      <w:proofErr w:type="gramEnd"/>
      <w:r w:rsidRPr="001C2314">
        <w:rPr>
          <w:sz w:val="24"/>
          <w:szCs w:val="24"/>
        </w:rPr>
        <w:t xml:space="preserve"> og op til 2,2 gange hos forsøgspersoner med svært nedsat nyrefunktion og nyresygdom i slutstadiet. Hos KOL-patienter med </w:t>
      </w:r>
      <w:proofErr w:type="gramStart"/>
      <w:r w:rsidRPr="001C2314">
        <w:rPr>
          <w:sz w:val="24"/>
          <w:szCs w:val="24"/>
        </w:rPr>
        <w:t>mildt og moderat nedsat nyrefunktion</w:t>
      </w:r>
      <w:proofErr w:type="gramEnd"/>
      <w:r w:rsidRPr="001C2314">
        <w:rPr>
          <w:sz w:val="24"/>
          <w:szCs w:val="24"/>
        </w:rPr>
        <w:t xml:space="preserve"> (estimeret </w:t>
      </w:r>
      <w:proofErr w:type="spellStart"/>
      <w:r w:rsidRPr="001C2314">
        <w:rPr>
          <w:sz w:val="24"/>
          <w:szCs w:val="24"/>
        </w:rPr>
        <w:t>glomerulær</w:t>
      </w:r>
      <w:proofErr w:type="spellEnd"/>
      <w:r w:rsidRPr="001C2314">
        <w:rPr>
          <w:sz w:val="24"/>
          <w:szCs w:val="24"/>
        </w:rPr>
        <w:t xml:space="preserve"> filtrationshastighed, </w:t>
      </w:r>
      <w:proofErr w:type="spellStart"/>
      <w:r w:rsidRPr="001C2314">
        <w:rPr>
          <w:sz w:val="24"/>
          <w:szCs w:val="24"/>
        </w:rPr>
        <w:t>eGFR</w:t>
      </w:r>
      <w:proofErr w:type="spellEnd"/>
      <w:r w:rsidRPr="001C2314">
        <w:rPr>
          <w:sz w:val="24"/>
          <w:szCs w:val="24"/>
        </w:rPr>
        <w:t xml:space="preserve"> ≥ 30 ml/min/1,73 m</w:t>
      </w:r>
      <w:r w:rsidRPr="001C2314">
        <w:rPr>
          <w:sz w:val="24"/>
          <w:szCs w:val="24"/>
          <w:vertAlign w:val="superscript"/>
        </w:rPr>
        <w:t>2</w:t>
      </w:r>
      <w:r w:rsidRPr="001C2314">
        <w:rPr>
          <w:sz w:val="24"/>
          <w:szCs w:val="24"/>
        </w:rPr>
        <w:t xml:space="preserve">) kan </w:t>
      </w:r>
      <w:proofErr w:type="spellStart"/>
      <w:r w:rsidRPr="001C2314">
        <w:rPr>
          <w:bCs/>
          <w:sz w:val="24"/>
          <w:szCs w:val="24"/>
        </w:rPr>
        <w:t>Glycopyrronium</w:t>
      </w:r>
      <w:proofErr w:type="spellEnd"/>
      <w:r w:rsidRPr="001C2314">
        <w:rPr>
          <w:bCs/>
          <w:sz w:val="24"/>
          <w:szCs w:val="24"/>
        </w:rPr>
        <w:t xml:space="preserve"> </w:t>
      </w:r>
      <w:r w:rsidR="003D2392">
        <w:rPr>
          <w:bCs/>
          <w:sz w:val="24"/>
          <w:szCs w:val="24"/>
        </w:rPr>
        <w:t>"</w:t>
      </w:r>
      <w:r w:rsidRPr="001C2314">
        <w:rPr>
          <w:bCs/>
          <w:sz w:val="24"/>
          <w:szCs w:val="24"/>
        </w:rPr>
        <w:t>Medical Valley</w:t>
      </w:r>
      <w:r w:rsidR="003D2392">
        <w:rPr>
          <w:bCs/>
          <w:sz w:val="24"/>
          <w:szCs w:val="24"/>
        </w:rPr>
        <w:t>"</w:t>
      </w:r>
      <w:r w:rsidRPr="001C2314">
        <w:rPr>
          <w:sz w:val="24"/>
          <w:szCs w:val="24"/>
        </w:rPr>
        <w:t xml:space="preserve"> anvendes ved den anbefalede dosis. Hos patienter med svært nedsat nyrefunktion (</w:t>
      </w:r>
      <w:proofErr w:type="spellStart"/>
      <w:r w:rsidRPr="001C2314">
        <w:rPr>
          <w:sz w:val="24"/>
          <w:szCs w:val="24"/>
        </w:rPr>
        <w:t>eGFR</w:t>
      </w:r>
      <w:proofErr w:type="spellEnd"/>
      <w:r w:rsidRPr="001C2314">
        <w:rPr>
          <w:sz w:val="24"/>
          <w:szCs w:val="24"/>
        </w:rPr>
        <w:t xml:space="preserve"> &lt; 30 ml/min/1,73 m</w:t>
      </w:r>
      <w:r w:rsidRPr="001C2314">
        <w:rPr>
          <w:sz w:val="24"/>
          <w:szCs w:val="24"/>
          <w:vertAlign w:val="superscript"/>
        </w:rPr>
        <w:t>2</w:t>
      </w:r>
      <w:r w:rsidRPr="001C2314">
        <w:rPr>
          <w:sz w:val="24"/>
          <w:szCs w:val="24"/>
        </w:rPr>
        <w:t xml:space="preserve">), inklusive dem med slutstadiet af nyresygdom, som kræver dialyse, må </w:t>
      </w:r>
      <w:proofErr w:type="spellStart"/>
      <w:r w:rsidRPr="001C2314">
        <w:rPr>
          <w:bCs/>
          <w:sz w:val="24"/>
          <w:szCs w:val="24"/>
        </w:rPr>
        <w:t>Glycopyrronium</w:t>
      </w:r>
      <w:proofErr w:type="spellEnd"/>
      <w:r w:rsidRPr="001C2314">
        <w:rPr>
          <w:bCs/>
          <w:sz w:val="24"/>
          <w:szCs w:val="24"/>
        </w:rPr>
        <w:t xml:space="preserve"> </w:t>
      </w:r>
      <w:r w:rsidR="003D2392">
        <w:rPr>
          <w:bCs/>
          <w:sz w:val="24"/>
          <w:szCs w:val="24"/>
        </w:rPr>
        <w:t>"</w:t>
      </w:r>
      <w:r w:rsidRPr="001C2314">
        <w:rPr>
          <w:bCs/>
          <w:sz w:val="24"/>
          <w:szCs w:val="24"/>
        </w:rPr>
        <w:t>Medical Valley</w:t>
      </w:r>
      <w:r w:rsidR="003D2392">
        <w:rPr>
          <w:bCs/>
          <w:sz w:val="24"/>
          <w:szCs w:val="24"/>
        </w:rPr>
        <w:t>"</w:t>
      </w:r>
      <w:r w:rsidRPr="001C2314">
        <w:rPr>
          <w:sz w:val="24"/>
          <w:szCs w:val="24"/>
        </w:rPr>
        <w:t xml:space="preserve"> kun anvendes, hvis den forventede fordel opvejer den potentielle risiko (se pkt. 4.4). </w:t>
      </w:r>
    </w:p>
    <w:p w14:paraId="242E088B" w14:textId="77777777" w:rsidR="009260DE" w:rsidRPr="001C2314" w:rsidRDefault="009260DE" w:rsidP="009260DE">
      <w:pPr>
        <w:tabs>
          <w:tab w:val="left" w:pos="851"/>
        </w:tabs>
        <w:ind w:left="851"/>
        <w:rPr>
          <w:sz w:val="24"/>
          <w:szCs w:val="24"/>
        </w:rPr>
      </w:pPr>
    </w:p>
    <w:p w14:paraId="150A845B" w14:textId="77777777" w:rsidR="009260DE" w:rsidRPr="001C2314" w:rsidRDefault="009260DE" w:rsidP="009260DE">
      <w:pPr>
        <w:tabs>
          <w:tab w:val="left" w:pos="851"/>
        </w:tabs>
        <w:ind w:left="851" w:hanging="851"/>
        <w:rPr>
          <w:b/>
          <w:sz w:val="24"/>
          <w:szCs w:val="24"/>
        </w:rPr>
      </w:pPr>
      <w:r w:rsidRPr="001C2314">
        <w:rPr>
          <w:b/>
          <w:sz w:val="24"/>
          <w:szCs w:val="24"/>
        </w:rPr>
        <w:t>5.3</w:t>
      </w:r>
      <w:r w:rsidRPr="001C2314">
        <w:rPr>
          <w:b/>
          <w:sz w:val="24"/>
          <w:szCs w:val="24"/>
        </w:rPr>
        <w:tab/>
      </w:r>
      <w:r w:rsidR="00BD7931" w:rsidRPr="001C2314">
        <w:rPr>
          <w:b/>
          <w:sz w:val="24"/>
          <w:szCs w:val="24"/>
        </w:rPr>
        <w:t>Non-</w:t>
      </w:r>
      <w:r w:rsidRPr="001C2314">
        <w:rPr>
          <w:b/>
          <w:sz w:val="24"/>
          <w:szCs w:val="24"/>
        </w:rPr>
        <w:t>kliniske sikkerhedsdata</w:t>
      </w:r>
    </w:p>
    <w:p w14:paraId="110A527E" w14:textId="77777777" w:rsidR="002743CF" w:rsidRPr="001C2314" w:rsidRDefault="002743CF" w:rsidP="001C2314">
      <w:pPr>
        <w:numPr>
          <w:ilvl w:val="12"/>
          <w:numId w:val="0"/>
        </w:numPr>
        <w:ind w:left="851" w:right="11"/>
        <w:rPr>
          <w:sz w:val="24"/>
          <w:szCs w:val="24"/>
        </w:rPr>
      </w:pPr>
      <w:r w:rsidRPr="001C2314">
        <w:rPr>
          <w:sz w:val="24"/>
          <w:szCs w:val="24"/>
        </w:rPr>
        <w:t xml:space="preserve">Non-kliniske data viser ingen speciel risiko for mennesker vurderet ud fra konventionelle studier af sikkerhedsfarmakologi, toksicitet efter gentagne doser, genotoksicitet, </w:t>
      </w:r>
      <w:proofErr w:type="spellStart"/>
      <w:r w:rsidRPr="001C2314">
        <w:rPr>
          <w:sz w:val="24"/>
          <w:szCs w:val="24"/>
        </w:rPr>
        <w:t>karcinogent</w:t>
      </w:r>
      <w:proofErr w:type="spellEnd"/>
      <w:r w:rsidRPr="001C2314">
        <w:rPr>
          <w:sz w:val="24"/>
          <w:szCs w:val="24"/>
        </w:rPr>
        <w:t xml:space="preserve"> potentiale samt reproduktions- og udviklingstoksicitet.</w:t>
      </w:r>
    </w:p>
    <w:p w14:paraId="540B7128" w14:textId="77777777" w:rsidR="002743CF" w:rsidRPr="001C2314" w:rsidRDefault="002743CF" w:rsidP="001C2314">
      <w:pPr>
        <w:numPr>
          <w:ilvl w:val="12"/>
          <w:numId w:val="0"/>
        </w:numPr>
        <w:ind w:left="851" w:right="11"/>
        <w:rPr>
          <w:sz w:val="24"/>
          <w:szCs w:val="24"/>
        </w:rPr>
      </w:pPr>
    </w:p>
    <w:p w14:paraId="5600ED03" w14:textId="41973666" w:rsidR="002743CF" w:rsidRPr="001C2314" w:rsidRDefault="002743CF" w:rsidP="001C2314">
      <w:pPr>
        <w:numPr>
          <w:ilvl w:val="12"/>
          <w:numId w:val="0"/>
        </w:numPr>
        <w:ind w:left="851" w:right="11"/>
        <w:rPr>
          <w:sz w:val="24"/>
          <w:szCs w:val="24"/>
        </w:rPr>
      </w:pPr>
      <w:r w:rsidRPr="001C2314">
        <w:rPr>
          <w:sz w:val="24"/>
          <w:szCs w:val="24"/>
        </w:rPr>
        <w:t xml:space="preserve">Virkninger, som kan tilskrives </w:t>
      </w:r>
      <w:proofErr w:type="spellStart"/>
      <w:r w:rsidRPr="001C2314">
        <w:rPr>
          <w:sz w:val="24"/>
          <w:szCs w:val="24"/>
        </w:rPr>
        <w:t>glycopyrroniumbromids</w:t>
      </w:r>
      <w:proofErr w:type="spellEnd"/>
      <w:r w:rsidRPr="001C2314">
        <w:rPr>
          <w:sz w:val="24"/>
          <w:szCs w:val="24"/>
        </w:rPr>
        <w:t xml:space="preserve"> egenskaber som </w:t>
      </w:r>
      <w:proofErr w:type="spellStart"/>
      <w:r w:rsidRPr="001C2314">
        <w:rPr>
          <w:sz w:val="24"/>
          <w:szCs w:val="24"/>
        </w:rPr>
        <w:t>muskarin</w:t>
      </w:r>
      <w:r w:rsidR="00644B42">
        <w:rPr>
          <w:sz w:val="24"/>
          <w:szCs w:val="24"/>
        </w:rPr>
        <w:softHyphen/>
      </w:r>
      <w:r w:rsidRPr="001C2314">
        <w:rPr>
          <w:sz w:val="24"/>
          <w:szCs w:val="24"/>
        </w:rPr>
        <w:t>receptorantagonist</w:t>
      </w:r>
      <w:proofErr w:type="spellEnd"/>
      <w:r w:rsidRPr="001C2314">
        <w:rPr>
          <w:sz w:val="24"/>
          <w:szCs w:val="24"/>
        </w:rPr>
        <w:t xml:space="preserve">, omfattede mildt til moderat forøgelse i hjertefrekvensen hos hunde, uklarhed i linse hos rotter og reversible ændringer forbundet med reduceret </w:t>
      </w:r>
      <w:proofErr w:type="spellStart"/>
      <w:r w:rsidRPr="001C2314">
        <w:rPr>
          <w:sz w:val="24"/>
          <w:szCs w:val="24"/>
        </w:rPr>
        <w:t>glandulær</w:t>
      </w:r>
      <w:proofErr w:type="spellEnd"/>
      <w:r w:rsidRPr="001C2314">
        <w:rPr>
          <w:sz w:val="24"/>
          <w:szCs w:val="24"/>
        </w:rPr>
        <w:t xml:space="preserve"> sekretion hos rotter og hunde. Der er set mild irritation eller adaptive ændringer i luftvejene hos rotter. Alle disse resultater blev observeret ved eksponeringer, der i væsentlig grad overstiger de, der forventes hos mennesker.</w:t>
      </w:r>
    </w:p>
    <w:p w14:paraId="7C9171FD" w14:textId="77777777" w:rsidR="002743CF" w:rsidRPr="001C2314" w:rsidRDefault="002743CF" w:rsidP="001C2314">
      <w:pPr>
        <w:numPr>
          <w:ilvl w:val="12"/>
          <w:numId w:val="0"/>
        </w:numPr>
        <w:ind w:left="851" w:right="11"/>
        <w:rPr>
          <w:sz w:val="24"/>
          <w:szCs w:val="24"/>
        </w:rPr>
      </w:pPr>
    </w:p>
    <w:p w14:paraId="72CEF84F" w14:textId="77777777" w:rsidR="002743CF" w:rsidRPr="001C2314" w:rsidRDefault="002743CF" w:rsidP="001C2314">
      <w:pPr>
        <w:numPr>
          <w:ilvl w:val="12"/>
          <w:numId w:val="0"/>
        </w:numPr>
        <w:ind w:left="851" w:right="11"/>
        <w:rPr>
          <w:sz w:val="24"/>
          <w:szCs w:val="24"/>
        </w:rPr>
      </w:pPr>
      <w:proofErr w:type="spellStart"/>
      <w:r w:rsidRPr="001C2314">
        <w:rPr>
          <w:sz w:val="24"/>
          <w:szCs w:val="24"/>
        </w:rPr>
        <w:t>Glycopyrronium</w:t>
      </w:r>
      <w:proofErr w:type="spellEnd"/>
      <w:r w:rsidRPr="001C2314">
        <w:rPr>
          <w:sz w:val="24"/>
          <w:szCs w:val="24"/>
        </w:rPr>
        <w:t xml:space="preserve"> var ikke </w:t>
      </w:r>
      <w:proofErr w:type="spellStart"/>
      <w:r w:rsidRPr="001C2314">
        <w:rPr>
          <w:sz w:val="24"/>
          <w:szCs w:val="24"/>
        </w:rPr>
        <w:t>teratogent</w:t>
      </w:r>
      <w:proofErr w:type="spellEnd"/>
      <w:r w:rsidRPr="001C2314">
        <w:rPr>
          <w:sz w:val="24"/>
          <w:szCs w:val="24"/>
        </w:rPr>
        <w:t xml:space="preserve"> hos rotter eller kaniner efter inhalationsadministration. Fertilitet, præ- og </w:t>
      </w:r>
      <w:proofErr w:type="spellStart"/>
      <w:r w:rsidRPr="001C2314">
        <w:rPr>
          <w:sz w:val="24"/>
          <w:szCs w:val="24"/>
        </w:rPr>
        <w:t>postnatal</w:t>
      </w:r>
      <w:proofErr w:type="spellEnd"/>
      <w:r w:rsidRPr="001C2314">
        <w:rPr>
          <w:sz w:val="24"/>
          <w:szCs w:val="24"/>
        </w:rPr>
        <w:t xml:space="preserve"> udvikling var upåvirket hos rotter. </w:t>
      </w:r>
      <w:proofErr w:type="spellStart"/>
      <w:r w:rsidRPr="001C2314">
        <w:rPr>
          <w:sz w:val="24"/>
          <w:szCs w:val="24"/>
        </w:rPr>
        <w:t>Glycopyrroniumbromid</w:t>
      </w:r>
      <w:proofErr w:type="spellEnd"/>
      <w:r w:rsidRPr="001C2314">
        <w:rPr>
          <w:sz w:val="24"/>
          <w:szCs w:val="24"/>
        </w:rPr>
        <w:t xml:space="preserve"> og dets metabolitter krydsede ikke i signifikant grad placentabarrieren hos drægtige mus, kaniner og hunde.</w:t>
      </w:r>
    </w:p>
    <w:p w14:paraId="0918E337" w14:textId="77777777" w:rsidR="002743CF" w:rsidRPr="001C2314" w:rsidRDefault="002743CF" w:rsidP="001C2314">
      <w:pPr>
        <w:numPr>
          <w:ilvl w:val="12"/>
          <w:numId w:val="0"/>
        </w:numPr>
        <w:ind w:left="851" w:right="11"/>
        <w:rPr>
          <w:sz w:val="24"/>
          <w:szCs w:val="24"/>
        </w:rPr>
      </w:pPr>
      <w:proofErr w:type="spellStart"/>
      <w:r w:rsidRPr="001C2314">
        <w:rPr>
          <w:sz w:val="24"/>
          <w:szCs w:val="24"/>
        </w:rPr>
        <w:t>Glycopyrroniumbromid</w:t>
      </w:r>
      <w:proofErr w:type="spellEnd"/>
      <w:r w:rsidRPr="001C2314">
        <w:rPr>
          <w:sz w:val="24"/>
          <w:szCs w:val="24"/>
        </w:rPr>
        <w:t xml:space="preserve"> (herunder dets metabolitter) blev udskilt i mælken hos diegivende rotter og nåede op til 10 gange større koncentrationer i mælken end i blodet hos moderen.</w:t>
      </w:r>
    </w:p>
    <w:p w14:paraId="1AD179D8" w14:textId="77777777" w:rsidR="002743CF" w:rsidRPr="001C2314" w:rsidRDefault="002743CF" w:rsidP="001C2314">
      <w:pPr>
        <w:numPr>
          <w:ilvl w:val="12"/>
          <w:numId w:val="0"/>
        </w:numPr>
        <w:ind w:left="851" w:right="11"/>
        <w:rPr>
          <w:sz w:val="24"/>
          <w:szCs w:val="24"/>
        </w:rPr>
      </w:pPr>
      <w:r w:rsidRPr="001C2314">
        <w:rPr>
          <w:sz w:val="24"/>
          <w:szCs w:val="24"/>
        </w:rPr>
        <w:t xml:space="preserve"> </w:t>
      </w:r>
    </w:p>
    <w:p w14:paraId="713C042B" w14:textId="77777777" w:rsidR="002743CF" w:rsidRPr="001C2314" w:rsidRDefault="002743CF" w:rsidP="001C2314">
      <w:pPr>
        <w:numPr>
          <w:ilvl w:val="12"/>
          <w:numId w:val="0"/>
        </w:numPr>
        <w:ind w:left="851" w:right="11"/>
        <w:rPr>
          <w:sz w:val="24"/>
          <w:szCs w:val="24"/>
        </w:rPr>
      </w:pPr>
      <w:proofErr w:type="spellStart"/>
      <w:r w:rsidRPr="001C2314">
        <w:rPr>
          <w:sz w:val="24"/>
          <w:szCs w:val="24"/>
        </w:rPr>
        <w:t>Genotoksicitetsstudier</w:t>
      </w:r>
      <w:proofErr w:type="spellEnd"/>
      <w:r w:rsidRPr="001C2314">
        <w:rPr>
          <w:sz w:val="24"/>
          <w:szCs w:val="24"/>
        </w:rPr>
        <w:t xml:space="preserve"> viste ikke mutagent eller </w:t>
      </w:r>
      <w:proofErr w:type="spellStart"/>
      <w:r w:rsidRPr="001C2314">
        <w:rPr>
          <w:sz w:val="24"/>
          <w:szCs w:val="24"/>
        </w:rPr>
        <w:t>klastogent</w:t>
      </w:r>
      <w:proofErr w:type="spellEnd"/>
      <w:r w:rsidRPr="001C2314">
        <w:rPr>
          <w:sz w:val="24"/>
          <w:szCs w:val="24"/>
        </w:rPr>
        <w:t xml:space="preserve"> potentiale for </w:t>
      </w:r>
      <w:proofErr w:type="spellStart"/>
      <w:r w:rsidRPr="001C2314">
        <w:rPr>
          <w:sz w:val="24"/>
          <w:szCs w:val="24"/>
        </w:rPr>
        <w:t>glycopyrroniumbromid</w:t>
      </w:r>
      <w:proofErr w:type="spellEnd"/>
      <w:r w:rsidRPr="001C2314">
        <w:rPr>
          <w:sz w:val="24"/>
          <w:szCs w:val="24"/>
        </w:rPr>
        <w:t xml:space="preserve">. </w:t>
      </w:r>
      <w:proofErr w:type="spellStart"/>
      <w:r w:rsidRPr="001C2314">
        <w:rPr>
          <w:sz w:val="24"/>
          <w:szCs w:val="24"/>
        </w:rPr>
        <w:t>Karcinogenicitetsstudier</w:t>
      </w:r>
      <w:proofErr w:type="spellEnd"/>
      <w:r w:rsidRPr="001C2314">
        <w:rPr>
          <w:sz w:val="24"/>
          <w:szCs w:val="24"/>
        </w:rPr>
        <w:t xml:space="preserve"> hos transgene mus ved oral administration og hos rotter ved inhalationsadministration viste ikke tegn på </w:t>
      </w:r>
      <w:proofErr w:type="spellStart"/>
      <w:r w:rsidRPr="001C2314">
        <w:rPr>
          <w:sz w:val="24"/>
          <w:szCs w:val="24"/>
        </w:rPr>
        <w:t>karcinogenicitet</w:t>
      </w:r>
      <w:proofErr w:type="spellEnd"/>
      <w:r w:rsidRPr="001C2314">
        <w:rPr>
          <w:sz w:val="24"/>
          <w:szCs w:val="24"/>
        </w:rPr>
        <w:t xml:space="preserve"> ved systemisk eksponering (AUC) på ca. 53 gange større hos mus og 75 gange større hos rotter end den anbefalede maksimale dosis på 44 mikrogram én gang dagligt for mennesker.</w:t>
      </w:r>
    </w:p>
    <w:p w14:paraId="2248CEA4" w14:textId="77777777" w:rsidR="009260DE" w:rsidRPr="001C2314" w:rsidRDefault="009260DE" w:rsidP="009260DE">
      <w:pPr>
        <w:tabs>
          <w:tab w:val="left" w:pos="851"/>
        </w:tabs>
        <w:ind w:left="851"/>
        <w:rPr>
          <w:sz w:val="24"/>
          <w:szCs w:val="24"/>
        </w:rPr>
      </w:pPr>
    </w:p>
    <w:p w14:paraId="5E2C2A9D" w14:textId="77777777" w:rsidR="009260DE" w:rsidRPr="001C2314" w:rsidRDefault="009260DE" w:rsidP="009260DE">
      <w:pPr>
        <w:tabs>
          <w:tab w:val="left" w:pos="851"/>
        </w:tabs>
        <w:ind w:left="851"/>
        <w:rPr>
          <w:sz w:val="24"/>
          <w:szCs w:val="24"/>
        </w:rPr>
      </w:pPr>
    </w:p>
    <w:p w14:paraId="5F6BBC59" w14:textId="77777777" w:rsidR="009260DE" w:rsidRPr="001C2314" w:rsidRDefault="009260DE" w:rsidP="009260DE">
      <w:pPr>
        <w:tabs>
          <w:tab w:val="left" w:pos="851"/>
        </w:tabs>
        <w:ind w:left="851" w:hanging="851"/>
        <w:rPr>
          <w:b/>
          <w:sz w:val="24"/>
          <w:szCs w:val="24"/>
        </w:rPr>
      </w:pPr>
      <w:r w:rsidRPr="001C2314">
        <w:rPr>
          <w:b/>
          <w:sz w:val="24"/>
          <w:szCs w:val="24"/>
        </w:rPr>
        <w:t>6.</w:t>
      </w:r>
      <w:r w:rsidRPr="001C2314">
        <w:rPr>
          <w:b/>
          <w:sz w:val="24"/>
          <w:szCs w:val="24"/>
        </w:rPr>
        <w:tab/>
        <w:t>FARMACEUTISKE OPLYSNINGER</w:t>
      </w:r>
    </w:p>
    <w:p w14:paraId="43259114" w14:textId="77777777" w:rsidR="009260DE" w:rsidRPr="001C2314" w:rsidRDefault="009260DE" w:rsidP="009260DE">
      <w:pPr>
        <w:tabs>
          <w:tab w:val="left" w:pos="851"/>
        </w:tabs>
        <w:ind w:left="851"/>
        <w:rPr>
          <w:sz w:val="24"/>
          <w:szCs w:val="24"/>
        </w:rPr>
      </w:pPr>
    </w:p>
    <w:p w14:paraId="133B7194" w14:textId="77777777" w:rsidR="009260DE" w:rsidRPr="001C2314" w:rsidRDefault="009260DE" w:rsidP="009260DE">
      <w:pPr>
        <w:tabs>
          <w:tab w:val="left" w:pos="851"/>
        </w:tabs>
        <w:ind w:left="851" w:hanging="851"/>
        <w:rPr>
          <w:b/>
          <w:sz w:val="24"/>
          <w:szCs w:val="24"/>
        </w:rPr>
      </w:pPr>
      <w:r w:rsidRPr="001C2314">
        <w:rPr>
          <w:b/>
          <w:sz w:val="24"/>
          <w:szCs w:val="24"/>
        </w:rPr>
        <w:t>6.1</w:t>
      </w:r>
      <w:r w:rsidRPr="001C2314">
        <w:rPr>
          <w:b/>
          <w:sz w:val="24"/>
          <w:szCs w:val="24"/>
        </w:rPr>
        <w:tab/>
        <w:t>Hjælpestoffer</w:t>
      </w:r>
    </w:p>
    <w:p w14:paraId="0D306CB2" w14:textId="77777777" w:rsidR="00644B42" w:rsidRDefault="00644B42" w:rsidP="001C2314">
      <w:pPr>
        <w:ind w:left="851"/>
        <w:rPr>
          <w:sz w:val="24"/>
          <w:szCs w:val="24"/>
          <w:u w:val="single"/>
        </w:rPr>
      </w:pPr>
    </w:p>
    <w:p w14:paraId="7D776474" w14:textId="610EBB33" w:rsidR="00687E07" w:rsidRPr="001C2314" w:rsidRDefault="00687E07" w:rsidP="001C2314">
      <w:pPr>
        <w:ind w:left="851"/>
        <w:rPr>
          <w:sz w:val="24"/>
          <w:szCs w:val="24"/>
          <w:u w:val="single"/>
        </w:rPr>
      </w:pPr>
      <w:r w:rsidRPr="001C2314">
        <w:rPr>
          <w:sz w:val="24"/>
          <w:szCs w:val="24"/>
          <w:u w:val="single"/>
        </w:rPr>
        <w:t>Kapselindhold</w:t>
      </w:r>
    </w:p>
    <w:p w14:paraId="68559E5D" w14:textId="77777777" w:rsidR="00687E07" w:rsidRPr="001C2314" w:rsidRDefault="00687E07" w:rsidP="001C2314">
      <w:pPr>
        <w:ind w:left="851"/>
        <w:rPr>
          <w:sz w:val="24"/>
          <w:szCs w:val="24"/>
        </w:rPr>
      </w:pPr>
      <w:proofErr w:type="spellStart"/>
      <w:r w:rsidRPr="001C2314">
        <w:rPr>
          <w:sz w:val="24"/>
          <w:szCs w:val="24"/>
        </w:rPr>
        <w:t>Lactosemonohydrat</w:t>
      </w:r>
      <w:proofErr w:type="spellEnd"/>
      <w:r w:rsidRPr="001C2314">
        <w:rPr>
          <w:sz w:val="24"/>
          <w:szCs w:val="24"/>
        </w:rPr>
        <w:t xml:space="preserve"> (kan indeholde mælkeprotein)</w:t>
      </w:r>
    </w:p>
    <w:p w14:paraId="37A9491A" w14:textId="77777777" w:rsidR="00687E07" w:rsidRPr="001C2314" w:rsidRDefault="00687E07" w:rsidP="001C2314">
      <w:pPr>
        <w:ind w:left="851"/>
        <w:rPr>
          <w:sz w:val="24"/>
          <w:szCs w:val="24"/>
        </w:rPr>
      </w:pPr>
      <w:proofErr w:type="spellStart"/>
      <w:r w:rsidRPr="001C2314">
        <w:rPr>
          <w:sz w:val="24"/>
          <w:szCs w:val="24"/>
        </w:rPr>
        <w:t>Magnesiumstearat</w:t>
      </w:r>
      <w:proofErr w:type="spellEnd"/>
    </w:p>
    <w:p w14:paraId="746632D3" w14:textId="77777777" w:rsidR="00687E07" w:rsidRPr="001C2314" w:rsidRDefault="00687E07" w:rsidP="001C2314">
      <w:pPr>
        <w:ind w:left="851"/>
        <w:rPr>
          <w:sz w:val="24"/>
          <w:szCs w:val="24"/>
        </w:rPr>
      </w:pPr>
    </w:p>
    <w:p w14:paraId="0FB8B454" w14:textId="77777777" w:rsidR="00687E07" w:rsidRPr="001C2314" w:rsidRDefault="00687E07" w:rsidP="001C2314">
      <w:pPr>
        <w:ind w:left="851"/>
        <w:rPr>
          <w:sz w:val="24"/>
          <w:szCs w:val="24"/>
          <w:u w:val="single"/>
        </w:rPr>
      </w:pPr>
      <w:r w:rsidRPr="001C2314">
        <w:rPr>
          <w:sz w:val="24"/>
          <w:szCs w:val="24"/>
          <w:u w:val="single"/>
        </w:rPr>
        <w:t>Kapselskal</w:t>
      </w:r>
    </w:p>
    <w:p w14:paraId="3BEAAEBE" w14:textId="77777777" w:rsidR="00687E07" w:rsidRPr="001C2314" w:rsidRDefault="00687E07" w:rsidP="001C2314">
      <w:pPr>
        <w:ind w:left="851"/>
        <w:rPr>
          <w:sz w:val="24"/>
          <w:szCs w:val="24"/>
        </w:rPr>
      </w:pPr>
      <w:proofErr w:type="spellStart"/>
      <w:r w:rsidRPr="001C2314">
        <w:rPr>
          <w:sz w:val="24"/>
          <w:szCs w:val="24"/>
        </w:rPr>
        <w:t>Hypromellose</w:t>
      </w:r>
      <w:proofErr w:type="spellEnd"/>
    </w:p>
    <w:p w14:paraId="353E79A7" w14:textId="77777777" w:rsidR="00687E07" w:rsidRPr="001C2314" w:rsidRDefault="00687E07" w:rsidP="001C2314">
      <w:pPr>
        <w:ind w:left="851"/>
        <w:rPr>
          <w:sz w:val="24"/>
          <w:szCs w:val="24"/>
        </w:rPr>
      </w:pPr>
      <w:proofErr w:type="spellStart"/>
      <w:r w:rsidRPr="001C2314">
        <w:rPr>
          <w:sz w:val="24"/>
          <w:szCs w:val="24"/>
        </w:rPr>
        <w:t>Kaliumchlorid</w:t>
      </w:r>
      <w:proofErr w:type="spellEnd"/>
    </w:p>
    <w:p w14:paraId="38CDD236" w14:textId="77777777" w:rsidR="00687E07" w:rsidRPr="001C2314" w:rsidRDefault="00687E07" w:rsidP="001C2314">
      <w:pPr>
        <w:ind w:left="851"/>
        <w:rPr>
          <w:sz w:val="24"/>
          <w:szCs w:val="24"/>
        </w:rPr>
      </w:pPr>
      <w:proofErr w:type="spellStart"/>
      <w:r w:rsidRPr="001C2314">
        <w:rPr>
          <w:sz w:val="24"/>
          <w:szCs w:val="24"/>
        </w:rPr>
        <w:t>Carrageenan</w:t>
      </w:r>
      <w:proofErr w:type="spellEnd"/>
    </w:p>
    <w:p w14:paraId="4B063397" w14:textId="77777777" w:rsidR="00687E07" w:rsidRPr="001C2314" w:rsidRDefault="00687E07" w:rsidP="001C2314">
      <w:pPr>
        <w:ind w:left="851"/>
        <w:rPr>
          <w:sz w:val="24"/>
          <w:szCs w:val="24"/>
        </w:rPr>
      </w:pPr>
      <w:r w:rsidRPr="001C2314">
        <w:rPr>
          <w:sz w:val="24"/>
          <w:szCs w:val="24"/>
        </w:rPr>
        <w:t xml:space="preserve">Sunset </w:t>
      </w:r>
      <w:proofErr w:type="spellStart"/>
      <w:r w:rsidRPr="001C2314">
        <w:rPr>
          <w:sz w:val="24"/>
          <w:szCs w:val="24"/>
        </w:rPr>
        <w:t>yellow</w:t>
      </w:r>
      <w:proofErr w:type="spellEnd"/>
      <w:r w:rsidRPr="001C2314">
        <w:rPr>
          <w:sz w:val="24"/>
          <w:szCs w:val="24"/>
        </w:rPr>
        <w:t xml:space="preserve"> FCF</w:t>
      </w:r>
    </w:p>
    <w:p w14:paraId="47F5F6C1" w14:textId="77777777" w:rsidR="00687E07" w:rsidRPr="001C2314" w:rsidRDefault="00687E07" w:rsidP="001C2314">
      <w:pPr>
        <w:ind w:left="851"/>
        <w:rPr>
          <w:sz w:val="24"/>
          <w:szCs w:val="24"/>
        </w:rPr>
      </w:pPr>
      <w:r w:rsidRPr="001C2314">
        <w:rPr>
          <w:sz w:val="24"/>
          <w:szCs w:val="24"/>
        </w:rPr>
        <w:t>Renset vand</w:t>
      </w:r>
    </w:p>
    <w:p w14:paraId="6F5A7107" w14:textId="77777777" w:rsidR="009260DE" w:rsidRPr="001C2314" w:rsidRDefault="009260DE" w:rsidP="009260DE">
      <w:pPr>
        <w:tabs>
          <w:tab w:val="left" w:pos="851"/>
        </w:tabs>
        <w:ind w:left="851"/>
        <w:rPr>
          <w:sz w:val="24"/>
          <w:szCs w:val="24"/>
        </w:rPr>
      </w:pPr>
    </w:p>
    <w:p w14:paraId="7BAF1A91" w14:textId="77777777" w:rsidR="009260DE" w:rsidRPr="001C2314" w:rsidRDefault="009260DE" w:rsidP="009260DE">
      <w:pPr>
        <w:tabs>
          <w:tab w:val="left" w:pos="851"/>
        </w:tabs>
        <w:ind w:left="851" w:hanging="851"/>
        <w:rPr>
          <w:b/>
          <w:sz w:val="24"/>
          <w:szCs w:val="24"/>
        </w:rPr>
      </w:pPr>
      <w:r w:rsidRPr="001C2314">
        <w:rPr>
          <w:b/>
          <w:sz w:val="24"/>
          <w:szCs w:val="24"/>
        </w:rPr>
        <w:t>6.2</w:t>
      </w:r>
      <w:r w:rsidRPr="001C2314">
        <w:rPr>
          <w:b/>
          <w:sz w:val="24"/>
          <w:szCs w:val="24"/>
        </w:rPr>
        <w:tab/>
        <w:t>Uforligeligheder</w:t>
      </w:r>
    </w:p>
    <w:p w14:paraId="0116F6E4" w14:textId="77777777" w:rsidR="00687E07" w:rsidRPr="001C2314" w:rsidRDefault="00687E07" w:rsidP="001C2314">
      <w:pPr>
        <w:ind w:left="851"/>
        <w:rPr>
          <w:sz w:val="24"/>
          <w:szCs w:val="24"/>
        </w:rPr>
      </w:pPr>
      <w:r w:rsidRPr="001C2314">
        <w:rPr>
          <w:sz w:val="24"/>
          <w:szCs w:val="24"/>
        </w:rPr>
        <w:t>Ikke relevant.</w:t>
      </w:r>
    </w:p>
    <w:p w14:paraId="65DF1373" w14:textId="77777777" w:rsidR="009260DE" w:rsidRPr="001C2314" w:rsidRDefault="009260DE" w:rsidP="009260DE">
      <w:pPr>
        <w:tabs>
          <w:tab w:val="left" w:pos="851"/>
        </w:tabs>
        <w:ind w:left="851"/>
        <w:rPr>
          <w:sz w:val="24"/>
          <w:szCs w:val="24"/>
        </w:rPr>
      </w:pPr>
    </w:p>
    <w:p w14:paraId="39FA1A37" w14:textId="77777777" w:rsidR="009260DE" w:rsidRPr="001C2314" w:rsidRDefault="009260DE" w:rsidP="009260DE">
      <w:pPr>
        <w:tabs>
          <w:tab w:val="left" w:pos="851"/>
        </w:tabs>
        <w:ind w:left="851" w:hanging="851"/>
        <w:rPr>
          <w:b/>
          <w:sz w:val="24"/>
          <w:szCs w:val="24"/>
        </w:rPr>
      </w:pPr>
      <w:r w:rsidRPr="001C2314">
        <w:rPr>
          <w:b/>
          <w:sz w:val="24"/>
          <w:szCs w:val="24"/>
        </w:rPr>
        <w:t>6.3</w:t>
      </w:r>
      <w:r w:rsidRPr="001C2314">
        <w:rPr>
          <w:b/>
          <w:sz w:val="24"/>
          <w:szCs w:val="24"/>
        </w:rPr>
        <w:tab/>
        <w:t>Opbevaringstid</w:t>
      </w:r>
    </w:p>
    <w:p w14:paraId="2D364FBA" w14:textId="77777777" w:rsidR="00213DB3" w:rsidRPr="001C2314" w:rsidRDefault="00213DB3" w:rsidP="001C2314">
      <w:pPr>
        <w:ind w:left="851"/>
        <w:rPr>
          <w:sz w:val="24"/>
          <w:szCs w:val="24"/>
        </w:rPr>
      </w:pPr>
      <w:r w:rsidRPr="001C2314">
        <w:rPr>
          <w:sz w:val="24"/>
          <w:szCs w:val="24"/>
        </w:rPr>
        <w:t>Blister: 18 måneder</w:t>
      </w:r>
    </w:p>
    <w:p w14:paraId="179D5FAD" w14:textId="77777777" w:rsidR="00213DB3" w:rsidRPr="001C2314" w:rsidRDefault="00213DB3" w:rsidP="001C2314">
      <w:pPr>
        <w:ind w:left="851"/>
        <w:rPr>
          <w:sz w:val="24"/>
          <w:szCs w:val="24"/>
        </w:rPr>
      </w:pPr>
    </w:p>
    <w:p w14:paraId="0B6C2B4F" w14:textId="77777777" w:rsidR="00213DB3" w:rsidRPr="001C2314" w:rsidRDefault="00213DB3" w:rsidP="001C2314">
      <w:pPr>
        <w:ind w:left="851"/>
        <w:rPr>
          <w:sz w:val="24"/>
          <w:szCs w:val="24"/>
        </w:rPr>
      </w:pPr>
      <w:r w:rsidRPr="001C2314">
        <w:rPr>
          <w:sz w:val="24"/>
          <w:szCs w:val="24"/>
        </w:rPr>
        <w:t>Inhalatoren fra hver pakning eller inhalatoren, som genbruges, skal kasseres efter 90 sug, tællende fra første gang inhalatoren bruges.</w:t>
      </w:r>
    </w:p>
    <w:p w14:paraId="2123EDBE" w14:textId="77777777" w:rsidR="009260DE" w:rsidRPr="001C2314" w:rsidRDefault="009260DE" w:rsidP="009260DE">
      <w:pPr>
        <w:tabs>
          <w:tab w:val="left" w:pos="851"/>
        </w:tabs>
        <w:ind w:left="851"/>
        <w:rPr>
          <w:sz w:val="24"/>
          <w:szCs w:val="24"/>
        </w:rPr>
      </w:pPr>
    </w:p>
    <w:p w14:paraId="7A645AC7" w14:textId="77777777" w:rsidR="009260DE" w:rsidRPr="001C2314" w:rsidRDefault="009260DE" w:rsidP="009260DE">
      <w:pPr>
        <w:tabs>
          <w:tab w:val="left" w:pos="851"/>
        </w:tabs>
        <w:ind w:left="851" w:hanging="851"/>
        <w:rPr>
          <w:b/>
          <w:sz w:val="24"/>
          <w:szCs w:val="24"/>
        </w:rPr>
      </w:pPr>
      <w:r w:rsidRPr="001C2314">
        <w:rPr>
          <w:b/>
          <w:sz w:val="24"/>
          <w:szCs w:val="24"/>
        </w:rPr>
        <w:t>6.4</w:t>
      </w:r>
      <w:r w:rsidRPr="001C2314">
        <w:rPr>
          <w:b/>
          <w:sz w:val="24"/>
          <w:szCs w:val="24"/>
        </w:rPr>
        <w:tab/>
        <w:t>Særlige opbevaringsforhold</w:t>
      </w:r>
    </w:p>
    <w:p w14:paraId="623A68BC" w14:textId="77777777" w:rsidR="00213DB3" w:rsidRPr="001C2314" w:rsidRDefault="00213DB3" w:rsidP="001C2314">
      <w:pPr>
        <w:ind w:left="851"/>
        <w:rPr>
          <w:sz w:val="24"/>
          <w:szCs w:val="24"/>
        </w:rPr>
      </w:pPr>
      <w:r w:rsidRPr="001C2314">
        <w:rPr>
          <w:sz w:val="24"/>
          <w:szCs w:val="24"/>
        </w:rPr>
        <w:t>Må ikke opbevares ved temperaturer over 25 °C.</w:t>
      </w:r>
    </w:p>
    <w:p w14:paraId="75D0E74F" w14:textId="77777777" w:rsidR="00213DB3" w:rsidRPr="001C2314" w:rsidRDefault="00213DB3" w:rsidP="001C2314">
      <w:pPr>
        <w:ind w:left="851"/>
        <w:rPr>
          <w:sz w:val="24"/>
          <w:szCs w:val="24"/>
        </w:rPr>
      </w:pPr>
    </w:p>
    <w:p w14:paraId="6A46BAEE" w14:textId="77777777" w:rsidR="00213DB3" w:rsidRPr="001C2314" w:rsidRDefault="00213DB3" w:rsidP="001C2314">
      <w:pPr>
        <w:ind w:left="851"/>
        <w:rPr>
          <w:sz w:val="24"/>
          <w:szCs w:val="24"/>
        </w:rPr>
      </w:pPr>
      <w:r w:rsidRPr="001C2314">
        <w:rPr>
          <w:sz w:val="24"/>
          <w:szCs w:val="24"/>
        </w:rPr>
        <w:t>Kapslerne skal altid opbevares i den originale blisterpakning for at beskytte mod fugt. Kapslerne må først tages ud umiddelbart inden anvendelse.</w:t>
      </w:r>
    </w:p>
    <w:p w14:paraId="267C1779" w14:textId="77777777" w:rsidR="009260DE" w:rsidRPr="001C2314" w:rsidRDefault="009260DE" w:rsidP="009260DE">
      <w:pPr>
        <w:tabs>
          <w:tab w:val="left" w:pos="851"/>
        </w:tabs>
        <w:ind w:left="851"/>
        <w:rPr>
          <w:sz w:val="24"/>
          <w:szCs w:val="24"/>
        </w:rPr>
      </w:pPr>
    </w:p>
    <w:p w14:paraId="019D5082" w14:textId="77777777" w:rsidR="009260DE" w:rsidRPr="001C2314" w:rsidRDefault="009260DE" w:rsidP="009260DE">
      <w:pPr>
        <w:tabs>
          <w:tab w:val="left" w:pos="851"/>
        </w:tabs>
        <w:ind w:left="851" w:hanging="851"/>
        <w:rPr>
          <w:b/>
          <w:sz w:val="24"/>
          <w:szCs w:val="24"/>
        </w:rPr>
      </w:pPr>
      <w:r w:rsidRPr="001C2314">
        <w:rPr>
          <w:b/>
          <w:sz w:val="24"/>
          <w:szCs w:val="24"/>
        </w:rPr>
        <w:t>6.5</w:t>
      </w:r>
      <w:r w:rsidRPr="001C2314">
        <w:rPr>
          <w:b/>
          <w:sz w:val="24"/>
          <w:szCs w:val="24"/>
        </w:rPr>
        <w:tab/>
        <w:t>Emballagetype og pakningsstørrelser</w:t>
      </w:r>
    </w:p>
    <w:p w14:paraId="377781F9" w14:textId="1C2AF7F4" w:rsidR="00213DB3" w:rsidRPr="001C2314" w:rsidRDefault="00213DB3" w:rsidP="001C2314">
      <w:pPr>
        <w:ind w:left="851"/>
        <w:rPr>
          <w:sz w:val="24"/>
          <w:szCs w:val="24"/>
        </w:rPr>
      </w:pP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 xml:space="preserve"> er en inhalator til enkeltdosering. Selve inhalatoren og hætten er fremstillet af </w:t>
      </w:r>
      <w:proofErr w:type="spellStart"/>
      <w:r w:rsidRPr="001C2314">
        <w:rPr>
          <w:sz w:val="24"/>
          <w:szCs w:val="24"/>
        </w:rPr>
        <w:t>acrylonitrilbutadienstyren</w:t>
      </w:r>
      <w:proofErr w:type="spellEnd"/>
      <w:r w:rsidRPr="001C2314">
        <w:rPr>
          <w:sz w:val="24"/>
          <w:szCs w:val="24"/>
        </w:rPr>
        <w:t xml:space="preserve">. Trykknapperne er fremstillet af </w:t>
      </w:r>
      <w:proofErr w:type="spellStart"/>
      <w:r w:rsidRPr="001C2314">
        <w:rPr>
          <w:sz w:val="24"/>
          <w:szCs w:val="24"/>
        </w:rPr>
        <w:t>methylmethacrylat-acrylonitrilbutadienstyren</w:t>
      </w:r>
      <w:proofErr w:type="spellEnd"/>
      <w:r w:rsidRPr="001C2314">
        <w:rPr>
          <w:sz w:val="24"/>
          <w:szCs w:val="24"/>
        </w:rPr>
        <w:t>. Nåle og fjedre er fremstillet af rustfrit stål.</w:t>
      </w:r>
    </w:p>
    <w:p w14:paraId="7EC1F635" w14:textId="77777777" w:rsidR="00213DB3" w:rsidRPr="001C2314" w:rsidRDefault="00213DB3" w:rsidP="001C2314">
      <w:pPr>
        <w:ind w:left="851"/>
        <w:rPr>
          <w:sz w:val="24"/>
          <w:szCs w:val="24"/>
        </w:rPr>
      </w:pPr>
    </w:p>
    <w:p w14:paraId="32629CC5" w14:textId="77777777" w:rsidR="00441C4B" w:rsidRPr="00441C4B" w:rsidRDefault="00441C4B" w:rsidP="00441C4B">
      <w:pPr>
        <w:ind w:left="851"/>
        <w:rPr>
          <w:sz w:val="24"/>
          <w:szCs w:val="24"/>
        </w:rPr>
      </w:pPr>
      <w:r w:rsidRPr="00441C4B">
        <w:rPr>
          <w:sz w:val="24"/>
          <w:szCs w:val="24"/>
        </w:rPr>
        <w:t>PA/</w:t>
      </w:r>
      <w:proofErr w:type="spellStart"/>
      <w:r w:rsidRPr="00441C4B">
        <w:rPr>
          <w:sz w:val="24"/>
          <w:szCs w:val="24"/>
        </w:rPr>
        <w:t>Alu</w:t>
      </w:r>
      <w:proofErr w:type="spellEnd"/>
      <w:r w:rsidRPr="00441C4B">
        <w:rPr>
          <w:sz w:val="24"/>
          <w:szCs w:val="24"/>
        </w:rPr>
        <w:t>/PVC – </w:t>
      </w:r>
      <w:proofErr w:type="spellStart"/>
      <w:r w:rsidRPr="00441C4B">
        <w:rPr>
          <w:sz w:val="24"/>
          <w:szCs w:val="24"/>
        </w:rPr>
        <w:t>Alu</w:t>
      </w:r>
      <w:proofErr w:type="spellEnd"/>
      <w:r w:rsidRPr="00441C4B">
        <w:rPr>
          <w:sz w:val="24"/>
          <w:szCs w:val="24"/>
        </w:rPr>
        <w:t xml:space="preserve"> perforerede enkeltdosisblister med aftagelig folie.</w:t>
      </w:r>
    </w:p>
    <w:p w14:paraId="0C25026B" w14:textId="77777777" w:rsidR="00441C4B" w:rsidRPr="00441C4B" w:rsidRDefault="00441C4B" w:rsidP="00441C4B">
      <w:pPr>
        <w:ind w:left="851"/>
        <w:rPr>
          <w:sz w:val="24"/>
          <w:szCs w:val="24"/>
        </w:rPr>
      </w:pPr>
    </w:p>
    <w:p w14:paraId="02DA75FA" w14:textId="77777777" w:rsidR="00441C4B" w:rsidRPr="00441C4B" w:rsidRDefault="00441C4B" w:rsidP="00441C4B">
      <w:pPr>
        <w:ind w:left="851"/>
        <w:rPr>
          <w:sz w:val="24"/>
          <w:szCs w:val="24"/>
        </w:rPr>
      </w:pPr>
      <w:r w:rsidRPr="00441C4B">
        <w:rPr>
          <w:sz w:val="24"/>
          <w:szCs w:val="24"/>
        </w:rPr>
        <w:t xml:space="preserve">Pakninger indeholder 10 x 1, 30 x 1, 60 x 1, 90 x 1 hårde kapsler i perforerede </w:t>
      </w:r>
      <w:bookmarkStart w:id="1" w:name="_Hlk184735148"/>
      <w:r w:rsidRPr="00441C4B">
        <w:rPr>
          <w:sz w:val="24"/>
          <w:szCs w:val="24"/>
        </w:rPr>
        <w:t>enkeltdosis</w:t>
      </w:r>
      <w:bookmarkEnd w:id="1"/>
      <w:r w:rsidRPr="00441C4B">
        <w:rPr>
          <w:sz w:val="24"/>
          <w:szCs w:val="24"/>
        </w:rPr>
        <w:t>blister med aftagelig folie og én inhalator.</w:t>
      </w:r>
    </w:p>
    <w:p w14:paraId="11ECA6A7" w14:textId="77777777" w:rsidR="00441C4B" w:rsidRPr="00441C4B" w:rsidRDefault="00441C4B" w:rsidP="00441C4B">
      <w:pPr>
        <w:ind w:left="851"/>
        <w:rPr>
          <w:sz w:val="24"/>
          <w:szCs w:val="24"/>
        </w:rPr>
      </w:pPr>
      <w:r w:rsidRPr="00441C4B">
        <w:rPr>
          <w:sz w:val="24"/>
          <w:szCs w:val="24"/>
        </w:rPr>
        <w:t>Pakninger indeholder 10 x 1, 30 x 1, 60 x 1 hårde kapsler i perforerede enkeltdosisblister med aftagelig folie.</w:t>
      </w:r>
    </w:p>
    <w:p w14:paraId="6FCBF9FD" w14:textId="77777777" w:rsidR="00213DB3" w:rsidRPr="001C2314" w:rsidRDefault="00213DB3" w:rsidP="001C2314">
      <w:pPr>
        <w:ind w:left="851"/>
        <w:rPr>
          <w:sz w:val="24"/>
          <w:szCs w:val="24"/>
        </w:rPr>
      </w:pPr>
    </w:p>
    <w:p w14:paraId="7F425A63" w14:textId="77777777" w:rsidR="00213DB3" w:rsidRPr="001C2314" w:rsidRDefault="00213DB3" w:rsidP="001C2314">
      <w:pPr>
        <w:ind w:left="851"/>
        <w:rPr>
          <w:sz w:val="24"/>
          <w:szCs w:val="24"/>
        </w:rPr>
      </w:pPr>
      <w:r w:rsidRPr="001C2314">
        <w:rPr>
          <w:sz w:val="24"/>
          <w:szCs w:val="24"/>
        </w:rPr>
        <w:t xml:space="preserve">Ikke alle </w:t>
      </w:r>
      <w:bookmarkStart w:id="2" w:name="_GoBack"/>
      <w:bookmarkEnd w:id="2"/>
      <w:r w:rsidRPr="001C2314">
        <w:rPr>
          <w:sz w:val="24"/>
          <w:szCs w:val="24"/>
        </w:rPr>
        <w:t>pakningsstørrelser er nødvendigvis markedsført.</w:t>
      </w:r>
    </w:p>
    <w:p w14:paraId="528B903B" w14:textId="77777777" w:rsidR="009260DE" w:rsidRPr="001C2314" w:rsidRDefault="009260DE" w:rsidP="009260DE">
      <w:pPr>
        <w:tabs>
          <w:tab w:val="left" w:pos="851"/>
        </w:tabs>
        <w:ind w:left="851"/>
        <w:rPr>
          <w:sz w:val="24"/>
          <w:szCs w:val="24"/>
        </w:rPr>
      </w:pPr>
    </w:p>
    <w:p w14:paraId="4F29080E" w14:textId="77777777" w:rsidR="009260DE" w:rsidRPr="001C2314" w:rsidRDefault="009260DE" w:rsidP="009260DE">
      <w:pPr>
        <w:tabs>
          <w:tab w:val="left" w:pos="851"/>
        </w:tabs>
        <w:ind w:left="851" w:hanging="851"/>
        <w:rPr>
          <w:b/>
          <w:sz w:val="24"/>
          <w:szCs w:val="24"/>
        </w:rPr>
      </w:pPr>
      <w:r w:rsidRPr="001C2314">
        <w:rPr>
          <w:b/>
          <w:sz w:val="24"/>
          <w:szCs w:val="24"/>
        </w:rPr>
        <w:t>6.6</w:t>
      </w:r>
      <w:r w:rsidRPr="001C2314">
        <w:rPr>
          <w:b/>
          <w:sz w:val="24"/>
          <w:szCs w:val="24"/>
        </w:rPr>
        <w:tab/>
        <w:t xml:space="preserve">Regler for </w:t>
      </w:r>
      <w:r w:rsidR="00BD7931" w:rsidRPr="001C2314">
        <w:rPr>
          <w:b/>
          <w:sz w:val="24"/>
          <w:szCs w:val="24"/>
        </w:rPr>
        <w:t>bortskaffelse</w:t>
      </w:r>
      <w:r w:rsidRPr="001C2314">
        <w:rPr>
          <w:b/>
          <w:sz w:val="24"/>
          <w:szCs w:val="24"/>
        </w:rPr>
        <w:t xml:space="preserve"> og anden håndtering</w:t>
      </w:r>
    </w:p>
    <w:p w14:paraId="12F758D0" w14:textId="77777777" w:rsidR="00213DB3" w:rsidRPr="001C2314" w:rsidRDefault="00213DB3" w:rsidP="001C2314">
      <w:pPr>
        <w:ind w:left="851"/>
        <w:rPr>
          <w:sz w:val="24"/>
          <w:szCs w:val="24"/>
        </w:rPr>
      </w:pPr>
      <w:r w:rsidRPr="001C2314">
        <w:rPr>
          <w:sz w:val="24"/>
          <w:szCs w:val="24"/>
        </w:rPr>
        <w:t>Inhalatoren, der medfølger ved hver ny ordination, skal anvendes. Inhalatoren fra hver pakning eller inhalatoren, som genbruges, skal kasseres efter 90 sug, tællende fra første gang inhalatoren bruges. Ikke anvendt lægemiddel samt affald heraf skal bortskaffes i henhold til lokale retningslinjer.</w:t>
      </w:r>
    </w:p>
    <w:p w14:paraId="3616D325" w14:textId="0E443920" w:rsidR="002F1ED8" w:rsidRDefault="002F1ED8" w:rsidP="002F1ED8">
      <w:pPr>
        <w:rPr>
          <w:sz w:val="24"/>
          <w:szCs w:val="24"/>
        </w:rPr>
      </w:pPr>
      <w:r>
        <w:rPr>
          <w:sz w:val="24"/>
          <w:szCs w:val="24"/>
        </w:rPr>
        <w:br w:type="page"/>
      </w:r>
    </w:p>
    <w:p w14:paraId="6A503DEA" w14:textId="77777777" w:rsidR="00213DB3" w:rsidRPr="001C2314" w:rsidRDefault="00213DB3" w:rsidP="002F1ED8">
      <w:pPr>
        <w:ind w:left="851"/>
        <w:rPr>
          <w:sz w:val="24"/>
          <w:szCs w:val="24"/>
        </w:rPr>
      </w:pPr>
    </w:p>
    <w:p w14:paraId="457055F1" w14:textId="77777777" w:rsidR="00213DB3" w:rsidRPr="001C2314" w:rsidRDefault="00213DB3" w:rsidP="002F1ED8">
      <w:pPr>
        <w:ind w:left="851"/>
        <w:rPr>
          <w:sz w:val="24"/>
          <w:szCs w:val="24"/>
          <w:u w:val="single"/>
        </w:rPr>
      </w:pPr>
      <w:r w:rsidRPr="001C2314">
        <w:rPr>
          <w:sz w:val="24"/>
          <w:szCs w:val="24"/>
          <w:u w:val="single"/>
        </w:rPr>
        <w:t>Anvisninger i håndtering og brug</w:t>
      </w:r>
    </w:p>
    <w:p w14:paraId="019DC703" w14:textId="77777777" w:rsidR="00213DB3" w:rsidRPr="001C2314" w:rsidRDefault="00213DB3" w:rsidP="002F1ED8">
      <w:pPr>
        <w:ind w:left="851"/>
        <w:rPr>
          <w:sz w:val="24"/>
          <w:szCs w:val="24"/>
          <w:u w:val="single"/>
        </w:rPr>
      </w:pPr>
    </w:p>
    <w:p w14:paraId="1CE86402" w14:textId="085A25B7" w:rsidR="00213DB3" w:rsidRPr="001C2314" w:rsidRDefault="00213DB3" w:rsidP="002F1ED8">
      <w:pPr>
        <w:ind w:left="851"/>
        <w:rPr>
          <w:sz w:val="24"/>
          <w:szCs w:val="24"/>
        </w:rPr>
      </w:pPr>
      <w:r w:rsidRPr="001C2314">
        <w:rPr>
          <w:sz w:val="24"/>
          <w:szCs w:val="24"/>
        </w:rPr>
        <w:t xml:space="preserve">Læs venligst den fulde </w:t>
      </w:r>
      <w:r w:rsidRPr="001C2314">
        <w:rPr>
          <w:b/>
          <w:bCs/>
          <w:sz w:val="24"/>
          <w:szCs w:val="24"/>
        </w:rPr>
        <w:t>brugsanvisning,</w:t>
      </w:r>
      <w:r w:rsidRPr="001C2314">
        <w:rPr>
          <w:sz w:val="24"/>
          <w:szCs w:val="24"/>
        </w:rPr>
        <w:t xml:space="preserve"> inden du bruger </w:t>
      </w:r>
      <w:proofErr w:type="spellStart"/>
      <w:r w:rsidRPr="001C2314">
        <w:rPr>
          <w:sz w:val="24"/>
          <w:szCs w:val="24"/>
        </w:rPr>
        <w:t>Glycopyrronium</w:t>
      </w:r>
      <w:proofErr w:type="spellEnd"/>
      <w:r w:rsidRPr="001C2314">
        <w:rPr>
          <w:sz w:val="24"/>
          <w:szCs w:val="24"/>
        </w:rPr>
        <w:t xml:space="preserve"> </w:t>
      </w:r>
      <w:r w:rsidR="003D2392">
        <w:rPr>
          <w:sz w:val="24"/>
          <w:szCs w:val="24"/>
        </w:rPr>
        <w:t>"</w:t>
      </w:r>
      <w:r w:rsidRPr="001C2314">
        <w:rPr>
          <w:sz w:val="24"/>
          <w:szCs w:val="24"/>
        </w:rPr>
        <w:t>Medical Valley</w:t>
      </w:r>
      <w:r w:rsidR="003D2392">
        <w:rPr>
          <w:sz w:val="24"/>
          <w:szCs w:val="24"/>
        </w:rPr>
        <w:t>"</w:t>
      </w:r>
      <w:r w:rsidRPr="001C2314">
        <w:rPr>
          <w:sz w:val="24"/>
          <w:szCs w:val="24"/>
        </w:rPr>
        <w:t>.</w:t>
      </w:r>
    </w:p>
    <w:p w14:paraId="1A5150C2" w14:textId="77777777" w:rsidR="00213DB3" w:rsidRPr="001C2314" w:rsidRDefault="00213DB3" w:rsidP="002F1ED8">
      <w:pPr>
        <w:pStyle w:val="Brdtekst"/>
        <w:kinsoku w:val="0"/>
        <w:overflowPunct w:val="0"/>
        <w:ind w:left="326"/>
        <w:rPr>
          <w:spacing w:val="-2"/>
          <w:sz w:val="24"/>
          <w:szCs w:val="24"/>
          <w:lang w:val="da-DK"/>
        </w:rPr>
      </w:pPr>
    </w:p>
    <w:tbl>
      <w:tblPr>
        <w:tblStyle w:val="Tabel-Gitter"/>
        <w:tblW w:w="5000" w:type="pct"/>
        <w:tblLook w:val="04A0" w:firstRow="1" w:lastRow="0" w:firstColumn="1" w:lastColumn="0" w:noHBand="0" w:noVBand="1"/>
      </w:tblPr>
      <w:tblGrid>
        <w:gridCol w:w="2407"/>
        <w:gridCol w:w="2407"/>
        <w:gridCol w:w="2407"/>
        <w:gridCol w:w="2407"/>
      </w:tblGrid>
      <w:tr w:rsidR="0071062A" w:rsidRPr="0071062A" w14:paraId="25F605CA" w14:textId="77777777" w:rsidTr="0071062A">
        <w:tc>
          <w:tcPr>
            <w:tcW w:w="1250" w:type="pct"/>
          </w:tcPr>
          <w:p w14:paraId="125691B8"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w:drawing>
                <wp:inline distT="0" distB="0" distL="0" distR="0" wp14:anchorId="6B18D44A" wp14:editId="32951A0A">
                  <wp:extent cx="1185545" cy="1185545"/>
                  <wp:effectExtent l="0" t="0" r="0" b="0"/>
                  <wp:docPr id="1617595194" name="Picture 30"/>
                  <wp:cNvGraphicFramePr/>
                  <a:graphic xmlns:a="http://schemas.openxmlformats.org/drawingml/2006/main">
                    <a:graphicData uri="http://schemas.openxmlformats.org/drawingml/2006/picture">
                      <pic:pic xmlns:pic="http://schemas.openxmlformats.org/drawingml/2006/picture">
                        <pic:nvPicPr>
                          <pic:cNvPr id="1617595194" name="Picture 3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5545" cy="1185545"/>
                          </a:xfrm>
                          <a:prstGeom prst="rect">
                            <a:avLst/>
                          </a:prstGeom>
                          <a:noFill/>
                        </pic:spPr>
                      </pic:pic>
                    </a:graphicData>
                  </a:graphic>
                </wp:inline>
              </w:drawing>
            </w:r>
          </w:p>
        </w:tc>
        <w:tc>
          <w:tcPr>
            <w:tcW w:w="1250" w:type="pct"/>
          </w:tcPr>
          <w:p w14:paraId="1E20F0ED"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w:drawing>
                <wp:inline distT="0" distB="0" distL="0" distR="0" wp14:anchorId="1D14AE8D" wp14:editId="3D79248D">
                  <wp:extent cx="1113790" cy="1152525"/>
                  <wp:effectExtent l="0" t="0" r="0" b="9525"/>
                  <wp:docPr id="208965981" name="Picture 31"/>
                  <wp:cNvGraphicFramePr/>
                  <a:graphic xmlns:a="http://schemas.openxmlformats.org/drawingml/2006/main">
                    <a:graphicData uri="http://schemas.openxmlformats.org/drawingml/2006/picture">
                      <pic:pic xmlns:pic="http://schemas.openxmlformats.org/drawingml/2006/picture">
                        <pic:nvPicPr>
                          <pic:cNvPr id="208965981" name="Picture 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790" cy="1152525"/>
                          </a:xfrm>
                          <a:prstGeom prst="rect">
                            <a:avLst/>
                          </a:prstGeom>
                          <a:noFill/>
                        </pic:spPr>
                      </pic:pic>
                    </a:graphicData>
                  </a:graphic>
                </wp:inline>
              </w:drawing>
            </w:r>
          </w:p>
        </w:tc>
        <w:tc>
          <w:tcPr>
            <w:tcW w:w="1250" w:type="pct"/>
          </w:tcPr>
          <w:p w14:paraId="70C76699"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w:drawing>
                <wp:inline distT="0" distB="0" distL="0" distR="0" wp14:anchorId="6B7BFA14" wp14:editId="0E35CEB3">
                  <wp:extent cx="1147445" cy="1147445"/>
                  <wp:effectExtent l="0" t="0" r="0" b="0"/>
                  <wp:docPr id="1240686656" name="Picture 32"/>
                  <wp:cNvGraphicFramePr/>
                  <a:graphic xmlns:a="http://schemas.openxmlformats.org/drawingml/2006/main">
                    <a:graphicData uri="http://schemas.openxmlformats.org/drawingml/2006/picture">
                      <pic:pic xmlns:pic="http://schemas.openxmlformats.org/drawingml/2006/picture">
                        <pic:nvPicPr>
                          <pic:cNvPr id="1240686656" name="Picture 3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pic:spPr>
                      </pic:pic>
                    </a:graphicData>
                  </a:graphic>
                </wp:inline>
              </w:drawing>
            </w:r>
          </w:p>
        </w:tc>
        <w:tc>
          <w:tcPr>
            <w:tcW w:w="1250" w:type="pct"/>
          </w:tcPr>
          <w:p w14:paraId="2CB7E5C2"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w:drawing>
                <wp:inline distT="0" distB="0" distL="0" distR="0" wp14:anchorId="41475F33" wp14:editId="6A1C0DE1">
                  <wp:extent cx="1159510" cy="1159510"/>
                  <wp:effectExtent l="0" t="0" r="2540" b="2540"/>
                  <wp:docPr id="1251684943" name="Picture 33"/>
                  <wp:cNvGraphicFramePr/>
                  <a:graphic xmlns:a="http://schemas.openxmlformats.org/drawingml/2006/main">
                    <a:graphicData uri="http://schemas.openxmlformats.org/drawingml/2006/picture">
                      <pic:pic xmlns:pic="http://schemas.openxmlformats.org/drawingml/2006/picture">
                        <pic:nvPicPr>
                          <pic:cNvPr id="1251684943" name="Picture 3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9510" cy="1159510"/>
                          </a:xfrm>
                          <a:prstGeom prst="rect">
                            <a:avLst/>
                          </a:prstGeom>
                          <a:noFill/>
                        </pic:spPr>
                      </pic:pic>
                    </a:graphicData>
                  </a:graphic>
                </wp:inline>
              </w:drawing>
            </w:r>
          </w:p>
        </w:tc>
      </w:tr>
      <w:tr w:rsidR="0071062A" w:rsidRPr="00E10DCE" w14:paraId="705C845E" w14:textId="77777777" w:rsidTr="0071062A">
        <w:tc>
          <w:tcPr>
            <w:tcW w:w="1250" w:type="pct"/>
          </w:tcPr>
          <w:p w14:paraId="6A48E6B4" w14:textId="77777777" w:rsidR="0071062A" w:rsidRPr="00E10DCE" w:rsidRDefault="0071062A" w:rsidP="00E41927">
            <w:pPr>
              <w:jc w:val="center"/>
              <w:rPr>
                <w:rFonts w:ascii="Times New Roman" w:hAnsi="Times New Roman" w:cs="Times New Roman"/>
                <w:sz w:val="22"/>
              </w:rPr>
            </w:pPr>
            <w:r w:rsidRPr="00E10DCE">
              <w:rPr>
                <w:rFonts w:ascii="Times New Roman" w:hAnsi="Times New Roman" w:cs="Times New Roman"/>
                <w:b/>
                <w:bCs/>
                <w:spacing w:val="-2"/>
                <w:sz w:val="22"/>
              </w:rPr>
              <w:t>Læg en kapsel i</w:t>
            </w:r>
          </w:p>
        </w:tc>
        <w:tc>
          <w:tcPr>
            <w:tcW w:w="1250" w:type="pct"/>
          </w:tcPr>
          <w:p w14:paraId="09C77CCF" w14:textId="77777777" w:rsidR="0071062A" w:rsidRPr="00E10DCE" w:rsidRDefault="0071062A" w:rsidP="00E41927">
            <w:pPr>
              <w:jc w:val="center"/>
              <w:rPr>
                <w:rFonts w:ascii="Times New Roman" w:hAnsi="Times New Roman" w:cs="Times New Roman"/>
                <w:sz w:val="22"/>
              </w:rPr>
            </w:pPr>
            <w:r w:rsidRPr="00E10DCE">
              <w:rPr>
                <w:rFonts w:ascii="Times New Roman" w:hAnsi="Times New Roman" w:cs="Times New Roman"/>
                <w:b/>
                <w:bCs/>
                <w:sz w:val="22"/>
              </w:rPr>
              <w:t>Perforer og</w:t>
            </w:r>
            <w:r w:rsidRPr="00E10DCE">
              <w:rPr>
                <w:rFonts w:ascii="Times New Roman" w:hAnsi="Times New Roman" w:cs="Times New Roman"/>
                <w:b/>
                <w:bCs/>
                <w:spacing w:val="-1"/>
                <w:sz w:val="22"/>
              </w:rPr>
              <w:t xml:space="preserve"> </w:t>
            </w:r>
            <w:r w:rsidRPr="00E10DCE">
              <w:rPr>
                <w:rFonts w:ascii="Times New Roman" w:hAnsi="Times New Roman" w:cs="Times New Roman"/>
                <w:b/>
                <w:bCs/>
                <w:spacing w:val="-2"/>
                <w:sz w:val="22"/>
              </w:rPr>
              <w:t>slip</w:t>
            </w:r>
          </w:p>
        </w:tc>
        <w:tc>
          <w:tcPr>
            <w:tcW w:w="1250" w:type="pct"/>
          </w:tcPr>
          <w:p w14:paraId="450BB683" w14:textId="77777777" w:rsidR="0071062A" w:rsidRPr="00E10DCE" w:rsidRDefault="0071062A" w:rsidP="00E41927">
            <w:pPr>
              <w:jc w:val="center"/>
              <w:rPr>
                <w:rFonts w:ascii="Times New Roman" w:hAnsi="Times New Roman" w:cs="Times New Roman"/>
                <w:sz w:val="22"/>
              </w:rPr>
            </w:pPr>
            <w:r w:rsidRPr="00E10DCE">
              <w:rPr>
                <w:rFonts w:ascii="Times New Roman" w:hAnsi="Times New Roman" w:cs="Times New Roman"/>
                <w:b/>
                <w:bCs/>
                <w:sz w:val="22"/>
              </w:rPr>
              <w:t>Inhalé</w:t>
            </w:r>
            <w:r w:rsidRPr="00E10DCE">
              <w:rPr>
                <w:rFonts w:ascii="Times New Roman" w:hAnsi="Times New Roman" w:cs="Times New Roman"/>
                <w:b/>
                <w:bCs/>
                <w:spacing w:val="-2"/>
                <w:sz w:val="22"/>
              </w:rPr>
              <w:t>r dybt</w:t>
            </w:r>
          </w:p>
        </w:tc>
        <w:tc>
          <w:tcPr>
            <w:tcW w:w="1250" w:type="pct"/>
          </w:tcPr>
          <w:p w14:paraId="6D65AAF6" w14:textId="77777777" w:rsidR="0071062A" w:rsidRPr="00E10DCE" w:rsidRDefault="0071062A" w:rsidP="00E41927">
            <w:pPr>
              <w:jc w:val="center"/>
              <w:rPr>
                <w:rFonts w:ascii="Times New Roman" w:hAnsi="Times New Roman" w:cs="Times New Roman"/>
                <w:sz w:val="22"/>
              </w:rPr>
            </w:pPr>
            <w:r w:rsidRPr="00E10DCE">
              <w:rPr>
                <w:rFonts w:ascii="Times New Roman" w:hAnsi="Times New Roman" w:cs="Times New Roman"/>
                <w:b/>
                <w:bCs/>
                <w:sz w:val="22"/>
              </w:rPr>
              <w:t>Tjek at</w:t>
            </w:r>
            <w:r w:rsidRPr="00E10DCE">
              <w:rPr>
                <w:rFonts w:ascii="Times New Roman" w:hAnsi="Times New Roman" w:cs="Times New Roman"/>
                <w:b/>
                <w:bCs/>
                <w:spacing w:val="-4"/>
                <w:sz w:val="22"/>
              </w:rPr>
              <w:t xml:space="preserve"> </w:t>
            </w:r>
            <w:r w:rsidRPr="00E10DCE">
              <w:rPr>
                <w:rFonts w:ascii="Times New Roman" w:hAnsi="Times New Roman" w:cs="Times New Roman"/>
                <w:b/>
                <w:bCs/>
                <w:sz w:val="22"/>
              </w:rPr>
              <w:t>kapslen</w:t>
            </w:r>
            <w:r w:rsidRPr="00E10DCE">
              <w:rPr>
                <w:rFonts w:ascii="Times New Roman" w:hAnsi="Times New Roman" w:cs="Times New Roman"/>
                <w:b/>
                <w:bCs/>
                <w:spacing w:val="-4"/>
                <w:sz w:val="22"/>
              </w:rPr>
              <w:t xml:space="preserve"> </w:t>
            </w:r>
            <w:r w:rsidRPr="00E10DCE">
              <w:rPr>
                <w:rFonts w:ascii="Times New Roman" w:hAnsi="Times New Roman" w:cs="Times New Roman"/>
                <w:b/>
                <w:bCs/>
                <w:sz w:val="22"/>
              </w:rPr>
              <w:t>er</w:t>
            </w:r>
            <w:r w:rsidRPr="00E10DCE">
              <w:rPr>
                <w:rFonts w:ascii="Times New Roman" w:hAnsi="Times New Roman" w:cs="Times New Roman"/>
                <w:b/>
                <w:bCs/>
                <w:spacing w:val="-3"/>
                <w:sz w:val="22"/>
              </w:rPr>
              <w:t xml:space="preserve"> </w:t>
            </w:r>
            <w:r w:rsidRPr="00E10DCE">
              <w:rPr>
                <w:rFonts w:ascii="Times New Roman" w:hAnsi="Times New Roman" w:cs="Times New Roman"/>
                <w:b/>
                <w:bCs/>
                <w:spacing w:val="-2"/>
                <w:sz w:val="22"/>
              </w:rPr>
              <w:t>tom</w:t>
            </w:r>
          </w:p>
        </w:tc>
      </w:tr>
      <w:tr w:rsidR="0071062A" w:rsidRPr="0071062A" w14:paraId="49D81813" w14:textId="77777777" w:rsidTr="0071062A">
        <w:tc>
          <w:tcPr>
            <w:tcW w:w="1250" w:type="pct"/>
          </w:tcPr>
          <w:p w14:paraId="284F04A8"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mc:AlternateContent>
                <mc:Choice Requires="wps">
                  <w:drawing>
                    <wp:inline distT="0" distB="0" distL="0" distR="0" wp14:anchorId="514D4F39" wp14:editId="1DE5196C">
                      <wp:extent cx="861695" cy="745490"/>
                      <wp:effectExtent l="0" t="0" r="0" b="0"/>
                      <wp:docPr id="500068192"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695" cy="745490"/>
                              </a:xfrm>
                              <a:custGeom>
                                <a:avLst/>
                                <a:gdLst>
                                  <a:gd name="T0" fmla="*/ 1507 w 2010"/>
                                  <a:gd name="T1" fmla="*/ 0 h 1343"/>
                                  <a:gd name="T2" fmla="*/ 502 w 2010"/>
                                  <a:gd name="T3" fmla="*/ 0 h 1343"/>
                                  <a:gd name="T4" fmla="*/ 502 w 2010"/>
                                  <a:gd name="T5" fmla="*/ 671 h 1343"/>
                                  <a:gd name="T6" fmla="*/ 0 w 2010"/>
                                  <a:gd name="T7" fmla="*/ 671 h 1343"/>
                                  <a:gd name="T8" fmla="*/ 1005 w 2010"/>
                                  <a:gd name="T9" fmla="*/ 1342 h 1343"/>
                                  <a:gd name="T10" fmla="*/ 2010 w 2010"/>
                                  <a:gd name="T11" fmla="*/ 671 h 1343"/>
                                  <a:gd name="T12" fmla="*/ 1507 w 2010"/>
                                  <a:gd name="T13" fmla="*/ 671 h 1343"/>
                                  <a:gd name="T14" fmla="*/ 1507 w 2010"/>
                                  <a:gd name="T15" fmla="*/ 0 h 13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0" h="1343">
                                    <a:moveTo>
                                      <a:pt x="1507" y="0"/>
                                    </a:moveTo>
                                    <a:lnTo>
                                      <a:pt x="502" y="0"/>
                                    </a:lnTo>
                                    <a:lnTo>
                                      <a:pt x="502" y="671"/>
                                    </a:lnTo>
                                    <a:lnTo>
                                      <a:pt x="0" y="671"/>
                                    </a:lnTo>
                                    <a:lnTo>
                                      <a:pt x="1005" y="1342"/>
                                    </a:lnTo>
                                    <a:lnTo>
                                      <a:pt x="2010" y="671"/>
                                    </a:lnTo>
                                    <a:lnTo>
                                      <a:pt x="1507" y="671"/>
                                    </a:lnTo>
                                    <a:lnTo>
                                      <a:pt x="1507"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9459E05" id="Freeform: Shape 23" o:spid="_x0000_s1026" style="width:67.85pt;height:58.7pt;visibility:visible;mso-wrap-style:square;mso-left-percent:-10001;mso-top-percent:-10001;mso-position-horizontal:absolute;mso-position-horizontal-relative:char;mso-position-vertical:absolute;mso-position-vertical-relative:line;mso-left-percent:-10001;mso-top-percent:-10001;v-text-anchor:top" coordsize="2010,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" path="m1507,l502,r,671l,671r1005,671l2010,671r-503,l1507,xe" fillcolor="#7e7e7e" stroked="f">
                      <v:path arrowok="t" o:connecttype="custom" o:connectlocs="646057,0;215209,0;215209,372467;0,372467;430848,744935;861695,372467;646057,372467;646057,0" o:connectangles="0,0,0,0,0,0,0,0"/>
                      <w10:anchorlock/>
                    </v:shape>
                  </w:pict>
                </mc:Fallback>
              </mc:AlternateContent>
            </w:r>
          </w:p>
        </w:tc>
        <w:tc>
          <w:tcPr>
            <w:tcW w:w="1250" w:type="pct"/>
          </w:tcPr>
          <w:p w14:paraId="7A727A45"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mc:AlternateContent>
                <mc:Choice Requires="wps">
                  <w:drawing>
                    <wp:inline distT="0" distB="0" distL="0" distR="0" wp14:anchorId="790D044B" wp14:editId="036ABD11">
                      <wp:extent cx="861695" cy="745490"/>
                      <wp:effectExtent l="0" t="0" r="0" b="0"/>
                      <wp:docPr id="21"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695" cy="745490"/>
                              </a:xfrm>
                              <a:custGeom>
                                <a:avLst/>
                                <a:gdLst>
                                  <a:gd name="T0" fmla="*/ 1507 w 2010"/>
                                  <a:gd name="T1" fmla="*/ 0 h 1343"/>
                                  <a:gd name="T2" fmla="*/ 502 w 2010"/>
                                  <a:gd name="T3" fmla="*/ 0 h 1343"/>
                                  <a:gd name="T4" fmla="*/ 502 w 2010"/>
                                  <a:gd name="T5" fmla="*/ 671 h 1343"/>
                                  <a:gd name="T6" fmla="*/ 0 w 2010"/>
                                  <a:gd name="T7" fmla="*/ 671 h 1343"/>
                                  <a:gd name="T8" fmla="*/ 1005 w 2010"/>
                                  <a:gd name="T9" fmla="*/ 1342 h 1343"/>
                                  <a:gd name="T10" fmla="*/ 2010 w 2010"/>
                                  <a:gd name="T11" fmla="*/ 671 h 1343"/>
                                  <a:gd name="T12" fmla="*/ 1507 w 2010"/>
                                  <a:gd name="T13" fmla="*/ 671 h 1343"/>
                                  <a:gd name="T14" fmla="*/ 1507 w 2010"/>
                                  <a:gd name="T15" fmla="*/ 0 h 13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0" h="1343">
                                    <a:moveTo>
                                      <a:pt x="1507" y="0"/>
                                    </a:moveTo>
                                    <a:lnTo>
                                      <a:pt x="502" y="0"/>
                                    </a:lnTo>
                                    <a:lnTo>
                                      <a:pt x="502" y="671"/>
                                    </a:lnTo>
                                    <a:lnTo>
                                      <a:pt x="0" y="671"/>
                                    </a:lnTo>
                                    <a:lnTo>
                                      <a:pt x="1005" y="1342"/>
                                    </a:lnTo>
                                    <a:lnTo>
                                      <a:pt x="2010" y="671"/>
                                    </a:lnTo>
                                    <a:lnTo>
                                      <a:pt x="1507" y="671"/>
                                    </a:lnTo>
                                    <a:lnTo>
                                      <a:pt x="1507"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11CBA10" id="Freeform: Shape 23" o:spid="_x0000_s1026" style="width:67.85pt;height:58.7pt;visibility:visible;mso-wrap-style:square;mso-left-percent:-10001;mso-top-percent:-10001;mso-position-horizontal:absolute;mso-position-horizontal-relative:char;mso-position-vertical:absolute;mso-position-vertical-relative:line;mso-left-percent:-10001;mso-top-percent:-10001;v-text-anchor:top" coordsize="2010,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" path="m1507,l502,r,671l,671r1005,671l2010,671r-503,l1507,xe" fillcolor="#7e7e7e" stroked="f">
                      <v:path arrowok="t" o:connecttype="custom" o:connectlocs="646057,0;215209,0;215209,372467;0,372467;430848,744935;861695,372467;646057,372467;646057,0" o:connectangles="0,0,0,0,0,0,0,0"/>
                      <w10:anchorlock/>
                    </v:shape>
                  </w:pict>
                </mc:Fallback>
              </mc:AlternateContent>
            </w:r>
          </w:p>
        </w:tc>
        <w:tc>
          <w:tcPr>
            <w:tcW w:w="1250" w:type="pct"/>
          </w:tcPr>
          <w:p w14:paraId="14C98FB9"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mc:AlternateContent>
                <mc:Choice Requires="wps">
                  <w:drawing>
                    <wp:inline distT="0" distB="0" distL="0" distR="0" wp14:anchorId="30E3E68E" wp14:editId="3210A3F6">
                      <wp:extent cx="861695" cy="745490"/>
                      <wp:effectExtent l="0" t="0" r="0" b="0"/>
                      <wp:docPr id="2"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695" cy="745490"/>
                              </a:xfrm>
                              <a:custGeom>
                                <a:avLst/>
                                <a:gdLst>
                                  <a:gd name="T0" fmla="*/ 1507 w 2010"/>
                                  <a:gd name="T1" fmla="*/ 0 h 1343"/>
                                  <a:gd name="T2" fmla="*/ 502 w 2010"/>
                                  <a:gd name="T3" fmla="*/ 0 h 1343"/>
                                  <a:gd name="T4" fmla="*/ 502 w 2010"/>
                                  <a:gd name="T5" fmla="*/ 671 h 1343"/>
                                  <a:gd name="T6" fmla="*/ 0 w 2010"/>
                                  <a:gd name="T7" fmla="*/ 671 h 1343"/>
                                  <a:gd name="T8" fmla="*/ 1005 w 2010"/>
                                  <a:gd name="T9" fmla="*/ 1342 h 1343"/>
                                  <a:gd name="T10" fmla="*/ 2010 w 2010"/>
                                  <a:gd name="T11" fmla="*/ 671 h 1343"/>
                                  <a:gd name="T12" fmla="*/ 1507 w 2010"/>
                                  <a:gd name="T13" fmla="*/ 671 h 1343"/>
                                  <a:gd name="T14" fmla="*/ 1507 w 2010"/>
                                  <a:gd name="T15" fmla="*/ 0 h 13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0" h="1343">
                                    <a:moveTo>
                                      <a:pt x="1507" y="0"/>
                                    </a:moveTo>
                                    <a:lnTo>
                                      <a:pt x="502" y="0"/>
                                    </a:lnTo>
                                    <a:lnTo>
                                      <a:pt x="502" y="671"/>
                                    </a:lnTo>
                                    <a:lnTo>
                                      <a:pt x="0" y="671"/>
                                    </a:lnTo>
                                    <a:lnTo>
                                      <a:pt x="1005" y="1342"/>
                                    </a:lnTo>
                                    <a:lnTo>
                                      <a:pt x="2010" y="671"/>
                                    </a:lnTo>
                                    <a:lnTo>
                                      <a:pt x="1507" y="671"/>
                                    </a:lnTo>
                                    <a:lnTo>
                                      <a:pt x="1507"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F3F68C4" id="Freeform: Shape 23" o:spid="_x0000_s1026" style="width:67.85pt;height:58.7pt;visibility:visible;mso-wrap-style:square;mso-left-percent:-10001;mso-top-percent:-10001;mso-position-horizontal:absolute;mso-position-horizontal-relative:char;mso-position-vertical:absolute;mso-position-vertical-relative:line;mso-left-percent:-10001;mso-top-percent:-10001;v-text-anchor:top" coordsize="2010,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" path="m1507,l502,r,671l,671r1005,671l2010,671r-503,l1507,xe" fillcolor="#7e7e7e" stroked="f">
                      <v:path arrowok="t" o:connecttype="custom" o:connectlocs="646057,0;215209,0;215209,372467;0,372467;430848,744935;861695,372467;646057,372467;646057,0" o:connectangles="0,0,0,0,0,0,0,0"/>
                      <w10:anchorlock/>
                    </v:shape>
                  </w:pict>
                </mc:Fallback>
              </mc:AlternateContent>
            </w:r>
          </w:p>
        </w:tc>
        <w:tc>
          <w:tcPr>
            <w:tcW w:w="1250" w:type="pct"/>
          </w:tcPr>
          <w:p w14:paraId="139B59FE" w14:textId="77777777" w:rsidR="0071062A" w:rsidRPr="0071062A" w:rsidRDefault="0071062A" w:rsidP="00E41927">
            <w:pPr>
              <w:jc w:val="center"/>
              <w:rPr>
                <w:rFonts w:ascii="Times New Roman" w:hAnsi="Times New Roman" w:cs="Times New Roman"/>
                <w:sz w:val="24"/>
                <w:szCs w:val="24"/>
              </w:rPr>
            </w:pPr>
            <w:r w:rsidRPr="0071062A">
              <w:rPr>
                <w:noProof/>
                <w:sz w:val="24"/>
                <w:szCs w:val="24"/>
              </w:rPr>
              <mc:AlternateContent>
                <mc:Choice Requires="wps">
                  <w:drawing>
                    <wp:inline distT="0" distB="0" distL="0" distR="0" wp14:anchorId="436EEE0E" wp14:editId="11AF7930">
                      <wp:extent cx="861695" cy="745490"/>
                      <wp:effectExtent l="0" t="0" r="0" b="0"/>
                      <wp:docPr id="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695" cy="745490"/>
                              </a:xfrm>
                              <a:custGeom>
                                <a:avLst/>
                                <a:gdLst>
                                  <a:gd name="T0" fmla="*/ 1507 w 2010"/>
                                  <a:gd name="T1" fmla="*/ 0 h 1343"/>
                                  <a:gd name="T2" fmla="*/ 502 w 2010"/>
                                  <a:gd name="T3" fmla="*/ 0 h 1343"/>
                                  <a:gd name="T4" fmla="*/ 502 w 2010"/>
                                  <a:gd name="T5" fmla="*/ 671 h 1343"/>
                                  <a:gd name="T6" fmla="*/ 0 w 2010"/>
                                  <a:gd name="T7" fmla="*/ 671 h 1343"/>
                                  <a:gd name="T8" fmla="*/ 1005 w 2010"/>
                                  <a:gd name="T9" fmla="*/ 1342 h 1343"/>
                                  <a:gd name="T10" fmla="*/ 2010 w 2010"/>
                                  <a:gd name="T11" fmla="*/ 671 h 1343"/>
                                  <a:gd name="T12" fmla="*/ 1507 w 2010"/>
                                  <a:gd name="T13" fmla="*/ 671 h 1343"/>
                                  <a:gd name="T14" fmla="*/ 1507 w 2010"/>
                                  <a:gd name="T15" fmla="*/ 0 h 134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10" h="1343">
                                    <a:moveTo>
                                      <a:pt x="1507" y="0"/>
                                    </a:moveTo>
                                    <a:lnTo>
                                      <a:pt x="502" y="0"/>
                                    </a:lnTo>
                                    <a:lnTo>
                                      <a:pt x="502" y="671"/>
                                    </a:lnTo>
                                    <a:lnTo>
                                      <a:pt x="0" y="671"/>
                                    </a:lnTo>
                                    <a:lnTo>
                                      <a:pt x="1005" y="1342"/>
                                    </a:lnTo>
                                    <a:lnTo>
                                      <a:pt x="2010" y="671"/>
                                    </a:lnTo>
                                    <a:lnTo>
                                      <a:pt x="1507" y="671"/>
                                    </a:lnTo>
                                    <a:lnTo>
                                      <a:pt x="1507"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7EE1715" id="Freeform: Shape 23" o:spid="_x0000_s1026" style="width:67.85pt;height:58.7pt;visibility:visible;mso-wrap-style:square;mso-left-percent:-10001;mso-top-percent:-10001;mso-position-horizontal:absolute;mso-position-horizontal-relative:char;mso-position-vertical:absolute;mso-position-vertical-relative:line;mso-left-percent:-10001;mso-top-percent:-10001;v-text-anchor:top" coordsize="2010,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" path="m1507,l502,r,671l,671r1005,671l2010,671r-503,l1507,xe" fillcolor="#7e7e7e" stroked="f">
                      <v:path arrowok="t" o:connecttype="custom" o:connectlocs="646057,0;215209,0;215209,372467;0,372467;430848,744935;861695,372467;646057,372467;646057,0" o:connectangles="0,0,0,0,0,0,0,0"/>
                      <w10:anchorlock/>
                    </v:shape>
                  </w:pict>
                </mc:Fallback>
              </mc:AlternateContent>
            </w:r>
          </w:p>
        </w:tc>
      </w:tr>
      <w:tr w:rsidR="0071062A" w:rsidRPr="0071062A" w14:paraId="69C2E050" w14:textId="77777777" w:rsidTr="0071062A">
        <w:tc>
          <w:tcPr>
            <w:tcW w:w="1250" w:type="pct"/>
          </w:tcPr>
          <w:p w14:paraId="02207097" w14:textId="77777777" w:rsidR="0071062A" w:rsidRPr="0071062A" w:rsidRDefault="0071062A" w:rsidP="00E41927">
            <w:pPr>
              <w:rPr>
                <w:rFonts w:ascii="Times New Roman" w:hAnsi="Times New Roman" w:cs="Times New Roman"/>
                <w:sz w:val="24"/>
                <w:szCs w:val="24"/>
              </w:rPr>
            </w:pPr>
            <w:r w:rsidRPr="0071062A">
              <w:rPr>
                <w:noProof/>
                <w:sz w:val="24"/>
                <w:szCs w:val="24"/>
              </w:rPr>
              <w:drawing>
                <wp:inline distT="0" distB="0" distL="0" distR="0" wp14:anchorId="13C8E1B5" wp14:editId="1C87AA3B">
                  <wp:extent cx="922020" cy="1208405"/>
                  <wp:effectExtent l="0" t="0" r="0" b="0"/>
                  <wp:docPr id="816745105" name="Picture 18"/>
                  <wp:cNvGraphicFramePr/>
                  <a:graphic xmlns:a="http://schemas.openxmlformats.org/drawingml/2006/main">
                    <a:graphicData uri="http://schemas.openxmlformats.org/drawingml/2006/picture">
                      <pic:pic xmlns:pic="http://schemas.openxmlformats.org/drawingml/2006/picture">
                        <pic:nvPicPr>
                          <pic:cNvPr id="816745105" name="Picture 1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020" cy="1208405"/>
                          </a:xfrm>
                          <a:prstGeom prst="rect">
                            <a:avLst/>
                          </a:prstGeom>
                          <a:noFill/>
                        </pic:spPr>
                      </pic:pic>
                    </a:graphicData>
                  </a:graphic>
                </wp:inline>
              </w:drawing>
            </w:r>
          </w:p>
        </w:tc>
        <w:tc>
          <w:tcPr>
            <w:tcW w:w="1250" w:type="pct"/>
          </w:tcPr>
          <w:p w14:paraId="318C029C" w14:textId="77777777" w:rsidR="0071062A" w:rsidRPr="0071062A" w:rsidRDefault="0071062A" w:rsidP="00E41927">
            <w:pPr>
              <w:rPr>
                <w:rFonts w:ascii="Times New Roman" w:hAnsi="Times New Roman" w:cs="Times New Roman"/>
                <w:sz w:val="24"/>
                <w:szCs w:val="24"/>
              </w:rPr>
            </w:pPr>
            <w:r w:rsidRPr="0071062A">
              <w:rPr>
                <w:noProof/>
                <w:sz w:val="24"/>
                <w:szCs w:val="24"/>
              </w:rPr>
              <w:drawing>
                <wp:inline distT="0" distB="0" distL="0" distR="0" wp14:anchorId="1B9A6C3B" wp14:editId="0E36E243">
                  <wp:extent cx="1280160" cy="1280160"/>
                  <wp:effectExtent l="0" t="0" r="0" b="0"/>
                  <wp:docPr id="1308025278" name="Picture 17"/>
                  <wp:cNvGraphicFramePr/>
                  <a:graphic xmlns:a="http://schemas.openxmlformats.org/drawingml/2006/main">
                    <a:graphicData uri="http://schemas.openxmlformats.org/drawingml/2006/picture">
                      <pic:pic xmlns:pic="http://schemas.openxmlformats.org/drawingml/2006/picture">
                        <pic:nvPicPr>
                          <pic:cNvPr id="1308025278" name="Picture 17"/>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p>
          <w:p w14:paraId="634CE587" w14:textId="77777777" w:rsidR="0071062A" w:rsidRPr="0071062A" w:rsidRDefault="0071062A" w:rsidP="00E41927">
            <w:pPr>
              <w:rPr>
                <w:rFonts w:ascii="Times New Roman" w:hAnsi="Times New Roman" w:cs="Times New Roman"/>
                <w:sz w:val="24"/>
                <w:szCs w:val="24"/>
              </w:rPr>
            </w:pPr>
          </w:p>
          <w:p w14:paraId="180E4822" w14:textId="77777777" w:rsidR="0071062A" w:rsidRPr="0071062A" w:rsidRDefault="0071062A" w:rsidP="00E41927">
            <w:pPr>
              <w:ind w:firstLine="1304"/>
              <w:rPr>
                <w:rFonts w:ascii="Times New Roman" w:hAnsi="Times New Roman" w:cs="Times New Roman"/>
                <w:sz w:val="24"/>
                <w:szCs w:val="24"/>
              </w:rPr>
            </w:pPr>
          </w:p>
        </w:tc>
        <w:tc>
          <w:tcPr>
            <w:tcW w:w="1250" w:type="pct"/>
          </w:tcPr>
          <w:p w14:paraId="76F1FCE4" w14:textId="77777777" w:rsidR="0071062A" w:rsidRPr="0071062A" w:rsidRDefault="0071062A" w:rsidP="00E41927">
            <w:pPr>
              <w:rPr>
                <w:rFonts w:ascii="Times New Roman" w:hAnsi="Times New Roman" w:cs="Times New Roman"/>
                <w:sz w:val="24"/>
                <w:szCs w:val="24"/>
              </w:rPr>
            </w:pPr>
            <w:r w:rsidRPr="0071062A">
              <w:rPr>
                <w:noProof/>
                <w:sz w:val="24"/>
                <w:szCs w:val="24"/>
              </w:rPr>
              <w:drawing>
                <wp:inline distT="0" distB="0" distL="0" distR="0" wp14:anchorId="6A92DB1C" wp14:editId="1EECB8E9">
                  <wp:extent cx="1364615" cy="1238885"/>
                  <wp:effectExtent l="0" t="0" r="6985" b="0"/>
                  <wp:docPr id="658889418" name="Picture 16"/>
                  <wp:cNvGraphicFramePr/>
                  <a:graphic xmlns:a="http://schemas.openxmlformats.org/drawingml/2006/main">
                    <a:graphicData uri="http://schemas.openxmlformats.org/drawingml/2006/picture">
                      <pic:pic xmlns:pic="http://schemas.openxmlformats.org/drawingml/2006/picture">
                        <pic:nvPicPr>
                          <pic:cNvPr id="658889418" name="Picture 16"/>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64615" cy="1238885"/>
                          </a:xfrm>
                          <a:prstGeom prst="rect">
                            <a:avLst/>
                          </a:prstGeom>
                          <a:noFill/>
                        </pic:spPr>
                      </pic:pic>
                    </a:graphicData>
                  </a:graphic>
                </wp:inline>
              </w:drawing>
            </w:r>
          </w:p>
        </w:tc>
        <w:tc>
          <w:tcPr>
            <w:tcW w:w="1250" w:type="pct"/>
          </w:tcPr>
          <w:p w14:paraId="3C7FAE0A" w14:textId="77777777" w:rsidR="0071062A" w:rsidRPr="0071062A" w:rsidRDefault="0071062A" w:rsidP="00E41927">
            <w:pPr>
              <w:rPr>
                <w:rFonts w:ascii="Times New Roman" w:hAnsi="Times New Roman" w:cs="Times New Roman"/>
                <w:sz w:val="24"/>
                <w:szCs w:val="24"/>
              </w:rPr>
            </w:pPr>
            <w:r w:rsidRPr="0071062A">
              <w:rPr>
                <w:noProof/>
                <w:sz w:val="24"/>
                <w:szCs w:val="24"/>
              </w:rPr>
              <w:drawing>
                <wp:inline distT="0" distB="0" distL="0" distR="0" wp14:anchorId="7A7E8028" wp14:editId="6207839A">
                  <wp:extent cx="1276350" cy="1276350"/>
                  <wp:effectExtent l="0" t="0" r="0" b="0"/>
                  <wp:docPr id="1993635745" name="Picture 15"/>
                  <wp:cNvGraphicFramePr/>
                  <a:graphic xmlns:a="http://schemas.openxmlformats.org/drawingml/2006/main">
                    <a:graphicData uri="http://schemas.openxmlformats.org/drawingml/2006/picture">
                      <pic:pic xmlns:pic="http://schemas.openxmlformats.org/drawingml/2006/picture">
                        <pic:nvPicPr>
                          <pic:cNvPr id="1993635745" name="Picture 1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pic:spPr>
                      </pic:pic>
                    </a:graphicData>
                  </a:graphic>
                </wp:inline>
              </w:drawing>
            </w:r>
          </w:p>
          <w:p w14:paraId="09448F2D" w14:textId="77777777" w:rsidR="0071062A" w:rsidRPr="0071062A" w:rsidRDefault="0071062A" w:rsidP="00E41927">
            <w:pPr>
              <w:rPr>
                <w:rFonts w:ascii="Times New Roman" w:hAnsi="Times New Roman" w:cs="Times New Roman"/>
                <w:sz w:val="24"/>
                <w:szCs w:val="24"/>
              </w:rPr>
            </w:pPr>
          </w:p>
          <w:p w14:paraId="26356726" w14:textId="77777777" w:rsidR="0071062A" w:rsidRPr="0071062A" w:rsidRDefault="0071062A" w:rsidP="00E41927">
            <w:pPr>
              <w:jc w:val="center"/>
              <w:rPr>
                <w:rFonts w:ascii="Times New Roman" w:hAnsi="Times New Roman" w:cs="Times New Roman"/>
                <w:sz w:val="24"/>
                <w:szCs w:val="24"/>
              </w:rPr>
            </w:pPr>
          </w:p>
        </w:tc>
      </w:tr>
      <w:tr w:rsidR="0071062A" w:rsidRPr="00E10DCE" w14:paraId="31E1C39A" w14:textId="77777777" w:rsidTr="0071062A">
        <w:tc>
          <w:tcPr>
            <w:tcW w:w="1250" w:type="pct"/>
          </w:tcPr>
          <w:p w14:paraId="74245026" w14:textId="77777777" w:rsidR="0071062A" w:rsidRPr="00E10DCE" w:rsidRDefault="0071062A" w:rsidP="00E10DCE">
            <w:pPr>
              <w:pStyle w:val="TableParagraph"/>
              <w:kinsoku w:val="0"/>
              <w:overflowPunct w:val="0"/>
              <w:spacing w:before="11"/>
              <w:ind w:left="94"/>
              <w:rPr>
                <w:rFonts w:ascii="Times New Roman" w:hAnsi="Times New Roman" w:cs="Times New Roman"/>
                <w:spacing w:val="-5"/>
                <w:sz w:val="22"/>
                <w:szCs w:val="22"/>
                <w:lang w:val="da-DK"/>
              </w:rPr>
            </w:pPr>
            <w:r w:rsidRPr="00E10DCE">
              <w:rPr>
                <w:rFonts w:ascii="Times New Roman" w:hAnsi="Times New Roman" w:cs="Times New Roman"/>
                <w:sz w:val="22"/>
                <w:szCs w:val="22"/>
                <w:lang w:val="da-DK"/>
              </w:rPr>
              <w:t>Trin</w:t>
            </w:r>
            <w:r w:rsidRPr="00E10DCE">
              <w:rPr>
                <w:rFonts w:ascii="Times New Roman" w:hAnsi="Times New Roman" w:cs="Times New Roman"/>
                <w:spacing w:val="-3"/>
                <w:sz w:val="22"/>
                <w:szCs w:val="22"/>
                <w:lang w:val="da-DK"/>
              </w:rPr>
              <w:t xml:space="preserve"> </w:t>
            </w:r>
            <w:r w:rsidRPr="00E10DCE">
              <w:rPr>
                <w:rFonts w:ascii="Times New Roman" w:hAnsi="Times New Roman" w:cs="Times New Roman"/>
                <w:spacing w:val="-5"/>
                <w:sz w:val="22"/>
                <w:szCs w:val="22"/>
                <w:lang w:val="da-DK"/>
              </w:rPr>
              <w:t>1a:</w:t>
            </w:r>
          </w:p>
          <w:p w14:paraId="66D69879" w14:textId="146AA49B" w:rsidR="0071062A" w:rsidRPr="00E10DCE" w:rsidRDefault="0071062A" w:rsidP="00E10DCE">
            <w:pPr>
              <w:pStyle w:val="TableParagraph"/>
              <w:kinsoku w:val="0"/>
              <w:overflowPunct w:val="0"/>
              <w:spacing w:before="3"/>
              <w:ind w:left="94"/>
              <w:rPr>
                <w:rFonts w:ascii="Times New Roman" w:hAnsi="Times New Roman" w:cs="Times New Roman"/>
                <w:sz w:val="22"/>
                <w:szCs w:val="22"/>
              </w:rPr>
            </w:pPr>
            <w:r w:rsidRPr="00E10DCE">
              <w:rPr>
                <w:rFonts w:ascii="Times New Roman" w:hAnsi="Times New Roman" w:cs="Times New Roman"/>
                <w:b/>
                <w:bCs/>
                <w:sz w:val="22"/>
                <w:szCs w:val="22"/>
                <w:lang w:val="da-DK"/>
              </w:rPr>
              <w:t>Fjern hætten</w:t>
            </w:r>
          </w:p>
        </w:tc>
        <w:tc>
          <w:tcPr>
            <w:tcW w:w="1250" w:type="pct"/>
          </w:tcPr>
          <w:p w14:paraId="51A43A50" w14:textId="77777777" w:rsidR="0071062A" w:rsidRPr="00E10DCE" w:rsidRDefault="0071062A" w:rsidP="00E10DCE">
            <w:pPr>
              <w:pStyle w:val="TableParagraph"/>
              <w:kinsoku w:val="0"/>
              <w:overflowPunct w:val="0"/>
              <w:spacing w:before="11"/>
              <w:ind w:left="94"/>
              <w:rPr>
                <w:rFonts w:ascii="Times New Roman" w:hAnsi="Times New Roman" w:cs="Times New Roman"/>
                <w:spacing w:val="-5"/>
                <w:sz w:val="22"/>
                <w:szCs w:val="22"/>
                <w:lang w:val="da-DK"/>
              </w:rPr>
            </w:pPr>
            <w:r w:rsidRPr="00E10DCE">
              <w:rPr>
                <w:rFonts w:ascii="Times New Roman" w:hAnsi="Times New Roman" w:cs="Times New Roman"/>
                <w:sz w:val="22"/>
                <w:szCs w:val="22"/>
                <w:lang w:val="da-DK"/>
              </w:rPr>
              <w:t>Trin</w:t>
            </w:r>
            <w:r w:rsidRPr="00E10DCE">
              <w:rPr>
                <w:rFonts w:ascii="Times New Roman" w:hAnsi="Times New Roman" w:cs="Times New Roman"/>
                <w:spacing w:val="-3"/>
                <w:sz w:val="22"/>
                <w:szCs w:val="22"/>
                <w:lang w:val="da-DK"/>
              </w:rPr>
              <w:t xml:space="preserve"> </w:t>
            </w:r>
            <w:r w:rsidRPr="00E10DCE">
              <w:rPr>
                <w:rFonts w:ascii="Times New Roman" w:hAnsi="Times New Roman" w:cs="Times New Roman"/>
                <w:spacing w:val="-5"/>
                <w:sz w:val="22"/>
                <w:szCs w:val="22"/>
                <w:lang w:val="da-DK"/>
              </w:rPr>
              <w:t>2a:</w:t>
            </w:r>
          </w:p>
          <w:p w14:paraId="245DFF88" w14:textId="77777777" w:rsidR="0071062A" w:rsidRPr="00E10DCE" w:rsidRDefault="0071062A" w:rsidP="00E10DCE">
            <w:pPr>
              <w:pStyle w:val="TableParagraph"/>
              <w:kinsoku w:val="0"/>
              <w:overflowPunct w:val="0"/>
              <w:spacing w:before="14"/>
              <w:ind w:left="94"/>
              <w:rPr>
                <w:rFonts w:ascii="Times New Roman" w:hAnsi="Times New Roman" w:cs="Times New Roman"/>
                <w:b/>
                <w:bCs/>
                <w:sz w:val="22"/>
                <w:szCs w:val="22"/>
                <w:lang w:val="da-DK"/>
              </w:rPr>
            </w:pPr>
            <w:r w:rsidRPr="00E10DCE">
              <w:rPr>
                <w:rFonts w:ascii="Times New Roman" w:hAnsi="Times New Roman" w:cs="Times New Roman"/>
                <w:b/>
                <w:bCs/>
                <w:sz w:val="22"/>
                <w:szCs w:val="22"/>
                <w:lang w:val="da-DK"/>
              </w:rPr>
              <w:t>Perforér kapslen én gang</w:t>
            </w:r>
          </w:p>
          <w:p w14:paraId="4520D089" w14:textId="77777777" w:rsidR="0071062A" w:rsidRPr="00E10DCE" w:rsidRDefault="0071062A" w:rsidP="00E10DCE">
            <w:pPr>
              <w:ind w:left="94"/>
              <w:rPr>
                <w:rFonts w:ascii="Times New Roman" w:hAnsi="Times New Roman" w:cs="Times New Roman"/>
                <w:sz w:val="22"/>
              </w:rPr>
            </w:pPr>
            <w:r w:rsidRPr="00E10DCE">
              <w:rPr>
                <w:rFonts w:ascii="Times New Roman" w:hAnsi="Times New Roman" w:cs="Times New Roman"/>
                <w:sz w:val="22"/>
              </w:rPr>
              <w:t xml:space="preserve">Hold inhalatoren lodret. Perforér kapslen ved samtidigt at trykke begge sideknapper helt ind. Du vil høre et klik, når kapslen perforeres. </w:t>
            </w:r>
            <w:r w:rsidRPr="00E10DCE">
              <w:rPr>
                <w:rFonts w:ascii="Times New Roman" w:hAnsi="Times New Roman" w:cs="Times New Roman"/>
                <w:sz w:val="22"/>
                <w:u w:val="single"/>
              </w:rPr>
              <w:t>Perforér kun kapslen én gang.</w:t>
            </w:r>
          </w:p>
        </w:tc>
        <w:tc>
          <w:tcPr>
            <w:tcW w:w="1250" w:type="pct"/>
          </w:tcPr>
          <w:p w14:paraId="16ECE03A" w14:textId="77777777" w:rsidR="0071062A" w:rsidRPr="000C24D0" w:rsidRDefault="0071062A" w:rsidP="00E10DCE">
            <w:pPr>
              <w:pStyle w:val="TableParagraph"/>
              <w:kinsoku w:val="0"/>
              <w:overflowPunct w:val="0"/>
              <w:spacing w:before="11"/>
              <w:ind w:left="94"/>
              <w:rPr>
                <w:rFonts w:ascii="Times New Roman" w:hAnsi="Times New Roman" w:cs="Times New Roman"/>
                <w:spacing w:val="-5"/>
                <w:sz w:val="22"/>
                <w:szCs w:val="22"/>
                <w:lang w:val="sv-SE"/>
              </w:rPr>
            </w:pPr>
            <w:r w:rsidRPr="000C24D0">
              <w:rPr>
                <w:rFonts w:ascii="Times New Roman" w:hAnsi="Times New Roman" w:cs="Times New Roman"/>
                <w:sz w:val="22"/>
                <w:szCs w:val="22"/>
                <w:lang w:val="sv-SE"/>
              </w:rPr>
              <w:t>Trin</w:t>
            </w:r>
            <w:r w:rsidRPr="000C24D0">
              <w:rPr>
                <w:rFonts w:ascii="Times New Roman" w:hAnsi="Times New Roman" w:cs="Times New Roman"/>
                <w:spacing w:val="-3"/>
                <w:sz w:val="22"/>
                <w:szCs w:val="22"/>
                <w:lang w:val="sv-SE"/>
              </w:rPr>
              <w:t xml:space="preserve"> </w:t>
            </w:r>
            <w:r w:rsidRPr="000C24D0">
              <w:rPr>
                <w:rFonts w:ascii="Times New Roman" w:hAnsi="Times New Roman" w:cs="Times New Roman"/>
                <w:spacing w:val="-5"/>
                <w:sz w:val="22"/>
                <w:szCs w:val="22"/>
                <w:lang w:val="sv-SE"/>
              </w:rPr>
              <w:t>3a:</w:t>
            </w:r>
          </w:p>
          <w:p w14:paraId="1862DD5A" w14:textId="77777777" w:rsidR="0071062A" w:rsidRPr="000C24D0" w:rsidRDefault="0071062A" w:rsidP="00E10DCE">
            <w:pPr>
              <w:pStyle w:val="TableParagraph"/>
              <w:kinsoku w:val="0"/>
              <w:overflowPunct w:val="0"/>
              <w:spacing w:before="4" w:line="235" w:lineRule="auto"/>
              <w:ind w:left="94" w:right="430"/>
              <w:rPr>
                <w:rFonts w:ascii="Times New Roman" w:hAnsi="Times New Roman" w:cs="Times New Roman"/>
                <w:b/>
                <w:bCs/>
                <w:sz w:val="22"/>
                <w:szCs w:val="22"/>
                <w:lang w:val="sv-SE"/>
              </w:rPr>
            </w:pPr>
            <w:r w:rsidRPr="000C24D0">
              <w:rPr>
                <w:rFonts w:ascii="Times New Roman" w:hAnsi="Times New Roman" w:cs="Times New Roman"/>
                <w:b/>
                <w:bCs/>
                <w:sz w:val="22"/>
                <w:szCs w:val="22"/>
                <w:lang w:val="sv-SE"/>
              </w:rPr>
              <w:t xml:space="preserve">Tag en </w:t>
            </w:r>
            <w:proofErr w:type="spellStart"/>
            <w:r w:rsidRPr="000C24D0">
              <w:rPr>
                <w:rFonts w:ascii="Times New Roman" w:hAnsi="Times New Roman" w:cs="Times New Roman"/>
                <w:b/>
                <w:bCs/>
                <w:sz w:val="22"/>
                <w:szCs w:val="22"/>
                <w:lang w:val="sv-SE"/>
              </w:rPr>
              <w:t>dyb</w:t>
            </w:r>
            <w:proofErr w:type="spellEnd"/>
            <w:r w:rsidRPr="000C24D0">
              <w:rPr>
                <w:rFonts w:ascii="Times New Roman" w:hAnsi="Times New Roman" w:cs="Times New Roman"/>
                <w:b/>
                <w:bCs/>
                <w:sz w:val="22"/>
                <w:szCs w:val="22"/>
                <w:lang w:val="sv-SE"/>
              </w:rPr>
              <w:t xml:space="preserve"> </w:t>
            </w:r>
            <w:proofErr w:type="spellStart"/>
            <w:r w:rsidRPr="000C24D0">
              <w:rPr>
                <w:rFonts w:ascii="Times New Roman" w:hAnsi="Times New Roman" w:cs="Times New Roman"/>
                <w:b/>
                <w:bCs/>
                <w:sz w:val="22"/>
                <w:szCs w:val="22"/>
                <w:lang w:val="sv-SE"/>
              </w:rPr>
              <w:t>udånding</w:t>
            </w:r>
            <w:proofErr w:type="spellEnd"/>
          </w:p>
          <w:p w14:paraId="5BFB249B" w14:textId="5A398382" w:rsidR="0071062A" w:rsidRPr="00993EA8" w:rsidRDefault="0071062A" w:rsidP="00E10DCE">
            <w:pPr>
              <w:pStyle w:val="TableParagraph"/>
              <w:kinsoku w:val="0"/>
              <w:overflowPunct w:val="0"/>
              <w:spacing w:before="4" w:line="235" w:lineRule="auto"/>
              <w:ind w:left="94" w:right="430"/>
              <w:rPr>
                <w:rFonts w:ascii="Times New Roman" w:hAnsi="Times New Roman" w:cs="Times New Roman"/>
                <w:sz w:val="22"/>
                <w:szCs w:val="22"/>
                <w:lang w:val="da-DK"/>
              </w:rPr>
            </w:pPr>
            <w:r w:rsidRPr="00E10DCE">
              <w:rPr>
                <w:rFonts w:ascii="Times New Roman" w:hAnsi="Times New Roman" w:cs="Times New Roman"/>
                <w:sz w:val="22"/>
                <w:szCs w:val="22"/>
                <w:u w:val="single"/>
                <w:lang w:val="da-DK"/>
              </w:rPr>
              <w:t>Du må ikke puste i mundstykket.</w:t>
            </w:r>
          </w:p>
        </w:tc>
        <w:tc>
          <w:tcPr>
            <w:tcW w:w="1250" w:type="pct"/>
          </w:tcPr>
          <w:p w14:paraId="4CB82573" w14:textId="77777777" w:rsidR="0071062A" w:rsidRPr="00E10DCE" w:rsidRDefault="0071062A" w:rsidP="00E10DCE">
            <w:pPr>
              <w:pStyle w:val="TableParagraph"/>
              <w:kinsoku w:val="0"/>
              <w:overflowPunct w:val="0"/>
              <w:spacing w:before="17" w:line="235" w:lineRule="auto"/>
              <w:ind w:left="94" w:right="125"/>
              <w:rPr>
                <w:rFonts w:ascii="Times New Roman" w:hAnsi="Times New Roman" w:cs="Times New Roman"/>
                <w:spacing w:val="-2"/>
                <w:sz w:val="22"/>
                <w:szCs w:val="22"/>
                <w:lang w:val="da-DK"/>
              </w:rPr>
            </w:pPr>
            <w:r w:rsidRPr="00E10DCE">
              <w:rPr>
                <w:rFonts w:ascii="Times New Roman" w:hAnsi="Times New Roman" w:cs="Times New Roman"/>
                <w:b/>
                <w:bCs/>
                <w:sz w:val="22"/>
                <w:szCs w:val="22"/>
                <w:lang w:val="da-DK"/>
              </w:rPr>
              <w:t xml:space="preserve">Tjek at kapslen er tom </w:t>
            </w:r>
            <w:r w:rsidRPr="00E10DCE">
              <w:rPr>
                <w:rFonts w:ascii="Times New Roman" w:hAnsi="Times New Roman" w:cs="Times New Roman"/>
                <w:sz w:val="22"/>
                <w:szCs w:val="22"/>
                <w:lang w:val="da-DK"/>
              </w:rPr>
              <w:t>Åbn inhalatoren for at kontrollere, om der er overskydende pulver i kapslen.</w:t>
            </w:r>
          </w:p>
          <w:p w14:paraId="4F819022" w14:textId="77777777" w:rsidR="0071062A" w:rsidRPr="00E10DCE" w:rsidRDefault="0071062A" w:rsidP="00E10DCE">
            <w:pPr>
              <w:pStyle w:val="TableParagraph"/>
              <w:kinsoku w:val="0"/>
              <w:overflowPunct w:val="0"/>
              <w:ind w:left="94"/>
              <w:rPr>
                <w:rFonts w:ascii="Times New Roman" w:hAnsi="Times New Roman" w:cs="Times New Roman"/>
                <w:bCs/>
                <w:sz w:val="22"/>
                <w:szCs w:val="22"/>
                <w:lang w:val="da-DK"/>
              </w:rPr>
            </w:pPr>
          </w:p>
          <w:p w14:paraId="38833CA6" w14:textId="77777777" w:rsidR="0071062A" w:rsidRPr="00E10DCE" w:rsidRDefault="0071062A" w:rsidP="00E10DCE">
            <w:pPr>
              <w:pStyle w:val="TableParagraph"/>
              <w:kinsoku w:val="0"/>
              <w:overflowPunct w:val="0"/>
              <w:ind w:left="94" w:right="125"/>
              <w:rPr>
                <w:rFonts w:ascii="Times New Roman" w:hAnsi="Times New Roman" w:cs="Times New Roman"/>
                <w:sz w:val="22"/>
                <w:szCs w:val="22"/>
                <w:lang w:val="da-DK"/>
              </w:rPr>
            </w:pPr>
            <w:r w:rsidRPr="00E10DCE">
              <w:rPr>
                <w:rFonts w:ascii="Times New Roman" w:hAnsi="Times New Roman" w:cs="Times New Roman"/>
                <w:sz w:val="22"/>
                <w:szCs w:val="22"/>
                <w:lang w:val="da-DK"/>
              </w:rPr>
              <w:t>Hvis der er overskydende pulver i kapslen:</w:t>
            </w:r>
          </w:p>
          <w:p w14:paraId="1DBA6D0C" w14:textId="77777777" w:rsidR="0071062A" w:rsidRPr="00E10DCE" w:rsidRDefault="0071062A" w:rsidP="00E10DCE">
            <w:pPr>
              <w:pStyle w:val="TableParagraph"/>
              <w:numPr>
                <w:ilvl w:val="0"/>
                <w:numId w:val="7"/>
              </w:numPr>
              <w:tabs>
                <w:tab w:val="left" w:pos="471"/>
              </w:tabs>
              <w:kinsoku w:val="0"/>
              <w:overflowPunct w:val="0"/>
              <w:spacing w:line="243" w:lineRule="exact"/>
              <w:ind w:left="467" w:hanging="361"/>
              <w:rPr>
                <w:rFonts w:ascii="Times New Roman" w:hAnsi="Times New Roman" w:cs="Times New Roman"/>
                <w:spacing w:val="-2"/>
                <w:sz w:val="22"/>
                <w:szCs w:val="22"/>
                <w:lang w:val="da-DK"/>
              </w:rPr>
            </w:pPr>
            <w:r w:rsidRPr="00E10DCE">
              <w:rPr>
                <w:rFonts w:ascii="Times New Roman" w:hAnsi="Times New Roman" w:cs="Times New Roman"/>
                <w:sz w:val="22"/>
                <w:szCs w:val="22"/>
                <w:lang w:val="da-DK"/>
              </w:rPr>
              <w:t>Luk inhalatoren</w:t>
            </w:r>
            <w:r w:rsidRPr="00E10DCE">
              <w:rPr>
                <w:rFonts w:ascii="Times New Roman" w:hAnsi="Times New Roman" w:cs="Times New Roman"/>
                <w:spacing w:val="-2"/>
                <w:sz w:val="22"/>
                <w:szCs w:val="22"/>
                <w:lang w:val="da-DK"/>
              </w:rPr>
              <w:t>.</w:t>
            </w:r>
          </w:p>
          <w:p w14:paraId="143AE14B" w14:textId="1B3F7ABE" w:rsidR="0071062A" w:rsidRPr="00993EA8" w:rsidRDefault="0071062A" w:rsidP="00B022B4">
            <w:pPr>
              <w:pStyle w:val="TableParagraph"/>
              <w:numPr>
                <w:ilvl w:val="0"/>
                <w:numId w:val="7"/>
              </w:numPr>
              <w:tabs>
                <w:tab w:val="left" w:pos="471"/>
              </w:tabs>
              <w:kinsoku w:val="0"/>
              <w:overflowPunct w:val="0"/>
              <w:ind w:left="94" w:hanging="361"/>
              <w:jc w:val="center"/>
              <w:rPr>
                <w:rFonts w:ascii="Times New Roman" w:hAnsi="Times New Roman" w:cs="Times New Roman"/>
                <w:sz w:val="22"/>
                <w:szCs w:val="22"/>
                <w:lang w:val="da-DK"/>
              </w:rPr>
            </w:pPr>
            <w:r w:rsidRPr="00B022B4">
              <w:rPr>
                <w:rFonts w:ascii="Times New Roman" w:hAnsi="Times New Roman" w:cs="Times New Roman"/>
                <w:sz w:val="22"/>
                <w:szCs w:val="22"/>
                <w:lang w:val="da-DK"/>
              </w:rPr>
              <w:t>Gentag trin</w:t>
            </w:r>
            <w:r w:rsidRPr="00B022B4">
              <w:rPr>
                <w:rFonts w:ascii="Times New Roman" w:hAnsi="Times New Roman" w:cs="Times New Roman"/>
                <w:spacing w:val="-3"/>
                <w:sz w:val="22"/>
                <w:szCs w:val="22"/>
                <w:lang w:val="da-DK"/>
              </w:rPr>
              <w:t xml:space="preserve"> </w:t>
            </w:r>
            <w:r w:rsidRPr="00B022B4">
              <w:rPr>
                <w:rFonts w:ascii="Times New Roman" w:hAnsi="Times New Roman" w:cs="Times New Roman"/>
                <w:sz w:val="22"/>
                <w:szCs w:val="22"/>
                <w:lang w:val="da-DK"/>
              </w:rPr>
              <w:t>3a</w:t>
            </w:r>
            <w:r w:rsidRPr="00B022B4">
              <w:rPr>
                <w:rFonts w:ascii="Times New Roman" w:hAnsi="Times New Roman" w:cs="Times New Roman"/>
                <w:spacing w:val="-3"/>
                <w:sz w:val="22"/>
                <w:szCs w:val="22"/>
                <w:lang w:val="da-DK"/>
              </w:rPr>
              <w:t xml:space="preserve"> </w:t>
            </w:r>
            <w:r w:rsidRPr="00B022B4">
              <w:rPr>
                <w:rFonts w:ascii="Times New Roman" w:hAnsi="Times New Roman" w:cs="Times New Roman"/>
                <w:sz w:val="22"/>
                <w:szCs w:val="22"/>
                <w:lang w:val="da-DK"/>
              </w:rPr>
              <w:t>til</w:t>
            </w:r>
            <w:r w:rsidRPr="00B022B4">
              <w:rPr>
                <w:rFonts w:ascii="Times New Roman" w:hAnsi="Times New Roman" w:cs="Times New Roman"/>
                <w:spacing w:val="-1"/>
                <w:sz w:val="22"/>
                <w:szCs w:val="22"/>
                <w:lang w:val="da-DK"/>
              </w:rPr>
              <w:t xml:space="preserve"> </w:t>
            </w:r>
            <w:r w:rsidRPr="00B022B4">
              <w:rPr>
                <w:rFonts w:ascii="Times New Roman" w:hAnsi="Times New Roman" w:cs="Times New Roman"/>
                <w:spacing w:val="-5"/>
                <w:sz w:val="22"/>
                <w:szCs w:val="22"/>
                <w:lang w:val="da-DK"/>
              </w:rPr>
              <w:t>3c.</w:t>
            </w:r>
          </w:p>
        </w:tc>
      </w:tr>
      <w:tr w:rsidR="0071062A" w:rsidRPr="0071062A" w14:paraId="5874B4AC" w14:textId="77777777" w:rsidTr="0071062A">
        <w:tc>
          <w:tcPr>
            <w:tcW w:w="1250" w:type="pct"/>
          </w:tcPr>
          <w:p w14:paraId="3D19BE1E" w14:textId="77777777" w:rsidR="0071062A" w:rsidRPr="0071062A" w:rsidRDefault="0071062A" w:rsidP="00E41927">
            <w:pPr>
              <w:rPr>
                <w:rFonts w:ascii="Times New Roman" w:hAnsi="Times New Roman" w:cs="Times New Roman"/>
                <w:sz w:val="24"/>
                <w:szCs w:val="24"/>
              </w:rPr>
            </w:pPr>
            <w:r w:rsidRPr="0071062A">
              <w:rPr>
                <w:noProof/>
                <w:sz w:val="24"/>
                <w:szCs w:val="24"/>
              </w:rPr>
              <w:drawing>
                <wp:inline distT="0" distB="0" distL="0" distR="0" wp14:anchorId="55509B90" wp14:editId="106CBD61">
                  <wp:extent cx="1288415" cy="1288415"/>
                  <wp:effectExtent l="0" t="0" r="6985" b="6985"/>
                  <wp:docPr id="1109314661" name="Picture 14"/>
                  <wp:cNvGraphicFramePr/>
                  <a:graphic xmlns:a="http://schemas.openxmlformats.org/drawingml/2006/main">
                    <a:graphicData uri="http://schemas.openxmlformats.org/drawingml/2006/picture">
                      <pic:pic xmlns:pic="http://schemas.openxmlformats.org/drawingml/2006/picture">
                        <pic:nvPicPr>
                          <pic:cNvPr id="1109314661" name="Picture 1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1288415"/>
                          </a:xfrm>
                          <a:prstGeom prst="rect">
                            <a:avLst/>
                          </a:prstGeom>
                          <a:noFill/>
                        </pic:spPr>
                      </pic:pic>
                    </a:graphicData>
                  </a:graphic>
                </wp:inline>
              </w:drawing>
            </w:r>
          </w:p>
          <w:p w14:paraId="54D8E60D" w14:textId="77777777" w:rsidR="00B022B4" w:rsidRPr="00B022B4" w:rsidRDefault="0071062A" w:rsidP="00B022B4">
            <w:pPr>
              <w:pStyle w:val="TableParagraph"/>
              <w:kinsoku w:val="0"/>
              <w:overflowPunct w:val="0"/>
              <w:spacing w:before="20"/>
              <w:ind w:left="94"/>
              <w:rPr>
                <w:rFonts w:ascii="Times New Roman" w:hAnsi="Times New Roman" w:cs="Times New Roman"/>
                <w:spacing w:val="-5"/>
                <w:sz w:val="22"/>
                <w:szCs w:val="22"/>
                <w:lang w:val="da-DK"/>
              </w:rPr>
            </w:pPr>
            <w:r w:rsidRPr="00B022B4">
              <w:rPr>
                <w:rFonts w:ascii="Times New Roman" w:hAnsi="Times New Roman" w:cs="Times New Roman"/>
                <w:sz w:val="22"/>
                <w:szCs w:val="22"/>
                <w:lang w:val="da-DK"/>
              </w:rPr>
              <w:t>Trin</w:t>
            </w:r>
            <w:r w:rsidRPr="00B022B4">
              <w:rPr>
                <w:rFonts w:ascii="Times New Roman" w:hAnsi="Times New Roman" w:cs="Times New Roman"/>
                <w:spacing w:val="-3"/>
                <w:sz w:val="22"/>
                <w:szCs w:val="22"/>
                <w:lang w:val="da-DK"/>
              </w:rPr>
              <w:t xml:space="preserve"> </w:t>
            </w:r>
            <w:r w:rsidRPr="00B022B4">
              <w:rPr>
                <w:rFonts w:ascii="Times New Roman" w:hAnsi="Times New Roman" w:cs="Times New Roman"/>
                <w:spacing w:val="-5"/>
                <w:sz w:val="22"/>
                <w:szCs w:val="22"/>
                <w:lang w:val="da-DK"/>
              </w:rPr>
              <w:t>1b:</w:t>
            </w:r>
          </w:p>
          <w:p w14:paraId="3DD4A36C" w14:textId="7D6989D0" w:rsidR="0071062A" w:rsidRPr="0071062A" w:rsidRDefault="0071062A" w:rsidP="00B022B4">
            <w:pPr>
              <w:pStyle w:val="TableParagraph"/>
              <w:kinsoku w:val="0"/>
              <w:overflowPunct w:val="0"/>
              <w:spacing w:before="20"/>
              <w:ind w:left="94"/>
              <w:rPr>
                <w:rFonts w:ascii="Times New Roman" w:hAnsi="Times New Roman" w:cs="Times New Roman"/>
              </w:rPr>
            </w:pPr>
            <w:proofErr w:type="spellStart"/>
            <w:r w:rsidRPr="00B022B4">
              <w:rPr>
                <w:rFonts w:ascii="Times New Roman" w:hAnsi="Times New Roman" w:cs="Times New Roman"/>
                <w:b/>
                <w:bCs/>
                <w:sz w:val="22"/>
                <w:szCs w:val="22"/>
              </w:rPr>
              <w:t>Åbn</w:t>
            </w:r>
            <w:proofErr w:type="spellEnd"/>
            <w:r w:rsidRPr="00B022B4">
              <w:rPr>
                <w:rFonts w:ascii="Times New Roman" w:hAnsi="Times New Roman" w:cs="Times New Roman"/>
                <w:b/>
                <w:bCs/>
                <w:spacing w:val="-6"/>
                <w:sz w:val="22"/>
                <w:szCs w:val="22"/>
              </w:rPr>
              <w:t xml:space="preserve"> </w:t>
            </w:r>
            <w:proofErr w:type="spellStart"/>
            <w:r w:rsidRPr="00B022B4">
              <w:rPr>
                <w:rFonts w:ascii="Times New Roman" w:hAnsi="Times New Roman" w:cs="Times New Roman"/>
                <w:b/>
                <w:bCs/>
                <w:spacing w:val="-2"/>
                <w:sz w:val="22"/>
                <w:szCs w:val="22"/>
              </w:rPr>
              <w:t>inhalatoren</w:t>
            </w:r>
            <w:proofErr w:type="spellEnd"/>
          </w:p>
        </w:tc>
        <w:tc>
          <w:tcPr>
            <w:tcW w:w="1250" w:type="pct"/>
          </w:tcPr>
          <w:p w14:paraId="218E397B" w14:textId="77777777" w:rsidR="0071062A" w:rsidRPr="0071062A" w:rsidRDefault="0071062A" w:rsidP="00E41927">
            <w:pPr>
              <w:rPr>
                <w:rFonts w:ascii="Times New Roman" w:hAnsi="Times New Roman" w:cs="Times New Roman"/>
                <w:sz w:val="24"/>
                <w:szCs w:val="24"/>
              </w:rPr>
            </w:pPr>
            <w:r w:rsidRPr="0071062A">
              <w:rPr>
                <w:noProof/>
                <w:sz w:val="24"/>
                <w:szCs w:val="24"/>
              </w:rPr>
              <w:drawing>
                <wp:inline distT="0" distB="0" distL="0" distR="0" wp14:anchorId="36A9F274" wp14:editId="30C7192B">
                  <wp:extent cx="1280160" cy="1280160"/>
                  <wp:effectExtent l="0" t="0" r="0" b="0"/>
                  <wp:docPr id="1424011750" name="Picture 13"/>
                  <wp:cNvGraphicFramePr/>
                  <a:graphic xmlns:a="http://schemas.openxmlformats.org/drawingml/2006/main">
                    <a:graphicData uri="http://schemas.openxmlformats.org/drawingml/2006/picture">
                      <pic:pic xmlns:pic="http://schemas.openxmlformats.org/drawingml/2006/picture">
                        <pic:nvPicPr>
                          <pic:cNvPr id="1424011750" name="Picture 13"/>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inline>
              </w:drawing>
            </w:r>
          </w:p>
          <w:p w14:paraId="683FF5F4" w14:textId="77777777" w:rsidR="0071062A" w:rsidRPr="00B022B4" w:rsidRDefault="0071062A" w:rsidP="00B022B4">
            <w:pPr>
              <w:pStyle w:val="TableParagraph"/>
              <w:kinsoku w:val="0"/>
              <w:overflowPunct w:val="0"/>
              <w:spacing w:before="14"/>
              <w:ind w:left="94"/>
              <w:rPr>
                <w:rFonts w:ascii="Times New Roman" w:hAnsi="Times New Roman" w:cs="Times New Roman"/>
                <w:spacing w:val="-5"/>
                <w:sz w:val="22"/>
                <w:szCs w:val="22"/>
                <w:lang w:val="da-DK"/>
              </w:rPr>
            </w:pPr>
            <w:r w:rsidRPr="00B022B4">
              <w:rPr>
                <w:rFonts w:ascii="Times New Roman" w:hAnsi="Times New Roman" w:cs="Times New Roman"/>
                <w:sz w:val="22"/>
                <w:szCs w:val="22"/>
                <w:lang w:val="da-DK"/>
              </w:rPr>
              <w:t>Trin</w:t>
            </w:r>
            <w:r w:rsidRPr="00B022B4">
              <w:rPr>
                <w:rFonts w:ascii="Times New Roman" w:hAnsi="Times New Roman" w:cs="Times New Roman"/>
                <w:spacing w:val="-3"/>
                <w:sz w:val="22"/>
                <w:szCs w:val="22"/>
                <w:lang w:val="da-DK"/>
              </w:rPr>
              <w:t xml:space="preserve"> </w:t>
            </w:r>
            <w:r w:rsidRPr="00B022B4">
              <w:rPr>
                <w:rFonts w:ascii="Times New Roman" w:hAnsi="Times New Roman" w:cs="Times New Roman"/>
                <w:spacing w:val="-5"/>
                <w:sz w:val="22"/>
                <w:szCs w:val="22"/>
                <w:lang w:val="da-DK"/>
              </w:rPr>
              <w:t>2b:</w:t>
            </w:r>
          </w:p>
          <w:p w14:paraId="78CB7C69" w14:textId="77777777" w:rsidR="0071062A" w:rsidRPr="0071062A" w:rsidRDefault="0071062A" w:rsidP="00B022B4">
            <w:pPr>
              <w:ind w:left="94"/>
              <w:rPr>
                <w:rFonts w:ascii="Times New Roman" w:hAnsi="Times New Roman" w:cs="Times New Roman"/>
                <w:sz w:val="24"/>
                <w:szCs w:val="24"/>
              </w:rPr>
            </w:pPr>
            <w:r w:rsidRPr="00B022B4">
              <w:rPr>
                <w:rFonts w:ascii="Times New Roman" w:hAnsi="Times New Roman" w:cs="Times New Roman"/>
                <w:b/>
                <w:bCs/>
                <w:sz w:val="22"/>
              </w:rPr>
              <w:t>Slip sideknapperne helt</w:t>
            </w:r>
          </w:p>
        </w:tc>
        <w:tc>
          <w:tcPr>
            <w:tcW w:w="1250" w:type="pct"/>
          </w:tcPr>
          <w:p w14:paraId="3170C221" w14:textId="77777777" w:rsidR="0071062A" w:rsidRPr="0071062A" w:rsidRDefault="0071062A" w:rsidP="00E41927">
            <w:pPr>
              <w:rPr>
                <w:rFonts w:ascii="Times New Roman" w:hAnsi="Times New Roman" w:cs="Times New Roman"/>
                <w:sz w:val="24"/>
                <w:szCs w:val="24"/>
              </w:rPr>
            </w:pPr>
            <w:r w:rsidRPr="0071062A">
              <w:rPr>
                <w:noProof/>
                <w:sz w:val="24"/>
                <w:szCs w:val="24"/>
              </w:rPr>
              <w:drawing>
                <wp:inline distT="0" distB="0" distL="0" distR="0" wp14:anchorId="611D55F8" wp14:editId="3D77F2A5">
                  <wp:extent cx="1304925" cy="1304925"/>
                  <wp:effectExtent l="0" t="0" r="9525" b="9525"/>
                  <wp:docPr id="1245480055" name="Picture 12"/>
                  <wp:cNvGraphicFramePr/>
                  <a:graphic xmlns:a="http://schemas.openxmlformats.org/drawingml/2006/main">
                    <a:graphicData uri="http://schemas.openxmlformats.org/drawingml/2006/picture">
                      <pic:pic xmlns:pic="http://schemas.openxmlformats.org/drawingml/2006/picture">
                        <pic:nvPicPr>
                          <pic:cNvPr id="1245480055" name="Picture 12"/>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pic:spPr>
                      </pic:pic>
                    </a:graphicData>
                  </a:graphic>
                </wp:inline>
              </w:drawing>
            </w:r>
          </w:p>
          <w:p w14:paraId="4DD43ABD" w14:textId="77777777" w:rsidR="0071062A" w:rsidRPr="00B022B4" w:rsidRDefault="0071062A" w:rsidP="00B022B4">
            <w:pPr>
              <w:pStyle w:val="TableParagraph"/>
              <w:kinsoku w:val="0"/>
              <w:overflowPunct w:val="0"/>
              <w:spacing w:before="20"/>
              <w:ind w:left="109"/>
              <w:rPr>
                <w:rFonts w:ascii="Times New Roman" w:hAnsi="Times New Roman" w:cs="Times New Roman"/>
                <w:spacing w:val="-5"/>
                <w:sz w:val="22"/>
                <w:szCs w:val="22"/>
                <w:lang w:val="da-DK"/>
              </w:rPr>
            </w:pPr>
            <w:r w:rsidRPr="00B022B4">
              <w:rPr>
                <w:rFonts w:ascii="Times New Roman" w:hAnsi="Times New Roman" w:cs="Times New Roman"/>
                <w:sz w:val="22"/>
                <w:szCs w:val="22"/>
                <w:lang w:val="da-DK"/>
              </w:rPr>
              <w:t>Trin</w:t>
            </w:r>
            <w:r w:rsidRPr="00B022B4">
              <w:rPr>
                <w:rFonts w:ascii="Times New Roman" w:hAnsi="Times New Roman" w:cs="Times New Roman"/>
                <w:spacing w:val="-3"/>
                <w:sz w:val="22"/>
                <w:szCs w:val="22"/>
                <w:lang w:val="da-DK"/>
              </w:rPr>
              <w:t xml:space="preserve"> </w:t>
            </w:r>
            <w:r w:rsidRPr="00B022B4">
              <w:rPr>
                <w:rFonts w:ascii="Times New Roman" w:hAnsi="Times New Roman" w:cs="Times New Roman"/>
                <w:spacing w:val="-5"/>
                <w:sz w:val="22"/>
                <w:szCs w:val="22"/>
                <w:lang w:val="da-DK"/>
              </w:rPr>
              <w:t>3b:</w:t>
            </w:r>
          </w:p>
          <w:p w14:paraId="61DE3AD3" w14:textId="77777777" w:rsidR="0071062A" w:rsidRPr="00B022B4" w:rsidRDefault="0071062A" w:rsidP="00B022B4">
            <w:pPr>
              <w:pStyle w:val="TableParagraph"/>
              <w:kinsoku w:val="0"/>
              <w:overflowPunct w:val="0"/>
              <w:spacing w:before="7" w:line="235" w:lineRule="auto"/>
              <w:ind w:left="109" w:right="109"/>
              <w:rPr>
                <w:rFonts w:ascii="Times New Roman" w:hAnsi="Times New Roman" w:cs="Times New Roman"/>
                <w:sz w:val="22"/>
                <w:szCs w:val="22"/>
                <w:lang w:val="da-DK"/>
              </w:rPr>
            </w:pPr>
            <w:r w:rsidRPr="00B022B4">
              <w:rPr>
                <w:rFonts w:ascii="Times New Roman" w:hAnsi="Times New Roman" w:cs="Times New Roman"/>
                <w:b/>
                <w:bCs/>
                <w:sz w:val="22"/>
                <w:szCs w:val="22"/>
                <w:lang w:val="da-DK"/>
              </w:rPr>
              <w:t>Inhalé</w:t>
            </w:r>
            <w:r w:rsidRPr="00B022B4">
              <w:rPr>
                <w:rFonts w:ascii="Times New Roman" w:hAnsi="Times New Roman" w:cs="Times New Roman"/>
                <w:b/>
                <w:bCs/>
                <w:spacing w:val="-13"/>
                <w:sz w:val="22"/>
                <w:szCs w:val="22"/>
                <w:lang w:val="da-DK"/>
              </w:rPr>
              <w:t>r medicinen dybt</w:t>
            </w:r>
            <w:r w:rsidRPr="00B022B4">
              <w:rPr>
                <w:rFonts w:ascii="Times New Roman" w:hAnsi="Times New Roman" w:cs="Times New Roman"/>
                <w:b/>
                <w:bCs/>
                <w:sz w:val="22"/>
                <w:szCs w:val="22"/>
                <w:lang w:val="da-DK"/>
              </w:rPr>
              <w:t xml:space="preserve"> </w:t>
            </w:r>
            <w:r w:rsidRPr="00B022B4">
              <w:rPr>
                <w:rFonts w:ascii="Times New Roman" w:hAnsi="Times New Roman" w:cs="Times New Roman"/>
                <w:sz w:val="22"/>
                <w:szCs w:val="22"/>
                <w:lang w:val="da-DK"/>
              </w:rPr>
              <w:t>Hold inhalatoren som vist på billedet.</w:t>
            </w:r>
          </w:p>
          <w:p w14:paraId="2583AC83" w14:textId="77777777" w:rsidR="0071062A" w:rsidRPr="00B022B4" w:rsidRDefault="0071062A" w:rsidP="00B022B4">
            <w:pPr>
              <w:pStyle w:val="TableParagraph"/>
              <w:kinsoku w:val="0"/>
              <w:overflowPunct w:val="0"/>
              <w:ind w:left="109" w:right="109"/>
              <w:rPr>
                <w:rFonts w:ascii="Times New Roman" w:hAnsi="Times New Roman" w:cs="Times New Roman"/>
                <w:spacing w:val="-4"/>
                <w:sz w:val="22"/>
                <w:szCs w:val="22"/>
                <w:lang w:val="da-DK"/>
              </w:rPr>
            </w:pPr>
            <w:r w:rsidRPr="00B022B4">
              <w:rPr>
                <w:rFonts w:ascii="Times New Roman" w:hAnsi="Times New Roman" w:cs="Times New Roman"/>
                <w:sz w:val="22"/>
                <w:szCs w:val="22"/>
                <w:lang w:val="da-DK"/>
              </w:rPr>
              <w:t xml:space="preserve">Tag mundstykket i munden, og luk læberne tæt omkring </w:t>
            </w:r>
            <w:r w:rsidRPr="00B022B4">
              <w:rPr>
                <w:rFonts w:ascii="Times New Roman" w:hAnsi="Times New Roman" w:cs="Times New Roman"/>
                <w:sz w:val="22"/>
                <w:szCs w:val="22"/>
                <w:lang w:val="da-DK"/>
              </w:rPr>
              <w:lastRenderedPageBreak/>
              <w:t>det.</w:t>
            </w:r>
          </w:p>
          <w:p w14:paraId="477DDABB" w14:textId="77777777" w:rsidR="0071062A" w:rsidRPr="0071062A" w:rsidRDefault="0071062A" w:rsidP="00B022B4">
            <w:pPr>
              <w:ind w:left="109"/>
              <w:rPr>
                <w:rFonts w:ascii="Times New Roman" w:hAnsi="Times New Roman" w:cs="Times New Roman"/>
                <w:sz w:val="24"/>
                <w:szCs w:val="24"/>
              </w:rPr>
            </w:pPr>
            <w:r w:rsidRPr="00B022B4">
              <w:rPr>
                <w:rFonts w:ascii="Times New Roman" w:hAnsi="Times New Roman" w:cs="Times New Roman"/>
                <w:sz w:val="22"/>
                <w:u w:val="single"/>
              </w:rPr>
              <w:t>Tryk ikke på sideknapperne.</w:t>
            </w:r>
          </w:p>
        </w:tc>
        <w:tc>
          <w:tcPr>
            <w:tcW w:w="1250" w:type="pct"/>
          </w:tcPr>
          <w:p w14:paraId="607CA407" w14:textId="28AD92A9" w:rsidR="00B022B4" w:rsidRPr="00B022B4" w:rsidRDefault="00B022B4" w:rsidP="00B022B4">
            <w:pPr>
              <w:jc w:val="center"/>
              <w:rPr>
                <w:rFonts w:ascii="Times New Roman" w:hAnsi="Times New Roman" w:cs="Times New Roman"/>
                <w:sz w:val="22"/>
              </w:rPr>
            </w:pPr>
            <w:r w:rsidRPr="00B022B4">
              <w:rPr>
                <w:rFonts w:ascii="Times New Roman" w:hAnsi="Times New Roman" w:cs="Times New Roman"/>
                <w:b/>
                <w:bCs/>
                <w:spacing w:val="-4"/>
                <w:sz w:val="22"/>
              </w:rPr>
              <w:lastRenderedPageBreak/>
              <w:t>Overskydende pulver</w:t>
            </w:r>
          </w:p>
          <w:p w14:paraId="423D1A2A" w14:textId="6D549247" w:rsidR="0071062A" w:rsidRPr="00B022B4" w:rsidRDefault="0071062A" w:rsidP="00B022B4">
            <w:pPr>
              <w:jc w:val="center"/>
              <w:rPr>
                <w:rFonts w:ascii="Times New Roman" w:hAnsi="Times New Roman" w:cs="Times New Roman"/>
                <w:sz w:val="22"/>
              </w:rPr>
            </w:pPr>
            <w:r w:rsidRPr="00B022B4">
              <w:rPr>
                <w:noProof/>
                <w:sz w:val="22"/>
              </w:rPr>
              <w:drawing>
                <wp:inline distT="0" distB="0" distL="0" distR="0" wp14:anchorId="3DA47ED4" wp14:editId="6AA27184">
                  <wp:extent cx="1033145" cy="1012825"/>
                  <wp:effectExtent l="0" t="0" r="0" b="0"/>
                  <wp:docPr id="1254287787" name="Picture 11"/>
                  <wp:cNvGraphicFramePr/>
                  <a:graphic xmlns:a="http://schemas.openxmlformats.org/drawingml/2006/main">
                    <a:graphicData uri="http://schemas.openxmlformats.org/drawingml/2006/picture">
                      <pic:pic xmlns:pic="http://schemas.openxmlformats.org/drawingml/2006/picture">
                        <pic:nvPicPr>
                          <pic:cNvPr id="1254287787" name="Picture 1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3145" cy="1012825"/>
                          </a:xfrm>
                          <a:prstGeom prst="rect">
                            <a:avLst/>
                          </a:prstGeom>
                          <a:noFill/>
                        </pic:spPr>
                      </pic:pic>
                    </a:graphicData>
                  </a:graphic>
                </wp:inline>
              </w:drawing>
            </w:r>
          </w:p>
          <w:p w14:paraId="4D6F0317" w14:textId="5BCFBF26" w:rsidR="0071062A" w:rsidRPr="00B022B4" w:rsidRDefault="0071062A" w:rsidP="00B022B4">
            <w:pPr>
              <w:pStyle w:val="TableParagraph"/>
              <w:tabs>
                <w:tab w:val="left" w:pos="471"/>
              </w:tabs>
              <w:kinsoku w:val="0"/>
              <w:overflowPunct w:val="0"/>
              <w:jc w:val="center"/>
              <w:rPr>
                <w:rFonts w:ascii="Times New Roman" w:hAnsi="Times New Roman" w:cs="Times New Roman"/>
                <w:sz w:val="22"/>
                <w:szCs w:val="22"/>
              </w:rPr>
            </w:pPr>
            <w:r w:rsidRPr="00B022B4">
              <w:rPr>
                <w:rFonts w:ascii="Times New Roman" w:hAnsi="Times New Roman" w:cs="Times New Roman"/>
                <w:b/>
                <w:bCs/>
                <w:spacing w:val="-4"/>
                <w:sz w:val="22"/>
                <w:szCs w:val="22"/>
                <w:lang w:val="da-DK"/>
              </w:rPr>
              <w:t>Tom</w:t>
            </w:r>
          </w:p>
          <w:p w14:paraId="36D65B2E" w14:textId="77777777" w:rsidR="0071062A" w:rsidRPr="0071062A" w:rsidRDefault="0071062A" w:rsidP="00E41927">
            <w:pPr>
              <w:ind w:firstLine="1304"/>
              <w:rPr>
                <w:rFonts w:ascii="Times New Roman" w:hAnsi="Times New Roman" w:cs="Times New Roman"/>
                <w:sz w:val="24"/>
                <w:szCs w:val="24"/>
              </w:rPr>
            </w:pPr>
          </w:p>
        </w:tc>
      </w:tr>
      <w:tr w:rsidR="0071062A" w:rsidRPr="0071062A" w14:paraId="6FA790A2" w14:textId="77777777" w:rsidTr="0071062A">
        <w:tc>
          <w:tcPr>
            <w:tcW w:w="1250" w:type="pct"/>
          </w:tcPr>
          <w:p w14:paraId="104416D5" w14:textId="77777777" w:rsidR="0071062A" w:rsidRPr="0071062A" w:rsidRDefault="0071062A" w:rsidP="00E41927">
            <w:pPr>
              <w:rPr>
                <w:rFonts w:ascii="Times New Roman" w:hAnsi="Times New Roman" w:cs="Times New Roman"/>
                <w:noProof/>
                <w:sz w:val="24"/>
                <w:szCs w:val="24"/>
              </w:rPr>
            </w:pPr>
            <w:r w:rsidRPr="0071062A">
              <w:rPr>
                <w:noProof/>
                <w:sz w:val="24"/>
                <w:szCs w:val="24"/>
              </w:rPr>
              <w:drawing>
                <wp:inline distT="0" distB="0" distL="0" distR="0" wp14:anchorId="74E9C15F" wp14:editId="46AC5358">
                  <wp:extent cx="1333500" cy="1333500"/>
                  <wp:effectExtent l="0" t="0" r="0" b="0"/>
                  <wp:docPr id="476996313" name="Picture 10"/>
                  <wp:cNvGraphicFramePr/>
                  <a:graphic xmlns:a="http://schemas.openxmlformats.org/drawingml/2006/main">
                    <a:graphicData uri="http://schemas.openxmlformats.org/drawingml/2006/picture">
                      <pic:pic xmlns:pic="http://schemas.openxmlformats.org/drawingml/2006/picture">
                        <pic:nvPicPr>
                          <pic:cNvPr id="476996313" name="Picture 10"/>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pic:spPr>
                      </pic:pic>
                    </a:graphicData>
                  </a:graphic>
                </wp:inline>
              </w:drawing>
            </w:r>
          </w:p>
          <w:p w14:paraId="1F2CB5E2" w14:textId="77777777" w:rsidR="0071062A" w:rsidRPr="0071062A" w:rsidRDefault="0071062A" w:rsidP="00E41927">
            <w:pPr>
              <w:rPr>
                <w:rFonts w:ascii="Times New Roman" w:hAnsi="Times New Roman" w:cs="Times New Roman"/>
                <w:noProof/>
                <w:sz w:val="24"/>
                <w:szCs w:val="24"/>
              </w:rPr>
            </w:pPr>
          </w:p>
          <w:p w14:paraId="114A640A" w14:textId="77777777" w:rsidR="0071062A" w:rsidRPr="0071062A" w:rsidRDefault="0071062A" w:rsidP="00E41927">
            <w:pPr>
              <w:rPr>
                <w:rFonts w:ascii="Times New Roman" w:hAnsi="Times New Roman" w:cs="Times New Roman"/>
                <w:noProof/>
                <w:sz w:val="24"/>
                <w:szCs w:val="24"/>
              </w:rPr>
            </w:pPr>
            <w:r w:rsidRPr="0071062A">
              <w:rPr>
                <w:noProof/>
                <w:sz w:val="24"/>
                <w:szCs w:val="24"/>
              </w:rPr>
              <w:drawing>
                <wp:inline distT="0" distB="0" distL="0" distR="0" wp14:anchorId="5C063E4B" wp14:editId="7690AF97">
                  <wp:extent cx="1289685" cy="1289685"/>
                  <wp:effectExtent l="0" t="0" r="5715" b="5715"/>
                  <wp:docPr id="256768619" name="Picture 9"/>
                  <wp:cNvGraphicFramePr/>
                  <a:graphic xmlns:a="http://schemas.openxmlformats.org/drawingml/2006/main">
                    <a:graphicData uri="http://schemas.openxmlformats.org/drawingml/2006/picture">
                      <pic:pic xmlns:pic="http://schemas.openxmlformats.org/drawingml/2006/picture">
                        <pic:nvPicPr>
                          <pic:cNvPr id="256768619" name="Picture 9"/>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9685" cy="1289685"/>
                          </a:xfrm>
                          <a:prstGeom prst="rect">
                            <a:avLst/>
                          </a:prstGeom>
                          <a:noFill/>
                        </pic:spPr>
                      </pic:pic>
                    </a:graphicData>
                  </a:graphic>
                </wp:inline>
              </w:drawing>
            </w:r>
          </w:p>
          <w:p w14:paraId="7D9DA7C0" w14:textId="77777777" w:rsidR="009259BD" w:rsidRPr="009259BD" w:rsidRDefault="009259BD" w:rsidP="009259BD">
            <w:pPr>
              <w:pStyle w:val="TableParagraph"/>
              <w:kinsoku w:val="0"/>
              <w:overflowPunct w:val="0"/>
              <w:ind w:left="32"/>
              <w:rPr>
                <w:rFonts w:ascii="Times New Roman" w:hAnsi="Times New Roman" w:cs="Times New Roman"/>
                <w:sz w:val="22"/>
                <w:szCs w:val="22"/>
                <w:lang w:val="da-DK"/>
              </w:rPr>
            </w:pPr>
          </w:p>
          <w:p w14:paraId="6DEC8B4D" w14:textId="5F027DB6" w:rsidR="0071062A" w:rsidRPr="009259BD" w:rsidRDefault="0071062A" w:rsidP="009259BD">
            <w:pPr>
              <w:pStyle w:val="TableParagraph"/>
              <w:kinsoku w:val="0"/>
              <w:overflowPunct w:val="0"/>
              <w:ind w:left="32"/>
              <w:rPr>
                <w:rFonts w:ascii="Times New Roman" w:hAnsi="Times New Roman" w:cs="Times New Roman"/>
                <w:spacing w:val="-5"/>
                <w:sz w:val="22"/>
                <w:szCs w:val="22"/>
                <w:lang w:val="da-DK"/>
              </w:rPr>
            </w:pPr>
            <w:r w:rsidRPr="009259BD">
              <w:rPr>
                <w:rFonts w:ascii="Times New Roman" w:hAnsi="Times New Roman" w:cs="Times New Roman"/>
                <w:sz w:val="22"/>
                <w:szCs w:val="22"/>
                <w:lang w:val="da-DK"/>
              </w:rPr>
              <w:t>Trin</w:t>
            </w:r>
            <w:r w:rsidRPr="009259BD">
              <w:rPr>
                <w:rFonts w:ascii="Times New Roman" w:hAnsi="Times New Roman" w:cs="Times New Roman"/>
                <w:spacing w:val="-3"/>
                <w:sz w:val="22"/>
                <w:szCs w:val="22"/>
                <w:lang w:val="da-DK"/>
              </w:rPr>
              <w:t xml:space="preserve"> </w:t>
            </w:r>
            <w:r w:rsidRPr="009259BD">
              <w:rPr>
                <w:rFonts w:ascii="Times New Roman" w:hAnsi="Times New Roman" w:cs="Times New Roman"/>
                <w:spacing w:val="-5"/>
                <w:sz w:val="22"/>
                <w:szCs w:val="22"/>
                <w:lang w:val="da-DK"/>
              </w:rPr>
              <w:t>1c:</w:t>
            </w:r>
          </w:p>
          <w:p w14:paraId="26A9079A" w14:textId="77777777" w:rsidR="0071062A" w:rsidRPr="009259BD" w:rsidRDefault="0071062A" w:rsidP="009259BD">
            <w:pPr>
              <w:pStyle w:val="TableParagraph"/>
              <w:kinsoku w:val="0"/>
              <w:overflowPunct w:val="0"/>
              <w:ind w:left="32" w:right="152"/>
              <w:rPr>
                <w:rFonts w:ascii="Times New Roman" w:hAnsi="Times New Roman" w:cs="Times New Roman"/>
                <w:sz w:val="22"/>
                <w:szCs w:val="22"/>
                <w:lang w:val="da-DK"/>
              </w:rPr>
            </w:pPr>
            <w:r w:rsidRPr="009259BD">
              <w:rPr>
                <w:rFonts w:ascii="Times New Roman" w:hAnsi="Times New Roman" w:cs="Times New Roman"/>
                <w:b/>
                <w:bCs/>
                <w:sz w:val="22"/>
                <w:szCs w:val="22"/>
                <w:lang w:val="da-DK"/>
              </w:rPr>
              <w:t>Fjern en kapsel</w:t>
            </w:r>
            <w:r w:rsidRPr="009259BD">
              <w:rPr>
                <w:rFonts w:ascii="Times New Roman" w:hAnsi="Times New Roman" w:cs="Times New Roman"/>
                <w:sz w:val="22"/>
                <w:szCs w:val="22"/>
                <w:lang w:val="da-DK"/>
              </w:rPr>
              <w:t xml:space="preserve">. </w:t>
            </w:r>
          </w:p>
          <w:p w14:paraId="3D9577E3" w14:textId="77777777" w:rsidR="0071062A" w:rsidRPr="009259BD" w:rsidRDefault="0071062A" w:rsidP="009259BD">
            <w:pPr>
              <w:pStyle w:val="TableParagraph"/>
              <w:kinsoku w:val="0"/>
              <w:overflowPunct w:val="0"/>
              <w:ind w:left="32" w:right="152"/>
              <w:rPr>
                <w:rFonts w:ascii="Times New Roman" w:hAnsi="Times New Roman" w:cs="Times New Roman"/>
                <w:sz w:val="22"/>
                <w:szCs w:val="22"/>
                <w:lang w:val="da-DK"/>
              </w:rPr>
            </w:pPr>
            <w:r w:rsidRPr="009259BD">
              <w:rPr>
                <w:rFonts w:ascii="Times New Roman" w:hAnsi="Times New Roman" w:cs="Times New Roman"/>
                <w:sz w:val="22"/>
                <w:szCs w:val="22"/>
                <w:lang w:val="da-DK"/>
              </w:rPr>
              <w:t xml:space="preserve">I tilfælde af blister, adskil en af blisterne fra blisterkortet. Åbn blisteren og fjern kapslen. </w:t>
            </w:r>
          </w:p>
          <w:p w14:paraId="2A250A3F" w14:textId="77777777" w:rsidR="0071062A" w:rsidRPr="009259BD" w:rsidRDefault="0071062A" w:rsidP="009259BD">
            <w:pPr>
              <w:pStyle w:val="TableParagraph"/>
              <w:kinsoku w:val="0"/>
              <w:overflowPunct w:val="0"/>
              <w:ind w:left="32" w:right="152"/>
              <w:rPr>
                <w:rFonts w:ascii="Times New Roman" w:hAnsi="Times New Roman" w:cs="Times New Roman"/>
                <w:sz w:val="22"/>
                <w:szCs w:val="22"/>
                <w:u w:val="single"/>
                <w:lang w:val="da-DK"/>
              </w:rPr>
            </w:pPr>
            <w:r w:rsidRPr="009259BD">
              <w:rPr>
                <w:rFonts w:ascii="Times New Roman" w:hAnsi="Times New Roman" w:cs="Times New Roman"/>
                <w:sz w:val="22"/>
                <w:szCs w:val="22"/>
                <w:u w:val="single"/>
                <w:lang w:val="da-DK"/>
              </w:rPr>
              <w:t xml:space="preserve">Tryk ikke kapslen gennem folien. </w:t>
            </w:r>
          </w:p>
          <w:p w14:paraId="6A06D100" w14:textId="77777777" w:rsidR="0071062A" w:rsidRPr="0071062A" w:rsidRDefault="0071062A" w:rsidP="009259BD">
            <w:pPr>
              <w:ind w:left="32"/>
              <w:rPr>
                <w:rFonts w:ascii="Times New Roman" w:hAnsi="Times New Roman" w:cs="Times New Roman"/>
                <w:noProof/>
                <w:sz w:val="24"/>
                <w:szCs w:val="24"/>
              </w:rPr>
            </w:pPr>
            <w:r w:rsidRPr="009259BD">
              <w:rPr>
                <w:rFonts w:ascii="Times New Roman" w:hAnsi="Times New Roman" w:cs="Times New Roman"/>
                <w:sz w:val="22"/>
                <w:u w:val="single"/>
              </w:rPr>
              <w:t>Kapslen må ikke synkes</w:t>
            </w:r>
            <w:r w:rsidRPr="009259BD">
              <w:rPr>
                <w:rFonts w:ascii="Times New Roman" w:hAnsi="Times New Roman" w:cs="Times New Roman"/>
                <w:sz w:val="22"/>
              </w:rPr>
              <w:t>.</w:t>
            </w:r>
          </w:p>
        </w:tc>
        <w:tc>
          <w:tcPr>
            <w:tcW w:w="1250" w:type="pct"/>
          </w:tcPr>
          <w:p w14:paraId="228CDD18" w14:textId="77777777" w:rsidR="0071062A" w:rsidRPr="0071062A" w:rsidRDefault="0071062A" w:rsidP="00E41927">
            <w:pPr>
              <w:rPr>
                <w:rFonts w:ascii="Times New Roman" w:hAnsi="Times New Roman" w:cs="Times New Roman"/>
                <w:noProof/>
                <w:sz w:val="24"/>
                <w:szCs w:val="24"/>
              </w:rPr>
            </w:pPr>
          </w:p>
        </w:tc>
        <w:tc>
          <w:tcPr>
            <w:tcW w:w="1250" w:type="pct"/>
          </w:tcPr>
          <w:p w14:paraId="110AB15F" w14:textId="77777777" w:rsidR="0071062A" w:rsidRPr="009259BD" w:rsidRDefault="0071062A" w:rsidP="00E41927">
            <w:pPr>
              <w:pStyle w:val="TableParagraph"/>
              <w:kinsoku w:val="0"/>
              <w:overflowPunct w:val="0"/>
              <w:ind w:left="124" w:right="109"/>
              <w:rPr>
                <w:rFonts w:ascii="Times New Roman" w:hAnsi="Times New Roman" w:cs="Times New Roman"/>
                <w:sz w:val="22"/>
                <w:szCs w:val="22"/>
                <w:lang w:val="da-DK"/>
              </w:rPr>
            </w:pPr>
            <w:r w:rsidRPr="009259BD">
              <w:rPr>
                <w:rFonts w:ascii="Times New Roman" w:hAnsi="Times New Roman" w:cs="Times New Roman"/>
                <w:sz w:val="22"/>
                <w:szCs w:val="22"/>
                <w:lang w:val="da-DK"/>
              </w:rPr>
              <w:t>Tag en hurtig og så dyb indånding som muligt. Under inhalationen vil du høre en snurrende lyd. Du kan muligvis smage medicinen, mens du inhalerer.</w:t>
            </w:r>
          </w:p>
          <w:p w14:paraId="62434035" w14:textId="77777777" w:rsidR="0071062A" w:rsidRPr="0071062A" w:rsidRDefault="0071062A" w:rsidP="00E41927">
            <w:pPr>
              <w:rPr>
                <w:rFonts w:ascii="Times New Roman" w:hAnsi="Times New Roman" w:cs="Times New Roman"/>
                <w:noProof/>
                <w:sz w:val="24"/>
                <w:szCs w:val="24"/>
              </w:rPr>
            </w:pPr>
          </w:p>
          <w:p w14:paraId="49032205" w14:textId="77777777" w:rsidR="0071062A" w:rsidRPr="0071062A" w:rsidRDefault="0071062A" w:rsidP="00E41927">
            <w:pPr>
              <w:rPr>
                <w:rFonts w:ascii="Times New Roman" w:hAnsi="Times New Roman" w:cs="Times New Roman"/>
                <w:noProof/>
                <w:sz w:val="24"/>
                <w:szCs w:val="24"/>
              </w:rPr>
            </w:pPr>
            <w:r w:rsidRPr="0071062A">
              <w:rPr>
                <w:noProof/>
                <w:sz w:val="24"/>
                <w:szCs w:val="24"/>
              </w:rPr>
              <w:drawing>
                <wp:inline distT="0" distB="0" distL="0" distR="0" wp14:anchorId="27AD26B9" wp14:editId="38B34C37">
                  <wp:extent cx="1303020" cy="1303020"/>
                  <wp:effectExtent l="0" t="0" r="0" b="0"/>
                  <wp:docPr id="868545670" name="Picture 8"/>
                  <wp:cNvGraphicFramePr/>
                  <a:graphic xmlns:a="http://schemas.openxmlformats.org/drawingml/2006/main">
                    <a:graphicData uri="http://schemas.openxmlformats.org/drawingml/2006/picture">
                      <pic:pic xmlns:pic="http://schemas.openxmlformats.org/drawingml/2006/picture">
                        <pic:nvPicPr>
                          <pic:cNvPr id="868545670" name="Picture 8"/>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pic:spPr>
                      </pic:pic>
                    </a:graphicData>
                  </a:graphic>
                </wp:inline>
              </w:drawing>
            </w:r>
          </w:p>
          <w:p w14:paraId="183D01D2" w14:textId="77777777" w:rsidR="0071062A" w:rsidRPr="009259BD" w:rsidRDefault="0071062A" w:rsidP="009259BD">
            <w:pPr>
              <w:ind w:left="32"/>
              <w:rPr>
                <w:rFonts w:ascii="Times New Roman" w:hAnsi="Times New Roman" w:cs="Times New Roman"/>
                <w:noProof/>
                <w:sz w:val="22"/>
              </w:rPr>
            </w:pPr>
          </w:p>
          <w:p w14:paraId="777B8D42" w14:textId="77777777" w:rsidR="0071062A" w:rsidRPr="009259BD" w:rsidRDefault="0071062A" w:rsidP="009259BD">
            <w:pPr>
              <w:pStyle w:val="TableParagraph"/>
              <w:kinsoku w:val="0"/>
              <w:overflowPunct w:val="0"/>
              <w:ind w:left="32"/>
              <w:rPr>
                <w:rFonts w:ascii="Times New Roman" w:hAnsi="Times New Roman" w:cs="Times New Roman"/>
                <w:spacing w:val="-5"/>
                <w:sz w:val="22"/>
                <w:szCs w:val="22"/>
                <w:lang w:val="da-DK"/>
              </w:rPr>
            </w:pPr>
            <w:r w:rsidRPr="009259BD">
              <w:rPr>
                <w:rFonts w:ascii="Times New Roman" w:hAnsi="Times New Roman" w:cs="Times New Roman"/>
                <w:sz w:val="22"/>
                <w:szCs w:val="22"/>
                <w:lang w:val="da-DK"/>
              </w:rPr>
              <w:t>Trin</w:t>
            </w:r>
            <w:r w:rsidRPr="009259BD">
              <w:rPr>
                <w:rFonts w:ascii="Times New Roman" w:hAnsi="Times New Roman" w:cs="Times New Roman"/>
                <w:spacing w:val="-3"/>
                <w:sz w:val="22"/>
                <w:szCs w:val="22"/>
                <w:lang w:val="da-DK"/>
              </w:rPr>
              <w:t xml:space="preserve"> </w:t>
            </w:r>
            <w:r w:rsidRPr="009259BD">
              <w:rPr>
                <w:rFonts w:ascii="Times New Roman" w:hAnsi="Times New Roman" w:cs="Times New Roman"/>
                <w:spacing w:val="-5"/>
                <w:sz w:val="22"/>
                <w:szCs w:val="22"/>
                <w:lang w:val="da-DK"/>
              </w:rPr>
              <w:t>3c:</w:t>
            </w:r>
          </w:p>
          <w:p w14:paraId="59E7111D" w14:textId="77777777" w:rsidR="0071062A" w:rsidRPr="009259BD" w:rsidRDefault="0071062A" w:rsidP="009259BD">
            <w:pPr>
              <w:pStyle w:val="TableParagraph"/>
              <w:kinsoku w:val="0"/>
              <w:overflowPunct w:val="0"/>
              <w:spacing w:before="5" w:line="228" w:lineRule="exact"/>
              <w:ind w:left="32"/>
              <w:rPr>
                <w:rFonts w:ascii="Times New Roman" w:hAnsi="Times New Roman" w:cs="Times New Roman"/>
                <w:b/>
                <w:bCs/>
                <w:spacing w:val="-2"/>
                <w:sz w:val="22"/>
                <w:szCs w:val="22"/>
                <w:lang w:val="da-DK"/>
              </w:rPr>
            </w:pPr>
            <w:r w:rsidRPr="009259BD">
              <w:rPr>
                <w:rFonts w:ascii="Times New Roman" w:hAnsi="Times New Roman" w:cs="Times New Roman"/>
                <w:b/>
                <w:bCs/>
                <w:sz w:val="22"/>
                <w:szCs w:val="22"/>
                <w:lang w:val="da-DK"/>
              </w:rPr>
              <w:t>Hold</w:t>
            </w:r>
            <w:r w:rsidRPr="009259BD">
              <w:rPr>
                <w:rFonts w:ascii="Times New Roman" w:hAnsi="Times New Roman" w:cs="Times New Roman"/>
                <w:b/>
                <w:bCs/>
                <w:spacing w:val="-5"/>
                <w:sz w:val="22"/>
                <w:szCs w:val="22"/>
                <w:lang w:val="da-DK"/>
              </w:rPr>
              <w:t xml:space="preserve"> </w:t>
            </w:r>
            <w:r w:rsidRPr="009259BD">
              <w:rPr>
                <w:rFonts w:ascii="Times New Roman" w:hAnsi="Times New Roman" w:cs="Times New Roman"/>
                <w:b/>
                <w:bCs/>
                <w:spacing w:val="-2"/>
                <w:sz w:val="22"/>
                <w:szCs w:val="22"/>
                <w:lang w:val="da-DK"/>
              </w:rPr>
              <w:t>vejret</w:t>
            </w:r>
          </w:p>
          <w:p w14:paraId="1088745B" w14:textId="77777777" w:rsidR="0071062A" w:rsidRPr="0071062A" w:rsidRDefault="0071062A" w:rsidP="009259BD">
            <w:pPr>
              <w:ind w:left="32"/>
              <w:rPr>
                <w:rFonts w:ascii="Times New Roman" w:hAnsi="Times New Roman" w:cs="Times New Roman"/>
                <w:noProof/>
                <w:sz w:val="24"/>
                <w:szCs w:val="24"/>
              </w:rPr>
            </w:pPr>
            <w:r w:rsidRPr="009259BD">
              <w:rPr>
                <w:rFonts w:ascii="Times New Roman" w:hAnsi="Times New Roman" w:cs="Times New Roman"/>
                <w:sz w:val="22"/>
              </w:rPr>
              <w:t>Hold vejret i op til 5 sekunder.</w:t>
            </w:r>
          </w:p>
        </w:tc>
        <w:tc>
          <w:tcPr>
            <w:tcW w:w="1250" w:type="pct"/>
          </w:tcPr>
          <w:p w14:paraId="5DE49356" w14:textId="77777777" w:rsidR="0071062A" w:rsidRPr="009259BD" w:rsidRDefault="0071062A" w:rsidP="00E41927">
            <w:pPr>
              <w:rPr>
                <w:rFonts w:ascii="Times New Roman" w:hAnsi="Times New Roman" w:cs="Times New Roman"/>
                <w:noProof/>
                <w:sz w:val="22"/>
              </w:rPr>
            </w:pPr>
            <w:r w:rsidRPr="009259BD">
              <w:rPr>
                <w:noProof/>
                <w:sz w:val="22"/>
              </w:rPr>
              <w:drawing>
                <wp:inline distT="0" distB="0" distL="0" distR="0" wp14:anchorId="517FBEFC" wp14:editId="2CCE9DB1">
                  <wp:extent cx="1283335" cy="1283335"/>
                  <wp:effectExtent l="0" t="0" r="0" b="0"/>
                  <wp:docPr id="1014544767" name="Picture 7"/>
                  <wp:cNvGraphicFramePr/>
                  <a:graphic xmlns:a="http://schemas.openxmlformats.org/drawingml/2006/main">
                    <a:graphicData uri="http://schemas.openxmlformats.org/drawingml/2006/picture">
                      <pic:pic xmlns:pic="http://schemas.openxmlformats.org/drawingml/2006/picture">
                        <pic:nvPicPr>
                          <pic:cNvPr id="1014544767" name="Picture 7"/>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3335" cy="1283335"/>
                          </a:xfrm>
                          <a:prstGeom prst="rect">
                            <a:avLst/>
                          </a:prstGeom>
                          <a:noFill/>
                        </pic:spPr>
                      </pic:pic>
                    </a:graphicData>
                  </a:graphic>
                </wp:inline>
              </w:drawing>
            </w:r>
          </w:p>
          <w:p w14:paraId="24F520A3" w14:textId="77777777" w:rsidR="0071062A" w:rsidRPr="009259BD" w:rsidRDefault="0071062A" w:rsidP="009259BD">
            <w:pPr>
              <w:pStyle w:val="TableParagraph"/>
              <w:kinsoku w:val="0"/>
              <w:overflowPunct w:val="0"/>
              <w:spacing w:line="196" w:lineRule="exact"/>
              <w:ind w:left="183"/>
              <w:rPr>
                <w:rFonts w:ascii="Times New Roman" w:hAnsi="Times New Roman" w:cs="Times New Roman"/>
                <w:b/>
                <w:bCs/>
                <w:spacing w:val="-2"/>
                <w:sz w:val="22"/>
                <w:szCs w:val="22"/>
                <w:lang w:val="da-DK"/>
              </w:rPr>
            </w:pPr>
            <w:r w:rsidRPr="009259BD">
              <w:rPr>
                <w:rFonts w:ascii="Times New Roman" w:hAnsi="Times New Roman" w:cs="Times New Roman"/>
                <w:b/>
                <w:bCs/>
                <w:sz w:val="22"/>
                <w:szCs w:val="22"/>
                <w:lang w:val="da-DK"/>
              </w:rPr>
              <w:t>Fjern den tomme kapsel</w:t>
            </w:r>
          </w:p>
          <w:p w14:paraId="6AF1D13F" w14:textId="77777777" w:rsidR="0071062A" w:rsidRPr="009259BD" w:rsidRDefault="0071062A" w:rsidP="009259BD">
            <w:pPr>
              <w:ind w:left="183"/>
              <w:rPr>
                <w:rFonts w:ascii="Times New Roman" w:hAnsi="Times New Roman" w:cs="Times New Roman"/>
                <w:sz w:val="22"/>
              </w:rPr>
            </w:pPr>
            <w:r w:rsidRPr="009259BD">
              <w:rPr>
                <w:rFonts w:ascii="Times New Roman" w:hAnsi="Times New Roman" w:cs="Times New Roman"/>
                <w:sz w:val="22"/>
              </w:rPr>
              <w:t>Smid kapslen ud sammen med almindeligt husholdningsaffald. Luk inhalatoren, og sæt hætten på igen.</w:t>
            </w:r>
          </w:p>
          <w:p w14:paraId="59F55B64" w14:textId="4A14DDEA" w:rsidR="0071062A" w:rsidRPr="009259BD" w:rsidRDefault="0071062A" w:rsidP="00E41927">
            <w:pPr>
              <w:rPr>
                <w:rFonts w:ascii="Times New Roman" w:hAnsi="Times New Roman" w:cs="Times New Roman"/>
                <w:noProof/>
                <w:sz w:val="22"/>
              </w:rPr>
            </w:pPr>
          </w:p>
          <w:p w14:paraId="1D923A71" w14:textId="77777777" w:rsidR="009259BD" w:rsidRPr="009259BD" w:rsidRDefault="009259BD" w:rsidP="00E41927">
            <w:pPr>
              <w:rPr>
                <w:rFonts w:ascii="Times New Roman" w:hAnsi="Times New Roman" w:cs="Times New Roman"/>
                <w:noProof/>
                <w:sz w:val="22"/>
              </w:rPr>
            </w:pPr>
          </w:p>
          <w:p w14:paraId="34BFEEC2" w14:textId="77777777" w:rsidR="0071062A" w:rsidRPr="009259BD" w:rsidRDefault="0071062A" w:rsidP="00E41927">
            <w:pPr>
              <w:pStyle w:val="TableParagraph"/>
              <w:kinsoku w:val="0"/>
              <w:overflowPunct w:val="0"/>
              <w:spacing w:before="2" w:line="228" w:lineRule="exact"/>
              <w:ind w:left="109"/>
              <w:rPr>
                <w:rFonts w:ascii="Times New Roman" w:hAnsi="Times New Roman" w:cs="Times New Roman"/>
                <w:b/>
                <w:bCs/>
                <w:spacing w:val="-2"/>
                <w:sz w:val="22"/>
                <w:szCs w:val="22"/>
                <w:lang w:val="da-DK"/>
              </w:rPr>
            </w:pPr>
            <w:r w:rsidRPr="009259BD">
              <w:rPr>
                <w:rFonts w:ascii="Times New Roman" w:hAnsi="Times New Roman" w:cs="Times New Roman"/>
                <w:b/>
                <w:bCs/>
                <w:sz w:val="22"/>
                <w:szCs w:val="22"/>
                <w:lang w:val="da-DK"/>
              </w:rPr>
              <w:t>Vigtig i</w:t>
            </w:r>
            <w:r w:rsidRPr="009259BD">
              <w:rPr>
                <w:rFonts w:ascii="Times New Roman" w:hAnsi="Times New Roman" w:cs="Times New Roman"/>
                <w:b/>
                <w:bCs/>
                <w:spacing w:val="-2"/>
                <w:sz w:val="22"/>
                <w:szCs w:val="22"/>
                <w:lang w:val="da-DK"/>
              </w:rPr>
              <w:t>nformation</w:t>
            </w:r>
          </w:p>
          <w:p w14:paraId="423763BD" w14:textId="51EA408D" w:rsidR="0071062A" w:rsidRPr="009259BD" w:rsidRDefault="0071062A" w:rsidP="0071062A">
            <w:pPr>
              <w:pStyle w:val="TableParagraph"/>
              <w:numPr>
                <w:ilvl w:val="0"/>
                <w:numId w:val="8"/>
              </w:numPr>
              <w:tabs>
                <w:tab w:val="left" w:pos="280"/>
              </w:tabs>
              <w:kinsoku w:val="0"/>
              <w:overflowPunct w:val="0"/>
              <w:ind w:right="86"/>
              <w:rPr>
                <w:rFonts w:ascii="Times New Roman" w:hAnsi="Times New Roman" w:cs="Times New Roman"/>
                <w:sz w:val="22"/>
                <w:szCs w:val="22"/>
                <w:lang w:val="da-DK"/>
              </w:rPr>
            </w:pPr>
            <w:proofErr w:type="spellStart"/>
            <w:r w:rsidRPr="009259BD">
              <w:rPr>
                <w:rFonts w:ascii="Times New Roman" w:hAnsi="Times New Roman" w:cs="Times New Roman"/>
                <w:sz w:val="22"/>
                <w:szCs w:val="22"/>
                <w:lang w:val="da-DK"/>
              </w:rPr>
              <w:t>Glycopyrronium</w:t>
            </w:r>
            <w:proofErr w:type="spellEnd"/>
            <w:r w:rsidRPr="009259BD">
              <w:rPr>
                <w:rFonts w:ascii="Times New Roman" w:hAnsi="Times New Roman" w:cs="Times New Roman"/>
                <w:sz w:val="22"/>
                <w:szCs w:val="22"/>
                <w:lang w:val="da-DK"/>
              </w:rPr>
              <w:t xml:space="preserve"> </w:t>
            </w:r>
            <w:r w:rsidR="003D2392">
              <w:rPr>
                <w:rFonts w:ascii="Times New Roman" w:hAnsi="Times New Roman" w:cs="Times New Roman"/>
                <w:sz w:val="22"/>
                <w:szCs w:val="22"/>
                <w:lang w:val="da-DK"/>
              </w:rPr>
              <w:t>"</w:t>
            </w:r>
            <w:r w:rsidRPr="009259BD">
              <w:rPr>
                <w:rFonts w:ascii="Times New Roman" w:hAnsi="Times New Roman" w:cs="Times New Roman"/>
                <w:sz w:val="22"/>
                <w:szCs w:val="22"/>
                <w:lang w:val="da-DK"/>
              </w:rPr>
              <w:t xml:space="preserve">Medical </w:t>
            </w:r>
            <w:proofErr w:type="spellStart"/>
            <w:r w:rsidRPr="009259BD">
              <w:rPr>
                <w:rFonts w:ascii="Times New Roman" w:hAnsi="Times New Roman" w:cs="Times New Roman"/>
                <w:sz w:val="22"/>
                <w:szCs w:val="22"/>
                <w:lang w:val="da-DK"/>
              </w:rPr>
              <w:t>Valley</w:t>
            </w:r>
            <w:r w:rsidR="003D2392">
              <w:rPr>
                <w:rFonts w:ascii="Times New Roman" w:hAnsi="Times New Roman" w:cs="Times New Roman"/>
                <w:sz w:val="22"/>
                <w:szCs w:val="22"/>
                <w:lang w:val="da-DK"/>
              </w:rPr>
              <w:t>"</w:t>
            </w:r>
            <w:r w:rsidRPr="009259BD">
              <w:rPr>
                <w:rFonts w:ascii="Times New Roman" w:hAnsi="Times New Roman" w:cs="Times New Roman"/>
                <w:sz w:val="22"/>
                <w:szCs w:val="22"/>
                <w:lang w:val="da-DK"/>
              </w:rPr>
              <w:t>-kapsler</w:t>
            </w:r>
            <w:proofErr w:type="spellEnd"/>
            <w:r w:rsidRPr="009259BD">
              <w:rPr>
                <w:rFonts w:ascii="Times New Roman" w:hAnsi="Times New Roman" w:cs="Times New Roman"/>
                <w:sz w:val="22"/>
                <w:szCs w:val="22"/>
                <w:lang w:val="da-DK"/>
              </w:rPr>
              <w:t xml:space="preserve"> skal altid opbevares i blisterkortet og må først tages ud umiddelbart inden anvendelse.</w:t>
            </w:r>
          </w:p>
          <w:p w14:paraId="61FA2CA4" w14:textId="77777777" w:rsidR="0071062A" w:rsidRPr="009259BD" w:rsidRDefault="0071062A" w:rsidP="0071062A">
            <w:pPr>
              <w:pStyle w:val="TableParagraph"/>
              <w:numPr>
                <w:ilvl w:val="0"/>
                <w:numId w:val="8"/>
              </w:numPr>
              <w:tabs>
                <w:tab w:val="left" w:pos="280"/>
              </w:tabs>
              <w:kinsoku w:val="0"/>
              <w:overflowPunct w:val="0"/>
              <w:ind w:right="125"/>
              <w:rPr>
                <w:rFonts w:ascii="Times New Roman" w:hAnsi="Times New Roman" w:cs="Times New Roman"/>
                <w:spacing w:val="-2"/>
                <w:sz w:val="22"/>
                <w:szCs w:val="22"/>
                <w:lang w:val="da-DK"/>
              </w:rPr>
            </w:pPr>
            <w:r w:rsidRPr="009259BD">
              <w:rPr>
                <w:rFonts w:ascii="Times New Roman" w:hAnsi="Times New Roman" w:cs="Times New Roman"/>
                <w:sz w:val="22"/>
                <w:szCs w:val="22"/>
                <w:lang w:val="da-DK"/>
              </w:rPr>
              <w:t>Tryk ikke kapslen gennem folien for at fjerne den fra blisterkortet.</w:t>
            </w:r>
          </w:p>
          <w:p w14:paraId="558F6765" w14:textId="77777777" w:rsidR="0071062A" w:rsidRPr="009259BD" w:rsidRDefault="0071062A" w:rsidP="0071062A">
            <w:pPr>
              <w:pStyle w:val="TableParagraph"/>
              <w:numPr>
                <w:ilvl w:val="0"/>
                <w:numId w:val="8"/>
              </w:numPr>
              <w:tabs>
                <w:tab w:val="left" w:pos="285"/>
              </w:tabs>
              <w:kinsoku w:val="0"/>
              <w:overflowPunct w:val="0"/>
              <w:ind w:left="284" w:right="482" w:hanging="176"/>
              <w:rPr>
                <w:rFonts w:ascii="Times New Roman" w:hAnsi="Times New Roman" w:cs="Times New Roman"/>
                <w:spacing w:val="-2"/>
                <w:sz w:val="22"/>
                <w:szCs w:val="22"/>
                <w:lang w:val="da-DK"/>
              </w:rPr>
            </w:pPr>
            <w:r w:rsidRPr="009259BD">
              <w:rPr>
                <w:rFonts w:ascii="Times New Roman" w:hAnsi="Times New Roman" w:cs="Times New Roman"/>
                <w:sz w:val="22"/>
                <w:szCs w:val="22"/>
                <w:lang w:val="da-DK"/>
              </w:rPr>
              <w:t>Kapslerne må ikke synkes.</w:t>
            </w:r>
          </w:p>
          <w:p w14:paraId="797E6308" w14:textId="1276C835" w:rsidR="0071062A" w:rsidRPr="009259BD" w:rsidRDefault="0071062A" w:rsidP="0071062A">
            <w:pPr>
              <w:pStyle w:val="TableParagraph"/>
              <w:numPr>
                <w:ilvl w:val="0"/>
                <w:numId w:val="8"/>
              </w:numPr>
              <w:tabs>
                <w:tab w:val="left" w:pos="280"/>
              </w:tabs>
              <w:kinsoku w:val="0"/>
              <w:overflowPunct w:val="0"/>
              <w:ind w:right="45"/>
              <w:rPr>
                <w:rFonts w:ascii="Times New Roman" w:hAnsi="Times New Roman" w:cs="Times New Roman"/>
                <w:sz w:val="22"/>
                <w:szCs w:val="22"/>
                <w:lang w:val="da-DK"/>
              </w:rPr>
            </w:pPr>
            <w:r w:rsidRPr="009259BD">
              <w:rPr>
                <w:rFonts w:ascii="Times New Roman" w:hAnsi="Times New Roman" w:cs="Times New Roman"/>
                <w:sz w:val="22"/>
                <w:szCs w:val="22"/>
                <w:lang w:val="da-DK"/>
              </w:rPr>
              <w:t xml:space="preserve">Brug ikke </w:t>
            </w:r>
            <w:proofErr w:type="spellStart"/>
            <w:r w:rsidRPr="009259BD">
              <w:rPr>
                <w:rFonts w:ascii="Times New Roman" w:hAnsi="Times New Roman" w:cs="Times New Roman"/>
                <w:sz w:val="22"/>
                <w:szCs w:val="22"/>
                <w:lang w:val="da-DK"/>
              </w:rPr>
              <w:t>Glycopyrronium</w:t>
            </w:r>
            <w:proofErr w:type="spellEnd"/>
            <w:r w:rsidRPr="009259BD">
              <w:rPr>
                <w:rFonts w:ascii="Times New Roman" w:hAnsi="Times New Roman" w:cs="Times New Roman"/>
                <w:sz w:val="22"/>
                <w:szCs w:val="22"/>
                <w:lang w:val="da-DK"/>
              </w:rPr>
              <w:t xml:space="preserve"> </w:t>
            </w:r>
            <w:r w:rsidR="003D2392">
              <w:rPr>
                <w:rFonts w:ascii="Times New Roman" w:hAnsi="Times New Roman" w:cs="Times New Roman"/>
                <w:sz w:val="22"/>
                <w:szCs w:val="22"/>
                <w:lang w:val="da-DK"/>
              </w:rPr>
              <w:t>"</w:t>
            </w:r>
            <w:r w:rsidRPr="009259BD">
              <w:rPr>
                <w:rFonts w:ascii="Times New Roman" w:hAnsi="Times New Roman" w:cs="Times New Roman"/>
                <w:sz w:val="22"/>
                <w:szCs w:val="22"/>
                <w:lang w:val="da-DK"/>
              </w:rPr>
              <w:t xml:space="preserve">Medical </w:t>
            </w:r>
            <w:proofErr w:type="spellStart"/>
            <w:r w:rsidRPr="009259BD">
              <w:rPr>
                <w:rFonts w:ascii="Times New Roman" w:hAnsi="Times New Roman" w:cs="Times New Roman"/>
                <w:sz w:val="22"/>
                <w:szCs w:val="22"/>
                <w:lang w:val="da-DK"/>
              </w:rPr>
              <w:t>Valley</w:t>
            </w:r>
            <w:r w:rsidR="003D2392">
              <w:rPr>
                <w:rFonts w:ascii="Times New Roman" w:hAnsi="Times New Roman" w:cs="Times New Roman"/>
                <w:sz w:val="22"/>
                <w:szCs w:val="22"/>
                <w:lang w:val="da-DK"/>
              </w:rPr>
              <w:t>"</w:t>
            </w:r>
            <w:r w:rsidRPr="009259BD">
              <w:rPr>
                <w:rFonts w:ascii="Times New Roman" w:hAnsi="Times New Roman" w:cs="Times New Roman"/>
                <w:spacing w:val="-13"/>
                <w:sz w:val="22"/>
                <w:szCs w:val="22"/>
                <w:lang w:val="da-DK"/>
              </w:rPr>
              <w:t>-</w:t>
            </w:r>
            <w:r w:rsidRPr="009259BD">
              <w:rPr>
                <w:rFonts w:ascii="Times New Roman" w:hAnsi="Times New Roman" w:cs="Times New Roman"/>
                <w:sz w:val="22"/>
                <w:szCs w:val="22"/>
                <w:lang w:val="da-DK"/>
              </w:rPr>
              <w:t>kapslerne</w:t>
            </w:r>
            <w:proofErr w:type="spellEnd"/>
            <w:r w:rsidRPr="009259BD">
              <w:rPr>
                <w:rFonts w:ascii="Times New Roman" w:hAnsi="Times New Roman" w:cs="Times New Roman"/>
                <w:spacing w:val="-12"/>
                <w:sz w:val="22"/>
                <w:szCs w:val="22"/>
                <w:lang w:val="da-DK"/>
              </w:rPr>
              <w:t xml:space="preserve"> </w:t>
            </w:r>
            <w:r w:rsidRPr="009259BD">
              <w:rPr>
                <w:rFonts w:ascii="Times New Roman" w:hAnsi="Times New Roman" w:cs="Times New Roman"/>
                <w:sz w:val="22"/>
                <w:szCs w:val="22"/>
                <w:lang w:val="da-DK"/>
              </w:rPr>
              <w:t>med nogen anden inhalator.</w:t>
            </w:r>
          </w:p>
          <w:p w14:paraId="00AA25D8" w14:textId="5F4032EC" w:rsidR="0071062A" w:rsidRPr="009259BD" w:rsidRDefault="0071062A" w:rsidP="0071062A">
            <w:pPr>
              <w:pStyle w:val="TableParagraph"/>
              <w:numPr>
                <w:ilvl w:val="0"/>
                <w:numId w:val="8"/>
              </w:numPr>
              <w:tabs>
                <w:tab w:val="left" w:pos="280"/>
              </w:tabs>
              <w:kinsoku w:val="0"/>
              <w:overflowPunct w:val="0"/>
              <w:ind w:right="264"/>
              <w:rPr>
                <w:rFonts w:ascii="Times New Roman" w:hAnsi="Times New Roman" w:cs="Times New Roman"/>
                <w:spacing w:val="-2"/>
                <w:sz w:val="22"/>
                <w:szCs w:val="22"/>
                <w:lang w:val="da-DK"/>
              </w:rPr>
            </w:pPr>
            <w:r w:rsidRPr="009259BD">
              <w:rPr>
                <w:rFonts w:ascii="Times New Roman" w:hAnsi="Times New Roman" w:cs="Times New Roman"/>
                <w:sz w:val="22"/>
                <w:szCs w:val="22"/>
                <w:lang w:val="da-DK"/>
              </w:rPr>
              <w:t xml:space="preserve">Brug ikke </w:t>
            </w:r>
            <w:proofErr w:type="spellStart"/>
            <w:r w:rsidRPr="009259BD">
              <w:rPr>
                <w:rFonts w:ascii="Times New Roman" w:hAnsi="Times New Roman" w:cs="Times New Roman"/>
                <w:sz w:val="22"/>
                <w:szCs w:val="22"/>
                <w:lang w:val="da-DK"/>
              </w:rPr>
              <w:t>Glycopyrronium</w:t>
            </w:r>
            <w:proofErr w:type="spellEnd"/>
            <w:r w:rsidRPr="009259BD">
              <w:rPr>
                <w:rFonts w:ascii="Times New Roman" w:hAnsi="Times New Roman" w:cs="Times New Roman"/>
                <w:sz w:val="22"/>
                <w:szCs w:val="22"/>
                <w:lang w:val="da-DK"/>
              </w:rPr>
              <w:t xml:space="preserve"> </w:t>
            </w:r>
            <w:r w:rsidR="003D2392">
              <w:rPr>
                <w:rFonts w:ascii="Times New Roman" w:hAnsi="Times New Roman" w:cs="Times New Roman"/>
                <w:sz w:val="22"/>
                <w:szCs w:val="22"/>
                <w:lang w:val="da-DK"/>
              </w:rPr>
              <w:t>"</w:t>
            </w:r>
            <w:r w:rsidRPr="009259BD">
              <w:rPr>
                <w:rFonts w:ascii="Times New Roman" w:hAnsi="Times New Roman" w:cs="Times New Roman"/>
                <w:sz w:val="22"/>
                <w:szCs w:val="22"/>
                <w:lang w:val="da-DK"/>
              </w:rPr>
              <w:t xml:space="preserve">Medical </w:t>
            </w:r>
            <w:proofErr w:type="spellStart"/>
            <w:r w:rsidRPr="009259BD">
              <w:rPr>
                <w:rFonts w:ascii="Times New Roman" w:hAnsi="Times New Roman" w:cs="Times New Roman"/>
                <w:sz w:val="22"/>
                <w:szCs w:val="22"/>
                <w:lang w:val="da-DK"/>
              </w:rPr>
              <w:t>Valley</w:t>
            </w:r>
            <w:r w:rsidR="003D2392">
              <w:rPr>
                <w:rFonts w:ascii="Times New Roman" w:hAnsi="Times New Roman" w:cs="Times New Roman"/>
                <w:sz w:val="22"/>
                <w:szCs w:val="22"/>
                <w:lang w:val="da-DK"/>
              </w:rPr>
              <w:t>"</w:t>
            </w:r>
            <w:r w:rsidRPr="009259BD">
              <w:rPr>
                <w:rFonts w:ascii="Times New Roman" w:hAnsi="Times New Roman" w:cs="Times New Roman"/>
                <w:sz w:val="22"/>
                <w:szCs w:val="22"/>
                <w:lang w:val="da-DK"/>
              </w:rPr>
              <w:t>-inhalatoren</w:t>
            </w:r>
            <w:proofErr w:type="spellEnd"/>
            <w:r w:rsidRPr="009259BD">
              <w:rPr>
                <w:rFonts w:ascii="Times New Roman" w:hAnsi="Times New Roman" w:cs="Times New Roman"/>
                <w:sz w:val="22"/>
                <w:szCs w:val="22"/>
                <w:lang w:val="da-DK"/>
              </w:rPr>
              <w:t xml:space="preserve"> til at tage</w:t>
            </w:r>
            <w:r w:rsidRPr="009259BD">
              <w:rPr>
                <w:rFonts w:ascii="Times New Roman" w:hAnsi="Times New Roman" w:cs="Times New Roman"/>
                <w:spacing w:val="-13"/>
                <w:sz w:val="22"/>
                <w:szCs w:val="22"/>
                <w:lang w:val="da-DK"/>
              </w:rPr>
              <w:t xml:space="preserve"> </w:t>
            </w:r>
            <w:r w:rsidRPr="009259BD">
              <w:rPr>
                <w:rFonts w:ascii="Times New Roman" w:hAnsi="Times New Roman" w:cs="Times New Roman"/>
                <w:sz w:val="22"/>
                <w:szCs w:val="22"/>
                <w:lang w:val="da-DK"/>
              </w:rPr>
              <w:t>anden kapsel medicin.</w:t>
            </w:r>
          </w:p>
          <w:p w14:paraId="1A7A6D5E" w14:textId="77777777" w:rsidR="0071062A" w:rsidRPr="009259BD" w:rsidRDefault="0071062A" w:rsidP="0071062A">
            <w:pPr>
              <w:pStyle w:val="TableParagraph"/>
              <w:numPr>
                <w:ilvl w:val="0"/>
                <w:numId w:val="8"/>
              </w:numPr>
              <w:tabs>
                <w:tab w:val="left" w:pos="280"/>
              </w:tabs>
              <w:kinsoku w:val="0"/>
              <w:overflowPunct w:val="0"/>
              <w:ind w:right="141"/>
              <w:rPr>
                <w:rFonts w:ascii="Times New Roman" w:hAnsi="Times New Roman" w:cs="Times New Roman"/>
                <w:spacing w:val="-2"/>
                <w:sz w:val="22"/>
                <w:szCs w:val="22"/>
                <w:lang w:val="da-DK"/>
              </w:rPr>
            </w:pPr>
            <w:r w:rsidRPr="009259BD">
              <w:rPr>
                <w:rFonts w:ascii="Times New Roman" w:hAnsi="Times New Roman" w:cs="Times New Roman"/>
                <w:sz w:val="22"/>
                <w:szCs w:val="22"/>
                <w:lang w:val="da-DK"/>
              </w:rPr>
              <w:t>Læg aldrig kapslen direkte i munden eller i inhalatorens mundstykke</w:t>
            </w:r>
            <w:r w:rsidRPr="009259BD">
              <w:rPr>
                <w:rFonts w:ascii="Times New Roman" w:hAnsi="Times New Roman" w:cs="Times New Roman"/>
                <w:spacing w:val="-2"/>
                <w:sz w:val="22"/>
                <w:szCs w:val="22"/>
                <w:lang w:val="da-DK"/>
              </w:rPr>
              <w:t>.</w:t>
            </w:r>
          </w:p>
          <w:p w14:paraId="65C274D5" w14:textId="77777777" w:rsidR="0071062A" w:rsidRPr="009259BD" w:rsidRDefault="0071062A" w:rsidP="0071062A">
            <w:pPr>
              <w:pStyle w:val="TableParagraph"/>
              <w:numPr>
                <w:ilvl w:val="0"/>
                <w:numId w:val="8"/>
              </w:numPr>
              <w:tabs>
                <w:tab w:val="left" w:pos="280"/>
              </w:tabs>
              <w:kinsoku w:val="0"/>
              <w:overflowPunct w:val="0"/>
              <w:ind w:right="125"/>
              <w:rPr>
                <w:rFonts w:ascii="Times New Roman" w:hAnsi="Times New Roman" w:cs="Times New Roman"/>
                <w:sz w:val="22"/>
                <w:szCs w:val="22"/>
                <w:lang w:val="da-DK"/>
              </w:rPr>
            </w:pPr>
            <w:r w:rsidRPr="009259BD">
              <w:rPr>
                <w:rFonts w:ascii="Times New Roman" w:hAnsi="Times New Roman" w:cs="Times New Roman"/>
                <w:sz w:val="22"/>
                <w:szCs w:val="22"/>
                <w:lang w:val="da-DK"/>
              </w:rPr>
              <w:t>Tryk ikke på sideknapperne mere end én gang.</w:t>
            </w:r>
          </w:p>
          <w:p w14:paraId="7008F1DF" w14:textId="77777777" w:rsidR="0071062A" w:rsidRPr="009259BD" w:rsidRDefault="0071062A" w:rsidP="0071062A">
            <w:pPr>
              <w:pStyle w:val="TableParagraph"/>
              <w:numPr>
                <w:ilvl w:val="0"/>
                <w:numId w:val="8"/>
              </w:numPr>
              <w:tabs>
                <w:tab w:val="left" w:pos="280"/>
              </w:tabs>
              <w:kinsoku w:val="0"/>
              <w:overflowPunct w:val="0"/>
              <w:spacing w:line="235" w:lineRule="auto"/>
              <w:ind w:right="391"/>
              <w:rPr>
                <w:rFonts w:ascii="Times New Roman" w:hAnsi="Times New Roman" w:cs="Times New Roman"/>
                <w:spacing w:val="-2"/>
                <w:sz w:val="22"/>
                <w:szCs w:val="22"/>
                <w:lang w:val="da-DK"/>
              </w:rPr>
            </w:pPr>
            <w:r w:rsidRPr="009259BD">
              <w:rPr>
                <w:rFonts w:ascii="Times New Roman" w:hAnsi="Times New Roman" w:cs="Times New Roman"/>
                <w:sz w:val="22"/>
                <w:szCs w:val="22"/>
                <w:lang w:val="da-DK"/>
              </w:rPr>
              <w:t>Pust ikke ind i mundstykket.</w:t>
            </w:r>
          </w:p>
          <w:p w14:paraId="2233DC1E" w14:textId="77777777" w:rsidR="0071062A" w:rsidRPr="009259BD" w:rsidRDefault="0071062A" w:rsidP="0071062A">
            <w:pPr>
              <w:pStyle w:val="TableParagraph"/>
              <w:numPr>
                <w:ilvl w:val="0"/>
                <w:numId w:val="8"/>
              </w:numPr>
              <w:tabs>
                <w:tab w:val="left" w:pos="280"/>
              </w:tabs>
              <w:kinsoku w:val="0"/>
              <w:overflowPunct w:val="0"/>
              <w:ind w:right="97"/>
              <w:rPr>
                <w:rFonts w:ascii="Times New Roman" w:hAnsi="Times New Roman" w:cs="Times New Roman"/>
                <w:sz w:val="22"/>
                <w:szCs w:val="22"/>
                <w:lang w:val="da-DK"/>
              </w:rPr>
            </w:pPr>
            <w:r w:rsidRPr="009259BD">
              <w:rPr>
                <w:rFonts w:ascii="Times New Roman" w:hAnsi="Times New Roman" w:cs="Times New Roman"/>
                <w:sz w:val="22"/>
                <w:szCs w:val="22"/>
                <w:lang w:val="da-DK"/>
              </w:rPr>
              <w:lastRenderedPageBreak/>
              <w:t>Tryk ikke på sideknapperne, mens du inhalerer gennem mundstykket.</w:t>
            </w:r>
          </w:p>
          <w:p w14:paraId="5FD1D670" w14:textId="77777777" w:rsidR="009259BD" w:rsidRPr="009259BD" w:rsidRDefault="0071062A" w:rsidP="009259BD">
            <w:pPr>
              <w:pStyle w:val="TableParagraph"/>
              <w:numPr>
                <w:ilvl w:val="0"/>
                <w:numId w:val="8"/>
              </w:numPr>
              <w:tabs>
                <w:tab w:val="left" w:pos="280"/>
              </w:tabs>
              <w:kinsoku w:val="0"/>
              <w:overflowPunct w:val="0"/>
              <w:spacing w:line="235" w:lineRule="auto"/>
              <w:ind w:right="391"/>
              <w:rPr>
                <w:rFonts w:ascii="Times New Roman" w:hAnsi="Times New Roman" w:cs="Times New Roman"/>
                <w:noProof/>
                <w:sz w:val="22"/>
                <w:szCs w:val="22"/>
                <w:lang w:val="da-DK"/>
              </w:rPr>
            </w:pPr>
            <w:r w:rsidRPr="009259BD">
              <w:rPr>
                <w:rFonts w:ascii="Times New Roman" w:hAnsi="Times New Roman" w:cs="Times New Roman"/>
                <w:spacing w:val="-2"/>
                <w:sz w:val="22"/>
                <w:szCs w:val="22"/>
                <w:lang w:val="da-DK"/>
              </w:rPr>
              <w:t>Håndter ikke kapslerne med fugtige hænder</w:t>
            </w:r>
          </w:p>
          <w:p w14:paraId="49C6EE0F" w14:textId="04197608" w:rsidR="0071062A" w:rsidRPr="009259BD" w:rsidRDefault="0071062A" w:rsidP="009259BD">
            <w:pPr>
              <w:pStyle w:val="TableParagraph"/>
              <w:numPr>
                <w:ilvl w:val="0"/>
                <w:numId w:val="8"/>
              </w:numPr>
              <w:tabs>
                <w:tab w:val="left" w:pos="280"/>
              </w:tabs>
              <w:kinsoku w:val="0"/>
              <w:overflowPunct w:val="0"/>
              <w:spacing w:line="235" w:lineRule="auto"/>
              <w:ind w:right="391"/>
              <w:rPr>
                <w:rFonts w:ascii="Times New Roman" w:hAnsi="Times New Roman" w:cs="Times New Roman"/>
                <w:noProof/>
                <w:sz w:val="22"/>
                <w:szCs w:val="22"/>
                <w:lang w:val="da-DK"/>
              </w:rPr>
            </w:pPr>
            <w:r w:rsidRPr="009259BD">
              <w:rPr>
                <w:rFonts w:ascii="Times New Roman" w:hAnsi="Times New Roman" w:cs="Times New Roman"/>
                <w:spacing w:val="-2"/>
                <w:sz w:val="22"/>
                <w:szCs w:val="22"/>
                <w:lang w:val="da-DK"/>
              </w:rPr>
              <w:t>Vask aldrig din inhalator med vand.</w:t>
            </w:r>
          </w:p>
        </w:tc>
      </w:tr>
      <w:tr w:rsidR="0071062A" w:rsidRPr="0071062A" w14:paraId="5BCF4FB2" w14:textId="77777777" w:rsidTr="0071062A">
        <w:tc>
          <w:tcPr>
            <w:tcW w:w="2500" w:type="pct"/>
            <w:gridSpan w:val="2"/>
          </w:tcPr>
          <w:p w14:paraId="0A64993B" w14:textId="0FECAB46" w:rsidR="0071062A" w:rsidRPr="001A3C71" w:rsidRDefault="0071062A" w:rsidP="001A3C71">
            <w:pPr>
              <w:pStyle w:val="TableParagraph"/>
              <w:kinsoku w:val="0"/>
              <w:overflowPunct w:val="0"/>
              <w:ind w:left="106"/>
              <w:rPr>
                <w:rFonts w:ascii="Times New Roman" w:hAnsi="Times New Roman" w:cs="Times New Roman"/>
                <w:spacing w:val="-2"/>
                <w:sz w:val="22"/>
                <w:szCs w:val="22"/>
                <w:lang w:val="da-DK"/>
              </w:rPr>
            </w:pPr>
            <w:r w:rsidRPr="001A3C71">
              <w:rPr>
                <w:rFonts w:ascii="Times New Roman" w:hAnsi="Times New Roman" w:cs="Times New Roman"/>
                <w:sz w:val="22"/>
                <w:szCs w:val="22"/>
                <w:lang w:val="da-DK"/>
              </w:rPr>
              <w:lastRenderedPageBreak/>
              <w:t>Din</w:t>
            </w:r>
            <w:r w:rsidRPr="001A3C71">
              <w:rPr>
                <w:rFonts w:ascii="Times New Roman" w:hAnsi="Times New Roman" w:cs="Times New Roman"/>
                <w:spacing w:val="-6"/>
                <w:sz w:val="22"/>
                <w:szCs w:val="22"/>
                <w:lang w:val="da-DK"/>
              </w:rPr>
              <w:t xml:space="preserve"> </w:t>
            </w:r>
            <w:proofErr w:type="spellStart"/>
            <w:r w:rsidRPr="001A3C71">
              <w:rPr>
                <w:rFonts w:ascii="Times New Roman" w:hAnsi="Times New Roman" w:cs="Times New Roman"/>
                <w:sz w:val="22"/>
                <w:szCs w:val="22"/>
                <w:lang w:val="da-DK"/>
              </w:rPr>
              <w:t>Glycopyrronium</w:t>
            </w:r>
            <w:proofErr w:type="spellEnd"/>
            <w:r w:rsidRPr="001A3C71">
              <w:rPr>
                <w:rFonts w:ascii="Times New Roman" w:hAnsi="Times New Roman" w:cs="Times New Roman"/>
                <w:sz w:val="22"/>
                <w:szCs w:val="22"/>
                <w:lang w:val="da-DK"/>
              </w:rPr>
              <w:t xml:space="preserve"> </w:t>
            </w:r>
            <w:r w:rsidR="003D2392">
              <w:rPr>
                <w:rFonts w:ascii="Times New Roman" w:hAnsi="Times New Roman" w:cs="Times New Roman"/>
                <w:sz w:val="22"/>
                <w:szCs w:val="22"/>
                <w:lang w:val="da-DK"/>
              </w:rPr>
              <w:t>"</w:t>
            </w:r>
            <w:r w:rsidRPr="001A3C71">
              <w:rPr>
                <w:rFonts w:ascii="Times New Roman" w:hAnsi="Times New Roman" w:cs="Times New Roman"/>
                <w:sz w:val="22"/>
                <w:szCs w:val="22"/>
                <w:lang w:val="da-DK"/>
              </w:rPr>
              <w:t xml:space="preserve">Medical </w:t>
            </w:r>
            <w:proofErr w:type="spellStart"/>
            <w:r w:rsidRPr="001A3C71">
              <w:rPr>
                <w:rFonts w:ascii="Times New Roman" w:hAnsi="Times New Roman" w:cs="Times New Roman"/>
                <w:sz w:val="22"/>
                <w:szCs w:val="22"/>
                <w:lang w:val="da-DK"/>
              </w:rPr>
              <w:t>Valley</w:t>
            </w:r>
            <w:r w:rsidR="003D2392">
              <w:rPr>
                <w:rFonts w:ascii="Times New Roman" w:hAnsi="Times New Roman" w:cs="Times New Roman"/>
                <w:sz w:val="22"/>
                <w:szCs w:val="22"/>
                <w:lang w:val="da-DK"/>
              </w:rPr>
              <w:t>"</w:t>
            </w:r>
            <w:r w:rsidRPr="001A3C71">
              <w:rPr>
                <w:rFonts w:ascii="Times New Roman" w:hAnsi="Times New Roman" w:cs="Times New Roman"/>
                <w:spacing w:val="-5"/>
                <w:sz w:val="22"/>
                <w:szCs w:val="22"/>
                <w:lang w:val="da-DK"/>
              </w:rPr>
              <w:t>-</w:t>
            </w:r>
            <w:r w:rsidRPr="001A3C71">
              <w:rPr>
                <w:rFonts w:ascii="Times New Roman" w:hAnsi="Times New Roman" w:cs="Times New Roman"/>
                <w:sz w:val="22"/>
                <w:szCs w:val="22"/>
                <w:lang w:val="da-DK"/>
              </w:rPr>
              <w:t>inhalatorpakning</w:t>
            </w:r>
            <w:proofErr w:type="spellEnd"/>
            <w:r w:rsidRPr="001A3C71">
              <w:rPr>
                <w:rFonts w:ascii="Times New Roman" w:hAnsi="Times New Roman" w:cs="Times New Roman"/>
                <w:spacing w:val="-5"/>
                <w:sz w:val="22"/>
                <w:szCs w:val="22"/>
                <w:lang w:val="da-DK"/>
              </w:rPr>
              <w:t xml:space="preserve"> </w:t>
            </w:r>
            <w:r w:rsidRPr="001A3C71">
              <w:rPr>
                <w:rFonts w:ascii="Times New Roman" w:hAnsi="Times New Roman" w:cs="Times New Roman"/>
                <w:sz w:val="22"/>
                <w:szCs w:val="22"/>
                <w:lang w:val="da-DK"/>
              </w:rPr>
              <w:t>indeholder</w:t>
            </w:r>
            <w:r w:rsidRPr="001A3C71">
              <w:rPr>
                <w:rFonts w:ascii="Times New Roman" w:hAnsi="Times New Roman" w:cs="Times New Roman"/>
                <w:spacing w:val="-2"/>
                <w:sz w:val="22"/>
                <w:szCs w:val="22"/>
                <w:lang w:val="da-DK"/>
              </w:rPr>
              <w:t>:</w:t>
            </w:r>
          </w:p>
          <w:p w14:paraId="50572202" w14:textId="730ADE8A" w:rsidR="0071062A" w:rsidRPr="001A3C71" w:rsidRDefault="0071062A" w:rsidP="001A3C71">
            <w:pPr>
              <w:pStyle w:val="TableParagraph"/>
              <w:numPr>
                <w:ilvl w:val="0"/>
                <w:numId w:val="9"/>
              </w:numPr>
              <w:tabs>
                <w:tab w:val="left" w:pos="390"/>
              </w:tabs>
              <w:kinsoku w:val="0"/>
              <w:overflowPunct w:val="0"/>
              <w:rPr>
                <w:rFonts w:ascii="Times New Roman" w:hAnsi="Times New Roman" w:cs="Times New Roman"/>
                <w:spacing w:val="-2"/>
                <w:sz w:val="22"/>
                <w:szCs w:val="22"/>
                <w:lang w:val="da-DK"/>
              </w:rPr>
            </w:pPr>
            <w:r w:rsidRPr="001A3C71">
              <w:rPr>
                <w:rFonts w:ascii="Times New Roman" w:hAnsi="Times New Roman" w:cs="Times New Roman"/>
                <w:sz w:val="22"/>
                <w:szCs w:val="22"/>
                <w:lang w:val="da-DK"/>
              </w:rPr>
              <w:t>En</w:t>
            </w:r>
            <w:r w:rsidRPr="001A3C71">
              <w:rPr>
                <w:rFonts w:ascii="Times New Roman" w:hAnsi="Times New Roman" w:cs="Times New Roman"/>
                <w:spacing w:val="-6"/>
                <w:sz w:val="22"/>
                <w:szCs w:val="22"/>
                <w:lang w:val="da-DK"/>
              </w:rPr>
              <w:t xml:space="preserve"> </w:t>
            </w:r>
            <w:proofErr w:type="spellStart"/>
            <w:r w:rsidRPr="001A3C71">
              <w:rPr>
                <w:rFonts w:ascii="Times New Roman" w:hAnsi="Times New Roman" w:cs="Times New Roman"/>
                <w:sz w:val="22"/>
                <w:szCs w:val="22"/>
                <w:lang w:val="da-DK"/>
              </w:rPr>
              <w:t>Glycopyrronium</w:t>
            </w:r>
            <w:proofErr w:type="spellEnd"/>
            <w:r w:rsidRPr="001A3C71">
              <w:rPr>
                <w:rFonts w:ascii="Times New Roman" w:hAnsi="Times New Roman" w:cs="Times New Roman"/>
                <w:sz w:val="22"/>
                <w:szCs w:val="22"/>
                <w:lang w:val="da-DK"/>
              </w:rPr>
              <w:t xml:space="preserve"> </w:t>
            </w:r>
            <w:r w:rsidR="003D2392">
              <w:rPr>
                <w:rFonts w:ascii="Times New Roman" w:hAnsi="Times New Roman" w:cs="Times New Roman"/>
                <w:sz w:val="22"/>
                <w:szCs w:val="22"/>
                <w:lang w:val="da-DK"/>
              </w:rPr>
              <w:t>"</w:t>
            </w:r>
            <w:r w:rsidRPr="001A3C71">
              <w:rPr>
                <w:rFonts w:ascii="Times New Roman" w:hAnsi="Times New Roman" w:cs="Times New Roman"/>
                <w:sz w:val="22"/>
                <w:szCs w:val="22"/>
                <w:lang w:val="da-DK"/>
              </w:rPr>
              <w:t xml:space="preserve">Medical </w:t>
            </w:r>
            <w:proofErr w:type="spellStart"/>
            <w:r w:rsidRPr="001A3C71">
              <w:rPr>
                <w:rFonts w:ascii="Times New Roman" w:hAnsi="Times New Roman" w:cs="Times New Roman"/>
                <w:sz w:val="22"/>
                <w:szCs w:val="22"/>
                <w:lang w:val="da-DK"/>
              </w:rPr>
              <w:t>Vallley</w:t>
            </w:r>
            <w:proofErr w:type="spellEnd"/>
            <w:r w:rsidR="003D2392">
              <w:rPr>
                <w:rFonts w:ascii="Times New Roman" w:hAnsi="Times New Roman" w:cs="Times New Roman"/>
                <w:sz w:val="22"/>
                <w:szCs w:val="22"/>
                <w:lang w:val="da-DK"/>
              </w:rPr>
              <w:t>"</w:t>
            </w:r>
            <w:r w:rsidRPr="001A3C71">
              <w:rPr>
                <w:rFonts w:ascii="Times New Roman" w:hAnsi="Times New Roman" w:cs="Times New Roman"/>
                <w:sz w:val="22"/>
                <w:szCs w:val="22"/>
                <w:lang w:val="da-DK"/>
              </w:rPr>
              <w:t>-</w:t>
            </w:r>
            <w:r w:rsidRPr="001A3C71">
              <w:rPr>
                <w:rFonts w:ascii="Times New Roman" w:hAnsi="Times New Roman" w:cs="Times New Roman"/>
                <w:spacing w:val="-2"/>
                <w:sz w:val="22"/>
                <w:szCs w:val="22"/>
                <w:lang w:val="da-DK"/>
              </w:rPr>
              <w:t>inhalator</w:t>
            </w:r>
          </w:p>
          <w:p w14:paraId="39C07BB2" w14:textId="02F90025" w:rsidR="0071062A" w:rsidRPr="001A3C71" w:rsidRDefault="0071062A" w:rsidP="001A3C71">
            <w:pPr>
              <w:pStyle w:val="TableParagraph"/>
              <w:numPr>
                <w:ilvl w:val="0"/>
                <w:numId w:val="9"/>
              </w:numPr>
              <w:tabs>
                <w:tab w:val="left" w:pos="390"/>
              </w:tabs>
              <w:kinsoku w:val="0"/>
              <w:overflowPunct w:val="0"/>
              <w:ind w:right="159"/>
              <w:rPr>
                <w:rFonts w:ascii="Times New Roman" w:hAnsi="Times New Roman" w:cs="Times New Roman"/>
                <w:sz w:val="22"/>
                <w:szCs w:val="22"/>
                <w:lang w:val="da-DK"/>
              </w:rPr>
            </w:pPr>
            <w:r w:rsidRPr="001A3C71">
              <w:rPr>
                <w:rFonts w:ascii="Times New Roman" w:hAnsi="Times New Roman" w:cs="Times New Roman"/>
                <w:sz w:val="22"/>
                <w:szCs w:val="22"/>
                <w:lang w:val="da-DK"/>
              </w:rPr>
              <w:t>Et eller flere</w:t>
            </w:r>
            <w:r w:rsidRPr="001A3C71">
              <w:rPr>
                <w:rFonts w:ascii="Times New Roman" w:hAnsi="Times New Roman" w:cs="Times New Roman"/>
                <w:spacing w:val="-7"/>
                <w:sz w:val="22"/>
                <w:szCs w:val="22"/>
                <w:lang w:val="da-DK"/>
              </w:rPr>
              <w:t xml:space="preserve"> </w:t>
            </w:r>
            <w:r w:rsidRPr="001A3C71">
              <w:rPr>
                <w:rFonts w:ascii="Times New Roman" w:hAnsi="Times New Roman" w:cs="Times New Roman"/>
                <w:sz w:val="22"/>
                <w:szCs w:val="22"/>
                <w:lang w:val="da-DK"/>
              </w:rPr>
              <w:t>blisterkort,</w:t>
            </w:r>
            <w:r w:rsidRPr="001A3C71">
              <w:rPr>
                <w:rFonts w:ascii="Times New Roman" w:hAnsi="Times New Roman" w:cs="Times New Roman"/>
                <w:spacing w:val="-7"/>
                <w:sz w:val="22"/>
                <w:szCs w:val="22"/>
                <w:lang w:val="da-DK"/>
              </w:rPr>
              <w:t xml:space="preserve"> </w:t>
            </w:r>
            <w:r w:rsidRPr="001A3C71">
              <w:rPr>
                <w:rFonts w:ascii="Times New Roman" w:hAnsi="Times New Roman" w:cs="Times New Roman"/>
                <w:spacing w:val="-8"/>
                <w:sz w:val="22"/>
                <w:szCs w:val="22"/>
                <w:lang w:val="da-DK"/>
              </w:rPr>
              <w:t xml:space="preserve">som hver indeholder </w:t>
            </w:r>
            <w:proofErr w:type="spellStart"/>
            <w:r w:rsidRPr="001A3C71">
              <w:rPr>
                <w:rFonts w:ascii="Times New Roman" w:hAnsi="Times New Roman" w:cs="Times New Roman"/>
                <w:sz w:val="22"/>
                <w:szCs w:val="22"/>
                <w:lang w:val="da-DK"/>
              </w:rPr>
              <w:t>Glycopyrronium</w:t>
            </w:r>
            <w:proofErr w:type="spellEnd"/>
            <w:r w:rsidRPr="001A3C71">
              <w:rPr>
                <w:rFonts w:ascii="Times New Roman" w:hAnsi="Times New Roman" w:cs="Times New Roman"/>
                <w:sz w:val="22"/>
                <w:szCs w:val="22"/>
                <w:lang w:val="da-DK"/>
              </w:rPr>
              <w:t xml:space="preserve"> </w:t>
            </w:r>
            <w:r w:rsidR="003D2392">
              <w:rPr>
                <w:rFonts w:ascii="Times New Roman" w:hAnsi="Times New Roman" w:cs="Times New Roman"/>
                <w:sz w:val="22"/>
                <w:szCs w:val="22"/>
                <w:lang w:val="da-DK"/>
              </w:rPr>
              <w:t>"</w:t>
            </w:r>
            <w:r w:rsidRPr="001A3C71">
              <w:rPr>
                <w:rFonts w:ascii="Times New Roman" w:hAnsi="Times New Roman" w:cs="Times New Roman"/>
                <w:sz w:val="22"/>
                <w:szCs w:val="22"/>
                <w:lang w:val="da-DK"/>
              </w:rPr>
              <w:t xml:space="preserve">Medical </w:t>
            </w:r>
            <w:proofErr w:type="spellStart"/>
            <w:r w:rsidRPr="001A3C71">
              <w:rPr>
                <w:rFonts w:ascii="Times New Roman" w:hAnsi="Times New Roman" w:cs="Times New Roman"/>
                <w:sz w:val="22"/>
                <w:szCs w:val="22"/>
                <w:lang w:val="da-DK"/>
              </w:rPr>
              <w:t>Valley</w:t>
            </w:r>
            <w:r w:rsidR="003D2392">
              <w:rPr>
                <w:rFonts w:ascii="Times New Roman" w:hAnsi="Times New Roman" w:cs="Times New Roman"/>
                <w:sz w:val="22"/>
                <w:szCs w:val="22"/>
                <w:lang w:val="da-DK"/>
              </w:rPr>
              <w:t>"</w:t>
            </w:r>
            <w:r w:rsidRPr="001A3C71">
              <w:rPr>
                <w:rFonts w:ascii="Times New Roman" w:hAnsi="Times New Roman" w:cs="Times New Roman"/>
                <w:sz w:val="22"/>
                <w:szCs w:val="22"/>
                <w:lang w:val="da-DK"/>
              </w:rPr>
              <w:t>-kapsler</w:t>
            </w:r>
            <w:proofErr w:type="spellEnd"/>
            <w:r w:rsidRPr="001A3C71">
              <w:rPr>
                <w:rFonts w:ascii="Times New Roman" w:hAnsi="Times New Roman" w:cs="Times New Roman"/>
                <w:sz w:val="22"/>
                <w:szCs w:val="22"/>
                <w:lang w:val="da-DK"/>
              </w:rPr>
              <w:t xml:space="preserve"> til brug i inhalatoren</w:t>
            </w:r>
          </w:p>
          <w:p w14:paraId="285634C1" w14:textId="77777777" w:rsidR="0071062A" w:rsidRPr="0071062A" w:rsidRDefault="0071062A" w:rsidP="00E41927">
            <w:pPr>
              <w:rPr>
                <w:rFonts w:ascii="Times New Roman" w:hAnsi="Times New Roman" w:cs="Times New Roman"/>
                <w:noProof/>
                <w:sz w:val="24"/>
                <w:szCs w:val="24"/>
              </w:rPr>
            </w:pPr>
          </w:p>
          <w:p w14:paraId="0E32A8D5" w14:textId="77777777" w:rsidR="0071062A" w:rsidRPr="0071062A" w:rsidRDefault="0071062A" w:rsidP="00E41927">
            <w:pPr>
              <w:rPr>
                <w:rFonts w:ascii="Times New Roman" w:hAnsi="Times New Roman" w:cs="Times New Roman"/>
                <w:noProof/>
                <w:sz w:val="24"/>
                <w:szCs w:val="24"/>
              </w:rPr>
            </w:pPr>
            <w:r w:rsidRPr="0071062A">
              <w:rPr>
                <w:noProof/>
                <w:sz w:val="24"/>
                <w:szCs w:val="24"/>
              </w:rPr>
              <w:drawing>
                <wp:inline distT="0" distB="0" distL="0" distR="0" wp14:anchorId="0D846878" wp14:editId="2BA87CEA">
                  <wp:extent cx="2585720" cy="922020"/>
                  <wp:effectExtent l="0" t="0" r="5080" b="0"/>
                  <wp:docPr id="1344187428" name="Picture 1"/>
                  <wp:cNvGraphicFramePr/>
                  <a:graphic xmlns:a="http://schemas.openxmlformats.org/drawingml/2006/main">
                    <a:graphicData uri="http://schemas.openxmlformats.org/drawingml/2006/picture">
                      <pic:pic xmlns:pic="http://schemas.openxmlformats.org/drawingml/2006/picture">
                        <pic:nvPicPr>
                          <pic:cNvPr id="1344187428" name="Picture 1"/>
                          <pic:cNvPicPr/>
                        </pic:nvPicPr>
                        <pic:blipFill>
                          <a:blip r:embed="rId25"/>
                          <a:stretch>
                            <a:fillRect/>
                          </a:stretch>
                        </pic:blipFill>
                        <pic:spPr>
                          <a:xfrm>
                            <a:off x="0" y="0"/>
                            <a:ext cx="2585720" cy="922020"/>
                          </a:xfrm>
                          <a:prstGeom prst="rect">
                            <a:avLst/>
                          </a:prstGeom>
                        </pic:spPr>
                      </pic:pic>
                    </a:graphicData>
                  </a:graphic>
                </wp:inline>
              </w:drawing>
            </w:r>
          </w:p>
          <w:p w14:paraId="4883A941" w14:textId="3F2A65E8" w:rsidR="0071062A" w:rsidRPr="001A3C71" w:rsidRDefault="0071062A" w:rsidP="001A3C71">
            <w:pPr>
              <w:tabs>
                <w:tab w:val="left" w:pos="1308"/>
                <w:tab w:val="left" w:pos="3009"/>
              </w:tabs>
              <w:rPr>
                <w:rFonts w:ascii="Times New Roman" w:hAnsi="Times New Roman" w:cs="Times New Roman"/>
                <w:noProof/>
                <w:sz w:val="16"/>
                <w:szCs w:val="16"/>
              </w:rPr>
            </w:pPr>
            <w:r w:rsidRPr="001A3C71">
              <w:rPr>
                <w:rFonts w:ascii="Times New Roman" w:hAnsi="Times New Roman" w:cs="Times New Roman"/>
                <w:b/>
                <w:bCs/>
                <w:spacing w:val="-2"/>
                <w:position w:val="1"/>
                <w:sz w:val="16"/>
                <w:szCs w:val="16"/>
              </w:rPr>
              <w:t>Inhalator</w:t>
            </w:r>
            <w:r w:rsidRPr="001A3C71">
              <w:rPr>
                <w:rFonts w:ascii="Times New Roman" w:hAnsi="Times New Roman" w:cs="Times New Roman"/>
                <w:sz w:val="16"/>
                <w:szCs w:val="16"/>
              </w:rPr>
              <w:t xml:space="preserve"> </w:t>
            </w:r>
            <w:r w:rsidRPr="001A3C71">
              <w:rPr>
                <w:rFonts w:ascii="Times New Roman" w:hAnsi="Times New Roman" w:cs="Times New Roman"/>
                <w:b/>
                <w:bCs/>
                <w:position w:val="1"/>
                <w:sz w:val="16"/>
                <w:szCs w:val="16"/>
              </w:rPr>
              <w:tab/>
            </w:r>
            <w:r w:rsidRPr="001A3C71">
              <w:rPr>
                <w:rFonts w:ascii="Times New Roman" w:hAnsi="Times New Roman" w:cs="Times New Roman"/>
                <w:b/>
                <w:bCs/>
                <w:spacing w:val="-2"/>
                <w:sz w:val="16"/>
                <w:szCs w:val="16"/>
              </w:rPr>
              <w:t>Inhalatorunderdel</w:t>
            </w:r>
            <w:r w:rsidRPr="001A3C71">
              <w:rPr>
                <w:rFonts w:ascii="Times New Roman" w:hAnsi="Times New Roman" w:cs="Times New Roman"/>
                <w:b/>
                <w:bCs/>
                <w:sz w:val="16"/>
                <w:szCs w:val="16"/>
              </w:rPr>
              <w:tab/>
              <w:t>Blister</w:t>
            </w:r>
            <w:r w:rsidRPr="001A3C71">
              <w:rPr>
                <w:rFonts w:ascii="Times New Roman" w:hAnsi="Times New Roman" w:cs="Times New Roman"/>
                <w:b/>
                <w:bCs/>
                <w:spacing w:val="-7"/>
                <w:sz w:val="16"/>
                <w:szCs w:val="16"/>
              </w:rPr>
              <w:t>kort</w:t>
            </w:r>
          </w:p>
        </w:tc>
        <w:tc>
          <w:tcPr>
            <w:tcW w:w="1250" w:type="pct"/>
          </w:tcPr>
          <w:p w14:paraId="7E00ED17" w14:textId="7D2352C2" w:rsidR="0071062A" w:rsidRPr="00871D6C" w:rsidRDefault="0071062A" w:rsidP="00871D6C">
            <w:pPr>
              <w:pStyle w:val="TableParagraph"/>
              <w:kinsoku w:val="0"/>
              <w:overflowPunct w:val="0"/>
              <w:ind w:left="32" w:right="32"/>
              <w:rPr>
                <w:rFonts w:ascii="Times New Roman" w:hAnsi="Times New Roman" w:cs="Times New Roman"/>
                <w:b/>
                <w:bCs/>
                <w:spacing w:val="-2"/>
                <w:sz w:val="22"/>
                <w:szCs w:val="22"/>
                <w:lang w:val="da-DK"/>
              </w:rPr>
            </w:pPr>
            <w:r w:rsidRPr="00871D6C">
              <w:rPr>
                <w:rFonts w:ascii="Times New Roman" w:hAnsi="Times New Roman" w:cs="Times New Roman"/>
                <w:b/>
                <w:bCs/>
                <w:sz w:val="22"/>
                <w:szCs w:val="22"/>
                <w:lang w:val="da-DK"/>
              </w:rPr>
              <w:t>Ofte stillede</w:t>
            </w:r>
            <w:r w:rsidR="002F1ED8">
              <w:rPr>
                <w:rFonts w:ascii="Times New Roman" w:hAnsi="Times New Roman" w:cs="Times New Roman"/>
                <w:b/>
                <w:bCs/>
                <w:sz w:val="22"/>
                <w:szCs w:val="22"/>
                <w:lang w:val="da-DK"/>
              </w:rPr>
              <w:t xml:space="preserve"> </w:t>
            </w:r>
            <w:r w:rsidRPr="00871D6C">
              <w:rPr>
                <w:rFonts w:ascii="Times New Roman" w:hAnsi="Times New Roman" w:cs="Times New Roman"/>
                <w:b/>
                <w:bCs/>
                <w:sz w:val="22"/>
                <w:szCs w:val="22"/>
                <w:lang w:val="da-DK"/>
              </w:rPr>
              <w:t>spørgsmål</w:t>
            </w:r>
          </w:p>
          <w:p w14:paraId="04947A54" w14:textId="77777777" w:rsidR="0071062A" w:rsidRPr="00871D6C" w:rsidRDefault="0071062A" w:rsidP="00871D6C">
            <w:pPr>
              <w:pStyle w:val="TableParagraph"/>
              <w:kinsoku w:val="0"/>
              <w:overflowPunct w:val="0"/>
              <w:ind w:left="32" w:right="32"/>
              <w:rPr>
                <w:rFonts w:ascii="Times New Roman" w:hAnsi="Times New Roman" w:cs="Times New Roman"/>
                <w:b/>
                <w:bCs/>
                <w:sz w:val="22"/>
                <w:szCs w:val="22"/>
                <w:lang w:val="da-DK"/>
              </w:rPr>
            </w:pPr>
          </w:p>
          <w:p w14:paraId="4F259C71" w14:textId="77777777" w:rsidR="0071062A" w:rsidRPr="00871D6C" w:rsidRDefault="0071062A" w:rsidP="00871D6C">
            <w:pPr>
              <w:pStyle w:val="TableParagraph"/>
              <w:kinsoku w:val="0"/>
              <w:overflowPunct w:val="0"/>
              <w:ind w:left="32" w:right="32"/>
              <w:rPr>
                <w:rFonts w:ascii="Times New Roman" w:hAnsi="Times New Roman" w:cs="Times New Roman"/>
                <w:b/>
                <w:bCs/>
                <w:sz w:val="22"/>
                <w:szCs w:val="22"/>
                <w:lang w:val="da-DK"/>
              </w:rPr>
            </w:pPr>
            <w:r w:rsidRPr="00871D6C">
              <w:rPr>
                <w:rFonts w:ascii="Times New Roman" w:hAnsi="Times New Roman" w:cs="Times New Roman"/>
                <w:b/>
                <w:bCs/>
                <w:sz w:val="22"/>
                <w:szCs w:val="22"/>
                <w:lang w:val="da-DK"/>
              </w:rPr>
              <w:t xml:space="preserve">Hvorfor lavede inhalatoren ikke en lyd, da jeg inhalerede? </w:t>
            </w:r>
            <w:r w:rsidRPr="00871D6C">
              <w:rPr>
                <w:rFonts w:ascii="Times New Roman" w:hAnsi="Times New Roman" w:cs="Times New Roman"/>
                <w:sz w:val="22"/>
                <w:szCs w:val="22"/>
                <w:lang w:val="da-DK"/>
              </w:rPr>
              <w:t>Kapslen kan muligvis sidde fast i kammeret. Hvis dette er tilfældet, skal du forsigtigt løsne kapslen ved at banke let på inhalatorens underdel. Inhalér medicinen igen ved at gentage trin 3a til 3c.</w:t>
            </w:r>
            <w:r w:rsidRPr="00871D6C">
              <w:rPr>
                <w:rFonts w:ascii="Times New Roman" w:hAnsi="Times New Roman" w:cs="Times New Roman"/>
                <w:b/>
                <w:bCs/>
                <w:sz w:val="22"/>
                <w:szCs w:val="22"/>
                <w:lang w:val="da-DK"/>
              </w:rPr>
              <w:t xml:space="preserve"> </w:t>
            </w:r>
          </w:p>
          <w:p w14:paraId="70EF702B" w14:textId="77777777" w:rsidR="0071062A" w:rsidRPr="00871D6C" w:rsidRDefault="0071062A" w:rsidP="00871D6C">
            <w:pPr>
              <w:pStyle w:val="TableParagraph"/>
              <w:kinsoku w:val="0"/>
              <w:overflowPunct w:val="0"/>
              <w:ind w:left="32" w:right="32"/>
              <w:rPr>
                <w:rFonts w:ascii="Times New Roman" w:hAnsi="Times New Roman" w:cs="Times New Roman"/>
                <w:b/>
                <w:bCs/>
                <w:sz w:val="22"/>
                <w:szCs w:val="22"/>
                <w:lang w:val="da-DK"/>
              </w:rPr>
            </w:pPr>
          </w:p>
          <w:p w14:paraId="2CAF08A6" w14:textId="77777777" w:rsidR="0071062A" w:rsidRPr="00871D6C" w:rsidRDefault="0071062A" w:rsidP="00871D6C">
            <w:pPr>
              <w:pStyle w:val="TableParagraph"/>
              <w:kinsoku w:val="0"/>
              <w:overflowPunct w:val="0"/>
              <w:ind w:left="32" w:right="32"/>
              <w:rPr>
                <w:rFonts w:ascii="Times New Roman" w:hAnsi="Times New Roman" w:cs="Times New Roman"/>
                <w:b/>
                <w:bCs/>
                <w:sz w:val="22"/>
                <w:szCs w:val="22"/>
                <w:lang w:val="da-DK"/>
              </w:rPr>
            </w:pPr>
            <w:r w:rsidRPr="00871D6C">
              <w:rPr>
                <w:rFonts w:ascii="Times New Roman" w:hAnsi="Times New Roman" w:cs="Times New Roman"/>
                <w:b/>
                <w:bCs/>
                <w:sz w:val="22"/>
                <w:szCs w:val="22"/>
                <w:lang w:val="da-DK"/>
              </w:rPr>
              <w:t>Hvad skal jeg gøre, hvis der er overskydende pulver i kapslen?</w:t>
            </w:r>
          </w:p>
          <w:p w14:paraId="51EB98DA" w14:textId="77777777" w:rsidR="0071062A" w:rsidRPr="00871D6C" w:rsidRDefault="0071062A" w:rsidP="00871D6C">
            <w:pPr>
              <w:pStyle w:val="TableParagraph"/>
              <w:kinsoku w:val="0"/>
              <w:overflowPunct w:val="0"/>
              <w:ind w:left="32" w:right="32"/>
              <w:rPr>
                <w:rFonts w:ascii="Times New Roman" w:hAnsi="Times New Roman" w:cs="Times New Roman"/>
                <w:sz w:val="22"/>
                <w:szCs w:val="22"/>
                <w:lang w:val="da-DK"/>
              </w:rPr>
            </w:pPr>
            <w:r w:rsidRPr="00871D6C">
              <w:rPr>
                <w:rFonts w:ascii="Times New Roman" w:hAnsi="Times New Roman" w:cs="Times New Roman"/>
                <w:sz w:val="22"/>
                <w:szCs w:val="22"/>
                <w:lang w:val="da-DK"/>
              </w:rPr>
              <w:t>Du har ikke fået en tilstrækkelig mængde af din medicin. Luk inhalatoren og gentag trin 3a til 3c.</w:t>
            </w:r>
          </w:p>
          <w:p w14:paraId="5653C726" w14:textId="77777777" w:rsidR="0071062A" w:rsidRPr="00871D6C" w:rsidRDefault="0071062A" w:rsidP="00871D6C">
            <w:pPr>
              <w:pStyle w:val="TableParagraph"/>
              <w:kinsoku w:val="0"/>
              <w:overflowPunct w:val="0"/>
              <w:ind w:left="32" w:right="32"/>
              <w:rPr>
                <w:rFonts w:ascii="Times New Roman" w:hAnsi="Times New Roman" w:cs="Times New Roman"/>
                <w:sz w:val="22"/>
                <w:szCs w:val="22"/>
                <w:lang w:val="da-DK"/>
              </w:rPr>
            </w:pPr>
          </w:p>
          <w:p w14:paraId="670BE27B" w14:textId="77777777" w:rsidR="0071062A" w:rsidRPr="00871D6C" w:rsidRDefault="0071062A" w:rsidP="00871D6C">
            <w:pPr>
              <w:pStyle w:val="TableParagraph"/>
              <w:kinsoku w:val="0"/>
              <w:overflowPunct w:val="0"/>
              <w:ind w:left="32" w:right="32"/>
              <w:rPr>
                <w:rFonts w:ascii="Times New Roman" w:hAnsi="Times New Roman" w:cs="Times New Roman"/>
                <w:b/>
                <w:bCs/>
                <w:sz w:val="22"/>
                <w:szCs w:val="22"/>
                <w:lang w:val="da-DK"/>
              </w:rPr>
            </w:pPr>
            <w:r w:rsidRPr="00871D6C">
              <w:rPr>
                <w:rFonts w:ascii="Times New Roman" w:hAnsi="Times New Roman" w:cs="Times New Roman"/>
                <w:b/>
                <w:bCs/>
                <w:sz w:val="22"/>
                <w:szCs w:val="22"/>
                <w:lang w:val="da-DK"/>
              </w:rPr>
              <w:t xml:space="preserve">Jeg hostede efter jeg inhalerede – betyder det noget? </w:t>
            </w:r>
          </w:p>
          <w:p w14:paraId="4DFC752E" w14:textId="77777777" w:rsidR="0071062A" w:rsidRPr="00871D6C" w:rsidRDefault="0071062A" w:rsidP="00871D6C">
            <w:pPr>
              <w:pStyle w:val="TableParagraph"/>
              <w:kinsoku w:val="0"/>
              <w:overflowPunct w:val="0"/>
              <w:ind w:left="32" w:right="32"/>
              <w:rPr>
                <w:rFonts w:ascii="Times New Roman" w:hAnsi="Times New Roman" w:cs="Times New Roman"/>
                <w:sz w:val="22"/>
                <w:szCs w:val="22"/>
                <w:lang w:val="da-DK"/>
              </w:rPr>
            </w:pPr>
            <w:r w:rsidRPr="00871D6C">
              <w:rPr>
                <w:rFonts w:ascii="Times New Roman" w:hAnsi="Times New Roman" w:cs="Times New Roman"/>
                <w:sz w:val="22"/>
                <w:szCs w:val="22"/>
                <w:lang w:val="da-DK"/>
              </w:rPr>
              <w:t>Dette kan forekomme. Så længe kapslen er tom, har du fået en tilstrækkelig mængde af din medicin.</w:t>
            </w:r>
          </w:p>
          <w:p w14:paraId="69284026" w14:textId="77777777" w:rsidR="0071062A" w:rsidRPr="00871D6C" w:rsidRDefault="0071062A" w:rsidP="00871D6C">
            <w:pPr>
              <w:pStyle w:val="TableParagraph"/>
              <w:kinsoku w:val="0"/>
              <w:overflowPunct w:val="0"/>
              <w:ind w:left="32" w:right="32"/>
              <w:rPr>
                <w:rFonts w:ascii="Times New Roman" w:hAnsi="Times New Roman" w:cs="Times New Roman"/>
                <w:sz w:val="22"/>
                <w:szCs w:val="22"/>
                <w:lang w:val="da-DK"/>
              </w:rPr>
            </w:pPr>
          </w:p>
          <w:p w14:paraId="4831D4DC" w14:textId="77777777" w:rsidR="0071062A" w:rsidRPr="00871D6C" w:rsidRDefault="0071062A" w:rsidP="00871D6C">
            <w:pPr>
              <w:pStyle w:val="TableParagraph"/>
              <w:kinsoku w:val="0"/>
              <w:overflowPunct w:val="0"/>
              <w:ind w:left="32" w:right="32"/>
              <w:rPr>
                <w:rFonts w:ascii="Times New Roman" w:hAnsi="Times New Roman" w:cs="Times New Roman"/>
                <w:b/>
                <w:bCs/>
                <w:sz w:val="22"/>
                <w:szCs w:val="22"/>
                <w:lang w:val="da-DK"/>
              </w:rPr>
            </w:pPr>
            <w:r w:rsidRPr="00871D6C">
              <w:rPr>
                <w:rFonts w:ascii="Times New Roman" w:hAnsi="Times New Roman" w:cs="Times New Roman"/>
                <w:b/>
                <w:bCs/>
                <w:sz w:val="22"/>
                <w:szCs w:val="22"/>
                <w:lang w:val="da-DK"/>
              </w:rPr>
              <w:t xml:space="preserve">Jeg kunne mærke små stykker af kapslen på min tunge – betyder det noget? </w:t>
            </w:r>
          </w:p>
          <w:p w14:paraId="3ABFDAB5" w14:textId="77777777" w:rsidR="0071062A" w:rsidRPr="00871D6C" w:rsidRDefault="0071062A" w:rsidP="00871D6C">
            <w:pPr>
              <w:pStyle w:val="TableParagraph"/>
              <w:kinsoku w:val="0"/>
              <w:overflowPunct w:val="0"/>
              <w:ind w:left="32" w:right="32"/>
              <w:rPr>
                <w:rFonts w:ascii="Times New Roman" w:hAnsi="Times New Roman" w:cs="Times New Roman"/>
                <w:sz w:val="22"/>
                <w:szCs w:val="22"/>
                <w:lang w:val="da-DK"/>
              </w:rPr>
            </w:pPr>
            <w:r w:rsidRPr="00871D6C">
              <w:rPr>
                <w:rFonts w:ascii="Times New Roman" w:hAnsi="Times New Roman" w:cs="Times New Roman"/>
                <w:sz w:val="22"/>
                <w:szCs w:val="22"/>
                <w:lang w:val="da-DK"/>
              </w:rPr>
              <w:t xml:space="preserve">Dette kan forekomme, og det er ikke farligt. </w:t>
            </w:r>
          </w:p>
          <w:p w14:paraId="50E8A6C3" w14:textId="4F2ACA3F" w:rsidR="0071062A" w:rsidRPr="0071062A" w:rsidRDefault="0071062A" w:rsidP="00871D6C">
            <w:pPr>
              <w:pStyle w:val="TableParagraph"/>
              <w:kinsoku w:val="0"/>
              <w:overflowPunct w:val="0"/>
              <w:ind w:left="32" w:right="32"/>
              <w:rPr>
                <w:rFonts w:ascii="Times New Roman" w:hAnsi="Times New Roman" w:cs="Times New Roman"/>
                <w:lang w:val="da-DK"/>
              </w:rPr>
            </w:pPr>
            <w:r w:rsidRPr="00871D6C">
              <w:rPr>
                <w:rFonts w:ascii="Times New Roman" w:hAnsi="Times New Roman" w:cs="Times New Roman"/>
                <w:sz w:val="22"/>
                <w:szCs w:val="22"/>
                <w:lang w:val="da-DK"/>
              </w:rPr>
              <w:t xml:space="preserve">Risikoen for at kapslen går i små stykker forøges, hvis kapslen perforeres mere end én </w:t>
            </w:r>
            <w:r w:rsidRPr="00871D6C">
              <w:rPr>
                <w:rFonts w:ascii="Times New Roman" w:hAnsi="Times New Roman" w:cs="Times New Roman"/>
                <w:sz w:val="22"/>
                <w:szCs w:val="22"/>
                <w:lang w:val="da-DK"/>
              </w:rPr>
              <w:lastRenderedPageBreak/>
              <w:t>gang</w:t>
            </w:r>
            <w:r w:rsidR="002F1ED8">
              <w:rPr>
                <w:rFonts w:ascii="Times New Roman" w:hAnsi="Times New Roman" w:cs="Times New Roman"/>
                <w:sz w:val="22"/>
                <w:szCs w:val="22"/>
                <w:lang w:val="da-DK"/>
              </w:rPr>
              <w:t>.</w:t>
            </w:r>
          </w:p>
        </w:tc>
        <w:tc>
          <w:tcPr>
            <w:tcW w:w="1250" w:type="pct"/>
          </w:tcPr>
          <w:p w14:paraId="08526DDF" w14:textId="77777777" w:rsidR="0071062A" w:rsidRPr="00871D6C" w:rsidRDefault="0071062A" w:rsidP="00871D6C">
            <w:pPr>
              <w:ind w:left="41"/>
              <w:rPr>
                <w:rFonts w:ascii="Times New Roman" w:hAnsi="Times New Roman" w:cs="Times New Roman"/>
                <w:sz w:val="22"/>
              </w:rPr>
            </w:pPr>
            <w:r w:rsidRPr="00871D6C">
              <w:rPr>
                <w:rFonts w:ascii="Times New Roman" w:hAnsi="Times New Roman" w:cs="Times New Roman"/>
                <w:b/>
                <w:bCs/>
                <w:sz w:val="22"/>
              </w:rPr>
              <w:lastRenderedPageBreak/>
              <w:t xml:space="preserve">Rengøring af inhalatoren </w:t>
            </w:r>
            <w:r w:rsidRPr="00871D6C">
              <w:rPr>
                <w:rFonts w:ascii="Times New Roman" w:hAnsi="Times New Roman" w:cs="Times New Roman"/>
                <w:sz w:val="22"/>
              </w:rPr>
              <w:t>Tør inderside og yderside af mundstykket med en ren, tør og fnugfri klud for at fjerne eventuelle pulverrester. Hold inhalatoren tør. Vask aldrig din inhalator med vand.</w:t>
            </w:r>
          </w:p>
          <w:p w14:paraId="5D4DAE1F" w14:textId="77777777" w:rsidR="0071062A" w:rsidRPr="00871D6C" w:rsidRDefault="0071062A" w:rsidP="00871D6C">
            <w:pPr>
              <w:ind w:left="41"/>
              <w:rPr>
                <w:rFonts w:ascii="Times New Roman" w:hAnsi="Times New Roman" w:cs="Times New Roman"/>
                <w:noProof/>
                <w:sz w:val="22"/>
              </w:rPr>
            </w:pPr>
          </w:p>
          <w:p w14:paraId="081DB840" w14:textId="77777777" w:rsidR="0071062A" w:rsidRPr="00871D6C" w:rsidRDefault="0071062A" w:rsidP="00871D6C">
            <w:pPr>
              <w:pStyle w:val="TableParagraph"/>
              <w:kinsoku w:val="0"/>
              <w:overflowPunct w:val="0"/>
              <w:ind w:left="41" w:right="117"/>
              <w:rPr>
                <w:rFonts w:ascii="Times New Roman" w:hAnsi="Times New Roman" w:cs="Times New Roman"/>
                <w:b/>
                <w:bCs/>
                <w:sz w:val="22"/>
                <w:szCs w:val="22"/>
                <w:lang w:val="da-DK"/>
              </w:rPr>
            </w:pPr>
            <w:r w:rsidRPr="00871D6C">
              <w:rPr>
                <w:rFonts w:ascii="Times New Roman" w:hAnsi="Times New Roman" w:cs="Times New Roman"/>
                <w:b/>
                <w:bCs/>
                <w:sz w:val="22"/>
                <w:szCs w:val="22"/>
                <w:lang w:val="da-DK"/>
              </w:rPr>
              <w:t xml:space="preserve">Bortskaffelse af inhalator efter brug </w:t>
            </w:r>
          </w:p>
          <w:p w14:paraId="773232AF" w14:textId="77777777" w:rsidR="0071062A" w:rsidRPr="0071062A" w:rsidRDefault="0071062A" w:rsidP="00871D6C">
            <w:pPr>
              <w:ind w:left="41"/>
              <w:rPr>
                <w:rFonts w:ascii="Times New Roman" w:hAnsi="Times New Roman" w:cs="Times New Roman"/>
                <w:noProof/>
                <w:sz w:val="24"/>
                <w:szCs w:val="24"/>
              </w:rPr>
            </w:pPr>
            <w:r w:rsidRPr="00871D6C">
              <w:rPr>
                <w:rFonts w:ascii="Times New Roman" w:hAnsi="Times New Roman" w:cs="Times New Roman"/>
                <w:sz w:val="22"/>
              </w:rPr>
              <w:t>Inhalatoren fra hver pakning eller inhalatoren, som genbruges, skal kasseres efter 90 sug, tællende fra første gang inhalatoren bruges. Spørg apotekspersonalet hvordan du skal bortskaffe lægemidler og inhalatorer, som du ikke længere har behov for.</w:t>
            </w:r>
          </w:p>
        </w:tc>
      </w:tr>
    </w:tbl>
    <w:p w14:paraId="10143A02" w14:textId="77777777" w:rsidR="009260DE" w:rsidRPr="001C2314" w:rsidRDefault="009260DE" w:rsidP="000730CA">
      <w:pPr>
        <w:tabs>
          <w:tab w:val="left" w:pos="851"/>
        </w:tabs>
        <w:ind w:left="851"/>
        <w:rPr>
          <w:sz w:val="24"/>
          <w:szCs w:val="24"/>
        </w:rPr>
      </w:pPr>
    </w:p>
    <w:p w14:paraId="73021772" w14:textId="77777777" w:rsidR="009260DE" w:rsidRPr="001C2314" w:rsidRDefault="009260DE" w:rsidP="009260DE">
      <w:pPr>
        <w:tabs>
          <w:tab w:val="left" w:pos="851"/>
        </w:tabs>
        <w:ind w:left="851" w:hanging="851"/>
        <w:rPr>
          <w:b/>
          <w:sz w:val="24"/>
          <w:szCs w:val="24"/>
        </w:rPr>
      </w:pPr>
      <w:r w:rsidRPr="001C2314">
        <w:rPr>
          <w:b/>
          <w:sz w:val="24"/>
          <w:szCs w:val="24"/>
        </w:rPr>
        <w:t>7.</w:t>
      </w:r>
      <w:r w:rsidRPr="001C2314">
        <w:rPr>
          <w:b/>
          <w:sz w:val="24"/>
          <w:szCs w:val="24"/>
        </w:rPr>
        <w:tab/>
        <w:t>INDEHAVER AF MARKEDSFØRINGSTILLADELSEN</w:t>
      </w:r>
    </w:p>
    <w:p w14:paraId="13C06259" w14:textId="77777777" w:rsidR="00213DB3" w:rsidRPr="001C2314" w:rsidRDefault="00213DB3" w:rsidP="001C2314">
      <w:pPr>
        <w:ind w:left="851"/>
        <w:rPr>
          <w:sz w:val="24"/>
          <w:szCs w:val="24"/>
        </w:rPr>
      </w:pPr>
      <w:r w:rsidRPr="001C2314">
        <w:rPr>
          <w:spacing w:val="-3"/>
          <w:sz w:val="24"/>
          <w:szCs w:val="24"/>
        </w:rPr>
        <w:t>Medical Valley Invest AB</w:t>
      </w:r>
    </w:p>
    <w:p w14:paraId="5689B38B" w14:textId="77777777" w:rsidR="00213DB3" w:rsidRPr="000C24D0" w:rsidRDefault="00213DB3" w:rsidP="001C2314">
      <w:pPr>
        <w:ind w:left="851"/>
        <w:rPr>
          <w:sz w:val="24"/>
          <w:szCs w:val="24"/>
          <w:lang w:val="sv-SE"/>
        </w:rPr>
      </w:pPr>
      <w:r w:rsidRPr="000C24D0">
        <w:rPr>
          <w:sz w:val="24"/>
          <w:szCs w:val="24"/>
          <w:lang w:val="sv-SE"/>
        </w:rPr>
        <w:t xml:space="preserve">Brädgårdsvägen 28 </w:t>
      </w:r>
    </w:p>
    <w:p w14:paraId="7BB9B2B6" w14:textId="77777777" w:rsidR="00213DB3" w:rsidRPr="000C24D0" w:rsidRDefault="00213DB3" w:rsidP="001C2314">
      <w:pPr>
        <w:ind w:left="851"/>
        <w:rPr>
          <w:sz w:val="24"/>
          <w:szCs w:val="24"/>
          <w:lang w:val="sv-SE"/>
        </w:rPr>
      </w:pPr>
      <w:r w:rsidRPr="000C24D0">
        <w:rPr>
          <w:sz w:val="24"/>
          <w:szCs w:val="24"/>
          <w:lang w:val="sv-SE"/>
        </w:rPr>
        <w:t xml:space="preserve">236 32 Höllviken </w:t>
      </w:r>
    </w:p>
    <w:p w14:paraId="1E09DA71" w14:textId="77777777" w:rsidR="00213DB3" w:rsidRPr="000C24D0" w:rsidRDefault="00213DB3" w:rsidP="001C2314">
      <w:pPr>
        <w:ind w:left="851"/>
        <w:rPr>
          <w:sz w:val="24"/>
          <w:szCs w:val="24"/>
          <w:lang w:val="sv-SE"/>
        </w:rPr>
      </w:pPr>
      <w:r w:rsidRPr="000C24D0">
        <w:rPr>
          <w:sz w:val="24"/>
          <w:szCs w:val="24"/>
          <w:lang w:val="sv-SE"/>
        </w:rPr>
        <w:t>Sverige</w:t>
      </w:r>
    </w:p>
    <w:p w14:paraId="3AF34A99" w14:textId="77777777" w:rsidR="00641C65" w:rsidRPr="000C24D0" w:rsidRDefault="00641C65" w:rsidP="009260DE">
      <w:pPr>
        <w:tabs>
          <w:tab w:val="left" w:pos="851"/>
        </w:tabs>
        <w:ind w:left="851"/>
        <w:rPr>
          <w:sz w:val="24"/>
          <w:szCs w:val="24"/>
          <w:lang w:val="sv-SE"/>
        </w:rPr>
      </w:pPr>
    </w:p>
    <w:p w14:paraId="22819A23" w14:textId="77777777" w:rsidR="009260DE" w:rsidRPr="000C24D0" w:rsidRDefault="009260DE" w:rsidP="009260DE">
      <w:pPr>
        <w:tabs>
          <w:tab w:val="left" w:pos="851"/>
        </w:tabs>
        <w:ind w:left="851" w:hanging="851"/>
        <w:rPr>
          <w:b/>
          <w:sz w:val="24"/>
          <w:szCs w:val="24"/>
          <w:lang w:val="sv-SE"/>
        </w:rPr>
      </w:pPr>
      <w:r w:rsidRPr="000C24D0">
        <w:rPr>
          <w:b/>
          <w:sz w:val="24"/>
          <w:szCs w:val="24"/>
          <w:lang w:val="sv-SE"/>
        </w:rPr>
        <w:t>8.</w:t>
      </w:r>
      <w:r w:rsidRPr="000C24D0">
        <w:rPr>
          <w:b/>
          <w:sz w:val="24"/>
          <w:szCs w:val="24"/>
          <w:lang w:val="sv-SE"/>
        </w:rPr>
        <w:tab/>
        <w:t>MARKEDSFØRINGSTILLADELSESNUMMER (</w:t>
      </w:r>
      <w:r w:rsidR="00BF6243" w:rsidRPr="000C24D0">
        <w:rPr>
          <w:b/>
          <w:sz w:val="24"/>
          <w:szCs w:val="24"/>
          <w:lang w:val="sv-SE"/>
        </w:rPr>
        <w:t>-</w:t>
      </w:r>
      <w:r w:rsidRPr="000C24D0">
        <w:rPr>
          <w:b/>
          <w:sz w:val="24"/>
          <w:szCs w:val="24"/>
          <w:lang w:val="sv-SE"/>
        </w:rPr>
        <w:t>NUMRE)</w:t>
      </w:r>
    </w:p>
    <w:p w14:paraId="61030049" w14:textId="4BFBD68A" w:rsidR="009260DE" w:rsidRPr="001C2314" w:rsidRDefault="00213DB3" w:rsidP="009260DE">
      <w:pPr>
        <w:tabs>
          <w:tab w:val="left" w:pos="851"/>
        </w:tabs>
        <w:ind w:left="851"/>
        <w:rPr>
          <w:sz w:val="24"/>
          <w:szCs w:val="24"/>
        </w:rPr>
      </w:pPr>
      <w:r w:rsidRPr="001C2314">
        <w:rPr>
          <w:sz w:val="24"/>
          <w:szCs w:val="24"/>
        </w:rPr>
        <w:t>69903</w:t>
      </w:r>
    </w:p>
    <w:p w14:paraId="4B2EECFA" w14:textId="77777777" w:rsidR="009260DE" w:rsidRPr="001C2314" w:rsidRDefault="009260DE" w:rsidP="009260DE">
      <w:pPr>
        <w:tabs>
          <w:tab w:val="left" w:pos="851"/>
        </w:tabs>
        <w:ind w:left="851"/>
        <w:jc w:val="both"/>
        <w:rPr>
          <w:sz w:val="24"/>
          <w:szCs w:val="24"/>
        </w:rPr>
      </w:pPr>
    </w:p>
    <w:p w14:paraId="62460158" w14:textId="77777777" w:rsidR="009260DE" w:rsidRPr="001C2314" w:rsidRDefault="009260DE" w:rsidP="009260DE">
      <w:pPr>
        <w:tabs>
          <w:tab w:val="left" w:pos="851"/>
        </w:tabs>
        <w:ind w:left="851" w:hanging="851"/>
        <w:rPr>
          <w:b/>
          <w:sz w:val="24"/>
          <w:szCs w:val="24"/>
        </w:rPr>
      </w:pPr>
      <w:r w:rsidRPr="001C2314">
        <w:rPr>
          <w:b/>
          <w:sz w:val="24"/>
          <w:szCs w:val="24"/>
        </w:rPr>
        <w:t>9.</w:t>
      </w:r>
      <w:r w:rsidRPr="001C2314">
        <w:rPr>
          <w:b/>
          <w:sz w:val="24"/>
          <w:szCs w:val="24"/>
        </w:rPr>
        <w:tab/>
        <w:t>DATO FOR FØRSTE MARKEDSFØRINGSTILLADELSE</w:t>
      </w:r>
    </w:p>
    <w:p w14:paraId="32AE7499" w14:textId="600E508B" w:rsidR="009260DE" w:rsidRPr="001C2314" w:rsidRDefault="00993EA8" w:rsidP="009260DE">
      <w:pPr>
        <w:tabs>
          <w:tab w:val="left" w:pos="851"/>
        </w:tabs>
        <w:ind w:left="851"/>
        <w:rPr>
          <w:sz w:val="24"/>
          <w:szCs w:val="24"/>
        </w:rPr>
      </w:pPr>
      <w:r>
        <w:rPr>
          <w:sz w:val="24"/>
          <w:szCs w:val="24"/>
        </w:rPr>
        <w:t>18. december 2024</w:t>
      </w:r>
    </w:p>
    <w:p w14:paraId="69BBCD13" w14:textId="77777777" w:rsidR="009260DE" w:rsidRPr="001C2314" w:rsidRDefault="009260DE" w:rsidP="009260DE">
      <w:pPr>
        <w:tabs>
          <w:tab w:val="left" w:pos="851"/>
        </w:tabs>
        <w:ind w:left="851"/>
        <w:rPr>
          <w:sz w:val="24"/>
          <w:szCs w:val="24"/>
        </w:rPr>
      </w:pPr>
    </w:p>
    <w:p w14:paraId="64B73448" w14:textId="77777777" w:rsidR="009260DE" w:rsidRPr="001C2314" w:rsidRDefault="009260DE" w:rsidP="009260DE">
      <w:pPr>
        <w:tabs>
          <w:tab w:val="left" w:pos="851"/>
        </w:tabs>
        <w:ind w:left="851" w:hanging="851"/>
        <w:rPr>
          <w:b/>
          <w:sz w:val="24"/>
          <w:szCs w:val="24"/>
        </w:rPr>
      </w:pPr>
      <w:r w:rsidRPr="001C2314">
        <w:rPr>
          <w:b/>
          <w:sz w:val="24"/>
          <w:szCs w:val="24"/>
        </w:rPr>
        <w:t>10.</w:t>
      </w:r>
      <w:r w:rsidRPr="001C2314">
        <w:rPr>
          <w:b/>
          <w:sz w:val="24"/>
          <w:szCs w:val="24"/>
        </w:rPr>
        <w:tab/>
        <w:t>DATO FOR ÆNDRING AF TEKSTEN</w:t>
      </w:r>
    </w:p>
    <w:p w14:paraId="635D9AF3" w14:textId="4FE87811" w:rsidR="009260DE" w:rsidRPr="001C2314" w:rsidRDefault="000C55C4" w:rsidP="009260DE">
      <w:pPr>
        <w:tabs>
          <w:tab w:val="left" w:pos="851"/>
        </w:tabs>
        <w:ind w:left="851"/>
        <w:rPr>
          <w:sz w:val="24"/>
          <w:szCs w:val="24"/>
        </w:rPr>
      </w:pPr>
      <w:r>
        <w:rPr>
          <w:sz w:val="24"/>
          <w:szCs w:val="24"/>
        </w:rPr>
        <w:t>3. april 2025</w:t>
      </w:r>
    </w:p>
    <w:sectPr w:rsidR="009260DE" w:rsidRPr="001C2314" w:rsidSect="000259B9">
      <w:footerReference w:type="default" r:id="rId2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7BCD2" w14:textId="77777777" w:rsidR="001C2314" w:rsidRDefault="001C2314">
      <w:r>
        <w:separator/>
      </w:r>
    </w:p>
  </w:endnote>
  <w:endnote w:type="continuationSeparator" w:id="0">
    <w:p w14:paraId="151BB7D1" w14:textId="77777777" w:rsidR="001C2314" w:rsidRDefault="001C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37268" w14:textId="77777777" w:rsidR="001C2314" w:rsidRDefault="001C2314">
    <w:pPr>
      <w:pStyle w:val="Sidefod"/>
      <w:pBdr>
        <w:bottom w:val="single" w:sz="6" w:space="1" w:color="auto"/>
      </w:pBdr>
    </w:pPr>
  </w:p>
  <w:p w14:paraId="1D08BB47" w14:textId="77777777" w:rsidR="001C2314" w:rsidRDefault="001C2314" w:rsidP="00C42586">
    <w:pPr>
      <w:pStyle w:val="Sidefod"/>
      <w:tabs>
        <w:tab w:val="clear" w:pos="4819"/>
        <w:tab w:val="left" w:pos="8505"/>
      </w:tabs>
      <w:rPr>
        <w:i/>
        <w:sz w:val="18"/>
        <w:szCs w:val="18"/>
      </w:rPr>
    </w:pPr>
  </w:p>
  <w:p w14:paraId="73054ECF" w14:textId="21928EC1" w:rsidR="001C2314" w:rsidRPr="00B373D7" w:rsidRDefault="001C231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F1ED8">
      <w:rPr>
        <w:i/>
        <w:noProof/>
        <w:sz w:val="18"/>
        <w:szCs w:val="18"/>
      </w:rPr>
      <w:t>Glycopyrronium Medical Valley, inhalationspulver, hård kapsel 44 mikrogram.docx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E15FB" w14:textId="77777777" w:rsidR="001C2314" w:rsidRDefault="001C2314">
      <w:r>
        <w:separator/>
      </w:r>
    </w:p>
  </w:footnote>
  <w:footnote w:type="continuationSeparator" w:id="0">
    <w:p w14:paraId="36EAB440" w14:textId="77777777" w:rsidR="001C2314" w:rsidRDefault="001C2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FFFFFFFF"/>
    <w:lvl w:ilvl="0">
      <w:numFmt w:val="bullet"/>
      <w:lvlText w:val=""/>
      <w:lvlJc w:val="left"/>
      <w:pPr>
        <w:ind w:left="470" w:hanging="360"/>
      </w:pPr>
      <w:rPr>
        <w:rFonts w:ascii="Symbol" w:hAnsi="Symbol"/>
        <w:b w:val="0"/>
        <w:i w:val="0"/>
        <w:w w:val="99"/>
        <w:sz w:val="20"/>
      </w:rPr>
    </w:lvl>
    <w:lvl w:ilvl="1">
      <w:numFmt w:val="bullet"/>
      <w:lvlText w:val="•"/>
      <w:lvlJc w:val="left"/>
      <w:pPr>
        <w:ind w:left="667" w:hanging="360"/>
      </w:pPr>
    </w:lvl>
    <w:lvl w:ilvl="2">
      <w:numFmt w:val="bullet"/>
      <w:lvlText w:val="•"/>
      <w:lvlJc w:val="left"/>
      <w:pPr>
        <w:ind w:left="855" w:hanging="360"/>
      </w:pPr>
    </w:lvl>
    <w:lvl w:ilvl="3">
      <w:numFmt w:val="bullet"/>
      <w:lvlText w:val="•"/>
      <w:lvlJc w:val="left"/>
      <w:pPr>
        <w:ind w:left="1042" w:hanging="360"/>
      </w:pPr>
    </w:lvl>
    <w:lvl w:ilvl="4">
      <w:numFmt w:val="bullet"/>
      <w:lvlText w:val="•"/>
      <w:lvlJc w:val="left"/>
      <w:pPr>
        <w:ind w:left="1230" w:hanging="360"/>
      </w:pPr>
    </w:lvl>
    <w:lvl w:ilvl="5">
      <w:numFmt w:val="bullet"/>
      <w:lvlText w:val="•"/>
      <w:lvlJc w:val="left"/>
      <w:pPr>
        <w:ind w:left="1417" w:hanging="360"/>
      </w:pPr>
    </w:lvl>
    <w:lvl w:ilvl="6">
      <w:numFmt w:val="bullet"/>
      <w:lvlText w:val="•"/>
      <w:lvlJc w:val="left"/>
      <w:pPr>
        <w:ind w:left="1605" w:hanging="360"/>
      </w:pPr>
    </w:lvl>
    <w:lvl w:ilvl="7">
      <w:numFmt w:val="bullet"/>
      <w:lvlText w:val="•"/>
      <w:lvlJc w:val="left"/>
      <w:pPr>
        <w:ind w:left="1792" w:hanging="360"/>
      </w:pPr>
    </w:lvl>
    <w:lvl w:ilvl="8">
      <w:numFmt w:val="bullet"/>
      <w:lvlText w:val="•"/>
      <w:lvlJc w:val="left"/>
      <w:pPr>
        <w:ind w:left="1980" w:hanging="360"/>
      </w:pPr>
    </w:lvl>
  </w:abstractNum>
  <w:abstractNum w:abstractNumId="1" w15:restartNumberingAfterBreak="0">
    <w:nsid w:val="00000405"/>
    <w:multiLevelType w:val="multilevel"/>
    <w:tmpl w:val="FFFFFFFF"/>
    <w:lvl w:ilvl="0">
      <w:numFmt w:val="bullet"/>
      <w:lvlText w:val=""/>
      <w:lvlJc w:val="left"/>
      <w:pPr>
        <w:ind w:left="279" w:hanging="171"/>
      </w:pPr>
      <w:rPr>
        <w:rFonts w:ascii="Symbol" w:hAnsi="Symbol"/>
        <w:b w:val="0"/>
        <w:i w:val="0"/>
        <w:w w:val="99"/>
        <w:sz w:val="20"/>
      </w:rPr>
    </w:lvl>
    <w:lvl w:ilvl="1">
      <w:numFmt w:val="bullet"/>
      <w:lvlText w:val="•"/>
      <w:lvlJc w:val="left"/>
      <w:pPr>
        <w:ind w:left="484" w:hanging="171"/>
      </w:pPr>
    </w:lvl>
    <w:lvl w:ilvl="2">
      <w:numFmt w:val="bullet"/>
      <w:lvlText w:val="•"/>
      <w:lvlJc w:val="left"/>
      <w:pPr>
        <w:ind w:left="689" w:hanging="171"/>
      </w:pPr>
    </w:lvl>
    <w:lvl w:ilvl="3">
      <w:numFmt w:val="bullet"/>
      <w:lvlText w:val="•"/>
      <w:lvlJc w:val="left"/>
      <w:pPr>
        <w:ind w:left="893" w:hanging="171"/>
      </w:pPr>
    </w:lvl>
    <w:lvl w:ilvl="4">
      <w:numFmt w:val="bullet"/>
      <w:lvlText w:val="•"/>
      <w:lvlJc w:val="left"/>
      <w:pPr>
        <w:ind w:left="1098" w:hanging="171"/>
      </w:pPr>
    </w:lvl>
    <w:lvl w:ilvl="5">
      <w:numFmt w:val="bullet"/>
      <w:lvlText w:val="•"/>
      <w:lvlJc w:val="left"/>
      <w:pPr>
        <w:ind w:left="1302" w:hanging="171"/>
      </w:pPr>
    </w:lvl>
    <w:lvl w:ilvl="6">
      <w:numFmt w:val="bullet"/>
      <w:lvlText w:val="•"/>
      <w:lvlJc w:val="left"/>
      <w:pPr>
        <w:ind w:left="1507" w:hanging="171"/>
      </w:pPr>
    </w:lvl>
    <w:lvl w:ilvl="7">
      <w:numFmt w:val="bullet"/>
      <w:lvlText w:val="•"/>
      <w:lvlJc w:val="left"/>
      <w:pPr>
        <w:ind w:left="1711" w:hanging="171"/>
      </w:pPr>
    </w:lvl>
    <w:lvl w:ilvl="8">
      <w:numFmt w:val="bullet"/>
      <w:lvlText w:val="•"/>
      <w:lvlJc w:val="left"/>
      <w:pPr>
        <w:ind w:left="1916" w:hanging="171"/>
      </w:pPr>
    </w:lvl>
  </w:abstractNum>
  <w:abstractNum w:abstractNumId="2" w15:restartNumberingAfterBreak="0">
    <w:nsid w:val="00000406"/>
    <w:multiLevelType w:val="multilevel"/>
    <w:tmpl w:val="FFFFFFFF"/>
    <w:lvl w:ilvl="0">
      <w:numFmt w:val="bullet"/>
      <w:lvlText w:val=""/>
      <w:lvlJc w:val="left"/>
      <w:pPr>
        <w:ind w:left="390" w:hanging="284"/>
      </w:pPr>
      <w:rPr>
        <w:rFonts w:ascii="Symbol" w:hAnsi="Symbol"/>
        <w:b w:val="0"/>
        <w:i w:val="0"/>
        <w:w w:val="99"/>
        <w:sz w:val="20"/>
      </w:rPr>
    </w:lvl>
    <w:lvl w:ilvl="1">
      <w:numFmt w:val="bullet"/>
      <w:lvlText w:val="•"/>
      <w:lvlJc w:val="left"/>
      <w:pPr>
        <w:ind w:left="804" w:hanging="284"/>
      </w:pPr>
    </w:lvl>
    <w:lvl w:ilvl="2">
      <w:numFmt w:val="bullet"/>
      <w:lvlText w:val="•"/>
      <w:lvlJc w:val="left"/>
      <w:pPr>
        <w:ind w:left="1208" w:hanging="284"/>
      </w:pPr>
    </w:lvl>
    <w:lvl w:ilvl="3">
      <w:numFmt w:val="bullet"/>
      <w:lvlText w:val="•"/>
      <w:lvlJc w:val="left"/>
      <w:pPr>
        <w:ind w:left="1612" w:hanging="284"/>
      </w:pPr>
    </w:lvl>
    <w:lvl w:ilvl="4">
      <w:numFmt w:val="bullet"/>
      <w:lvlText w:val="•"/>
      <w:lvlJc w:val="left"/>
      <w:pPr>
        <w:ind w:left="2017" w:hanging="284"/>
      </w:pPr>
    </w:lvl>
    <w:lvl w:ilvl="5">
      <w:numFmt w:val="bullet"/>
      <w:lvlText w:val="•"/>
      <w:lvlJc w:val="left"/>
      <w:pPr>
        <w:ind w:left="2421" w:hanging="284"/>
      </w:pPr>
    </w:lvl>
    <w:lvl w:ilvl="6">
      <w:numFmt w:val="bullet"/>
      <w:lvlText w:val="•"/>
      <w:lvlJc w:val="left"/>
      <w:pPr>
        <w:ind w:left="2825" w:hanging="284"/>
      </w:pPr>
    </w:lvl>
    <w:lvl w:ilvl="7">
      <w:numFmt w:val="bullet"/>
      <w:lvlText w:val="•"/>
      <w:lvlJc w:val="left"/>
      <w:pPr>
        <w:ind w:left="3230" w:hanging="284"/>
      </w:pPr>
    </w:lvl>
    <w:lvl w:ilvl="8">
      <w:numFmt w:val="bullet"/>
      <w:lvlText w:val="•"/>
      <w:lvlJc w:val="left"/>
      <w:pPr>
        <w:ind w:left="3634" w:hanging="284"/>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D925649"/>
    <w:multiLevelType w:val="hybridMultilevel"/>
    <w:tmpl w:val="ECBA6076"/>
    <w:lvl w:ilvl="0" w:tplc="E49A91EA">
      <w:start w:val="1"/>
      <w:numFmt w:val="decimal"/>
      <w:lvlText w:val="%1)"/>
      <w:lvlJc w:val="left"/>
      <w:pPr>
        <w:ind w:left="238"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1" w:tplc="3D16ED14">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2" w:tplc="C994EC04">
      <w:start w:val="1"/>
      <w:numFmt w:val="lowerRoman"/>
      <w:lvlText w:val="%3"/>
      <w:lvlJc w:val="left"/>
      <w:pPr>
        <w:ind w:left="180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3" w:tplc="111827F6">
      <w:start w:val="1"/>
      <w:numFmt w:val="decimal"/>
      <w:lvlText w:val="%4"/>
      <w:lvlJc w:val="left"/>
      <w:pPr>
        <w:ind w:left="252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4" w:tplc="8F8C6A2E">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5" w:tplc="FEE8D2EC">
      <w:start w:val="1"/>
      <w:numFmt w:val="lowerRoman"/>
      <w:lvlText w:val="%6"/>
      <w:lvlJc w:val="left"/>
      <w:pPr>
        <w:ind w:left="396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6" w:tplc="31C6E716">
      <w:start w:val="1"/>
      <w:numFmt w:val="decimal"/>
      <w:lvlText w:val="%7"/>
      <w:lvlJc w:val="left"/>
      <w:pPr>
        <w:ind w:left="468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7" w:tplc="CD9C6058">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lvl w:ilvl="8" w:tplc="74729FD6">
      <w:start w:val="1"/>
      <w:numFmt w:val="lowerRoman"/>
      <w:lvlText w:val="%9"/>
      <w:lvlJc w:val="left"/>
      <w:pPr>
        <w:ind w:left="6120" w:firstLine="0"/>
      </w:pPr>
      <w:rPr>
        <w:rFonts w:ascii="Times New Roman" w:eastAsia="Times New Roman" w:hAnsi="Times New Roman" w:cs="Times New Roman"/>
        <w:b w:val="0"/>
        <w:i/>
        <w:iCs/>
        <w:strike w:val="0"/>
        <w:dstrike w:val="0"/>
        <w:color w:val="000000"/>
        <w:sz w:val="22"/>
        <w:szCs w:val="22"/>
        <w:u w:val="none" w:color="000000"/>
        <w:effect w:val="none"/>
        <w:bdr w:val="none" w:sz="0" w:space="0" w:color="auto" w:frame="1"/>
        <w:vertAlign w:val="baseline"/>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04"/>
    <w:rsid w:val="000259B9"/>
    <w:rsid w:val="00041491"/>
    <w:rsid w:val="00050D16"/>
    <w:rsid w:val="000730CA"/>
    <w:rsid w:val="00074F2A"/>
    <w:rsid w:val="000A1CA8"/>
    <w:rsid w:val="000A466B"/>
    <w:rsid w:val="000B058C"/>
    <w:rsid w:val="000C24D0"/>
    <w:rsid w:val="000C55C4"/>
    <w:rsid w:val="000D68B0"/>
    <w:rsid w:val="000E4EE6"/>
    <w:rsid w:val="001454E2"/>
    <w:rsid w:val="001A3C71"/>
    <w:rsid w:val="001C2314"/>
    <w:rsid w:val="00206CE8"/>
    <w:rsid w:val="00213DB3"/>
    <w:rsid w:val="0021526C"/>
    <w:rsid w:val="00261A04"/>
    <w:rsid w:val="002743CF"/>
    <w:rsid w:val="00283A2B"/>
    <w:rsid w:val="002B30AD"/>
    <w:rsid w:val="002C1EC0"/>
    <w:rsid w:val="002C2C01"/>
    <w:rsid w:val="002F1ED8"/>
    <w:rsid w:val="0039180B"/>
    <w:rsid w:val="003A29AE"/>
    <w:rsid w:val="003A32D7"/>
    <w:rsid w:val="003B4074"/>
    <w:rsid w:val="003C769A"/>
    <w:rsid w:val="003D2392"/>
    <w:rsid w:val="003D3A90"/>
    <w:rsid w:val="003F1838"/>
    <w:rsid w:val="004251C1"/>
    <w:rsid w:val="00441C4B"/>
    <w:rsid w:val="0045746C"/>
    <w:rsid w:val="0049104B"/>
    <w:rsid w:val="004E3B12"/>
    <w:rsid w:val="00532310"/>
    <w:rsid w:val="00565F0F"/>
    <w:rsid w:val="00594A86"/>
    <w:rsid w:val="00596D86"/>
    <w:rsid w:val="00612FBF"/>
    <w:rsid w:val="00637F5A"/>
    <w:rsid w:val="00641C65"/>
    <w:rsid w:val="00644B42"/>
    <w:rsid w:val="006560B1"/>
    <w:rsid w:val="006756DD"/>
    <w:rsid w:val="00687E07"/>
    <w:rsid w:val="0071062A"/>
    <w:rsid w:val="0071241E"/>
    <w:rsid w:val="00737275"/>
    <w:rsid w:val="00740EEC"/>
    <w:rsid w:val="0078011A"/>
    <w:rsid w:val="00782AF4"/>
    <w:rsid w:val="00790EE7"/>
    <w:rsid w:val="007B6649"/>
    <w:rsid w:val="0082576E"/>
    <w:rsid w:val="00871D6C"/>
    <w:rsid w:val="0089346F"/>
    <w:rsid w:val="00907F75"/>
    <w:rsid w:val="009259BD"/>
    <w:rsid w:val="009260DE"/>
    <w:rsid w:val="0093258A"/>
    <w:rsid w:val="00993EA8"/>
    <w:rsid w:val="009C7BA3"/>
    <w:rsid w:val="009D1F5A"/>
    <w:rsid w:val="00A10294"/>
    <w:rsid w:val="00B003BF"/>
    <w:rsid w:val="00B022B4"/>
    <w:rsid w:val="00B373D7"/>
    <w:rsid w:val="00B46DA1"/>
    <w:rsid w:val="00B55271"/>
    <w:rsid w:val="00BD7931"/>
    <w:rsid w:val="00BF6243"/>
    <w:rsid w:val="00C36276"/>
    <w:rsid w:val="00C42586"/>
    <w:rsid w:val="00C45F6B"/>
    <w:rsid w:val="00C60CCD"/>
    <w:rsid w:val="00C84483"/>
    <w:rsid w:val="00C95551"/>
    <w:rsid w:val="00CB20D7"/>
    <w:rsid w:val="00D020B0"/>
    <w:rsid w:val="00D11748"/>
    <w:rsid w:val="00D20A8E"/>
    <w:rsid w:val="00D237F6"/>
    <w:rsid w:val="00D34D98"/>
    <w:rsid w:val="00D366CF"/>
    <w:rsid w:val="00D93992"/>
    <w:rsid w:val="00DB35E9"/>
    <w:rsid w:val="00E108AA"/>
    <w:rsid w:val="00E10DCE"/>
    <w:rsid w:val="00E3749A"/>
    <w:rsid w:val="00E7437F"/>
    <w:rsid w:val="00E865B8"/>
    <w:rsid w:val="00E90A6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8583E"/>
  <w15:chartTrackingRefBased/>
  <w15:docId w15:val="{811BE39A-115E-46FD-8C0C-CADFD436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743CF"/>
    <w:pPr>
      <w:spacing w:before="120" w:after="120"/>
      <w:jc w:val="both"/>
    </w:pPr>
    <w:rPr>
      <w:sz w:val="22"/>
      <w:lang w:val="en-US"/>
    </w:rPr>
  </w:style>
  <w:style w:type="character" w:styleId="Hyperlink">
    <w:name w:val="Hyperlink"/>
    <w:uiPriority w:val="99"/>
    <w:semiHidden/>
    <w:unhideWhenUsed/>
    <w:rsid w:val="002743CF"/>
    <w:rPr>
      <w:color w:val="0000FF"/>
      <w:u w:val="single"/>
    </w:rPr>
  </w:style>
  <w:style w:type="paragraph" w:styleId="Brdtekst">
    <w:name w:val="Body Text"/>
    <w:basedOn w:val="Normal"/>
    <w:link w:val="BrdtekstTegn"/>
    <w:uiPriority w:val="1"/>
    <w:semiHidden/>
    <w:unhideWhenUsed/>
    <w:qFormat/>
    <w:rsid w:val="00213DB3"/>
    <w:pPr>
      <w:widowControl w:val="0"/>
      <w:autoSpaceDE w:val="0"/>
      <w:autoSpaceDN w:val="0"/>
      <w:adjustRightInd w:val="0"/>
    </w:pPr>
    <w:rPr>
      <w:sz w:val="22"/>
      <w:szCs w:val="22"/>
      <w:lang w:val="en-US"/>
    </w:rPr>
  </w:style>
  <w:style w:type="character" w:customStyle="1" w:styleId="BrdtekstTegn">
    <w:name w:val="Brødtekst Tegn"/>
    <w:basedOn w:val="Standardskrifttypeiafsnit"/>
    <w:link w:val="Brdtekst"/>
    <w:uiPriority w:val="1"/>
    <w:semiHidden/>
    <w:rsid w:val="00213DB3"/>
    <w:rPr>
      <w:sz w:val="22"/>
      <w:szCs w:val="22"/>
      <w:lang w:val="en-US" w:eastAsia="en-US"/>
    </w:rPr>
  </w:style>
  <w:style w:type="paragraph" w:customStyle="1" w:styleId="TableParagraph">
    <w:name w:val="Table Paragraph"/>
    <w:basedOn w:val="Normal"/>
    <w:uiPriority w:val="1"/>
    <w:qFormat/>
    <w:rsid w:val="00213DB3"/>
    <w:pPr>
      <w:widowControl w:val="0"/>
      <w:autoSpaceDE w:val="0"/>
      <w:autoSpaceDN w:val="0"/>
      <w:adjustRightInd w:val="0"/>
    </w:pPr>
    <w:rPr>
      <w:sz w:val="24"/>
      <w:szCs w:val="24"/>
      <w:lang w:val="en-US"/>
    </w:rPr>
  </w:style>
  <w:style w:type="table" w:styleId="Tabel-Gitter">
    <w:name w:val="Table Grid"/>
    <w:basedOn w:val="Tabel-Normal"/>
    <w:uiPriority w:val="39"/>
    <w:rsid w:val="007106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896">
      <w:bodyDiv w:val="1"/>
      <w:marLeft w:val="0"/>
      <w:marRight w:val="0"/>
      <w:marTop w:val="0"/>
      <w:marBottom w:val="0"/>
      <w:divBdr>
        <w:top w:val="none" w:sz="0" w:space="0" w:color="auto"/>
        <w:left w:val="none" w:sz="0" w:space="0" w:color="auto"/>
        <w:bottom w:val="none" w:sz="0" w:space="0" w:color="auto"/>
        <w:right w:val="none" w:sz="0" w:space="0" w:color="auto"/>
      </w:divBdr>
    </w:div>
    <w:div w:id="27992853">
      <w:bodyDiv w:val="1"/>
      <w:marLeft w:val="0"/>
      <w:marRight w:val="0"/>
      <w:marTop w:val="0"/>
      <w:marBottom w:val="0"/>
      <w:divBdr>
        <w:top w:val="none" w:sz="0" w:space="0" w:color="auto"/>
        <w:left w:val="none" w:sz="0" w:space="0" w:color="auto"/>
        <w:bottom w:val="none" w:sz="0" w:space="0" w:color="auto"/>
        <w:right w:val="none" w:sz="0" w:space="0" w:color="auto"/>
      </w:divBdr>
    </w:div>
    <w:div w:id="55278293">
      <w:bodyDiv w:val="1"/>
      <w:marLeft w:val="0"/>
      <w:marRight w:val="0"/>
      <w:marTop w:val="0"/>
      <w:marBottom w:val="0"/>
      <w:divBdr>
        <w:top w:val="none" w:sz="0" w:space="0" w:color="auto"/>
        <w:left w:val="none" w:sz="0" w:space="0" w:color="auto"/>
        <w:bottom w:val="none" w:sz="0" w:space="0" w:color="auto"/>
        <w:right w:val="none" w:sz="0" w:space="0" w:color="auto"/>
      </w:divBdr>
    </w:div>
    <w:div w:id="11738163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085734">
      <w:bodyDiv w:val="1"/>
      <w:marLeft w:val="0"/>
      <w:marRight w:val="0"/>
      <w:marTop w:val="0"/>
      <w:marBottom w:val="0"/>
      <w:divBdr>
        <w:top w:val="none" w:sz="0" w:space="0" w:color="auto"/>
        <w:left w:val="none" w:sz="0" w:space="0" w:color="auto"/>
        <w:bottom w:val="none" w:sz="0" w:space="0" w:color="auto"/>
        <w:right w:val="none" w:sz="0" w:space="0" w:color="auto"/>
      </w:divBdr>
    </w:div>
    <w:div w:id="328947515">
      <w:bodyDiv w:val="1"/>
      <w:marLeft w:val="0"/>
      <w:marRight w:val="0"/>
      <w:marTop w:val="0"/>
      <w:marBottom w:val="0"/>
      <w:divBdr>
        <w:top w:val="none" w:sz="0" w:space="0" w:color="auto"/>
        <w:left w:val="none" w:sz="0" w:space="0" w:color="auto"/>
        <w:bottom w:val="none" w:sz="0" w:space="0" w:color="auto"/>
        <w:right w:val="none" w:sz="0" w:space="0" w:color="auto"/>
      </w:divBdr>
    </w:div>
    <w:div w:id="403450381">
      <w:bodyDiv w:val="1"/>
      <w:marLeft w:val="0"/>
      <w:marRight w:val="0"/>
      <w:marTop w:val="0"/>
      <w:marBottom w:val="0"/>
      <w:divBdr>
        <w:top w:val="none" w:sz="0" w:space="0" w:color="auto"/>
        <w:left w:val="none" w:sz="0" w:space="0" w:color="auto"/>
        <w:bottom w:val="none" w:sz="0" w:space="0" w:color="auto"/>
        <w:right w:val="none" w:sz="0" w:space="0" w:color="auto"/>
      </w:divBdr>
    </w:div>
    <w:div w:id="411048169">
      <w:bodyDiv w:val="1"/>
      <w:marLeft w:val="0"/>
      <w:marRight w:val="0"/>
      <w:marTop w:val="0"/>
      <w:marBottom w:val="0"/>
      <w:divBdr>
        <w:top w:val="none" w:sz="0" w:space="0" w:color="auto"/>
        <w:left w:val="none" w:sz="0" w:space="0" w:color="auto"/>
        <w:bottom w:val="none" w:sz="0" w:space="0" w:color="auto"/>
        <w:right w:val="none" w:sz="0" w:space="0" w:color="auto"/>
      </w:divBdr>
    </w:div>
    <w:div w:id="532378839">
      <w:bodyDiv w:val="1"/>
      <w:marLeft w:val="0"/>
      <w:marRight w:val="0"/>
      <w:marTop w:val="0"/>
      <w:marBottom w:val="0"/>
      <w:divBdr>
        <w:top w:val="none" w:sz="0" w:space="0" w:color="auto"/>
        <w:left w:val="none" w:sz="0" w:space="0" w:color="auto"/>
        <w:bottom w:val="none" w:sz="0" w:space="0" w:color="auto"/>
        <w:right w:val="none" w:sz="0" w:space="0" w:color="auto"/>
      </w:divBdr>
    </w:div>
    <w:div w:id="815341695">
      <w:bodyDiv w:val="1"/>
      <w:marLeft w:val="0"/>
      <w:marRight w:val="0"/>
      <w:marTop w:val="0"/>
      <w:marBottom w:val="0"/>
      <w:divBdr>
        <w:top w:val="none" w:sz="0" w:space="0" w:color="auto"/>
        <w:left w:val="none" w:sz="0" w:space="0" w:color="auto"/>
        <w:bottom w:val="none" w:sz="0" w:space="0" w:color="auto"/>
        <w:right w:val="none" w:sz="0" w:space="0" w:color="auto"/>
      </w:divBdr>
    </w:div>
    <w:div w:id="846866607">
      <w:bodyDiv w:val="1"/>
      <w:marLeft w:val="0"/>
      <w:marRight w:val="0"/>
      <w:marTop w:val="0"/>
      <w:marBottom w:val="0"/>
      <w:divBdr>
        <w:top w:val="none" w:sz="0" w:space="0" w:color="auto"/>
        <w:left w:val="none" w:sz="0" w:space="0" w:color="auto"/>
        <w:bottom w:val="none" w:sz="0" w:space="0" w:color="auto"/>
        <w:right w:val="none" w:sz="0" w:space="0" w:color="auto"/>
      </w:divBdr>
    </w:div>
    <w:div w:id="936060248">
      <w:bodyDiv w:val="1"/>
      <w:marLeft w:val="0"/>
      <w:marRight w:val="0"/>
      <w:marTop w:val="0"/>
      <w:marBottom w:val="0"/>
      <w:divBdr>
        <w:top w:val="none" w:sz="0" w:space="0" w:color="auto"/>
        <w:left w:val="none" w:sz="0" w:space="0" w:color="auto"/>
        <w:bottom w:val="none" w:sz="0" w:space="0" w:color="auto"/>
        <w:right w:val="none" w:sz="0" w:space="0" w:color="auto"/>
      </w:divBdr>
    </w:div>
    <w:div w:id="982193602">
      <w:bodyDiv w:val="1"/>
      <w:marLeft w:val="0"/>
      <w:marRight w:val="0"/>
      <w:marTop w:val="0"/>
      <w:marBottom w:val="0"/>
      <w:divBdr>
        <w:top w:val="none" w:sz="0" w:space="0" w:color="auto"/>
        <w:left w:val="none" w:sz="0" w:space="0" w:color="auto"/>
        <w:bottom w:val="none" w:sz="0" w:space="0" w:color="auto"/>
        <w:right w:val="none" w:sz="0" w:space="0" w:color="auto"/>
      </w:divBdr>
    </w:div>
    <w:div w:id="1272395705">
      <w:bodyDiv w:val="1"/>
      <w:marLeft w:val="0"/>
      <w:marRight w:val="0"/>
      <w:marTop w:val="0"/>
      <w:marBottom w:val="0"/>
      <w:divBdr>
        <w:top w:val="none" w:sz="0" w:space="0" w:color="auto"/>
        <w:left w:val="none" w:sz="0" w:space="0" w:color="auto"/>
        <w:bottom w:val="none" w:sz="0" w:space="0" w:color="auto"/>
        <w:right w:val="none" w:sz="0" w:space="0" w:color="auto"/>
      </w:divBdr>
    </w:div>
    <w:div w:id="1381905412">
      <w:bodyDiv w:val="1"/>
      <w:marLeft w:val="0"/>
      <w:marRight w:val="0"/>
      <w:marTop w:val="0"/>
      <w:marBottom w:val="0"/>
      <w:divBdr>
        <w:top w:val="none" w:sz="0" w:space="0" w:color="auto"/>
        <w:left w:val="none" w:sz="0" w:space="0" w:color="auto"/>
        <w:bottom w:val="none" w:sz="0" w:space="0" w:color="auto"/>
        <w:right w:val="none" w:sz="0" w:space="0" w:color="auto"/>
      </w:divBdr>
    </w:div>
    <w:div w:id="1386637664">
      <w:bodyDiv w:val="1"/>
      <w:marLeft w:val="0"/>
      <w:marRight w:val="0"/>
      <w:marTop w:val="0"/>
      <w:marBottom w:val="0"/>
      <w:divBdr>
        <w:top w:val="none" w:sz="0" w:space="0" w:color="auto"/>
        <w:left w:val="none" w:sz="0" w:space="0" w:color="auto"/>
        <w:bottom w:val="none" w:sz="0" w:space="0" w:color="auto"/>
        <w:right w:val="none" w:sz="0" w:space="0" w:color="auto"/>
      </w:divBdr>
    </w:div>
    <w:div w:id="1544370840">
      <w:bodyDiv w:val="1"/>
      <w:marLeft w:val="0"/>
      <w:marRight w:val="0"/>
      <w:marTop w:val="0"/>
      <w:marBottom w:val="0"/>
      <w:divBdr>
        <w:top w:val="none" w:sz="0" w:space="0" w:color="auto"/>
        <w:left w:val="none" w:sz="0" w:space="0" w:color="auto"/>
        <w:bottom w:val="none" w:sz="0" w:space="0" w:color="auto"/>
        <w:right w:val="none" w:sz="0" w:space="0" w:color="auto"/>
      </w:divBdr>
    </w:div>
    <w:div w:id="1805392680">
      <w:bodyDiv w:val="1"/>
      <w:marLeft w:val="0"/>
      <w:marRight w:val="0"/>
      <w:marTop w:val="0"/>
      <w:marBottom w:val="0"/>
      <w:divBdr>
        <w:top w:val="none" w:sz="0" w:space="0" w:color="auto"/>
        <w:left w:val="none" w:sz="0" w:space="0" w:color="auto"/>
        <w:bottom w:val="none" w:sz="0" w:space="0" w:color="auto"/>
        <w:right w:val="none" w:sz="0" w:space="0" w:color="auto"/>
      </w:divBdr>
    </w:div>
    <w:div w:id="1900676211">
      <w:bodyDiv w:val="1"/>
      <w:marLeft w:val="0"/>
      <w:marRight w:val="0"/>
      <w:marTop w:val="0"/>
      <w:marBottom w:val="0"/>
      <w:divBdr>
        <w:top w:val="none" w:sz="0" w:space="0" w:color="auto"/>
        <w:left w:val="none" w:sz="0" w:space="0" w:color="auto"/>
        <w:bottom w:val="none" w:sz="0" w:space="0" w:color="auto"/>
        <w:right w:val="none" w:sz="0" w:space="0" w:color="auto"/>
      </w:divBdr>
    </w:div>
    <w:div w:id="1998534721">
      <w:bodyDiv w:val="1"/>
      <w:marLeft w:val="0"/>
      <w:marRight w:val="0"/>
      <w:marTop w:val="0"/>
      <w:marBottom w:val="0"/>
      <w:divBdr>
        <w:top w:val="none" w:sz="0" w:space="0" w:color="auto"/>
        <w:left w:val="none" w:sz="0" w:space="0" w:color="auto"/>
        <w:bottom w:val="none" w:sz="0" w:space="0" w:color="auto"/>
        <w:right w:val="none" w:sz="0" w:space="0" w:color="auto"/>
      </w:divBdr>
    </w:div>
    <w:div w:id="2020739845">
      <w:bodyDiv w:val="1"/>
      <w:marLeft w:val="0"/>
      <w:marRight w:val="0"/>
      <w:marTop w:val="0"/>
      <w:marBottom w:val="0"/>
      <w:divBdr>
        <w:top w:val="none" w:sz="0" w:space="0" w:color="auto"/>
        <w:left w:val="none" w:sz="0" w:space="0" w:color="auto"/>
        <w:bottom w:val="none" w:sz="0" w:space="0" w:color="auto"/>
        <w:right w:val="none" w:sz="0" w:space="0" w:color="auto"/>
      </w:divBdr>
    </w:div>
    <w:div w:id="2045016930">
      <w:bodyDiv w:val="1"/>
      <w:marLeft w:val="0"/>
      <w:marRight w:val="0"/>
      <w:marTop w:val="0"/>
      <w:marBottom w:val="0"/>
      <w:divBdr>
        <w:top w:val="none" w:sz="0" w:space="0" w:color="auto"/>
        <w:left w:val="none" w:sz="0" w:space="0" w:color="auto"/>
        <w:bottom w:val="none" w:sz="0" w:space="0" w:color="auto"/>
        <w:right w:val="none" w:sz="0" w:space="0" w:color="auto"/>
      </w:divBdr>
    </w:div>
    <w:div w:id="2072726438">
      <w:bodyDiv w:val="1"/>
      <w:marLeft w:val="0"/>
      <w:marRight w:val="0"/>
      <w:marTop w:val="0"/>
      <w:marBottom w:val="0"/>
      <w:divBdr>
        <w:top w:val="none" w:sz="0" w:space="0" w:color="auto"/>
        <w:left w:val="none" w:sz="0" w:space="0" w:color="auto"/>
        <w:bottom w:val="none" w:sz="0" w:space="0" w:color="auto"/>
        <w:right w:val="none" w:sz="0" w:space="0" w:color="auto"/>
      </w:divBdr>
    </w:div>
    <w:div w:id="20978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17</Pages>
  <Words>4832</Words>
  <Characters>31211</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2024121899 pkt. 6.5</dc:description>
  <cp:lastModifiedBy>Gitte Ronnovius</cp:lastModifiedBy>
  <cp:revision>3</cp:revision>
  <cp:lastPrinted>2012-08-22T08:53:00Z</cp:lastPrinted>
  <dcterms:created xsi:type="dcterms:W3CDTF">2025-04-01T10:39:00Z</dcterms:created>
  <dcterms:modified xsi:type="dcterms:W3CDTF">2025-04-01T10:41:00Z</dcterms:modified>
</cp:coreProperties>
</file>