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9EC1E"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227DB34" wp14:editId="2E1144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124F362" w14:textId="32B126B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40540">
        <w:rPr>
          <w:szCs w:val="24"/>
        </w:rPr>
        <w:t>6. marts 2025</w:t>
      </w:r>
    </w:p>
    <w:p w14:paraId="3199EC8A" w14:textId="77777777" w:rsidR="009260DE" w:rsidRPr="00C84483" w:rsidRDefault="009260DE" w:rsidP="009260DE">
      <w:pPr>
        <w:pStyle w:val="Titel"/>
        <w:tabs>
          <w:tab w:val="left" w:pos="8222"/>
        </w:tabs>
        <w:jc w:val="left"/>
        <w:rPr>
          <w:b w:val="0"/>
          <w:szCs w:val="24"/>
        </w:rPr>
      </w:pPr>
    </w:p>
    <w:p w14:paraId="7914405F" w14:textId="77777777" w:rsidR="009260DE" w:rsidRPr="00C84483" w:rsidRDefault="009260DE" w:rsidP="009260DE">
      <w:pPr>
        <w:pStyle w:val="Titel"/>
        <w:jc w:val="left"/>
        <w:rPr>
          <w:b w:val="0"/>
          <w:szCs w:val="24"/>
        </w:rPr>
      </w:pPr>
    </w:p>
    <w:p w14:paraId="18F67F57" w14:textId="77777777" w:rsidR="009260DE" w:rsidRPr="00C84483" w:rsidRDefault="009260DE" w:rsidP="009260DE">
      <w:pPr>
        <w:pStyle w:val="Titel"/>
        <w:jc w:val="left"/>
        <w:rPr>
          <w:b w:val="0"/>
          <w:szCs w:val="24"/>
        </w:rPr>
      </w:pPr>
    </w:p>
    <w:p w14:paraId="437FE5C7" w14:textId="77777777" w:rsidR="009260DE" w:rsidRPr="00C84483" w:rsidRDefault="009260DE" w:rsidP="009260DE">
      <w:pPr>
        <w:jc w:val="center"/>
        <w:rPr>
          <w:b/>
          <w:sz w:val="24"/>
          <w:szCs w:val="24"/>
        </w:rPr>
      </w:pPr>
      <w:r w:rsidRPr="00C84483">
        <w:rPr>
          <w:b/>
          <w:sz w:val="24"/>
          <w:szCs w:val="24"/>
        </w:rPr>
        <w:t>PRODUKTRESUMÉ</w:t>
      </w:r>
    </w:p>
    <w:p w14:paraId="1C9ECD79" w14:textId="77777777" w:rsidR="009260DE" w:rsidRPr="00C84483" w:rsidRDefault="009260DE" w:rsidP="009260DE">
      <w:pPr>
        <w:jc w:val="center"/>
        <w:rPr>
          <w:b/>
          <w:sz w:val="24"/>
          <w:szCs w:val="24"/>
        </w:rPr>
      </w:pPr>
    </w:p>
    <w:p w14:paraId="133D6E0E" w14:textId="77777777" w:rsidR="009260DE" w:rsidRDefault="009260DE" w:rsidP="009260DE">
      <w:pPr>
        <w:jc w:val="center"/>
        <w:rPr>
          <w:b/>
          <w:sz w:val="24"/>
          <w:szCs w:val="24"/>
        </w:rPr>
      </w:pPr>
      <w:r w:rsidRPr="00C84483">
        <w:rPr>
          <w:b/>
          <w:sz w:val="24"/>
          <w:szCs w:val="24"/>
        </w:rPr>
        <w:t>for</w:t>
      </w:r>
    </w:p>
    <w:p w14:paraId="36B3D36C" w14:textId="77777777" w:rsidR="000B058C" w:rsidRPr="00C84483" w:rsidRDefault="000B058C" w:rsidP="009260DE">
      <w:pPr>
        <w:jc w:val="center"/>
        <w:rPr>
          <w:b/>
          <w:sz w:val="24"/>
          <w:szCs w:val="24"/>
        </w:rPr>
      </w:pPr>
    </w:p>
    <w:p w14:paraId="2BC2A2E3" w14:textId="3E3AB283" w:rsidR="009260DE" w:rsidRPr="00C84483" w:rsidRDefault="002B2434" w:rsidP="009260DE">
      <w:pPr>
        <w:jc w:val="center"/>
        <w:rPr>
          <w:b/>
          <w:sz w:val="24"/>
          <w:szCs w:val="24"/>
        </w:rPr>
      </w:pPr>
      <w:r>
        <w:rPr>
          <w:b/>
          <w:sz w:val="24"/>
          <w:szCs w:val="24"/>
        </w:rPr>
        <w:t>Glymetia</w:t>
      </w:r>
      <w:r w:rsidR="00DC6CAA">
        <w:rPr>
          <w:b/>
          <w:sz w:val="24"/>
          <w:szCs w:val="24"/>
        </w:rPr>
        <w:t>, filmovertrukne tabletter</w:t>
      </w:r>
    </w:p>
    <w:p w14:paraId="64EFB155" w14:textId="77777777" w:rsidR="009260DE" w:rsidRPr="00C84483" w:rsidRDefault="009260DE" w:rsidP="009260DE">
      <w:pPr>
        <w:jc w:val="both"/>
        <w:rPr>
          <w:sz w:val="24"/>
          <w:szCs w:val="24"/>
        </w:rPr>
      </w:pPr>
    </w:p>
    <w:p w14:paraId="5A730609" w14:textId="77777777" w:rsidR="009260DE" w:rsidRPr="00C84483" w:rsidRDefault="009260DE" w:rsidP="009260DE">
      <w:pPr>
        <w:jc w:val="both"/>
        <w:rPr>
          <w:sz w:val="24"/>
          <w:szCs w:val="24"/>
        </w:rPr>
      </w:pPr>
    </w:p>
    <w:p w14:paraId="09BB604A"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469A243" w14:textId="71AC74FC" w:rsidR="009260DE" w:rsidRPr="00C84483" w:rsidRDefault="00DC6CAA" w:rsidP="009260DE">
      <w:pPr>
        <w:tabs>
          <w:tab w:val="left" w:pos="851"/>
        </w:tabs>
        <w:ind w:left="851"/>
        <w:rPr>
          <w:sz w:val="24"/>
          <w:szCs w:val="24"/>
        </w:rPr>
      </w:pPr>
      <w:r>
        <w:rPr>
          <w:sz w:val="24"/>
          <w:szCs w:val="24"/>
        </w:rPr>
        <w:t>3358</w:t>
      </w:r>
      <w:r w:rsidR="002B2434">
        <w:rPr>
          <w:sz w:val="24"/>
          <w:szCs w:val="24"/>
        </w:rPr>
        <w:t>1</w:t>
      </w:r>
    </w:p>
    <w:p w14:paraId="1382EB10" w14:textId="77777777" w:rsidR="009260DE" w:rsidRPr="00C84483" w:rsidRDefault="009260DE" w:rsidP="009260DE">
      <w:pPr>
        <w:tabs>
          <w:tab w:val="left" w:pos="851"/>
        </w:tabs>
        <w:ind w:left="851"/>
        <w:rPr>
          <w:sz w:val="24"/>
          <w:szCs w:val="24"/>
        </w:rPr>
      </w:pPr>
    </w:p>
    <w:p w14:paraId="20808F1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EFD593C" w14:textId="49C82652" w:rsidR="009260DE" w:rsidRPr="00C84483" w:rsidRDefault="002B2434" w:rsidP="009260DE">
      <w:pPr>
        <w:tabs>
          <w:tab w:val="left" w:pos="851"/>
        </w:tabs>
        <w:ind w:left="851"/>
        <w:rPr>
          <w:sz w:val="24"/>
          <w:szCs w:val="24"/>
        </w:rPr>
      </w:pPr>
      <w:r>
        <w:rPr>
          <w:sz w:val="24"/>
          <w:szCs w:val="24"/>
        </w:rPr>
        <w:t>Glymetia</w:t>
      </w:r>
    </w:p>
    <w:p w14:paraId="58555FBC" w14:textId="77777777" w:rsidR="009260DE" w:rsidRPr="00C84483" w:rsidRDefault="009260DE" w:rsidP="009260DE">
      <w:pPr>
        <w:tabs>
          <w:tab w:val="left" w:pos="851"/>
        </w:tabs>
        <w:ind w:left="851"/>
        <w:rPr>
          <w:sz w:val="24"/>
          <w:szCs w:val="24"/>
        </w:rPr>
      </w:pPr>
    </w:p>
    <w:p w14:paraId="5E46A2C3"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018A121" w14:textId="77777777" w:rsidR="007C3B21" w:rsidRDefault="007C3B21" w:rsidP="007C3B21">
      <w:pPr>
        <w:pStyle w:val="Brdtekst"/>
        <w:ind w:left="851"/>
        <w:rPr>
          <w:sz w:val="24"/>
          <w:szCs w:val="24"/>
          <w:u w:val="single"/>
          <w:lang w:val="da-DK"/>
        </w:rPr>
      </w:pPr>
    </w:p>
    <w:p w14:paraId="7AE0A5A8" w14:textId="39818C9C" w:rsidR="00DC6CAA" w:rsidRDefault="002B2434" w:rsidP="007C3B21">
      <w:pPr>
        <w:pStyle w:val="Brdtekst"/>
        <w:ind w:left="851"/>
        <w:rPr>
          <w:sz w:val="24"/>
          <w:szCs w:val="24"/>
          <w:lang w:val="da-DK"/>
        </w:rPr>
      </w:pPr>
      <w:r>
        <w:rPr>
          <w:sz w:val="24"/>
          <w:szCs w:val="24"/>
          <w:u w:val="single"/>
          <w:lang w:val="da-DK"/>
        </w:rPr>
        <w:t>Glymetia</w:t>
      </w:r>
      <w:r w:rsidR="00DC6CAA">
        <w:rPr>
          <w:sz w:val="24"/>
          <w:szCs w:val="24"/>
          <w:u w:val="single"/>
          <w:lang w:val="da-DK"/>
        </w:rPr>
        <w:t xml:space="preserve"> 2,5 mg/850 mg filmovertrukne tabletter</w:t>
      </w:r>
    </w:p>
    <w:p w14:paraId="1740194B" w14:textId="77777777" w:rsidR="00DC6CAA" w:rsidRDefault="00DC6CAA" w:rsidP="007C3B21">
      <w:pPr>
        <w:pStyle w:val="Brdtekst"/>
        <w:ind w:left="851"/>
        <w:rPr>
          <w:sz w:val="24"/>
          <w:szCs w:val="24"/>
          <w:lang w:val="da-DK"/>
        </w:rPr>
      </w:pPr>
      <w:r>
        <w:rPr>
          <w:sz w:val="24"/>
          <w:szCs w:val="24"/>
          <w:lang w:val="da-DK"/>
        </w:rPr>
        <w:t>Hver tablet indeholder 2,5 mg linagliptin og 850 mg metforminhydrochlorid.</w:t>
      </w:r>
    </w:p>
    <w:p w14:paraId="1116FE15" w14:textId="77777777" w:rsidR="00DC6CAA" w:rsidRDefault="00DC6CAA" w:rsidP="007C3B21">
      <w:pPr>
        <w:pStyle w:val="Brdtekst"/>
        <w:ind w:left="851"/>
        <w:rPr>
          <w:sz w:val="24"/>
          <w:szCs w:val="24"/>
          <w:lang w:val="da-DK"/>
        </w:rPr>
      </w:pPr>
    </w:p>
    <w:p w14:paraId="3A1E2912" w14:textId="27050755" w:rsidR="00DC6CAA" w:rsidRDefault="002B2434" w:rsidP="007C3B21">
      <w:pPr>
        <w:pStyle w:val="Brdtekst"/>
        <w:ind w:left="851"/>
        <w:rPr>
          <w:sz w:val="24"/>
          <w:szCs w:val="24"/>
          <w:lang w:val="da-DK"/>
        </w:rPr>
      </w:pPr>
      <w:r>
        <w:rPr>
          <w:sz w:val="24"/>
          <w:szCs w:val="24"/>
          <w:u w:val="single"/>
          <w:lang w:val="da-DK"/>
        </w:rPr>
        <w:t>Glymetia</w:t>
      </w:r>
      <w:r w:rsidR="00DC6CAA">
        <w:rPr>
          <w:sz w:val="24"/>
          <w:szCs w:val="24"/>
          <w:u w:val="single"/>
          <w:lang w:val="da-DK"/>
        </w:rPr>
        <w:t xml:space="preserve"> 2,5 mg/1 000 mg filmovertrukne tabletter</w:t>
      </w:r>
    </w:p>
    <w:p w14:paraId="321A6F48" w14:textId="77777777" w:rsidR="00DC6CAA" w:rsidRDefault="00DC6CAA" w:rsidP="007C3B21">
      <w:pPr>
        <w:pStyle w:val="Brdtekst"/>
        <w:ind w:left="851"/>
        <w:rPr>
          <w:sz w:val="24"/>
          <w:szCs w:val="24"/>
          <w:lang w:val="da-DK"/>
        </w:rPr>
      </w:pPr>
      <w:r>
        <w:rPr>
          <w:sz w:val="24"/>
          <w:szCs w:val="24"/>
          <w:lang w:val="da-DK"/>
        </w:rPr>
        <w:t>Hver tablet indeholder 2,5 mg linagliptin og 1 000 mg metforminhydrochlorid.</w:t>
      </w:r>
    </w:p>
    <w:p w14:paraId="3B2BEB88" w14:textId="77777777" w:rsidR="00DC6CAA" w:rsidRDefault="00DC6CAA" w:rsidP="007C3B21">
      <w:pPr>
        <w:pStyle w:val="Brdtekst"/>
        <w:ind w:left="851"/>
        <w:rPr>
          <w:sz w:val="24"/>
          <w:szCs w:val="24"/>
          <w:lang w:val="da-DK"/>
        </w:rPr>
      </w:pPr>
    </w:p>
    <w:p w14:paraId="1EF79A19" w14:textId="77777777" w:rsidR="00DC6CAA" w:rsidRDefault="00DC6CAA" w:rsidP="00DC6CAA">
      <w:pPr>
        <w:pStyle w:val="Brdtekst"/>
        <w:ind w:left="851"/>
        <w:rPr>
          <w:lang w:val="da-DK"/>
        </w:rPr>
      </w:pPr>
      <w:r>
        <w:rPr>
          <w:sz w:val="24"/>
          <w:szCs w:val="24"/>
          <w:lang w:val="da-DK"/>
        </w:rPr>
        <w:t>Alle hjælpestoffer er anført under pkt. 6.1.</w:t>
      </w:r>
    </w:p>
    <w:p w14:paraId="40A386F6" w14:textId="77777777" w:rsidR="009260DE" w:rsidRPr="00C84483" w:rsidRDefault="009260DE" w:rsidP="009260DE">
      <w:pPr>
        <w:tabs>
          <w:tab w:val="left" w:pos="851"/>
        </w:tabs>
        <w:ind w:left="851"/>
        <w:rPr>
          <w:sz w:val="24"/>
          <w:szCs w:val="24"/>
        </w:rPr>
      </w:pPr>
    </w:p>
    <w:p w14:paraId="5C7D66A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712959F" w14:textId="77777777" w:rsidR="00DC6CAA" w:rsidRDefault="00DC6CAA" w:rsidP="00DC6CAA">
      <w:pPr>
        <w:pStyle w:val="Brdtekst"/>
        <w:ind w:left="851"/>
        <w:rPr>
          <w:sz w:val="24"/>
          <w:szCs w:val="24"/>
          <w:lang w:val="da-DK"/>
        </w:rPr>
      </w:pPr>
      <w:r>
        <w:rPr>
          <w:sz w:val="24"/>
          <w:szCs w:val="24"/>
          <w:lang w:val="da-DK"/>
        </w:rPr>
        <w:t>Filmovertrukket tablet (tablet)</w:t>
      </w:r>
    </w:p>
    <w:p w14:paraId="4F02DB6A" w14:textId="77777777" w:rsidR="00DC6CAA" w:rsidRDefault="00DC6CAA" w:rsidP="007C3B21">
      <w:pPr>
        <w:pStyle w:val="Brdtekst"/>
        <w:ind w:left="851"/>
        <w:rPr>
          <w:sz w:val="24"/>
          <w:szCs w:val="24"/>
          <w:lang w:val="da-DK"/>
        </w:rPr>
      </w:pPr>
    </w:p>
    <w:p w14:paraId="3BA84581" w14:textId="4EAAC5FC" w:rsidR="00DC6CAA" w:rsidRDefault="002B2434" w:rsidP="007C3B21">
      <w:pPr>
        <w:pStyle w:val="Brdtekst"/>
        <w:ind w:left="851"/>
        <w:rPr>
          <w:sz w:val="24"/>
          <w:szCs w:val="24"/>
          <w:lang w:val="da-DK"/>
        </w:rPr>
      </w:pPr>
      <w:r>
        <w:rPr>
          <w:sz w:val="24"/>
          <w:szCs w:val="24"/>
          <w:u w:val="single"/>
          <w:lang w:val="da-DK"/>
        </w:rPr>
        <w:t>Glymetia</w:t>
      </w:r>
      <w:r w:rsidR="00DC6CAA">
        <w:rPr>
          <w:sz w:val="24"/>
          <w:szCs w:val="24"/>
          <w:u w:val="single"/>
          <w:lang w:val="da-DK"/>
        </w:rPr>
        <w:t xml:space="preserve"> 2,5 mg/850 mg filmovertrukne tabletter</w:t>
      </w:r>
    </w:p>
    <w:p w14:paraId="417F3117" w14:textId="637F52DC" w:rsidR="00DC6CAA" w:rsidRDefault="00DC6CAA" w:rsidP="007C3B21">
      <w:pPr>
        <w:pStyle w:val="Brdtekst"/>
        <w:ind w:left="851"/>
        <w:rPr>
          <w:sz w:val="24"/>
          <w:szCs w:val="24"/>
          <w:lang w:val="da-DK"/>
        </w:rPr>
      </w:pPr>
      <w:r>
        <w:rPr>
          <w:sz w:val="24"/>
          <w:szCs w:val="24"/>
          <w:lang w:val="da-DK"/>
        </w:rPr>
        <w:t xml:space="preserve">Lysorange, ovale, bikonvekse, filmovertrukne tabletter, uden print på begge sider, på cirka 19.2 mm </w:t>
      </w:r>
      <w:r w:rsidR="00312252">
        <w:rPr>
          <w:sz w:val="24"/>
          <w:szCs w:val="24"/>
          <w:lang w:val="da-DK"/>
        </w:rPr>
        <w:t>×</w:t>
      </w:r>
      <w:r>
        <w:rPr>
          <w:sz w:val="24"/>
          <w:szCs w:val="24"/>
          <w:lang w:val="da-DK"/>
        </w:rPr>
        <w:t xml:space="preserve"> 9.4 mm.</w:t>
      </w:r>
    </w:p>
    <w:p w14:paraId="478B2748" w14:textId="77777777" w:rsidR="00DC6CAA" w:rsidRDefault="00DC6CAA" w:rsidP="007C3B21">
      <w:pPr>
        <w:pStyle w:val="Brdtekst"/>
        <w:ind w:left="851"/>
        <w:rPr>
          <w:sz w:val="24"/>
          <w:szCs w:val="24"/>
          <w:lang w:val="da-DK"/>
        </w:rPr>
      </w:pPr>
    </w:p>
    <w:p w14:paraId="406ECC86" w14:textId="53F04B03" w:rsidR="00DC6CAA" w:rsidRDefault="002B2434" w:rsidP="007C3B21">
      <w:pPr>
        <w:pStyle w:val="Brdtekst"/>
        <w:ind w:left="851"/>
        <w:rPr>
          <w:sz w:val="24"/>
          <w:szCs w:val="24"/>
          <w:lang w:val="da-DK"/>
        </w:rPr>
      </w:pPr>
      <w:r>
        <w:rPr>
          <w:sz w:val="24"/>
          <w:szCs w:val="24"/>
          <w:u w:val="single"/>
          <w:lang w:val="da-DK"/>
        </w:rPr>
        <w:t>Glymetia</w:t>
      </w:r>
      <w:r w:rsidR="00DC6CAA">
        <w:rPr>
          <w:sz w:val="24"/>
          <w:szCs w:val="24"/>
          <w:u w:val="single"/>
          <w:lang w:val="da-DK"/>
        </w:rPr>
        <w:t xml:space="preserve"> 2,5 mg/1 000 mg filmovertrukne tabletter</w:t>
      </w:r>
    </w:p>
    <w:p w14:paraId="75A90293" w14:textId="3C19E676" w:rsidR="00DC6CAA" w:rsidRDefault="00DC6CAA" w:rsidP="007C3B21">
      <w:pPr>
        <w:pStyle w:val="Brdtekst"/>
        <w:ind w:left="851"/>
        <w:rPr>
          <w:lang w:val="da-DK"/>
        </w:rPr>
      </w:pPr>
      <w:r>
        <w:rPr>
          <w:sz w:val="24"/>
          <w:szCs w:val="24"/>
          <w:lang w:val="da-DK"/>
        </w:rPr>
        <w:t xml:space="preserve">Lyserøde, ovale, bikonvekse, filmovertrukne tabletter, uden print på begge sider, på cirka 20.4 mm </w:t>
      </w:r>
      <w:r w:rsidR="00312252">
        <w:rPr>
          <w:sz w:val="24"/>
          <w:szCs w:val="24"/>
          <w:lang w:val="da-DK"/>
        </w:rPr>
        <w:t>×</w:t>
      </w:r>
      <w:r>
        <w:rPr>
          <w:sz w:val="24"/>
          <w:szCs w:val="24"/>
          <w:lang w:val="da-DK"/>
        </w:rPr>
        <w:t xml:space="preserve"> 9.7 mm.</w:t>
      </w:r>
    </w:p>
    <w:p w14:paraId="42C60069" w14:textId="77777777" w:rsidR="009260DE" w:rsidRPr="00C84483" w:rsidRDefault="009260DE" w:rsidP="009260DE">
      <w:pPr>
        <w:tabs>
          <w:tab w:val="left" w:pos="851"/>
        </w:tabs>
        <w:ind w:left="851"/>
        <w:rPr>
          <w:sz w:val="24"/>
          <w:szCs w:val="24"/>
        </w:rPr>
      </w:pPr>
    </w:p>
    <w:p w14:paraId="410A917D" w14:textId="77777777" w:rsidR="009260DE" w:rsidRPr="00C84483" w:rsidRDefault="009260DE" w:rsidP="009260DE">
      <w:pPr>
        <w:tabs>
          <w:tab w:val="left" w:pos="851"/>
        </w:tabs>
        <w:ind w:left="851"/>
        <w:rPr>
          <w:sz w:val="24"/>
          <w:szCs w:val="24"/>
        </w:rPr>
      </w:pPr>
    </w:p>
    <w:p w14:paraId="4D7C3DF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2628A4B" w14:textId="77777777" w:rsidR="009260DE" w:rsidRPr="00C84483" w:rsidRDefault="009260DE" w:rsidP="009260DE">
      <w:pPr>
        <w:tabs>
          <w:tab w:val="left" w:pos="851"/>
        </w:tabs>
        <w:ind w:left="851"/>
        <w:rPr>
          <w:b/>
          <w:sz w:val="24"/>
          <w:szCs w:val="24"/>
        </w:rPr>
      </w:pPr>
    </w:p>
    <w:p w14:paraId="09603D5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2F86C78" w14:textId="2F5398BC" w:rsidR="00DC6CAA" w:rsidRDefault="002B2434" w:rsidP="00DC6CAA">
      <w:pPr>
        <w:pStyle w:val="Brdtekst"/>
        <w:ind w:left="851"/>
        <w:rPr>
          <w:sz w:val="24"/>
          <w:szCs w:val="24"/>
          <w:lang w:val="da-DK"/>
        </w:rPr>
      </w:pPr>
      <w:r>
        <w:rPr>
          <w:sz w:val="24"/>
          <w:szCs w:val="24"/>
          <w:lang w:val="da-DK"/>
        </w:rPr>
        <w:t>Glymetia</w:t>
      </w:r>
      <w:r w:rsidR="00DC6CAA">
        <w:rPr>
          <w:sz w:val="24"/>
          <w:szCs w:val="24"/>
          <w:lang w:val="da-DK"/>
        </w:rPr>
        <w:t xml:space="preserve"> er indiceret til behandling af voksne med type 2-diabetes mellitus som tillæg til diæt og motion for at forbedre den glykæmiske kontrol:</w:t>
      </w:r>
    </w:p>
    <w:p w14:paraId="5F6603A5" w14:textId="77777777" w:rsidR="00DC6CAA" w:rsidRDefault="00DC6CAA" w:rsidP="00DC6CAA">
      <w:pPr>
        <w:pStyle w:val="Listeafsnit"/>
        <w:numPr>
          <w:ilvl w:val="0"/>
          <w:numId w:val="6"/>
        </w:numPr>
        <w:tabs>
          <w:tab w:val="left" w:pos="785"/>
        </w:tabs>
        <w:spacing w:line="240" w:lineRule="auto"/>
        <w:ind w:left="1417"/>
        <w:rPr>
          <w:sz w:val="24"/>
          <w:szCs w:val="24"/>
          <w:lang w:val="da-DK"/>
        </w:rPr>
      </w:pPr>
      <w:r>
        <w:rPr>
          <w:sz w:val="24"/>
          <w:szCs w:val="24"/>
          <w:lang w:val="da-DK"/>
        </w:rPr>
        <w:t>hos patienter, der ikke er tilstrækkeligt kontrolleret på den maksimalt tolererede dosis metformin</w:t>
      </w:r>
      <w:r>
        <w:rPr>
          <w:spacing w:val="-2"/>
          <w:sz w:val="24"/>
          <w:szCs w:val="24"/>
          <w:lang w:val="da-DK"/>
        </w:rPr>
        <w:t xml:space="preserve"> </w:t>
      </w:r>
      <w:r>
        <w:rPr>
          <w:sz w:val="24"/>
          <w:szCs w:val="24"/>
          <w:lang w:val="da-DK"/>
        </w:rPr>
        <w:t>alene</w:t>
      </w:r>
    </w:p>
    <w:p w14:paraId="67A6B8CA" w14:textId="77777777" w:rsidR="00DC6CAA" w:rsidRDefault="00DC6CAA" w:rsidP="00DC6CAA">
      <w:pPr>
        <w:pStyle w:val="Listeafsnit"/>
        <w:numPr>
          <w:ilvl w:val="0"/>
          <w:numId w:val="6"/>
        </w:numPr>
        <w:tabs>
          <w:tab w:val="left" w:pos="785"/>
        </w:tabs>
        <w:spacing w:line="240" w:lineRule="auto"/>
        <w:ind w:left="1417"/>
        <w:rPr>
          <w:sz w:val="24"/>
          <w:szCs w:val="24"/>
          <w:lang w:val="da-DK"/>
        </w:rPr>
      </w:pPr>
      <w:r>
        <w:rPr>
          <w:sz w:val="24"/>
          <w:szCs w:val="24"/>
          <w:lang w:val="da-DK"/>
        </w:rPr>
        <w:lastRenderedPageBreak/>
        <w:t>i kombination med andre antidiabetika, herunder insulin, hos patienter, der ikke er tilstrækkeligt kontrolleret på metformin og disse</w:t>
      </w:r>
      <w:r>
        <w:rPr>
          <w:spacing w:val="-7"/>
          <w:sz w:val="24"/>
          <w:szCs w:val="24"/>
          <w:lang w:val="da-DK"/>
        </w:rPr>
        <w:t xml:space="preserve"> </w:t>
      </w:r>
      <w:r>
        <w:rPr>
          <w:sz w:val="24"/>
          <w:szCs w:val="24"/>
          <w:lang w:val="da-DK"/>
        </w:rPr>
        <w:t>lægemidler</w:t>
      </w:r>
    </w:p>
    <w:p w14:paraId="020C1426" w14:textId="77777777" w:rsidR="00DC6CAA" w:rsidRDefault="00DC6CAA" w:rsidP="00DC6CAA">
      <w:pPr>
        <w:pStyle w:val="Listeafsnit"/>
        <w:numPr>
          <w:ilvl w:val="0"/>
          <w:numId w:val="6"/>
        </w:numPr>
        <w:tabs>
          <w:tab w:val="left" w:pos="785"/>
        </w:tabs>
        <w:spacing w:line="240" w:lineRule="auto"/>
        <w:ind w:left="1417"/>
        <w:rPr>
          <w:sz w:val="24"/>
          <w:szCs w:val="24"/>
          <w:lang w:val="da-DK"/>
        </w:rPr>
      </w:pPr>
      <w:r>
        <w:rPr>
          <w:sz w:val="24"/>
          <w:szCs w:val="24"/>
          <w:lang w:val="da-DK"/>
        </w:rPr>
        <w:t>hos patienter, der allerede er i behandling med en kombination af linagliptin og metformin som særskilte</w:t>
      </w:r>
      <w:r>
        <w:rPr>
          <w:spacing w:val="-3"/>
          <w:sz w:val="24"/>
          <w:szCs w:val="24"/>
          <w:lang w:val="da-DK"/>
        </w:rPr>
        <w:t xml:space="preserve"> </w:t>
      </w:r>
      <w:r>
        <w:rPr>
          <w:sz w:val="24"/>
          <w:szCs w:val="24"/>
          <w:lang w:val="da-DK"/>
        </w:rPr>
        <w:t>tabletter.</w:t>
      </w:r>
    </w:p>
    <w:p w14:paraId="246DA576" w14:textId="77777777" w:rsidR="00DC6CAA" w:rsidRDefault="00DC6CAA" w:rsidP="00DC6CAA">
      <w:pPr>
        <w:pStyle w:val="Brdtekst"/>
        <w:ind w:left="851"/>
        <w:rPr>
          <w:lang w:val="da-DK"/>
        </w:rPr>
      </w:pPr>
      <w:r>
        <w:rPr>
          <w:sz w:val="24"/>
          <w:szCs w:val="24"/>
          <w:lang w:val="da-DK"/>
        </w:rPr>
        <w:t>(se pkt. 4.4, 4.5 og 5.1 for tilgængelige oplysninger om forskellige kombinationer).</w:t>
      </w:r>
    </w:p>
    <w:p w14:paraId="4F9E30EA" w14:textId="77777777" w:rsidR="009260DE" w:rsidRPr="00C84483" w:rsidRDefault="009260DE" w:rsidP="009260DE">
      <w:pPr>
        <w:tabs>
          <w:tab w:val="left" w:pos="851"/>
        </w:tabs>
        <w:ind w:left="851"/>
        <w:rPr>
          <w:sz w:val="24"/>
          <w:szCs w:val="24"/>
        </w:rPr>
      </w:pPr>
    </w:p>
    <w:p w14:paraId="02C76497"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668D9A5" w14:textId="77777777" w:rsidR="007C3B21" w:rsidRDefault="007C3B21" w:rsidP="00DC6CAA">
      <w:pPr>
        <w:pStyle w:val="Brdtekst"/>
        <w:ind w:left="851"/>
        <w:rPr>
          <w:sz w:val="24"/>
          <w:szCs w:val="24"/>
          <w:u w:val="single"/>
          <w:lang w:val="da-DK"/>
        </w:rPr>
      </w:pPr>
    </w:p>
    <w:p w14:paraId="7BCAECCE" w14:textId="2BEA4BC0" w:rsidR="00DC6CAA" w:rsidRDefault="00DC6CAA" w:rsidP="007C3B21">
      <w:pPr>
        <w:pStyle w:val="Brdtekst"/>
        <w:ind w:left="851"/>
        <w:rPr>
          <w:sz w:val="24"/>
          <w:szCs w:val="24"/>
          <w:lang w:val="da-DK"/>
        </w:rPr>
      </w:pPr>
      <w:r>
        <w:rPr>
          <w:sz w:val="24"/>
          <w:szCs w:val="24"/>
          <w:u w:val="single"/>
          <w:lang w:val="da-DK"/>
        </w:rPr>
        <w:t>Dosering</w:t>
      </w:r>
    </w:p>
    <w:p w14:paraId="32EB86E2" w14:textId="77777777" w:rsidR="00DC6CAA" w:rsidRDefault="00DC6CAA" w:rsidP="007C3B21">
      <w:pPr>
        <w:ind w:left="851"/>
        <w:rPr>
          <w:i/>
          <w:sz w:val="24"/>
          <w:szCs w:val="24"/>
        </w:rPr>
      </w:pPr>
      <w:r>
        <w:rPr>
          <w:i/>
          <w:sz w:val="24"/>
          <w:szCs w:val="24"/>
        </w:rPr>
        <w:t>Voksne med normal nyrefunktion (GFR ≥ 90 mL/min)</w:t>
      </w:r>
    </w:p>
    <w:p w14:paraId="10A2633F" w14:textId="54593D2F" w:rsidR="00DC6CAA" w:rsidRDefault="00DC6CAA" w:rsidP="007C3B21">
      <w:pPr>
        <w:pStyle w:val="Brdtekst"/>
        <w:ind w:left="851"/>
        <w:rPr>
          <w:sz w:val="24"/>
          <w:szCs w:val="24"/>
          <w:lang w:val="da-DK"/>
        </w:rPr>
      </w:pPr>
      <w:r>
        <w:rPr>
          <w:sz w:val="24"/>
          <w:szCs w:val="24"/>
          <w:lang w:val="da-DK"/>
        </w:rPr>
        <w:t xml:space="preserve">Doseringen af antihyperglykæmisk behandling med </w:t>
      </w:r>
      <w:r w:rsidR="002B2434">
        <w:rPr>
          <w:sz w:val="24"/>
          <w:szCs w:val="24"/>
          <w:lang w:val="da-DK"/>
        </w:rPr>
        <w:t>Glymetia</w:t>
      </w:r>
      <w:r>
        <w:rPr>
          <w:sz w:val="24"/>
          <w:szCs w:val="24"/>
          <w:lang w:val="da-DK"/>
        </w:rPr>
        <w:t xml:space="preserve"> bør tilpasses individuelt på basis af patientens aktuelle regime, virkning og tolerabilitet, uden at overskride den maksimalte anbefalede daglige dosis på 5 mg linagliptin plus 2 000 mg metformin</w:t>
      </w:r>
      <w:r w:rsidR="007539F7">
        <w:rPr>
          <w:sz w:val="24"/>
          <w:szCs w:val="24"/>
          <w:lang w:val="da-DK"/>
        </w:rPr>
        <w:softHyphen/>
      </w:r>
      <w:r>
        <w:rPr>
          <w:sz w:val="24"/>
          <w:szCs w:val="24"/>
          <w:lang w:val="da-DK"/>
        </w:rPr>
        <w:t>hydrochlorid.</w:t>
      </w:r>
    </w:p>
    <w:p w14:paraId="40C624E1" w14:textId="77777777" w:rsidR="00DC6CAA" w:rsidRDefault="00DC6CAA" w:rsidP="007C3B21">
      <w:pPr>
        <w:pStyle w:val="Brdtekst"/>
        <w:ind w:left="851"/>
        <w:rPr>
          <w:sz w:val="24"/>
          <w:szCs w:val="24"/>
          <w:lang w:val="da-DK"/>
        </w:rPr>
      </w:pPr>
    </w:p>
    <w:p w14:paraId="0C81A009" w14:textId="77777777" w:rsidR="00DC6CAA" w:rsidRDefault="00DC6CAA" w:rsidP="007C3B21">
      <w:pPr>
        <w:ind w:left="851"/>
        <w:rPr>
          <w:i/>
          <w:sz w:val="24"/>
          <w:szCs w:val="24"/>
        </w:rPr>
      </w:pPr>
      <w:r>
        <w:rPr>
          <w:i/>
          <w:sz w:val="24"/>
          <w:szCs w:val="24"/>
        </w:rPr>
        <w:t>Patienter, der ikke er tilstrækkeligt kontrolleret på maksimal, tolereret dosis af metformin som monoterapi</w:t>
      </w:r>
    </w:p>
    <w:p w14:paraId="63E53A01" w14:textId="0597CD75" w:rsidR="00DC6CAA" w:rsidRDefault="00DC6CAA" w:rsidP="007C3B21">
      <w:pPr>
        <w:pStyle w:val="Brdtekst"/>
        <w:ind w:left="851"/>
        <w:rPr>
          <w:sz w:val="24"/>
          <w:szCs w:val="24"/>
          <w:lang w:val="da-DK"/>
        </w:rPr>
      </w:pPr>
      <w:r>
        <w:rPr>
          <w:sz w:val="24"/>
          <w:szCs w:val="24"/>
          <w:lang w:val="da-DK"/>
        </w:rPr>
        <w:t xml:space="preserve">Til patienter, der ikke er tilstrækkeligt kontrolleret på metformin alene, bør den normale startdosis for </w:t>
      </w:r>
      <w:r w:rsidR="002B2434">
        <w:rPr>
          <w:sz w:val="24"/>
          <w:szCs w:val="24"/>
          <w:lang w:val="da-DK"/>
        </w:rPr>
        <w:t>Glymetia</w:t>
      </w:r>
      <w:r>
        <w:rPr>
          <w:sz w:val="24"/>
          <w:szCs w:val="24"/>
          <w:lang w:val="da-DK"/>
        </w:rPr>
        <w:t xml:space="preserve"> være 2,5 mg linagliptin 2 gange dagligt (5 mg i alt pr. dag) plus den dosis metformin, som allerede tages.</w:t>
      </w:r>
    </w:p>
    <w:p w14:paraId="6BEF362A" w14:textId="77777777" w:rsidR="00DC6CAA" w:rsidRDefault="00DC6CAA" w:rsidP="007C3B21">
      <w:pPr>
        <w:pStyle w:val="Brdtekst"/>
        <w:ind w:left="851"/>
        <w:rPr>
          <w:sz w:val="24"/>
          <w:szCs w:val="24"/>
          <w:lang w:val="da-DK"/>
        </w:rPr>
      </w:pPr>
    </w:p>
    <w:p w14:paraId="52FDE87C" w14:textId="77777777" w:rsidR="00DC6CAA" w:rsidRDefault="00DC6CAA" w:rsidP="007C3B21">
      <w:pPr>
        <w:pStyle w:val="Brdtekst"/>
        <w:ind w:left="851"/>
        <w:rPr>
          <w:i/>
          <w:sz w:val="24"/>
          <w:szCs w:val="24"/>
          <w:lang w:val="da-DK"/>
        </w:rPr>
      </w:pPr>
      <w:r>
        <w:rPr>
          <w:i/>
          <w:sz w:val="24"/>
          <w:szCs w:val="24"/>
          <w:lang w:val="da-DK"/>
        </w:rPr>
        <w:t>Patienter, der skifter fra samtidig administration af linagliptin og metformin</w:t>
      </w:r>
    </w:p>
    <w:p w14:paraId="71CCC75E" w14:textId="5C75C779" w:rsidR="00DC6CAA" w:rsidRDefault="00DC6CAA" w:rsidP="007C3B21">
      <w:pPr>
        <w:pStyle w:val="Brdtekst"/>
        <w:ind w:left="851"/>
        <w:rPr>
          <w:sz w:val="24"/>
          <w:szCs w:val="24"/>
          <w:lang w:val="da-DK"/>
        </w:rPr>
      </w:pPr>
      <w:r>
        <w:rPr>
          <w:sz w:val="24"/>
          <w:szCs w:val="24"/>
          <w:lang w:val="da-DK"/>
        </w:rPr>
        <w:t xml:space="preserve">Hos patienter, der skifter fra samtidig administration af linagliptin og metformin, bør </w:t>
      </w:r>
      <w:r w:rsidR="002B2434">
        <w:rPr>
          <w:sz w:val="24"/>
          <w:szCs w:val="24"/>
          <w:lang w:val="da-DK"/>
        </w:rPr>
        <w:t>Glymetia</w:t>
      </w:r>
      <w:r>
        <w:rPr>
          <w:sz w:val="24"/>
          <w:szCs w:val="24"/>
          <w:lang w:val="da-DK"/>
        </w:rPr>
        <w:t xml:space="preserve"> initieres med den dosis af linagliptin og metformin, der allerede tages.</w:t>
      </w:r>
    </w:p>
    <w:p w14:paraId="580957AF" w14:textId="77777777" w:rsidR="00DC6CAA" w:rsidRDefault="00DC6CAA" w:rsidP="007C3B21">
      <w:pPr>
        <w:pStyle w:val="Brdtekst"/>
        <w:ind w:left="851"/>
        <w:rPr>
          <w:sz w:val="24"/>
          <w:szCs w:val="24"/>
          <w:lang w:val="da-DK"/>
        </w:rPr>
      </w:pPr>
    </w:p>
    <w:p w14:paraId="7975BC32" w14:textId="77777777" w:rsidR="00DC6CAA" w:rsidRDefault="00DC6CAA" w:rsidP="007C3B21">
      <w:pPr>
        <w:ind w:left="851"/>
        <w:rPr>
          <w:i/>
          <w:sz w:val="24"/>
          <w:szCs w:val="24"/>
        </w:rPr>
      </w:pPr>
      <w:r>
        <w:rPr>
          <w:i/>
          <w:sz w:val="24"/>
          <w:szCs w:val="24"/>
        </w:rPr>
        <w:t>Patienter, der ikke er tilstrækkeligt kontrolleret på dobbel kombinationsbehandling med den maksimalt tolererede dosis af metformin og et sulfonylurinstof</w:t>
      </w:r>
    </w:p>
    <w:p w14:paraId="34C1D262" w14:textId="17266E59" w:rsidR="00DC6CAA" w:rsidRDefault="002B2434" w:rsidP="007C3B21">
      <w:pPr>
        <w:pStyle w:val="Brdtekst"/>
        <w:ind w:left="851"/>
        <w:rPr>
          <w:sz w:val="24"/>
          <w:szCs w:val="24"/>
          <w:lang w:val="da-DK"/>
        </w:rPr>
      </w:pPr>
      <w:r>
        <w:rPr>
          <w:sz w:val="24"/>
          <w:szCs w:val="24"/>
          <w:lang w:val="da-DK"/>
        </w:rPr>
        <w:t>Glymetia</w:t>
      </w:r>
      <w:r w:rsidR="00DC6CAA">
        <w:rPr>
          <w:sz w:val="24"/>
          <w:szCs w:val="24"/>
          <w:lang w:val="da-DK"/>
        </w:rPr>
        <w:t xml:space="preserve"> bør doseres således, at der tages linagliptin 2,5 mg 2 gange dagligt (5 mg i alt pr. dag) og en metformindosis, der svarer til den dosis, der allerede tages. Når linagliptin plus metforminhydrochlorid anvendes i kombination med et sulfonylurinstof, kan en lavere dosis af sulfonylurinstof være nødvendig for at nedsætte risikoen for hypoglykæmi (se pkt. 4.4).</w:t>
      </w:r>
    </w:p>
    <w:p w14:paraId="0AB0DC23" w14:textId="77777777" w:rsidR="00DC6CAA" w:rsidRDefault="00DC6CAA" w:rsidP="007C3B21">
      <w:pPr>
        <w:pStyle w:val="Brdtekst"/>
        <w:ind w:left="851"/>
        <w:rPr>
          <w:sz w:val="24"/>
          <w:szCs w:val="24"/>
          <w:lang w:val="da-DK"/>
        </w:rPr>
      </w:pPr>
    </w:p>
    <w:p w14:paraId="3DF9D8B9" w14:textId="77777777" w:rsidR="00DC6CAA" w:rsidRDefault="00DC6CAA" w:rsidP="007C3B21">
      <w:pPr>
        <w:ind w:left="851"/>
        <w:rPr>
          <w:i/>
          <w:sz w:val="24"/>
          <w:szCs w:val="24"/>
        </w:rPr>
      </w:pPr>
      <w:r>
        <w:rPr>
          <w:i/>
          <w:sz w:val="24"/>
          <w:szCs w:val="24"/>
        </w:rPr>
        <w:t>Patienter, der ikke er tilstrækkeligt kontrolleret på dual kombinationsbehandling med insulin og maksimal, tolereret metformindosis</w:t>
      </w:r>
    </w:p>
    <w:p w14:paraId="34FBF8EA" w14:textId="7289D524" w:rsidR="00DC6CAA" w:rsidRDefault="002B2434" w:rsidP="007C3B21">
      <w:pPr>
        <w:pStyle w:val="Brdtekst"/>
        <w:ind w:left="851"/>
        <w:rPr>
          <w:sz w:val="24"/>
          <w:szCs w:val="24"/>
          <w:lang w:val="da-DK"/>
        </w:rPr>
      </w:pPr>
      <w:r>
        <w:rPr>
          <w:sz w:val="24"/>
          <w:szCs w:val="24"/>
          <w:lang w:val="da-DK"/>
        </w:rPr>
        <w:t>Glymetia</w:t>
      </w:r>
      <w:r w:rsidR="00DC6CAA">
        <w:rPr>
          <w:sz w:val="24"/>
          <w:szCs w:val="24"/>
          <w:lang w:val="da-DK"/>
        </w:rPr>
        <w:t xml:space="preserve"> bør doseres således, at der tages linagliptin 2,5 mg 2 gange dagligt (5 mg i alt pr. dag) og en metformindosis, der svarer til den dosis, der allerede tages. Når linagliptin plus metforminhydrochlorid anvendes i kombination med insulin, kan en lavere insulindosis være nødvendig for at nedsætte risikoen for hypoglykæmi (se pkt. 4.4).</w:t>
      </w:r>
    </w:p>
    <w:p w14:paraId="4188FC54" w14:textId="77777777" w:rsidR="00DC6CAA" w:rsidRDefault="00DC6CAA" w:rsidP="007C3B21">
      <w:pPr>
        <w:pStyle w:val="Brdtekst"/>
        <w:ind w:left="851"/>
        <w:rPr>
          <w:sz w:val="24"/>
          <w:szCs w:val="24"/>
          <w:lang w:val="da-DK"/>
        </w:rPr>
      </w:pPr>
    </w:p>
    <w:p w14:paraId="3F44FBC1" w14:textId="4440EC4E" w:rsidR="00DC6CAA" w:rsidRDefault="00DC6CAA" w:rsidP="007C3B21">
      <w:pPr>
        <w:pStyle w:val="Brdtekst"/>
        <w:ind w:left="851"/>
        <w:rPr>
          <w:sz w:val="24"/>
          <w:szCs w:val="24"/>
          <w:lang w:val="da-DK"/>
        </w:rPr>
      </w:pPr>
      <w:r>
        <w:rPr>
          <w:sz w:val="24"/>
          <w:szCs w:val="24"/>
          <w:lang w:val="da-DK"/>
        </w:rPr>
        <w:t xml:space="preserve">For at kunne opnå forskellige doser af metformin findes </w:t>
      </w:r>
      <w:r w:rsidR="002B2434">
        <w:rPr>
          <w:sz w:val="24"/>
          <w:szCs w:val="24"/>
          <w:lang w:val="da-DK"/>
        </w:rPr>
        <w:t>Glymetia</w:t>
      </w:r>
      <w:r>
        <w:rPr>
          <w:sz w:val="24"/>
          <w:szCs w:val="24"/>
          <w:lang w:val="da-DK"/>
        </w:rPr>
        <w:t xml:space="preserve"> i styrkerne 2,5 mg linagliptin plus 850 mg metforminhydrochlorid og 2,5 mg linagliptin plus 1 000 mg metforminhydrochlorid.</w:t>
      </w:r>
    </w:p>
    <w:p w14:paraId="547B01C4" w14:textId="77777777" w:rsidR="00DC6CAA" w:rsidRDefault="00DC6CAA" w:rsidP="007C3B21">
      <w:pPr>
        <w:pStyle w:val="Brdtekst"/>
        <w:ind w:left="851"/>
        <w:rPr>
          <w:sz w:val="24"/>
          <w:szCs w:val="24"/>
          <w:lang w:val="da-DK"/>
        </w:rPr>
      </w:pPr>
    </w:p>
    <w:p w14:paraId="0DFF9033" w14:textId="77777777" w:rsidR="00DC6CAA" w:rsidRDefault="00DC6CAA" w:rsidP="007C3B21">
      <w:pPr>
        <w:pStyle w:val="Brdtekst"/>
        <w:ind w:left="851"/>
        <w:rPr>
          <w:sz w:val="24"/>
          <w:szCs w:val="24"/>
          <w:lang w:val="da-DK"/>
        </w:rPr>
      </w:pPr>
      <w:r>
        <w:rPr>
          <w:sz w:val="24"/>
          <w:szCs w:val="24"/>
          <w:u w:val="single"/>
          <w:lang w:val="da-DK"/>
        </w:rPr>
        <w:t>Særlige populationer</w:t>
      </w:r>
    </w:p>
    <w:p w14:paraId="204BBFC2" w14:textId="77777777" w:rsidR="00DC6CAA" w:rsidRDefault="00DC6CAA" w:rsidP="007C3B21">
      <w:pPr>
        <w:ind w:left="851"/>
        <w:rPr>
          <w:i/>
          <w:sz w:val="24"/>
          <w:szCs w:val="24"/>
        </w:rPr>
      </w:pPr>
      <w:r>
        <w:rPr>
          <w:i/>
          <w:sz w:val="24"/>
          <w:szCs w:val="24"/>
        </w:rPr>
        <w:t>Ældre</w:t>
      </w:r>
    </w:p>
    <w:p w14:paraId="1508370B" w14:textId="2F366EF6" w:rsidR="00DC6CAA" w:rsidRDefault="00DC6CAA" w:rsidP="007C3B21">
      <w:pPr>
        <w:pStyle w:val="Brdtekst"/>
        <w:ind w:left="851"/>
        <w:rPr>
          <w:sz w:val="24"/>
          <w:szCs w:val="24"/>
          <w:lang w:val="da-DK"/>
        </w:rPr>
      </w:pPr>
      <w:r>
        <w:rPr>
          <w:sz w:val="24"/>
          <w:szCs w:val="24"/>
          <w:lang w:val="da-DK"/>
        </w:rPr>
        <w:t xml:space="preserve">Da metformin udskilles renalt, skal </w:t>
      </w:r>
      <w:r w:rsidR="002B2434">
        <w:rPr>
          <w:sz w:val="24"/>
          <w:szCs w:val="24"/>
          <w:lang w:val="da-DK"/>
        </w:rPr>
        <w:t>Glymetia</w:t>
      </w:r>
      <w:r>
        <w:rPr>
          <w:sz w:val="24"/>
          <w:szCs w:val="24"/>
          <w:lang w:val="da-DK"/>
        </w:rPr>
        <w:t xml:space="preserve"> anvendes med forsigtighed ved stigende alder. Nyrefunktionen skal monitoreres med henblik på at hindre metforminassocieret laktatacidose, specielt hos ældre (se pkt. 4.3 og 4.4).</w:t>
      </w:r>
    </w:p>
    <w:p w14:paraId="773451FF" w14:textId="0AD392C9" w:rsidR="000A5A14" w:rsidRDefault="000A5A14">
      <w:pPr>
        <w:rPr>
          <w:sz w:val="24"/>
          <w:szCs w:val="24"/>
        </w:rPr>
      </w:pPr>
      <w:r>
        <w:rPr>
          <w:sz w:val="24"/>
          <w:szCs w:val="24"/>
        </w:rPr>
        <w:br w:type="page"/>
      </w:r>
    </w:p>
    <w:p w14:paraId="71B2DF0A" w14:textId="77777777" w:rsidR="00DC6CAA" w:rsidRDefault="00DC6CAA" w:rsidP="007C3B21">
      <w:pPr>
        <w:pStyle w:val="Brdtekst"/>
        <w:ind w:left="851"/>
        <w:rPr>
          <w:sz w:val="24"/>
          <w:szCs w:val="24"/>
          <w:lang w:val="da-DK"/>
        </w:rPr>
      </w:pPr>
    </w:p>
    <w:p w14:paraId="2D3A9BE6" w14:textId="77777777" w:rsidR="00DC6CAA" w:rsidRDefault="00DC6CAA" w:rsidP="007C3B21">
      <w:pPr>
        <w:ind w:left="851"/>
        <w:rPr>
          <w:i/>
          <w:sz w:val="24"/>
          <w:szCs w:val="24"/>
        </w:rPr>
      </w:pPr>
      <w:r>
        <w:rPr>
          <w:i/>
          <w:sz w:val="24"/>
          <w:szCs w:val="24"/>
        </w:rPr>
        <w:t>Nedsat nyrefunktion</w:t>
      </w:r>
    </w:p>
    <w:p w14:paraId="3C7B8E90" w14:textId="77777777" w:rsidR="00DC6CAA" w:rsidRDefault="00DC6CAA" w:rsidP="007C3B21">
      <w:pPr>
        <w:pStyle w:val="Brdtekst"/>
        <w:ind w:left="851"/>
        <w:rPr>
          <w:sz w:val="24"/>
          <w:szCs w:val="24"/>
          <w:lang w:val="da-DK"/>
        </w:rPr>
      </w:pPr>
      <w:r>
        <w:rPr>
          <w:color w:val="323232"/>
          <w:sz w:val="24"/>
          <w:szCs w:val="24"/>
          <w:lang w:val="da-DK"/>
        </w:rPr>
        <w:t>GFR skal bestemmes, inden opstart af behandling med metforminholdige lægemidler og derefter mindst én gang årligt. Hos patienter med øget risiko for yderligere progression af nedsat nyrefunktion og hos ældre bør nyrefunktionen vurderes oftere, f.eks. hver 3.-6. måned.</w:t>
      </w:r>
    </w:p>
    <w:p w14:paraId="6B18F324" w14:textId="77777777" w:rsidR="00DC6CAA" w:rsidRDefault="00DC6CAA" w:rsidP="007C3B21">
      <w:pPr>
        <w:pStyle w:val="Brdtekst"/>
        <w:ind w:left="851"/>
        <w:rPr>
          <w:sz w:val="24"/>
          <w:szCs w:val="24"/>
          <w:lang w:val="da-DK"/>
        </w:rPr>
      </w:pPr>
      <w:r>
        <w:rPr>
          <w:color w:val="323232"/>
          <w:sz w:val="24"/>
          <w:szCs w:val="24"/>
          <w:lang w:val="da-DK"/>
        </w:rPr>
        <w:t>Faktorer, som kan øge risikoen for laktatacidose (se pkt. 4.4), skal gennemgås, inden påbegyndelse af metforminbehandling overvejes hos patienter med GFR &lt; 60 mL/min.</w:t>
      </w:r>
    </w:p>
    <w:p w14:paraId="37349B33" w14:textId="3099B7EB" w:rsidR="00DC6CAA" w:rsidRDefault="00DC6CAA" w:rsidP="007C3B21">
      <w:pPr>
        <w:pStyle w:val="Brdtekst"/>
        <w:ind w:left="851"/>
        <w:rPr>
          <w:sz w:val="24"/>
          <w:szCs w:val="24"/>
          <w:lang w:val="da-DK"/>
        </w:rPr>
      </w:pPr>
      <w:r>
        <w:rPr>
          <w:color w:val="323232"/>
          <w:sz w:val="24"/>
          <w:szCs w:val="24"/>
          <w:lang w:val="da-DK"/>
        </w:rPr>
        <w:t xml:space="preserve">Hvis der ikke findes en passende styrke af </w:t>
      </w:r>
      <w:r w:rsidR="002B2434">
        <w:rPr>
          <w:color w:val="323232"/>
          <w:sz w:val="24"/>
          <w:szCs w:val="24"/>
          <w:lang w:val="da-DK"/>
        </w:rPr>
        <w:t>Glymetia</w:t>
      </w:r>
      <w:r>
        <w:rPr>
          <w:color w:val="323232"/>
          <w:sz w:val="24"/>
          <w:szCs w:val="24"/>
          <w:lang w:val="da-DK"/>
        </w:rPr>
        <w:t>, bør enkeltkomponenterne anvendes individuelt i stedet for i fastdosis-kombinationen.</w:t>
      </w:r>
    </w:p>
    <w:p w14:paraId="7832B563" w14:textId="77777777" w:rsidR="00DC6CAA" w:rsidRDefault="00DC6CAA" w:rsidP="007C3B21">
      <w:pPr>
        <w:pStyle w:val="Brdtekst"/>
        <w:ind w:left="851"/>
        <w:rPr>
          <w:sz w:val="24"/>
          <w:szCs w:val="24"/>
          <w:lang w:val="da-DK"/>
        </w:rPr>
      </w:pPr>
    </w:p>
    <w:p w14:paraId="4C658A34" w14:textId="77777777" w:rsidR="00DC6CAA" w:rsidRDefault="00DC6CAA" w:rsidP="007C3B21">
      <w:pPr>
        <w:pStyle w:val="Brdtekst"/>
        <w:tabs>
          <w:tab w:val="left" w:pos="1351"/>
        </w:tabs>
        <w:ind w:left="851"/>
        <w:rPr>
          <w:sz w:val="24"/>
          <w:szCs w:val="24"/>
          <w:lang w:val="da-DK"/>
        </w:rPr>
      </w:pPr>
      <w:r>
        <w:rPr>
          <w:sz w:val="24"/>
          <w:szCs w:val="24"/>
          <w:lang w:val="da-DK"/>
        </w:rPr>
        <w:t>Tabel</w:t>
      </w:r>
      <w:r>
        <w:rPr>
          <w:spacing w:val="-2"/>
          <w:sz w:val="24"/>
          <w:szCs w:val="24"/>
          <w:lang w:val="da-DK"/>
        </w:rPr>
        <w:t xml:space="preserve"> </w:t>
      </w:r>
      <w:r>
        <w:rPr>
          <w:sz w:val="24"/>
          <w:szCs w:val="24"/>
          <w:lang w:val="da-DK"/>
        </w:rPr>
        <w:t>1:</w:t>
      </w:r>
      <w:r>
        <w:rPr>
          <w:sz w:val="24"/>
          <w:szCs w:val="24"/>
          <w:lang w:val="da-DK"/>
        </w:rPr>
        <w:tab/>
        <w:t>Dosering til patienter med nedsat</w:t>
      </w:r>
      <w:r>
        <w:rPr>
          <w:spacing w:val="-4"/>
          <w:sz w:val="24"/>
          <w:szCs w:val="24"/>
          <w:lang w:val="da-DK"/>
        </w:rPr>
        <w:t xml:space="preserve"> </w:t>
      </w:r>
      <w:r>
        <w:rPr>
          <w:sz w:val="24"/>
          <w:szCs w:val="24"/>
          <w:lang w:val="da-DK"/>
        </w:rPr>
        <w:t>nyrefunktion</w:t>
      </w:r>
    </w:p>
    <w:p w14:paraId="6E73D4D0" w14:textId="77777777" w:rsidR="00DC6CAA" w:rsidRDefault="00DC6CAA" w:rsidP="007C3B21">
      <w:pPr>
        <w:pStyle w:val="Brdtekst"/>
        <w:ind w:left="851"/>
        <w:rPr>
          <w:sz w:val="24"/>
          <w:szCs w:val="24"/>
          <w:lang w:val="da-DK"/>
        </w:rPr>
      </w:pPr>
    </w:p>
    <w:tbl>
      <w:tblPr>
        <w:tblW w:w="906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4105"/>
        <w:gridCol w:w="3227"/>
      </w:tblGrid>
      <w:tr w:rsidR="00DC6CAA" w14:paraId="595CA776" w14:textId="77777777" w:rsidTr="00DC6CAA">
        <w:trPr>
          <w:trHeight w:val="505"/>
        </w:trPr>
        <w:tc>
          <w:tcPr>
            <w:tcW w:w="1728" w:type="dxa"/>
            <w:tcBorders>
              <w:top w:val="single" w:sz="4" w:space="0" w:color="000000"/>
              <w:left w:val="single" w:sz="4" w:space="0" w:color="000000"/>
              <w:bottom w:val="single" w:sz="4" w:space="0" w:color="000000"/>
              <w:right w:val="single" w:sz="4" w:space="0" w:color="000000"/>
            </w:tcBorders>
            <w:hideMark/>
          </w:tcPr>
          <w:p w14:paraId="6CB82D4A" w14:textId="77777777" w:rsidR="00DC6CAA" w:rsidRDefault="00DC6CAA">
            <w:pPr>
              <w:pStyle w:val="TableParagraph"/>
              <w:rPr>
                <w:sz w:val="24"/>
                <w:szCs w:val="24"/>
                <w:lang w:val="da-DK"/>
              </w:rPr>
            </w:pPr>
            <w:proofErr w:type="gramStart"/>
            <w:r>
              <w:rPr>
                <w:color w:val="323232"/>
                <w:sz w:val="24"/>
                <w:szCs w:val="24"/>
                <w:lang w:val="da-DK"/>
              </w:rPr>
              <w:t>GFR mL/min</w:t>
            </w:r>
            <w:proofErr w:type="gramEnd"/>
          </w:p>
        </w:tc>
        <w:tc>
          <w:tcPr>
            <w:tcW w:w="4106" w:type="dxa"/>
            <w:tcBorders>
              <w:top w:val="single" w:sz="4" w:space="0" w:color="000000"/>
              <w:left w:val="single" w:sz="4" w:space="0" w:color="000000"/>
              <w:bottom w:val="single" w:sz="4" w:space="0" w:color="000000"/>
              <w:right w:val="single" w:sz="4" w:space="0" w:color="000000"/>
            </w:tcBorders>
            <w:hideMark/>
          </w:tcPr>
          <w:p w14:paraId="70AE684A" w14:textId="77777777" w:rsidR="00DC6CAA" w:rsidRDefault="00DC6CAA">
            <w:pPr>
              <w:pStyle w:val="TableParagraph"/>
              <w:ind w:left="105"/>
              <w:rPr>
                <w:sz w:val="24"/>
                <w:szCs w:val="24"/>
                <w:lang w:val="da-DK"/>
              </w:rPr>
            </w:pPr>
            <w:r>
              <w:rPr>
                <w:color w:val="323232"/>
                <w:sz w:val="24"/>
                <w:szCs w:val="24"/>
                <w:lang w:val="da-DK"/>
              </w:rPr>
              <w:t>Metformin</w:t>
            </w:r>
          </w:p>
        </w:tc>
        <w:tc>
          <w:tcPr>
            <w:tcW w:w="3228" w:type="dxa"/>
            <w:tcBorders>
              <w:top w:val="single" w:sz="4" w:space="0" w:color="000000"/>
              <w:left w:val="single" w:sz="4" w:space="0" w:color="000000"/>
              <w:bottom w:val="single" w:sz="4" w:space="0" w:color="000000"/>
              <w:right w:val="single" w:sz="4" w:space="0" w:color="000000"/>
            </w:tcBorders>
            <w:hideMark/>
          </w:tcPr>
          <w:p w14:paraId="6DE3DB30" w14:textId="77777777" w:rsidR="00DC6CAA" w:rsidRDefault="00DC6CAA">
            <w:pPr>
              <w:pStyle w:val="TableParagraph"/>
              <w:ind w:left="108"/>
              <w:rPr>
                <w:sz w:val="24"/>
                <w:szCs w:val="24"/>
                <w:lang w:val="da-DK"/>
              </w:rPr>
            </w:pPr>
            <w:r>
              <w:rPr>
                <w:sz w:val="24"/>
                <w:szCs w:val="24"/>
                <w:lang w:val="da-DK"/>
              </w:rPr>
              <w:t>Linagliptin</w:t>
            </w:r>
          </w:p>
        </w:tc>
      </w:tr>
      <w:tr w:rsidR="00DC6CAA" w14:paraId="7D4134CE" w14:textId="77777777" w:rsidTr="00DC6CAA">
        <w:trPr>
          <w:trHeight w:val="976"/>
        </w:trPr>
        <w:tc>
          <w:tcPr>
            <w:tcW w:w="1728" w:type="dxa"/>
            <w:tcBorders>
              <w:top w:val="single" w:sz="4" w:space="0" w:color="000000"/>
              <w:left w:val="single" w:sz="4" w:space="0" w:color="000000"/>
              <w:bottom w:val="single" w:sz="4" w:space="0" w:color="000000"/>
              <w:right w:val="single" w:sz="4" w:space="0" w:color="000000"/>
            </w:tcBorders>
            <w:hideMark/>
          </w:tcPr>
          <w:p w14:paraId="529150C7" w14:textId="77777777" w:rsidR="00DC6CAA" w:rsidRDefault="00DC6CAA">
            <w:pPr>
              <w:pStyle w:val="TableParagraph"/>
              <w:jc w:val="left"/>
              <w:rPr>
                <w:sz w:val="24"/>
                <w:szCs w:val="24"/>
                <w:lang w:val="da-DK"/>
              </w:rPr>
            </w:pPr>
            <w:r>
              <w:rPr>
                <w:color w:val="323232"/>
                <w:sz w:val="24"/>
                <w:szCs w:val="24"/>
                <w:lang w:val="da-DK"/>
              </w:rPr>
              <w:t>60-89</w:t>
            </w:r>
          </w:p>
        </w:tc>
        <w:tc>
          <w:tcPr>
            <w:tcW w:w="4106" w:type="dxa"/>
            <w:tcBorders>
              <w:top w:val="single" w:sz="4" w:space="0" w:color="000000"/>
              <w:left w:val="single" w:sz="4" w:space="0" w:color="000000"/>
              <w:bottom w:val="single" w:sz="4" w:space="0" w:color="000000"/>
              <w:right w:val="single" w:sz="4" w:space="0" w:color="000000"/>
            </w:tcBorders>
            <w:hideMark/>
          </w:tcPr>
          <w:p w14:paraId="2BD4C640" w14:textId="77777777" w:rsidR="00DC6CAA" w:rsidRDefault="00DC6CAA">
            <w:pPr>
              <w:pStyle w:val="TableParagraph"/>
              <w:ind w:left="105" w:right="195"/>
              <w:jc w:val="left"/>
              <w:rPr>
                <w:sz w:val="24"/>
                <w:szCs w:val="24"/>
                <w:lang w:val="da-DK"/>
              </w:rPr>
            </w:pPr>
            <w:r>
              <w:rPr>
                <w:color w:val="323232"/>
                <w:sz w:val="24"/>
                <w:szCs w:val="24"/>
                <w:lang w:val="da-DK"/>
              </w:rPr>
              <w:t>Den maksimale daglige dosis er 3 000 mg Dosisreduktion kan overvejes i forbindelse med tiltagende nedsættelse af nyrefunktionen.</w:t>
            </w:r>
          </w:p>
        </w:tc>
        <w:tc>
          <w:tcPr>
            <w:tcW w:w="3228" w:type="dxa"/>
            <w:tcBorders>
              <w:top w:val="single" w:sz="4" w:space="0" w:color="000000"/>
              <w:left w:val="single" w:sz="4" w:space="0" w:color="000000"/>
              <w:bottom w:val="single" w:sz="4" w:space="0" w:color="000000"/>
              <w:right w:val="single" w:sz="4" w:space="0" w:color="000000"/>
            </w:tcBorders>
            <w:hideMark/>
          </w:tcPr>
          <w:p w14:paraId="1CC64491" w14:textId="77777777" w:rsidR="00DC6CAA" w:rsidRDefault="00DC6CAA">
            <w:pPr>
              <w:pStyle w:val="TableParagraph"/>
              <w:ind w:left="108"/>
              <w:jc w:val="left"/>
              <w:rPr>
                <w:sz w:val="24"/>
                <w:szCs w:val="24"/>
                <w:lang w:val="da-DK"/>
              </w:rPr>
            </w:pPr>
            <w:r>
              <w:rPr>
                <w:sz w:val="24"/>
                <w:szCs w:val="24"/>
                <w:lang w:val="da-DK"/>
              </w:rPr>
              <w:t>Dosisjustering ikke nødvendig</w:t>
            </w:r>
          </w:p>
        </w:tc>
      </w:tr>
      <w:tr w:rsidR="00DC6CAA" w14:paraId="7856C64E" w14:textId="77777777" w:rsidTr="00DC6CAA">
        <w:trPr>
          <w:trHeight w:val="1010"/>
        </w:trPr>
        <w:tc>
          <w:tcPr>
            <w:tcW w:w="1728" w:type="dxa"/>
            <w:tcBorders>
              <w:top w:val="single" w:sz="4" w:space="0" w:color="000000"/>
              <w:left w:val="single" w:sz="4" w:space="0" w:color="000000"/>
              <w:bottom w:val="single" w:sz="4" w:space="0" w:color="000000"/>
              <w:right w:val="single" w:sz="4" w:space="0" w:color="000000"/>
            </w:tcBorders>
            <w:hideMark/>
          </w:tcPr>
          <w:p w14:paraId="4993C3A3" w14:textId="77777777" w:rsidR="00DC6CAA" w:rsidRDefault="00DC6CAA">
            <w:pPr>
              <w:pStyle w:val="TableParagraph"/>
              <w:jc w:val="left"/>
              <w:rPr>
                <w:sz w:val="24"/>
                <w:szCs w:val="24"/>
                <w:lang w:val="da-DK"/>
              </w:rPr>
            </w:pPr>
            <w:r>
              <w:rPr>
                <w:color w:val="323232"/>
                <w:sz w:val="24"/>
                <w:szCs w:val="24"/>
                <w:lang w:val="da-DK"/>
              </w:rPr>
              <w:t>45-59</w:t>
            </w:r>
          </w:p>
        </w:tc>
        <w:tc>
          <w:tcPr>
            <w:tcW w:w="4106" w:type="dxa"/>
            <w:tcBorders>
              <w:top w:val="single" w:sz="4" w:space="0" w:color="000000"/>
              <w:left w:val="single" w:sz="4" w:space="0" w:color="000000"/>
              <w:bottom w:val="single" w:sz="4" w:space="0" w:color="000000"/>
              <w:right w:val="single" w:sz="4" w:space="0" w:color="000000"/>
            </w:tcBorders>
            <w:hideMark/>
          </w:tcPr>
          <w:p w14:paraId="44C52758" w14:textId="77777777" w:rsidR="00DC6CAA" w:rsidRDefault="00DC6CAA">
            <w:pPr>
              <w:pStyle w:val="TableParagraph"/>
              <w:ind w:left="105" w:right="274"/>
              <w:jc w:val="left"/>
              <w:rPr>
                <w:sz w:val="24"/>
                <w:szCs w:val="24"/>
                <w:lang w:val="da-DK"/>
              </w:rPr>
            </w:pPr>
            <w:r>
              <w:rPr>
                <w:color w:val="323232"/>
                <w:sz w:val="24"/>
                <w:szCs w:val="24"/>
                <w:lang w:val="da-DK"/>
              </w:rPr>
              <w:t xml:space="preserve">Den maksimale daglige dosis er 2 000 mg </w:t>
            </w:r>
            <w:r>
              <w:rPr>
                <w:sz w:val="24"/>
                <w:szCs w:val="24"/>
                <w:lang w:val="da-DK"/>
              </w:rPr>
              <w:t>Startdosis er højst halvdelen af den maksimale dosis.</w:t>
            </w:r>
          </w:p>
        </w:tc>
        <w:tc>
          <w:tcPr>
            <w:tcW w:w="3228" w:type="dxa"/>
            <w:tcBorders>
              <w:top w:val="single" w:sz="4" w:space="0" w:color="000000"/>
              <w:left w:val="single" w:sz="4" w:space="0" w:color="000000"/>
              <w:bottom w:val="single" w:sz="4" w:space="0" w:color="000000"/>
              <w:right w:val="single" w:sz="4" w:space="0" w:color="000000"/>
            </w:tcBorders>
            <w:hideMark/>
          </w:tcPr>
          <w:p w14:paraId="5A8340B8" w14:textId="77777777" w:rsidR="00DC6CAA" w:rsidRDefault="00DC6CAA">
            <w:pPr>
              <w:pStyle w:val="TableParagraph"/>
              <w:ind w:left="108"/>
              <w:jc w:val="left"/>
              <w:rPr>
                <w:sz w:val="24"/>
                <w:szCs w:val="24"/>
                <w:lang w:val="da-DK"/>
              </w:rPr>
            </w:pPr>
            <w:r>
              <w:rPr>
                <w:sz w:val="24"/>
                <w:szCs w:val="24"/>
                <w:lang w:val="da-DK"/>
              </w:rPr>
              <w:t>Dosisjustering ikke nødvendig</w:t>
            </w:r>
          </w:p>
        </w:tc>
      </w:tr>
      <w:tr w:rsidR="00DC6CAA" w14:paraId="6ED16AC3" w14:textId="77777777" w:rsidTr="00DC6CAA">
        <w:trPr>
          <w:trHeight w:val="1012"/>
        </w:trPr>
        <w:tc>
          <w:tcPr>
            <w:tcW w:w="1728" w:type="dxa"/>
            <w:tcBorders>
              <w:top w:val="single" w:sz="4" w:space="0" w:color="000000"/>
              <w:left w:val="single" w:sz="4" w:space="0" w:color="000000"/>
              <w:bottom w:val="single" w:sz="4" w:space="0" w:color="000000"/>
              <w:right w:val="single" w:sz="4" w:space="0" w:color="000000"/>
            </w:tcBorders>
            <w:hideMark/>
          </w:tcPr>
          <w:p w14:paraId="34029B05" w14:textId="77777777" w:rsidR="00DC6CAA" w:rsidRDefault="00DC6CAA">
            <w:pPr>
              <w:pStyle w:val="TableParagraph"/>
              <w:jc w:val="left"/>
              <w:rPr>
                <w:sz w:val="24"/>
                <w:szCs w:val="24"/>
                <w:lang w:val="da-DK"/>
              </w:rPr>
            </w:pPr>
            <w:r>
              <w:rPr>
                <w:color w:val="323232"/>
                <w:sz w:val="24"/>
                <w:szCs w:val="24"/>
                <w:lang w:val="da-DK"/>
              </w:rPr>
              <w:t>30-44</w:t>
            </w:r>
          </w:p>
        </w:tc>
        <w:tc>
          <w:tcPr>
            <w:tcW w:w="4106" w:type="dxa"/>
            <w:tcBorders>
              <w:top w:val="single" w:sz="4" w:space="0" w:color="000000"/>
              <w:left w:val="single" w:sz="4" w:space="0" w:color="000000"/>
              <w:bottom w:val="single" w:sz="4" w:space="0" w:color="000000"/>
              <w:right w:val="single" w:sz="4" w:space="0" w:color="000000"/>
            </w:tcBorders>
            <w:hideMark/>
          </w:tcPr>
          <w:p w14:paraId="6301CBE2" w14:textId="77777777" w:rsidR="00DC6CAA" w:rsidRDefault="00DC6CAA">
            <w:pPr>
              <w:pStyle w:val="TableParagraph"/>
              <w:ind w:left="105" w:right="274"/>
              <w:jc w:val="left"/>
              <w:rPr>
                <w:sz w:val="24"/>
                <w:szCs w:val="24"/>
                <w:lang w:val="da-DK"/>
              </w:rPr>
            </w:pPr>
            <w:r>
              <w:rPr>
                <w:color w:val="323232"/>
                <w:sz w:val="24"/>
                <w:szCs w:val="24"/>
                <w:lang w:val="da-DK"/>
              </w:rPr>
              <w:t xml:space="preserve">Den maksimale daglige dosis er 1 000 mg </w:t>
            </w:r>
            <w:r>
              <w:rPr>
                <w:sz w:val="24"/>
                <w:szCs w:val="24"/>
                <w:lang w:val="da-DK"/>
              </w:rPr>
              <w:t>Startdosen er højst halvdelen af den maksimale dosis.</w:t>
            </w:r>
          </w:p>
        </w:tc>
        <w:tc>
          <w:tcPr>
            <w:tcW w:w="3228" w:type="dxa"/>
            <w:tcBorders>
              <w:top w:val="single" w:sz="4" w:space="0" w:color="000000"/>
              <w:left w:val="single" w:sz="4" w:space="0" w:color="000000"/>
              <w:bottom w:val="single" w:sz="4" w:space="0" w:color="000000"/>
              <w:right w:val="single" w:sz="4" w:space="0" w:color="000000"/>
            </w:tcBorders>
            <w:hideMark/>
          </w:tcPr>
          <w:p w14:paraId="56F7785D" w14:textId="77777777" w:rsidR="00DC6CAA" w:rsidRDefault="00DC6CAA">
            <w:pPr>
              <w:pStyle w:val="TableParagraph"/>
              <w:ind w:left="108"/>
              <w:jc w:val="left"/>
              <w:rPr>
                <w:sz w:val="24"/>
                <w:szCs w:val="24"/>
                <w:lang w:val="da-DK"/>
              </w:rPr>
            </w:pPr>
            <w:r>
              <w:rPr>
                <w:sz w:val="24"/>
                <w:szCs w:val="24"/>
                <w:lang w:val="da-DK"/>
              </w:rPr>
              <w:t>Dosisjustering ikke nødvendig</w:t>
            </w:r>
          </w:p>
        </w:tc>
      </w:tr>
      <w:tr w:rsidR="00DC6CAA" w14:paraId="0435E54A" w14:textId="77777777" w:rsidTr="00DC6CAA">
        <w:trPr>
          <w:trHeight w:val="506"/>
        </w:trPr>
        <w:tc>
          <w:tcPr>
            <w:tcW w:w="1728" w:type="dxa"/>
            <w:tcBorders>
              <w:top w:val="single" w:sz="4" w:space="0" w:color="000000"/>
              <w:left w:val="single" w:sz="4" w:space="0" w:color="000000"/>
              <w:bottom w:val="single" w:sz="4" w:space="0" w:color="000000"/>
              <w:right w:val="single" w:sz="4" w:space="0" w:color="000000"/>
            </w:tcBorders>
            <w:hideMark/>
          </w:tcPr>
          <w:p w14:paraId="72F9B904" w14:textId="77777777" w:rsidR="00DC6CAA" w:rsidRDefault="00DC6CAA">
            <w:pPr>
              <w:pStyle w:val="TableParagraph"/>
              <w:jc w:val="left"/>
              <w:rPr>
                <w:sz w:val="24"/>
                <w:szCs w:val="24"/>
                <w:lang w:val="da-DK"/>
              </w:rPr>
            </w:pPr>
            <w:r>
              <w:rPr>
                <w:color w:val="323232"/>
                <w:sz w:val="24"/>
                <w:szCs w:val="24"/>
                <w:lang w:val="da-DK"/>
              </w:rPr>
              <w:t>&lt; 30</w:t>
            </w:r>
          </w:p>
        </w:tc>
        <w:tc>
          <w:tcPr>
            <w:tcW w:w="4106" w:type="dxa"/>
            <w:tcBorders>
              <w:top w:val="single" w:sz="4" w:space="0" w:color="000000"/>
              <w:left w:val="single" w:sz="4" w:space="0" w:color="000000"/>
              <w:bottom w:val="single" w:sz="4" w:space="0" w:color="000000"/>
              <w:right w:val="single" w:sz="4" w:space="0" w:color="000000"/>
            </w:tcBorders>
            <w:hideMark/>
          </w:tcPr>
          <w:p w14:paraId="713BCA28" w14:textId="77777777" w:rsidR="00DC6CAA" w:rsidRDefault="00DC6CAA">
            <w:pPr>
              <w:pStyle w:val="TableParagraph"/>
              <w:ind w:left="105"/>
              <w:jc w:val="left"/>
              <w:rPr>
                <w:sz w:val="24"/>
                <w:szCs w:val="24"/>
                <w:lang w:val="da-DK"/>
              </w:rPr>
            </w:pPr>
            <w:r>
              <w:rPr>
                <w:color w:val="323232"/>
                <w:sz w:val="24"/>
                <w:szCs w:val="24"/>
                <w:lang w:val="da-DK"/>
              </w:rPr>
              <w:t>Metformin er kontraindiceret.</w:t>
            </w:r>
          </w:p>
        </w:tc>
        <w:tc>
          <w:tcPr>
            <w:tcW w:w="3228" w:type="dxa"/>
            <w:tcBorders>
              <w:top w:val="single" w:sz="4" w:space="0" w:color="000000"/>
              <w:left w:val="single" w:sz="4" w:space="0" w:color="000000"/>
              <w:bottom w:val="single" w:sz="4" w:space="0" w:color="000000"/>
              <w:right w:val="single" w:sz="4" w:space="0" w:color="000000"/>
            </w:tcBorders>
            <w:hideMark/>
          </w:tcPr>
          <w:p w14:paraId="1DC75C8A" w14:textId="77777777" w:rsidR="00DC6CAA" w:rsidRDefault="00DC6CAA">
            <w:pPr>
              <w:pStyle w:val="TableParagraph"/>
              <w:ind w:left="108"/>
              <w:jc w:val="left"/>
              <w:rPr>
                <w:sz w:val="24"/>
                <w:szCs w:val="24"/>
                <w:lang w:val="da-DK"/>
              </w:rPr>
            </w:pPr>
            <w:r>
              <w:rPr>
                <w:sz w:val="24"/>
                <w:szCs w:val="24"/>
                <w:lang w:val="da-DK"/>
              </w:rPr>
              <w:t>Dosisjustering ikke nødvendig</w:t>
            </w:r>
          </w:p>
        </w:tc>
      </w:tr>
    </w:tbl>
    <w:p w14:paraId="22AA027B" w14:textId="77777777" w:rsidR="00DC6CAA" w:rsidRDefault="00DC6CAA" w:rsidP="007C3B21">
      <w:pPr>
        <w:ind w:left="851"/>
        <w:rPr>
          <w:i/>
          <w:sz w:val="24"/>
          <w:szCs w:val="24"/>
        </w:rPr>
      </w:pPr>
    </w:p>
    <w:p w14:paraId="6F2DDDCE" w14:textId="77777777" w:rsidR="00DC6CAA" w:rsidRDefault="00DC6CAA" w:rsidP="007C3B21">
      <w:pPr>
        <w:ind w:left="851"/>
        <w:rPr>
          <w:i/>
          <w:sz w:val="24"/>
          <w:szCs w:val="24"/>
        </w:rPr>
      </w:pPr>
      <w:r>
        <w:rPr>
          <w:i/>
          <w:sz w:val="24"/>
          <w:szCs w:val="24"/>
        </w:rPr>
        <w:t>Nedsat leverfunktion</w:t>
      </w:r>
    </w:p>
    <w:p w14:paraId="4DA31FB8" w14:textId="4806552C" w:rsidR="00DC6CAA" w:rsidRDefault="00DC6CAA" w:rsidP="007C3B21">
      <w:pPr>
        <w:pStyle w:val="Brdtekst"/>
        <w:ind w:left="851"/>
        <w:rPr>
          <w:sz w:val="24"/>
          <w:szCs w:val="24"/>
          <w:lang w:val="da-DK"/>
        </w:rPr>
      </w:pPr>
      <w:r>
        <w:rPr>
          <w:sz w:val="24"/>
          <w:szCs w:val="24"/>
          <w:lang w:val="da-DK"/>
        </w:rPr>
        <w:t xml:space="preserve">På grund af det aktive stof metformin anbefales </w:t>
      </w:r>
      <w:r w:rsidR="002B2434">
        <w:rPr>
          <w:sz w:val="24"/>
          <w:szCs w:val="24"/>
          <w:lang w:val="da-DK"/>
        </w:rPr>
        <w:t>Glymetia</w:t>
      </w:r>
      <w:r>
        <w:rPr>
          <w:sz w:val="24"/>
          <w:szCs w:val="24"/>
          <w:lang w:val="da-DK"/>
        </w:rPr>
        <w:t xml:space="preserve"> ikke til patienter med nedsat leverfunktion (se pkt. 4.3 og 5.2). Der mangler klinisk erfaring med brug af </w:t>
      </w:r>
      <w:r w:rsidR="002B2434">
        <w:rPr>
          <w:sz w:val="24"/>
          <w:szCs w:val="24"/>
          <w:lang w:val="da-DK"/>
        </w:rPr>
        <w:t>Glymetia</w:t>
      </w:r>
      <w:r>
        <w:rPr>
          <w:sz w:val="24"/>
          <w:szCs w:val="24"/>
          <w:lang w:val="da-DK"/>
        </w:rPr>
        <w:t xml:space="preserve"> til patienter med nedsat leverfunktion.</w:t>
      </w:r>
    </w:p>
    <w:p w14:paraId="0604C7AA" w14:textId="77777777" w:rsidR="00DC6CAA" w:rsidRDefault="00DC6CAA" w:rsidP="007C3B21">
      <w:pPr>
        <w:pStyle w:val="Brdtekst"/>
        <w:ind w:left="851"/>
        <w:rPr>
          <w:sz w:val="24"/>
          <w:szCs w:val="24"/>
          <w:lang w:val="da-DK"/>
        </w:rPr>
      </w:pPr>
    </w:p>
    <w:p w14:paraId="006C74DE" w14:textId="77777777" w:rsidR="00DC6CAA" w:rsidRDefault="00DC6CAA" w:rsidP="007C3B21">
      <w:pPr>
        <w:pStyle w:val="Brdtekst"/>
        <w:ind w:left="851"/>
        <w:rPr>
          <w:sz w:val="24"/>
          <w:szCs w:val="24"/>
          <w:lang w:val="da-DK"/>
        </w:rPr>
      </w:pPr>
      <w:r>
        <w:rPr>
          <w:sz w:val="24"/>
          <w:szCs w:val="24"/>
          <w:u w:val="single"/>
          <w:lang w:val="da-DK"/>
        </w:rPr>
        <w:t>Pædiatrisk population</w:t>
      </w:r>
    </w:p>
    <w:p w14:paraId="3E26A2E8" w14:textId="16C33D95" w:rsidR="00DC6CAA" w:rsidRDefault="00DC6CAA" w:rsidP="007C3B21">
      <w:pPr>
        <w:pStyle w:val="Brdtekst"/>
        <w:ind w:left="851"/>
        <w:rPr>
          <w:sz w:val="24"/>
          <w:szCs w:val="24"/>
          <w:lang w:val="da-DK"/>
        </w:rPr>
      </w:pPr>
      <w:r>
        <w:rPr>
          <w:sz w:val="24"/>
          <w:szCs w:val="24"/>
          <w:lang w:val="da-DK"/>
        </w:rPr>
        <w:t>Et klinisk studie klarlagde ikke virkningen hos pædiatriske patienter i alderen 10 til 17 år (se pkt. 4.8,</w:t>
      </w:r>
      <w:r w:rsidR="00312252">
        <w:rPr>
          <w:sz w:val="24"/>
          <w:szCs w:val="24"/>
          <w:lang w:val="da-DK"/>
        </w:rPr>
        <w:t xml:space="preserve"> </w:t>
      </w:r>
      <w:r>
        <w:rPr>
          <w:sz w:val="24"/>
          <w:szCs w:val="24"/>
          <w:lang w:val="da-DK"/>
        </w:rPr>
        <w:t>5.1 og 5.2). Derfor bør børn og unge ikke behandles med linagliptin. Linagliptin er ikke blevet undersøgt hos pædiatriske patienter under 10 år.</w:t>
      </w:r>
    </w:p>
    <w:p w14:paraId="6B44671C" w14:textId="77777777" w:rsidR="00DC6CAA" w:rsidRDefault="00DC6CAA" w:rsidP="007C3B21">
      <w:pPr>
        <w:pStyle w:val="Brdtekst"/>
        <w:ind w:left="851"/>
        <w:rPr>
          <w:sz w:val="24"/>
          <w:szCs w:val="24"/>
          <w:lang w:val="da-DK"/>
        </w:rPr>
      </w:pPr>
    </w:p>
    <w:p w14:paraId="3A348C4B" w14:textId="77777777" w:rsidR="00DC6CAA" w:rsidRDefault="00DC6CAA" w:rsidP="007C3B21">
      <w:pPr>
        <w:pStyle w:val="Brdtekst"/>
        <w:ind w:left="851"/>
        <w:rPr>
          <w:sz w:val="24"/>
          <w:szCs w:val="24"/>
          <w:lang w:val="da-DK"/>
        </w:rPr>
      </w:pPr>
      <w:r>
        <w:rPr>
          <w:sz w:val="24"/>
          <w:szCs w:val="24"/>
          <w:u w:val="single"/>
          <w:lang w:val="da-DK"/>
        </w:rPr>
        <w:t>Administration</w:t>
      </w:r>
    </w:p>
    <w:p w14:paraId="0CF6DB1D" w14:textId="76FEAE5E" w:rsidR="00DC6CAA" w:rsidRDefault="002B2434" w:rsidP="007C3B21">
      <w:pPr>
        <w:pStyle w:val="Brdtekst"/>
        <w:ind w:left="851"/>
        <w:rPr>
          <w:sz w:val="24"/>
          <w:szCs w:val="24"/>
          <w:lang w:val="da-DK"/>
        </w:rPr>
      </w:pPr>
      <w:r>
        <w:rPr>
          <w:sz w:val="24"/>
          <w:szCs w:val="24"/>
          <w:lang w:val="da-DK"/>
        </w:rPr>
        <w:t>Glymetia</w:t>
      </w:r>
      <w:r w:rsidR="00DC6CAA">
        <w:rPr>
          <w:sz w:val="24"/>
          <w:szCs w:val="24"/>
          <w:lang w:val="da-DK"/>
        </w:rPr>
        <w:t xml:space="preserve"> bør tages 2 gange dagligt i forbindelse med et måltid for at reducere de gastrointestinale bivirkninger, som metformin er forbundet med.</w:t>
      </w:r>
    </w:p>
    <w:p w14:paraId="75408E0C" w14:textId="77777777" w:rsidR="00DC6CAA" w:rsidRDefault="00DC6CAA" w:rsidP="007C3B21">
      <w:pPr>
        <w:pStyle w:val="Brdtekst"/>
        <w:ind w:left="851"/>
        <w:rPr>
          <w:sz w:val="24"/>
          <w:szCs w:val="24"/>
          <w:lang w:val="da-DK"/>
        </w:rPr>
      </w:pPr>
      <w:r>
        <w:rPr>
          <w:sz w:val="24"/>
          <w:szCs w:val="24"/>
          <w:lang w:val="da-DK"/>
        </w:rPr>
        <w:t>Alle patienter bør fortsætte på diæt med en jævn fordeling af kulhydrater hen over dagen. Overvægtige patienter bør fortsætte på lavenergi-diæt.</w:t>
      </w:r>
    </w:p>
    <w:p w14:paraId="48964A23" w14:textId="77777777" w:rsidR="00DC6CAA" w:rsidRDefault="00DC6CAA" w:rsidP="007C3B21">
      <w:pPr>
        <w:pStyle w:val="Brdtekst"/>
        <w:ind w:left="851"/>
        <w:rPr>
          <w:sz w:val="24"/>
          <w:szCs w:val="24"/>
          <w:lang w:val="da-DK"/>
        </w:rPr>
      </w:pPr>
    </w:p>
    <w:p w14:paraId="48A6EA38" w14:textId="77777777" w:rsidR="00DC6CAA" w:rsidRDefault="00DC6CAA" w:rsidP="007C3B21">
      <w:pPr>
        <w:pStyle w:val="Brdtekst"/>
        <w:ind w:left="851"/>
        <w:rPr>
          <w:lang w:val="da-DK"/>
        </w:rPr>
      </w:pPr>
      <w:r>
        <w:rPr>
          <w:sz w:val="24"/>
          <w:szCs w:val="24"/>
          <w:lang w:val="da-DK"/>
        </w:rPr>
        <w:t>En glemt dosis bør tages, så snart patienten bliver opmærksom på dette. Dog må der ikke tages en dobbeltdosis på samme tid. I sådanne tilfælde skal den glemte dosis springes over.</w:t>
      </w:r>
    </w:p>
    <w:p w14:paraId="3715DC0B" w14:textId="77777777" w:rsidR="009260DE" w:rsidRPr="00C84483" w:rsidRDefault="009260DE" w:rsidP="009260DE">
      <w:pPr>
        <w:tabs>
          <w:tab w:val="left" w:pos="851"/>
        </w:tabs>
        <w:ind w:left="851"/>
        <w:rPr>
          <w:sz w:val="24"/>
          <w:szCs w:val="24"/>
        </w:rPr>
      </w:pPr>
    </w:p>
    <w:p w14:paraId="5CA75B3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FD3DCE5" w14:textId="77777777" w:rsidR="00DC6CAA" w:rsidRDefault="00DC6CAA" w:rsidP="007C3B21">
      <w:pPr>
        <w:pStyle w:val="Listeafsnit"/>
        <w:numPr>
          <w:ilvl w:val="0"/>
          <w:numId w:val="7"/>
        </w:numPr>
        <w:spacing w:line="240" w:lineRule="auto"/>
        <w:ind w:left="1276" w:right="458" w:hanging="425"/>
        <w:rPr>
          <w:sz w:val="24"/>
          <w:szCs w:val="24"/>
          <w:lang w:val="da-DK"/>
        </w:rPr>
      </w:pPr>
      <w:r>
        <w:rPr>
          <w:sz w:val="24"/>
          <w:szCs w:val="24"/>
          <w:lang w:val="da-DK"/>
        </w:rPr>
        <w:t>Overfølsomhed over for de aktive stoffer eller over for et eller flere af hjælpestofferne anført i pkt. 6.1</w:t>
      </w:r>
    </w:p>
    <w:p w14:paraId="7DCE2F74" w14:textId="77777777" w:rsidR="00DC6CAA" w:rsidRDefault="00DC6CAA" w:rsidP="007C3B21">
      <w:pPr>
        <w:pStyle w:val="Listeafsnit"/>
        <w:numPr>
          <w:ilvl w:val="0"/>
          <w:numId w:val="7"/>
        </w:numPr>
        <w:tabs>
          <w:tab w:val="left" w:pos="785"/>
        </w:tabs>
        <w:spacing w:line="240" w:lineRule="auto"/>
        <w:ind w:left="1276" w:hanging="425"/>
        <w:rPr>
          <w:sz w:val="24"/>
          <w:szCs w:val="24"/>
          <w:lang w:val="da-DK"/>
        </w:rPr>
      </w:pPr>
      <w:r>
        <w:rPr>
          <w:sz w:val="24"/>
          <w:szCs w:val="24"/>
          <w:lang w:val="da-DK"/>
        </w:rPr>
        <w:lastRenderedPageBreak/>
        <w:t>Enhver type af akut metabolisk acidose (såsom laktatacidose, diabetisk</w:t>
      </w:r>
      <w:r>
        <w:rPr>
          <w:spacing w:val="-20"/>
          <w:sz w:val="24"/>
          <w:szCs w:val="24"/>
          <w:lang w:val="da-DK"/>
        </w:rPr>
        <w:t xml:space="preserve"> </w:t>
      </w:r>
      <w:r>
        <w:rPr>
          <w:sz w:val="24"/>
          <w:szCs w:val="24"/>
          <w:lang w:val="da-DK"/>
        </w:rPr>
        <w:t>ketoacidose)</w:t>
      </w:r>
    </w:p>
    <w:p w14:paraId="69FF757E" w14:textId="77777777" w:rsidR="00DC6CAA" w:rsidRDefault="00DC6CAA" w:rsidP="007C3B21">
      <w:pPr>
        <w:pStyle w:val="Listeafsnit"/>
        <w:numPr>
          <w:ilvl w:val="0"/>
          <w:numId w:val="7"/>
        </w:numPr>
        <w:tabs>
          <w:tab w:val="left" w:pos="785"/>
        </w:tabs>
        <w:spacing w:line="240" w:lineRule="auto"/>
        <w:ind w:left="1276" w:hanging="425"/>
        <w:rPr>
          <w:sz w:val="24"/>
          <w:szCs w:val="24"/>
          <w:lang w:val="da-DK"/>
        </w:rPr>
      </w:pPr>
      <w:r>
        <w:rPr>
          <w:sz w:val="24"/>
          <w:szCs w:val="24"/>
          <w:lang w:val="da-DK"/>
        </w:rPr>
        <w:t>Diabetisk</w:t>
      </w:r>
      <w:r>
        <w:rPr>
          <w:spacing w:val="-2"/>
          <w:sz w:val="24"/>
          <w:szCs w:val="24"/>
          <w:lang w:val="da-DK"/>
        </w:rPr>
        <w:t xml:space="preserve"> </w:t>
      </w:r>
      <w:r>
        <w:rPr>
          <w:sz w:val="24"/>
          <w:szCs w:val="24"/>
          <w:lang w:val="da-DK"/>
        </w:rPr>
        <w:t>prækoma</w:t>
      </w:r>
    </w:p>
    <w:p w14:paraId="084B4276" w14:textId="77777777" w:rsidR="00DC6CAA" w:rsidRDefault="00DC6CAA" w:rsidP="007C3B21">
      <w:pPr>
        <w:pStyle w:val="Listeafsnit"/>
        <w:numPr>
          <w:ilvl w:val="0"/>
          <w:numId w:val="7"/>
        </w:numPr>
        <w:tabs>
          <w:tab w:val="left" w:pos="785"/>
        </w:tabs>
        <w:spacing w:line="240" w:lineRule="auto"/>
        <w:ind w:left="1276" w:hanging="425"/>
        <w:rPr>
          <w:sz w:val="24"/>
          <w:szCs w:val="24"/>
          <w:lang w:val="da-DK"/>
        </w:rPr>
      </w:pPr>
      <w:r>
        <w:rPr>
          <w:sz w:val="24"/>
          <w:szCs w:val="24"/>
          <w:lang w:val="da-DK"/>
        </w:rPr>
        <w:t>Svært nedsat nyrefunktion (GFR &lt; 30</w:t>
      </w:r>
      <w:r>
        <w:rPr>
          <w:spacing w:val="-4"/>
          <w:sz w:val="24"/>
          <w:szCs w:val="24"/>
          <w:lang w:val="da-DK"/>
        </w:rPr>
        <w:t xml:space="preserve"> </w:t>
      </w:r>
      <w:r>
        <w:rPr>
          <w:sz w:val="24"/>
          <w:szCs w:val="24"/>
          <w:lang w:val="da-DK"/>
        </w:rPr>
        <w:t>mL/min)</w:t>
      </w:r>
    </w:p>
    <w:p w14:paraId="4A415A9F" w14:textId="77777777" w:rsidR="00DC6CAA" w:rsidRDefault="00DC6CAA" w:rsidP="007C3B21">
      <w:pPr>
        <w:pStyle w:val="Listeafsnit"/>
        <w:numPr>
          <w:ilvl w:val="0"/>
          <w:numId w:val="7"/>
        </w:numPr>
        <w:tabs>
          <w:tab w:val="left" w:pos="785"/>
        </w:tabs>
        <w:spacing w:line="240" w:lineRule="auto"/>
        <w:ind w:left="1276" w:right="378" w:hanging="425"/>
        <w:rPr>
          <w:sz w:val="24"/>
          <w:szCs w:val="24"/>
          <w:lang w:val="da-DK"/>
        </w:rPr>
      </w:pPr>
      <w:r>
        <w:rPr>
          <w:sz w:val="24"/>
          <w:szCs w:val="24"/>
          <w:lang w:val="da-DK"/>
        </w:rPr>
        <w:t>Akutte tilstande med risiko for ændring i nyrefunktionen såsom dehydrering, alvorlig infektion eller</w:t>
      </w:r>
      <w:r>
        <w:rPr>
          <w:spacing w:val="-2"/>
          <w:sz w:val="24"/>
          <w:szCs w:val="24"/>
          <w:lang w:val="da-DK"/>
        </w:rPr>
        <w:t xml:space="preserve"> </w:t>
      </w:r>
      <w:r>
        <w:rPr>
          <w:sz w:val="24"/>
          <w:szCs w:val="24"/>
          <w:lang w:val="da-DK"/>
        </w:rPr>
        <w:t>shock</w:t>
      </w:r>
    </w:p>
    <w:p w14:paraId="483E509D" w14:textId="77777777" w:rsidR="00DC6CAA" w:rsidRDefault="00DC6CAA" w:rsidP="007C3B21">
      <w:pPr>
        <w:pStyle w:val="Listeafsnit"/>
        <w:numPr>
          <w:ilvl w:val="0"/>
          <w:numId w:val="7"/>
        </w:numPr>
        <w:tabs>
          <w:tab w:val="left" w:pos="785"/>
        </w:tabs>
        <w:spacing w:line="240" w:lineRule="auto"/>
        <w:ind w:left="1276" w:right="743" w:hanging="425"/>
        <w:rPr>
          <w:sz w:val="24"/>
          <w:szCs w:val="24"/>
          <w:lang w:val="da-DK"/>
        </w:rPr>
      </w:pPr>
      <w:r>
        <w:rPr>
          <w:sz w:val="24"/>
          <w:szCs w:val="24"/>
          <w:lang w:val="da-DK"/>
        </w:rPr>
        <w:t>Sygdom, der kan give vævshypoxi (især akut sygdom eller forværring af kronisk sygdom), såsom dekompenseret hjertesvigt, respirationssvigt, nyligt myokardieinfarkt eller</w:t>
      </w:r>
      <w:r>
        <w:rPr>
          <w:spacing w:val="-30"/>
          <w:sz w:val="24"/>
          <w:szCs w:val="24"/>
          <w:lang w:val="da-DK"/>
        </w:rPr>
        <w:t xml:space="preserve"> </w:t>
      </w:r>
      <w:r>
        <w:rPr>
          <w:sz w:val="24"/>
          <w:szCs w:val="24"/>
          <w:lang w:val="da-DK"/>
        </w:rPr>
        <w:t>shock</w:t>
      </w:r>
    </w:p>
    <w:p w14:paraId="19A7827C" w14:textId="77777777" w:rsidR="00DC6CAA" w:rsidRDefault="00DC6CAA" w:rsidP="007C3B21">
      <w:pPr>
        <w:pStyle w:val="Listeafsnit"/>
        <w:numPr>
          <w:ilvl w:val="0"/>
          <w:numId w:val="7"/>
        </w:numPr>
        <w:tabs>
          <w:tab w:val="left" w:pos="785"/>
        </w:tabs>
        <w:spacing w:line="240" w:lineRule="auto"/>
        <w:ind w:left="1276" w:hanging="425"/>
        <w:rPr>
          <w:lang w:val="da-DK"/>
        </w:rPr>
      </w:pPr>
      <w:r>
        <w:rPr>
          <w:sz w:val="24"/>
          <w:szCs w:val="24"/>
          <w:lang w:val="da-DK"/>
        </w:rPr>
        <w:t>Nedsat leverfunktion, akut alkoholforgiftning, alkoholisme (se pkt.</w:t>
      </w:r>
      <w:r>
        <w:rPr>
          <w:spacing w:val="-14"/>
          <w:sz w:val="24"/>
          <w:szCs w:val="24"/>
          <w:lang w:val="da-DK"/>
        </w:rPr>
        <w:t xml:space="preserve"> </w:t>
      </w:r>
      <w:r>
        <w:rPr>
          <w:sz w:val="24"/>
          <w:szCs w:val="24"/>
          <w:lang w:val="da-DK"/>
        </w:rPr>
        <w:t>4.5).</w:t>
      </w:r>
    </w:p>
    <w:p w14:paraId="317F622C" w14:textId="77777777" w:rsidR="009260DE" w:rsidRPr="00C84483" w:rsidRDefault="009260DE" w:rsidP="009260DE">
      <w:pPr>
        <w:tabs>
          <w:tab w:val="left" w:pos="851"/>
        </w:tabs>
        <w:ind w:left="851"/>
        <w:rPr>
          <w:sz w:val="24"/>
          <w:szCs w:val="24"/>
        </w:rPr>
      </w:pPr>
    </w:p>
    <w:p w14:paraId="7EE5F9C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EFF4A35" w14:textId="77777777" w:rsidR="00312252" w:rsidRDefault="00312252" w:rsidP="007C3B21">
      <w:pPr>
        <w:pStyle w:val="Brdtekst"/>
        <w:ind w:left="851" w:right="142"/>
        <w:rPr>
          <w:sz w:val="24"/>
          <w:szCs w:val="24"/>
          <w:u w:val="single"/>
          <w:lang w:val="da-DK"/>
        </w:rPr>
      </w:pPr>
    </w:p>
    <w:p w14:paraId="14D69A19" w14:textId="5B1E285C" w:rsidR="00DC6CAA" w:rsidRDefault="00DC6CAA" w:rsidP="007C3B21">
      <w:pPr>
        <w:pStyle w:val="Brdtekst"/>
        <w:ind w:left="851" w:right="142"/>
        <w:rPr>
          <w:sz w:val="24"/>
          <w:szCs w:val="24"/>
          <w:lang w:val="da-DK"/>
        </w:rPr>
      </w:pPr>
      <w:r>
        <w:rPr>
          <w:sz w:val="24"/>
          <w:szCs w:val="24"/>
          <w:u w:val="single"/>
          <w:lang w:val="da-DK"/>
        </w:rPr>
        <w:t>Generelt</w:t>
      </w:r>
    </w:p>
    <w:p w14:paraId="07E26F6D" w14:textId="3D8E2271" w:rsidR="00DC6CAA" w:rsidRDefault="002B2434" w:rsidP="007C3B21">
      <w:pPr>
        <w:pStyle w:val="Brdtekst"/>
        <w:ind w:left="851" w:right="142"/>
        <w:rPr>
          <w:sz w:val="24"/>
          <w:szCs w:val="24"/>
          <w:lang w:val="da-DK"/>
        </w:rPr>
      </w:pPr>
      <w:r>
        <w:rPr>
          <w:sz w:val="24"/>
          <w:szCs w:val="24"/>
          <w:lang w:val="da-DK"/>
        </w:rPr>
        <w:t>Glymetia</w:t>
      </w:r>
      <w:r w:rsidR="00DC6CAA">
        <w:rPr>
          <w:sz w:val="24"/>
          <w:szCs w:val="24"/>
          <w:lang w:val="da-DK"/>
        </w:rPr>
        <w:t xml:space="preserve"> bør ikke anvendes til patienter med type 1-diabetes.</w:t>
      </w:r>
    </w:p>
    <w:p w14:paraId="14D960DF" w14:textId="77777777" w:rsidR="00DC6CAA" w:rsidRDefault="00DC6CAA" w:rsidP="007C3B21">
      <w:pPr>
        <w:pStyle w:val="Brdtekst"/>
        <w:ind w:left="851" w:right="142"/>
        <w:rPr>
          <w:sz w:val="24"/>
          <w:szCs w:val="24"/>
          <w:lang w:val="da-DK"/>
        </w:rPr>
      </w:pPr>
    </w:p>
    <w:p w14:paraId="72660E4B" w14:textId="77777777" w:rsidR="00DC6CAA" w:rsidRDefault="00DC6CAA" w:rsidP="007C3B21">
      <w:pPr>
        <w:pStyle w:val="Brdtekst"/>
        <w:ind w:left="851" w:right="142"/>
        <w:rPr>
          <w:sz w:val="24"/>
          <w:szCs w:val="24"/>
          <w:lang w:val="da-DK"/>
        </w:rPr>
      </w:pPr>
      <w:r>
        <w:rPr>
          <w:sz w:val="24"/>
          <w:szCs w:val="24"/>
          <w:u w:val="single"/>
          <w:lang w:val="da-DK"/>
        </w:rPr>
        <w:t>Hypoglykæmi</w:t>
      </w:r>
    </w:p>
    <w:p w14:paraId="503F57CB" w14:textId="77777777" w:rsidR="00DC6CAA" w:rsidRDefault="00DC6CAA" w:rsidP="007C3B21">
      <w:pPr>
        <w:pStyle w:val="Brdtekst"/>
        <w:ind w:left="851" w:right="142"/>
        <w:rPr>
          <w:sz w:val="24"/>
          <w:szCs w:val="24"/>
          <w:lang w:val="da-DK"/>
        </w:rPr>
      </w:pPr>
      <w:r>
        <w:rPr>
          <w:sz w:val="24"/>
          <w:szCs w:val="24"/>
          <w:lang w:val="da-DK"/>
        </w:rPr>
        <w:t>Når linagliptin blev givet i tillæg til et sulfonylurinstof med metformin som baggrundsbehandling, var forekomsten af hypoglykæmi hyppigere sammenlignet med placebo.</w:t>
      </w:r>
    </w:p>
    <w:p w14:paraId="2917ED06" w14:textId="77777777" w:rsidR="00DC6CAA" w:rsidRDefault="00DC6CAA" w:rsidP="007C3B21">
      <w:pPr>
        <w:pStyle w:val="Brdtekst"/>
        <w:ind w:left="851" w:right="142"/>
        <w:rPr>
          <w:sz w:val="24"/>
          <w:szCs w:val="24"/>
          <w:lang w:val="da-DK"/>
        </w:rPr>
      </w:pPr>
    </w:p>
    <w:p w14:paraId="15ECD6B3" w14:textId="03ADE7A2" w:rsidR="00DC6CAA" w:rsidRDefault="00DC6CAA" w:rsidP="007C3B21">
      <w:pPr>
        <w:pStyle w:val="Brdtekst"/>
        <w:ind w:left="851" w:right="142"/>
        <w:rPr>
          <w:sz w:val="24"/>
          <w:szCs w:val="24"/>
          <w:lang w:val="da-DK"/>
        </w:rPr>
      </w:pPr>
      <w:r>
        <w:rPr>
          <w:sz w:val="24"/>
          <w:szCs w:val="24"/>
          <w:lang w:val="da-DK"/>
        </w:rPr>
        <w:t xml:space="preserve">Sulfonylurinstoffer og insulin er kendt for at forårsage hypoglykæmi. Derfor bør der udvises forsigtighed, når </w:t>
      </w:r>
      <w:r w:rsidR="002B2434">
        <w:rPr>
          <w:sz w:val="24"/>
          <w:szCs w:val="24"/>
          <w:lang w:val="da-DK"/>
        </w:rPr>
        <w:t>Glymetia</w:t>
      </w:r>
      <w:r>
        <w:rPr>
          <w:sz w:val="24"/>
          <w:szCs w:val="24"/>
          <w:lang w:val="da-DK"/>
        </w:rPr>
        <w:t xml:space="preserve"> bruges i kombination med et sulfonylurinstof og/eller insulin.</w:t>
      </w:r>
    </w:p>
    <w:p w14:paraId="39F54A7F" w14:textId="77777777" w:rsidR="00DC6CAA" w:rsidRDefault="00DC6CAA" w:rsidP="007C3B21">
      <w:pPr>
        <w:pStyle w:val="Brdtekst"/>
        <w:ind w:left="851" w:right="142"/>
        <w:rPr>
          <w:sz w:val="24"/>
          <w:szCs w:val="24"/>
          <w:lang w:val="da-DK"/>
        </w:rPr>
      </w:pPr>
      <w:r>
        <w:rPr>
          <w:sz w:val="24"/>
          <w:szCs w:val="24"/>
          <w:lang w:val="da-DK"/>
        </w:rPr>
        <w:t>Dosisreduktion af sulfonylurinstof eller insulin kan overvejes (se pkt. 4.2).</w:t>
      </w:r>
    </w:p>
    <w:p w14:paraId="1237D031" w14:textId="77777777" w:rsidR="00DC6CAA" w:rsidRDefault="00DC6CAA" w:rsidP="007C3B21">
      <w:pPr>
        <w:pStyle w:val="Brdtekst"/>
        <w:ind w:left="851" w:right="142"/>
        <w:rPr>
          <w:sz w:val="24"/>
          <w:szCs w:val="24"/>
          <w:lang w:val="da-DK"/>
        </w:rPr>
      </w:pPr>
    </w:p>
    <w:p w14:paraId="023AAA6B" w14:textId="77777777" w:rsidR="00DC6CAA" w:rsidRDefault="00DC6CAA" w:rsidP="007C3B21">
      <w:pPr>
        <w:pStyle w:val="Brdtekst"/>
        <w:ind w:left="851" w:right="142"/>
        <w:rPr>
          <w:sz w:val="24"/>
          <w:szCs w:val="24"/>
          <w:lang w:val="da-DK"/>
        </w:rPr>
      </w:pPr>
      <w:r>
        <w:rPr>
          <w:sz w:val="24"/>
          <w:szCs w:val="24"/>
          <w:lang w:val="da-DK"/>
        </w:rPr>
        <w:t>Hypoglykæmi er ikke identificeret som en bivirkning for linagliptin, metformin eller linagliptin plus metformin. I kliniske studier var forekomsten af hypoglykæmi sammenlignelig lav hos patienter, der tog linagliptin i kombination med metformin eller metformin alene.</w:t>
      </w:r>
    </w:p>
    <w:p w14:paraId="1FA86A58" w14:textId="77777777" w:rsidR="00DC6CAA" w:rsidRDefault="00DC6CAA" w:rsidP="007C3B21">
      <w:pPr>
        <w:pStyle w:val="Brdtekst"/>
        <w:ind w:left="851" w:right="142"/>
        <w:rPr>
          <w:sz w:val="24"/>
          <w:szCs w:val="24"/>
          <w:lang w:val="da-DK"/>
        </w:rPr>
      </w:pPr>
    </w:p>
    <w:p w14:paraId="1B04708A" w14:textId="77777777" w:rsidR="00DC6CAA" w:rsidRDefault="00DC6CAA" w:rsidP="007C3B21">
      <w:pPr>
        <w:pStyle w:val="Brdtekst"/>
        <w:ind w:left="851" w:right="142"/>
        <w:rPr>
          <w:sz w:val="24"/>
          <w:szCs w:val="24"/>
          <w:lang w:val="da-DK"/>
        </w:rPr>
      </w:pPr>
      <w:r>
        <w:rPr>
          <w:sz w:val="24"/>
          <w:szCs w:val="24"/>
          <w:u w:val="single"/>
          <w:lang w:val="da-DK"/>
        </w:rPr>
        <w:t>Laktatacidose</w:t>
      </w:r>
    </w:p>
    <w:p w14:paraId="145E1BF4" w14:textId="77777777" w:rsidR="00DC6CAA" w:rsidRDefault="00DC6CAA" w:rsidP="007C3B21">
      <w:pPr>
        <w:pStyle w:val="Brdtekst"/>
        <w:ind w:left="851" w:right="142"/>
        <w:rPr>
          <w:sz w:val="24"/>
          <w:szCs w:val="24"/>
          <w:lang w:val="da-DK"/>
        </w:rPr>
      </w:pPr>
      <w:r>
        <w:rPr>
          <w:color w:val="323232"/>
          <w:sz w:val="24"/>
          <w:szCs w:val="24"/>
          <w:lang w:val="da-DK"/>
        </w:rPr>
        <w:t>Laktatacidose er en meget sjælden, men alvorlig metabolisk komplikation, som oftest indtræder ved akut forværring af nyrefunktionen eller ved kardiopulmonal sygdom eller sepsis. Ved akut forværring af nyrefunktionen akkumuleres metformin, hvilket øger risikoen for laktatacidose.</w:t>
      </w:r>
    </w:p>
    <w:p w14:paraId="79630D7E" w14:textId="77777777" w:rsidR="00DC6CAA" w:rsidRDefault="00DC6CAA" w:rsidP="007C3B21">
      <w:pPr>
        <w:pStyle w:val="Brdtekst"/>
        <w:ind w:left="851" w:right="142"/>
        <w:rPr>
          <w:sz w:val="24"/>
          <w:szCs w:val="24"/>
          <w:lang w:val="da-DK"/>
        </w:rPr>
      </w:pPr>
    </w:p>
    <w:p w14:paraId="6809A145" w14:textId="77777777" w:rsidR="00DC6CAA" w:rsidRDefault="00DC6CAA" w:rsidP="007C3B21">
      <w:pPr>
        <w:pStyle w:val="Brdtekst"/>
        <w:ind w:left="851" w:right="142"/>
        <w:rPr>
          <w:sz w:val="24"/>
          <w:szCs w:val="24"/>
          <w:lang w:val="da-DK"/>
        </w:rPr>
      </w:pPr>
      <w:r>
        <w:rPr>
          <w:sz w:val="24"/>
          <w:szCs w:val="24"/>
          <w:lang w:val="da-DK"/>
        </w:rPr>
        <w:t>Ved tilfælde af dehydrering (alvorlig diarré eller opkastning, feber eller nedsat væskeindtagelse) skal metforminbehandlingen afbrydes midlertidigt, og det anbefales, at kontakte en sundhedsperson.</w:t>
      </w:r>
    </w:p>
    <w:p w14:paraId="547CAFB4" w14:textId="77777777" w:rsidR="00DC6CAA" w:rsidRDefault="00DC6CAA" w:rsidP="007C3B21">
      <w:pPr>
        <w:pStyle w:val="Brdtekst"/>
        <w:ind w:left="851" w:right="142"/>
        <w:rPr>
          <w:sz w:val="24"/>
          <w:szCs w:val="24"/>
          <w:lang w:val="da-DK"/>
        </w:rPr>
      </w:pPr>
    </w:p>
    <w:p w14:paraId="4E6D6BD9" w14:textId="77777777" w:rsidR="00DC6CAA" w:rsidRDefault="00DC6CAA" w:rsidP="007C3B21">
      <w:pPr>
        <w:pStyle w:val="Brdtekst"/>
        <w:ind w:left="851" w:right="142"/>
        <w:rPr>
          <w:sz w:val="24"/>
          <w:szCs w:val="24"/>
          <w:lang w:val="da-DK"/>
        </w:rPr>
      </w:pPr>
      <w:r>
        <w:rPr>
          <w:sz w:val="24"/>
          <w:szCs w:val="24"/>
          <w:lang w:val="da-DK"/>
        </w:rPr>
        <w:t>Lægemidler, som kan medføre akut nedsættelse af nyrefunktionen (såsom antihypertensiva, diuretika og NSAID), bør opstartes med forsigtighed hos patienter i behandling med metformin. Andre risikofaktorer for laktatacidose omfatter stort alkoholforbrug, nedsat leverfunktion, utilstrækkeligt kontrolleret diabetes, ketose, langvarig faste og enhver tilstand forbundet med hypoksi samt samtidig brug af lægemidler, der kan forårsage laktatacidose (se pkt. 4.3 og 4.5).</w:t>
      </w:r>
    </w:p>
    <w:p w14:paraId="56CF4D68" w14:textId="77777777" w:rsidR="00DC6CAA" w:rsidRDefault="00DC6CAA" w:rsidP="007C3B21">
      <w:pPr>
        <w:pStyle w:val="Brdtekst"/>
        <w:ind w:left="851" w:right="142"/>
        <w:rPr>
          <w:sz w:val="24"/>
          <w:szCs w:val="24"/>
          <w:lang w:val="da-DK"/>
        </w:rPr>
      </w:pPr>
    </w:p>
    <w:p w14:paraId="69D965FF" w14:textId="77777777" w:rsidR="00DC6CAA" w:rsidRDefault="00DC6CAA" w:rsidP="007C3B21">
      <w:pPr>
        <w:pStyle w:val="Brdtekst"/>
        <w:ind w:left="851" w:right="142"/>
        <w:rPr>
          <w:sz w:val="24"/>
          <w:szCs w:val="24"/>
          <w:lang w:val="da-DK"/>
        </w:rPr>
      </w:pPr>
      <w:r>
        <w:rPr>
          <w:sz w:val="24"/>
          <w:szCs w:val="24"/>
          <w:lang w:val="da-DK"/>
        </w:rPr>
        <w:t xml:space="preserve">Patienter og/eller omsorgspersoner skal informeres om risikoen for laktatacidose. Laktatacidose er kendetegnet ved acidotisk dyspnø, abdominalsmerter, muskelkramper, asteni og hypotermi efterfulgt af koma. Patienterne skal informeres om at stoppe med at tage metformin og øjeblikkeligt søge lægehjælp ved symptomer, der kan give mistanke om laktatacidose. Diagnostiske laboratoriefund er nedsat pH i blodet (&lt; 7,35), forhøjet </w:t>
      </w:r>
      <w:r>
        <w:rPr>
          <w:sz w:val="24"/>
          <w:szCs w:val="24"/>
          <w:lang w:val="da-DK"/>
        </w:rPr>
        <w:lastRenderedPageBreak/>
        <w:t>laktatniveau i blodet (&gt; 5 mmol/L) samt øget anion-gap og laktat/pyruvat-ratio.</w:t>
      </w:r>
    </w:p>
    <w:p w14:paraId="542AD1F6" w14:textId="77777777" w:rsidR="00DC6CAA" w:rsidRDefault="00DC6CAA" w:rsidP="007C3B21">
      <w:pPr>
        <w:pStyle w:val="Brdtekst"/>
        <w:ind w:left="851" w:right="142"/>
        <w:rPr>
          <w:sz w:val="24"/>
          <w:szCs w:val="24"/>
          <w:lang w:val="da-DK"/>
        </w:rPr>
      </w:pPr>
    </w:p>
    <w:p w14:paraId="09C59A8B" w14:textId="77777777" w:rsidR="00DC6CAA" w:rsidRDefault="00DC6CAA" w:rsidP="007C3B21">
      <w:pPr>
        <w:pStyle w:val="Brdtekst"/>
        <w:ind w:left="851" w:right="142"/>
        <w:rPr>
          <w:sz w:val="24"/>
          <w:szCs w:val="24"/>
          <w:lang w:val="da-DK"/>
        </w:rPr>
      </w:pPr>
      <w:r>
        <w:rPr>
          <w:sz w:val="24"/>
          <w:szCs w:val="24"/>
          <w:u w:val="single"/>
          <w:lang w:val="da-DK"/>
        </w:rPr>
        <w:t>Administration af iodholdige kontrastmidler</w:t>
      </w:r>
    </w:p>
    <w:p w14:paraId="7CC6879B" w14:textId="77777777" w:rsidR="00DC6CAA" w:rsidRDefault="00DC6CAA" w:rsidP="007C3B21">
      <w:pPr>
        <w:pStyle w:val="Brdtekst"/>
        <w:ind w:left="851" w:right="142"/>
        <w:rPr>
          <w:sz w:val="24"/>
          <w:szCs w:val="24"/>
          <w:lang w:val="da-DK"/>
        </w:rPr>
      </w:pPr>
      <w:r>
        <w:rPr>
          <w:sz w:val="24"/>
          <w:szCs w:val="24"/>
          <w:lang w:val="da-DK"/>
        </w:rPr>
        <w:t>Intravaskulær administration af iodholdige kontrastmidler kan medføre kontrastinduceret nefropati, resulterende i akkumulation af metformin og en øget risiko for laktatacidose. Behandling med metformin skal afbrydes forud for eller på tidspunktet for en billeddiagnostisk procedure og først genoptages efter mindst 48 timer, forudsat at nyrefunktionen er blevet revurderet og fundet stabil, se pkt. 4.2 og 4.5.</w:t>
      </w:r>
    </w:p>
    <w:p w14:paraId="674D3F97" w14:textId="77777777" w:rsidR="00DC6CAA" w:rsidRDefault="00DC6CAA" w:rsidP="007C3B21">
      <w:pPr>
        <w:pStyle w:val="Brdtekst"/>
        <w:ind w:left="851" w:right="142"/>
        <w:rPr>
          <w:sz w:val="24"/>
          <w:szCs w:val="24"/>
          <w:lang w:val="da-DK"/>
        </w:rPr>
      </w:pPr>
    </w:p>
    <w:p w14:paraId="198D6E7B" w14:textId="77777777" w:rsidR="00DC6CAA" w:rsidRDefault="00DC6CAA" w:rsidP="007C3B21">
      <w:pPr>
        <w:pStyle w:val="Brdtekst"/>
        <w:ind w:left="851" w:right="142"/>
        <w:rPr>
          <w:sz w:val="24"/>
          <w:szCs w:val="24"/>
          <w:lang w:val="da-DK"/>
        </w:rPr>
      </w:pPr>
      <w:r>
        <w:rPr>
          <w:sz w:val="24"/>
          <w:szCs w:val="24"/>
          <w:u w:val="single"/>
          <w:lang w:val="da-DK"/>
        </w:rPr>
        <w:t>Nyrefunktion</w:t>
      </w:r>
    </w:p>
    <w:p w14:paraId="61D42A5D" w14:textId="77777777" w:rsidR="00DC6CAA" w:rsidRDefault="00DC6CAA" w:rsidP="007C3B21">
      <w:pPr>
        <w:pStyle w:val="Brdtekst"/>
        <w:ind w:left="851" w:right="142"/>
        <w:rPr>
          <w:sz w:val="24"/>
          <w:szCs w:val="24"/>
          <w:lang w:val="da-DK"/>
        </w:rPr>
      </w:pPr>
      <w:r>
        <w:rPr>
          <w:sz w:val="24"/>
          <w:szCs w:val="24"/>
          <w:lang w:val="da-DK"/>
        </w:rPr>
        <w:t>GFR skal bestemmes inden behandlingsstart og regelmæssigt derefter, se pkt. 4.2. Metformin er kontraindiceret hos patienter med GFR &lt; 30 mL/min, og behandlingen skal afbrydes midlertidigt ved tilstedeværelse af tilstande, der påvirker nyrefunktionen (se pkt. 4.3).</w:t>
      </w:r>
    </w:p>
    <w:p w14:paraId="236A2F24" w14:textId="77777777" w:rsidR="00DC6CAA" w:rsidRDefault="00DC6CAA" w:rsidP="007C3B21">
      <w:pPr>
        <w:pStyle w:val="Brdtekst"/>
        <w:ind w:left="851" w:right="142"/>
        <w:rPr>
          <w:sz w:val="24"/>
          <w:szCs w:val="24"/>
          <w:lang w:val="da-DK"/>
        </w:rPr>
      </w:pPr>
    </w:p>
    <w:p w14:paraId="3B9F4D7F" w14:textId="77777777" w:rsidR="00DC6CAA" w:rsidRDefault="00DC6CAA" w:rsidP="007C3B21">
      <w:pPr>
        <w:pStyle w:val="Brdtekst"/>
        <w:ind w:left="851" w:right="142"/>
        <w:rPr>
          <w:sz w:val="24"/>
          <w:szCs w:val="24"/>
          <w:lang w:val="da-DK"/>
        </w:rPr>
      </w:pPr>
      <w:r>
        <w:rPr>
          <w:sz w:val="24"/>
          <w:szCs w:val="24"/>
          <w:u w:val="single"/>
          <w:lang w:val="da-DK"/>
        </w:rPr>
        <w:t>Hjertefunktion</w:t>
      </w:r>
    </w:p>
    <w:p w14:paraId="696CDDAC" w14:textId="74DFC052" w:rsidR="00DC6CAA" w:rsidRDefault="00DC6CAA" w:rsidP="007C3B21">
      <w:pPr>
        <w:pStyle w:val="Brdtekst"/>
        <w:ind w:left="851" w:right="142"/>
        <w:rPr>
          <w:sz w:val="24"/>
          <w:szCs w:val="24"/>
          <w:lang w:val="da-DK"/>
        </w:rPr>
      </w:pPr>
      <w:r>
        <w:rPr>
          <w:sz w:val="24"/>
          <w:szCs w:val="24"/>
          <w:lang w:val="da-DK"/>
        </w:rPr>
        <w:t xml:space="preserve">Patienter med hjerteinsufficiens har større risiko for hypoxi og nedsat nyrefunktion. </w:t>
      </w:r>
      <w:r w:rsidR="002B2434">
        <w:rPr>
          <w:sz w:val="24"/>
          <w:szCs w:val="24"/>
          <w:lang w:val="da-DK"/>
        </w:rPr>
        <w:t>Glymetia</w:t>
      </w:r>
      <w:r>
        <w:rPr>
          <w:sz w:val="24"/>
          <w:szCs w:val="24"/>
          <w:lang w:val="da-DK"/>
        </w:rPr>
        <w:t xml:space="preserve"> kan gives til patienter med stabil kronisk hjerteinsufficiens, forudsat at hjerte- og nyrefunktionen monitoreres regelmæssigt. </w:t>
      </w:r>
      <w:r w:rsidR="002B2434">
        <w:rPr>
          <w:sz w:val="24"/>
          <w:szCs w:val="24"/>
          <w:lang w:val="da-DK"/>
        </w:rPr>
        <w:t>Glymetia</w:t>
      </w:r>
      <w:r>
        <w:rPr>
          <w:sz w:val="24"/>
          <w:szCs w:val="24"/>
          <w:lang w:val="da-DK"/>
        </w:rPr>
        <w:t xml:space="preserve"> er kontraindiceret hos patienter med akut og ustabil hjerteinsufficiens (se pkt. 4.3).</w:t>
      </w:r>
    </w:p>
    <w:p w14:paraId="1080F5D7" w14:textId="77777777" w:rsidR="00DC6CAA" w:rsidRDefault="00DC6CAA" w:rsidP="007C3B21">
      <w:pPr>
        <w:pStyle w:val="Brdtekst"/>
        <w:ind w:left="851" w:right="142"/>
        <w:rPr>
          <w:sz w:val="24"/>
          <w:szCs w:val="24"/>
          <w:lang w:val="da-DK"/>
        </w:rPr>
      </w:pPr>
    </w:p>
    <w:p w14:paraId="3E63F13A" w14:textId="77777777" w:rsidR="00DC6CAA" w:rsidRDefault="00DC6CAA" w:rsidP="007C3B21">
      <w:pPr>
        <w:pStyle w:val="Brdtekst"/>
        <w:ind w:left="851" w:right="142"/>
        <w:rPr>
          <w:sz w:val="24"/>
          <w:szCs w:val="24"/>
          <w:lang w:val="da-DK"/>
        </w:rPr>
      </w:pPr>
      <w:r>
        <w:rPr>
          <w:sz w:val="24"/>
          <w:szCs w:val="24"/>
          <w:u w:val="single"/>
          <w:lang w:val="da-DK"/>
        </w:rPr>
        <w:t>Kirurgi</w:t>
      </w:r>
    </w:p>
    <w:p w14:paraId="1B2A19C9" w14:textId="77777777" w:rsidR="00DC6CAA" w:rsidRDefault="00DC6CAA" w:rsidP="007C3B21">
      <w:pPr>
        <w:pStyle w:val="Brdtekst"/>
        <w:ind w:left="851" w:right="142"/>
        <w:rPr>
          <w:sz w:val="24"/>
          <w:szCs w:val="24"/>
          <w:lang w:val="da-DK"/>
        </w:rPr>
      </w:pPr>
      <w:r>
        <w:rPr>
          <w:sz w:val="24"/>
          <w:szCs w:val="24"/>
          <w:lang w:val="da-DK"/>
        </w:rPr>
        <w:t>Metformin skal seponeres på tidspunktet for kirurgi under generel, spinal eller epidural anæstesi. Behandlingen må tidligst genoptages 48 timer efter kirurgi eller genoptagelse af oral ernæring og under forudsætning af, at nyrefunktionen er blevet revurderet og fundet stabil.</w:t>
      </w:r>
    </w:p>
    <w:p w14:paraId="392BF415" w14:textId="77777777" w:rsidR="00DC6CAA" w:rsidRDefault="00DC6CAA" w:rsidP="007C3B21">
      <w:pPr>
        <w:pStyle w:val="Brdtekst"/>
        <w:ind w:left="851" w:right="142"/>
        <w:rPr>
          <w:sz w:val="24"/>
          <w:szCs w:val="24"/>
          <w:lang w:val="da-DK"/>
        </w:rPr>
      </w:pPr>
    </w:p>
    <w:p w14:paraId="663FAF14" w14:textId="77777777" w:rsidR="00DC6CAA" w:rsidRDefault="00DC6CAA" w:rsidP="007C3B21">
      <w:pPr>
        <w:pStyle w:val="Brdtekst"/>
        <w:ind w:left="851" w:right="142"/>
        <w:rPr>
          <w:sz w:val="24"/>
          <w:szCs w:val="24"/>
          <w:lang w:val="da-DK"/>
        </w:rPr>
      </w:pPr>
      <w:r>
        <w:rPr>
          <w:sz w:val="24"/>
          <w:szCs w:val="24"/>
          <w:u w:val="single"/>
          <w:lang w:val="da-DK"/>
        </w:rPr>
        <w:t>Ældre</w:t>
      </w:r>
    </w:p>
    <w:p w14:paraId="342C9039" w14:textId="77777777" w:rsidR="00DC6CAA" w:rsidRDefault="00DC6CAA" w:rsidP="007C3B21">
      <w:pPr>
        <w:pStyle w:val="Brdtekst"/>
        <w:ind w:left="851" w:right="142"/>
        <w:rPr>
          <w:sz w:val="24"/>
          <w:szCs w:val="24"/>
          <w:lang w:val="da-DK"/>
        </w:rPr>
      </w:pPr>
      <w:r>
        <w:rPr>
          <w:sz w:val="24"/>
          <w:szCs w:val="24"/>
          <w:lang w:val="da-DK"/>
        </w:rPr>
        <w:t>Forsigtighed bør udvises ved behandling af patienter på 80 år og derover (se pkt. 4.2).</w:t>
      </w:r>
    </w:p>
    <w:p w14:paraId="2CA59B26" w14:textId="77777777" w:rsidR="00DC6CAA" w:rsidRDefault="00DC6CAA" w:rsidP="007C3B21">
      <w:pPr>
        <w:pStyle w:val="Brdtekst"/>
        <w:ind w:left="851" w:right="142"/>
        <w:rPr>
          <w:sz w:val="24"/>
          <w:szCs w:val="24"/>
          <w:lang w:val="da-DK"/>
        </w:rPr>
      </w:pPr>
    </w:p>
    <w:p w14:paraId="683DBC5F" w14:textId="77777777" w:rsidR="00DC6CAA" w:rsidRDefault="00DC6CAA" w:rsidP="007C3B21">
      <w:pPr>
        <w:pStyle w:val="Brdtekst"/>
        <w:ind w:left="851" w:right="142"/>
        <w:rPr>
          <w:sz w:val="24"/>
          <w:szCs w:val="24"/>
          <w:lang w:val="da-DK"/>
        </w:rPr>
      </w:pPr>
      <w:r>
        <w:rPr>
          <w:sz w:val="24"/>
          <w:szCs w:val="24"/>
          <w:u w:val="single"/>
          <w:lang w:val="da-DK"/>
        </w:rPr>
        <w:t>Ændring i klinisk status hos patienter med tidligere velkontrolleret type 2-diabetes</w:t>
      </w:r>
    </w:p>
    <w:p w14:paraId="237071DD" w14:textId="2377B1AA" w:rsidR="00DC6CAA" w:rsidRDefault="00DC6CAA" w:rsidP="007C3B21">
      <w:pPr>
        <w:pStyle w:val="Brdtekst"/>
        <w:ind w:left="851" w:right="142"/>
        <w:rPr>
          <w:sz w:val="24"/>
          <w:szCs w:val="24"/>
          <w:lang w:val="da-DK"/>
        </w:rPr>
      </w:pPr>
      <w:r>
        <w:rPr>
          <w:sz w:val="24"/>
          <w:szCs w:val="24"/>
          <w:lang w:val="da-DK"/>
        </w:rPr>
        <w:t xml:space="preserve">Da </w:t>
      </w:r>
      <w:r w:rsidR="002B2434">
        <w:rPr>
          <w:sz w:val="24"/>
          <w:szCs w:val="24"/>
          <w:lang w:val="da-DK"/>
        </w:rPr>
        <w:t>Glymetia</w:t>
      </w:r>
      <w:r>
        <w:rPr>
          <w:sz w:val="24"/>
          <w:szCs w:val="24"/>
          <w:lang w:val="da-DK"/>
        </w:rPr>
        <w:t xml:space="preserve"> indeholder metformin, skal en patient med type 2-diabetes, der tidligere har været velkontrolleret med </w:t>
      </w:r>
      <w:r w:rsidR="002B2434">
        <w:rPr>
          <w:sz w:val="24"/>
          <w:szCs w:val="24"/>
          <w:lang w:val="da-DK"/>
        </w:rPr>
        <w:t>Glymetia</w:t>
      </w:r>
      <w:r>
        <w:rPr>
          <w:sz w:val="24"/>
          <w:szCs w:val="24"/>
          <w:lang w:val="da-DK"/>
        </w:rPr>
        <w:t xml:space="preserve">, men som udvikler unormale laboratorieværdier eller klinisk sygdom (især uklar og dårligt defineret sygdom), straks vurderes for tegn på ketoacidose eller laktatacidose. Vurderingen skal inkludere bestemmelse af serumelektrolytter og ketoner, blodglucose og, hvis indiceret, pH i blod, laktat, pyruvat og metformin. Hvis acidose i en af formerne forekommer, skal </w:t>
      </w:r>
      <w:r w:rsidR="002B2434">
        <w:rPr>
          <w:sz w:val="24"/>
          <w:szCs w:val="24"/>
          <w:lang w:val="da-DK"/>
        </w:rPr>
        <w:t>Glymetia</w:t>
      </w:r>
      <w:r>
        <w:rPr>
          <w:sz w:val="24"/>
          <w:szCs w:val="24"/>
          <w:lang w:val="da-DK"/>
        </w:rPr>
        <w:t xml:space="preserve"> seponeres omgående og andre hensigtsmæssige og korrigerende tiltag påbegyndes.</w:t>
      </w:r>
    </w:p>
    <w:p w14:paraId="2BCCED99" w14:textId="77777777" w:rsidR="00DC6CAA" w:rsidRDefault="00DC6CAA" w:rsidP="007C3B21">
      <w:pPr>
        <w:pStyle w:val="Brdtekst"/>
        <w:ind w:left="851" w:right="142"/>
        <w:rPr>
          <w:sz w:val="24"/>
          <w:szCs w:val="24"/>
          <w:lang w:val="da-DK"/>
        </w:rPr>
      </w:pPr>
    </w:p>
    <w:p w14:paraId="6FC3D6E7" w14:textId="77777777" w:rsidR="00DC6CAA" w:rsidRDefault="00DC6CAA" w:rsidP="007C3B21">
      <w:pPr>
        <w:pStyle w:val="Brdtekst"/>
        <w:ind w:left="851" w:right="142"/>
        <w:rPr>
          <w:sz w:val="24"/>
          <w:szCs w:val="24"/>
          <w:lang w:val="da-DK"/>
        </w:rPr>
      </w:pPr>
      <w:r>
        <w:rPr>
          <w:sz w:val="24"/>
          <w:szCs w:val="24"/>
          <w:u w:val="single"/>
          <w:lang w:val="da-DK"/>
        </w:rPr>
        <w:t>Akut pankreatitis</w:t>
      </w:r>
    </w:p>
    <w:p w14:paraId="47185155" w14:textId="55CD03A3" w:rsidR="00DC6CAA" w:rsidRDefault="00DC6CAA" w:rsidP="007C3B21">
      <w:pPr>
        <w:pStyle w:val="Brdtekst"/>
        <w:ind w:left="851" w:right="142"/>
        <w:rPr>
          <w:sz w:val="24"/>
          <w:szCs w:val="24"/>
          <w:lang w:val="da-DK"/>
        </w:rPr>
      </w:pPr>
      <w:r>
        <w:rPr>
          <w:sz w:val="24"/>
          <w:szCs w:val="24"/>
          <w:lang w:val="da-DK"/>
        </w:rPr>
        <w:t xml:space="preserve">Brug af DPP-4-hæmmere er forbundet med risiko for udvikling af akut pankreatitis. Der er blevet observeret akut pankreatitis hos patienter, der tog linagliptin. I et studie af kardiovaskulær og renal sikkerhed (CARMELINA) med en median observationsperiode på 2,2 år, blev der rapporteret adjudikeret akut pankreatitis hos 0,3 % af patienterne i behandling med linagliptin, og hos 0,1 % af patienterne, der fik placebo. Patienter bør informeres om de karakteristiske symptomer på akut pankreatitis. Hvis der er mistanke om pankreatitis, skal </w:t>
      </w:r>
      <w:r w:rsidR="002B2434">
        <w:rPr>
          <w:sz w:val="24"/>
          <w:szCs w:val="24"/>
          <w:lang w:val="da-DK"/>
        </w:rPr>
        <w:t>Glymetia</w:t>
      </w:r>
      <w:r>
        <w:rPr>
          <w:sz w:val="24"/>
          <w:szCs w:val="24"/>
          <w:lang w:val="da-DK"/>
        </w:rPr>
        <w:t xml:space="preserve"> seponeres; hvis akut pankreatitis bekræftes, må behandling med </w:t>
      </w:r>
      <w:r w:rsidR="002B2434">
        <w:rPr>
          <w:sz w:val="24"/>
          <w:szCs w:val="24"/>
          <w:lang w:val="da-DK"/>
        </w:rPr>
        <w:t>Glymetia</w:t>
      </w:r>
      <w:r>
        <w:rPr>
          <w:sz w:val="24"/>
          <w:szCs w:val="24"/>
          <w:lang w:val="da-DK"/>
        </w:rPr>
        <w:t xml:space="preserve"> ikke påbegyndes igen. Der skal udvises forsigtighed ved behandling af patienter, der tidligere har haft pankreatitis.</w:t>
      </w:r>
    </w:p>
    <w:p w14:paraId="0AF4F5A3" w14:textId="77777777" w:rsidR="00DC6CAA" w:rsidRDefault="00DC6CAA" w:rsidP="007C3B21">
      <w:pPr>
        <w:pStyle w:val="Brdtekst"/>
        <w:ind w:left="851" w:right="142"/>
        <w:rPr>
          <w:sz w:val="24"/>
          <w:szCs w:val="24"/>
          <w:lang w:val="da-DK"/>
        </w:rPr>
      </w:pPr>
    </w:p>
    <w:p w14:paraId="728013D3" w14:textId="77777777" w:rsidR="00DC6CAA" w:rsidRDefault="00DC6CAA" w:rsidP="007C3B21">
      <w:pPr>
        <w:pStyle w:val="Brdtekst"/>
        <w:ind w:left="851" w:right="142"/>
        <w:rPr>
          <w:sz w:val="24"/>
          <w:szCs w:val="24"/>
          <w:lang w:val="da-DK"/>
        </w:rPr>
      </w:pPr>
      <w:r>
        <w:rPr>
          <w:sz w:val="24"/>
          <w:szCs w:val="24"/>
          <w:u w:val="single"/>
          <w:lang w:val="da-DK"/>
        </w:rPr>
        <w:t>Bulløs pemfigoid</w:t>
      </w:r>
    </w:p>
    <w:p w14:paraId="36858CE6" w14:textId="78CA744E" w:rsidR="00DC6CAA" w:rsidRDefault="00DC6CAA" w:rsidP="007C3B21">
      <w:pPr>
        <w:pStyle w:val="Brdtekst"/>
        <w:ind w:left="851" w:right="142"/>
        <w:rPr>
          <w:sz w:val="24"/>
          <w:szCs w:val="24"/>
          <w:lang w:val="da-DK"/>
        </w:rPr>
      </w:pPr>
      <w:r>
        <w:rPr>
          <w:sz w:val="24"/>
          <w:szCs w:val="24"/>
          <w:lang w:val="da-DK"/>
        </w:rPr>
        <w:lastRenderedPageBreak/>
        <w:t xml:space="preserve">Der er blevet observeret bulløs pemfigoid hos patienter, der tog linagliptin. I CARMELINA-studiet blev bulløs pemfigoid rapporteret hos 0,2 % af patienterne i behandling med linagliptin, og ikke hos nogen af de patienter, der fik placebo. Hvis der er mistanke om bulløs pemfigoid, skal </w:t>
      </w:r>
      <w:r w:rsidR="002B2434">
        <w:rPr>
          <w:sz w:val="24"/>
          <w:szCs w:val="24"/>
          <w:lang w:val="da-DK"/>
        </w:rPr>
        <w:t>Glymetia</w:t>
      </w:r>
      <w:r>
        <w:rPr>
          <w:sz w:val="24"/>
          <w:szCs w:val="24"/>
          <w:lang w:val="da-DK"/>
        </w:rPr>
        <w:t xml:space="preserve"> seponeres.</w:t>
      </w:r>
    </w:p>
    <w:p w14:paraId="3C7B2826" w14:textId="77777777" w:rsidR="00DC6CAA" w:rsidRDefault="00DC6CAA" w:rsidP="007C3B21">
      <w:pPr>
        <w:pStyle w:val="Brdtekst"/>
        <w:ind w:left="851" w:right="142"/>
        <w:rPr>
          <w:sz w:val="24"/>
          <w:szCs w:val="24"/>
          <w:lang w:val="da-DK"/>
        </w:rPr>
      </w:pPr>
    </w:p>
    <w:p w14:paraId="5BC0166A" w14:textId="77777777" w:rsidR="00DC6CAA" w:rsidRDefault="00DC6CAA" w:rsidP="007C3B21">
      <w:pPr>
        <w:pStyle w:val="Brdtekst"/>
        <w:ind w:left="851" w:right="142"/>
        <w:rPr>
          <w:sz w:val="24"/>
          <w:szCs w:val="24"/>
          <w:lang w:val="da-DK"/>
        </w:rPr>
      </w:pPr>
      <w:r>
        <w:rPr>
          <w:sz w:val="24"/>
          <w:szCs w:val="24"/>
          <w:u w:val="single"/>
          <w:lang w:val="da-DK"/>
        </w:rPr>
        <w:t>B12-vitamin</w:t>
      </w:r>
    </w:p>
    <w:p w14:paraId="7328CDD3" w14:textId="77777777" w:rsidR="00DC6CAA" w:rsidRDefault="00DC6CAA" w:rsidP="007C3B21">
      <w:pPr>
        <w:pStyle w:val="Brdtekst"/>
        <w:ind w:left="851" w:right="142"/>
        <w:rPr>
          <w:sz w:val="24"/>
          <w:szCs w:val="24"/>
          <w:lang w:val="da-DK"/>
        </w:rPr>
      </w:pPr>
      <w:r>
        <w:rPr>
          <w:sz w:val="24"/>
          <w:szCs w:val="24"/>
          <w:lang w:val="da-DK"/>
        </w:rPr>
        <w:t>Metformin kan reducere B12-vitaminniveauerne. Risikoen for lave B12-vitaminniveauer øges med tiltagende metformindosis, behandlingsvarighed og/eller hos patienter med risikofaktorer, der er kendt for at forårsage B12-vitaminmangel. Ved mistanke om B12-vitaminmangel (såsom anæmi eller neuropati) skal B12-vitaminniveauer i serum monitoreres. Periodisk monitorering af B12-vitamin kan være nødvendigt hos patienter med risikofaktorer for B12-vitaminmangel. Behandlingen med metformin bør fortsættes, så længe den tolereres og ikke er kontraindiceret, og der bør gives relevant korrigerende behandling for B12-vitaminmangel i overensstemmelse med de gældende kliniske retningslinjer.</w:t>
      </w:r>
    </w:p>
    <w:p w14:paraId="7F6D1860" w14:textId="77777777" w:rsidR="00DC6CAA" w:rsidRDefault="00DC6CAA" w:rsidP="007C3B21">
      <w:pPr>
        <w:pStyle w:val="Brdtekst"/>
        <w:ind w:left="851" w:right="142"/>
        <w:rPr>
          <w:sz w:val="24"/>
          <w:szCs w:val="24"/>
          <w:lang w:val="da-DK"/>
        </w:rPr>
      </w:pPr>
    </w:p>
    <w:p w14:paraId="174D1D7A" w14:textId="77777777" w:rsidR="00DC6CAA" w:rsidRDefault="00DC6CAA" w:rsidP="007C3B21">
      <w:pPr>
        <w:pStyle w:val="Brdtekst"/>
        <w:ind w:left="851" w:right="142"/>
        <w:rPr>
          <w:sz w:val="24"/>
          <w:szCs w:val="24"/>
          <w:u w:val="single"/>
          <w:lang w:val="da-DK"/>
        </w:rPr>
      </w:pPr>
      <w:r>
        <w:rPr>
          <w:sz w:val="24"/>
          <w:szCs w:val="24"/>
          <w:u w:val="single"/>
          <w:lang w:val="da-DK"/>
        </w:rPr>
        <w:t>Hjælpestoffer</w:t>
      </w:r>
    </w:p>
    <w:p w14:paraId="04709BE1" w14:textId="77777777" w:rsidR="00DC6CAA" w:rsidRDefault="00DC6CAA" w:rsidP="007C3B21">
      <w:pPr>
        <w:pStyle w:val="Brdtekst"/>
        <w:ind w:left="851" w:right="142"/>
        <w:rPr>
          <w:lang w:val="da-DK"/>
        </w:rPr>
      </w:pPr>
      <w:r>
        <w:rPr>
          <w:sz w:val="24"/>
          <w:szCs w:val="24"/>
          <w:lang w:val="da-DK"/>
        </w:rPr>
        <w:t>Dette lægemiddel indeholder mindre end 1 mmol (23 mg) natrium pr. tablet, dvs. det er i det væsentlige natriumfrit.</w:t>
      </w:r>
    </w:p>
    <w:p w14:paraId="7051ECF7" w14:textId="77777777" w:rsidR="009260DE" w:rsidRPr="00C84483" w:rsidRDefault="009260DE" w:rsidP="009260DE">
      <w:pPr>
        <w:tabs>
          <w:tab w:val="left" w:pos="851"/>
        </w:tabs>
        <w:ind w:left="851"/>
        <w:rPr>
          <w:sz w:val="24"/>
          <w:szCs w:val="24"/>
        </w:rPr>
      </w:pPr>
    </w:p>
    <w:p w14:paraId="11FCADB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15C1EED" w14:textId="77777777" w:rsidR="00DC6CAA" w:rsidRDefault="00DC6CAA" w:rsidP="007C3B21">
      <w:pPr>
        <w:pStyle w:val="Brdtekst"/>
        <w:ind w:left="851" w:right="142"/>
        <w:rPr>
          <w:sz w:val="24"/>
          <w:szCs w:val="24"/>
          <w:lang w:val="da-DK"/>
        </w:rPr>
      </w:pPr>
      <w:r>
        <w:rPr>
          <w:sz w:val="24"/>
          <w:szCs w:val="24"/>
          <w:lang w:val="da-DK"/>
        </w:rPr>
        <w:t>Der er ikke udført interaktionsstudier, men sådanne studier er dog udført med de enkelte aktive stoffer, dvs. linagliptin og metformin. Gentagen samtidig administration af linagliptin og metformin medførte ingen farmakokinetisk ændring af betydning af enten linagliptin eller metformin hos raske frivillige eller hos patienter.</w:t>
      </w:r>
    </w:p>
    <w:p w14:paraId="061B2EE3" w14:textId="77777777" w:rsidR="00DC6CAA" w:rsidRDefault="00DC6CAA" w:rsidP="007C3B21">
      <w:pPr>
        <w:pStyle w:val="Brdtekst"/>
        <w:ind w:left="851" w:right="142"/>
        <w:rPr>
          <w:sz w:val="24"/>
          <w:szCs w:val="24"/>
          <w:lang w:val="da-DK"/>
        </w:rPr>
      </w:pPr>
    </w:p>
    <w:p w14:paraId="5BE26433" w14:textId="77777777" w:rsidR="00DC6CAA" w:rsidRDefault="00DC6CAA" w:rsidP="007C3B21">
      <w:pPr>
        <w:pStyle w:val="Brdtekst"/>
        <w:ind w:left="851" w:right="142"/>
        <w:rPr>
          <w:sz w:val="24"/>
          <w:szCs w:val="24"/>
          <w:lang w:val="da-DK"/>
        </w:rPr>
      </w:pPr>
      <w:r>
        <w:rPr>
          <w:sz w:val="24"/>
          <w:szCs w:val="24"/>
          <w:u w:val="single"/>
          <w:lang w:val="da-DK"/>
        </w:rPr>
        <w:t>Linagliptin</w:t>
      </w:r>
    </w:p>
    <w:p w14:paraId="172AD90A" w14:textId="77777777" w:rsidR="00DC6CAA" w:rsidRDefault="00DC6CAA" w:rsidP="007C3B21">
      <w:pPr>
        <w:ind w:left="851" w:right="142"/>
        <w:rPr>
          <w:i/>
          <w:sz w:val="24"/>
          <w:szCs w:val="24"/>
        </w:rPr>
      </w:pPr>
      <w:r>
        <w:rPr>
          <w:i/>
          <w:sz w:val="24"/>
          <w:szCs w:val="24"/>
        </w:rPr>
        <w:t>In vitro-vurdering af interaktioner</w:t>
      </w:r>
    </w:p>
    <w:p w14:paraId="61D5064F" w14:textId="77777777" w:rsidR="00DC6CAA" w:rsidRDefault="00DC6CAA" w:rsidP="007C3B21">
      <w:pPr>
        <w:pStyle w:val="Brdtekst"/>
        <w:ind w:left="851" w:right="142"/>
        <w:rPr>
          <w:sz w:val="24"/>
          <w:szCs w:val="24"/>
          <w:lang w:val="da-DK"/>
        </w:rPr>
      </w:pPr>
      <w:r>
        <w:rPr>
          <w:sz w:val="24"/>
          <w:szCs w:val="24"/>
          <w:lang w:val="da-DK"/>
        </w:rPr>
        <w:t>Linagliptin er en svag kompetitiv hæmmer og en svag til moderat mekanisme-baseret hæmmer af CYP-isozymet CYP3A4, men hæmmer ikke andre CYP-isozymer. Linagliptin inducerer ikke CYP- isozymer.</w:t>
      </w:r>
    </w:p>
    <w:p w14:paraId="445FEEF3" w14:textId="77777777" w:rsidR="00DC6CAA" w:rsidRDefault="00DC6CAA" w:rsidP="007C3B21">
      <w:pPr>
        <w:pStyle w:val="Brdtekst"/>
        <w:ind w:left="851" w:right="142"/>
        <w:rPr>
          <w:sz w:val="24"/>
          <w:szCs w:val="24"/>
          <w:lang w:val="da-DK"/>
        </w:rPr>
      </w:pPr>
    </w:p>
    <w:p w14:paraId="2F5EA97C" w14:textId="77777777" w:rsidR="00DC6CAA" w:rsidRDefault="00DC6CAA" w:rsidP="007C3B21">
      <w:pPr>
        <w:pStyle w:val="Brdtekst"/>
        <w:ind w:left="851" w:right="142"/>
        <w:rPr>
          <w:sz w:val="24"/>
          <w:szCs w:val="24"/>
          <w:lang w:val="da-DK"/>
        </w:rPr>
      </w:pPr>
      <w:r>
        <w:rPr>
          <w:sz w:val="24"/>
          <w:szCs w:val="24"/>
          <w:lang w:val="da-DK"/>
        </w:rPr>
        <w:t xml:space="preserve">Linagliptin er substrat for P-glykoprotein og hæmmer af P-glykoproteinmedieret transport af digoxin med lav potens. På baggrund af disse resultater og </w:t>
      </w:r>
      <w:r>
        <w:rPr>
          <w:i/>
          <w:sz w:val="24"/>
          <w:szCs w:val="24"/>
          <w:lang w:val="da-DK"/>
        </w:rPr>
        <w:t>in vivo-</w:t>
      </w:r>
      <w:r>
        <w:rPr>
          <w:sz w:val="24"/>
          <w:szCs w:val="24"/>
          <w:lang w:val="da-DK"/>
        </w:rPr>
        <w:t>studier af interaktioner anses det for usandsynligt, at linagliptin interagerer med andre P-gp-substrater.</w:t>
      </w:r>
    </w:p>
    <w:p w14:paraId="5D98BF47" w14:textId="77777777" w:rsidR="00DC6CAA" w:rsidRDefault="00DC6CAA" w:rsidP="007C3B21">
      <w:pPr>
        <w:pStyle w:val="Brdtekst"/>
        <w:ind w:left="851" w:right="142"/>
        <w:rPr>
          <w:sz w:val="24"/>
          <w:szCs w:val="24"/>
          <w:lang w:val="da-DK"/>
        </w:rPr>
      </w:pPr>
    </w:p>
    <w:p w14:paraId="47EF00B3" w14:textId="77777777" w:rsidR="00DC6CAA" w:rsidRDefault="00DC6CAA" w:rsidP="007C3B21">
      <w:pPr>
        <w:ind w:left="851" w:right="142"/>
        <w:rPr>
          <w:i/>
          <w:sz w:val="24"/>
          <w:szCs w:val="24"/>
        </w:rPr>
      </w:pPr>
      <w:r>
        <w:rPr>
          <w:i/>
          <w:sz w:val="24"/>
          <w:szCs w:val="24"/>
        </w:rPr>
        <w:t>In vivo-vurdering af interaktioner</w:t>
      </w:r>
    </w:p>
    <w:p w14:paraId="36FAC12C" w14:textId="77777777" w:rsidR="00DC6CAA" w:rsidRDefault="00DC6CAA" w:rsidP="007C3B21">
      <w:pPr>
        <w:ind w:left="851" w:right="142"/>
        <w:rPr>
          <w:i/>
          <w:sz w:val="24"/>
          <w:szCs w:val="24"/>
        </w:rPr>
      </w:pPr>
      <w:r>
        <w:rPr>
          <w:i/>
          <w:sz w:val="24"/>
          <w:szCs w:val="24"/>
          <w:u w:val="single"/>
        </w:rPr>
        <w:t>Andre lægemidlers indvirkning på linagliptin</w:t>
      </w:r>
    </w:p>
    <w:p w14:paraId="4CD18F46" w14:textId="77777777" w:rsidR="00DC6CAA" w:rsidRDefault="00DC6CAA" w:rsidP="007C3B21">
      <w:pPr>
        <w:pStyle w:val="Brdtekst"/>
        <w:ind w:left="851" w:right="142"/>
        <w:rPr>
          <w:sz w:val="24"/>
          <w:szCs w:val="24"/>
          <w:lang w:val="da-DK"/>
        </w:rPr>
      </w:pPr>
      <w:r>
        <w:rPr>
          <w:sz w:val="24"/>
          <w:szCs w:val="24"/>
          <w:lang w:val="da-DK"/>
        </w:rPr>
        <w:t>De kliniske data, som er beskrevet nedenfor, tyder på, at risikoen for klinisk relevante interaktioner ved administration sammen med andre lægemidler er lav.</w:t>
      </w:r>
    </w:p>
    <w:p w14:paraId="1E72458D" w14:textId="77777777" w:rsidR="00DC6CAA" w:rsidRDefault="00DC6CAA" w:rsidP="007C3B21">
      <w:pPr>
        <w:pStyle w:val="Brdtekst"/>
        <w:ind w:left="851" w:right="142"/>
        <w:rPr>
          <w:sz w:val="24"/>
          <w:szCs w:val="24"/>
          <w:lang w:val="da-DK"/>
        </w:rPr>
      </w:pPr>
    </w:p>
    <w:p w14:paraId="20E2F2E3" w14:textId="77777777" w:rsidR="00DC6CAA" w:rsidRDefault="00DC6CAA" w:rsidP="007C3B21">
      <w:pPr>
        <w:pStyle w:val="Brdtekst"/>
        <w:ind w:left="851" w:right="142"/>
        <w:rPr>
          <w:sz w:val="24"/>
          <w:szCs w:val="24"/>
          <w:lang w:val="da-DK"/>
        </w:rPr>
      </w:pPr>
      <w:r>
        <w:rPr>
          <w:sz w:val="24"/>
          <w:szCs w:val="24"/>
          <w:lang w:val="da-DK"/>
        </w:rPr>
        <w:t>Metformin:</w:t>
      </w:r>
    </w:p>
    <w:p w14:paraId="3D8CBEF0" w14:textId="77777777" w:rsidR="00DC6CAA" w:rsidRDefault="00DC6CAA" w:rsidP="007C3B21">
      <w:pPr>
        <w:pStyle w:val="Brdtekst"/>
        <w:ind w:left="851" w:right="142"/>
        <w:rPr>
          <w:sz w:val="24"/>
          <w:szCs w:val="24"/>
          <w:lang w:val="da-DK"/>
        </w:rPr>
      </w:pPr>
      <w:r>
        <w:rPr>
          <w:sz w:val="24"/>
          <w:szCs w:val="24"/>
          <w:lang w:val="da-DK"/>
        </w:rPr>
        <w:t>Samtidig administration af gentagen 850 mg metforminhydrochlorid tre gange dagligt og 10 mg linagliptin én gang dagligt gav ikke klinisk relevante ændringer i linagliptins farmakokinetik hos raske frivillige.</w:t>
      </w:r>
    </w:p>
    <w:p w14:paraId="5B85DA2C" w14:textId="77777777" w:rsidR="00DC6CAA" w:rsidRDefault="00DC6CAA" w:rsidP="007C3B21">
      <w:pPr>
        <w:pStyle w:val="Brdtekst"/>
        <w:ind w:left="851" w:right="142"/>
        <w:rPr>
          <w:sz w:val="24"/>
          <w:szCs w:val="24"/>
          <w:lang w:val="da-DK"/>
        </w:rPr>
      </w:pPr>
    </w:p>
    <w:p w14:paraId="390FB3C9" w14:textId="77777777" w:rsidR="00DC6CAA" w:rsidRDefault="00DC6CAA" w:rsidP="007C3B21">
      <w:pPr>
        <w:pStyle w:val="Brdtekst"/>
        <w:ind w:left="851" w:right="142"/>
        <w:rPr>
          <w:sz w:val="24"/>
          <w:szCs w:val="24"/>
          <w:lang w:val="da-DK"/>
        </w:rPr>
      </w:pPr>
      <w:r>
        <w:rPr>
          <w:sz w:val="24"/>
          <w:szCs w:val="24"/>
          <w:lang w:val="da-DK"/>
        </w:rPr>
        <w:t>Sulfonylurinstoffer:</w:t>
      </w:r>
    </w:p>
    <w:p w14:paraId="2A70EBC8" w14:textId="77777777" w:rsidR="00DC6CAA" w:rsidRDefault="00DC6CAA" w:rsidP="007C3B21">
      <w:pPr>
        <w:pStyle w:val="Brdtekst"/>
        <w:ind w:left="851" w:right="142"/>
        <w:rPr>
          <w:sz w:val="24"/>
          <w:szCs w:val="24"/>
          <w:lang w:val="da-DK"/>
        </w:rPr>
      </w:pPr>
      <w:r>
        <w:rPr>
          <w:sz w:val="24"/>
          <w:szCs w:val="24"/>
          <w:lang w:val="da-DK"/>
        </w:rPr>
        <w:t xml:space="preserve">Farmakokinetikken for 5 mg linagliptin ved </w:t>
      </w:r>
      <w:r>
        <w:rPr>
          <w:i/>
          <w:sz w:val="24"/>
          <w:szCs w:val="24"/>
          <w:lang w:val="da-DK"/>
        </w:rPr>
        <w:t xml:space="preserve">steady state </w:t>
      </w:r>
      <w:r>
        <w:rPr>
          <w:sz w:val="24"/>
          <w:szCs w:val="24"/>
          <w:lang w:val="da-DK"/>
        </w:rPr>
        <w:t>blev ikke påvirket af samtidig administration af en enkelt dosis af 1,75 mg glibenclamid (glyburid).</w:t>
      </w:r>
    </w:p>
    <w:p w14:paraId="49120F41" w14:textId="77777777" w:rsidR="00DC6CAA" w:rsidRDefault="00DC6CAA" w:rsidP="007C3B21">
      <w:pPr>
        <w:pStyle w:val="Brdtekst"/>
        <w:ind w:left="851" w:right="142"/>
        <w:rPr>
          <w:sz w:val="24"/>
          <w:szCs w:val="24"/>
          <w:lang w:val="da-DK"/>
        </w:rPr>
      </w:pPr>
    </w:p>
    <w:p w14:paraId="54E001E9" w14:textId="77777777" w:rsidR="00DC6CAA" w:rsidRDefault="00DC6CAA" w:rsidP="007C3B21">
      <w:pPr>
        <w:pStyle w:val="Brdtekst"/>
        <w:ind w:left="851" w:right="142"/>
        <w:rPr>
          <w:sz w:val="24"/>
          <w:szCs w:val="24"/>
          <w:lang w:val="da-DK"/>
        </w:rPr>
      </w:pPr>
      <w:r>
        <w:rPr>
          <w:sz w:val="24"/>
          <w:szCs w:val="24"/>
          <w:lang w:val="da-DK"/>
        </w:rPr>
        <w:t>Ritonavir:</w:t>
      </w:r>
    </w:p>
    <w:p w14:paraId="30B6248F" w14:textId="77777777" w:rsidR="00DC6CAA" w:rsidRDefault="00DC6CAA" w:rsidP="007C3B21">
      <w:pPr>
        <w:pStyle w:val="Brdtekst"/>
        <w:ind w:left="851" w:right="142"/>
        <w:rPr>
          <w:sz w:val="24"/>
          <w:szCs w:val="24"/>
          <w:lang w:val="da-DK"/>
        </w:rPr>
      </w:pPr>
      <w:r>
        <w:rPr>
          <w:sz w:val="24"/>
          <w:szCs w:val="24"/>
          <w:lang w:val="da-DK"/>
        </w:rPr>
        <w:t xml:space="preserve">Samtidig administration af en enkelt oral dosis af 5 mg linagliptin og gentagne orale </w:t>
      </w:r>
      <w:r>
        <w:rPr>
          <w:sz w:val="24"/>
          <w:szCs w:val="24"/>
          <w:lang w:val="da-DK"/>
        </w:rPr>
        <w:lastRenderedPageBreak/>
        <w:t xml:space="preserve">doser af 200 mg ritonavir, en potent hæmmer af P-glykoprotein og CYP3A4, gav en stigning i linagliptins AUC og </w:t>
      </w:r>
      <w:r>
        <w:rPr>
          <w:position w:val="2"/>
          <w:sz w:val="24"/>
          <w:szCs w:val="24"/>
          <w:lang w:val="da-DK"/>
        </w:rPr>
        <w:t>C</w:t>
      </w:r>
      <w:r w:rsidRPr="007C3B21">
        <w:rPr>
          <w:sz w:val="24"/>
          <w:szCs w:val="24"/>
          <w:vertAlign w:val="subscript"/>
          <w:lang w:val="da-DK"/>
        </w:rPr>
        <w:t>max</w:t>
      </w:r>
      <w:r>
        <w:rPr>
          <w:sz w:val="24"/>
          <w:szCs w:val="24"/>
          <w:lang w:val="da-DK"/>
        </w:rPr>
        <w:t xml:space="preserve"> </w:t>
      </w:r>
      <w:r>
        <w:rPr>
          <w:position w:val="2"/>
          <w:sz w:val="24"/>
          <w:szCs w:val="24"/>
          <w:lang w:val="da-DK"/>
        </w:rPr>
        <w:t xml:space="preserve">på henholdsvis ca. to og tre gange. De ubundne koncentrationer, der normalt er mindre end 1 % </w:t>
      </w:r>
      <w:r>
        <w:rPr>
          <w:sz w:val="24"/>
          <w:szCs w:val="24"/>
          <w:lang w:val="da-DK"/>
        </w:rPr>
        <w:t xml:space="preserve">ved den terapeutiske dosis for linagliptin, blev forøget 4-5 gange efter samtidig administration med ritonavir. Simulationer af </w:t>
      </w:r>
      <w:r>
        <w:rPr>
          <w:i/>
          <w:sz w:val="24"/>
          <w:szCs w:val="24"/>
          <w:lang w:val="da-DK"/>
        </w:rPr>
        <w:t>steady state</w:t>
      </w:r>
      <w:r>
        <w:rPr>
          <w:sz w:val="24"/>
          <w:szCs w:val="24"/>
          <w:lang w:val="da-DK"/>
        </w:rPr>
        <w:t>-plasmakoncentrationer for linagliptin, med og uden samtidig administration af ritonavir, tydede på, at øget eksponering ikke er forbundet med øget akkumulering. Ændringerne i linagliptins farmakokinetik blev ikke betragtet som klinisk relevante. Der forventes derfor ikke klinisk relevante interaktioner med andre P-glykoprotein/CYP3A4-hæmmere.</w:t>
      </w:r>
    </w:p>
    <w:p w14:paraId="56A53E6A" w14:textId="77777777" w:rsidR="00DC6CAA" w:rsidRDefault="00DC6CAA" w:rsidP="007C3B21">
      <w:pPr>
        <w:pStyle w:val="Brdtekst"/>
        <w:ind w:left="851" w:right="142"/>
        <w:rPr>
          <w:sz w:val="24"/>
          <w:szCs w:val="24"/>
          <w:lang w:val="da-DK"/>
        </w:rPr>
      </w:pPr>
    </w:p>
    <w:p w14:paraId="1C5858C1" w14:textId="77777777" w:rsidR="00DC6CAA" w:rsidRDefault="00DC6CAA" w:rsidP="007C3B21">
      <w:pPr>
        <w:pStyle w:val="Brdtekst"/>
        <w:ind w:left="851" w:right="142"/>
        <w:rPr>
          <w:sz w:val="24"/>
          <w:szCs w:val="24"/>
          <w:lang w:val="da-DK"/>
        </w:rPr>
      </w:pPr>
      <w:r>
        <w:rPr>
          <w:sz w:val="24"/>
          <w:szCs w:val="24"/>
          <w:lang w:val="da-DK"/>
        </w:rPr>
        <w:t>Rifampicin:</w:t>
      </w:r>
    </w:p>
    <w:p w14:paraId="04519B57" w14:textId="0B4480C5" w:rsidR="00DC6CAA" w:rsidRPr="007C3B21" w:rsidRDefault="00DC6CAA" w:rsidP="007C3B21">
      <w:pPr>
        <w:ind w:left="851"/>
        <w:rPr>
          <w:sz w:val="24"/>
          <w:szCs w:val="24"/>
        </w:rPr>
      </w:pPr>
      <w:r w:rsidRPr="007C3B21">
        <w:rPr>
          <w:sz w:val="24"/>
          <w:szCs w:val="24"/>
        </w:rPr>
        <w:t>Gentagen samtidig administration af 5 mg linagliptin og rifampicin, en potent inducer af P- glykoprotein- og CYP3A4, resulterede i en reduktion af steady state-AUC og -C</w:t>
      </w:r>
      <w:r w:rsidRPr="007C3B21">
        <w:rPr>
          <w:sz w:val="24"/>
          <w:szCs w:val="24"/>
          <w:vertAlign w:val="subscript"/>
        </w:rPr>
        <w:t>max</w:t>
      </w:r>
      <w:r w:rsidRPr="007C3B21">
        <w:rPr>
          <w:sz w:val="24"/>
          <w:szCs w:val="24"/>
        </w:rPr>
        <w:t xml:space="preserve"> for linagliptin på henhold</w:t>
      </w:r>
      <w:r w:rsidR="007C3B21" w:rsidRPr="007C3B21">
        <w:rPr>
          <w:sz w:val="24"/>
          <w:szCs w:val="24"/>
        </w:rPr>
        <w:t>s</w:t>
      </w:r>
      <w:r w:rsidRPr="007C3B21">
        <w:rPr>
          <w:sz w:val="24"/>
          <w:szCs w:val="24"/>
        </w:rPr>
        <w:t>vis 39,6 % og 43,8 % og en ca. 30 % lavere DPP-4-hæmning ved trough (minimum). Derfor opnås muligvis ikke en fuld virkning af linagliptin i kombination med potente P-gp-induktorer, især ikke ved langvarig behandling. Samtidig administration af andre potente P-glykoprotein- og CYP3A4-induktorer, såsom carbamazepin, phenobarbital og phenytoin, er ikke undersøgt.</w:t>
      </w:r>
    </w:p>
    <w:p w14:paraId="49C10710" w14:textId="77777777" w:rsidR="00DC6CAA" w:rsidRPr="007C3B21" w:rsidRDefault="00DC6CAA" w:rsidP="007C3B21">
      <w:pPr>
        <w:ind w:left="851"/>
        <w:rPr>
          <w:sz w:val="24"/>
          <w:szCs w:val="24"/>
        </w:rPr>
      </w:pPr>
    </w:p>
    <w:p w14:paraId="0D38BBF8" w14:textId="77777777" w:rsidR="00DC6CAA" w:rsidRDefault="00DC6CAA" w:rsidP="007C3B21">
      <w:pPr>
        <w:ind w:left="851" w:right="142"/>
        <w:rPr>
          <w:i/>
          <w:sz w:val="24"/>
          <w:szCs w:val="24"/>
        </w:rPr>
      </w:pPr>
      <w:r>
        <w:rPr>
          <w:i/>
          <w:sz w:val="24"/>
          <w:szCs w:val="24"/>
          <w:u w:val="single"/>
        </w:rPr>
        <w:t>Linagliptins indvirkning på andre lægemidler</w:t>
      </w:r>
    </w:p>
    <w:p w14:paraId="548FD3B0" w14:textId="77777777" w:rsidR="00DC6CAA" w:rsidRDefault="00DC6CAA" w:rsidP="007C3B21">
      <w:pPr>
        <w:pStyle w:val="Brdtekst"/>
        <w:ind w:left="851" w:right="142"/>
        <w:rPr>
          <w:sz w:val="24"/>
          <w:szCs w:val="24"/>
          <w:lang w:val="da-DK"/>
        </w:rPr>
      </w:pPr>
      <w:r>
        <w:rPr>
          <w:sz w:val="24"/>
          <w:szCs w:val="24"/>
          <w:lang w:val="da-DK"/>
        </w:rPr>
        <w:t xml:space="preserve">I kliniske studier, som beskrevet nedenfor, havde linagliptin ingen klinisk relevant indvirkning på farmakokinetikken af metformin, glyburid, simvastatin, warfarin, digoxin eller orale kontraceptiva. Dette giver </w:t>
      </w:r>
      <w:r>
        <w:rPr>
          <w:i/>
          <w:sz w:val="24"/>
          <w:szCs w:val="24"/>
          <w:lang w:val="da-DK"/>
        </w:rPr>
        <w:t>in vivo</w:t>
      </w:r>
      <w:r>
        <w:rPr>
          <w:sz w:val="24"/>
          <w:szCs w:val="24"/>
          <w:lang w:val="da-DK"/>
        </w:rPr>
        <w:t>-evidens for lav tilbøjelighed til interaktioner med substrater af CYP3A4, CYP2C9, CYP2C8, P-glykoprotein og organisk kationisk transport (OCT).</w:t>
      </w:r>
    </w:p>
    <w:p w14:paraId="2CB8E26D" w14:textId="77777777" w:rsidR="00DC6CAA" w:rsidRDefault="00DC6CAA" w:rsidP="007C3B21">
      <w:pPr>
        <w:pStyle w:val="Brdtekst"/>
        <w:ind w:left="851" w:right="142"/>
        <w:rPr>
          <w:sz w:val="24"/>
          <w:szCs w:val="24"/>
          <w:lang w:val="da-DK"/>
        </w:rPr>
      </w:pPr>
    </w:p>
    <w:p w14:paraId="4BD3411F" w14:textId="77777777" w:rsidR="00DC6CAA" w:rsidRDefault="00DC6CAA" w:rsidP="007C3B21">
      <w:pPr>
        <w:pStyle w:val="Brdtekst"/>
        <w:ind w:left="851" w:right="142"/>
        <w:rPr>
          <w:sz w:val="24"/>
          <w:szCs w:val="24"/>
          <w:lang w:val="da-DK"/>
        </w:rPr>
      </w:pPr>
      <w:r>
        <w:rPr>
          <w:sz w:val="24"/>
          <w:szCs w:val="24"/>
          <w:lang w:val="da-DK"/>
        </w:rPr>
        <w:t>Metformin:</w:t>
      </w:r>
    </w:p>
    <w:p w14:paraId="02760DB8" w14:textId="77777777" w:rsidR="00DC6CAA" w:rsidRDefault="00DC6CAA" w:rsidP="007C3B21">
      <w:pPr>
        <w:pStyle w:val="Brdtekst"/>
        <w:ind w:left="851" w:right="142"/>
        <w:rPr>
          <w:sz w:val="24"/>
          <w:szCs w:val="24"/>
          <w:lang w:val="da-DK"/>
        </w:rPr>
      </w:pPr>
      <w:r>
        <w:rPr>
          <w:sz w:val="24"/>
          <w:szCs w:val="24"/>
          <w:lang w:val="da-DK"/>
        </w:rPr>
        <w:t>Samtidig administration af gentagne daglige doser af 10 mg linagliptin sammen med 850 mg metforminhydrochlorid, et OCT-substrat, havde ingen relevant indvirkning på metformins farmakokinetik hos raske frivillige. Linagliptin er derfor ikke en hæmmer af OCT-medieret transport.</w:t>
      </w:r>
    </w:p>
    <w:p w14:paraId="05F8FBF4" w14:textId="77777777" w:rsidR="00DC6CAA" w:rsidRDefault="00DC6CAA" w:rsidP="007C3B21">
      <w:pPr>
        <w:pStyle w:val="Brdtekst"/>
        <w:ind w:left="851" w:right="142"/>
        <w:rPr>
          <w:sz w:val="24"/>
          <w:szCs w:val="24"/>
          <w:lang w:val="da-DK"/>
        </w:rPr>
      </w:pPr>
    </w:p>
    <w:p w14:paraId="3BE66449" w14:textId="77777777" w:rsidR="00DC6CAA" w:rsidRDefault="00DC6CAA" w:rsidP="007C3B21">
      <w:pPr>
        <w:pStyle w:val="Brdtekst"/>
        <w:ind w:left="851" w:right="142"/>
        <w:rPr>
          <w:sz w:val="24"/>
          <w:szCs w:val="24"/>
          <w:lang w:val="da-DK"/>
        </w:rPr>
      </w:pPr>
      <w:r>
        <w:rPr>
          <w:sz w:val="24"/>
          <w:szCs w:val="24"/>
          <w:lang w:val="da-DK"/>
        </w:rPr>
        <w:t>Sulfonylurinstoffer:</w:t>
      </w:r>
    </w:p>
    <w:p w14:paraId="10A2082C" w14:textId="77777777" w:rsidR="00DC6CAA" w:rsidRPr="007C3B21" w:rsidRDefault="00DC6CAA" w:rsidP="007C3B21">
      <w:pPr>
        <w:ind w:left="851"/>
        <w:rPr>
          <w:sz w:val="24"/>
          <w:szCs w:val="24"/>
        </w:rPr>
      </w:pPr>
      <w:r w:rsidRPr="007C3B21">
        <w:rPr>
          <w:sz w:val="24"/>
          <w:szCs w:val="24"/>
        </w:rPr>
        <w:t>Samtidig administration af gentagne orale doser af 5 mg linagliptin og en enkelt oral dosis af 1,75 mg glibenclamid (glyburid)resulterede i en klinisk ikke relevant reduktion på 14 % af både AUC og C</w:t>
      </w:r>
      <w:r w:rsidRPr="007C3B21">
        <w:rPr>
          <w:sz w:val="24"/>
          <w:szCs w:val="24"/>
          <w:vertAlign w:val="subscript"/>
        </w:rPr>
        <w:t>max</w:t>
      </w:r>
      <w:r w:rsidRPr="007C3B21">
        <w:rPr>
          <w:sz w:val="24"/>
          <w:szCs w:val="24"/>
        </w:rPr>
        <w:t xml:space="preserve"> for glibenclamid. Da glibenclamid primært metaboliseres af CYP2C9, understøtter disse data, at linagliptin ikke er en CYP2C9-hæmmer. Der forventes ikke klinisk relevante interaktioner med andre sulfonylurinstoffer (f.eks. glipizid, tolbutamid og glimepirid), der som glibenclamid primært elimineres af CYP2C9.</w:t>
      </w:r>
    </w:p>
    <w:p w14:paraId="33204B5D" w14:textId="77777777" w:rsidR="00DC6CAA" w:rsidRDefault="00DC6CAA" w:rsidP="007C3B21">
      <w:pPr>
        <w:pStyle w:val="Brdtekst"/>
        <w:ind w:left="851" w:right="142"/>
        <w:rPr>
          <w:sz w:val="24"/>
          <w:szCs w:val="24"/>
          <w:lang w:val="da-DK"/>
        </w:rPr>
      </w:pPr>
    </w:p>
    <w:p w14:paraId="78F7FE48" w14:textId="77777777" w:rsidR="00DC6CAA" w:rsidRDefault="00DC6CAA" w:rsidP="007C3B21">
      <w:pPr>
        <w:pStyle w:val="Brdtekst"/>
        <w:ind w:left="851" w:right="142"/>
        <w:rPr>
          <w:sz w:val="24"/>
          <w:szCs w:val="24"/>
          <w:lang w:val="da-DK"/>
        </w:rPr>
      </w:pPr>
      <w:r>
        <w:rPr>
          <w:sz w:val="24"/>
          <w:szCs w:val="24"/>
          <w:lang w:val="da-DK"/>
        </w:rPr>
        <w:t>Digoxin:</w:t>
      </w:r>
    </w:p>
    <w:p w14:paraId="5CE305A4" w14:textId="12CEA59A" w:rsidR="00DC6CAA" w:rsidRDefault="00DC6CAA" w:rsidP="007C3B21">
      <w:pPr>
        <w:pStyle w:val="Brdtekst"/>
        <w:ind w:left="851" w:right="142"/>
        <w:rPr>
          <w:i/>
          <w:sz w:val="24"/>
          <w:szCs w:val="24"/>
          <w:lang w:val="da-DK"/>
        </w:rPr>
      </w:pPr>
      <w:r>
        <w:rPr>
          <w:sz w:val="24"/>
          <w:szCs w:val="24"/>
          <w:lang w:val="da-DK"/>
        </w:rPr>
        <w:t xml:space="preserve">Samtidig administration af gentagne daglige doser af 5 mg linagliptin sammen med gentagne doser af 0,25 mg digoxin havde ingen indvirkning på digoxins farmakokinetik hos raske frivillige. Linagliptin er derfor ikke en </w:t>
      </w:r>
      <w:r>
        <w:rPr>
          <w:i/>
          <w:sz w:val="24"/>
          <w:szCs w:val="24"/>
          <w:lang w:val="da-DK"/>
        </w:rPr>
        <w:t>in vivo</w:t>
      </w:r>
      <w:r>
        <w:rPr>
          <w:sz w:val="24"/>
          <w:szCs w:val="24"/>
          <w:lang w:val="da-DK"/>
        </w:rPr>
        <w:t>-hæmmer af P-glykoprotein</w:t>
      </w:r>
      <w:r w:rsidR="00312252">
        <w:rPr>
          <w:sz w:val="24"/>
          <w:szCs w:val="24"/>
          <w:lang w:val="da-DK"/>
        </w:rPr>
        <w:softHyphen/>
      </w:r>
      <w:r>
        <w:rPr>
          <w:sz w:val="24"/>
          <w:szCs w:val="24"/>
          <w:lang w:val="da-DK"/>
        </w:rPr>
        <w:t>medieret transport</w:t>
      </w:r>
      <w:r>
        <w:rPr>
          <w:i/>
          <w:sz w:val="24"/>
          <w:szCs w:val="24"/>
          <w:lang w:val="da-DK"/>
        </w:rPr>
        <w:t>.</w:t>
      </w:r>
    </w:p>
    <w:p w14:paraId="0C5C5D97" w14:textId="77777777" w:rsidR="00DC6CAA" w:rsidRDefault="00DC6CAA" w:rsidP="007C3B21">
      <w:pPr>
        <w:pStyle w:val="Brdtekst"/>
        <w:ind w:left="851" w:right="142"/>
        <w:rPr>
          <w:i/>
          <w:sz w:val="24"/>
          <w:szCs w:val="24"/>
          <w:lang w:val="da-DK"/>
        </w:rPr>
      </w:pPr>
    </w:p>
    <w:p w14:paraId="4E7F2ABE" w14:textId="77777777" w:rsidR="00DC6CAA" w:rsidRDefault="00DC6CAA" w:rsidP="007C3B21">
      <w:pPr>
        <w:pStyle w:val="Brdtekst"/>
        <w:ind w:left="851" w:right="142"/>
        <w:rPr>
          <w:sz w:val="24"/>
          <w:szCs w:val="24"/>
          <w:lang w:val="da-DK"/>
        </w:rPr>
      </w:pPr>
      <w:r>
        <w:rPr>
          <w:sz w:val="24"/>
          <w:szCs w:val="24"/>
          <w:lang w:val="da-DK"/>
        </w:rPr>
        <w:t>Warfarin:</w:t>
      </w:r>
    </w:p>
    <w:p w14:paraId="7F97A066" w14:textId="77777777" w:rsidR="00DC6CAA" w:rsidRDefault="00DC6CAA" w:rsidP="007C3B21">
      <w:pPr>
        <w:pStyle w:val="Brdtekst"/>
        <w:ind w:left="851" w:right="142"/>
        <w:rPr>
          <w:sz w:val="24"/>
          <w:szCs w:val="24"/>
          <w:lang w:val="da-DK"/>
        </w:rPr>
      </w:pPr>
      <w:r>
        <w:rPr>
          <w:sz w:val="24"/>
          <w:szCs w:val="24"/>
          <w:lang w:val="da-DK"/>
        </w:rPr>
        <w:t xml:space="preserve">Gentagne daglige doser af 5 mg linagliptin ændrede ikke farmakokinetikken for </w:t>
      </w:r>
      <w:proofErr w:type="gramStart"/>
      <w:r>
        <w:rPr>
          <w:sz w:val="24"/>
          <w:szCs w:val="24"/>
          <w:lang w:val="da-DK"/>
        </w:rPr>
        <w:t>S(</w:t>
      </w:r>
      <w:proofErr w:type="gramEnd"/>
      <w:r>
        <w:rPr>
          <w:sz w:val="24"/>
          <w:szCs w:val="24"/>
          <w:lang w:val="da-DK"/>
        </w:rPr>
        <w:t>-)- eller R(+)-warfarin, et CYP2C9-substrat, administreret som en enkelt dosis.</w:t>
      </w:r>
    </w:p>
    <w:p w14:paraId="76F1600A" w14:textId="77777777" w:rsidR="00DC6CAA" w:rsidRDefault="00DC6CAA" w:rsidP="007C3B21">
      <w:pPr>
        <w:pStyle w:val="Brdtekst"/>
        <w:ind w:left="851" w:right="142"/>
        <w:rPr>
          <w:sz w:val="24"/>
          <w:szCs w:val="24"/>
          <w:lang w:val="da-DK"/>
        </w:rPr>
      </w:pPr>
    </w:p>
    <w:p w14:paraId="24FE4A8F" w14:textId="77777777" w:rsidR="00DC6CAA" w:rsidRDefault="00DC6CAA" w:rsidP="007C3B21">
      <w:pPr>
        <w:pStyle w:val="Brdtekst"/>
        <w:ind w:left="851" w:right="142"/>
        <w:rPr>
          <w:sz w:val="24"/>
          <w:szCs w:val="24"/>
          <w:lang w:val="da-DK"/>
        </w:rPr>
      </w:pPr>
      <w:r>
        <w:rPr>
          <w:sz w:val="24"/>
          <w:szCs w:val="24"/>
          <w:lang w:val="da-DK"/>
        </w:rPr>
        <w:t>Simvastatin:</w:t>
      </w:r>
    </w:p>
    <w:p w14:paraId="4A7F0B38" w14:textId="77777777" w:rsidR="00DC6CAA" w:rsidRPr="007C3B21" w:rsidRDefault="00DC6CAA" w:rsidP="007C3B21">
      <w:pPr>
        <w:ind w:left="851"/>
        <w:rPr>
          <w:sz w:val="24"/>
          <w:szCs w:val="24"/>
        </w:rPr>
      </w:pPr>
      <w:r w:rsidRPr="007C3B21">
        <w:rPr>
          <w:sz w:val="24"/>
          <w:szCs w:val="24"/>
        </w:rPr>
        <w:lastRenderedPageBreak/>
        <w:t xml:space="preserve">Gentagne daglige doser af linagliptin havde hos raske frivillige en minimal indvirkning på </w:t>
      </w:r>
      <w:r w:rsidRPr="007C3B21">
        <w:rPr>
          <w:i/>
          <w:sz w:val="24"/>
          <w:szCs w:val="24"/>
        </w:rPr>
        <w:t>steady state</w:t>
      </w:r>
      <w:r w:rsidRPr="007C3B21">
        <w:rPr>
          <w:sz w:val="24"/>
          <w:szCs w:val="24"/>
        </w:rPr>
        <w:t>-farmakokinetikken for simvastatin, et sensitivt CYP3A4-substrat. Efter administration af en supraterapeutisk dosis af 10 mg linagliptin sammen med 40 mg simvastatin dagligt i 6 dage, var simvastatins plasma-AUC øget med 34 %, og plasma-C</w:t>
      </w:r>
      <w:r w:rsidRPr="007C3B21">
        <w:rPr>
          <w:sz w:val="24"/>
          <w:szCs w:val="24"/>
          <w:vertAlign w:val="subscript"/>
        </w:rPr>
        <w:t>max</w:t>
      </w:r>
      <w:r w:rsidRPr="007C3B21">
        <w:rPr>
          <w:sz w:val="24"/>
          <w:szCs w:val="24"/>
        </w:rPr>
        <w:t xml:space="preserve"> var øget med 10 %.</w:t>
      </w:r>
    </w:p>
    <w:p w14:paraId="06DE30D3" w14:textId="77777777" w:rsidR="00DC6CAA" w:rsidRDefault="00DC6CAA" w:rsidP="007C3B21">
      <w:pPr>
        <w:pStyle w:val="Brdtekst"/>
        <w:ind w:left="851" w:right="142"/>
        <w:rPr>
          <w:sz w:val="24"/>
          <w:szCs w:val="24"/>
          <w:lang w:val="da-DK"/>
        </w:rPr>
      </w:pPr>
    </w:p>
    <w:p w14:paraId="1503BB16" w14:textId="77777777" w:rsidR="00DC6CAA" w:rsidRDefault="00DC6CAA" w:rsidP="007C3B21">
      <w:pPr>
        <w:pStyle w:val="Brdtekst"/>
        <w:ind w:left="851" w:right="142"/>
        <w:rPr>
          <w:sz w:val="24"/>
          <w:szCs w:val="24"/>
          <w:lang w:val="da-DK"/>
        </w:rPr>
      </w:pPr>
      <w:r>
        <w:rPr>
          <w:sz w:val="24"/>
          <w:szCs w:val="24"/>
          <w:lang w:val="da-DK"/>
        </w:rPr>
        <w:t>Orale kontraceptiva:</w:t>
      </w:r>
    </w:p>
    <w:p w14:paraId="4B2D09D1" w14:textId="77777777" w:rsidR="00DC6CAA" w:rsidRDefault="00DC6CAA" w:rsidP="007C3B21">
      <w:pPr>
        <w:pStyle w:val="Brdtekst"/>
        <w:ind w:left="851" w:right="142"/>
        <w:rPr>
          <w:sz w:val="24"/>
          <w:szCs w:val="24"/>
          <w:lang w:val="da-DK"/>
        </w:rPr>
      </w:pPr>
      <w:r>
        <w:rPr>
          <w:sz w:val="24"/>
          <w:szCs w:val="24"/>
          <w:lang w:val="da-DK"/>
        </w:rPr>
        <w:t xml:space="preserve">Samtidig administration af 5 mg linagliptin ændrede ikke </w:t>
      </w:r>
      <w:r>
        <w:rPr>
          <w:i/>
          <w:sz w:val="24"/>
          <w:szCs w:val="24"/>
          <w:lang w:val="da-DK"/>
        </w:rPr>
        <w:t>steady state</w:t>
      </w:r>
      <w:r>
        <w:rPr>
          <w:sz w:val="24"/>
          <w:szCs w:val="24"/>
          <w:lang w:val="da-DK"/>
        </w:rPr>
        <w:t>-farmakokinetikken for levonorgestrel eller ethinylestradiol.</w:t>
      </w:r>
    </w:p>
    <w:p w14:paraId="19DE7410" w14:textId="77777777" w:rsidR="00DC6CAA" w:rsidRDefault="00DC6CAA" w:rsidP="007C3B21">
      <w:pPr>
        <w:pStyle w:val="Brdtekst"/>
        <w:ind w:left="851" w:right="142"/>
        <w:rPr>
          <w:sz w:val="24"/>
          <w:szCs w:val="24"/>
          <w:lang w:val="da-DK"/>
        </w:rPr>
      </w:pPr>
    </w:p>
    <w:p w14:paraId="06175B30" w14:textId="77777777" w:rsidR="00DC6CAA" w:rsidRDefault="00DC6CAA" w:rsidP="007C3B21">
      <w:pPr>
        <w:pStyle w:val="Brdtekst"/>
        <w:ind w:left="851" w:right="142"/>
        <w:rPr>
          <w:sz w:val="24"/>
          <w:szCs w:val="24"/>
          <w:lang w:val="da-DK"/>
        </w:rPr>
      </w:pPr>
      <w:r>
        <w:rPr>
          <w:sz w:val="24"/>
          <w:szCs w:val="24"/>
          <w:u w:val="single"/>
          <w:lang w:val="da-DK"/>
        </w:rPr>
        <w:t>Metformin</w:t>
      </w:r>
    </w:p>
    <w:p w14:paraId="4911FDF4" w14:textId="77777777" w:rsidR="00DC6CAA" w:rsidRDefault="00DC6CAA" w:rsidP="007C3B21">
      <w:pPr>
        <w:ind w:left="851" w:right="142"/>
        <w:rPr>
          <w:i/>
          <w:sz w:val="24"/>
          <w:szCs w:val="24"/>
        </w:rPr>
      </w:pPr>
      <w:r>
        <w:rPr>
          <w:i/>
          <w:sz w:val="24"/>
          <w:szCs w:val="24"/>
        </w:rPr>
        <w:t>Kombinationsbehandling, hvor forholdsregler skal iagttages</w:t>
      </w:r>
    </w:p>
    <w:p w14:paraId="52485859" w14:textId="77777777" w:rsidR="00DC6CAA" w:rsidRDefault="00DC6CAA" w:rsidP="007C3B21">
      <w:pPr>
        <w:pStyle w:val="Brdtekst"/>
        <w:ind w:left="851" w:right="142"/>
        <w:rPr>
          <w:sz w:val="24"/>
          <w:szCs w:val="24"/>
          <w:lang w:val="da-DK"/>
        </w:rPr>
      </w:pPr>
      <w:r>
        <w:rPr>
          <w:sz w:val="24"/>
          <w:szCs w:val="24"/>
          <w:lang w:val="da-DK"/>
        </w:rPr>
        <w:t>Glukokortikoider (givet systemisk og lokalt), beta-2-agonister og diuretika har en intrinsisk hyperglykæmisk virkning. Patienten bør informeres herom, og der bør foretages hyppigere monitorering af blodglucose, især ved start af behandling med sådanne lægemidler. Om nødvendigt bør dosis af det antihyperglykæmiske lægemiddel justeres under behandling med det andet lægemiddel og ved seponering af</w:t>
      </w:r>
      <w:r>
        <w:rPr>
          <w:spacing w:val="-5"/>
          <w:sz w:val="24"/>
          <w:szCs w:val="24"/>
          <w:lang w:val="da-DK"/>
        </w:rPr>
        <w:t xml:space="preserve"> </w:t>
      </w:r>
      <w:r>
        <w:rPr>
          <w:sz w:val="24"/>
          <w:szCs w:val="24"/>
          <w:lang w:val="da-DK"/>
        </w:rPr>
        <w:t>dette.</w:t>
      </w:r>
    </w:p>
    <w:p w14:paraId="3C723EF3" w14:textId="77777777" w:rsidR="00DC6CAA" w:rsidRDefault="00DC6CAA" w:rsidP="007C3B21">
      <w:pPr>
        <w:pStyle w:val="Brdtekst"/>
        <w:ind w:left="851" w:right="142"/>
        <w:rPr>
          <w:sz w:val="24"/>
          <w:szCs w:val="24"/>
          <w:lang w:val="da-DK"/>
        </w:rPr>
      </w:pPr>
    </w:p>
    <w:p w14:paraId="05E5CA58" w14:textId="77777777" w:rsidR="00DC6CAA" w:rsidRDefault="00DC6CAA" w:rsidP="007C3B21">
      <w:pPr>
        <w:pStyle w:val="Brdtekst"/>
        <w:ind w:left="851" w:right="142"/>
        <w:rPr>
          <w:sz w:val="24"/>
          <w:szCs w:val="24"/>
          <w:lang w:val="da-DK"/>
        </w:rPr>
      </w:pPr>
      <w:r>
        <w:rPr>
          <w:sz w:val="24"/>
          <w:szCs w:val="24"/>
          <w:lang w:val="da-DK"/>
        </w:rPr>
        <w:t>Visse lægemidler kan påvirke nyrefunktionen negativt, hvilket kan øge risikoen for laktatacidose, f.eks. NSAID, inklusiv selektive cyklooxygenase (COX) II-hæmmere, ACE-hæmmere, angiotensin II-receptorantagonister og diuretika, især loop-diuretika. Ved initiering eller brug af sådanne præparater sammen med metformin skal nyrefunktionen monitoreres tæt.</w:t>
      </w:r>
    </w:p>
    <w:p w14:paraId="5B90522E" w14:textId="77777777" w:rsidR="00DC6CAA" w:rsidRDefault="00DC6CAA" w:rsidP="007C3B21">
      <w:pPr>
        <w:pStyle w:val="Brdtekst"/>
        <w:ind w:left="851" w:right="142"/>
        <w:rPr>
          <w:sz w:val="24"/>
          <w:szCs w:val="24"/>
          <w:lang w:val="da-DK"/>
        </w:rPr>
      </w:pPr>
    </w:p>
    <w:p w14:paraId="4AADA21A" w14:textId="77777777" w:rsidR="00DC6CAA" w:rsidRDefault="00DC6CAA" w:rsidP="007C3B21">
      <w:pPr>
        <w:pStyle w:val="Brdtekst"/>
        <w:ind w:left="851" w:right="142"/>
        <w:rPr>
          <w:sz w:val="24"/>
          <w:szCs w:val="24"/>
          <w:lang w:val="da-DK"/>
        </w:rPr>
      </w:pPr>
      <w:r>
        <w:rPr>
          <w:sz w:val="24"/>
          <w:szCs w:val="24"/>
          <w:u w:val="single"/>
          <w:lang w:val="da-DK"/>
        </w:rPr>
        <w:t>Organiske kationtransportere (OCT)</w:t>
      </w:r>
    </w:p>
    <w:p w14:paraId="02308ECC" w14:textId="77777777" w:rsidR="00DC6CAA" w:rsidRDefault="00DC6CAA" w:rsidP="007C3B21">
      <w:pPr>
        <w:pStyle w:val="Brdtekst"/>
        <w:ind w:left="851" w:right="142"/>
        <w:rPr>
          <w:sz w:val="24"/>
          <w:szCs w:val="24"/>
          <w:lang w:val="da-DK"/>
        </w:rPr>
      </w:pPr>
      <w:r>
        <w:rPr>
          <w:sz w:val="24"/>
          <w:szCs w:val="24"/>
          <w:lang w:val="da-DK"/>
        </w:rPr>
        <w:t>Metformin er et substrat af begge transportere, OCT1 og OCT2. Samtidig administration af metformin og</w:t>
      </w:r>
    </w:p>
    <w:p w14:paraId="1BE2E94D" w14:textId="77777777" w:rsidR="00DC6CAA" w:rsidRDefault="00DC6CAA" w:rsidP="00C40540">
      <w:pPr>
        <w:pStyle w:val="Listeafsnit"/>
        <w:numPr>
          <w:ilvl w:val="0"/>
          <w:numId w:val="7"/>
        </w:numPr>
        <w:spacing w:line="240" w:lineRule="auto"/>
        <w:ind w:left="1134" w:right="142" w:hanging="283"/>
        <w:rPr>
          <w:sz w:val="24"/>
          <w:szCs w:val="24"/>
          <w:lang w:val="da-DK"/>
        </w:rPr>
      </w:pPr>
      <w:r>
        <w:rPr>
          <w:sz w:val="24"/>
          <w:szCs w:val="24"/>
          <w:lang w:val="da-DK"/>
        </w:rPr>
        <w:t>hæmmere af OCT1 (f.eks. verapamil) kan nedsætte virkningen af</w:t>
      </w:r>
      <w:r>
        <w:rPr>
          <w:spacing w:val="-15"/>
          <w:sz w:val="24"/>
          <w:szCs w:val="24"/>
          <w:lang w:val="da-DK"/>
        </w:rPr>
        <w:t xml:space="preserve"> </w:t>
      </w:r>
      <w:r>
        <w:rPr>
          <w:sz w:val="24"/>
          <w:szCs w:val="24"/>
          <w:lang w:val="da-DK"/>
        </w:rPr>
        <w:t>metformin</w:t>
      </w:r>
    </w:p>
    <w:p w14:paraId="6B1CE37F" w14:textId="77777777" w:rsidR="00DC6CAA" w:rsidRDefault="00DC6CAA" w:rsidP="00C40540">
      <w:pPr>
        <w:pStyle w:val="Listeafsnit"/>
        <w:numPr>
          <w:ilvl w:val="0"/>
          <w:numId w:val="7"/>
        </w:numPr>
        <w:spacing w:line="240" w:lineRule="auto"/>
        <w:ind w:left="1134" w:right="142" w:hanging="283"/>
        <w:rPr>
          <w:sz w:val="24"/>
          <w:szCs w:val="24"/>
          <w:lang w:val="da-DK"/>
        </w:rPr>
      </w:pPr>
      <w:r>
        <w:rPr>
          <w:sz w:val="24"/>
          <w:szCs w:val="24"/>
          <w:lang w:val="da-DK"/>
        </w:rPr>
        <w:t>induktorer af OCT1 (f.eks. rifampicin) kan øge absorptionen i mave-tarm-kanalen og virkningen af</w:t>
      </w:r>
      <w:r>
        <w:rPr>
          <w:spacing w:val="-2"/>
          <w:sz w:val="24"/>
          <w:szCs w:val="24"/>
          <w:lang w:val="da-DK"/>
        </w:rPr>
        <w:t xml:space="preserve"> </w:t>
      </w:r>
      <w:r>
        <w:rPr>
          <w:sz w:val="24"/>
          <w:szCs w:val="24"/>
          <w:lang w:val="da-DK"/>
        </w:rPr>
        <w:t>metformin</w:t>
      </w:r>
    </w:p>
    <w:p w14:paraId="4E507CA4" w14:textId="77777777" w:rsidR="00DC6CAA" w:rsidRDefault="00DC6CAA" w:rsidP="00C40540">
      <w:pPr>
        <w:pStyle w:val="Listeafsnit"/>
        <w:numPr>
          <w:ilvl w:val="0"/>
          <w:numId w:val="7"/>
        </w:numPr>
        <w:spacing w:line="240" w:lineRule="auto"/>
        <w:ind w:left="1134" w:right="142" w:hanging="283"/>
        <w:rPr>
          <w:sz w:val="24"/>
          <w:szCs w:val="24"/>
          <w:lang w:val="da-DK"/>
        </w:rPr>
      </w:pPr>
      <w:r>
        <w:rPr>
          <w:sz w:val="24"/>
          <w:szCs w:val="24"/>
          <w:lang w:val="da-DK"/>
        </w:rPr>
        <w:t>hæmmere af OCT2 (f.eks. cimetidin, dolutegravir, ranolazin, trimethoprim, vandetanib, isavuconazol) kan reducere metformins elimination i nyrerne og dermed medføre en stigning i plasmakoncentrationen af</w:t>
      </w:r>
      <w:r>
        <w:rPr>
          <w:spacing w:val="-3"/>
          <w:sz w:val="24"/>
          <w:szCs w:val="24"/>
          <w:lang w:val="da-DK"/>
        </w:rPr>
        <w:t xml:space="preserve"> </w:t>
      </w:r>
      <w:r>
        <w:rPr>
          <w:sz w:val="24"/>
          <w:szCs w:val="24"/>
          <w:lang w:val="da-DK"/>
        </w:rPr>
        <w:t>metformin</w:t>
      </w:r>
    </w:p>
    <w:p w14:paraId="00CA8303" w14:textId="77777777" w:rsidR="00DC6CAA" w:rsidRDefault="00DC6CAA" w:rsidP="00C40540">
      <w:pPr>
        <w:pStyle w:val="Listeafsnit"/>
        <w:numPr>
          <w:ilvl w:val="0"/>
          <w:numId w:val="7"/>
        </w:numPr>
        <w:spacing w:line="240" w:lineRule="auto"/>
        <w:ind w:left="1134" w:right="142" w:hanging="283"/>
        <w:rPr>
          <w:sz w:val="24"/>
          <w:szCs w:val="24"/>
          <w:lang w:val="da-DK"/>
        </w:rPr>
      </w:pPr>
      <w:r>
        <w:rPr>
          <w:sz w:val="24"/>
          <w:szCs w:val="24"/>
          <w:lang w:val="da-DK"/>
        </w:rPr>
        <w:t>hæmmere af både OCT1 og OCT2 (f.eks. crizotinib, olaparib) kan ændre virkningen af metformin og dens elimination i</w:t>
      </w:r>
      <w:r>
        <w:rPr>
          <w:spacing w:val="-7"/>
          <w:sz w:val="24"/>
          <w:szCs w:val="24"/>
          <w:lang w:val="da-DK"/>
        </w:rPr>
        <w:t xml:space="preserve"> </w:t>
      </w:r>
      <w:r>
        <w:rPr>
          <w:sz w:val="24"/>
          <w:szCs w:val="24"/>
          <w:lang w:val="da-DK"/>
        </w:rPr>
        <w:t>nyrerne.</w:t>
      </w:r>
    </w:p>
    <w:p w14:paraId="7410BEFD" w14:textId="77777777" w:rsidR="00DC6CAA" w:rsidRDefault="00DC6CAA" w:rsidP="007C3B21">
      <w:pPr>
        <w:pStyle w:val="Brdtekst"/>
        <w:ind w:left="851" w:right="142"/>
        <w:rPr>
          <w:sz w:val="24"/>
          <w:szCs w:val="24"/>
          <w:lang w:val="da-DK"/>
        </w:rPr>
      </w:pPr>
    </w:p>
    <w:p w14:paraId="417BD2E4" w14:textId="77777777" w:rsidR="00DC6CAA" w:rsidRDefault="00DC6CAA" w:rsidP="007C3B21">
      <w:pPr>
        <w:pStyle w:val="Brdtekst"/>
        <w:ind w:left="851" w:right="142"/>
        <w:rPr>
          <w:sz w:val="24"/>
          <w:szCs w:val="24"/>
          <w:lang w:val="da-DK"/>
        </w:rPr>
      </w:pPr>
      <w:r>
        <w:rPr>
          <w:sz w:val="24"/>
          <w:szCs w:val="24"/>
          <w:lang w:val="da-DK"/>
        </w:rPr>
        <w:t>Der bør derfor udvises forsigtighed, især hos patienter med nedsat nyrefunktion, når disse lægemidler administreres samtidigt med metformin, da plasmakoncentrationen af metformin kan stige. Hvis det er nødvendigt, kan en dosisjustering af metformin overvejes, da hæmmere/induktorer af OCT kan ændre virkningen af metformin.</w:t>
      </w:r>
    </w:p>
    <w:p w14:paraId="46565842" w14:textId="77777777" w:rsidR="00DC6CAA" w:rsidRDefault="00DC6CAA" w:rsidP="007C3B21">
      <w:pPr>
        <w:pStyle w:val="Brdtekst"/>
        <w:ind w:left="851" w:right="142"/>
        <w:rPr>
          <w:sz w:val="24"/>
          <w:szCs w:val="24"/>
          <w:lang w:val="da-DK"/>
        </w:rPr>
      </w:pPr>
    </w:p>
    <w:p w14:paraId="7984B73C" w14:textId="77777777" w:rsidR="00DC6CAA" w:rsidRDefault="00DC6CAA" w:rsidP="007C3B21">
      <w:pPr>
        <w:ind w:left="851" w:right="142"/>
        <w:rPr>
          <w:i/>
          <w:sz w:val="24"/>
          <w:szCs w:val="24"/>
        </w:rPr>
      </w:pPr>
      <w:r>
        <w:rPr>
          <w:i/>
          <w:sz w:val="24"/>
          <w:szCs w:val="24"/>
        </w:rPr>
        <w:t>Samtidig brug frarådes</w:t>
      </w:r>
    </w:p>
    <w:p w14:paraId="73768223" w14:textId="77777777" w:rsidR="00DC6CAA" w:rsidRDefault="00DC6CAA" w:rsidP="007C3B21">
      <w:pPr>
        <w:ind w:left="851" w:right="142"/>
        <w:rPr>
          <w:i/>
          <w:sz w:val="24"/>
          <w:szCs w:val="24"/>
        </w:rPr>
      </w:pPr>
      <w:r>
        <w:rPr>
          <w:i/>
          <w:sz w:val="24"/>
          <w:szCs w:val="24"/>
          <w:u w:val="single"/>
        </w:rPr>
        <w:t>Alkohol</w:t>
      </w:r>
    </w:p>
    <w:p w14:paraId="246B76F9" w14:textId="77777777" w:rsidR="00DC6CAA" w:rsidRDefault="00DC6CAA" w:rsidP="007C3B21">
      <w:pPr>
        <w:pStyle w:val="Brdtekst"/>
        <w:ind w:left="851" w:right="142"/>
        <w:rPr>
          <w:sz w:val="24"/>
          <w:szCs w:val="24"/>
          <w:lang w:val="da-DK"/>
        </w:rPr>
      </w:pPr>
      <w:r>
        <w:rPr>
          <w:color w:val="323232"/>
          <w:sz w:val="24"/>
          <w:szCs w:val="24"/>
          <w:lang w:val="da-DK"/>
        </w:rPr>
        <w:t>Alkoholforgiftning er forbundet med en øget risiko for laktatacidose, især i tilfælde af faste, fejlernæring eller nedsat leverfunktion.</w:t>
      </w:r>
    </w:p>
    <w:p w14:paraId="49BFE47B" w14:textId="77777777" w:rsidR="00DC6CAA" w:rsidRDefault="00DC6CAA" w:rsidP="007C3B21">
      <w:pPr>
        <w:pStyle w:val="Brdtekst"/>
        <w:ind w:left="851" w:right="142"/>
        <w:rPr>
          <w:sz w:val="24"/>
          <w:szCs w:val="24"/>
          <w:lang w:val="da-DK"/>
        </w:rPr>
      </w:pPr>
    </w:p>
    <w:p w14:paraId="61AD1B19" w14:textId="77777777" w:rsidR="00DC6CAA" w:rsidRDefault="00DC6CAA" w:rsidP="007C3B21">
      <w:pPr>
        <w:ind w:left="851" w:right="142"/>
        <w:rPr>
          <w:i/>
          <w:sz w:val="24"/>
          <w:szCs w:val="24"/>
        </w:rPr>
      </w:pPr>
      <w:r>
        <w:rPr>
          <w:i/>
          <w:sz w:val="24"/>
          <w:szCs w:val="24"/>
          <w:u w:val="single"/>
        </w:rPr>
        <w:t>Iodholdige kontrastmidler</w:t>
      </w:r>
    </w:p>
    <w:p w14:paraId="48F574CF" w14:textId="741DEE8E" w:rsidR="00DC6CAA" w:rsidRDefault="00DC6CAA" w:rsidP="007C3B21">
      <w:pPr>
        <w:pStyle w:val="Brdtekst"/>
        <w:ind w:left="851" w:right="142"/>
        <w:rPr>
          <w:lang w:val="da-DK"/>
        </w:rPr>
      </w:pPr>
      <w:r>
        <w:rPr>
          <w:color w:val="323232"/>
          <w:sz w:val="24"/>
          <w:szCs w:val="24"/>
          <w:lang w:val="da-DK"/>
        </w:rPr>
        <w:t xml:space="preserve">Behandling med </w:t>
      </w:r>
      <w:r w:rsidR="002B2434">
        <w:rPr>
          <w:color w:val="323232"/>
          <w:sz w:val="24"/>
          <w:szCs w:val="24"/>
          <w:lang w:val="da-DK"/>
        </w:rPr>
        <w:t>Glymetia</w:t>
      </w:r>
      <w:r>
        <w:rPr>
          <w:color w:val="323232"/>
          <w:sz w:val="24"/>
          <w:szCs w:val="24"/>
          <w:lang w:val="da-DK"/>
        </w:rPr>
        <w:t xml:space="preserve"> skal afbrydes forud for eller på tidspunktet for billeddiagnostiske procedurer og først genoptages mindst 48 timer herefter, forudsat at nyrefunktionen er blevet revurderet og fundet stabil, se pkt. 4.2 og 4.4.</w:t>
      </w:r>
    </w:p>
    <w:p w14:paraId="40752F18" w14:textId="77777777" w:rsidR="009260DE" w:rsidRPr="00C84483" w:rsidRDefault="009260DE" w:rsidP="009260DE">
      <w:pPr>
        <w:tabs>
          <w:tab w:val="left" w:pos="851"/>
        </w:tabs>
        <w:ind w:left="851"/>
        <w:rPr>
          <w:sz w:val="24"/>
          <w:szCs w:val="24"/>
        </w:rPr>
      </w:pPr>
    </w:p>
    <w:p w14:paraId="6A9C91FE" w14:textId="77777777" w:rsidR="009260DE" w:rsidRPr="00C84483" w:rsidRDefault="009260DE" w:rsidP="009260DE">
      <w:pPr>
        <w:tabs>
          <w:tab w:val="left" w:pos="851"/>
        </w:tabs>
        <w:ind w:left="851" w:hanging="851"/>
        <w:rPr>
          <w:b/>
          <w:sz w:val="24"/>
          <w:szCs w:val="24"/>
        </w:rPr>
      </w:pPr>
      <w:r w:rsidRPr="00C84483">
        <w:rPr>
          <w:b/>
          <w:sz w:val="24"/>
          <w:szCs w:val="24"/>
        </w:rPr>
        <w:lastRenderedPageBreak/>
        <w:t>4.6</w:t>
      </w:r>
      <w:r w:rsidRPr="00C84483">
        <w:rPr>
          <w:b/>
          <w:sz w:val="24"/>
          <w:szCs w:val="24"/>
        </w:rPr>
        <w:tab/>
      </w:r>
      <w:r w:rsidR="0071241E">
        <w:rPr>
          <w:b/>
          <w:sz w:val="24"/>
          <w:szCs w:val="24"/>
        </w:rPr>
        <w:t>Fertilitet, g</w:t>
      </w:r>
      <w:r w:rsidRPr="00C84483">
        <w:rPr>
          <w:b/>
          <w:sz w:val="24"/>
          <w:szCs w:val="24"/>
        </w:rPr>
        <w:t>raviditet og amning</w:t>
      </w:r>
    </w:p>
    <w:p w14:paraId="61095D34" w14:textId="77777777" w:rsidR="00CD3D34" w:rsidRDefault="00CD3D34" w:rsidP="00DC6CAA">
      <w:pPr>
        <w:pStyle w:val="Brdtekst"/>
        <w:ind w:left="851"/>
        <w:rPr>
          <w:sz w:val="24"/>
          <w:szCs w:val="24"/>
          <w:u w:val="single"/>
          <w:lang w:val="da-DK"/>
        </w:rPr>
      </w:pPr>
    </w:p>
    <w:p w14:paraId="3142CEC8" w14:textId="3F02948B" w:rsidR="00DC6CAA" w:rsidRDefault="00DC6CAA" w:rsidP="00CD3D34">
      <w:pPr>
        <w:pStyle w:val="Brdtekst"/>
        <w:ind w:left="851"/>
        <w:rPr>
          <w:sz w:val="24"/>
          <w:szCs w:val="24"/>
          <w:lang w:val="da-DK"/>
        </w:rPr>
      </w:pPr>
      <w:r>
        <w:rPr>
          <w:sz w:val="24"/>
          <w:szCs w:val="24"/>
          <w:u w:val="single"/>
          <w:lang w:val="da-DK"/>
        </w:rPr>
        <w:t>Fertilitet</w:t>
      </w:r>
    </w:p>
    <w:p w14:paraId="6B03A160" w14:textId="77777777" w:rsidR="00DC6CAA" w:rsidRDefault="00DC6CAA" w:rsidP="00CD3D34">
      <w:pPr>
        <w:pStyle w:val="Brdtekst"/>
        <w:ind w:left="851"/>
        <w:rPr>
          <w:lang w:val="da-DK"/>
        </w:rPr>
      </w:pPr>
      <w:r>
        <w:rPr>
          <w:sz w:val="24"/>
          <w:szCs w:val="24"/>
          <w:lang w:val="da-DK"/>
        </w:rPr>
        <w:t>Linagliptin og metformin virkning på human fertilitet er ikke blevet undersøgt. Der blev ikke observeret bivirkninger fra linagliptin på fertiliteten hos han- og hunrotter (se punkt 5.3).</w:t>
      </w:r>
    </w:p>
    <w:p w14:paraId="0552CE19" w14:textId="77777777" w:rsidR="00DC6CAA" w:rsidRDefault="00DC6CAA" w:rsidP="00CD3D34">
      <w:pPr>
        <w:pStyle w:val="Brdtekst"/>
        <w:ind w:left="851"/>
        <w:rPr>
          <w:sz w:val="24"/>
          <w:szCs w:val="24"/>
          <w:u w:val="single"/>
          <w:lang w:val="da-DK"/>
        </w:rPr>
      </w:pPr>
    </w:p>
    <w:p w14:paraId="54B9500D" w14:textId="77777777" w:rsidR="00DC6CAA" w:rsidRDefault="00DC6CAA" w:rsidP="00CD3D34">
      <w:pPr>
        <w:pStyle w:val="Brdtekst"/>
        <w:ind w:left="851"/>
        <w:rPr>
          <w:sz w:val="24"/>
          <w:szCs w:val="24"/>
          <w:lang w:val="da-DK"/>
        </w:rPr>
      </w:pPr>
      <w:r>
        <w:rPr>
          <w:sz w:val="24"/>
          <w:szCs w:val="24"/>
          <w:u w:val="single"/>
          <w:lang w:val="da-DK"/>
        </w:rPr>
        <w:t>Graviditet</w:t>
      </w:r>
    </w:p>
    <w:p w14:paraId="6440DAB0" w14:textId="77777777" w:rsidR="00DC6CAA" w:rsidRDefault="00DC6CAA" w:rsidP="00CD3D34">
      <w:pPr>
        <w:pStyle w:val="Brdtekst"/>
        <w:ind w:left="851"/>
        <w:rPr>
          <w:sz w:val="24"/>
          <w:szCs w:val="24"/>
          <w:lang w:val="da-DK"/>
        </w:rPr>
      </w:pPr>
      <w:r>
        <w:rPr>
          <w:sz w:val="24"/>
          <w:szCs w:val="24"/>
          <w:lang w:val="da-DK"/>
        </w:rPr>
        <w:t>Anvendelse af linagliptin er ikke blevet undersøgt hos gravide kvinder. Dyreforsøg indikerer hverken direkte eller indirekte skadelige virkninger hvad angår reproduktionstoksicitet (se pkt. 5.3).</w:t>
      </w:r>
    </w:p>
    <w:p w14:paraId="27127538" w14:textId="77777777" w:rsidR="00DC6CAA" w:rsidRDefault="00DC6CAA" w:rsidP="00CD3D34">
      <w:pPr>
        <w:pStyle w:val="Brdtekst"/>
        <w:ind w:left="851"/>
        <w:rPr>
          <w:sz w:val="24"/>
          <w:szCs w:val="24"/>
          <w:lang w:val="da-DK"/>
        </w:rPr>
      </w:pPr>
      <w:r>
        <w:rPr>
          <w:sz w:val="24"/>
          <w:szCs w:val="24"/>
          <w:lang w:val="da-DK"/>
        </w:rPr>
        <w:t>Begrænsede data antyder, at anvendelse af metformin til gravide kvinder ikke er forbundet med en øget risiko for medfødte misdannelser. Dyreforsøg med metformin indikerer ikke skadelige virkninger hvad angår reproduktionstoksicitet (se pkt. 5.3).</w:t>
      </w:r>
    </w:p>
    <w:p w14:paraId="0A27B2AC" w14:textId="77777777" w:rsidR="00DC6CAA" w:rsidRDefault="00DC6CAA" w:rsidP="00CD3D34">
      <w:pPr>
        <w:pStyle w:val="Brdtekst"/>
        <w:ind w:left="851"/>
        <w:rPr>
          <w:sz w:val="24"/>
          <w:szCs w:val="24"/>
          <w:lang w:val="da-DK"/>
        </w:rPr>
      </w:pPr>
      <w:r>
        <w:rPr>
          <w:sz w:val="24"/>
          <w:szCs w:val="24"/>
          <w:lang w:val="da-DK"/>
        </w:rPr>
        <w:t>Non-kliniske reproduktionsstudier indikerede ikke forekomst af en additiv teratogen virkning, der kan tilskrives samtidig administration af linagliptin og metformin.</w:t>
      </w:r>
    </w:p>
    <w:p w14:paraId="2FFE3558" w14:textId="5D7CA901" w:rsidR="00DC6CAA" w:rsidRDefault="002B2434" w:rsidP="00CD3D34">
      <w:pPr>
        <w:pStyle w:val="Brdtekst"/>
        <w:ind w:left="851"/>
        <w:rPr>
          <w:sz w:val="24"/>
          <w:szCs w:val="24"/>
          <w:lang w:val="da-DK"/>
        </w:rPr>
      </w:pPr>
      <w:r>
        <w:rPr>
          <w:sz w:val="24"/>
          <w:szCs w:val="24"/>
          <w:lang w:val="da-DK"/>
        </w:rPr>
        <w:t>Glymetia</w:t>
      </w:r>
      <w:r w:rsidR="00DC6CAA">
        <w:rPr>
          <w:sz w:val="24"/>
          <w:szCs w:val="24"/>
          <w:lang w:val="da-DK"/>
        </w:rPr>
        <w:t xml:space="preserve"> bør ikke anvendes under graviditeten. Hvis patienten planlægger graviditet, eller hvis graviditet opstår, bør </w:t>
      </w:r>
      <w:r>
        <w:rPr>
          <w:sz w:val="24"/>
          <w:szCs w:val="24"/>
          <w:lang w:val="da-DK"/>
        </w:rPr>
        <w:t>Glymetia</w:t>
      </w:r>
      <w:r w:rsidR="00DC6CAA">
        <w:rPr>
          <w:sz w:val="24"/>
          <w:szCs w:val="24"/>
          <w:lang w:val="da-DK"/>
        </w:rPr>
        <w:t xml:space="preserve"> seponeres og hurtigst muligt erstattes af insulin for at reducere risikoen for føtale misdannelser, der er forbundet med abnorme blodglucoseniveauer.</w:t>
      </w:r>
    </w:p>
    <w:p w14:paraId="46514809" w14:textId="77777777" w:rsidR="00DC6CAA" w:rsidRDefault="00DC6CAA" w:rsidP="00CD3D34">
      <w:pPr>
        <w:pStyle w:val="Brdtekst"/>
        <w:ind w:left="851"/>
        <w:rPr>
          <w:sz w:val="24"/>
          <w:szCs w:val="24"/>
          <w:lang w:val="da-DK"/>
        </w:rPr>
      </w:pPr>
    </w:p>
    <w:p w14:paraId="37455DA8" w14:textId="77777777" w:rsidR="00DC6CAA" w:rsidRDefault="00DC6CAA" w:rsidP="00CD3D34">
      <w:pPr>
        <w:pStyle w:val="Brdtekst"/>
        <w:ind w:left="851"/>
        <w:rPr>
          <w:sz w:val="24"/>
          <w:szCs w:val="24"/>
          <w:lang w:val="da-DK"/>
        </w:rPr>
      </w:pPr>
      <w:r>
        <w:rPr>
          <w:sz w:val="24"/>
          <w:szCs w:val="24"/>
          <w:u w:val="single"/>
          <w:lang w:val="da-DK"/>
        </w:rPr>
        <w:t>Amning</w:t>
      </w:r>
    </w:p>
    <w:p w14:paraId="7B26CE71" w14:textId="66840A41" w:rsidR="00DC6CAA" w:rsidRDefault="00DC6CAA" w:rsidP="00CD3D34">
      <w:pPr>
        <w:pStyle w:val="Brdtekst"/>
        <w:ind w:left="851"/>
        <w:rPr>
          <w:sz w:val="24"/>
          <w:szCs w:val="24"/>
          <w:lang w:val="da-DK"/>
        </w:rPr>
      </w:pPr>
      <w:r>
        <w:rPr>
          <w:sz w:val="24"/>
          <w:szCs w:val="24"/>
          <w:lang w:val="da-DK"/>
        </w:rPr>
        <w:t xml:space="preserve">Dyreforsøg har vist udskillelse af både metformin og linagliptin i mælk hos diegivende rotter. Metformin udskilles i små mængder i human mælk. Det er ukendt, om linagliptin udskilles i human mælk. Det skal besluttes, om amning eller behandling med </w:t>
      </w:r>
      <w:r w:rsidR="002B2434">
        <w:rPr>
          <w:sz w:val="24"/>
          <w:szCs w:val="24"/>
          <w:lang w:val="da-DK"/>
        </w:rPr>
        <w:t>Glymetia</w:t>
      </w:r>
      <w:r>
        <w:rPr>
          <w:sz w:val="24"/>
          <w:szCs w:val="24"/>
          <w:lang w:val="da-DK"/>
        </w:rPr>
        <w:t xml:space="preserve"> skal ophøre, idet der tages højde for fordelene ved amning for barnet i forhold til de terapeutiske fordele for moderen.</w:t>
      </w:r>
    </w:p>
    <w:p w14:paraId="0BADA701" w14:textId="77777777" w:rsidR="009260DE" w:rsidRPr="00C84483" w:rsidRDefault="009260DE" w:rsidP="009260DE">
      <w:pPr>
        <w:tabs>
          <w:tab w:val="left" w:pos="851"/>
        </w:tabs>
        <w:ind w:left="851"/>
        <w:rPr>
          <w:sz w:val="24"/>
          <w:szCs w:val="24"/>
        </w:rPr>
      </w:pPr>
    </w:p>
    <w:p w14:paraId="1FEC910E"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9C53926" w14:textId="77777777" w:rsidR="00CD3D34" w:rsidRDefault="00CD3D34" w:rsidP="00DC6CAA">
      <w:pPr>
        <w:pStyle w:val="Brdtekst"/>
        <w:ind w:left="851" w:right="32"/>
        <w:rPr>
          <w:sz w:val="24"/>
          <w:szCs w:val="24"/>
          <w:lang w:val="da-DK"/>
        </w:rPr>
      </w:pPr>
      <w:r>
        <w:rPr>
          <w:sz w:val="24"/>
          <w:szCs w:val="24"/>
          <w:lang w:val="da-DK"/>
        </w:rPr>
        <w:t>Ikke mærkning.</w:t>
      </w:r>
    </w:p>
    <w:p w14:paraId="519A198C" w14:textId="38700F7A" w:rsidR="00DC6CAA" w:rsidRDefault="002B2434" w:rsidP="00DC6CAA">
      <w:pPr>
        <w:pStyle w:val="Brdtekst"/>
        <w:ind w:left="851" w:right="32"/>
        <w:rPr>
          <w:sz w:val="24"/>
          <w:szCs w:val="24"/>
          <w:lang w:val="da-DK"/>
        </w:rPr>
      </w:pPr>
      <w:r>
        <w:rPr>
          <w:sz w:val="24"/>
          <w:szCs w:val="24"/>
          <w:lang w:val="da-DK"/>
        </w:rPr>
        <w:t>Glymetia</w:t>
      </w:r>
      <w:r w:rsidR="00DC6CAA">
        <w:rPr>
          <w:sz w:val="24"/>
          <w:szCs w:val="24"/>
          <w:lang w:val="da-DK"/>
        </w:rPr>
        <w:t xml:space="preserve"> påvirker ikke eller kun i ubetydelig grad evnen til at føre motorkøretøj og betjene maskiner. Patienterne bør imidlertid advares om risikoen for hypoglykæmi, når </w:t>
      </w:r>
      <w:r>
        <w:rPr>
          <w:sz w:val="24"/>
          <w:szCs w:val="24"/>
          <w:lang w:val="da-DK"/>
        </w:rPr>
        <w:t>Glymetia</w:t>
      </w:r>
      <w:r w:rsidR="00DC6CAA">
        <w:rPr>
          <w:sz w:val="24"/>
          <w:szCs w:val="24"/>
          <w:lang w:val="da-DK"/>
        </w:rPr>
        <w:t xml:space="preserve"> anvendes i kombination med andre antidiabetiske lægemidler, der er kendt for at forårsage hypoglykæmi (f.eks. sulfonylurinstoffer).</w:t>
      </w:r>
    </w:p>
    <w:p w14:paraId="0ADA00DD" w14:textId="77777777" w:rsidR="009260DE" w:rsidRPr="00C84483" w:rsidRDefault="009260DE" w:rsidP="009260DE">
      <w:pPr>
        <w:tabs>
          <w:tab w:val="left" w:pos="851"/>
        </w:tabs>
        <w:ind w:left="851"/>
        <w:rPr>
          <w:sz w:val="24"/>
          <w:szCs w:val="24"/>
        </w:rPr>
      </w:pPr>
    </w:p>
    <w:p w14:paraId="685FDCD9"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3F1FFFB" w14:textId="77777777" w:rsidR="00DC6CAA" w:rsidRDefault="00DC6CAA" w:rsidP="00DC6CAA">
      <w:pPr>
        <w:ind w:left="851"/>
        <w:rPr>
          <w:sz w:val="24"/>
          <w:szCs w:val="24"/>
        </w:rPr>
      </w:pPr>
    </w:p>
    <w:p w14:paraId="35F60C16" w14:textId="77777777" w:rsidR="00DC6CAA" w:rsidRDefault="00DC6CAA" w:rsidP="00DC6CAA">
      <w:pPr>
        <w:pStyle w:val="Brdtekst"/>
        <w:ind w:left="851"/>
        <w:rPr>
          <w:sz w:val="24"/>
          <w:szCs w:val="24"/>
          <w:lang w:val="da-DK"/>
        </w:rPr>
      </w:pPr>
      <w:r>
        <w:rPr>
          <w:sz w:val="24"/>
          <w:szCs w:val="24"/>
          <w:u w:val="single"/>
          <w:lang w:val="da-DK"/>
        </w:rPr>
        <w:t>Resumé af sikkerhedsprofilen</w:t>
      </w:r>
    </w:p>
    <w:p w14:paraId="3B3A81E8" w14:textId="77777777" w:rsidR="00DC6CAA" w:rsidRDefault="00DC6CAA" w:rsidP="00CD3D34">
      <w:pPr>
        <w:pStyle w:val="Brdtekst"/>
        <w:ind w:left="851"/>
        <w:rPr>
          <w:sz w:val="24"/>
          <w:szCs w:val="24"/>
          <w:lang w:val="da-DK"/>
        </w:rPr>
      </w:pPr>
      <w:r>
        <w:rPr>
          <w:sz w:val="24"/>
          <w:szCs w:val="24"/>
          <w:lang w:val="da-DK"/>
        </w:rPr>
        <w:t>Sikkerheden af linagliptin 2,5 mg 2 gange dagligt (eller det bioækvivalente 5 mg én gang dagligt) i kombination med metformin er blevet undersøgt hos mere end 6 800 patienter med type 2-diabetes mellitus. I placebokontrollerede studier blev mere end 1 800 patienter behandlet med den terapeutiske dosis på enten 2,5 mg linagliptin 2 gange dagligt (eller det bioækvivalente 5 mg linagliptin én gang dagligt) i kombination med metformin i ≥ 12/24 uger.</w:t>
      </w:r>
    </w:p>
    <w:p w14:paraId="4E9679EC" w14:textId="77777777" w:rsidR="00DC6CAA" w:rsidRDefault="00DC6CAA" w:rsidP="00CD3D34">
      <w:pPr>
        <w:pStyle w:val="Brdtekst"/>
        <w:ind w:left="851"/>
        <w:rPr>
          <w:sz w:val="24"/>
          <w:szCs w:val="24"/>
          <w:lang w:val="da-DK"/>
        </w:rPr>
      </w:pPr>
    </w:p>
    <w:p w14:paraId="7DD02800" w14:textId="394BCFA7" w:rsidR="00DC6CAA" w:rsidRDefault="00DC6CAA" w:rsidP="00CD3D34">
      <w:pPr>
        <w:pStyle w:val="Brdtekst"/>
        <w:ind w:left="851"/>
        <w:rPr>
          <w:sz w:val="24"/>
          <w:szCs w:val="24"/>
          <w:lang w:val="da-DK"/>
        </w:rPr>
      </w:pPr>
      <w:r>
        <w:rPr>
          <w:sz w:val="24"/>
          <w:szCs w:val="24"/>
          <w:lang w:val="da-DK"/>
        </w:rPr>
        <w:t>I en puljet analyse af de syv placebokontrollerede studier var den overordnede forekomst af bivirkninger hos patienter, der fik placebo og metformin, sammenlignelig med den set med linagliptin 2,5 mg og metformin (54,3 % og 49,0 %). Andelen af patienter, der seponerede behandlingen som følge af bivirkninger i placebo og metformingruppen, var sammenlignelig med andelen i linagliptin og metformingruppen (henholdsvis 3,8 % og 2,9</w:t>
      </w:r>
      <w:r w:rsidR="00312252">
        <w:rPr>
          <w:sz w:val="24"/>
          <w:szCs w:val="24"/>
          <w:lang w:val="da-DK"/>
        </w:rPr>
        <w:t> </w:t>
      </w:r>
      <w:r>
        <w:rPr>
          <w:sz w:val="24"/>
          <w:szCs w:val="24"/>
          <w:lang w:val="da-DK"/>
        </w:rPr>
        <w:t>%).</w:t>
      </w:r>
    </w:p>
    <w:p w14:paraId="359B7CF7" w14:textId="77777777" w:rsidR="00DC6CAA" w:rsidRDefault="00DC6CAA" w:rsidP="00CD3D34">
      <w:pPr>
        <w:pStyle w:val="Brdtekst"/>
        <w:ind w:left="851"/>
        <w:rPr>
          <w:sz w:val="24"/>
          <w:szCs w:val="24"/>
          <w:lang w:val="da-DK"/>
        </w:rPr>
      </w:pPr>
    </w:p>
    <w:p w14:paraId="2915D80A" w14:textId="77777777" w:rsidR="00DC6CAA" w:rsidRDefault="00DC6CAA" w:rsidP="00CD3D34">
      <w:pPr>
        <w:pStyle w:val="Brdtekst"/>
        <w:ind w:left="851"/>
        <w:rPr>
          <w:sz w:val="24"/>
          <w:szCs w:val="24"/>
          <w:lang w:val="da-DK"/>
        </w:rPr>
      </w:pPr>
      <w:r>
        <w:rPr>
          <w:sz w:val="24"/>
          <w:szCs w:val="24"/>
          <w:lang w:val="da-DK"/>
        </w:rPr>
        <w:lastRenderedPageBreak/>
        <w:t>Den hyppigst rapporterede bivirkning for linagliptin plus metformin var diarré (1,6 %) med en sammenlignelig hyppighed for metformin plus placebo (2,4 %).</w:t>
      </w:r>
    </w:p>
    <w:p w14:paraId="460DB5F9" w14:textId="77777777" w:rsidR="00DC6CAA" w:rsidRDefault="00DC6CAA" w:rsidP="00CD3D34">
      <w:pPr>
        <w:pStyle w:val="Brdtekst"/>
        <w:ind w:left="851"/>
        <w:rPr>
          <w:sz w:val="24"/>
          <w:szCs w:val="24"/>
          <w:lang w:val="da-DK"/>
        </w:rPr>
      </w:pPr>
    </w:p>
    <w:p w14:paraId="170AF018" w14:textId="4D133EE2" w:rsidR="00DC6CAA" w:rsidRDefault="00DC6CAA" w:rsidP="00CD3D34">
      <w:pPr>
        <w:pStyle w:val="Brdtekst"/>
        <w:ind w:left="851"/>
        <w:rPr>
          <w:sz w:val="24"/>
          <w:szCs w:val="24"/>
          <w:lang w:val="da-DK"/>
        </w:rPr>
      </w:pPr>
      <w:r>
        <w:rPr>
          <w:sz w:val="24"/>
          <w:szCs w:val="24"/>
          <w:lang w:val="da-DK"/>
        </w:rPr>
        <w:t xml:space="preserve">Hypoglykæmi kan forekomme, når </w:t>
      </w:r>
      <w:r w:rsidR="002B2434">
        <w:rPr>
          <w:sz w:val="24"/>
          <w:szCs w:val="24"/>
          <w:lang w:val="da-DK"/>
        </w:rPr>
        <w:t>Glymetia</w:t>
      </w:r>
      <w:r>
        <w:rPr>
          <w:sz w:val="24"/>
          <w:szCs w:val="24"/>
          <w:lang w:val="da-DK"/>
        </w:rPr>
        <w:t xml:space="preserve"> administreres sammen med sulfonylurinstof (≥ 1 tilfælde ud af 10 personer).</w:t>
      </w:r>
    </w:p>
    <w:p w14:paraId="19A98C02" w14:textId="77777777" w:rsidR="00DC6CAA" w:rsidRDefault="00DC6CAA" w:rsidP="00CD3D34">
      <w:pPr>
        <w:pStyle w:val="Brdtekst"/>
        <w:ind w:left="851"/>
        <w:rPr>
          <w:sz w:val="24"/>
          <w:szCs w:val="24"/>
          <w:lang w:val="da-DK"/>
        </w:rPr>
      </w:pPr>
    </w:p>
    <w:p w14:paraId="186CE08D" w14:textId="77777777" w:rsidR="00DC6CAA" w:rsidRDefault="00DC6CAA" w:rsidP="00CD3D34">
      <w:pPr>
        <w:pStyle w:val="Brdtekst"/>
        <w:ind w:left="851"/>
        <w:rPr>
          <w:sz w:val="24"/>
          <w:szCs w:val="24"/>
          <w:lang w:val="da-DK"/>
        </w:rPr>
      </w:pPr>
      <w:r>
        <w:rPr>
          <w:sz w:val="24"/>
          <w:szCs w:val="24"/>
          <w:u w:val="single"/>
          <w:lang w:val="da-DK"/>
        </w:rPr>
        <w:t>Tabel over bivirkninger</w:t>
      </w:r>
    </w:p>
    <w:p w14:paraId="23EF4110" w14:textId="77777777" w:rsidR="00DC6CAA" w:rsidRDefault="00DC6CAA" w:rsidP="00CD3D34">
      <w:pPr>
        <w:pStyle w:val="Brdtekst"/>
        <w:ind w:left="851"/>
        <w:rPr>
          <w:sz w:val="24"/>
          <w:szCs w:val="24"/>
          <w:lang w:val="da-DK"/>
        </w:rPr>
      </w:pPr>
      <w:r>
        <w:rPr>
          <w:sz w:val="24"/>
          <w:szCs w:val="24"/>
          <w:lang w:val="da-DK"/>
        </w:rPr>
        <w:t>Bivirkninger rapporteret i alle kliniske studier med linagliptin+metformin i kombination eller ved brug af monokomponenterne (linagliptin eller metformin) i kliniske studier eller fra erfaringer efter markedsføring er anført nedenfor inddelt i systemorganklasser. Bivirkninger tidligere rapporteret med et af de individuelle aktive stoffer kan være mulige bivirkninger ved linagliptin og metformin, selvom de ikke blev observeret i kliniske studier med dette lægemiddel.</w:t>
      </w:r>
    </w:p>
    <w:p w14:paraId="2C9FD35D" w14:textId="77777777" w:rsidR="00DC6CAA" w:rsidRDefault="00DC6CAA" w:rsidP="00CD3D34">
      <w:pPr>
        <w:pStyle w:val="Brdtekst"/>
        <w:ind w:left="851"/>
        <w:rPr>
          <w:sz w:val="24"/>
          <w:szCs w:val="24"/>
          <w:lang w:val="da-DK"/>
        </w:rPr>
      </w:pPr>
    </w:p>
    <w:p w14:paraId="0A7C5461" w14:textId="77777777" w:rsidR="00DC6CAA" w:rsidRDefault="00DC6CAA" w:rsidP="00CD3D34">
      <w:pPr>
        <w:pStyle w:val="Brdtekst"/>
        <w:ind w:left="851"/>
        <w:rPr>
          <w:sz w:val="24"/>
          <w:szCs w:val="24"/>
          <w:lang w:val="da-DK"/>
        </w:rPr>
      </w:pPr>
      <w:r>
        <w:rPr>
          <w:sz w:val="24"/>
          <w:szCs w:val="24"/>
          <w:lang w:val="da-DK"/>
        </w:rPr>
        <w:t>Bivirkningerne er opdelt efter systemorganklasse og absolut hyppighed. Hyppigheden defineres som: Meget almindelig (≥ 1/10); almindelig (≥ 1/100 til &lt; 1/10); ikke almindelig (≥ 1/1 000 til &lt; 1/100); sjælden (≥ 1/10 000 til &lt; 1/1 000); meget sjælden (&lt; 1/10 000); ikke kendt (kan ikke estimeres ud fra forhåndenværende data).</w:t>
      </w:r>
    </w:p>
    <w:p w14:paraId="5EBDCC8D" w14:textId="77777777" w:rsidR="00DC6CAA" w:rsidRDefault="00DC6CAA" w:rsidP="00CD3D34">
      <w:pPr>
        <w:pStyle w:val="Brdtekst"/>
        <w:ind w:left="851"/>
        <w:rPr>
          <w:sz w:val="24"/>
          <w:szCs w:val="24"/>
          <w:lang w:val="da-DK"/>
        </w:rPr>
      </w:pPr>
    </w:p>
    <w:p w14:paraId="325D29B8" w14:textId="77777777" w:rsidR="00DC6CAA" w:rsidRDefault="00DC6CAA" w:rsidP="00CD3D34">
      <w:pPr>
        <w:pStyle w:val="Brdtekst"/>
        <w:tabs>
          <w:tab w:val="left" w:pos="1351"/>
        </w:tabs>
        <w:ind w:left="851" w:right="32"/>
        <w:rPr>
          <w:sz w:val="24"/>
          <w:szCs w:val="24"/>
          <w:lang w:val="da-DK"/>
        </w:rPr>
      </w:pPr>
      <w:r>
        <w:rPr>
          <w:sz w:val="24"/>
          <w:szCs w:val="24"/>
          <w:lang w:val="da-DK"/>
        </w:rPr>
        <w:t>Tabel 2: Bivirkninger indberettet for patienter, der fik linagliptin+metformin alene (som monokomponenter eller i kombination) eller som tillæg til andre antidiabetiske behandlinger i kliniske studier, og fra erfaring efter markedsføring.</w:t>
      </w:r>
    </w:p>
    <w:p w14:paraId="3B165248" w14:textId="77777777" w:rsidR="00DC6CAA" w:rsidRDefault="00DC6CAA" w:rsidP="00DC6CAA">
      <w:pPr>
        <w:pStyle w:val="Brdtekst"/>
        <w:ind w:left="1984" w:right="1199" w:hanging="1133"/>
        <w:jc w:val="both"/>
        <w:rPr>
          <w:sz w:val="24"/>
          <w:szCs w:val="24"/>
          <w:lang w:val="da-DK"/>
        </w:rPr>
      </w:pPr>
    </w:p>
    <w:tbl>
      <w:tblPr>
        <w:tblW w:w="9062"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14"/>
        <w:gridCol w:w="4248"/>
      </w:tblGrid>
      <w:tr w:rsidR="00DC6CAA" w14:paraId="02D12286" w14:textId="77777777" w:rsidTr="00DC6CAA">
        <w:trPr>
          <w:trHeight w:val="506"/>
          <w:tblHeader/>
        </w:trPr>
        <w:tc>
          <w:tcPr>
            <w:tcW w:w="4814" w:type="dxa"/>
            <w:tcBorders>
              <w:top w:val="single" w:sz="4" w:space="0" w:color="000000"/>
              <w:left w:val="single" w:sz="4" w:space="0" w:color="000000"/>
              <w:bottom w:val="single" w:sz="4" w:space="0" w:color="000000"/>
              <w:right w:val="single" w:sz="4" w:space="0" w:color="000000"/>
            </w:tcBorders>
            <w:hideMark/>
          </w:tcPr>
          <w:p w14:paraId="625F7736" w14:textId="77777777" w:rsidR="00DC6CAA" w:rsidRDefault="00DC6CAA">
            <w:pPr>
              <w:pStyle w:val="TableParagraph"/>
              <w:jc w:val="left"/>
              <w:rPr>
                <w:b/>
                <w:sz w:val="24"/>
                <w:szCs w:val="24"/>
                <w:lang w:val="da-DK"/>
              </w:rPr>
            </w:pPr>
            <w:r>
              <w:rPr>
                <w:b/>
                <w:sz w:val="24"/>
                <w:szCs w:val="24"/>
                <w:lang w:val="da-DK"/>
              </w:rPr>
              <w:t>Systemorganklasse</w:t>
            </w:r>
          </w:p>
          <w:p w14:paraId="036D3168" w14:textId="77777777" w:rsidR="00DC6CAA" w:rsidRDefault="00DC6CAA">
            <w:pPr>
              <w:pStyle w:val="TableParagraph"/>
              <w:jc w:val="left"/>
              <w:rPr>
                <w:sz w:val="24"/>
                <w:szCs w:val="24"/>
                <w:lang w:val="da-DK"/>
              </w:rPr>
            </w:pPr>
            <w:r>
              <w:rPr>
                <w:sz w:val="24"/>
                <w:szCs w:val="24"/>
                <w:lang w:val="da-DK"/>
              </w:rPr>
              <w:t>Bivirkning</w:t>
            </w:r>
          </w:p>
        </w:tc>
        <w:tc>
          <w:tcPr>
            <w:tcW w:w="4248" w:type="dxa"/>
            <w:tcBorders>
              <w:top w:val="single" w:sz="4" w:space="0" w:color="000000"/>
              <w:left w:val="single" w:sz="4" w:space="0" w:color="000000"/>
              <w:bottom w:val="single" w:sz="4" w:space="0" w:color="000000"/>
              <w:right w:val="single" w:sz="4" w:space="0" w:color="000000"/>
            </w:tcBorders>
            <w:hideMark/>
          </w:tcPr>
          <w:p w14:paraId="0F0D0DA5" w14:textId="77777777" w:rsidR="00DC6CAA" w:rsidRDefault="00DC6CAA">
            <w:pPr>
              <w:pStyle w:val="TableParagraph"/>
              <w:ind w:left="695" w:right="933"/>
              <w:jc w:val="left"/>
              <w:rPr>
                <w:b/>
                <w:sz w:val="24"/>
                <w:szCs w:val="24"/>
                <w:lang w:val="da-DK"/>
              </w:rPr>
            </w:pPr>
            <w:r>
              <w:rPr>
                <w:b/>
                <w:sz w:val="24"/>
                <w:szCs w:val="24"/>
                <w:lang w:val="da-DK"/>
              </w:rPr>
              <w:t>Hyppighed af bivirkning</w:t>
            </w:r>
          </w:p>
        </w:tc>
      </w:tr>
      <w:tr w:rsidR="00DC6CAA" w14:paraId="4CF76026" w14:textId="77777777" w:rsidTr="00DC6CAA">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2C262F45" w14:textId="77777777" w:rsidR="00DC6CAA" w:rsidRDefault="00DC6CAA">
            <w:pPr>
              <w:pStyle w:val="TableParagraph"/>
              <w:jc w:val="left"/>
              <w:rPr>
                <w:b/>
                <w:sz w:val="24"/>
                <w:szCs w:val="24"/>
                <w:lang w:val="da-DK"/>
              </w:rPr>
            </w:pPr>
            <w:r>
              <w:rPr>
                <w:b/>
                <w:sz w:val="24"/>
                <w:szCs w:val="24"/>
                <w:lang w:val="da-DK"/>
              </w:rPr>
              <w:t>Infektioner og parasitære sygdomme</w:t>
            </w:r>
          </w:p>
        </w:tc>
        <w:tc>
          <w:tcPr>
            <w:tcW w:w="4248" w:type="dxa"/>
            <w:tcBorders>
              <w:top w:val="single" w:sz="4" w:space="0" w:color="000000"/>
              <w:left w:val="single" w:sz="4" w:space="0" w:color="000000"/>
              <w:bottom w:val="single" w:sz="4" w:space="0" w:color="000000"/>
              <w:right w:val="single" w:sz="4" w:space="0" w:color="000000"/>
            </w:tcBorders>
          </w:tcPr>
          <w:p w14:paraId="4FF03393" w14:textId="77777777" w:rsidR="00DC6CAA" w:rsidRDefault="00DC6CAA">
            <w:pPr>
              <w:pStyle w:val="TableParagraph"/>
              <w:ind w:left="695"/>
              <w:jc w:val="left"/>
              <w:rPr>
                <w:sz w:val="24"/>
                <w:szCs w:val="24"/>
                <w:lang w:val="da-DK"/>
              </w:rPr>
            </w:pPr>
          </w:p>
        </w:tc>
      </w:tr>
      <w:tr w:rsidR="00DC6CAA" w14:paraId="0F5ADEEA" w14:textId="77777777" w:rsidTr="00DC6CAA">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4930722A" w14:textId="77777777" w:rsidR="00DC6CAA" w:rsidRDefault="00DC6CAA">
            <w:pPr>
              <w:pStyle w:val="TableParagraph"/>
              <w:jc w:val="left"/>
              <w:rPr>
                <w:sz w:val="24"/>
                <w:szCs w:val="24"/>
                <w:lang w:val="da-DK"/>
              </w:rPr>
            </w:pPr>
            <w:r>
              <w:rPr>
                <w:sz w:val="24"/>
                <w:szCs w:val="24"/>
                <w:lang w:val="da-DK"/>
              </w:rPr>
              <w:t>Nasofaryngitis</w:t>
            </w:r>
          </w:p>
        </w:tc>
        <w:tc>
          <w:tcPr>
            <w:tcW w:w="4248" w:type="dxa"/>
            <w:tcBorders>
              <w:top w:val="single" w:sz="4" w:space="0" w:color="000000"/>
              <w:left w:val="single" w:sz="4" w:space="0" w:color="000000"/>
              <w:bottom w:val="single" w:sz="4" w:space="0" w:color="000000"/>
              <w:right w:val="single" w:sz="4" w:space="0" w:color="000000"/>
            </w:tcBorders>
            <w:hideMark/>
          </w:tcPr>
          <w:p w14:paraId="62987F5C" w14:textId="77777777" w:rsidR="00DC6CAA" w:rsidRDefault="00DC6CAA">
            <w:pPr>
              <w:pStyle w:val="TableParagraph"/>
              <w:ind w:left="695" w:right="930"/>
              <w:jc w:val="left"/>
              <w:rPr>
                <w:sz w:val="24"/>
                <w:szCs w:val="24"/>
                <w:lang w:val="da-DK"/>
              </w:rPr>
            </w:pPr>
            <w:r>
              <w:rPr>
                <w:sz w:val="24"/>
                <w:szCs w:val="24"/>
                <w:lang w:val="da-DK"/>
              </w:rPr>
              <w:t>ikke almindelig</w:t>
            </w:r>
          </w:p>
        </w:tc>
      </w:tr>
      <w:tr w:rsidR="00DC6CAA" w14:paraId="5823859E" w14:textId="77777777" w:rsidTr="00DC6CAA">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2C267F77" w14:textId="77777777" w:rsidR="00DC6CAA" w:rsidRDefault="00DC6CAA">
            <w:pPr>
              <w:pStyle w:val="TableParagraph"/>
              <w:jc w:val="left"/>
              <w:rPr>
                <w:b/>
                <w:sz w:val="24"/>
                <w:szCs w:val="24"/>
                <w:lang w:val="da-DK"/>
              </w:rPr>
            </w:pPr>
            <w:r>
              <w:rPr>
                <w:b/>
                <w:sz w:val="24"/>
                <w:szCs w:val="24"/>
                <w:lang w:val="da-DK"/>
              </w:rPr>
              <w:t>Immunsystemet</w:t>
            </w:r>
          </w:p>
        </w:tc>
        <w:tc>
          <w:tcPr>
            <w:tcW w:w="4248" w:type="dxa"/>
            <w:tcBorders>
              <w:top w:val="single" w:sz="4" w:space="0" w:color="000000"/>
              <w:left w:val="single" w:sz="4" w:space="0" w:color="000000"/>
              <w:bottom w:val="single" w:sz="4" w:space="0" w:color="000000"/>
              <w:right w:val="single" w:sz="4" w:space="0" w:color="000000"/>
            </w:tcBorders>
          </w:tcPr>
          <w:p w14:paraId="5BF4C482" w14:textId="77777777" w:rsidR="00DC6CAA" w:rsidRDefault="00DC6CAA">
            <w:pPr>
              <w:pStyle w:val="TableParagraph"/>
              <w:ind w:left="695"/>
              <w:jc w:val="left"/>
              <w:rPr>
                <w:sz w:val="24"/>
                <w:szCs w:val="24"/>
                <w:lang w:val="da-DK"/>
              </w:rPr>
            </w:pPr>
          </w:p>
        </w:tc>
      </w:tr>
      <w:tr w:rsidR="00DC6CAA" w14:paraId="7336599A" w14:textId="77777777" w:rsidTr="00DC6CAA">
        <w:trPr>
          <w:trHeight w:val="505"/>
        </w:trPr>
        <w:tc>
          <w:tcPr>
            <w:tcW w:w="4814" w:type="dxa"/>
            <w:tcBorders>
              <w:top w:val="single" w:sz="4" w:space="0" w:color="000000"/>
              <w:left w:val="single" w:sz="4" w:space="0" w:color="000000"/>
              <w:bottom w:val="single" w:sz="4" w:space="0" w:color="000000"/>
              <w:right w:val="single" w:sz="4" w:space="0" w:color="000000"/>
            </w:tcBorders>
            <w:hideMark/>
          </w:tcPr>
          <w:p w14:paraId="65C9E8CB" w14:textId="77777777" w:rsidR="00DC6CAA" w:rsidRDefault="00DC6CAA">
            <w:pPr>
              <w:pStyle w:val="TableParagraph"/>
              <w:jc w:val="left"/>
              <w:rPr>
                <w:sz w:val="24"/>
                <w:szCs w:val="24"/>
                <w:lang w:val="da-DK"/>
              </w:rPr>
            </w:pPr>
            <w:r>
              <w:rPr>
                <w:sz w:val="24"/>
                <w:szCs w:val="24"/>
                <w:lang w:val="da-DK"/>
              </w:rPr>
              <w:t>Overfølsomhed</w:t>
            </w:r>
          </w:p>
          <w:p w14:paraId="0DF4B141" w14:textId="77777777" w:rsidR="00DC6CAA" w:rsidRDefault="00DC6CAA">
            <w:pPr>
              <w:pStyle w:val="TableParagraph"/>
              <w:jc w:val="left"/>
              <w:rPr>
                <w:sz w:val="24"/>
                <w:szCs w:val="24"/>
                <w:lang w:val="da-DK"/>
              </w:rPr>
            </w:pPr>
            <w:r>
              <w:rPr>
                <w:sz w:val="24"/>
                <w:szCs w:val="24"/>
                <w:lang w:val="da-DK"/>
              </w:rPr>
              <w:t>(f.eks. bronkial hyperreaktivitet)</w:t>
            </w:r>
          </w:p>
        </w:tc>
        <w:tc>
          <w:tcPr>
            <w:tcW w:w="4248" w:type="dxa"/>
            <w:tcBorders>
              <w:top w:val="single" w:sz="4" w:space="0" w:color="000000"/>
              <w:left w:val="single" w:sz="4" w:space="0" w:color="000000"/>
              <w:bottom w:val="single" w:sz="4" w:space="0" w:color="000000"/>
              <w:right w:val="single" w:sz="4" w:space="0" w:color="000000"/>
            </w:tcBorders>
            <w:hideMark/>
          </w:tcPr>
          <w:p w14:paraId="7F40C79A" w14:textId="77777777" w:rsidR="00DC6CAA" w:rsidRDefault="00DC6CAA">
            <w:pPr>
              <w:pStyle w:val="TableParagraph"/>
              <w:ind w:left="695" w:right="930"/>
              <w:jc w:val="left"/>
              <w:rPr>
                <w:sz w:val="24"/>
                <w:szCs w:val="24"/>
                <w:lang w:val="da-DK"/>
              </w:rPr>
            </w:pPr>
            <w:r>
              <w:rPr>
                <w:sz w:val="24"/>
                <w:szCs w:val="24"/>
                <w:lang w:val="da-DK"/>
              </w:rPr>
              <w:t>ikke almindelig</w:t>
            </w:r>
          </w:p>
        </w:tc>
      </w:tr>
      <w:tr w:rsidR="00DC6CAA" w14:paraId="3F1EE219"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07185020" w14:textId="77777777" w:rsidR="00DC6CAA" w:rsidRDefault="00DC6CAA">
            <w:pPr>
              <w:pStyle w:val="TableParagraph"/>
              <w:jc w:val="left"/>
              <w:rPr>
                <w:b/>
                <w:sz w:val="24"/>
                <w:szCs w:val="24"/>
                <w:lang w:val="da-DK"/>
              </w:rPr>
            </w:pPr>
            <w:r>
              <w:rPr>
                <w:b/>
                <w:sz w:val="24"/>
                <w:szCs w:val="24"/>
                <w:lang w:val="da-DK"/>
              </w:rPr>
              <w:t>Metabolisme og ernæring</w:t>
            </w:r>
          </w:p>
        </w:tc>
        <w:tc>
          <w:tcPr>
            <w:tcW w:w="4248" w:type="dxa"/>
            <w:tcBorders>
              <w:top w:val="single" w:sz="4" w:space="0" w:color="000000"/>
              <w:left w:val="single" w:sz="4" w:space="0" w:color="000000"/>
              <w:bottom w:val="single" w:sz="4" w:space="0" w:color="000000"/>
              <w:right w:val="single" w:sz="4" w:space="0" w:color="000000"/>
            </w:tcBorders>
          </w:tcPr>
          <w:p w14:paraId="4AC693BF" w14:textId="77777777" w:rsidR="00DC6CAA" w:rsidRDefault="00DC6CAA">
            <w:pPr>
              <w:pStyle w:val="TableParagraph"/>
              <w:ind w:left="695"/>
              <w:jc w:val="left"/>
              <w:rPr>
                <w:sz w:val="24"/>
                <w:szCs w:val="24"/>
                <w:lang w:val="da-DK"/>
              </w:rPr>
            </w:pPr>
          </w:p>
        </w:tc>
      </w:tr>
      <w:tr w:rsidR="00DC6CAA" w14:paraId="0B36C1CE" w14:textId="77777777" w:rsidTr="00DC6CAA">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1ED4BF83" w14:textId="77777777" w:rsidR="00DC6CAA" w:rsidRDefault="00DC6CAA">
            <w:pPr>
              <w:pStyle w:val="TableParagraph"/>
              <w:jc w:val="left"/>
              <w:rPr>
                <w:sz w:val="24"/>
                <w:szCs w:val="24"/>
                <w:lang w:val="da-DK"/>
              </w:rPr>
            </w:pPr>
            <w:r>
              <w:rPr>
                <w:sz w:val="24"/>
                <w:szCs w:val="24"/>
                <w:lang w:val="da-DK"/>
              </w:rPr>
              <w:t>Hypoglykæmi</w:t>
            </w:r>
            <w:r>
              <w:rPr>
                <w:sz w:val="24"/>
                <w:szCs w:val="24"/>
                <w:vertAlign w:val="superscript"/>
                <w:lang w:val="da-DK"/>
              </w:rPr>
              <w:t>1</w:t>
            </w:r>
          </w:p>
        </w:tc>
        <w:tc>
          <w:tcPr>
            <w:tcW w:w="4248" w:type="dxa"/>
            <w:tcBorders>
              <w:top w:val="single" w:sz="4" w:space="0" w:color="000000"/>
              <w:left w:val="single" w:sz="4" w:space="0" w:color="000000"/>
              <w:bottom w:val="single" w:sz="4" w:space="0" w:color="000000"/>
              <w:right w:val="single" w:sz="4" w:space="0" w:color="000000"/>
            </w:tcBorders>
            <w:hideMark/>
          </w:tcPr>
          <w:p w14:paraId="62C3C3AD" w14:textId="77777777" w:rsidR="00DC6CAA" w:rsidRDefault="00DC6CAA">
            <w:pPr>
              <w:pStyle w:val="TableParagraph"/>
              <w:ind w:left="695" w:right="931"/>
              <w:jc w:val="left"/>
              <w:rPr>
                <w:sz w:val="24"/>
                <w:szCs w:val="24"/>
                <w:lang w:val="da-DK"/>
              </w:rPr>
            </w:pPr>
            <w:r>
              <w:rPr>
                <w:sz w:val="24"/>
                <w:szCs w:val="24"/>
                <w:lang w:val="da-DK"/>
              </w:rPr>
              <w:t>meget almindelig</w:t>
            </w:r>
          </w:p>
        </w:tc>
      </w:tr>
      <w:tr w:rsidR="00DC6CAA" w14:paraId="272ED1C6" w14:textId="77777777" w:rsidTr="00DC6CAA">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4EB5BC46" w14:textId="77777777" w:rsidR="00DC6CAA" w:rsidRDefault="00DC6CAA">
            <w:pPr>
              <w:pStyle w:val="TableParagraph"/>
              <w:jc w:val="left"/>
              <w:rPr>
                <w:sz w:val="24"/>
                <w:szCs w:val="24"/>
                <w:lang w:val="da-DK"/>
              </w:rPr>
            </w:pPr>
            <w:r>
              <w:rPr>
                <w:sz w:val="24"/>
                <w:szCs w:val="24"/>
                <w:lang w:val="da-DK"/>
              </w:rPr>
              <w:t>Laktatacidose</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2D04AB5D" w14:textId="77777777" w:rsidR="00DC6CAA" w:rsidRDefault="00DC6CAA">
            <w:pPr>
              <w:pStyle w:val="TableParagraph"/>
              <w:ind w:left="695" w:right="931"/>
              <w:jc w:val="left"/>
              <w:rPr>
                <w:sz w:val="24"/>
                <w:szCs w:val="24"/>
                <w:lang w:val="da-DK"/>
              </w:rPr>
            </w:pPr>
            <w:r>
              <w:rPr>
                <w:sz w:val="24"/>
                <w:szCs w:val="24"/>
                <w:lang w:val="da-DK"/>
              </w:rPr>
              <w:t>meget sjælden</w:t>
            </w:r>
          </w:p>
        </w:tc>
      </w:tr>
      <w:tr w:rsidR="00DC6CAA" w14:paraId="0DC938E3" w14:textId="77777777" w:rsidTr="00DC6CAA">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4A325B3E" w14:textId="77777777" w:rsidR="00DC6CAA" w:rsidRDefault="00DC6CAA">
            <w:pPr>
              <w:pStyle w:val="TableParagraph"/>
              <w:jc w:val="left"/>
              <w:rPr>
                <w:sz w:val="24"/>
                <w:szCs w:val="24"/>
                <w:lang w:val="da-DK"/>
              </w:rPr>
            </w:pPr>
            <w:r>
              <w:rPr>
                <w:sz w:val="24"/>
                <w:szCs w:val="24"/>
                <w:lang w:val="da-DK"/>
              </w:rPr>
              <w:t>B12-vitaminreduktion/-mangel</w:t>
            </w:r>
            <w:r>
              <w:rPr>
                <w:sz w:val="24"/>
                <w:szCs w:val="24"/>
                <w:vertAlign w:val="superscript"/>
                <w:lang w:val="da-DK"/>
              </w:rPr>
              <w:t>§, †</w:t>
            </w:r>
          </w:p>
        </w:tc>
        <w:tc>
          <w:tcPr>
            <w:tcW w:w="4248" w:type="dxa"/>
            <w:tcBorders>
              <w:top w:val="single" w:sz="4" w:space="0" w:color="000000"/>
              <w:left w:val="single" w:sz="4" w:space="0" w:color="000000"/>
              <w:bottom w:val="single" w:sz="4" w:space="0" w:color="000000"/>
              <w:right w:val="single" w:sz="4" w:space="0" w:color="000000"/>
            </w:tcBorders>
            <w:hideMark/>
          </w:tcPr>
          <w:p w14:paraId="08E329DA" w14:textId="77777777" w:rsidR="00DC6CAA" w:rsidRDefault="00DC6CAA">
            <w:pPr>
              <w:pStyle w:val="TableParagraph"/>
              <w:ind w:left="695" w:right="933"/>
              <w:jc w:val="left"/>
              <w:rPr>
                <w:sz w:val="24"/>
                <w:szCs w:val="24"/>
                <w:lang w:val="da-DK"/>
              </w:rPr>
            </w:pPr>
            <w:r>
              <w:rPr>
                <w:sz w:val="24"/>
                <w:szCs w:val="24"/>
                <w:lang w:val="da-DK"/>
              </w:rPr>
              <w:t>almindelig</w:t>
            </w:r>
          </w:p>
        </w:tc>
      </w:tr>
      <w:tr w:rsidR="00DC6CAA" w14:paraId="53D0D0D6" w14:textId="77777777" w:rsidTr="00DC6CAA">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7B9801C7" w14:textId="77777777" w:rsidR="00DC6CAA" w:rsidRDefault="00DC6CAA">
            <w:pPr>
              <w:pStyle w:val="TableParagraph"/>
              <w:jc w:val="left"/>
              <w:rPr>
                <w:b/>
                <w:sz w:val="24"/>
                <w:szCs w:val="24"/>
                <w:lang w:val="da-DK"/>
              </w:rPr>
            </w:pPr>
            <w:r>
              <w:rPr>
                <w:b/>
                <w:sz w:val="24"/>
                <w:szCs w:val="24"/>
                <w:lang w:val="da-DK"/>
              </w:rPr>
              <w:t>Nervesystemet</w:t>
            </w:r>
          </w:p>
        </w:tc>
        <w:tc>
          <w:tcPr>
            <w:tcW w:w="4248" w:type="dxa"/>
            <w:tcBorders>
              <w:top w:val="single" w:sz="4" w:space="0" w:color="000000"/>
              <w:left w:val="single" w:sz="4" w:space="0" w:color="000000"/>
              <w:bottom w:val="single" w:sz="4" w:space="0" w:color="000000"/>
              <w:right w:val="single" w:sz="4" w:space="0" w:color="000000"/>
            </w:tcBorders>
          </w:tcPr>
          <w:p w14:paraId="11891AAB" w14:textId="77777777" w:rsidR="00DC6CAA" w:rsidRDefault="00DC6CAA">
            <w:pPr>
              <w:pStyle w:val="TableParagraph"/>
              <w:ind w:left="695"/>
              <w:jc w:val="left"/>
              <w:rPr>
                <w:sz w:val="24"/>
                <w:szCs w:val="24"/>
                <w:lang w:val="da-DK"/>
              </w:rPr>
            </w:pPr>
          </w:p>
        </w:tc>
      </w:tr>
      <w:tr w:rsidR="00DC6CAA" w14:paraId="0B729E02"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0CE87CDC" w14:textId="77777777" w:rsidR="00DC6CAA" w:rsidRDefault="00DC6CAA">
            <w:pPr>
              <w:pStyle w:val="TableParagraph"/>
              <w:jc w:val="left"/>
              <w:rPr>
                <w:sz w:val="24"/>
                <w:szCs w:val="24"/>
                <w:lang w:val="da-DK"/>
              </w:rPr>
            </w:pPr>
            <w:r>
              <w:rPr>
                <w:sz w:val="24"/>
                <w:szCs w:val="24"/>
                <w:lang w:val="da-DK"/>
              </w:rPr>
              <w:t>Smagsforstyrrelser</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4E0AB29A" w14:textId="77777777" w:rsidR="00DC6CAA" w:rsidRDefault="00DC6CAA">
            <w:pPr>
              <w:pStyle w:val="TableParagraph"/>
              <w:ind w:left="695" w:right="933"/>
              <w:jc w:val="left"/>
              <w:rPr>
                <w:sz w:val="24"/>
                <w:szCs w:val="24"/>
                <w:lang w:val="da-DK"/>
              </w:rPr>
            </w:pPr>
            <w:r>
              <w:rPr>
                <w:sz w:val="24"/>
                <w:szCs w:val="24"/>
                <w:lang w:val="da-DK"/>
              </w:rPr>
              <w:t>almindelig</w:t>
            </w:r>
          </w:p>
        </w:tc>
      </w:tr>
      <w:tr w:rsidR="00DC6CAA" w14:paraId="2E683B5B"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472460F5" w14:textId="77777777" w:rsidR="00DC6CAA" w:rsidRDefault="00DC6CAA">
            <w:pPr>
              <w:pStyle w:val="TableParagraph"/>
              <w:jc w:val="left"/>
              <w:rPr>
                <w:sz w:val="24"/>
                <w:szCs w:val="24"/>
                <w:lang w:val="da-DK"/>
              </w:rPr>
            </w:pPr>
            <w:r>
              <w:rPr>
                <w:b/>
                <w:sz w:val="24"/>
                <w:szCs w:val="24"/>
                <w:lang w:val="da-DK"/>
              </w:rPr>
              <w:t>Luftveje, thorax og mediastinum</w:t>
            </w:r>
          </w:p>
        </w:tc>
        <w:tc>
          <w:tcPr>
            <w:tcW w:w="4248" w:type="dxa"/>
            <w:tcBorders>
              <w:top w:val="single" w:sz="4" w:space="0" w:color="000000"/>
              <w:left w:val="single" w:sz="4" w:space="0" w:color="000000"/>
              <w:bottom w:val="single" w:sz="4" w:space="0" w:color="000000"/>
              <w:right w:val="single" w:sz="4" w:space="0" w:color="000000"/>
            </w:tcBorders>
          </w:tcPr>
          <w:p w14:paraId="59A8739D" w14:textId="77777777" w:rsidR="00DC6CAA" w:rsidRDefault="00DC6CAA">
            <w:pPr>
              <w:pStyle w:val="TableParagraph"/>
              <w:ind w:left="695" w:right="933"/>
              <w:jc w:val="left"/>
              <w:rPr>
                <w:sz w:val="24"/>
                <w:szCs w:val="24"/>
                <w:lang w:val="da-DK"/>
              </w:rPr>
            </w:pPr>
          </w:p>
        </w:tc>
      </w:tr>
      <w:tr w:rsidR="00DC6CAA" w14:paraId="547E77C5"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FB9EC6B" w14:textId="77777777" w:rsidR="00DC6CAA" w:rsidRDefault="00DC6CAA">
            <w:pPr>
              <w:pStyle w:val="TableParagraph"/>
              <w:jc w:val="left"/>
              <w:rPr>
                <w:b/>
                <w:sz w:val="24"/>
                <w:szCs w:val="24"/>
                <w:lang w:val="da-DK"/>
              </w:rPr>
            </w:pPr>
            <w:r>
              <w:rPr>
                <w:sz w:val="24"/>
                <w:szCs w:val="24"/>
                <w:lang w:val="da-DK"/>
              </w:rPr>
              <w:t>Hoste</w:t>
            </w:r>
          </w:p>
        </w:tc>
        <w:tc>
          <w:tcPr>
            <w:tcW w:w="4248" w:type="dxa"/>
            <w:tcBorders>
              <w:top w:val="single" w:sz="4" w:space="0" w:color="000000"/>
              <w:left w:val="single" w:sz="4" w:space="0" w:color="000000"/>
              <w:bottom w:val="single" w:sz="4" w:space="0" w:color="000000"/>
              <w:right w:val="single" w:sz="4" w:space="0" w:color="000000"/>
            </w:tcBorders>
            <w:hideMark/>
          </w:tcPr>
          <w:p w14:paraId="4AAFC752"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1024657C"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12C59863" w14:textId="77777777" w:rsidR="00DC6CAA" w:rsidRDefault="00DC6CAA">
            <w:pPr>
              <w:pStyle w:val="TableParagraph"/>
              <w:jc w:val="left"/>
              <w:rPr>
                <w:sz w:val="24"/>
                <w:szCs w:val="24"/>
                <w:lang w:val="da-DK"/>
              </w:rPr>
            </w:pPr>
            <w:r>
              <w:rPr>
                <w:b/>
                <w:sz w:val="24"/>
                <w:szCs w:val="24"/>
                <w:lang w:val="da-DK"/>
              </w:rPr>
              <w:t>Mave-tarm-kanalen</w:t>
            </w:r>
          </w:p>
        </w:tc>
        <w:tc>
          <w:tcPr>
            <w:tcW w:w="4248" w:type="dxa"/>
            <w:tcBorders>
              <w:top w:val="single" w:sz="4" w:space="0" w:color="000000"/>
              <w:left w:val="single" w:sz="4" w:space="0" w:color="000000"/>
              <w:bottom w:val="single" w:sz="4" w:space="0" w:color="000000"/>
              <w:right w:val="single" w:sz="4" w:space="0" w:color="000000"/>
            </w:tcBorders>
          </w:tcPr>
          <w:p w14:paraId="4173BCF2" w14:textId="77777777" w:rsidR="00DC6CAA" w:rsidRDefault="00DC6CAA">
            <w:pPr>
              <w:pStyle w:val="TableParagraph"/>
              <w:ind w:left="695" w:right="933"/>
              <w:jc w:val="left"/>
              <w:rPr>
                <w:sz w:val="24"/>
                <w:szCs w:val="24"/>
                <w:lang w:val="da-DK"/>
              </w:rPr>
            </w:pPr>
          </w:p>
        </w:tc>
      </w:tr>
      <w:tr w:rsidR="00DC6CAA" w14:paraId="139738D1"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5F560A28" w14:textId="77777777" w:rsidR="00DC6CAA" w:rsidRDefault="00DC6CAA">
            <w:pPr>
              <w:pStyle w:val="TableParagraph"/>
              <w:jc w:val="left"/>
              <w:rPr>
                <w:b/>
                <w:sz w:val="24"/>
                <w:szCs w:val="24"/>
                <w:lang w:val="da-DK"/>
              </w:rPr>
            </w:pPr>
            <w:r>
              <w:rPr>
                <w:sz w:val="24"/>
                <w:szCs w:val="24"/>
                <w:lang w:val="da-DK"/>
              </w:rPr>
              <w:t>Nedsat appetit</w:t>
            </w:r>
          </w:p>
        </w:tc>
        <w:tc>
          <w:tcPr>
            <w:tcW w:w="4248" w:type="dxa"/>
            <w:tcBorders>
              <w:top w:val="single" w:sz="4" w:space="0" w:color="000000"/>
              <w:left w:val="single" w:sz="4" w:space="0" w:color="000000"/>
              <w:bottom w:val="single" w:sz="4" w:space="0" w:color="000000"/>
              <w:right w:val="single" w:sz="4" w:space="0" w:color="000000"/>
            </w:tcBorders>
            <w:hideMark/>
          </w:tcPr>
          <w:p w14:paraId="02D07EA5"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2E66DB96"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2B6B583C" w14:textId="77777777" w:rsidR="00DC6CAA" w:rsidRDefault="00DC6CAA">
            <w:pPr>
              <w:pStyle w:val="TableParagraph"/>
              <w:jc w:val="left"/>
              <w:rPr>
                <w:sz w:val="24"/>
                <w:szCs w:val="24"/>
                <w:lang w:val="da-DK"/>
              </w:rPr>
            </w:pPr>
            <w:r>
              <w:rPr>
                <w:sz w:val="24"/>
                <w:szCs w:val="24"/>
                <w:lang w:val="da-DK"/>
              </w:rPr>
              <w:t>Diarré</w:t>
            </w:r>
          </w:p>
        </w:tc>
        <w:tc>
          <w:tcPr>
            <w:tcW w:w="4248" w:type="dxa"/>
            <w:tcBorders>
              <w:top w:val="single" w:sz="4" w:space="0" w:color="000000"/>
              <w:left w:val="single" w:sz="4" w:space="0" w:color="000000"/>
              <w:bottom w:val="single" w:sz="4" w:space="0" w:color="000000"/>
              <w:right w:val="single" w:sz="4" w:space="0" w:color="000000"/>
            </w:tcBorders>
            <w:hideMark/>
          </w:tcPr>
          <w:p w14:paraId="5024CA04" w14:textId="77777777" w:rsidR="00DC6CAA" w:rsidRDefault="00DC6CAA">
            <w:pPr>
              <w:pStyle w:val="TableParagraph"/>
              <w:ind w:left="695" w:right="933"/>
              <w:jc w:val="left"/>
              <w:rPr>
                <w:sz w:val="24"/>
                <w:szCs w:val="24"/>
                <w:lang w:val="da-DK"/>
              </w:rPr>
            </w:pPr>
            <w:r>
              <w:rPr>
                <w:sz w:val="24"/>
                <w:szCs w:val="24"/>
                <w:lang w:val="da-DK"/>
              </w:rPr>
              <w:t>almindelig</w:t>
            </w:r>
          </w:p>
        </w:tc>
      </w:tr>
      <w:tr w:rsidR="00DC6CAA" w14:paraId="7AAD4F18"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3B02E50E" w14:textId="77777777" w:rsidR="00DC6CAA" w:rsidRDefault="00DC6CAA">
            <w:pPr>
              <w:pStyle w:val="TableParagraph"/>
              <w:jc w:val="left"/>
              <w:rPr>
                <w:sz w:val="24"/>
                <w:szCs w:val="24"/>
                <w:lang w:val="da-DK"/>
              </w:rPr>
            </w:pPr>
            <w:r>
              <w:rPr>
                <w:sz w:val="24"/>
                <w:szCs w:val="24"/>
                <w:lang w:val="da-DK"/>
              </w:rPr>
              <w:t>Kvalme</w:t>
            </w:r>
          </w:p>
        </w:tc>
        <w:tc>
          <w:tcPr>
            <w:tcW w:w="4248" w:type="dxa"/>
            <w:tcBorders>
              <w:top w:val="single" w:sz="4" w:space="0" w:color="000000"/>
              <w:left w:val="single" w:sz="4" w:space="0" w:color="000000"/>
              <w:bottom w:val="single" w:sz="4" w:space="0" w:color="000000"/>
              <w:right w:val="single" w:sz="4" w:space="0" w:color="000000"/>
            </w:tcBorders>
            <w:hideMark/>
          </w:tcPr>
          <w:p w14:paraId="791A2293" w14:textId="77777777" w:rsidR="00DC6CAA" w:rsidRDefault="00DC6CAA">
            <w:pPr>
              <w:pStyle w:val="TableParagraph"/>
              <w:ind w:left="695" w:right="933"/>
              <w:jc w:val="left"/>
              <w:rPr>
                <w:sz w:val="24"/>
                <w:szCs w:val="24"/>
                <w:lang w:val="da-DK"/>
              </w:rPr>
            </w:pPr>
            <w:r>
              <w:rPr>
                <w:sz w:val="24"/>
                <w:szCs w:val="24"/>
                <w:lang w:val="da-DK"/>
              </w:rPr>
              <w:t>almindelig</w:t>
            </w:r>
          </w:p>
        </w:tc>
      </w:tr>
      <w:tr w:rsidR="00DC6CAA" w14:paraId="37F3B96A"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5C048EC" w14:textId="77777777" w:rsidR="00DC6CAA" w:rsidRDefault="00DC6CAA">
            <w:pPr>
              <w:pStyle w:val="TableParagraph"/>
              <w:jc w:val="left"/>
              <w:rPr>
                <w:sz w:val="24"/>
                <w:szCs w:val="24"/>
                <w:lang w:val="da-DK"/>
              </w:rPr>
            </w:pPr>
            <w:r>
              <w:rPr>
                <w:sz w:val="24"/>
                <w:szCs w:val="24"/>
                <w:lang w:val="da-DK"/>
              </w:rPr>
              <w:t>Pankreatitis</w:t>
            </w:r>
          </w:p>
        </w:tc>
        <w:tc>
          <w:tcPr>
            <w:tcW w:w="4248" w:type="dxa"/>
            <w:tcBorders>
              <w:top w:val="single" w:sz="4" w:space="0" w:color="000000"/>
              <w:left w:val="single" w:sz="4" w:space="0" w:color="000000"/>
              <w:bottom w:val="single" w:sz="4" w:space="0" w:color="000000"/>
              <w:right w:val="single" w:sz="4" w:space="0" w:color="000000"/>
            </w:tcBorders>
            <w:hideMark/>
          </w:tcPr>
          <w:p w14:paraId="1CBA73A8" w14:textId="77777777" w:rsidR="00DC6CAA" w:rsidRDefault="00DC6CAA">
            <w:pPr>
              <w:pStyle w:val="TableParagraph"/>
              <w:ind w:left="695" w:right="933"/>
              <w:jc w:val="left"/>
              <w:rPr>
                <w:sz w:val="24"/>
                <w:szCs w:val="24"/>
                <w:lang w:val="da-DK"/>
              </w:rPr>
            </w:pPr>
            <w:r>
              <w:rPr>
                <w:sz w:val="24"/>
                <w:szCs w:val="24"/>
                <w:lang w:val="da-DK"/>
              </w:rPr>
              <w:t>sjælden</w:t>
            </w:r>
            <w:r>
              <w:rPr>
                <w:sz w:val="24"/>
                <w:szCs w:val="24"/>
                <w:vertAlign w:val="superscript"/>
                <w:lang w:val="da-DK"/>
              </w:rPr>
              <w:t>#</w:t>
            </w:r>
          </w:p>
        </w:tc>
      </w:tr>
      <w:tr w:rsidR="00DC6CAA" w14:paraId="0531F19B"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1C1CF8FE" w14:textId="77777777" w:rsidR="00DC6CAA" w:rsidRDefault="00DC6CAA">
            <w:pPr>
              <w:pStyle w:val="TableParagraph"/>
              <w:jc w:val="left"/>
              <w:rPr>
                <w:sz w:val="24"/>
                <w:szCs w:val="24"/>
                <w:lang w:val="da-DK"/>
              </w:rPr>
            </w:pPr>
            <w:r>
              <w:rPr>
                <w:sz w:val="24"/>
                <w:szCs w:val="24"/>
                <w:lang w:val="da-DK"/>
              </w:rPr>
              <w:t>Opkastning</w:t>
            </w:r>
          </w:p>
        </w:tc>
        <w:tc>
          <w:tcPr>
            <w:tcW w:w="4248" w:type="dxa"/>
            <w:tcBorders>
              <w:top w:val="single" w:sz="4" w:space="0" w:color="000000"/>
              <w:left w:val="single" w:sz="4" w:space="0" w:color="000000"/>
              <w:bottom w:val="single" w:sz="4" w:space="0" w:color="000000"/>
              <w:right w:val="single" w:sz="4" w:space="0" w:color="000000"/>
            </w:tcBorders>
            <w:hideMark/>
          </w:tcPr>
          <w:p w14:paraId="1E88E7D1"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21A168DC"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80E6F05" w14:textId="77777777" w:rsidR="00DC6CAA" w:rsidRDefault="00DC6CAA">
            <w:pPr>
              <w:pStyle w:val="TableParagraph"/>
              <w:jc w:val="left"/>
              <w:rPr>
                <w:sz w:val="24"/>
                <w:szCs w:val="24"/>
                <w:lang w:val="da-DK"/>
              </w:rPr>
            </w:pPr>
            <w:r>
              <w:rPr>
                <w:sz w:val="24"/>
                <w:szCs w:val="24"/>
                <w:lang w:val="da-DK"/>
              </w:rPr>
              <w:t>Forstoppelse</w:t>
            </w:r>
            <w:r>
              <w:rPr>
                <w:sz w:val="24"/>
                <w:szCs w:val="24"/>
                <w:vertAlign w:val="superscript"/>
                <w:lang w:val="da-DK"/>
              </w:rPr>
              <w:t>2</w:t>
            </w:r>
          </w:p>
        </w:tc>
        <w:tc>
          <w:tcPr>
            <w:tcW w:w="4248" w:type="dxa"/>
            <w:tcBorders>
              <w:top w:val="single" w:sz="4" w:space="0" w:color="000000"/>
              <w:left w:val="single" w:sz="4" w:space="0" w:color="000000"/>
              <w:bottom w:val="single" w:sz="4" w:space="0" w:color="000000"/>
              <w:right w:val="single" w:sz="4" w:space="0" w:color="000000"/>
            </w:tcBorders>
            <w:hideMark/>
          </w:tcPr>
          <w:p w14:paraId="0CC5F700"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6BD634C6"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484079B1" w14:textId="77777777" w:rsidR="00DC6CAA" w:rsidRDefault="00DC6CAA">
            <w:pPr>
              <w:pStyle w:val="TableParagraph"/>
              <w:jc w:val="left"/>
              <w:rPr>
                <w:sz w:val="24"/>
                <w:szCs w:val="24"/>
                <w:lang w:val="da-DK"/>
              </w:rPr>
            </w:pPr>
            <w:r>
              <w:rPr>
                <w:sz w:val="24"/>
                <w:szCs w:val="24"/>
                <w:lang w:val="da-DK"/>
              </w:rPr>
              <w:t>Abdominalsmerter</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6C8956DC" w14:textId="77777777" w:rsidR="00DC6CAA" w:rsidRDefault="00DC6CAA">
            <w:pPr>
              <w:pStyle w:val="TableParagraph"/>
              <w:ind w:left="695" w:right="933"/>
              <w:jc w:val="left"/>
              <w:rPr>
                <w:sz w:val="24"/>
                <w:szCs w:val="24"/>
                <w:lang w:val="da-DK"/>
              </w:rPr>
            </w:pPr>
            <w:r>
              <w:rPr>
                <w:sz w:val="24"/>
                <w:szCs w:val="24"/>
                <w:lang w:val="da-DK"/>
              </w:rPr>
              <w:t>meget almindelig</w:t>
            </w:r>
          </w:p>
        </w:tc>
      </w:tr>
      <w:tr w:rsidR="00DC6CAA" w14:paraId="1AF0F057"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13B37DB4" w14:textId="77777777" w:rsidR="00DC6CAA" w:rsidRDefault="00DC6CAA">
            <w:pPr>
              <w:pStyle w:val="TableParagraph"/>
              <w:jc w:val="left"/>
              <w:rPr>
                <w:sz w:val="24"/>
                <w:szCs w:val="24"/>
                <w:lang w:val="da-DK"/>
              </w:rPr>
            </w:pPr>
            <w:r>
              <w:rPr>
                <w:b/>
                <w:sz w:val="24"/>
                <w:szCs w:val="24"/>
                <w:lang w:val="da-DK"/>
              </w:rPr>
              <w:t>Lever og galdeveje</w:t>
            </w:r>
          </w:p>
        </w:tc>
        <w:tc>
          <w:tcPr>
            <w:tcW w:w="4248" w:type="dxa"/>
            <w:tcBorders>
              <w:top w:val="single" w:sz="4" w:space="0" w:color="000000"/>
              <w:left w:val="single" w:sz="4" w:space="0" w:color="000000"/>
              <w:bottom w:val="single" w:sz="4" w:space="0" w:color="000000"/>
              <w:right w:val="single" w:sz="4" w:space="0" w:color="000000"/>
            </w:tcBorders>
          </w:tcPr>
          <w:p w14:paraId="67EA19E9" w14:textId="77777777" w:rsidR="00DC6CAA" w:rsidRDefault="00DC6CAA">
            <w:pPr>
              <w:pStyle w:val="TableParagraph"/>
              <w:ind w:left="695" w:right="933"/>
              <w:jc w:val="left"/>
              <w:rPr>
                <w:sz w:val="24"/>
                <w:szCs w:val="24"/>
                <w:lang w:val="da-DK"/>
              </w:rPr>
            </w:pPr>
          </w:p>
        </w:tc>
      </w:tr>
      <w:tr w:rsidR="00DC6CAA" w14:paraId="05E9E8DF"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2840F447" w14:textId="77777777" w:rsidR="00DC6CAA" w:rsidRDefault="00DC6CAA">
            <w:pPr>
              <w:pStyle w:val="TableParagraph"/>
              <w:jc w:val="left"/>
              <w:rPr>
                <w:b/>
                <w:sz w:val="24"/>
                <w:szCs w:val="24"/>
                <w:lang w:val="da-DK"/>
              </w:rPr>
            </w:pPr>
            <w:r>
              <w:rPr>
                <w:sz w:val="24"/>
                <w:szCs w:val="24"/>
                <w:lang w:val="da-DK"/>
              </w:rPr>
              <w:t>Leverfunktionsforstyrrelse</w:t>
            </w:r>
            <w:r>
              <w:rPr>
                <w:sz w:val="24"/>
                <w:szCs w:val="24"/>
                <w:vertAlign w:val="superscript"/>
                <w:lang w:val="da-DK"/>
              </w:rPr>
              <w:t>2</w:t>
            </w:r>
          </w:p>
        </w:tc>
        <w:tc>
          <w:tcPr>
            <w:tcW w:w="4248" w:type="dxa"/>
            <w:tcBorders>
              <w:top w:val="single" w:sz="4" w:space="0" w:color="000000"/>
              <w:left w:val="single" w:sz="4" w:space="0" w:color="000000"/>
              <w:bottom w:val="single" w:sz="4" w:space="0" w:color="000000"/>
              <w:right w:val="single" w:sz="4" w:space="0" w:color="000000"/>
            </w:tcBorders>
            <w:hideMark/>
          </w:tcPr>
          <w:p w14:paraId="5EE803E2"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6F31F489"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9975879" w14:textId="77777777" w:rsidR="00DC6CAA" w:rsidRDefault="00DC6CAA">
            <w:pPr>
              <w:pStyle w:val="TableParagraph"/>
              <w:jc w:val="left"/>
              <w:rPr>
                <w:sz w:val="24"/>
                <w:szCs w:val="24"/>
                <w:lang w:val="da-DK"/>
              </w:rPr>
            </w:pPr>
            <w:r>
              <w:rPr>
                <w:sz w:val="24"/>
                <w:szCs w:val="24"/>
                <w:lang w:val="da-DK"/>
              </w:rPr>
              <w:lastRenderedPageBreak/>
              <w:t>Hepatitis</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3E2A1344" w14:textId="77777777" w:rsidR="00DC6CAA" w:rsidRDefault="00DC6CAA">
            <w:pPr>
              <w:pStyle w:val="TableParagraph"/>
              <w:ind w:left="695" w:right="933"/>
              <w:jc w:val="left"/>
              <w:rPr>
                <w:sz w:val="24"/>
                <w:szCs w:val="24"/>
                <w:lang w:val="da-DK"/>
              </w:rPr>
            </w:pPr>
            <w:r>
              <w:rPr>
                <w:sz w:val="24"/>
                <w:szCs w:val="24"/>
                <w:lang w:val="da-DK"/>
              </w:rPr>
              <w:t>meget sjælden</w:t>
            </w:r>
          </w:p>
        </w:tc>
      </w:tr>
      <w:tr w:rsidR="00DC6CAA" w14:paraId="245ED32B"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A7F2DFE" w14:textId="77777777" w:rsidR="00DC6CAA" w:rsidRDefault="00DC6CAA">
            <w:pPr>
              <w:pStyle w:val="TableParagraph"/>
              <w:jc w:val="left"/>
              <w:rPr>
                <w:sz w:val="24"/>
                <w:szCs w:val="24"/>
                <w:lang w:val="da-DK"/>
              </w:rPr>
            </w:pPr>
            <w:r>
              <w:rPr>
                <w:b/>
                <w:sz w:val="24"/>
                <w:szCs w:val="24"/>
                <w:lang w:val="da-DK"/>
              </w:rPr>
              <w:t>Hud og subkutane væv</w:t>
            </w:r>
          </w:p>
        </w:tc>
        <w:tc>
          <w:tcPr>
            <w:tcW w:w="4248" w:type="dxa"/>
            <w:tcBorders>
              <w:top w:val="single" w:sz="4" w:space="0" w:color="000000"/>
              <w:left w:val="single" w:sz="4" w:space="0" w:color="000000"/>
              <w:bottom w:val="single" w:sz="4" w:space="0" w:color="000000"/>
              <w:right w:val="single" w:sz="4" w:space="0" w:color="000000"/>
            </w:tcBorders>
          </w:tcPr>
          <w:p w14:paraId="2C145DCA" w14:textId="77777777" w:rsidR="00DC6CAA" w:rsidRDefault="00DC6CAA">
            <w:pPr>
              <w:pStyle w:val="TableParagraph"/>
              <w:ind w:left="695" w:right="933"/>
              <w:jc w:val="left"/>
              <w:rPr>
                <w:sz w:val="24"/>
                <w:szCs w:val="24"/>
                <w:lang w:val="da-DK"/>
              </w:rPr>
            </w:pPr>
          </w:p>
        </w:tc>
      </w:tr>
      <w:tr w:rsidR="00DC6CAA" w14:paraId="25AB43BD"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4D7E8B8" w14:textId="77777777" w:rsidR="00DC6CAA" w:rsidRDefault="00DC6CAA">
            <w:pPr>
              <w:pStyle w:val="TableParagraph"/>
              <w:jc w:val="left"/>
              <w:rPr>
                <w:b/>
                <w:sz w:val="24"/>
                <w:szCs w:val="24"/>
                <w:lang w:val="da-DK"/>
              </w:rPr>
            </w:pPr>
            <w:r>
              <w:rPr>
                <w:sz w:val="24"/>
                <w:szCs w:val="24"/>
                <w:lang w:val="da-DK"/>
              </w:rPr>
              <w:t>Angioødem</w:t>
            </w:r>
          </w:p>
        </w:tc>
        <w:tc>
          <w:tcPr>
            <w:tcW w:w="4248" w:type="dxa"/>
            <w:tcBorders>
              <w:top w:val="single" w:sz="4" w:space="0" w:color="000000"/>
              <w:left w:val="single" w:sz="4" w:space="0" w:color="000000"/>
              <w:bottom w:val="single" w:sz="4" w:space="0" w:color="000000"/>
              <w:right w:val="single" w:sz="4" w:space="0" w:color="000000"/>
            </w:tcBorders>
            <w:hideMark/>
          </w:tcPr>
          <w:p w14:paraId="4A07BB5A" w14:textId="77777777" w:rsidR="00DC6CAA" w:rsidRDefault="00DC6CAA">
            <w:pPr>
              <w:pStyle w:val="TableParagraph"/>
              <w:ind w:left="695" w:right="933"/>
              <w:jc w:val="left"/>
              <w:rPr>
                <w:sz w:val="24"/>
                <w:szCs w:val="24"/>
                <w:lang w:val="da-DK"/>
              </w:rPr>
            </w:pPr>
            <w:r>
              <w:rPr>
                <w:sz w:val="24"/>
                <w:szCs w:val="24"/>
                <w:lang w:val="da-DK"/>
              </w:rPr>
              <w:t>sjælden</w:t>
            </w:r>
          </w:p>
        </w:tc>
      </w:tr>
      <w:tr w:rsidR="00DC6CAA" w14:paraId="4D9C1A69"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36526D8C" w14:textId="77777777" w:rsidR="00DC6CAA" w:rsidRDefault="00DC6CAA">
            <w:pPr>
              <w:pStyle w:val="TableParagraph"/>
              <w:jc w:val="left"/>
              <w:rPr>
                <w:sz w:val="24"/>
                <w:szCs w:val="24"/>
                <w:lang w:val="da-DK"/>
              </w:rPr>
            </w:pPr>
            <w:r>
              <w:rPr>
                <w:sz w:val="24"/>
                <w:szCs w:val="24"/>
                <w:lang w:val="da-DK"/>
              </w:rPr>
              <w:t>Urticaria</w:t>
            </w:r>
          </w:p>
        </w:tc>
        <w:tc>
          <w:tcPr>
            <w:tcW w:w="4248" w:type="dxa"/>
            <w:tcBorders>
              <w:top w:val="single" w:sz="4" w:space="0" w:color="000000"/>
              <w:left w:val="single" w:sz="4" w:space="0" w:color="000000"/>
              <w:bottom w:val="single" w:sz="4" w:space="0" w:color="000000"/>
              <w:right w:val="single" w:sz="4" w:space="0" w:color="000000"/>
            </w:tcBorders>
            <w:hideMark/>
          </w:tcPr>
          <w:p w14:paraId="13415D11" w14:textId="77777777" w:rsidR="00DC6CAA" w:rsidRDefault="00DC6CAA">
            <w:pPr>
              <w:pStyle w:val="TableParagraph"/>
              <w:ind w:left="695" w:right="933"/>
              <w:jc w:val="left"/>
              <w:rPr>
                <w:sz w:val="24"/>
                <w:szCs w:val="24"/>
                <w:lang w:val="da-DK"/>
              </w:rPr>
            </w:pPr>
            <w:r>
              <w:rPr>
                <w:sz w:val="24"/>
                <w:szCs w:val="24"/>
                <w:lang w:val="da-DK"/>
              </w:rPr>
              <w:t>sjælden</w:t>
            </w:r>
          </w:p>
        </w:tc>
      </w:tr>
      <w:tr w:rsidR="00DC6CAA" w14:paraId="44471F11"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8AE01B0" w14:textId="77777777" w:rsidR="00DC6CAA" w:rsidRDefault="00DC6CAA">
            <w:pPr>
              <w:pStyle w:val="TableParagraph"/>
              <w:jc w:val="left"/>
              <w:rPr>
                <w:sz w:val="24"/>
                <w:szCs w:val="24"/>
                <w:lang w:val="da-DK"/>
              </w:rPr>
            </w:pPr>
            <w:r>
              <w:rPr>
                <w:sz w:val="24"/>
                <w:szCs w:val="24"/>
                <w:lang w:val="da-DK"/>
              </w:rPr>
              <w:t>Erytem</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4683AB15" w14:textId="77777777" w:rsidR="00DC6CAA" w:rsidRDefault="00DC6CAA">
            <w:pPr>
              <w:pStyle w:val="TableParagraph"/>
              <w:ind w:left="695" w:right="933"/>
              <w:jc w:val="left"/>
              <w:rPr>
                <w:sz w:val="24"/>
                <w:szCs w:val="24"/>
                <w:lang w:val="da-DK"/>
              </w:rPr>
            </w:pPr>
            <w:r>
              <w:rPr>
                <w:sz w:val="24"/>
                <w:szCs w:val="24"/>
                <w:lang w:val="da-DK"/>
              </w:rPr>
              <w:t>meget sjælden</w:t>
            </w:r>
          </w:p>
        </w:tc>
      </w:tr>
      <w:tr w:rsidR="00DC6CAA" w14:paraId="12A915A5"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77FB23A" w14:textId="77777777" w:rsidR="00DC6CAA" w:rsidRDefault="00DC6CAA">
            <w:pPr>
              <w:pStyle w:val="TableParagraph"/>
              <w:jc w:val="left"/>
              <w:rPr>
                <w:sz w:val="24"/>
                <w:szCs w:val="24"/>
                <w:lang w:val="da-DK"/>
              </w:rPr>
            </w:pPr>
            <w:r>
              <w:rPr>
                <w:sz w:val="24"/>
                <w:szCs w:val="24"/>
                <w:lang w:val="da-DK"/>
              </w:rPr>
              <w:t>Udslæt</w:t>
            </w:r>
          </w:p>
        </w:tc>
        <w:tc>
          <w:tcPr>
            <w:tcW w:w="4248" w:type="dxa"/>
            <w:tcBorders>
              <w:top w:val="single" w:sz="4" w:space="0" w:color="000000"/>
              <w:left w:val="single" w:sz="4" w:space="0" w:color="000000"/>
              <w:bottom w:val="single" w:sz="4" w:space="0" w:color="000000"/>
              <w:right w:val="single" w:sz="4" w:space="0" w:color="000000"/>
            </w:tcBorders>
            <w:hideMark/>
          </w:tcPr>
          <w:p w14:paraId="78E56037"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5E173D4B"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BB01190" w14:textId="77777777" w:rsidR="00DC6CAA" w:rsidRDefault="00DC6CAA">
            <w:pPr>
              <w:pStyle w:val="TableParagraph"/>
              <w:jc w:val="left"/>
              <w:rPr>
                <w:sz w:val="24"/>
                <w:szCs w:val="24"/>
                <w:lang w:val="da-DK"/>
              </w:rPr>
            </w:pPr>
            <w:r>
              <w:rPr>
                <w:sz w:val="24"/>
                <w:szCs w:val="24"/>
                <w:lang w:val="da-DK"/>
              </w:rPr>
              <w:t>Pruritus</w:t>
            </w:r>
          </w:p>
        </w:tc>
        <w:tc>
          <w:tcPr>
            <w:tcW w:w="4248" w:type="dxa"/>
            <w:tcBorders>
              <w:top w:val="single" w:sz="4" w:space="0" w:color="000000"/>
              <w:left w:val="single" w:sz="4" w:space="0" w:color="000000"/>
              <w:bottom w:val="single" w:sz="4" w:space="0" w:color="000000"/>
              <w:right w:val="single" w:sz="4" w:space="0" w:color="000000"/>
            </w:tcBorders>
            <w:hideMark/>
          </w:tcPr>
          <w:p w14:paraId="2C9EAB1D"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0270DC23"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3C974435" w14:textId="77777777" w:rsidR="00DC6CAA" w:rsidRDefault="00DC6CAA">
            <w:pPr>
              <w:pStyle w:val="TableParagraph"/>
              <w:jc w:val="left"/>
              <w:rPr>
                <w:sz w:val="24"/>
                <w:szCs w:val="24"/>
                <w:lang w:val="da-DK"/>
              </w:rPr>
            </w:pPr>
            <w:r>
              <w:rPr>
                <w:sz w:val="24"/>
                <w:szCs w:val="24"/>
                <w:lang w:val="da-DK"/>
              </w:rPr>
              <w:t>Bulløs pemfigoid</w:t>
            </w:r>
          </w:p>
        </w:tc>
        <w:tc>
          <w:tcPr>
            <w:tcW w:w="4248" w:type="dxa"/>
            <w:tcBorders>
              <w:top w:val="single" w:sz="4" w:space="0" w:color="000000"/>
              <w:left w:val="single" w:sz="4" w:space="0" w:color="000000"/>
              <w:bottom w:val="single" w:sz="4" w:space="0" w:color="000000"/>
              <w:right w:val="single" w:sz="4" w:space="0" w:color="000000"/>
            </w:tcBorders>
            <w:hideMark/>
          </w:tcPr>
          <w:p w14:paraId="1220768E" w14:textId="77777777" w:rsidR="00DC6CAA" w:rsidRDefault="00DC6CAA">
            <w:pPr>
              <w:pStyle w:val="TableParagraph"/>
              <w:ind w:left="695" w:right="933"/>
              <w:jc w:val="left"/>
              <w:rPr>
                <w:sz w:val="24"/>
                <w:szCs w:val="24"/>
                <w:lang w:val="da-DK"/>
              </w:rPr>
            </w:pPr>
            <w:r>
              <w:rPr>
                <w:sz w:val="24"/>
                <w:szCs w:val="24"/>
                <w:lang w:val="da-DK"/>
              </w:rPr>
              <w:t>sjælden</w:t>
            </w:r>
            <w:r>
              <w:rPr>
                <w:sz w:val="24"/>
                <w:szCs w:val="24"/>
                <w:vertAlign w:val="superscript"/>
                <w:lang w:val="da-DK"/>
              </w:rPr>
              <w:t>#</w:t>
            </w:r>
          </w:p>
        </w:tc>
      </w:tr>
      <w:tr w:rsidR="00DC6CAA" w14:paraId="3B5EE83B"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3EB9E72F" w14:textId="77777777" w:rsidR="00DC6CAA" w:rsidRDefault="00DC6CAA">
            <w:pPr>
              <w:pStyle w:val="TableParagraph"/>
              <w:jc w:val="left"/>
              <w:rPr>
                <w:sz w:val="24"/>
                <w:szCs w:val="24"/>
                <w:lang w:val="da-DK"/>
              </w:rPr>
            </w:pPr>
            <w:r>
              <w:rPr>
                <w:b/>
                <w:sz w:val="24"/>
                <w:szCs w:val="24"/>
                <w:lang w:val="da-DK"/>
              </w:rPr>
              <w:t>Undersøgelser</w:t>
            </w:r>
          </w:p>
        </w:tc>
        <w:tc>
          <w:tcPr>
            <w:tcW w:w="4248" w:type="dxa"/>
            <w:tcBorders>
              <w:top w:val="single" w:sz="4" w:space="0" w:color="000000"/>
              <w:left w:val="single" w:sz="4" w:space="0" w:color="000000"/>
              <w:bottom w:val="single" w:sz="4" w:space="0" w:color="000000"/>
              <w:right w:val="single" w:sz="4" w:space="0" w:color="000000"/>
            </w:tcBorders>
          </w:tcPr>
          <w:p w14:paraId="7CE6BFF4" w14:textId="77777777" w:rsidR="00DC6CAA" w:rsidRDefault="00DC6CAA">
            <w:pPr>
              <w:pStyle w:val="TableParagraph"/>
              <w:ind w:left="695" w:right="933"/>
              <w:jc w:val="left"/>
              <w:rPr>
                <w:sz w:val="24"/>
                <w:szCs w:val="24"/>
                <w:lang w:val="da-DK"/>
              </w:rPr>
            </w:pPr>
          </w:p>
        </w:tc>
      </w:tr>
      <w:tr w:rsidR="00DC6CAA" w14:paraId="495C2F64"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42FFEB30" w14:textId="77777777" w:rsidR="00DC6CAA" w:rsidRDefault="00DC6CAA">
            <w:pPr>
              <w:pStyle w:val="TableParagraph"/>
              <w:jc w:val="left"/>
              <w:rPr>
                <w:b/>
                <w:sz w:val="24"/>
                <w:szCs w:val="24"/>
                <w:lang w:val="da-DK"/>
              </w:rPr>
            </w:pPr>
            <w:r>
              <w:rPr>
                <w:sz w:val="24"/>
                <w:szCs w:val="24"/>
                <w:lang w:val="da-DK"/>
              </w:rPr>
              <w:t>Forhøjet amylase</w:t>
            </w:r>
          </w:p>
        </w:tc>
        <w:tc>
          <w:tcPr>
            <w:tcW w:w="4248" w:type="dxa"/>
            <w:tcBorders>
              <w:top w:val="single" w:sz="4" w:space="0" w:color="000000"/>
              <w:left w:val="single" w:sz="4" w:space="0" w:color="000000"/>
              <w:bottom w:val="single" w:sz="4" w:space="0" w:color="000000"/>
              <w:right w:val="single" w:sz="4" w:space="0" w:color="000000"/>
            </w:tcBorders>
            <w:hideMark/>
          </w:tcPr>
          <w:p w14:paraId="6EEE5C6A"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56266A4A"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092E3EB" w14:textId="77777777" w:rsidR="00DC6CAA" w:rsidRDefault="00DC6CAA">
            <w:pPr>
              <w:pStyle w:val="TableParagraph"/>
              <w:jc w:val="left"/>
              <w:rPr>
                <w:sz w:val="24"/>
                <w:szCs w:val="24"/>
                <w:lang w:val="da-DK"/>
              </w:rPr>
            </w:pPr>
            <w:r>
              <w:rPr>
                <w:sz w:val="24"/>
                <w:szCs w:val="24"/>
                <w:lang w:val="da-DK"/>
              </w:rPr>
              <w:t>Forhøjet lipase*</w:t>
            </w:r>
          </w:p>
        </w:tc>
        <w:tc>
          <w:tcPr>
            <w:tcW w:w="4248" w:type="dxa"/>
            <w:tcBorders>
              <w:top w:val="single" w:sz="4" w:space="0" w:color="000000"/>
              <w:left w:val="single" w:sz="4" w:space="0" w:color="000000"/>
              <w:bottom w:val="single" w:sz="4" w:space="0" w:color="000000"/>
              <w:right w:val="single" w:sz="4" w:space="0" w:color="000000"/>
            </w:tcBorders>
            <w:hideMark/>
          </w:tcPr>
          <w:p w14:paraId="4E3EB158" w14:textId="77777777" w:rsidR="00DC6CAA" w:rsidRDefault="00DC6CAA">
            <w:pPr>
              <w:pStyle w:val="TableParagraph"/>
              <w:ind w:left="695" w:right="933"/>
              <w:jc w:val="left"/>
              <w:rPr>
                <w:sz w:val="24"/>
                <w:szCs w:val="24"/>
                <w:lang w:val="da-DK"/>
              </w:rPr>
            </w:pPr>
            <w:r>
              <w:rPr>
                <w:sz w:val="24"/>
                <w:szCs w:val="24"/>
                <w:lang w:val="da-DK"/>
              </w:rPr>
              <w:t>almindelig</w:t>
            </w:r>
          </w:p>
        </w:tc>
      </w:tr>
    </w:tbl>
    <w:p w14:paraId="1AC87340" w14:textId="09B1DAC5" w:rsidR="00DC6CAA" w:rsidRPr="00C40540" w:rsidRDefault="00DC6CAA" w:rsidP="00C40540">
      <w:pPr>
        <w:ind w:left="1276" w:hanging="425"/>
        <w:rPr>
          <w:sz w:val="22"/>
          <w:szCs w:val="22"/>
        </w:rPr>
      </w:pPr>
      <w:r w:rsidRPr="00C40540">
        <w:rPr>
          <w:sz w:val="22"/>
          <w:szCs w:val="22"/>
        </w:rPr>
        <w:t xml:space="preserve">* </w:t>
      </w:r>
      <w:r w:rsidR="00CD3D34" w:rsidRPr="00C40540">
        <w:rPr>
          <w:sz w:val="22"/>
          <w:szCs w:val="22"/>
        </w:rPr>
        <w:tab/>
      </w:r>
      <w:r w:rsidRPr="00C40540">
        <w:rPr>
          <w:sz w:val="22"/>
          <w:szCs w:val="22"/>
        </w:rPr>
        <w:t>Baseret på lipase-stigninger på &gt; 3 × den øvre normalgrænse set i kliniske studier</w:t>
      </w:r>
    </w:p>
    <w:p w14:paraId="16FA13FA" w14:textId="77777777" w:rsidR="00DC6CAA" w:rsidRPr="00C40540" w:rsidRDefault="00DC6CAA" w:rsidP="00C40540">
      <w:pPr>
        <w:ind w:left="1276" w:hanging="425"/>
        <w:rPr>
          <w:sz w:val="22"/>
          <w:szCs w:val="22"/>
        </w:rPr>
      </w:pPr>
      <w:r w:rsidRPr="00C40540">
        <w:rPr>
          <w:sz w:val="22"/>
          <w:szCs w:val="22"/>
        </w:rPr>
        <w:t>#</w:t>
      </w:r>
      <w:r w:rsidRPr="00C40540">
        <w:rPr>
          <w:sz w:val="22"/>
          <w:szCs w:val="22"/>
        </w:rPr>
        <w:tab/>
        <w:t>Baseret på Linagliptin studie af kardiovaskulær og renal sikkerhed (CARMELINA), se også nedenfor</w:t>
      </w:r>
    </w:p>
    <w:p w14:paraId="12DD1A5E" w14:textId="77777777" w:rsidR="00DC6CAA" w:rsidRPr="00C40540" w:rsidRDefault="00DC6CAA" w:rsidP="00C40540">
      <w:pPr>
        <w:ind w:left="1276" w:hanging="425"/>
        <w:rPr>
          <w:sz w:val="22"/>
          <w:szCs w:val="22"/>
        </w:rPr>
      </w:pPr>
      <w:r w:rsidRPr="00C40540">
        <w:rPr>
          <w:sz w:val="22"/>
          <w:szCs w:val="22"/>
        </w:rPr>
        <w:t>§</w:t>
      </w:r>
      <w:r w:rsidRPr="00C40540">
        <w:rPr>
          <w:sz w:val="22"/>
          <w:szCs w:val="22"/>
        </w:rPr>
        <w:tab/>
        <w:t>Identificerede bivirkninger ved metformin monoterapi. Se produktresuméet for metformin for yderligere oplysninger</w:t>
      </w:r>
    </w:p>
    <w:p w14:paraId="474932A2" w14:textId="77777777" w:rsidR="00DC6CAA" w:rsidRPr="00C40540" w:rsidRDefault="00DC6CAA" w:rsidP="00C40540">
      <w:pPr>
        <w:ind w:left="1276" w:hanging="425"/>
        <w:rPr>
          <w:sz w:val="22"/>
          <w:szCs w:val="22"/>
        </w:rPr>
      </w:pPr>
      <w:r w:rsidRPr="00C40540">
        <w:rPr>
          <w:sz w:val="22"/>
          <w:szCs w:val="22"/>
        </w:rPr>
        <w:t>†</w:t>
      </w:r>
      <w:r w:rsidRPr="00C40540">
        <w:rPr>
          <w:sz w:val="22"/>
          <w:szCs w:val="22"/>
        </w:rPr>
        <w:tab/>
        <w:t>Se pkt. 4.4</w:t>
      </w:r>
    </w:p>
    <w:p w14:paraId="5E284A50" w14:textId="77777777" w:rsidR="00DC6CAA" w:rsidRPr="00C40540" w:rsidRDefault="00DC6CAA" w:rsidP="00C40540">
      <w:pPr>
        <w:ind w:left="1276" w:hanging="425"/>
        <w:rPr>
          <w:sz w:val="22"/>
          <w:szCs w:val="22"/>
        </w:rPr>
      </w:pPr>
      <w:r w:rsidRPr="00C40540">
        <w:rPr>
          <w:sz w:val="22"/>
          <w:szCs w:val="22"/>
        </w:rPr>
        <w:t>1</w:t>
      </w:r>
      <w:r w:rsidRPr="00C40540">
        <w:rPr>
          <w:sz w:val="22"/>
          <w:szCs w:val="22"/>
        </w:rPr>
        <w:tab/>
        <w:t>Bivirkning observeret ved kombination af linagliptin og metformin og sulfonylurinstof</w:t>
      </w:r>
    </w:p>
    <w:p w14:paraId="4AB7DA9E" w14:textId="77777777" w:rsidR="00DC6CAA" w:rsidRPr="00C40540" w:rsidRDefault="00DC6CAA" w:rsidP="00C40540">
      <w:pPr>
        <w:ind w:left="1276" w:hanging="425"/>
        <w:rPr>
          <w:sz w:val="22"/>
          <w:szCs w:val="22"/>
        </w:rPr>
      </w:pPr>
      <w:r w:rsidRPr="00C40540">
        <w:rPr>
          <w:sz w:val="22"/>
          <w:szCs w:val="22"/>
        </w:rPr>
        <w:t>2</w:t>
      </w:r>
      <w:r w:rsidRPr="00C40540">
        <w:rPr>
          <w:sz w:val="22"/>
          <w:szCs w:val="22"/>
        </w:rPr>
        <w:tab/>
        <w:t>Bivirkning observeret ved kombination af linagliptin og metformin og insulin</w:t>
      </w:r>
    </w:p>
    <w:p w14:paraId="0A4ACD66" w14:textId="77777777" w:rsidR="00DC6CAA" w:rsidRPr="00CD3D34" w:rsidRDefault="00DC6CAA" w:rsidP="00CD3D34">
      <w:pPr>
        <w:pStyle w:val="Brdtekst"/>
        <w:ind w:left="851"/>
        <w:rPr>
          <w:sz w:val="24"/>
          <w:szCs w:val="24"/>
          <w:lang w:val="da-DK"/>
        </w:rPr>
      </w:pPr>
    </w:p>
    <w:p w14:paraId="72B6680A" w14:textId="77777777" w:rsidR="00DC6CAA" w:rsidRPr="00CD3D34" w:rsidRDefault="00DC6CAA" w:rsidP="00CD3D34">
      <w:pPr>
        <w:pStyle w:val="Brdtekst"/>
        <w:ind w:left="851"/>
        <w:rPr>
          <w:sz w:val="24"/>
          <w:szCs w:val="24"/>
          <w:lang w:val="da-DK"/>
        </w:rPr>
      </w:pPr>
      <w:r w:rsidRPr="00CD3D34">
        <w:rPr>
          <w:sz w:val="24"/>
          <w:szCs w:val="24"/>
          <w:u w:val="single"/>
          <w:lang w:val="da-DK"/>
        </w:rPr>
        <w:t>Beskrivelse af udvalgte bivirkninger</w:t>
      </w:r>
    </w:p>
    <w:p w14:paraId="5AC24B5B" w14:textId="77777777" w:rsidR="00DC6CAA" w:rsidRPr="00CD3D34" w:rsidRDefault="00DC6CAA" w:rsidP="00CD3D34">
      <w:pPr>
        <w:ind w:left="851"/>
        <w:rPr>
          <w:i/>
          <w:sz w:val="24"/>
          <w:szCs w:val="24"/>
        </w:rPr>
      </w:pPr>
      <w:r w:rsidRPr="00CD3D34">
        <w:rPr>
          <w:i/>
          <w:sz w:val="24"/>
          <w:szCs w:val="24"/>
        </w:rPr>
        <w:t>Hypoglykæmi</w:t>
      </w:r>
    </w:p>
    <w:p w14:paraId="6AD1C87C" w14:textId="77777777" w:rsidR="00DC6CAA" w:rsidRPr="00CD3D34" w:rsidRDefault="00DC6CAA" w:rsidP="00CD3D34">
      <w:pPr>
        <w:pStyle w:val="Brdtekst"/>
        <w:ind w:left="851"/>
        <w:rPr>
          <w:sz w:val="24"/>
          <w:szCs w:val="24"/>
          <w:lang w:val="da-DK"/>
        </w:rPr>
      </w:pPr>
      <w:r w:rsidRPr="00CD3D34">
        <w:rPr>
          <w:sz w:val="24"/>
          <w:szCs w:val="24"/>
          <w:lang w:val="da-DK"/>
        </w:rPr>
        <w:t>I et studie blev linagliptin givet i tillæg til metformin plus sulfonylurinstof. Når linagliptin og metformin blev givet i kombination med et sulfonylurinstof, var hypoglykæmi den hyppigst rapporterede bivirkning (linagliptin plus metformin plus sulfonylurinstof 23,9 %, placebo plus metformin plus sulfonylurinstof 16,0 %).</w:t>
      </w:r>
    </w:p>
    <w:p w14:paraId="0D052281" w14:textId="77777777" w:rsidR="00DC6CAA" w:rsidRPr="00CD3D34" w:rsidRDefault="00DC6CAA" w:rsidP="00CD3D34">
      <w:pPr>
        <w:pStyle w:val="Brdtekst"/>
        <w:ind w:left="851"/>
        <w:rPr>
          <w:sz w:val="24"/>
          <w:szCs w:val="24"/>
          <w:lang w:val="da-DK"/>
        </w:rPr>
      </w:pPr>
    </w:p>
    <w:p w14:paraId="1909603E" w14:textId="77777777" w:rsidR="00DC6CAA" w:rsidRPr="00CD3D34" w:rsidRDefault="00DC6CAA" w:rsidP="00CD3D34">
      <w:pPr>
        <w:pStyle w:val="Brdtekst"/>
        <w:ind w:left="851"/>
        <w:rPr>
          <w:sz w:val="24"/>
          <w:szCs w:val="24"/>
          <w:lang w:val="da-DK"/>
        </w:rPr>
      </w:pPr>
      <w:r w:rsidRPr="00CD3D34">
        <w:rPr>
          <w:sz w:val="24"/>
          <w:szCs w:val="24"/>
          <w:lang w:val="da-DK"/>
        </w:rPr>
        <w:t>Når linagliptin og metformin blev givet i kombination med insulin, var hypoglykæmi den hyppigst rapporterede bivirkning, men forekom med lignende hyppighed, når placebo og metformin blev kombineret med insulin (linagliptin plus metformin plus insulin 29,5 %, placebo plus metformin plus insulin 30,9 %) med lav hyppighed for alvorlige hændelser (der kræver hjælp) (1,5 % og 0,9 %).</w:t>
      </w:r>
    </w:p>
    <w:p w14:paraId="17BDF8E7" w14:textId="77777777" w:rsidR="00DC6CAA" w:rsidRPr="00CD3D34" w:rsidRDefault="00DC6CAA" w:rsidP="00CD3D34">
      <w:pPr>
        <w:pStyle w:val="Brdtekst"/>
        <w:ind w:left="851"/>
        <w:rPr>
          <w:sz w:val="24"/>
          <w:szCs w:val="24"/>
          <w:lang w:val="da-DK"/>
        </w:rPr>
      </w:pPr>
    </w:p>
    <w:p w14:paraId="6E02693E" w14:textId="77777777" w:rsidR="00DC6CAA" w:rsidRPr="00CD3D34" w:rsidRDefault="00DC6CAA" w:rsidP="00CD3D34">
      <w:pPr>
        <w:ind w:left="851"/>
        <w:rPr>
          <w:i/>
          <w:sz w:val="24"/>
          <w:szCs w:val="24"/>
        </w:rPr>
      </w:pPr>
      <w:r w:rsidRPr="00CD3D34">
        <w:rPr>
          <w:i/>
          <w:sz w:val="24"/>
          <w:szCs w:val="24"/>
        </w:rPr>
        <w:t>Andre bivirkninger</w:t>
      </w:r>
    </w:p>
    <w:p w14:paraId="6D8C599F" w14:textId="57D4B467" w:rsidR="00DC6CAA" w:rsidRPr="00CD3D34" w:rsidRDefault="00DC6CAA" w:rsidP="00CD3D34">
      <w:pPr>
        <w:pStyle w:val="Brdtekst"/>
        <w:ind w:left="851"/>
        <w:rPr>
          <w:sz w:val="24"/>
          <w:szCs w:val="24"/>
          <w:lang w:val="da-DK"/>
        </w:rPr>
      </w:pPr>
      <w:r w:rsidRPr="00CD3D34">
        <w:rPr>
          <w:sz w:val="24"/>
          <w:szCs w:val="24"/>
          <w:lang w:val="da-DK"/>
        </w:rPr>
        <w:t xml:space="preserve">Gastrointestinale gener såsom kvalme, opkastning, diarré og nedsat appetit og abdominalsmerter forekommer hyppigst i begyndelsen af behandling med </w:t>
      </w:r>
      <w:r w:rsidR="002B2434">
        <w:rPr>
          <w:sz w:val="24"/>
          <w:szCs w:val="24"/>
          <w:lang w:val="da-DK"/>
        </w:rPr>
        <w:t>Glymetia</w:t>
      </w:r>
      <w:r w:rsidRPr="00CD3D34">
        <w:rPr>
          <w:sz w:val="24"/>
          <w:szCs w:val="24"/>
          <w:lang w:val="da-DK"/>
        </w:rPr>
        <w:t xml:space="preserve"> eller metforminhydrochlorid og er i de fleste tilfælde forbigående. For at undgå disse anbefales det, at </w:t>
      </w:r>
      <w:r w:rsidR="002B2434">
        <w:rPr>
          <w:sz w:val="24"/>
          <w:szCs w:val="24"/>
          <w:lang w:val="da-DK"/>
        </w:rPr>
        <w:t>Glymetia</w:t>
      </w:r>
      <w:r w:rsidRPr="00CD3D34">
        <w:rPr>
          <w:sz w:val="24"/>
          <w:szCs w:val="24"/>
          <w:lang w:val="da-DK"/>
        </w:rPr>
        <w:t xml:space="preserve"> tages under eller efter måltider. Langsom dosisøgning af metforminhydrochlorid kan også forbedre den gastrointestinale tolerabilitet.</w:t>
      </w:r>
    </w:p>
    <w:p w14:paraId="3C570A65" w14:textId="77777777" w:rsidR="00DC6CAA" w:rsidRPr="00CD3D34" w:rsidRDefault="00DC6CAA" w:rsidP="00CD3D34">
      <w:pPr>
        <w:pStyle w:val="Brdtekst"/>
        <w:ind w:left="851"/>
        <w:rPr>
          <w:sz w:val="24"/>
          <w:szCs w:val="24"/>
          <w:lang w:val="da-DK"/>
        </w:rPr>
      </w:pPr>
    </w:p>
    <w:p w14:paraId="7236923D" w14:textId="77777777" w:rsidR="00DC6CAA" w:rsidRPr="00CD3D34" w:rsidRDefault="00DC6CAA" w:rsidP="00CD3D34">
      <w:pPr>
        <w:pStyle w:val="Brdtekst"/>
        <w:ind w:left="851"/>
        <w:rPr>
          <w:sz w:val="24"/>
          <w:szCs w:val="24"/>
          <w:lang w:val="da-DK"/>
        </w:rPr>
      </w:pPr>
      <w:r w:rsidRPr="00CD3D34">
        <w:rPr>
          <w:sz w:val="24"/>
          <w:szCs w:val="24"/>
          <w:u w:val="single"/>
          <w:lang w:val="da-DK"/>
        </w:rPr>
        <w:t>Linagliptin studie for kardiovaskulær og renal sikkerhed (CARMELINA)</w:t>
      </w:r>
    </w:p>
    <w:p w14:paraId="32952E4A" w14:textId="2BDE9A86" w:rsidR="00DC6CAA" w:rsidRPr="00312252" w:rsidRDefault="00DC6CAA" w:rsidP="00312252">
      <w:pPr>
        <w:pStyle w:val="Brdtekst"/>
        <w:ind w:left="851"/>
        <w:rPr>
          <w:sz w:val="24"/>
          <w:szCs w:val="24"/>
          <w:lang w:val="da-DK"/>
        </w:rPr>
      </w:pPr>
      <w:r w:rsidRPr="00CD3D34">
        <w:rPr>
          <w:sz w:val="24"/>
          <w:szCs w:val="24"/>
          <w:lang w:val="da-DK"/>
        </w:rPr>
        <w:t xml:space="preserve">CARMELINA-studiet evaluerede den kardiovaskulære og renale sikkerhed af linagliptin </w:t>
      </w:r>
      <w:r w:rsidRPr="00CD3D34">
        <w:rPr>
          <w:i/>
          <w:sz w:val="24"/>
          <w:szCs w:val="24"/>
          <w:lang w:val="da-DK"/>
        </w:rPr>
        <w:t xml:space="preserve">vs. </w:t>
      </w:r>
      <w:r w:rsidRPr="00CD3D34">
        <w:rPr>
          <w:sz w:val="24"/>
          <w:szCs w:val="24"/>
          <w:lang w:val="da-DK"/>
        </w:rPr>
        <w:t xml:space="preserve">placebo hos patienter med type 2-diabetes, og med en øget kardiovaskulær risiko, vist ved en anamnese med fastlagt makrovaskulær eller renal sygdom (se pkt. 5.1). Studiet omfattede 3 494 patienter, der blev behandlet med linagliptin (5 mg), og 3 485 patienter, der fik placebo. </w:t>
      </w:r>
      <w:r w:rsidRPr="00312252">
        <w:rPr>
          <w:sz w:val="24"/>
          <w:szCs w:val="24"/>
          <w:lang w:val="da-DK"/>
        </w:rPr>
        <w:t>Begge behandlinger blev tilføjet til standardbehandling rettet mod regionale standarder for HbA</w:t>
      </w:r>
      <w:r w:rsidRPr="00312252">
        <w:rPr>
          <w:sz w:val="24"/>
          <w:szCs w:val="24"/>
          <w:vertAlign w:val="subscript"/>
          <w:lang w:val="da-DK"/>
        </w:rPr>
        <w:t>1c</w:t>
      </w:r>
      <w:r w:rsidRPr="00312252">
        <w:rPr>
          <w:sz w:val="24"/>
          <w:szCs w:val="24"/>
          <w:lang w:val="da-DK"/>
        </w:rPr>
        <w:t xml:space="preserve"> og kardiovaskulære risikofaktorer.</w:t>
      </w:r>
    </w:p>
    <w:p w14:paraId="201D97BD" w14:textId="77777777" w:rsidR="00DC6CAA" w:rsidRPr="00312252" w:rsidRDefault="00DC6CAA" w:rsidP="00312252">
      <w:pPr>
        <w:ind w:left="851"/>
        <w:rPr>
          <w:sz w:val="24"/>
          <w:szCs w:val="24"/>
        </w:rPr>
      </w:pPr>
      <w:r w:rsidRPr="00312252">
        <w:rPr>
          <w:sz w:val="24"/>
          <w:szCs w:val="24"/>
        </w:rPr>
        <w:lastRenderedPageBreak/>
        <w:t>Den samlede forekomst af uønskede hændelser og alvorlige uønskede hændelser hos patienter, der fik linagliptin, svarede til forekomsten hos patienter, der fik placebo. Sikkerhedsdata fra dette studie var i overensstemmelse med den tidligere kendte sikkerhedsprofil ved linagliptin.</w:t>
      </w:r>
    </w:p>
    <w:p w14:paraId="2A52F2BF" w14:textId="77777777" w:rsidR="00DC6CAA" w:rsidRPr="00CD3D34" w:rsidRDefault="00DC6CAA" w:rsidP="00CD3D34">
      <w:pPr>
        <w:pStyle w:val="Brdtekst"/>
        <w:ind w:left="851"/>
        <w:rPr>
          <w:sz w:val="24"/>
          <w:szCs w:val="24"/>
          <w:lang w:val="da-DK"/>
        </w:rPr>
      </w:pPr>
    </w:p>
    <w:p w14:paraId="4B374EFF" w14:textId="77777777" w:rsidR="00DC6CAA" w:rsidRPr="00CD3D34" w:rsidRDefault="00DC6CAA" w:rsidP="00CD3D34">
      <w:pPr>
        <w:pStyle w:val="Brdtekst"/>
        <w:ind w:left="851"/>
        <w:rPr>
          <w:sz w:val="24"/>
          <w:szCs w:val="24"/>
          <w:lang w:val="da-DK"/>
        </w:rPr>
      </w:pPr>
      <w:r w:rsidRPr="00CD3D34">
        <w:rPr>
          <w:sz w:val="24"/>
          <w:szCs w:val="24"/>
          <w:lang w:val="da-DK"/>
        </w:rPr>
        <w:t xml:space="preserve">I den behandlede population blev der rapporteret svære hypoglykæmiske hændelser (der krævede hjælp) hos 3,0 % af patienterne, der fik linagliptin, og hos 3,1 %, der fik placebo. Blandt patienterne, som brugte sulfonylurinstof ved </w:t>
      </w:r>
      <w:r w:rsidRPr="00CD3D34">
        <w:rPr>
          <w:i/>
          <w:sz w:val="24"/>
          <w:szCs w:val="24"/>
          <w:lang w:val="da-DK"/>
        </w:rPr>
        <w:t>baseline</w:t>
      </w:r>
      <w:r w:rsidRPr="00CD3D34">
        <w:rPr>
          <w:sz w:val="24"/>
          <w:szCs w:val="24"/>
          <w:lang w:val="da-DK"/>
        </w:rPr>
        <w:t xml:space="preserve">, var forekomsten af svær hypoglykæmi 2,0 % hos patienter, der blev behandlet med linagliptin, og 1,7 % hos patienter, der fik placebo. Blandt patienterne, som brugte insulin ved </w:t>
      </w:r>
      <w:r w:rsidRPr="00CD3D34">
        <w:rPr>
          <w:i/>
          <w:sz w:val="24"/>
          <w:szCs w:val="24"/>
          <w:lang w:val="da-DK"/>
        </w:rPr>
        <w:t>baseline</w:t>
      </w:r>
      <w:r w:rsidRPr="00CD3D34">
        <w:rPr>
          <w:sz w:val="24"/>
          <w:szCs w:val="24"/>
          <w:lang w:val="da-DK"/>
        </w:rPr>
        <w:t>, var forekomsten af svær hypoglykæmi 4,4 % hos patienter, der blev behandlet med linagliptin, og 4,9 % hos patienter, der fik placebo.</w:t>
      </w:r>
    </w:p>
    <w:p w14:paraId="23DE5CAA" w14:textId="77777777" w:rsidR="00DC6CAA" w:rsidRPr="00CD3D34" w:rsidRDefault="00DC6CAA" w:rsidP="00CD3D34">
      <w:pPr>
        <w:pStyle w:val="Brdtekst"/>
        <w:ind w:left="851"/>
        <w:rPr>
          <w:sz w:val="24"/>
          <w:szCs w:val="24"/>
          <w:lang w:val="da-DK"/>
        </w:rPr>
      </w:pPr>
    </w:p>
    <w:p w14:paraId="249598F0" w14:textId="77777777" w:rsidR="00DC6CAA" w:rsidRPr="00CD3D34" w:rsidRDefault="00DC6CAA" w:rsidP="00CD3D34">
      <w:pPr>
        <w:pStyle w:val="Brdtekst"/>
        <w:ind w:left="851"/>
        <w:rPr>
          <w:sz w:val="24"/>
          <w:szCs w:val="24"/>
          <w:lang w:val="da-DK"/>
        </w:rPr>
      </w:pPr>
      <w:r w:rsidRPr="00CD3D34">
        <w:rPr>
          <w:sz w:val="24"/>
          <w:szCs w:val="24"/>
          <w:lang w:val="da-DK"/>
        </w:rPr>
        <w:t>I den samlede studieobserveringsperiode blev der rapporteret adjudikeret akut pankreatitis hos 0,3 % af patienterne i behandling med linagliptin, og hos 0,1 % af patienterne, der fik placebo.</w:t>
      </w:r>
    </w:p>
    <w:p w14:paraId="1A18E4FD" w14:textId="77777777" w:rsidR="00DC6CAA" w:rsidRPr="00CD3D34" w:rsidRDefault="00DC6CAA" w:rsidP="00CD3D34">
      <w:pPr>
        <w:pStyle w:val="Brdtekst"/>
        <w:ind w:left="851"/>
        <w:rPr>
          <w:sz w:val="24"/>
          <w:szCs w:val="24"/>
          <w:lang w:val="da-DK"/>
        </w:rPr>
      </w:pPr>
    </w:p>
    <w:p w14:paraId="4815816C" w14:textId="77777777" w:rsidR="00DC6CAA" w:rsidRPr="00CD3D34" w:rsidRDefault="00DC6CAA" w:rsidP="00CD3D34">
      <w:pPr>
        <w:pStyle w:val="Brdtekst"/>
        <w:ind w:left="851"/>
        <w:rPr>
          <w:sz w:val="24"/>
          <w:szCs w:val="24"/>
          <w:lang w:val="da-DK"/>
        </w:rPr>
      </w:pPr>
      <w:r w:rsidRPr="00CD3D34">
        <w:rPr>
          <w:sz w:val="24"/>
          <w:szCs w:val="24"/>
          <w:lang w:val="da-DK"/>
        </w:rPr>
        <w:t>I CARMELINA-studiet blev bulløs pemfigoid rapporteret hos 0,2 % af patienterne i behandling med linagliptin, og ikke hos nogen af de patienter, der fik placebo.</w:t>
      </w:r>
    </w:p>
    <w:p w14:paraId="7C12D8F5" w14:textId="77777777" w:rsidR="00DC6CAA" w:rsidRPr="00CD3D34" w:rsidRDefault="00DC6CAA" w:rsidP="00CD3D34">
      <w:pPr>
        <w:pStyle w:val="Brdtekst"/>
        <w:ind w:left="851"/>
        <w:rPr>
          <w:sz w:val="24"/>
          <w:szCs w:val="24"/>
          <w:lang w:val="da-DK"/>
        </w:rPr>
      </w:pPr>
    </w:p>
    <w:p w14:paraId="7A1A2F34" w14:textId="77777777" w:rsidR="00DC6CAA" w:rsidRPr="00CD3D34" w:rsidRDefault="00DC6CAA" w:rsidP="00CD3D34">
      <w:pPr>
        <w:pStyle w:val="Brdtekst"/>
        <w:ind w:left="851"/>
        <w:rPr>
          <w:sz w:val="24"/>
          <w:szCs w:val="24"/>
          <w:lang w:val="da-DK"/>
        </w:rPr>
      </w:pPr>
      <w:r w:rsidRPr="00CD3D34">
        <w:rPr>
          <w:sz w:val="24"/>
          <w:szCs w:val="24"/>
          <w:u w:val="single"/>
          <w:lang w:val="da-DK"/>
        </w:rPr>
        <w:t>Pædiatrisk population</w:t>
      </w:r>
    </w:p>
    <w:p w14:paraId="5991D600" w14:textId="77777777" w:rsidR="00DC6CAA" w:rsidRPr="00CD3D34" w:rsidRDefault="00DC6CAA" w:rsidP="00CD3D34">
      <w:pPr>
        <w:pStyle w:val="Brdtekst"/>
        <w:ind w:left="851"/>
        <w:rPr>
          <w:sz w:val="24"/>
          <w:szCs w:val="24"/>
          <w:lang w:val="da-DK"/>
        </w:rPr>
      </w:pPr>
      <w:r w:rsidRPr="00CD3D34">
        <w:rPr>
          <w:sz w:val="24"/>
          <w:szCs w:val="24"/>
          <w:lang w:val="da-DK"/>
        </w:rPr>
        <w:t>I kliniske studier hos pædiatriske patienter med type 2-diabetes mellitus i alderen 10 til 17 år svarede sikkerhedsprofilen for linagliptin samlet set til den, der blev observeret hos den voksne population.</w:t>
      </w:r>
    </w:p>
    <w:p w14:paraId="4ACB9E6F" w14:textId="77777777" w:rsidR="00DC6CAA" w:rsidRPr="00CD3D34" w:rsidRDefault="00DC6CAA" w:rsidP="00CD3D34">
      <w:pPr>
        <w:pStyle w:val="Brdtekst"/>
        <w:ind w:left="851"/>
        <w:rPr>
          <w:sz w:val="24"/>
          <w:szCs w:val="24"/>
          <w:lang w:val="da-DK"/>
        </w:rPr>
      </w:pPr>
    </w:p>
    <w:p w14:paraId="0089D967" w14:textId="77777777" w:rsidR="00DC6CAA" w:rsidRPr="00CD3D34" w:rsidRDefault="00DC6CAA" w:rsidP="00CD3D34">
      <w:pPr>
        <w:pStyle w:val="Brdtekst"/>
        <w:ind w:left="851"/>
        <w:rPr>
          <w:sz w:val="24"/>
          <w:szCs w:val="24"/>
          <w:lang w:val="da-DK"/>
        </w:rPr>
      </w:pPr>
      <w:r w:rsidRPr="00CD3D34">
        <w:rPr>
          <w:sz w:val="24"/>
          <w:szCs w:val="24"/>
          <w:u w:val="single"/>
          <w:lang w:val="da-DK"/>
        </w:rPr>
        <w:t>Indberetning af formodede bivirkninger</w:t>
      </w:r>
    </w:p>
    <w:p w14:paraId="4365E610" w14:textId="77777777" w:rsidR="00DC6CAA" w:rsidRPr="00CD3D34" w:rsidRDefault="00DC6CAA" w:rsidP="00CD3D34">
      <w:pPr>
        <w:pStyle w:val="Brdtekst"/>
        <w:ind w:left="851"/>
        <w:rPr>
          <w:sz w:val="24"/>
          <w:szCs w:val="24"/>
          <w:lang w:val="da-DK"/>
        </w:rPr>
      </w:pPr>
      <w:r w:rsidRPr="00CD3D34">
        <w:rPr>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p>
    <w:p w14:paraId="3737BCA5" w14:textId="77777777" w:rsidR="00DC6CAA" w:rsidRPr="00CD3D34" w:rsidRDefault="00DC6CAA" w:rsidP="00CD3D34">
      <w:pPr>
        <w:pStyle w:val="Brdtekst"/>
        <w:ind w:left="851"/>
        <w:rPr>
          <w:sz w:val="24"/>
          <w:szCs w:val="24"/>
          <w:lang w:val="da-DK"/>
        </w:rPr>
      </w:pPr>
    </w:p>
    <w:p w14:paraId="704CDA28" w14:textId="77777777" w:rsidR="00DC6CAA" w:rsidRPr="00CD3D34" w:rsidRDefault="00DC6CAA" w:rsidP="00CD3D34">
      <w:pPr>
        <w:ind w:left="851"/>
        <w:rPr>
          <w:rFonts w:eastAsia="Calibri"/>
          <w:color w:val="000000"/>
          <w:sz w:val="24"/>
          <w:szCs w:val="24"/>
          <w:lang w:eastAsia="zh-CN"/>
        </w:rPr>
      </w:pPr>
      <w:r w:rsidRPr="00CD3D34">
        <w:rPr>
          <w:sz w:val="24"/>
          <w:szCs w:val="24"/>
        </w:rPr>
        <w:t>Lægemiddelstyrelsen</w:t>
      </w:r>
    </w:p>
    <w:p w14:paraId="4F5A3707" w14:textId="77777777" w:rsidR="00DC6CAA" w:rsidRPr="00CD3D34" w:rsidRDefault="00DC6CAA" w:rsidP="00CD3D34">
      <w:pPr>
        <w:ind w:left="851"/>
        <w:rPr>
          <w:rFonts w:eastAsia="Calibri"/>
          <w:sz w:val="24"/>
          <w:szCs w:val="24"/>
          <w:lang w:eastAsia="zh-CN"/>
        </w:rPr>
      </w:pPr>
      <w:r w:rsidRPr="00CD3D34">
        <w:rPr>
          <w:rFonts w:eastAsia="Calibri"/>
          <w:sz w:val="24"/>
          <w:szCs w:val="24"/>
          <w:lang w:eastAsia="zh-CN"/>
        </w:rPr>
        <w:t>Axel Heides Gade 1</w:t>
      </w:r>
    </w:p>
    <w:p w14:paraId="52FDE32E" w14:textId="77777777" w:rsidR="00DC6CAA" w:rsidRPr="00CD3D34" w:rsidRDefault="00DC6CAA" w:rsidP="00CD3D34">
      <w:pPr>
        <w:ind w:left="851"/>
        <w:rPr>
          <w:rFonts w:eastAsia="Calibri"/>
          <w:sz w:val="24"/>
          <w:szCs w:val="24"/>
          <w:lang w:eastAsia="zh-CN"/>
        </w:rPr>
      </w:pPr>
      <w:r w:rsidRPr="00CD3D34">
        <w:rPr>
          <w:rFonts w:eastAsia="Calibri"/>
          <w:sz w:val="24"/>
          <w:szCs w:val="24"/>
          <w:lang w:eastAsia="zh-CN"/>
        </w:rPr>
        <w:t>DK-2300 København S</w:t>
      </w:r>
    </w:p>
    <w:p w14:paraId="71013B2B" w14:textId="77777777" w:rsidR="00DC6CAA" w:rsidRPr="00CD3D34" w:rsidRDefault="00DC6CAA" w:rsidP="00CD3D34">
      <w:pPr>
        <w:pStyle w:val="Brdtekst"/>
        <w:ind w:left="851"/>
        <w:rPr>
          <w:rFonts w:eastAsia="Calibri"/>
          <w:color w:val="0000FF"/>
          <w:sz w:val="24"/>
          <w:szCs w:val="24"/>
          <w:u w:val="single"/>
          <w:lang w:val="da-DK" w:eastAsia="zh-CN"/>
        </w:rPr>
      </w:pPr>
      <w:r w:rsidRPr="00CD3D34">
        <w:rPr>
          <w:rFonts w:eastAsia="Calibri"/>
          <w:sz w:val="24"/>
          <w:szCs w:val="24"/>
          <w:lang w:val="da-DK" w:eastAsia="zh-CN"/>
        </w:rPr>
        <w:t xml:space="preserve">Websted: </w:t>
      </w:r>
      <w:hyperlink r:id="rId8" w:history="1">
        <w:r w:rsidRPr="00CD3D34">
          <w:rPr>
            <w:rStyle w:val="Hyperlink"/>
            <w:rFonts w:eastAsia="Calibri"/>
            <w:color w:val="0000FF"/>
            <w:sz w:val="24"/>
            <w:szCs w:val="24"/>
            <w:lang w:val="da-DK" w:eastAsia="zh-CN"/>
          </w:rPr>
          <w:t>www.meldenbivirkning.dk</w:t>
        </w:r>
      </w:hyperlink>
    </w:p>
    <w:p w14:paraId="171F6DCD" w14:textId="77777777" w:rsidR="009260DE" w:rsidRPr="00A10294" w:rsidRDefault="009260DE" w:rsidP="00A10294">
      <w:pPr>
        <w:tabs>
          <w:tab w:val="left" w:pos="851"/>
        </w:tabs>
        <w:ind w:left="851"/>
        <w:rPr>
          <w:sz w:val="24"/>
          <w:szCs w:val="24"/>
        </w:rPr>
      </w:pPr>
    </w:p>
    <w:p w14:paraId="2BC40A6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64069C5" w14:textId="77777777" w:rsidR="000945FA" w:rsidRDefault="000945FA" w:rsidP="00DC6CAA">
      <w:pPr>
        <w:pStyle w:val="Brdtekst"/>
        <w:ind w:left="851"/>
        <w:rPr>
          <w:sz w:val="24"/>
          <w:szCs w:val="24"/>
          <w:u w:val="single"/>
          <w:lang w:val="da-DK"/>
        </w:rPr>
      </w:pPr>
    </w:p>
    <w:p w14:paraId="16777196" w14:textId="4DD16C9C" w:rsidR="00DC6CAA" w:rsidRDefault="00DC6CAA" w:rsidP="00DC6CAA">
      <w:pPr>
        <w:pStyle w:val="Brdtekst"/>
        <w:ind w:left="851"/>
        <w:rPr>
          <w:sz w:val="24"/>
          <w:szCs w:val="24"/>
          <w:lang w:val="da-DK"/>
        </w:rPr>
      </w:pPr>
      <w:r>
        <w:rPr>
          <w:sz w:val="24"/>
          <w:szCs w:val="24"/>
          <w:u w:val="single"/>
          <w:lang w:val="da-DK"/>
        </w:rPr>
        <w:t>Linagliptin</w:t>
      </w:r>
    </w:p>
    <w:p w14:paraId="7F4D3A84" w14:textId="77777777" w:rsidR="00DC6CAA" w:rsidRDefault="00DC6CAA" w:rsidP="00DC6CAA">
      <w:pPr>
        <w:pStyle w:val="Brdtekst"/>
        <w:ind w:left="851"/>
        <w:rPr>
          <w:sz w:val="24"/>
          <w:szCs w:val="24"/>
          <w:lang w:val="da-DK"/>
        </w:rPr>
      </w:pPr>
      <w:r>
        <w:rPr>
          <w:sz w:val="24"/>
          <w:szCs w:val="24"/>
          <w:lang w:val="da-DK"/>
        </w:rPr>
        <w:t>I kontrollerede kliniske studier hos raske frivillige var enkeltdoser på op til 600 mg linagliptin (svarende til 120 gange den anbefalede dosis) ikke forbundet med en dosisafhængig øgning af bivirkninger. Der er ingen erfaring med doser over 600 mg hos mennesker.</w:t>
      </w:r>
    </w:p>
    <w:p w14:paraId="50CACE8A" w14:textId="77777777" w:rsidR="00DC6CAA" w:rsidRDefault="00DC6CAA" w:rsidP="00DC6CAA">
      <w:pPr>
        <w:pStyle w:val="Brdtekst"/>
        <w:ind w:left="851"/>
        <w:rPr>
          <w:sz w:val="24"/>
          <w:szCs w:val="24"/>
          <w:lang w:val="da-DK"/>
        </w:rPr>
      </w:pPr>
    </w:p>
    <w:p w14:paraId="0F627640" w14:textId="77777777" w:rsidR="00DC6CAA" w:rsidRDefault="00DC6CAA" w:rsidP="00DC6CAA">
      <w:pPr>
        <w:pStyle w:val="Brdtekst"/>
        <w:ind w:left="851"/>
        <w:rPr>
          <w:sz w:val="24"/>
          <w:szCs w:val="24"/>
          <w:lang w:val="da-DK"/>
        </w:rPr>
      </w:pPr>
      <w:r>
        <w:rPr>
          <w:sz w:val="24"/>
          <w:szCs w:val="24"/>
          <w:u w:val="single"/>
          <w:lang w:val="da-DK"/>
        </w:rPr>
        <w:t>Metformin</w:t>
      </w:r>
    </w:p>
    <w:p w14:paraId="4F5F413A" w14:textId="76238169" w:rsidR="00DC6CAA" w:rsidRDefault="00DC6CAA" w:rsidP="00DC6CAA">
      <w:pPr>
        <w:pStyle w:val="Brdtekst"/>
        <w:ind w:left="851"/>
        <w:rPr>
          <w:sz w:val="24"/>
          <w:szCs w:val="24"/>
          <w:lang w:val="da-DK"/>
        </w:rPr>
      </w:pPr>
      <w:r>
        <w:rPr>
          <w:sz w:val="24"/>
          <w:szCs w:val="24"/>
          <w:lang w:val="da-DK"/>
        </w:rPr>
        <w:t>Der er ikke set hypoglykæmi ved metforminhydrochlorid i doser på op til 85 g, selvom der er forekommet laktatacidose i sådanne tilfælde. En stor overdosering af metformin</w:t>
      </w:r>
      <w:r w:rsidR="000A5A14">
        <w:rPr>
          <w:sz w:val="24"/>
          <w:szCs w:val="24"/>
          <w:lang w:val="da-DK"/>
        </w:rPr>
        <w:softHyphen/>
      </w:r>
      <w:r>
        <w:rPr>
          <w:sz w:val="24"/>
          <w:szCs w:val="24"/>
          <w:lang w:val="da-DK"/>
        </w:rPr>
        <w:t>hydrochlorid eller samtidige risici kan føre til laktatacidose. Laktatacidose er en akut medicinsk tilstand og kræver behandling på hospital. Den mest effektive metode til fjernelse af laktat og metforminhydrochlorid er hæmodialyse.</w:t>
      </w:r>
    </w:p>
    <w:p w14:paraId="14562EF5" w14:textId="77777777" w:rsidR="00DC6CAA" w:rsidRDefault="00DC6CAA" w:rsidP="00DC6CAA">
      <w:pPr>
        <w:pStyle w:val="Brdtekst"/>
        <w:ind w:left="851"/>
        <w:rPr>
          <w:sz w:val="24"/>
          <w:szCs w:val="24"/>
          <w:lang w:val="da-DK"/>
        </w:rPr>
      </w:pPr>
    </w:p>
    <w:p w14:paraId="49541B29" w14:textId="77777777" w:rsidR="00DC6CAA" w:rsidRDefault="00DC6CAA" w:rsidP="00DC6CAA">
      <w:pPr>
        <w:pStyle w:val="Brdtekst"/>
        <w:ind w:left="851"/>
        <w:rPr>
          <w:sz w:val="24"/>
          <w:szCs w:val="24"/>
          <w:lang w:val="da-DK"/>
        </w:rPr>
      </w:pPr>
      <w:r>
        <w:rPr>
          <w:sz w:val="24"/>
          <w:szCs w:val="24"/>
          <w:u w:val="single"/>
          <w:lang w:val="da-DK"/>
        </w:rPr>
        <w:t>Behandling</w:t>
      </w:r>
    </w:p>
    <w:p w14:paraId="3AA2C98A" w14:textId="77777777" w:rsidR="00DC6CAA" w:rsidRDefault="00DC6CAA" w:rsidP="00DC6CAA">
      <w:pPr>
        <w:pStyle w:val="Brdtekst"/>
        <w:ind w:left="851"/>
        <w:rPr>
          <w:sz w:val="24"/>
          <w:szCs w:val="24"/>
          <w:lang w:val="da-DK"/>
        </w:rPr>
      </w:pPr>
      <w:r>
        <w:rPr>
          <w:sz w:val="24"/>
          <w:szCs w:val="24"/>
          <w:lang w:val="da-DK"/>
        </w:rPr>
        <w:lastRenderedPageBreak/>
        <w:t>I tilfælde af en overdosis er det hensigtsmæssigt at benytte de sædvanlige understøttende foranstaltninger såsom at fjerne ikke-absorberet lægemiddel fra mave-tarm-kanalen, udføre klinisk monitorering og om nødvendigt, at igangsætte kliniske foranstaltninger.</w:t>
      </w:r>
    </w:p>
    <w:p w14:paraId="4CC508AF" w14:textId="77777777" w:rsidR="009260DE" w:rsidRPr="00C84483" w:rsidRDefault="009260DE" w:rsidP="009260DE">
      <w:pPr>
        <w:tabs>
          <w:tab w:val="left" w:pos="851"/>
        </w:tabs>
        <w:ind w:left="851"/>
        <w:rPr>
          <w:sz w:val="24"/>
          <w:szCs w:val="24"/>
        </w:rPr>
      </w:pPr>
    </w:p>
    <w:p w14:paraId="3DEB0B2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D178805" w14:textId="555894EB" w:rsidR="009260DE" w:rsidRPr="00C84483" w:rsidRDefault="00DC6CAA" w:rsidP="009260DE">
      <w:pPr>
        <w:tabs>
          <w:tab w:val="left" w:pos="851"/>
        </w:tabs>
        <w:ind w:left="851"/>
        <w:rPr>
          <w:sz w:val="24"/>
          <w:szCs w:val="24"/>
        </w:rPr>
      </w:pPr>
      <w:r>
        <w:rPr>
          <w:sz w:val="24"/>
          <w:szCs w:val="24"/>
        </w:rPr>
        <w:t>B</w:t>
      </w:r>
    </w:p>
    <w:p w14:paraId="0ACA1225" w14:textId="77777777" w:rsidR="009260DE" w:rsidRPr="00C84483" w:rsidRDefault="009260DE" w:rsidP="009260DE">
      <w:pPr>
        <w:tabs>
          <w:tab w:val="left" w:pos="851"/>
        </w:tabs>
        <w:ind w:left="851"/>
        <w:rPr>
          <w:sz w:val="24"/>
          <w:szCs w:val="24"/>
        </w:rPr>
      </w:pPr>
    </w:p>
    <w:p w14:paraId="0526BF55" w14:textId="77777777" w:rsidR="009260DE" w:rsidRPr="00C84483" w:rsidRDefault="009260DE" w:rsidP="009260DE">
      <w:pPr>
        <w:tabs>
          <w:tab w:val="left" w:pos="851"/>
        </w:tabs>
        <w:ind w:left="851"/>
        <w:rPr>
          <w:sz w:val="24"/>
          <w:szCs w:val="24"/>
        </w:rPr>
      </w:pPr>
    </w:p>
    <w:p w14:paraId="3A86C199"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EBDDA61" w14:textId="77777777" w:rsidR="009260DE" w:rsidRPr="00C84483" w:rsidRDefault="009260DE" w:rsidP="009260DE">
      <w:pPr>
        <w:tabs>
          <w:tab w:val="left" w:pos="851"/>
        </w:tabs>
        <w:ind w:left="851"/>
        <w:rPr>
          <w:sz w:val="24"/>
          <w:szCs w:val="24"/>
        </w:rPr>
      </w:pPr>
    </w:p>
    <w:p w14:paraId="346FA63D"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84A3506" w14:textId="77777777" w:rsidR="00DC6CAA" w:rsidRDefault="00DC6CAA" w:rsidP="000945FA">
      <w:pPr>
        <w:pStyle w:val="Brdtekst"/>
        <w:ind w:left="851" w:right="32"/>
        <w:rPr>
          <w:sz w:val="24"/>
          <w:szCs w:val="24"/>
          <w:lang w:val="da-DK"/>
        </w:rPr>
      </w:pPr>
      <w:r>
        <w:rPr>
          <w:sz w:val="24"/>
          <w:szCs w:val="24"/>
          <w:lang w:val="da-DK"/>
        </w:rPr>
        <w:t>Farmakoterapeutisk klassifikation: Antidiabetika, kombinationer af orale blodglucosesænkende midler, ATC-kode: A10BD11</w:t>
      </w:r>
    </w:p>
    <w:p w14:paraId="21E0EA9E" w14:textId="77777777" w:rsidR="00DC6CAA" w:rsidRDefault="00DC6CAA" w:rsidP="000945FA">
      <w:pPr>
        <w:pStyle w:val="Brdtekst"/>
        <w:ind w:left="851" w:right="32"/>
        <w:rPr>
          <w:sz w:val="24"/>
          <w:szCs w:val="24"/>
          <w:lang w:val="da-DK"/>
        </w:rPr>
      </w:pPr>
    </w:p>
    <w:p w14:paraId="4C957528" w14:textId="740CB825" w:rsidR="00DC6CAA" w:rsidRDefault="002B2434" w:rsidP="000945FA">
      <w:pPr>
        <w:pStyle w:val="Brdtekst"/>
        <w:ind w:left="851" w:right="32"/>
        <w:rPr>
          <w:sz w:val="24"/>
          <w:szCs w:val="24"/>
          <w:lang w:val="da-DK"/>
        </w:rPr>
      </w:pPr>
      <w:r>
        <w:rPr>
          <w:sz w:val="24"/>
          <w:szCs w:val="24"/>
          <w:lang w:val="da-DK"/>
        </w:rPr>
        <w:t>Glymetia</w:t>
      </w:r>
      <w:r w:rsidR="00DC6CAA">
        <w:rPr>
          <w:sz w:val="24"/>
          <w:szCs w:val="24"/>
          <w:lang w:val="da-DK"/>
        </w:rPr>
        <w:t xml:space="preserve"> er en kombination af to antihyperglykæmiske lægemidler med komplementære virkningsmekanismer til forbedring af glykæmisk kontrol hos patienter med type 2-diabetes: linagliptin, en dipeptidylpeptidase-4-hæmmer (DPP-4), og metforminhydrochlorid, der tilhører biguanidklassen.</w:t>
      </w:r>
    </w:p>
    <w:p w14:paraId="1CBC5D7E" w14:textId="77777777" w:rsidR="00DC6CAA" w:rsidRDefault="00DC6CAA" w:rsidP="000945FA">
      <w:pPr>
        <w:pStyle w:val="Brdtekst"/>
        <w:ind w:left="851" w:right="32"/>
        <w:rPr>
          <w:sz w:val="24"/>
          <w:szCs w:val="24"/>
          <w:lang w:val="da-DK"/>
        </w:rPr>
      </w:pPr>
    </w:p>
    <w:p w14:paraId="015B7C13" w14:textId="77777777" w:rsidR="00DC6CAA" w:rsidRDefault="00DC6CAA" w:rsidP="000945FA">
      <w:pPr>
        <w:ind w:left="851" w:right="32"/>
        <w:rPr>
          <w:i/>
          <w:sz w:val="24"/>
          <w:szCs w:val="24"/>
        </w:rPr>
      </w:pPr>
      <w:r>
        <w:rPr>
          <w:i/>
          <w:sz w:val="24"/>
          <w:szCs w:val="24"/>
          <w:u w:val="single"/>
        </w:rPr>
        <w:t>Linagliptin</w:t>
      </w:r>
    </w:p>
    <w:p w14:paraId="2DB39B74" w14:textId="77777777" w:rsidR="00DC6CAA" w:rsidRDefault="00DC6CAA" w:rsidP="000945FA">
      <w:pPr>
        <w:ind w:left="851" w:right="32"/>
        <w:rPr>
          <w:i/>
          <w:sz w:val="24"/>
          <w:szCs w:val="24"/>
        </w:rPr>
      </w:pPr>
      <w:r>
        <w:rPr>
          <w:i/>
          <w:sz w:val="24"/>
          <w:szCs w:val="24"/>
        </w:rPr>
        <w:t>Virkningsmekanisme</w:t>
      </w:r>
    </w:p>
    <w:p w14:paraId="0DFCCF0E" w14:textId="072C53C7" w:rsidR="00DC6CAA" w:rsidRDefault="00DC6CAA" w:rsidP="000945FA">
      <w:pPr>
        <w:pStyle w:val="Brdtekst"/>
        <w:ind w:left="851" w:right="32"/>
        <w:rPr>
          <w:sz w:val="24"/>
          <w:szCs w:val="24"/>
          <w:lang w:val="da-DK"/>
        </w:rPr>
      </w:pPr>
      <w:r>
        <w:rPr>
          <w:sz w:val="24"/>
          <w:szCs w:val="24"/>
          <w:lang w:val="da-DK"/>
        </w:rPr>
        <w:t xml:space="preserve">Linagliptin hæmmer enzymet DPP-4 (dipeptidylpeptidase 4), et enzym, der er involveret i inaktiveringen af inkretinhormonerne GLP-1 og GIP (glucagonlignende peptid 1, glucoseafhængigt insulinotropt polypeptid). Disse hormoner nedbrydes hurtigt af enzymet DPP-4. Begge inkretinhormoner er involveret i den fysiologiske regulering af glucosehomøostasen. Inkretiner secerneres i et lavt basisniveau i løbet af dagen, og niveauerne stiger umiddelbart efter et måltid. GLP- 1 og GIP øger biosyntesen af insulin og secernering fra bugspytkirtlens betaceller, når blodglucosekoncentrationen er normal eller forhøjet. Desuden sænker GLP-1 også glucagonsecerneringen fra bugspytkirtlens alfaceller, hvilket medfører, at leverens glucoseproduktion reduceres. Linagliptin binder reversibelt og meget effektivt til DPP-4. Dette medfører, at det øgede niveau af aktive inkretinhormoner opretholdes og forlænges. Afhængigt af glucoseniveauet øger linagliptin secerneringen af insulin og sænker glucagonsecerneringen, hvilket medfører en samlet forbedring i glucosehomøostasen. Linagliptin binder </w:t>
      </w:r>
      <w:r>
        <w:rPr>
          <w:i/>
          <w:sz w:val="24"/>
          <w:szCs w:val="24"/>
          <w:lang w:val="da-DK"/>
        </w:rPr>
        <w:t xml:space="preserve">in vitro </w:t>
      </w:r>
      <w:r>
        <w:rPr>
          <w:sz w:val="24"/>
          <w:szCs w:val="24"/>
          <w:lang w:val="da-DK"/>
        </w:rPr>
        <w:t>selektivt til DPP-4 og udviser en</w:t>
      </w:r>
      <w:r w:rsidR="00312252">
        <w:rPr>
          <w:sz w:val="24"/>
          <w:szCs w:val="24"/>
          <w:lang w:val="da-DK"/>
        </w:rPr>
        <w:t xml:space="preserve"> </w:t>
      </w:r>
      <w:r>
        <w:rPr>
          <w:sz w:val="24"/>
          <w:szCs w:val="24"/>
          <w:lang w:val="da-DK"/>
        </w:rPr>
        <w:t>&gt; 10 000 gange større selektivitet for dette enzym end for DPP-8 eller DPP-9.</w:t>
      </w:r>
    </w:p>
    <w:p w14:paraId="36A011EC" w14:textId="77777777" w:rsidR="00DC6CAA" w:rsidRDefault="00DC6CAA" w:rsidP="000945FA">
      <w:pPr>
        <w:pStyle w:val="Brdtekst"/>
        <w:ind w:left="851" w:right="32"/>
        <w:rPr>
          <w:sz w:val="24"/>
          <w:szCs w:val="24"/>
          <w:lang w:val="da-DK"/>
        </w:rPr>
      </w:pPr>
    </w:p>
    <w:p w14:paraId="35DC494D" w14:textId="77777777" w:rsidR="00DC6CAA" w:rsidRDefault="00DC6CAA" w:rsidP="000945FA">
      <w:pPr>
        <w:ind w:left="851" w:right="32"/>
        <w:rPr>
          <w:i/>
          <w:sz w:val="24"/>
          <w:szCs w:val="24"/>
        </w:rPr>
      </w:pPr>
      <w:r>
        <w:rPr>
          <w:i/>
          <w:sz w:val="24"/>
          <w:szCs w:val="24"/>
          <w:u w:val="single"/>
        </w:rPr>
        <w:t>Metformin</w:t>
      </w:r>
    </w:p>
    <w:p w14:paraId="5EF4DC26" w14:textId="77777777" w:rsidR="00DC6CAA" w:rsidRDefault="00DC6CAA" w:rsidP="000945FA">
      <w:pPr>
        <w:ind w:left="851" w:right="32"/>
        <w:rPr>
          <w:i/>
          <w:sz w:val="24"/>
          <w:szCs w:val="24"/>
        </w:rPr>
      </w:pPr>
      <w:r>
        <w:rPr>
          <w:i/>
          <w:sz w:val="24"/>
          <w:szCs w:val="24"/>
        </w:rPr>
        <w:t>Virkningsmekanisme</w:t>
      </w:r>
    </w:p>
    <w:p w14:paraId="72AE7B16" w14:textId="77777777" w:rsidR="00DC6CAA" w:rsidRDefault="00DC6CAA" w:rsidP="000945FA">
      <w:pPr>
        <w:pStyle w:val="Brdtekst"/>
        <w:ind w:left="851" w:right="32"/>
        <w:rPr>
          <w:sz w:val="24"/>
          <w:szCs w:val="24"/>
          <w:lang w:val="da-DK"/>
        </w:rPr>
      </w:pPr>
      <w:r>
        <w:rPr>
          <w:sz w:val="24"/>
          <w:szCs w:val="24"/>
          <w:lang w:val="da-DK"/>
        </w:rPr>
        <w:t>Metforminhydrochlorid er et biguanid med antihyperglykæmiske virkninger, som nedsætter både basal og postprandial plasmaglucose. Det stimulerer ikke insulinsekretionen og medfører derfor ikke hypoglykæmi.</w:t>
      </w:r>
    </w:p>
    <w:p w14:paraId="2AB500AA" w14:textId="77777777" w:rsidR="00DC6CAA" w:rsidRDefault="00DC6CAA" w:rsidP="000945FA">
      <w:pPr>
        <w:pStyle w:val="Brdtekst"/>
        <w:ind w:left="851" w:right="32"/>
        <w:rPr>
          <w:sz w:val="24"/>
          <w:szCs w:val="24"/>
          <w:lang w:val="da-DK"/>
        </w:rPr>
      </w:pPr>
    </w:p>
    <w:p w14:paraId="7CE75564" w14:textId="77777777" w:rsidR="00DC6CAA" w:rsidRDefault="00DC6CAA" w:rsidP="000945FA">
      <w:pPr>
        <w:pStyle w:val="Brdtekst"/>
        <w:ind w:left="851" w:right="32"/>
        <w:rPr>
          <w:sz w:val="24"/>
          <w:szCs w:val="24"/>
          <w:lang w:val="da-DK"/>
        </w:rPr>
      </w:pPr>
      <w:r>
        <w:rPr>
          <w:sz w:val="24"/>
          <w:szCs w:val="24"/>
          <w:lang w:val="da-DK"/>
        </w:rPr>
        <w:t>Metforminhydrochlorid kan virke via tre mekanismer:</w:t>
      </w:r>
    </w:p>
    <w:p w14:paraId="51C3E326" w14:textId="77777777" w:rsidR="00DC6CAA" w:rsidRDefault="00DC6CAA" w:rsidP="000945FA">
      <w:pPr>
        <w:pStyle w:val="Brdtekst"/>
        <w:ind w:left="851" w:right="32"/>
        <w:rPr>
          <w:sz w:val="24"/>
          <w:szCs w:val="24"/>
          <w:lang w:val="da-DK"/>
        </w:rPr>
      </w:pPr>
    </w:p>
    <w:p w14:paraId="62EE1287" w14:textId="77777777" w:rsidR="00DC6CAA" w:rsidRDefault="00DC6CAA" w:rsidP="000945FA">
      <w:pPr>
        <w:pStyle w:val="Listeafsnit"/>
        <w:numPr>
          <w:ilvl w:val="0"/>
          <w:numId w:val="8"/>
        </w:numPr>
        <w:spacing w:line="240" w:lineRule="auto"/>
        <w:ind w:left="1276" w:right="32" w:hanging="425"/>
        <w:rPr>
          <w:sz w:val="24"/>
          <w:szCs w:val="24"/>
          <w:lang w:val="da-DK"/>
        </w:rPr>
      </w:pPr>
      <w:r>
        <w:rPr>
          <w:sz w:val="24"/>
          <w:szCs w:val="24"/>
          <w:lang w:val="da-DK"/>
        </w:rPr>
        <w:t>reduktion af hepatisk glucoseproduktion gennem hæmning af glukoneogenese og</w:t>
      </w:r>
      <w:r>
        <w:rPr>
          <w:spacing w:val="-29"/>
          <w:sz w:val="24"/>
          <w:szCs w:val="24"/>
          <w:lang w:val="da-DK"/>
        </w:rPr>
        <w:t xml:space="preserve"> </w:t>
      </w:r>
      <w:r>
        <w:rPr>
          <w:sz w:val="24"/>
          <w:szCs w:val="24"/>
          <w:lang w:val="da-DK"/>
        </w:rPr>
        <w:t>glycogenolyse</w:t>
      </w:r>
    </w:p>
    <w:p w14:paraId="6249AA32" w14:textId="77777777" w:rsidR="00DC6CAA" w:rsidRDefault="00DC6CAA" w:rsidP="000945FA">
      <w:pPr>
        <w:pStyle w:val="Listeafsnit"/>
        <w:numPr>
          <w:ilvl w:val="0"/>
          <w:numId w:val="8"/>
        </w:numPr>
        <w:spacing w:line="240" w:lineRule="auto"/>
        <w:ind w:left="1276" w:right="32" w:hanging="425"/>
        <w:rPr>
          <w:sz w:val="24"/>
          <w:szCs w:val="24"/>
          <w:lang w:val="da-DK"/>
        </w:rPr>
      </w:pPr>
      <w:r>
        <w:rPr>
          <w:sz w:val="24"/>
          <w:szCs w:val="24"/>
          <w:lang w:val="da-DK"/>
        </w:rPr>
        <w:t>i musklerne, ved øgning af insulinfølsomheden, ved forbedring af den perifere glucoseoptagelse og udnyttelse af</w:t>
      </w:r>
      <w:r>
        <w:rPr>
          <w:spacing w:val="-3"/>
          <w:sz w:val="24"/>
          <w:szCs w:val="24"/>
          <w:lang w:val="da-DK"/>
        </w:rPr>
        <w:t xml:space="preserve"> </w:t>
      </w:r>
      <w:r>
        <w:rPr>
          <w:sz w:val="24"/>
          <w:szCs w:val="24"/>
          <w:lang w:val="da-DK"/>
        </w:rPr>
        <w:t>glucose</w:t>
      </w:r>
    </w:p>
    <w:p w14:paraId="3F13223F" w14:textId="77777777" w:rsidR="00DC6CAA" w:rsidRDefault="00DC6CAA" w:rsidP="000945FA">
      <w:pPr>
        <w:pStyle w:val="Listeafsnit"/>
        <w:numPr>
          <w:ilvl w:val="0"/>
          <w:numId w:val="8"/>
        </w:numPr>
        <w:spacing w:line="240" w:lineRule="auto"/>
        <w:ind w:left="1276" w:right="32" w:hanging="425"/>
        <w:rPr>
          <w:sz w:val="24"/>
          <w:szCs w:val="24"/>
          <w:lang w:val="da-DK"/>
        </w:rPr>
      </w:pPr>
      <w:r>
        <w:rPr>
          <w:sz w:val="24"/>
          <w:szCs w:val="24"/>
          <w:lang w:val="da-DK"/>
        </w:rPr>
        <w:t>og forsinkelse af den intestinale</w:t>
      </w:r>
      <w:r>
        <w:rPr>
          <w:spacing w:val="-7"/>
          <w:sz w:val="24"/>
          <w:szCs w:val="24"/>
          <w:lang w:val="da-DK"/>
        </w:rPr>
        <w:t xml:space="preserve"> </w:t>
      </w:r>
      <w:r>
        <w:rPr>
          <w:sz w:val="24"/>
          <w:szCs w:val="24"/>
          <w:lang w:val="da-DK"/>
        </w:rPr>
        <w:t>glucoseabsorption.</w:t>
      </w:r>
    </w:p>
    <w:p w14:paraId="5C159BCF" w14:textId="77777777" w:rsidR="00DC6CAA" w:rsidRDefault="00DC6CAA" w:rsidP="000945FA">
      <w:pPr>
        <w:pStyle w:val="Brdtekst"/>
        <w:ind w:left="851" w:right="32"/>
        <w:rPr>
          <w:sz w:val="24"/>
          <w:szCs w:val="24"/>
          <w:lang w:val="da-DK"/>
        </w:rPr>
      </w:pPr>
    </w:p>
    <w:p w14:paraId="440734A2" w14:textId="77777777" w:rsidR="00DC6CAA" w:rsidRDefault="00DC6CAA" w:rsidP="000945FA">
      <w:pPr>
        <w:pStyle w:val="Brdtekst"/>
        <w:ind w:left="851" w:right="32"/>
        <w:rPr>
          <w:sz w:val="24"/>
          <w:szCs w:val="24"/>
          <w:lang w:val="da-DK"/>
        </w:rPr>
      </w:pPr>
      <w:r>
        <w:rPr>
          <w:sz w:val="24"/>
          <w:szCs w:val="24"/>
          <w:lang w:val="da-DK"/>
        </w:rPr>
        <w:t xml:space="preserve">Metforminhydrochlorid stimulerer intracellulær glykogensyntese ved at indvirke på </w:t>
      </w:r>
      <w:r>
        <w:rPr>
          <w:sz w:val="24"/>
          <w:szCs w:val="24"/>
          <w:lang w:val="da-DK"/>
        </w:rPr>
        <w:lastRenderedPageBreak/>
        <w:t>glycogensyntase. Metforminhydrochlorid øger transportkapaciteten for alle typer af membranglucosetransportører (GLUT’er), der kendes til dato.</w:t>
      </w:r>
    </w:p>
    <w:p w14:paraId="637AFBEC" w14:textId="77777777" w:rsidR="00DC6CAA" w:rsidRDefault="00DC6CAA" w:rsidP="000945FA">
      <w:pPr>
        <w:pStyle w:val="Brdtekst"/>
        <w:ind w:left="851" w:right="32"/>
        <w:rPr>
          <w:sz w:val="24"/>
          <w:szCs w:val="24"/>
          <w:lang w:val="da-DK"/>
        </w:rPr>
      </w:pPr>
    </w:p>
    <w:p w14:paraId="001F7B1C" w14:textId="77777777" w:rsidR="00DC6CAA" w:rsidRDefault="00DC6CAA" w:rsidP="000945FA">
      <w:pPr>
        <w:pStyle w:val="Brdtekst"/>
        <w:ind w:left="851" w:right="32"/>
        <w:rPr>
          <w:sz w:val="24"/>
          <w:szCs w:val="24"/>
          <w:lang w:val="da-DK"/>
        </w:rPr>
      </w:pPr>
      <w:r>
        <w:rPr>
          <w:sz w:val="24"/>
          <w:szCs w:val="24"/>
          <w:lang w:val="da-DK"/>
        </w:rPr>
        <w:t>Hos mennesker har metforminhydrochlorid en gunstig indvirkning på lipidmetabolismen, uafhængigt af dets indvirkning på glykæmi. Dette er påvist ved terapeutiske doser i kontrollerede, mellemlange eller langvarige kliniske studier: Metforminhydrochlorid reducerer totalkolesterol, LDL-kolesterol og triglyceridniveauerne.</w:t>
      </w:r>
    </w:p>
    <w:p w14:paraId="52C283A3" w14:textId="77777777" w:rsidR="00DC6CAA" w:rsidRDefault="00DC6CAA" w:rsidP="000945FA">
      <w:pPr>
        <w:pStyle w:val="Brdtekst"/>
        <w:ind w:left="851" w:right="32"/>
        <w:rPr>
          <w:sz w:val="24"/>
          <w:szCs w:val="24"/>
          <w:lang w:val="da-DK"/>
        </w:rPr>
      </w:pPr>
    </w:p>
    <w:p w14:paraId="0B40F357" w14:textId="77777777" w:rsidR="00DC6CAA" w:rsidRDefault="00DC6CAA" w:rsidP="000945FA">
      <w:pPr>
        <w:ind w:left="851" w:right="32"/>
        <w:rPr>
          <w:i/>
          <w:sz w:val="24"/>
          <w:szCs w:val="24"/>
        </w:rPr>
      </w:pPr>
      <w:r>
        <w:rPr>
          <w:i/>
          <w:sz w:val="24"/>
          <w:szCs w:val="24"/>
        </w:rPr>
        <w:t>Klinisk virkning og sikkerhed</w:t>
      </w:r>
    </w:p>
    <w:p w14:paraId="55C3FA6A" w14:textId="77777777" w:rsidR="00DC6CAA" w:rsidRDefault="00DC6CAA" w:rsidP="000945FA">
      <w:pPr>
        <w:pStyle w:val="Brdtekst"/>
        <w:ind w:left="851" w:right="32"/>
        <w:rPr>
          <w:i/>
          <w:sz w:val="24"/>
          <w:szCs w:val="24"/>
          <w:lang w:val="da-DK"/>
        </w:rPr>
      </w:pPr>
    </w:p>
    <w:p w14:paraId="5A6A9BFC" w14:textId="77777777" w:rsidR="00DC6CAA" w:rsidRDefault="00DC6CAA" w:rsidP="000945FA">
      <w:pPr>
        <w:ind w:left="851" w:right="32"/>
        <w:rPr>
          <w:i/>
          <w:sz w:val="24"/>
          <w:szCs w:val="24"/>
          <w:u w:val="single"/>
        </w:rPr>
      </w:pPr>
      <w:r>
        <w:rPr>
          <w:i/>
          <w:sz w:val="24"/>
          <w:szCs w:val="24"/>
          <w:u w:val="single"/>
        </w:rPr>
        <w:t>Linagliptin som tillæg til metforminbehandling</w:t>
      </w:r>
    </w:p>
    <w:p w14:paraId="46EEE677" w14:textId="77777777" w:rsidR="00DC6CAA" w:rsidRPr="00312252" w:rsidRDefault="00DC6CAA" w:rsidP="00312252">
      <w:pPr>
        <w:ind w:left="851"/>
        <w:rPr>
          <w:sz w:val="24"/>
          <w:szCs w:val="24"/>
        </w:rPr>
      </w:pPr>
      <w:r w:rsidRPr="00312252">
        <w:rPr>
          <w:sz w:val="24"/>
          <w:szCs w:val="24"/>
        </w:rPr>
        <w:t xml:space="preserve">I et 24-ugers dobbeltblindet, placebokontrolleret studie blev virkning og sikkerhed af linagliptin i kombination med metformin undersøgt hos patienter i metformin-monoterapi med utilstrækkelig glykæmisk kontrol. Linagliptin som tillæg til metformin medførte signifikant forbedring i HbA1c (ændring på -0,64 % sammenlignet med placebo) i forhold til et gennemsnitligt </w:t>
      </w:r>
      <w:r w:rsidRPr="00312252">
        <w:rPr>
          <w:i/>
          <w:sz w:val="24"/>
          <w:szCs w:val="24"/>
        </w:rPr>
        <w:t>baseline</w:t>
      </w:r>
      <w:r w:rsidRPr="00312252">
        <w:rPr>
          <w:sz w:val="24"/>
          <w:szCs w:val="24"/>
        </w:rPr>
        <w:t>-HbA</w:t>
      </w:r>
      <w:r w:rsidRPr="00312252">
        <w:rPr>
          <w:sz w:val="24"/>
          <w:szCs w:val="24"/>
          <w:vertAlign w:val="subscript"/>
        </w:rPr>
        <w:t>1c</w:t>
      </w:r>
      <w:r w:rsidRPr="00312252">
        <w:rPr>
          <w:sz w:val="24"/>
          <w:szCs w:val="24"/>
        </w:rPr>
        <w:t xml:space="preserve"> på 8 %. Linagliptin viste sig desuden at medføre signifikant reduktion i faste-plasma-glucose (FPG) på -21,1 mg/dl og 2-timers post-prandialt-glucose (PPG) på -67,1 mg/dl sammenlignet med placebo. Desuden medførte linagliptin, at en større del af patienterne opnåede en mål-HbA</w:t>
      </w:r>
      <w:r w:rsidRPr="00312252">
        <w:rPr>
          <w:sz w:val="24"/>
          <w:szCs w:val="24"/>
          <w:vertAlign w:val="subscript"/>
        </w:rPr>
        <w:t>1c</w:t>
      </w:r>
      <w:r w:rsidRPr="00312252">
        <w:rPr>
          <w:sz w:val="24"/>
          <w:szCs w:val="24"/>
        </w:rPr>
        <w:t xml:space="preserve"> på &lt; 7,0 % (28,3 % på linagliptin </w:t>
      </w:r>
      <w:r w:rsidRPr="00C40540">
        <w:rPr>
          <w:i/>
          <w:sz w:val="24"/>
          <w:szCs w:val="24"/>
        </w:rPr>
        <w:t>vs</w:t>
      </w:r>
      <w:r w:rsidRPr="00312252">
        <w:rPr>
          <w:sz w:val="24"/>
          <w:szCs w:val="24"/>
        </w:rPr>
        <w:t xml:space="preserve"> 11,4 % på placebo). Den observerede forekomst af hypoglykæmi hos patienter behandlet med linagliptin svarede til forekomsten ved placebo. Kropsvægten varierede ikke signifikant grupperne imellem.</w:t>
      </w:r>
    </w:p>
    <w:p w14:paraId="560C4DDA" w14:textId="77777777" w:rsidR="00DC6CAA" w:rsidRPr="00312252" w:rsidRDefault="00DC6CAA" w:rsidP="00312252">
      <w:pPr>
        <w:ind w:left="851"/>
        <w:rPr>
          <w:sz w:val="24"/>
          <w:szCs w:val="24"/>
        </w:rPr>
      </w:pPr>
    </w:p>
    <w:p w14:paraId="3113903E" w14:textId="76DA87A5" w:rsidR="00DC6CAA" w:rsidRPr="00312252" w:rsidRDefault="00DC6CAA" w:rsidP="00312252">
      <w:pPr>
        <w:ind w:left="851"/>
        <w:rPr>
          <w:sz w:val="24"/>
          <w:szCs w:val="24"/>
        </w:rPr>
      </w:pPr>
      <w:r w:rsidRPr="00312252">
        <w:rPr>
          <w:sz w:val="24"/>
          <w:szCs w:val="24"/>
        </w:rPr>
        <w:t>I et 24-ugers placebokontrolleret, faktorielt studie af initialbehandling gav linagliptin 2,5</w:t>
      </w:r>
      <w:r w:rsidR="00312252">
        <w:rPr>
          <w:sz w:val="24"/>
          <w:szCs w:val="24"/>
        </w:rPr>
        <w:t> </w:t>
      </w:r>
      <w:r w:rsidRPr="00312252">
        <w:rPr>
          <w:sz w:val="24"/>
          <w:szCs w:val="24"/>
        </w:rPr>
        <w:t>mg 2 gange dagligt i kombination med metformin (500 mg eller 1 000 mg 2 gange dagligt) en signifikant forbedring af glykæmiske parametre sammenlignet med begge former for monoterapi, jf. tabel 3 (gennemsnitligt baseline-HbA1c 8,65 %).</w:t>
      </w:r>
    </w:p>
    <w:p w14:paraId="56917184" w14:textId="77777777" w:rsidR="00DC6CAA" w:rsidRPr="00312252" w:rsidRDefault="00DC6CAA" w:rsidP="00312252">
      <w:pPr>
        <w:ind w:left="851"/>
        <w:rPr>
          <w:sz w:val="24"/>
          <w:szCs w:val="24"/>
        </w:rPr>
      </w:pPr>
    </w:p>
    <w:p w14:paraId="24BCAA60" w14:textId="704EBD72" w:rsidR="00DC6CAA" w:rsidRDefault="00DC6CAA" w:rsidP="000945FA">
      <w:pPr>
        <w:pStyle w:val="Brdtekst"/>
        <w:tabs>
          <w:tab w:val="left" w:pos="1351"/>
        </w:tabs>
        <w:ind w:left="851" w:right="32"/>
        <w:rPr>
          <w:sz w:val="24"/>
          <w:szCs w:val="24"/>
          <w:lang w:val="da-DK"/>
        </w:rPr>
      </w:pPr>
      <w:r>
        <w:rPr>
          <w:sz w:val="24"/>
          <w:szCs w:val="24"/>
          <w:lang w:val="da-DK"/>
        </w:rPr>
        <w:t>Tabel 3:</w:t>
      </w:r>
      <w:r w:rsidR="00312252">
        <w:rPr>
          <w:sz w:val="24"/>
          <w:szCs w:val="24"/>
          <w:lang w:val="da-DK"/>
        </w:rPr>
        <w:t xml:space="preserve"> </w:t>
      </w:r>
      <w:r>
        <w:rPr>
          <w:sz w:val="24"/>
          <w:szCs w:val="24"/>
          <w:lang w:val="da-DK"/>
        </w:rPr>
        <w:t>Glykæmiske parametre ved afsluttende besøg (24-ugers studie) for linagliptin og metformin, alene og i kombination, hos patienter, der har type 2-diabetes mellitus og er utilstrækkeligt kontrolleret på diæt og motion.</w:t>
      </w:r>
    </w:p>
    <w:p w14:paraId="74E0DB0C" w14:textId="77777777" w:rsidR="00DC6CAA" w:rsidRDefault="00DC6CAA" w:rsidP="000945FA">
      <w:pPr>
        <w:pStyle w:val="Brdtekst"/>
        <w:ind w:left="851"/>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2"/>
        <w:gridCol w:w="1014"/>
        <w:gridCol w:w="1315"/>
        <w:gridCol w:w="1288"/>
        <w:gridCol w:w="1454"/>
        <w:gridCol w:w="1150"/>
        <w:gridCol w:w="1315"/>
      </w:tblGrid>
      <w:tr w:rsidR="00DC6CAA" w14:paraId="0B4C49DD" w14:textId="77777777" w:rsidTr="00C40540">
        <w:trPr>
          <w:trHeight w:val="2277"/>
        </w:trPr>
        <w:tc>
          <w:tcPr>
            <w:tcW w:w="1086" w:type="pct"/>
            <w:tcBorders>
              <w:top w:val="single" w:sz="4" w:space="0" w:color="000000"/>
              <w:left w:val="single" w:sz="4" w:space="0" w:color="000000"/>
              <w:bottom w:val="single" w:sz="4" w:space="0" w:color="000000"/>
              <w:right w:val="single" w:sz="4" w:space="0" w:color="000000"/>
            </w:tcBorders>
          </w:tcPr>
          <w:p w14:paraId="714041B5" w14:textId="77777777" w:rsidR="00DC6CAA" w:rsidRDefault="00DC6CAA">
            <w:pPr>
              <w:pStyle w:val="TableParagraph"/>
              <w:ind w:left="0"/>
              <w:rPr>
                <w:sz w:val="24"/>
                <w:szCs w:val="24"/>
                <w:lang w:val="da-DK"/>
              </w:rPr>
            </w:pPr>
          </w:p>
        </w:tc>
        <w:tc>
          <w:tcPr>
            <w:tcW w:w="526" w:type="pct"/>
            <w:tcBorders>
              <w:top w:val="single" w:sz="4" w:space="0" w:color="000000"/>
              <w:left w:val="single" w:sz="4" w:space="0" w:color="000000"/>
              <w:bottom w:val="single" w:sz="4" w:space="0" w:color="000000"/>
              <w:right w:val="single" w:sz="4" w:space="0" w:color="000000"/>
            </w:tcBorders>
            <w:hideMark/>
          </w:tcPr>
          <w:p w14:paraId="4925C1C0" w14:textId="77777777" w:rsidR="00DC6CAA" w:rsidRDefault="00DC6CAA">
            <w:pPr>
              <w:pStyle w:val="TableParagraph"/>
              <w:ind w:left="105" w:right="172"/>
              <w:rPr>
                <w:b/>
                <w:sz w:val="24"/>
                <w:szCs w:val="24"/>
              </w:rPr>
            </w:pPr>
            <w:r>
              <w:rPr>
                <w:b/>
                <w:sz w:val="24"/>
                <w:szCs w:val="24"/>
              </w:rPr>
              <w:t>Placebo</w:t>
            </w:r>
          </w:p>
        </w:tc>
        <w:tc>
          <w:tcPr>
            <w:tcW w:w="683" w:type="pct"/>
            <w:tcBorders>
              <w:top w:val="single" w:sz="4" w:space="0" w:color="000000"/>
              <w:left w:val="single" w:sz="4" w:space="0" w:color="000000"/>
              <w:bottom w:val="single" w:sz="4" w:space="0" w:color="000000"/>
              <w:right w:val="single" w:sz="4" w:space="0" w:color="000000"/>
            </w:tcBorders>
            <w:hideMark/>
          </w:tcPr>
          <w:p w14:paraId="4886CC79" w14:textId="3BD2F077" w:rsidR="00DC6CAA" w:rsidRDefault="00DC6CAA">
            <w:pPr>
              <w:pStyle w:val="TableParagraph"/>
              <w:ind w:left="108" w:right="170"/>
              <w:rPr>
                <w:b/>
                <w:sz w:val="24"/>
                <w:szCs w:val="24"/>
                <w:lang w:val="da-DK"/>
              </w:rPr>
            </w:pPr>
            <w:r>
              <w:rPr>
                <w:b/>
                <w:sz w:val="24"/>
                <w:szCs w:val="24"/>
                <w:lang w:val="da-DK"/>
              </w:rPr>
              <w:t>Linagliptin 5 mg én gang dagligt</w:t>
            </w:r>
            <w:r>
              <w:rPr>
                <w:b/>
                <w:sz w:val="24"/>
                <w:szCs w:val="24"/>
                <w:vertAlign w:val="superscript"/>
                <w:lang w:val="da-DK"/>
              </w:rPr>
              <w:t>1</w:t>
            </w:r>
          </w:p>
        </w:tc>
        <w:tc>
          <w:tcPr>
            <w:tcW w:w="669" w:type="pct"/>
            <w:tcBorders>
              <w:top w:val="single" w:sz="4" w:space="0" w:color="000000"/>
              <w:left w:val="single" w:sz="4" w:space="0" w:color="000000"/>
              <w:bottom w:val="single" w:sz="4" w:space="0" w:color="000000"/>
              <w:right w:val="single" w:sz="4" w:space="0" w:color="000000"/>
            </w:tcBorders>
            <w:hideMark/>
          </w:tcPr>
          <w:p w14:paraId="765F231B" w14:textId="265FD94D" w:rsidR="00DC6CAA" w:rsidRDefault="00DC6CAA">
            <w:pPr>
              <w:pStyle w:val="TableParagraph"/>
              <w:ind w:left="108" w:right="172"/>
              <w:rPr>
                <w:b/>
                <w:sz w:val="24"/>
                <w:szCs w:val="24"/>
                <w:lang w:val="da-DK"/>
              </w:rPr>
            </w:pPr>
            <w:r>
              <w:rPr>
                <w:b/>
                <w:sz w:val="24"/>
                <w:szCs w:val="24"/>
                <w:lang w:val="da-DK"/>
              </w:rPr>
              <w:t xml:space="preserve">Metformin HCl 500 mg </w:t>
            </w:r>
            <w:r>
              <w:rPr>
                <w:b/>
                <w:spacing w:val="-8"/>
                <w:sz w:val="24"/>
                <w:szCs w:val="24"/>
                <w:lang w:val="da-DK"/>
              </w:rPr>
              <w:t xml:space="preserve">to </w:t>
            </w:r>
            <w:r>
              <w:rPr>
                <w:b/>
                <w:sz w:val="24"/>
                <w:szCs w:val="24"/>
                <w:lang w:val="da-DK"/>
              </w:rPr>
              <w:t>gange dagligt</w:t>
            </w:r>
          </w:p>
        </w:tc>
        <w:tc>
          <w:tcPr>
            <w:tcW w:w="755" w:type="pct"/>
            <w:tcBorders>
              <w:top w:val="single" w:sz="4" w:space="0" w:color="000000"/>
              <w:left w:val="single" w:sz="4" w:space="0" w:color="000000"/>
              <w:bottom w:val="single" w:sz="4" w:space="0" w:color="000000"/>
              <w:right w:val="single" w:sz="4" w:space="0" w:color="000000"/>
            </w:tcBorders>
            <w:hideMark/>
          </w:tcPr>
          <w:p w14:paraId="3AD2CB41" w14:textId="77777777" w:rsidR="00DC6CAA" w:rsidRDefault="00DC6CAA">
            <w:pPr>
              <w:pStyle w:val="TableParagraph"/>
              <w:ind w:left="108" w:right="105"/>
              <w:rPr>
                <w:b/>
                <w:sz w:val="24"/>
                <w:szCs w:val="24"/>
                <w:lang w:val="da-DK"/>
              </w:rPr>
            </w:pPr>
            <w:r>
              <w:rPr>
                <w:b/>
                <w:sz w:val="24"/>
                <w:szCs w:val="24"/>
                <w:lang w:val="da-DK"/>
              </w:rPr>
              <w:t>Linagliptin 2,5 mg to gange dagligt</w:t>
            </w:r>
            <w:r>
              <w:rPr>
                <w:b/>
                <w:sz w:val="24"/>
                <w:szCs w:val="24"/>
                <w:vertAlign w:val="superscript"/>
                <w:lang w:val="da-DK"/>
              </w:rPr>
              <w:t>1</w:t>
            </w:r>
            <w:r>
              <w:rPr>
                <w:b/>
                <w:position w:val="8"/>
                <w:sz w:val="24"/>
                <w:szCs w:val="24"/>
                <w:lang w:val="da-DK"/>
              </w:rPr>
              <w:t xml:space="preserve"> </w:t>
            </w:r>
            <w:r>
              <w:rPr>
                <w:b/>
                <w:sz w:val="24"/>
                <w:szCs w:val="24"/>
                <w:lang w:val="da-DK"/>
              </w:rPr>
              <w:t>+ metformin HCl 500 mg to gange dagligt</w:t>
            </w:r>
          </w:p>
        </w:tc>
        <w:tc>
          <w:tcPr>
            <w:tcW w:w="597" w:type="pct"/>
            <w:tcBorders>
              <w:top w:val="single" w:sz="4" w:space="0" w:color="000000"/>
              <w:left w:val="single" w:sz="4" w:space="0" w:color="000000"/>
              <w:bottom w:val="single" w:sz="4" w:space="0" w:color="000000"/>
              <w:right w:val="single" w:sz="4" w:space="0" w:color="000000"/>
            </w:tcBorders>
            <w:hideMark/>
          </w:tcPr>
          <w:p w14:paraId="43CC4D9C" w14:textId="77777777" w:rsidR="00DC6CAA" w:rsidRDefault="00DC6CAA">
            <w:pPr>
              <w:pStyle w:val="TableParagraph"/>
              <w:ind w:left="108" w:right="117"/>
              <w:rPr>
                <w:b/>
                <w:sz w:val="24"/>
                <w:szCs w:val="24"/>
                <w:lang w:val="da-DK"/>
              </w:rPr>
            </w:pPr>
            <w:r>
              <w:rPr>
                <w:b/>
                <w:spacing w:val="-1"/>
                <w:sz w:val="24"/>
                <w:szCs w:val="24"/>
                <w:lang w:val="da-DK"/>
              </w:rPr>
              <w:t>Metform</w:t>
            </w:r>
            <w:r>
              <w:rPr>
                <w:b/>
                <w:sz w:val="24"/>
                <w:szCs w:val="24"/>
                <w:lang w:val="da-DK"/>
              </w:rPr>
              <w:t>in</w:t>
            </w:r>
            <w:r>
              <w:rPr>
                <w:b/>
                <w:spacing w:val="-2"/>
                <w:sz w:val="24"/>
                <w:szCs w:val="24"/>
                <w:lang w:val="da-DK"/>
              </w:rPr>
              <w:t xml:space="preserve"> </w:t>
            </w:r>
            <w:r>
              <w:rPr>
                <w:b/>
                <w:sz w:val="24"/>
                <w:szCs w:val="24"/>
                <w:lang w:val="da-DK"/>
              </w:rPr>
              <w:t>HCl</w:t>
            </w:r>
          </w:p>
          <w:p w14:paraId="0FCA4114" w14:textId="77777777" w:rsidR="00DC6CAA" w:rsidRDefault="00DC6CAA">
            <w:pPr>
              <w:pStyle w:val="TableParagraph"/>
              <w:ind w:left="108" w:right="118"/>
              <w:rPr>
                <w:b/>
                <w:sz w:val="24"/>
                <w:szCs w:val="24"/>
                <w:lang w:val="da-DK"/>
              </w:rPr>
            </w:pPr>
            <w:r>
              <w:rPr>
                <w:b/>
                <w:sz w:val="24"/>
                <w:szCs w:val="24"/>
                <w:lang w:val="da-DK"/>
              </w:rPr>
              <w:t xml:space="preserve">1 000 </w:t>
            </w:r>
            <w:r>
              <w:rPr>
                <w:b/>
                <w:spacing w:val="-10"/>
                <w:sz w:val="24"/>
                <w:szCs w:val="24"/>
                <w:lang w:val="da-DK"/>
              </w:rPr>
              <w:t xml:space="preserve">mg </w:t>
            </w:r>
            <w:r>
              <w:rPr>
                <w:b/>
                <w:sz w:val="24"/>
                <w:szCs w:val="24"/>
                <w:lang w:val="da-DK"/>
              </w:rPr>
              <w:t>to gange dagligt</w:t>
            </w:r>
          </w:p>
        </w:tc>
        <w:tc>
          <w:tcPr>
            <w:tcW w:w="683" w:type="pct"/>
            <w:tcBorders>
              <w:top w:val="single" w:sz="4" w:space="0" w:color="000000"/>
              <w:left w:val="single" w:sz="4" w:space="0" w:color="000000"/>
              <w:bottom w:val="single" w:sz="4" w:space="0" w:color="000000"/>
              <w:right w:val="single" w:sz="4" w:space="0" w:color="000000"/>
            </w:tcBorders>
            <w:hideMark/>
          </w:tcPr>
          <w:p w14:paraId="5D2F42DA" w14:textId="4620312B" w:rsidR="00DC6CAA" w:rsidRDefault="00DC6CAA">
            <w:pPr>
              <w:pStyle w:val="TableParagraph"/>
              <w:ind w:left="106" w:right="116"/>
              <w:rPr>
                <w:b/>
                <w:sz w:val="24"/>
                <w:szCs w:val="24"/>
                <w:lang w:val="da-DK"/>
              </w:rPr>
            </w:pPr>
            <w:r>
              <w:rPr>
                <w:b/>
                <w:sz w:val="24"/>
                <w:szCs w:val="24"/>
                <w:lang w:val="da-DK"/>
              </w:rPr>
              <w:t>Linagliptin 2,5 mg to gange dagligt</w:t>
            </w:r>
            <w:r>
              <w:rPr>
                <w:b/>
                <w:sz w:val="24"/>
                <w:szCs w:val="24"/>
                <w:vertAlign w:val="superscript"/>
                <w:lang w:val="da-DK"/>
              </w:rPr>
              <w:t>1</w:t>
            </w:r>
            <w:r>
              <w:rPr>
                <w:b/>
                <w:position w:val="8"/>
                <w:sz w:val="24"/>
                <w:szCs w:val="24"/>
                <w:lang w:val="da-DK"/>
              </w:rPr>
              <w:t xml:space="preserve"> </w:t>
            </w:r>
            <w:r>
              <w:rPr>
                <w:b/>
                <w:sz w:val="24"/>
                <w:szCs w:val="24"/>
                <w:lang w:val="da-DK"/>
              </w:rPr>
              <w:t xml:space="preserve">+ </w:t>
            </w:r>
            <w:r>
              <w:rPr>
                <w:b/>
                <w:spacing w:val="-1"/>
                <w:sz w:val="24"/>
                <w:szCs w:val="24"/>
                <w:lang w:val="da-DK"/>
              </w:rPr>
              <w:t xml:space="preserve">metformin </w:t>
            </w:r>
            <w:r>
              <w:rPr>
                <w:b/>
                <w:sz w:val="24"/>
                <w:szCs w:val="24"/>
                <w:lang w:val="da-DK"/>
              </w:rPr>
              <w:t>HCl</w:t>
            </w:r>
          </w:p>
          <w:p w14:paraId="792493F0" w14:textId="77777777" w:rsidR="00DC6CAA" w:rsidRDefault="00DC6CAA">
            <w:pPr>
              <w:pStyle w:val="TableParagraph"/>
              <w:ind w:left="106" w:right="276"/>
              <w:rPr>
                <w:b/>
                <w:sz w:val="24"/>
                <w:szCs w:val="24"/>
              </w:rPr>
            </w:pPr>
            <w:r>
              <w:rPr>
                <w:b/>
                <w:sz w:val="24"/>
                <w:szCs w:val="24"/>
              </w:rPr>
              <w:t>1 000 mg to gange dagligt</w:t>
            </w:r>
          </w:p>
        </w:tc>
      </w:tr>
      <w:tr w:rsidR="00DC6CAA" w14:paraId="23BFF0E0" w14:textId="77777777" w:rsidTr="00C40540">
        <w:trPr>
          <w:trHeight w:val="249"/>
        </w:trPr>
        <w:tc>
          <w:tcPr>
            <w:tcW w:w="1086" w:type="pct"/>
            <w:tcBorders>
              <w:top w:val="single" w:sz="4" w:space="0" w:color="000000"/>
              <w:left w:val="single" w:sz="4" w:space="0" w:color="000000"/>
              <w:bottom w:val="single" w:sz="4" w:space="0" w:color="000000"/>
              <w:right w:val="single" w:sz="4" w:space="0" w:color="000000"/>
            </w:tcBorders>
            <w:hideMark/>
          </w:tcPr>
          <w:p w14:paraId="08BA5784" w14:textId="77777777" w:rsidR="00DC6CAA" w:rsidRDefault="00DC6CAA">
            <w:pPr>
              <w:pStyle w:val="TableParagraph"/>
              <w:jc w:val="left"/>
              <w:rPr>
                <w:b/>
                <w:sz w:val="24"/>
                <w:szCs w:val="24"/>
              </w:rPr>
            </w:pPr>
            <w:r>
              <w:rPr>
                <w:b/>
                <w:position w:val="2"/>
                <w:sz w:val="24"/>
                <w:szCs w:val="24"/>
              </w:rPr>
              <w:t>HbA</w:t>
            </w:r>
            <w:r>
              <w:rPr>
                <w:b/>
                <w:sz w:val="24"/>
                <w:szCs w:val="24"/>
              </w:rPr>
              <w:t xml:space="preserve">1c </w:t>
            </w:r>
            <w:r>
              <w:rPr>
                <w:b/>
                <w:position w:val="2"/>
                <w:sz w:val="24"/>
                <w:szCs w:val="24"/>
              </w:rPr>
              <w:t>(%)</w:t>
            </w:r>
          </w:p>
        </w:tc>
        <w:tc>
          <w:tcPr>
            <w:tcW w:w="526" w:type="pct"/>
            <w:tcBorders>
              <w:top w:val="single" w:sz="4" w:space="0" w:color="000000"/>
              <w:left w:val="single" w:sz="4" w:space="0" w:color="000000"/>
              <w:bottom w:val="single" w:sz="4" w:space="0" w:color="000000"/>
              <w:right w:val="single" w:sz="4" w:space="0" w:color="000000"/>
            </w:tcBorders>
          </w:tcPr>
          <w:p w14:paraId="6FBC0737" w14:textId="77777777" w:rsidR="00DC6CAA" w:rsidRDefault="00DC6CAA">
            <w:pPr>
              <w:pStyle w:val="TableParagraph"/>
              <w:ind w:left="0"/>
              <w:rPr>
                <w:sz w:val="24"/>
                <w:szCs w:val="24"/>
              </w:rPr>
            </w:pPr>
          </w:p>
        </w:tc>
        <w:tc>
          <w:tcPr>
            <w:tcW w:w="683" w:type="pct"/>
            <w:tcBorders>
              <w:top w:val="single" w:sz="4" w:space="0" w:color="000000"/>
              <w:left w:val="single" w:sz="4" w:space="0" w:color="000000"/>
              <w:bottom w:val="single" w:sz="4" w:space="0" w:color="000000"/>
              <w:right w:val="single" w:sz="4" w:space="0" w:color="000000"/>
            </w:tcBorders>
          </w:tcPr>
          <w:p w14:paraId="1B6DC5E3" w14:textId="77777777" w:rsidR="00DC6CAA" w:rsidRDefault="00DC6CAA">
            <w:pPr>
              <w:pStyle w:val="TableParagraph"/>
              <w:ind w:left="0"/>
              <w:rPr>
                <w:sz w:val="24"/>
                <w:szCs w:val="24"/>
              </w:rPr>
            </w:pPr>
          </w:p>
        </w:tc>
        <w:tc>
          <w:tcPr>
            <w:tcW w:w="669" w:type="pct"/>
            <w:tcBorders>
              <w:top w:val="single" w:sz="4" w:space="0" w:color="000000"/>
              <w:left w:val="single" w:sz="4" w:space="0" w:color="000000"/>
              <w:bottom w:val="single" w:sz="4" w:space="0" w:color="000000"/>
              <w:right w:val="single" w:sz="4" w:space="0" w:color="000000"/>
            </w:tcBorders>
          </w:tcPr>
          <w:p w14:paraId="5D4D6783" w14:textId="77777777" w:rsidR="00DC6CAA" w:rsidRDefault="00DC6CAA">
            <w:pPr>
              <w:pStyle w:val="TableParagraph"/>
              <w:ind w:left="0"/>
              <w:rPr>
                <w:sz w:val="24"/>
                <w:szCs w:val="24"/>
              </w:rPr>
            </w:pPr>
          </w:p>
        </w:tc>
        <w:tc>
          <w:tcPr>
            <w:tcW w:w="755" w:type="pct"/>
            <w:tcBorders>
              <w:top w:val="single" w:sz="4" w:space="0" w:color="000000"/>
              <w:left w:val="single" w:sz="4" w:space="0" w:color="000000"/>
              <w:bottom w:val="single" w:sz="4" w:space="0" w:color="000000"/>
              <w:right w:val="single" w:sz="4" w:space="0" w:color="000000"/>
            </w:tcBorders>
          </w:tcPr>
          <w:p w14:paraId="7D88E274" w14:textId="77777777" w:rsidR="00DC6CAA" w:rsidRDefault="00DC6CAA">
            <w:pPr>
              <w:pStyle w:val="TableParagraph"/>
              <w:ind w:left="0"/>
              <w:rPr>
                <w:sz w:val="24"/>
                <w:szCs w:val="24"/>
              </w:rPr>
            </w:pPr>
          </w:p>
        </w:tc>
        <w:tc>
          <w:tcPr>
            <w:tcW w:w="597" w:type="pct"/>
            <w:tcBorders>
              <w:top w:val="single" w:sz="4" w:space="0" w:color="000000"/>
              <w:left w:val="single" w:sz="4" w:space="0" w:color="000000"/>
              <w:bottom w:val="single" w:sz="4" w:space="0" w:color="000000"/>
              <w:right w:val="single" w:sz="4" w:space="0" w:color="000000"/>
            </w:tcBorders>
          </w:tcPr>
          <w:p w14:paraId="0764827E" w14:textId="77777777" w:rsidR="00DC6CAA" w:rsidRDefault="00DC6CAA">
            <w:pPr>
              <w:pStyle w:val="TableParagraph"/>
              <w:ind w:left="0"/>
              <w:rPr>
                <w:sz w:val="24"/>
                <w:szCs w:val="24"/>
              </w:rPr>
            </w:pPr>
          </w:p>
        </w:tc>
        <w:tc>
          <w:tcPr>
            <w:tcW w:w="683" w:type="pct"/>
            <w:tcBorders>
              <w:top w:val="single" w:sz="4" w:space="0" w:color="000000"/>
              <w:left w:val="single" w:sz="4" w:space="0" w:color="000000"/>
              <w:bottom w:val="single" w:sz="4" w:space="0" w:color="000000"/>
              <w:right w:val="single" w:sz="4" w:space="0" w:color="000000"/>
            </w:tcBorders>
          </w:tcPr>
          <w:p w14:paraId="35EEC31D" w14:textId="77777777" w:rsidR="00DC6CAA" w:rsidRDefault="00DC6CAA">
            <w:pPr>
              <w:pStyle w:val="TableParagraph"/>
              <w:ind w:left="0"/>
              <w:rPr>
                <w:sz w:val="24"/>
                <w:szCs w:val="24"/>
              </w:rPr>
            </w:pPr>
          </w:p>
        </w:tc>
      </w:tr>
      <w:tr w:rsidR="00DC6CAA" w14:paraId="23B68BCD" w14:textId="77777777" w:rsidTr="00C40540">
        <w:trPr>
          <w:trHeight w:val="253"/>
        </w:trPr>
        <w:tc>
          <w:tcPr>
            <w:tcW w:w="1086" w:type="pct"/>
            <w:tcBorders>
              <w:top w:val="single" w:sz="4" w:space="0" w:color="000000"/>
              <w:left w:val="single" w:sz="4" w:space="0" w:color="000000"/>
              <w:bottom w:val="single" w:sz="4" w:space="0" w:color="000000"/>
              <w:right w:val="single" w:sz="4" w:space="0" w:color="000000"/>
            </w:tcBorders>
            <w:hideMark/>
          </w:tcPr>
          <w:p w14:paraId="158883D7" w14:textId="77777777" w:rsidR="00DC6CAA" w:rsidRDefault="00DC6CAA">
            <w:pPr>
              <w:pStyle w:val="TableParagraph"/>
              <w:jc w:val="left"/>
              <w:rPr>
                <w:sz w:val="24"/>
                <w:szCs w:val="24"/>
              </w:rPr>
            </w:pPr>
            <w:r>
              <w:rPr>
                <w:sz w:val="24"/>
                <w:szCs w:val="24"/>
              </w:rPr>
              <w:t>Antal patienter</w:t>
            </w:r>
          </w:p>
        </w:tc>
        <w:tc>
          <w:tcPr>
            <w:tcW w:w="526" w:type="pct"/>
            <w:tcBorders>
              <w:top w:val="single" w:sz="4" w:space="0" w:color="000000"/>
              <w:left w:val="single" w:sz="4" w:space="0" w:color="000000"/>
              <w:bottom w:val="single" w:sz="4" w:space="0" w:color="000000"/>
              <w:right w:val="single" w:sz="4" w:space="0" w:color="000000"/>
            </w:tcBorders>
            <w:hideMark/>
          </w:tcPr>
          <w:p w14:paraId="31368701" w14:textId="77777777" w:rsidR="00DC6CAA" w:rsidRDefault="00DC6CAA">
            <w:pPr>
              <w:pStyle w:val="TableParagraph"/>
              <w:ind w:left="105"/>
              <w:rPr>
                <w:sz w:val="24"/>
                <w:szCs w:val="24"/>
              </w:rPr>
            </w:pPr>
            <w:r>
              <w:rPr>
                <w:sz w:val="24"/>
                <w:szCs w:val="24"/>
              </w:rPr>
              <w:t>n = 65</w:t>
            </w:r>
          </w:p>
        </w:tc>
        <w:tc>
          <w:tcPr>
            <w:tcW w:w="683" w:type="pct"/>
            <w:tcBorders>
              <w:top w:val="single" w:sz="4" w:space="0" w:color="000000"/>
              <w:left w:val="single" w:sz="4" w:space="0" w:color="000000"/>
              <w:bottom w:val="single" w:sz="4" w:space="0" w:color="000000"/>
              <w:right w:val="single" w:sz="4" w:space="0" w:color="000000"/>
            </w:tcBorders>
            <w:hideMark/>
          </w:tcPr>
          <w:p w14:paraId="13E5F82C" w14:textId="77777777" w:rsidR="00DC6CAA" w:rsidRDefault="00DC6CAA">
            <w:pPr>
              <w:pStyle w:val="TableParagraph"/>
              <w:ind w:left="108"/>
              <w:rPr>
                <w:sz w:val="24"/>
                <w:szCs w:val="24"/>
              </w:rPr>
            </w:pPr>
            <w:r>
              <w:rPr>
                <w:sz w:val="24"/>
                <w:szCs w:val="24"/>
              </w:rPr>
              <w:t>n = 135</w:t>
            </w:r>
          </w:p>
        </w:tc>
        <w:tc>
          <w:tcPr>
            <w:tcW w:w="669" w:type="pct"/>
            <w:tcBorders>
              <w:top w:val="single" w:sz="4" w:space="0" w:color="000000"/>
              <w:left w:val="single" w:sz="4" w:space="0" w:color="000000"/>
              <w:bottom w:val="single" w:sz="4" w:space="0" w:color="000000"/>
              <w:right w:val="single" w:sz="4" w:space="0" w:color="000000"/>
            </w:tcBorders>
            <w:hideMark/>
          </w:tcPr>
          <w:p w14:paraId="786E7C68" w14:textId="77777777" w:rsidR="00DC6CAA" w:rsidRDefault="00DC6CAA">
            <w:pPr>
              <w:pStyle w:val="TableParagraph"/>
              <w:ind w:left="108"/>
              <w:rPr>
                <w:sz w:val="24"/>
                <w:szCs w:val="24"/>
              </w:rPr>
            </w:pPr>
            <w:r>
              <w:rPr>
                <w:sz w:val="24"/>
                <w:szCs w:val="24"/>
              </w:rPr>
              <w:t>n = 141</w:t>
            </w:r>
          </w:p>
        </w:tc>
        <w:tc>
          <w:tcPr>
            <w:tcW w:w="755" w:type="pct"/>
            <w:tcBorders>
              <w:top w:val="single" w:sz="4" w:space="0" w:color="000000"/>
              <w:left w:val="single" w:sz="4" w:space="0" w:color="000000"/>
              <w:bottom w:val="single" w:sz="4" w:space="0" w:color="000000"/>
              <w:right w:val="single" w:sz="4" w:space="0" w:color="000000"/>
            </w:tcBorders>
            <w:hideMark/>
          </w:tcPr>
          <w:p w14:paraId="41A7AC79" w14:textId="77777777" w:rsidR="00DC6CAA" w:rsidRDefault="00DC6CAA">
            <w:pPr>
              <w:pStyle w:val="TableParagraph"/>
              <w:ind w:left="108"/>
              <w:rPr>
                <w:sz w:val="24"/>
                <w:szCs w:val="24"/>
              </w:rPr>
            </w:pPr>
            <w:r>
              <w:rPr>
                <w:sz w:val="24"/>
                <w:szCs w:val="24"/>
              </w:rPr>
              <w:t>n = 137</w:t>
            </w:r>
          </w:p>
        </w:tc>
        <w:tc>
          <w:tcPr>
            <w:tcW w:w="597" w:type="pct"/>
            <w:tcBorders>
              <w:top w:val="single" w:sz="4" w:space="0" w:color="000000"/>
              <w:left w:val="single" w:sz="4" w:space="0" w:color="000000"/>
              <w:bottom w:val="single" w:sz="4" w:space="0" w:color="000000"/>
              <w:right w:val="single" w:sz="4" w:space="0" w:color="000000"/>
            </w:tcBorders>
            <w:hideMark/>
          </w:tcPr>
          <w:p w14:paraId="58908030" w14:textId="77777777" w:rsidR="00DC6CAA" w:rsidRDefault="00DC6CAA">
            <w:pPr>
              <w:pStyle w:val="TableParagraph"/>
              <w:ind w:left="108"/>
              <w:rPr>
                <w:sz w:val="24"/>
                <w:szCs w:val="24"/>
              </w:rPr>
            </w:pPr>
            <w:r>
              <w:rPr>
                <w:sz w:val="24"/>
                <w:szCs w:val="24"/>
              </w:rPr>
              <w:t>n = 138</w:t>
            </w:r>
          </w:p>
        </w:tc>
        <w:tc>
          <w:tcPr>
            <w:tcW w:w="683" w:type="pct"/>
            <w:tcBorders>
              <w:top w:val="single" w:sz="4" w:space="0" w:color="000000"/>
              <w:left w:val="single" w:sz="4" w:space="0" w:color="000000"/>
              <w:bottom w:val="single" w:sz="4" w:space="0" w:color="000000"/>
              <w:right w:val="single" w:sz="4" w:space="0" w:color="000000"/>
            </w:tcBorders>
            <w:hideMark/>
          </w:tcPr>
          <w:p w14:paraId="3A92904C" w14:textId="77777777" w:rsidR="00DC6CAA" w:rsidRDefault="00DC6CAA">
            <w:pPr>
              <w:pStyle w:val="TableParagraph"/>
              <w:ind w:left="106"/>
              <w:rPr>
                <w:sz w:val="24"/>
                <w:szCs w:val="24"/>
              </w:rPr>
            </w:pPr>
            <w:r>
              <w:rPr>
                <w:sz w:val="24"/>
                <w:szCs w:val="24"/>
              </w:rPr>
              <w:t>n = 140</w:t>
            </w:r>
          </w:p>
        </w:tc>
      </w:tr>
      <w:tr w:rsidR="00DC6CAA" w14:paraId="4357A12F" w14:textId="77777777" w:rsidTr="00C40540">
        <w:trPr>
          <w:trHeight w:val="506"/>
        </w:trPr>
        <w:tc>
          <w:tcPr>
            <w:tcW w:w="1086" w:type="pct"/>
            <w:tcBorders>
              <w:top w:val="single" w:sz="4" w:space="0" w:color="000000"/>
              <w:left w:val="single" w:sz="4" w:space="0" w:color="000000"/>
              <w:bottom w:val="single" w:sz="4" w:space="0" w:color="000000"/>
              <w:right w:val="single" w:sz="4" w:space="0" w:color="000000"/>
            </w:tcBorders>
            <w:hideMark/>
          </w:tcPr>
          <w:p w14:paraId="2D1E094C" w14:textId="77777777" w:rsidR="00DC6CAA" w:rsidRDefault="00DC6CAA">
            <w:pPr>
              <w:pStyle w:val="TableParagraph"/>
              <w:jc w:val="left"/>
              <w:rPr>
                <w:i/>
                <w:sz w:val="24"/>
                <w:szCs w:val="24"/>
              </w:rPr>
            </w:pPr>
            <w:r>
              <w:rPr>
                <w:i/>
                <w:sz w:val="24"/>
                <w:szCs w:val="24"/>
              </w:rPr>
              <w:t>Baseline</w:t>
            </w:r>
          </w:p>
          <w:p w14:paraId="74576992" w14:textId="77777777" w:rsidR="00DC6CAA" w:rsidRDefault="00DC6CAA">
            <w:pPr>
              <w:pStyle w:val="TableParagraph"/>
              <w:jc w:val="left"/>
              <w:rPr>
                <w:sz w:val="24"/>
                <w:szCs w:val="24"/>
              </w:rPr>
            </w:pPr>
            <w:r>
              <w:rPr>
                <w:sz w:val="24"/>
                <w:szCs w:val="24"/>
              </w:rPr>
              <w:t>(gennemsnit)</w:t>
            </w:r>
          </w:p>
        </w:tc>
        <w:tc>
          <w:tcPr>
            <w:tcW w:w="526" w:type="pct"/>
            <w:tcBorders>
              <w:top w:val="single" w:sz="4" w:space="0" w:color="000000"/>
              <w:left w:val="single" w:sz="4" w:space="0" w:color="000000"/>
              <w:bottom w:val="single" w:sz="4" w:space="0" w:color="000000"/>
              <w:right w:val="single" w:sz="4" w:space="0" w:color="000000"/>
            </w:tcBorders>
            <w:hideMark/>
          </w:tcPr>
          <w:p w14:paraId="5879F262" w14:textId="77777777" w:rsidR="00DC6CAA" w:rsidRDefault="00DC6CAA">
            <w:pPr>
              <w:pStyle w:val="TableParagraph"/>
              <w:ind w:left="105"/>
              <w:rPr>
                <w:sz w:val="24"/>
                <w:szCs w:val="24"/>
              </w:rPr>
            </w:pPr>
            <w:r>
              <w:rPr>
                <w:sz w:val="24"/>
                <w:szCs w:val="24"/>
              </w:rPr>
              <w:t>8,7</w:t>
            </w:r>
          </w:p>
        </w:tc>
        <w:tc>
          <w:tcPr>
            <w:tcW w:w="683" w:type="pct"/>
            <w:tcBorders>
              <w:top w:val="single" w:sz="4" w:space="0" w:color="000000"/>
              <w:left w:val="single" w:sz="4" w:space="0" w:color="000000"/>
              <w:bottom w:val="single" w:sz="4" w:space="0" w:color="000000"/>
              <w:right w:val="single" w:sz="4" w:space="0" w:color="000000"/>
            </w:tcBorders>
            <w:hideMark/>
          </w:tcPr>
          <w:p w14:paraId="59548C9E" w14:textId="77777777" w:rsidR="00DC6CAA" w:rsidRDefault="00DC6CAA">
            <w:pPr>
              <w:pStyle w:val="TableParagraph"/>
              <w:ind w:left="108"/>
              <w:rPr>
                <w:sz w:val="24"/>
                <w:szCs w:val="24"/>
              </w:rPr>
            </w:pPr>
            <w:r>
              <w:rPr>
                <w:sz w:val="24"/>
                <w:szCs w:val="24"/>
              </w:rPr>
              <w:t>8,7</w:t>
            </w:r>
          </w:p>
        </w:tc>
        <w:tc>
          <w:tcPr>
            <w:tcW w:w="669" w:type="pct"/>
            <w:tcBorders>
              <w:top w:val="single" w:sz="4" w:space="0" w:color="000000"/>
              <w:left w:val="single" w:sz="4" w:space="0" w:color="000000"/>
              <w:bottom w:val="single" w:sz="4" w:space="0" w:color="000000"/>
              <w:right w:val="single" w:sz="4" w:space="0" w:color="000000"/>
            </w:tcBorders>
            <w:hideMark/>
          </w:tcPr>
          <w:p w14:paraId="1BA35C46" w14:textId="77777777" w:rsidR="00DC6CAA" w:rsidRDefault="00DC6CAA">
            <w:pPr>
              <w:pStyle w:val="TableParagraph"/>
              <w:ind w:left="108"/>
              <w:rPr>
                <w:sz w:val="24"/>
                <w:szCs w:val="24"/>
              </w:rPr>
            </w:pPr>
            <w:r>
              <w:rPr>
                <w:sz w:val="24"/>
                <w:szCs w:val="24"/>
              </w:rPr>
              <w:t>8,7</w:t>
            </w:r>
          </w:p>
        </w:tc>
        <w:tc>
          <w:tcPr>
            <w:tcW w:w="755" w:type="pct"/>
            <w:tcBorders>
              <w:top w:val="single" w:sz="4" w:space="0" w:color="000000"/>
              <w:left w:val="single" w:sz="4" w:space="0" w:color="000000"/>
              <w:bottom w:val="single" w:sz="4" w:space="0" w:color="000000"/>
              <w:right w:val="single" w:sz="4" w:space="0" w:color="000000"/>
            </w:tcBorders>
            <w:hideMark/>
          </w:tcPr>
          <w:p w14:paraId="651798DB" w14:textId="77777777" w:rsidR="00DC6CAA" w:rsidRDefault="00DC6CAA">
            <w:pPr>
              <w:pStyle w:val="TableParagraph"/>
              <w:ind w:left="108"/>
              <w:rPr>
                <w:sz w:val="24"/>
                <w:szCs w:val="24"/>
              </w:rPr>
            </w:pPr>
            <w:r>
              <w:rPr>
                <w:sz w:val="24"/>
                <w:szCs w:val="24"/>
              </w:rPr>
              <w:t>8,7</w:t>
            </w:r>
          </w:p>
        </w:tc>
        <w:tc>
          <w:tcPr>
            <w:tcW w:w="597" w:type="pct"/>
            <w:tcBorders>
              <w:top w:val="single" w:sz="4" w:space="0" w:color="000000"/>
              <w:left w:val="single" w:sz="4" w:space="0" w:color="000000"/>
              <w:bottom w:val="single" w:sz="4" w:space="0" w:color="000000"/>
              <w:right w:val="single" w:sz="4" w:space="0" w:color="000000"/>
            </w:tcBorders>
            <w:hideMark/>
          </w:tcPr>
          <w:p w14:paraId="555008F0" w14:textId="77777777" w:rsidR="00DC6CAA" w:rsidRDefault="00DC6CAA">
            <w:pPr>
              <w:pStyle w:val="TableParagraph"/>
              <w:ind w:left="108"/>
              <w:rPr>
                <w:sz w:val="24"/>
                <w:szCs w:val="24"/>
              </w:rPr>
            </w:pPr>
            <w:r>
              <w:rPr>
                <w:sz w:val="24"/>
                <w:szCs w:val="24"/>
              </w:rPr>
              <w:t>8,5</w:t>
            </w:r>
          </w:p>
        </w:tc>
        <w:tc>
          <w:tcPr>
            <w:tcW w:w="683" w:type="pct"/>
            <w:tcBorders>
              <w:top w:val="single" w:sz="4" w:space="0" w:color="000000"/>
              <w:left w:val="single" w:sz="4" w:space="0" w:color="000000"/>
              <w:bottom w:val="single" w:sz="4" w:space="0" w:color="000000"/>
              <w:right w:val="single" w:sz="4" w:space="0" w:color="000000"/>
            </w:tcBorders>
            <w:hideMark/>
          </w:tcPr>
          <w:p w14:paraId="7A73B0EE" w14:textId="77777777" w:rsidR="00DC6CAA" w:rsidRDefault="00DC6CAA">
            <w:pPr>
              <w:pStyle w:val="TableParagraph"/>
              <w:ind w:left="106"/>
              <w:rPr>
                <w:sz w:val="24"/>
                <w:szCs w:val="24"/>
              </w:rPr>
            </w:pPr>
            <w:r>
              <w:rPr>
                <w:sz w:val="24"/>
                <w:szCs w:val="24"/>
              </w:rPr>
              <w:t>8,7</w:t>
            </w:r>
          </w:p>
        </w:tc>
      </w:tr>
      <w:tr w:rsidR="00DC6CAA" w14:paraId="4CE1EED4" w14:textId="77777777" w:rsidTr="00C40540">
        <w:trPr>
          <w:trHeight w:val="757"/>
        </w:trPr>
        <w:tc>
          <w:tcPr>
            <w:tcW w:w="1086" w:type="pct"/>
            <w:tcBorders>
              <w:top w:val="single" w:sz="4" w:space="0" w:color="000000"/>
              <w:left w:val="single" w:sz="4" w:space="0" w:color="000000"/>
              <w:bottom w:val="single" w:sz="4" w:space="0" w:color="000000"/>
              <w:right w:val="single" w:sz="4" w:space="0" w:color="000000"/>
            </w:tcBorders>
            <w:hideMark/>
          </w:tcPr>
          <w:p w14:paraId="13CF5255" w14:textId="77777777" w:rsidR="00DC6CAA" w:rsidRDefault="00DC6CAA">
            <w:pPr>
              <w:pStyle w:val="TableParagraph"/>
              <w:jc w:val="left"/>
              <w:rPr>
                <w:sz w:val="24"/>
                <w:szCs w:val="24"/>
                <w:lang w:val="da-DK"/>
              </w:rPr>
            </w:pPr>
            <w:r>
              <w:rPr>
                <w:sz w:val="24"/>
                <w:szCs w:val="24"/>
                <w:lang w:val="da-DK"/>
              </w:rPr>
              <w:t>Ændring i forhold</w:t>
            </w:r>
          </w:p>
          <w:p w14:paraId="13963A95" w14:textId="77777777" w:rsidR="00DC6CAA" w:rsidRDefault="00DC6CAA">
            <w:pPr>
              <w:pStyle w:val="TableParagraph"/>
              <w:ind w:right="107"/>
              <w:jc w:val="left"/>
              <w:rPr>
                <w:sz w:val="24"/>
                <w:szCs w:val="24"/>
                <w:lang w:val="da-DK"/>
              </w:rPr>
            </w:pPr>
            <w:r>
              <w:rPr>
                <w:sz w:val="24"/>
                <w:szCs w:val="24"/>
                <w:lang w:val="da-DK"/>
              </w:rPr>
              <w:t xml:space="preserve">til </w:t>
            </w:r>
            <w:r>
              <w:rPr>
                <w:i/>
                <w:sz w:val="24"/>
                <w:szCs w:val="24"/>
                <w:lang w:val="da-DK"/>
              </w:rPr>
              <w:t xml:space="preserve">baseline </w:t>
            </w:r>
            <w:r>
              <w:rPr>
                <w:sz w:val="24"/>
                <w:szCs w:val="24"/>
                <w:lang w:val="da-DK"/>
              </w:rPr>
              <w:t>(justeret gennemsnit)</w:t>
            </w:r>
          </w:p>
        </w:tc>
        <w:tc>
          <w:tcPr>
            <w:tcW w:w="526" w:type="pct"/>
            <w:tcBorders>
              <w:top w:val="single" w:sz="4" w:space="0" w:color="000000"/>
              <w:left w:val="single" w:sz="4" w:space="0" w:color="000000"/>
              <w:bottom w:val="single" w:sz="4" w:space="0" w:color="000000"/>
              <w:right w:val="single" w:sz="4" w:space="0" w:color="000000"/>
            </w:tcBorders>
          </w:tcPr>
          <w:p w14:paraId="05522659" w14:textId="77777777" w:rsidR="00DC6CAA" w:rsidRDefault="00DC6CAA">
            <w:pPr>
              <w:pStyle w:val="TableParagraph"/>
              <w:ind w:left="0"/>
              <w:rPr>
                <w:sz w:val="24"/>
                <w:szCs w:val="24"/>
                <w:lang w:val="da-DK"/>
              </w:rPr>
            </w:pPr>
          </w:p>
          <w:p w14:paraId="3B95CAFF" w14:textId="77777777" w:rsidR="00DC6CAA" w:rsidRDefault="00DC6CAA">
            <w:pPr>
              <w:pStyle w:val="TableParagraph"/>
              <w:ind w:left="105"/>
              <w:rPr>
                <w:sz w:val="24"/>
                <w:szCs w:val="24"/>
              </w:rPr>
            </w:pPr>
            <w:r>
              <w:rPr>
                <w:sz w:val="24"/>
                <w:szCs w:val="24"/>
              </w:rPr>
              <w:t>0,1</w:t>
            </w:r>
          </w:p>
        </w:tc>
        <w:tc>
          <w:tcPr>
            <w:tcW w:w="683" w:type="pct"/>
            <w:tcBorders>
              <w:top w:val="single" w:sz="4" w:space="0" w:color="000000"/>
              <w:left w:val="single" w:sz="4" w:space="0" w:color="000000"/>
              <w:bottom w:val="single" w:sz="4" w:space="0" w:color="000000"/>
              <w:right w:val="single" w:sz="4" w:space="0" w:color="000000"/>
            </w:tcBorders>
          </w:tcPr>
          <w:p w14:paraId="7C9967FB" w14:textId="77777777" w:rsidR="00DC6CAA" w:rsidRDefault="00DC6CAA">
            <w:pPr>
              <w:pStyle w:val="TableParagraph"/>
              <w:ind w:left="0"/>
              <w:rPr>
                <w:sz w:val="24"/>
                <w:szCs w:val="24"/>
              </w:rPr>
            </w:pPr>
          </w:p>
          <w:p w14:paraId="2437161A" w14:textId="77777777" w:rsidR="00DC6CAA" w:rsidRDefault="00DC6CAA">
            <w:pPr>
              <w:pStyle w:val="TableParagraph"/>
              <w:ind w:left="108"/>
              <w:rPr>
                <w:sz w:val="24"/>
                <w:szCs w:val="24"/>
              </w:rPr>
            </w:pPr>
            <w:r>
              <w:rPr>
                <w:sz w:val="24"/>
                <w:szCs w:val="24"/>
              </w:rPr>
              <w:t>-0,5</w:t>
            </w:r>
          </w:p>
        </w:tc>
        <w:tc>
          <w:tcPr>
            <w:tcW w:w="669" w:type="pct"/>
            <w:tcBorders>
              <w:top w:val="single" w:sz="4" w:space="0" w:color="000000"/>
              <w:left w:val="single" w:sz="4" w:space="0" w:color="000000"/>
              <w:bottom w:val="single" w:sz="4" w:space="0" w:color="000000"/>
              <w:right w:val="single" w:sz="4" w:space="0" w:color="000000"/>
            </w:tcBorders>
          </w:tcPr>
          <w:p w14:paraId="7057981E" w14:textId="77777777" w:rsidR="00DC6CAA" w:rsidRDefault="00DC6CAA">
            <w:pPr>
              <w:pStyle w:val="TableParagraph"/>
              <w:ind w:left="0"/>
              <w:rPr>
                <w:sz w:val="24"/>
                <w:szCs w:val="24"/>
              </w:rPr>
            </w:pPr>
          </w:p>
          <w:p w14:paraId="6B73AB56" w14:textId="77777777" w:rsidR="00DC6CAA" w:rsidRDefault="00DC6CAA">
            <w:pPr>
              <w:pStyle w:val="TableParagraph"/>
              <w:ind w:left="108"/>
              <w:rPr>
                <w:sz w:val="24"/>
                <w:szCs w:val="24"/>
              </w:rPr>
            </w:pPr>
            <w:r>
              <w:rPr>
                <w:sz w:val="24"/>
                <w:szCs w:val="24"/>
              </w:rPr>
              <w:t>-0,6</w:t>
            </w:r>
          </w:p>
        </w:tc>
        <w:tc>
          <w:tcPr>
            <w:tcW w:w="755" w:type="pct"/>
            <w:tcBorders>
              <w:top w:val="single" w:sz="4" w:space="0" w:color="000000"/>
              <w:left w:val="single" w:sz="4" w:space="0" w:color="000000"/>
              <w:bottom w:val="single" w:sz="4" w:space="0" w:color="000000"/>
              <w:right w:val="single" w:sz="4" w:space="0" w:color="000000"/>
            </w:tcBorders>
          </w:tcPr>
          <w:p w14:paraId="4F80E692" w14:textId="77777777" w:rsidR="00DC6CAA" w:rsidRDefault="00DC6CAA">
            <w:pPr>
              <w:pStyle w:val="TableParagraph"/>
              <w:ind w:left="0"/>
              <w:rPr>
                <w:sz w:val="24"/>
                <w:szCs w:val="24"/>
              </w:rPr>
            </w:pPr>
          </w:p>
          <w:p w14:paraId="1F1A5146" w14:textId="77777777" w:rsidR="00DC6CAA" w:rsidRDefault="00DC6CAA">
            <w:pPr>
              <w:pStyle w:val="TableParagraph"/>
              <w:ind w:left="108"/>
              <w:rPr>
                <w:sz w:val="24"/>
                <w:szCs w:val="24"/>
              </w:rPr>
            </w:pPr>
            <w:r>
              <w:rPr>
                <w:sz w:val="24"/>
                <w:szCs w:val="24"/>
              </w:rPr>
              <w:t>-1,2</w:t>
            </w:r>
          </w:p>
        </w:tc>
        <w:tc>
          <w:tcPr>
            <w:tcW w:w="597" w:type="pct"/>
            <w:tcBorders>
              <w:top w:val="single" w:sz="4" w:space="0" w:color="000000"/>
              <w:left w:val="single" w:sz="4" w:space="0" w:color="000000"/>
              <w:bottom w:val="single" w:sz="4" w:space="0" w:color="000000"/>
              <w:right w:val="single" w:sz="4" w:space="0" w:color="000000"/>
            </w:tcBorders>
          </w:tcPr>
          <w:p w14:paraId="4FACA2ED" w14:textId="77777777" w:rsidR="00DC6CAA" w:rsidRDefault="00DC6CAA">
            <w:pPr>
              <w:pStyle w:val="TableParagraph"/>
              <w:ind w:left="0"/>
              <w:rPr>
                <w:sz w:val="24"/>
                <w:szCs w:val="24"/>
              </w:rPr>
            </w:pPr>
          </w:p>
          <w:p w14:paraId="2CF3364A" w14:textId="77777777" w:rsidR="00DC6CAA" w:rsidRDefault="00DC6CAA">
            <w:pPr>
              <w:pStyle w:val="TableParagraph"/>
              <w:ind w:left="108"/>
              <w:rPr>
                <w:sz w:val="24"/>
                <w:szCs w:val="24"/>
              </w:rPr>
            </w:pPr>
            <w:r>
              <w:rPr>
                <w:sz w:val="24"/>
                <w:szCs w:val="24"/>
              </w:rPr>
              <w:t>-1,1</w:t>
            </w:r>
          </w:p>
        </w:tc>
        <w:tc>
          <w:tcPr>
            <w:tcW w:w="683" w:type="pct"/>
            <w:tcBorders>
              <w:top w:val="single" w:sz="4" w:space="0" w:color="000000"/>
              <w:left w:val="single" w:sz="4" w:space="0" w:color="000000"/>
              <w:bottom w:val="single" w:sz="4" w:space="0" w:color="000000"/>
              <w:right w:val="single" w:sz="4" w:space="0" w:color="000000"/>
            </w:tcBorders>
          </w:tcPr>
          <w:p w14:paraId="097686B5" w14:textId="77777777" w:rsidR="00DC6CAA" w:rsidRDefault="00DC6CAA">
            <w:pPr>
              <w:pStyle w:val="TableParagraph"/>
              <w:ind w:left="0"/>
              <w:rPr>
                <w:sz w:val="24"/>
                <w:szCs w:val="24"/>
              </w:rPr>
            </w:pPr>
          </w:p>
          <w:p w14:paraId="231A8EB8" w14:textId="77777777" w:rsidR="00DC6CAA" w:rsidRDefault="00DC6CAA">
            <w:pPr>
              <w:pStyle w:val="TableParagraph"/>
              <w:ind w:left="106"/>
              <w:rPr>
                <w:sz w:val="24"/>
                <w:szCs w:val="24"/>
              </w:rPr>
            </w:pPr>
            <w:r>
              <w:rPr>
                <w:sz w:val="24"/>
                <w:szCs w:val="24"/>
              </w:rPr>
              <w:t>-1,6</w:t>
            </w:r>
          </w:p>
        </w:tc>
      </w:tr>
      <w:tr w:rsidR="00DC6CAA" w14:paraId="2EF705FD" w14:textId="77777777" w:rsidTr="00C40540">
        <w:trPr>
          <w:trHeight w:val="1012"/>
        </w:trPr>
        <w:tc>
          <w:tcPr>
            <w:tcW w:w="1086" w:type="pct"/>
            <w:tcBorders>
              <w:top w:val="single" w:sz="4" w:space="0" w:color="000000"/>
              <w:left w:val="single" w:sz="4" w:space="0" w:color="000000"/>
              <w:bottom w:val="single" w:sz="4" w:space="0" w:color="000000"/>
              <w:right w:val="single" w:sz="4" w:space="0" w:color="000000"/>
            </w:tcBorders>
            <w:hideMark/>
          </w:tcPr>
          <w:p w14:paraId="12940785" w14:textId="77777777" w:rsidR="00DC6CAA" w:rsidRDefault="00DC6CAA">
            <w:pPr>
              <w:pStyle w:val="TableParagraph"/>
              <w:ind w:right="180"/>
              <w:jc w:val="left"/>
              <w:rPr>
                <w:sz w:val="24"/>
                <w:szCs w:val="24"/>
                <w:lang w:val="da-DK"/>
              </w:rPr>
            </w:pPr>
            <w:r>
              <w:rPr>
                <w:sz w:val="24"/>
                <w:szCs w:val="24"/>
                <w:lang w:val="da-DK"/>
              </w:rPr>
              <w:lastRenderedPageBreak/>
              <w:t>Afvigelse fra placebo (justeret gennemsnit) (95 %</w:t>
            </w:r>
          </w:p>
          <w:p w14:paraId="53F13E40" w14:textId="77777777" w:rsidR="00DC6CAA" w:rsidRDefault="00DC6CAA">
            <w:pPr>
              <w:pStyle w:val="TableParagraph"/>
              <w:jc w:val="left"/>
              <w:rPr>
                <w:sz w:val="24"/>
                <w:szCs w:val="24"/>
              </w:rPr>
            </w:pPr>
            <w:r>
              <w:rPr>
                <w:sz w:val="24"/>
                <w:szCs w:val="24"/>
              </w:rPr>
              <w:t>CI)</w:t>
            </w:r>
          </w:p>
        </w:tc>
        <w:tc>
          <w:tcPr>
            <w:tcW w:w="526" w:type="pct"/>
            <w:tcBorders>
              <w:top w:val="single" w:sz="4" w:space="0" w:color="000000"/>
              <w:left w:val="single" w:sz="4" w:space="0" w:color="000000"/>
              <w:bottom w:val="single" w:sz="4" w:space="0" w:color="000000"/>
              <w:right w:val="single" w:sz="4" w:space="0" w:color="000000"/>
            </w:tcBorders>
            <w:hideMark/>
          </w:tcPr>
          <w:p w14:paraId="68EDFB48" w14:textId="77777777" w:rsidR="00DC6CAA" w:rsidRDefault="00DC6CAA">
            <w:pPr>
              <w:pStyle w:val="TableParagraph"/>
              <w:ind w:left="105"/>
              <w:rPr>
                <w:sz w:val="24"/>
                <w:szCs w:val="24"/>
              </w:rPr>
            </w:pPr>
            <w:r>
              <w:rPr>
                <w:sz w:val="24"/>
                <w:szCs w:val="24"/>
              </w:rPr>
              <w:t>--</w:t>
            </w:r>
          </w:p>
        </w:tc>
        <w:tc>
          <w:tcPr>
            <w:tcW w:w="683" w:type="pct"/>
            <w:tcBorders>
              <w:top w:val="single" w:sz="4" w:space="0" w:color="000000"/>
              <w:left w:val="single" w:sz="4" w:space="0" w:color="000000"/>
              <w:bottom w:val="single" w:sz="4" w:space="0" w:color="000000"/>
              <w:right w:val="single" w:sz="4" w:space="0" w:color="000000"/>
            </w:tcBorders>
            <w:hideMark/>
          </w:tcPr>
          <w:p w14:paraId="0CCDF7CA" w14:textId="77777777" w:rsidR="00DC6CAA" w:rsidRDefault="00DC6CAA">
            <w:pPr>
              <w:pStyle w:val="TableParagraph"/>
              <w:ind w:left="108"/>
              <w:rPr>
                <w:sz w:val="24"/>
                <w:szCs w:val="24"/>
              </w:rPr>
            </w:pPr>
            <w:r>
              <w:rPr>
                <w:sz w:val="24"/>
                <w:szCs w:val="24"/>
              </w:rPr>
              <w:t>-0,6</w:t>
            </w:r>
          </w:p>
          <w:p w14:paraId="54A7B2CF" w14:textId="77777777" w:rsidR="00DC6CAA" w:rsidRDefault="00DC6CAA">
            <w:pPr>
              <w:pStyle w:val="TableParagraph"/>
              <w:ind w:left="108"/>
              <w:rPr>
                <w:sz w:val="24"/>
                <w:szCs w:val="24"/>
              </w:rPr>
            </w:pPr>
            <w:r>
              <w:rPr>
                <w:sz w:val="24"/>
                <w:szCs w:val="24"/>
              </w:rPr>
              <w:t>(-0,9, -0,3)</w:t>
            </w:r>
          </w:p>
        </w:tc>
        <w:tc>
          <w:tcPr>
            <w:tcW w:w="669" w:type="pct"/>
            <w:tcBorders>
              <w:top w:val="single" w:sz="4" w:space="0" w:color="000000"/>
              <w:left w:val="single" w:sz="4" w:space="0" w:color="000000"/>
              <w:bottom w:val="single" w:sz="4" w:space="0" w:color="000000"/>
              <w:right w:val="single" w:sz="4" w:space="0" w:color="000000"/>
            </w:tcBorders>
            <w:hideMark/>
          </w:tcPr>
          <w:p w14:paraId="40839268" w14:textId="77777777" w:rsidR="00DC6CAA" w:rsidRDefault="00DC6CAA">
            <w:pPr>
              <w:pStyle w:val="TableParagraph"/>
              <w:ind w:left="108"/>
              <w:rPr>
                <w:sz w:val="24"/>
                <w:szCs w:val="24"/>
              </w:rPr>
            </w:pPr>
            <w:r>
              <w:rPr>
                <w:sz w:val="24"/>
                <w:szCs w:val="24"/>
              </w:rPr>
              <w:t>-0,8</w:t>
            </w:r>
          </w:p>
          <w:p w14:paraId="12946624" w14:textId="77777777" w:rsidR="00DC6CAA" w:rsidRDefault="00DC6CAA">
            <w:pPr>
              <w:pStyle w:val="TableParagraph"/>
              <w:ind w:left="108"/>
              <w:rPr>
                <w:sz w:val="24"/>
                <w:szCs w:val="24"/>
              </w:rPr>
            </w:pPr>
            <w:r>
              <w:rPr>
                <w:sz w:val="24"/>
                <w:szCs w:val="24"/>
              </w:rPr>
              <w:t>(-1,0, -0,5)</w:t>
            </w:r>
          </w:p>
        </w:tc>
        <w:tc>
          <w:tcPr>
            <w:tcW w:w="755" w:type="pct"/>
            <w:tcBorders>
              <w:top w:val="single" w:sz="4" w:space="0" w:color="000000"/>
              <w:left w:val="single" w:sz="4" w:space="0" w:color="000000"/>
              <w:bottom w:val="single" w:sz="4" w:space="0" w:color="000000"/>
              <w:right w:val="single" w:sz="4" w:space="0" w:color="000000"/>
            </w:tcBorders>
            <w:hideMark/>
          </w:tcPr>
          <w:p w14:paraId="621F3C0E" w14:textId="77777777" w:rsidR="00DC6CAA" w:rsidRDefault="00DC6CAA">
            <w:pPr>
              <w:pStyle w:val="TableParagraph"/>
              <w:ind w:left="108"/>
              <w:rPr>
                <w:sz w:val="24"/>
                <w:szCs w:val="24"/>
              </w:rPr>
            </w:pPr>
            <w:r>
              <w:rPr>
                <w:sz w:val="24"/>
                <w:szCs w:val="24"/>
              </w:rPr>
              <w:t>-1,3</w:t>
            </w:r>
          </w:p>
          <w:p w14:paraId="634FE224" w14:textId="77777777" w:rsidR="00DC6CAA" w:rsidRDefault="00DC6CAA">
            <w:pPr>
              <w:pStyle w:val="TableParagraph"/>
              <w:ind w:left="108"/>
              <w:rPr>
                <w:sz w:val="24"/>
                <w:szCs w:val="24"/>
              </w:rPr>
            </w:pPr>
            <w:r>
              <w:rPr>
                <w:sz w:val="24"/>
                <w:szCs w:val="24"/>
              </w:rPr>
              <w:t>(-1,6, -1,1)</w:t>
            </w:r>
          </w:p>
        </w:tc>
        <w:tc>
          <w:tcPr>
            <w:tcW w:w="597" w:type="pct"/>
            <w:tcBorders>
              <w:top w:val="single" w:sz="4" w:space="0" w:color="000000"/>
              <w:left w:val="single" w:sz="4" w:space="0" w:color="000000"/>
              <w:bottom w:val="single" w:sz="4" w:space="0" w:color="000000"/>
              <w:right w:val="single" w:sz="4" w:space="0" w:color="000000"/>
            </w:tcBorders>
            <w:hideMark/>
          </w:tcPr>
          <w:p w14:paraId="0AA35EFD" w14:textId="77777777" w:rsidR="00DC6CAA" w:rsidRDefault="00DC6CAA">
            <w:pPr>
              <w:pStyle w:val="TableParagraph"/>
              <w:ind w:left="108"/>
              <w:rPr>
                <w:sz w:val="24"/>
                <w:szCs w:val="24"/>
              </w:rPr>
            </w:pPr>
            <w:r>
              <w:rPr>
                <w:sz w:val="24"/>
                <w:szCs w:val="24"/>
              </w:rPr>
              <w:t>-1,2</w:t>
            </w:r>
          </w:p>
          <w:p w14:paraId="387FD691" w14:textId="77777777" w:rsidR="00DC6CAA" w:rsidRDefault="00DC6CAA">
            <w:pPr>
              <w:pStyle w:val="TableParagraph"/>
              <w:ind w:left="108"/>
              <w:rPr>
                <w:sz w:val="24"/>
                <w:szCs w:val="24"/>
              </w:rPr>
            </w:pPr>
            <w:r>
              <w:rPr>
                <w:sz w:val="24"/>
                <w:szCs w:val="24"/>
              </w:rPr>
              <w:t>(-1,5, -0,9</w:t>
            </w:r>
          </w:p>
          <w:p w14:paraId="1B575D88" w14:textId="77777777" w:rsidR="00DC6CAA" w:rsidRDefault="00DC6CAA">
            <w:pPr>
              <w:pStyle w:val="TableParagraph"/>
              <w:ind w:left="108"/>
              <w:rPr>
                <w:sz w:val="24"/>
                <w:szCs w:val="24"/>
              </w:rPr>
            </w:pPr>
            <w:r>
              <w:rPr>
                <w:sz w:val="24"/>
                <w:szCs w:val="24"/>
              </w:rPr>
              <w:t>)</w:t>
            </w:r>
          </w:p>
        </w:tc>
        <w:tc>
          <w:tcPr>
            <w:tcW w:w="683" w:type="pct"/>
            <w:tcBorders>
              <w:top w:val="single" w:sz="4" w:space="0" w:color="000000"/>
              <w:left w:val="single" w:sz="4" w:space="0" w:color="000000"/>
              <w:bottom w:val="single" w:sz="4" w:space="0" w:color="000000"/>
              <w:right w:val="single" w:sz="4" w:space="0" w:color="000000"/>
            </w:tcBorders>
            <w:hideMark/>
          </w:tcPr>
          <w:p w14:paraId="01ABF09E" w14:textId="77777777" w:rsidR="00DC6CAA" w:rsidRDefault="00DC6CAA">
            <w:pPr>
              <w:pStyle w:val="TableParagraph"/>
              <w:ind w:left="106"/>
              <w:rPr>
                <w:sz w:val="24"/>
                <w:szCs w:val="24"/>
              </w:rPr>
            </w:pPr>
            <w:r>
              <w:rPr>
                <w:sz w:val="24"/>
                <w:szCs w:val="24"/>
              </w:rPr>
              <w:t>-1,7</w:t>
            </w:r>
          </w:p>
          <w:p w14:paraId="3C3A9871" w14:textId="77777777" w:rsidR="00DC6CAA" w:rsidRDefault="00DC6CAA">
            <w:pPr>
              <w:pStyle w:val="TableParagraph"/>
              <w:ind w:left="106"/>
              <w:rPr>
                <w:sz w:val="24"/>
                <w:szCs w:val="24"/>
              </w:rPr>
            </w:pPr>
            <w:r>
              <w:rPr>
                <w:sz w:val="24"/>
                <w:szCs w:val="24"/>
              </w:rPr>
              <w:t>(-2,0, -1,4)</w:t>
            </w:r>
          </w:p>
        </w:tc>
      </w:tr>
      <w:tr w:rsidR="00DC6CAA" w14:paraId="7CB329E1" w14:textId="77777777" w:rsidTr="00C40540">
        <w:trPr>
          <w:trHeight w:val="760"/>
        </w:trPr>
        <w:tc>
          <w:tcPr>
            <w:tcW w:w="1086" w:type="pct"/>
            <w:tcBorders>
              <w:top w:val="single" w:sz="4" w:space="0" w:color="000000"/>
              <w:left w:val="single" w:sz="4" w:space="0" w:color="000000"/>
              <w:bottom w:val="single" w:sz="4" w:space="0" w:color="000000"/>
              <w:right w:val="single" w:sz="4" w:space="0" w:color="000000"/>
            </w:tcBorders>
            <w:hideMark/>
          </w:tcPr>
          <w:p w14:paraId="55AD8AB5" w14:textId="77777777" w:rsidR="00DC6CAA" w:rsidRDefault="00DC6CAA">
            <w:pPr>
              <w:pStyle w:val="TableParagraph"/>
              <w:ind w:right="171"/>
              <w:jc w:val="left"/>
              <w:rPr>
                <w:sz w:val="24"/>
                <w:szCs w:val="24"/>
                <w:lang w:val="da-DK"/>
              </w:rPr>
            </w:pPr>
            <w:r>
              <w:rPr>
                <w:sz w:val="24"/>
                <w:szCs w:val="24"/>
                <w:lang w:val="da-DK"/>
              </w:rPr>
              <w:t xml:space="preserve">Patienter (n, %), </w:t>
            </w:r>
            <w:r>
              <w:rPr>
                <w:position w:val="2"/>
                <w:sz w:val="24"/>
                <w:szCs w:val="24"/>
                <w:lang w:val="da-DK"/>
              </w:rPr>
              <w:t>der opnåede HbA</w:t>
            </w:r>
            <w:r>
              <w:rPr>
                <w:sz w:val="24"/>
                <w:szCs w:val="24"/>
                <w:lang w:val="da-DK"/>
              </w:rPr>
              <w:t>1c</w:t>
            </w:r>
          </w:p>
          <w:p w14:paraId="7DAF2CC0" w14:textId="77777777" w:rsidR="00DC6CAA" w:rsidRDefault="00DC6CAA">
            <w:pPr>
              <w:pStyle w:val="TableParagraph"/>
              <w:jc w:val="left"/>
              <w:rPr>
                <w:sz w:val="24"/>
                <w:szCs w:val="24"/>
                <w:lang w:val="da-DK"/>
              </w:rPr>
            </w:pPr>
            <w:r>
              <w:rPr>
                <w:sz w:val="24"/>
                <w:szCs w:val="24"/>
                <w:lang w:val="da-DK"/>
              </w:rPr>
              <w:t>&lt; 7 %</w:t>
            </w:r>
          </w:p>
        </w:tc>
        <w:tc>
          <w:tcPr>
            <w:tcW w:w="526" w:type="pct"/>
            <w:tcBorders>
              <w:top w:val="single" w:sz="4" w:space="0" w:color="000000"/>
              <w:left w:val="single" w:sz="4" w:space="0" w:color="000000"/>
              <w:bottom w:val="single" w:sz="4" w:space="0" w:color="000000"/>
              <w:right w:val="single" w:sz="4" w:space="0" w:color="000000"/>
            </w:tcBorders>
          </w:tcPr>
          <w:p w14:paraId="4454AA46" w14:textId="77777777" w:rsidR="00DC6CAA" w:rsidRDefault="00DC6CAA">
            <w:pPr>
              <w:pStyle w:val="TableParagraph"/>
              <w:ind w:left="0"/>
              <w:rPr>
                <w:sz w:val="24"/>
                <w:szCs w:val="24"/>
                <w:lang w:val="da-DK"/>
              </w:rPr>
            </w:pPr>
          </w:p>
          <w:p w14:paraId="7F152840" w14:textId="77777777" w:rsidR="00DC6CAA" w:rsidRDefault="00DC6CAA">
            <w:pPr>
              <w:pStyle w:val="TableParagraph"/>
              <w:ind w:left="105"/>
              <w:rPr>
                <w:sz w:val="24"/>
                <w:szCs w:val="24"/>
              </w:rPr>
            </w:pPr>
            <w:r>
              <w:rPr>
                <w:sz w:val="24"/>
                <w:szCs w:val="24"/>
              </w:rPr>
              <w:t>7 (10,8)</w:t>
            </w:r>
          </w:p>
        </w:tc>
        <w:tc>
          <w:tcPr>
            <w:tcW w:w="683" w:type="pct"/>
            <w:tcBorders>
              <w:top w:val="single" w:sz="4" w:space="0" w:color="000000"/>
              <w:left w:val="single" w:sz="4" w:space="0" w:color="000000"/>
              <w:bottom w:val="single" w:sz="4" w:space="0" w:color="000000"/>
              <w:right w:val="single" w:sz="4" w:space="0" w:color="000000"/>
            </w:tcBorders>
          </w:tcPr>
          <w:p w14:paraId="69B623DF" w14:textId="77777777" w:rsidR="00DC6CAA" w:rsidRDefault="00DC6CAA">
            <w:pPr>
              <w:pStyle w:val="TableParagraph"/>
              <w:ind w:left="0"/>
              <w:rPr>
                <w:sz w:val="24"/>
                <w:szCs w:val="24"/>
              </w:rPr>
            </w:pPr>
          </w:p>
          <w:p w14:paraId="0B8B0F56" w14:textId="77777777" w:rsidR="00DC6CAA" w:rsidRDefault="00DC6CAA">
            <w:pPr>
              <w:pStyle w:val="TableParagraph"/>
              <w:ind w:left="108"/>
              <w:rPr>
                <w:sz w:val="24"/>
                <w:szCs w:val="24"/>
              </w:rPr>
            </w:pPr>
            <w:r>
              <w:rPr>
                <w:sz w:val="24"/>
                <w:szCs w:val="24"/>
              </w:rPr>
              <w:t>14 (10,4)</w:t>
            </w:r>
          </w:p>
        </w:tc>
        <w:tc>
          <w:tcPr>
            <w:tcW w:w="669" w:type="pct"/>
            <w:tcBorders>
              <w:top w:val="single" w:sz="4" w:space="0" w:color="000000"/>
              <w:left w:val="single" w:sz="4" w:space="0" w:color="000000"/>
              <w:bottom w:val="single" w:sz="4" w:space="0" w:color="000000"/>
              <w:right w:val="single" w:sz="4" w:space="0" w:color="000000"/>
            </w:tcBorders>
          </w:tcPr>
          <w:p w14:paraId="70D80A3D" w14:textId="77777777" w:rsidR="00DC6CAA" w:rsidRDefault="00DC6CAA">
            <w:pPr>
              <w:pStyle w:val="TableParagraph"/>
              <w:ind w:left="0"/>
              <w:rPr>
                <w:sz w:val="24"/>
                <w:szCs w:val="24"/>
              </w:rPr>
            </w:pPr>
          </w:p>
          <w:p w14:paraId="2B0DC89D" w14:textId="77777777" w:rsidR="00DC6CAA" w:rsidRDefault="00DC6CAA">
            <w:pPr>
              <w:pStyle w:val="TableParagraph"/>
              <w:ind w:left="108"/>
              <w:rPr>
                <w:sz w:val="24"/>
                <w:szCs w:val="24"/>
              </w:rPr>
            </w:pPr>
            <w:r>
              <w:rPr>
                <w:sz w:val="24"/>
                <w:szCs w:val="24"/>
              </w:rPr>
              <w:t>27 (19,1)</w:t>
            </w:r>
          </w:p>
        </w:tc>
        <w:tc>
          <w:tcPr>
            <w:tcW w:w="755" w:type="pct"/>
            <w:tcBorders>
              <w:top w:val="single" w:sz="4" w:space="0" w:color="000000"/>
              <w:left w:val="single" w:sz="4" w:space="0" w:color="000000"/>
              <w:bottom w:val="single" w:sz="4" w:space="0" w:color="000000"/>
              <w:right w:val="single" w:sz="4" w:space="0" w:color="000000"/>
            </w:tcBorders>
          </w:tcPr>
          <w:p w14:paraId="4AD5EBA7" w14:textId="77777777" w:rsidR="00DC6CAA" w:rsidRDefault="00DC6CAA">
            <w:pPr>
              <w:pStyle w:val="TableParagraph"/>
              <w:ind w:left="0"/>
              <w:rPr>
                <w:sz w:val="24"/>
                <w:szCs w:val="24"/>
              </w:rPr>
            </w:pPr>
          </w:p>
          <w:p w14:paraId="0BBE3D7D" w14:textId="77777777" w:rsidR="00DC6CAA" w:rsidRDefault="00DC6CAA">
            <w:pPr>
              <w:pStyle w:val="TableParagraph"/>
              <w:ind w:left="108"/>
              <w:rPr>
                <w:sz w:val="24"/>
                <w:szCs w:val="24"/>
              </w:rPr>
            </w:pPr>
            <w:r>
              <w:rPr>
                <w:sz w:val="24"/>
                <w:szCs w:val="24"/>
              </w:rPr>
              <w:t>42 (30,7)</w:t>
            </w:r>
          </w:p>
        </w:tc>
        <w:tc>
          <w:tcPr>
            <w:tcW w:w="597" w:type="pct"/>
            <w:tcBorders>
              <w:top w:val="single" w:sz="4" w:space="0" w:color="000000"/>
              <w:left w:val="single" w:sz="4" w:space="0" w:color="000000"/>
              <w:bottom w:val="single" w:sz="4" w:space="0" w:color="000000"/>
              <w:right w:val="single" w:sz="4" w:space="0" w:color="000000"/>
            </w:tcBorders>
          </w:tcPr>
          <w:p w14:paraId="1C499365" w14:textId="77777777" w:rsidR="00DC6CAA" w:rsidRDefault="00DC6CAA">
            <w:pPr>
              <w:pStyle w:val="TableParagraph"/>
              <w:ind w:left="0"/>
              <w:rPr>
                <w:sz w:val="24"/>
                <w:szCs w:val="24"/>
              </w:rPr>
            </w:pPr>
          </w:p>
          <w:p w14:paraId="4DA838E5" w14:textId="77777777" w:rsidR="00DC6CAA" w:rsidRDefault="00DC6CAA">
            <w:pPr>
              <w:pStyle w:val="TableParagraph"/>
              <w:ind w:left="108"/>
              <w:rPr>
                <w:sz w:val="24"/>
                <w:szCs w:val="24"/>
              </w:rPr>
            </w:pPr>
            <w:r>
              <w:rPr>
                <w:sz w:val="24"/>
                <w:szCs w:val="24"/>
              </w:rPr>
              <w:t>43 (31,2)</w:t>
            </w:r>
          </w:p>
        </w:tc>
        <w:tc>
          <w:tcPr>
            <w:tcW w:w="683" w:type="pct"/>
            <w:tcBorders>
              <w:top w:val="single" w:sz="4" w:space="0" w:color="000000"/>
              <w:left w:val="single" w:sz="4" w:space="0" w:color="000000"/>
              <w:bottom w:val="single" w:sz="4" w:space="0" w:color="000000"/>
              <w:right w:val="single" w:sz="4" w:space="0" w:color="000000"/>
            </w:tcBorders>
          </w:tcPr>
          <w:p w14:paraId="499B93AA" w14:textId="77777777" w:rsidR="00DC6CAA" w:rsidRDefault="00DC6CAA">
            <w:pPr>
              <w:pStyle w:val="TableParagraph"/>
              <w:ind w:left="0"/>
              <w:rPr>
                <w:sz w:val="24"/>
                <w:szCs w:val="24"/>
              </w:rPr>
            </w:pPr>
          </w:p>
          <w:p w14:paraId="707CBEDD" w14:textId="77777777" w:rsidR="00DC6CAA" w:rsidRDefault="00DC6CAA">
            <w:pPr>
              <w:pStyle w:val="TableParagraph"/>
              <w:ind w:left="106"/>
              <w:rPr>
                <w:sz w:val="24"/>
                <w:szCs w:val="24"/>
              </w:rPr>
            </w:pPr>
            <w:r>
              <w:rPr>
                <w:sz w:val="24"/>
                <w:szCs w:val="24"/>
              </w:rPr>
              <w:t>76 (54,3)</w:t>
            </w:r>
          </w:p>
        </w:tc>
      </w:tr>
      <w:tr w:rsidR="00DC6CAA" w14:paraId="4934A70D" w14:textId="77777777" w:rsidTr="00C40540">
        <w:trPr>
          <w:trHeight w:val="757"/>
        </w:trPr>
        <w:tc>
          <w:tcPr>
            <w:tcW w:w="1086" w:type="pct"/>
            <w:tcBorders>
              <w:top w:val="single" w:sz="4" w:space="0" w:color="000000"/>
              <w:left w:val="single" w:sz="4" w:space="0" w:color="000000"/>
              <w:bottom w:val="single" w:sz="4" w:space="0" w:color="000000"/>
              <w:right w:val="single" w:sz="4" w:space="0" w:color="000000"/>
            </w:tcBorders>
            <w:hideMark/>
          </w:tcPr>
          <w:p w14:paraId="005A97DA" w14:textId="77777777" w:rsidR="00DC6CAA" w:rsidRDefault="00DC6CAA">
            <w:pPr>
              <w:pStyle w:val="TableParagraph"/>
              <w:ind w:right="297"/>
              <w:jc w:val="left"/>
              <w:rPr>
                <w:sz w:val="24"/>
                <w:szCs w:val="24"/>
                <w:lang w:val="da-DK"/>
              </w:rPr>
            </w:pPr>
            <w:r>
              <w:rPr>
                <w:sz w:val="24"/>
                <w:szCs w:val="24"/>
                <w:lang w:val="da-DK"/>
              </w:rPr>
              <w:t>Patienter (%), der modtog akut</w:t>
            </w:r>
          </w:p>
          <w:p w14:paraId="2E802418" w14:textId="77777777" w:rsidR="00DC6CAA" w:rsidRDefault="00DC6CAA">
            <w:pPr>
              <w:pStyle w:val="TableParagraph"/>
              <w:jc w:val="left"/>
              <w:rPr>
                <w:sz w:val="24"/>
                <w:szCs w:val="24"/>
                <w:lang w:val="da-DK"/>
              </w:rPr>
            </w:pPr>
            <w:r>
              <w:rPr>
                <w:sz w:val="24"/>
                <w:szCs w:val="24"/>
                <w:lang w:val="da-DK"/>
              </w:rPr>
              <w:t>behandling</w:t>
            </w:r>
          </w:p>
        </w:tc>
        <w:tc>
          <w:tcPr>
            <w:tcW w:w="526" w:type="pct"/>
            <w:tcBorders>
              <w:top w:val="single" w:sz="4" w:space="0" w:color="000000"/>
              <w:left w:val="single" w:sz="4" w:space="0" w:color="000000"/>
              <w:bottom w:val="single" w:sz="4" w:space="0" w:color="000000"/>
              <w:right w:val="single" w:sz="4" w:space="0" w:color="000000"/>
            </w:tcBorders>
          </w:tcPr>
          <w:p w14:paraId="04F57268" w14:textId="77777777" w:rsidR="00DC6CAA" w:rsidRDefault="00DC6CAA">
            <w:pPr>
              <w:pStyle w:val="TableParagraph"/>
              <w:ind w:left="0"/>
              <w:rPr>
                <w:sz w:val="24"/>
                <w:szCs w:val="24"/>
                <w:lang w:val="da-DK"/>
              </w:rPr>
            </w:pPr>
          </w:p>
          <w:p w14:paraId="5732BECB" w14:textId="77777777" w:rsidR="00DC6CAA" w:rsidRDefault="00DC6CAA">
            <w:pPr>
              <w:pStyle w:val="TableParagraph"/>
              <w:ind w:left="105"/>
              <w:rPr>
                <w:sz w:val="24"/>
                <w:szCs w:val="24"/>
              </w:rPr>
            </w:pPr>
            <w:r>
              <w:rPr>
                <w:sz w:val="24"/>
                <w:szCs w:val="24"/>
              </w:rPr>
              <w:t>29,2</w:t>
            </w:r>
          </w:p>
        </w:tc>
        <w:tc>
          <w:tcPr>
            <w:tcW w:w="683" w:type="pct"/>
            <w:tcBorders>
              <w:top w:val="single" w:sz="4" w:space="0" w:color="000000"/>
              <w:left w:val="single" w:sz="4" w:space="0" w:color="000000"/>
              <w:bottom w:val="single" w:sz="4" w:space="0" w:color="000000"/>
              <w:right w:val="single" w:sz="4" w:space="0" w:color="000000"/>
            </w:tcBorders>
          </w:tcPr>
          <w:p w14:paraId="50CE68BB" w14:textId="77777777" w:rsidR="00DC6CAA" w:rsidRDefault="00DC6CAA">
            <w:pPr>
              <w:pStyle w:val="TableParagraph"/>
              <w:ind w:left="0"/>
              <w:rPr>
                <w:sz w:val="24"/>
                <w:szCs w:val="24"/>
              </w:rPr>
            </w:pPr>
          </w:p>
          <w:p w14:paraId="1994B8DC" w14:textId="77777777" w:rsidR="00DC6CAA" w:rsidRDefault="00DC6CAA">
            <w:pPr>
              <w:pStyle w:val="TableParagraph"/>
              <w:ind w:left="108"/>
              <w:rPr>
                <w:sz w:val="24"/>
                <w:szCs w:val="24"/>
              </w:rPr>
            </w:pPr>
            <w:r>
              <w:rPr>
                <w:sz w:val="24"/>
                <w:szCs w:val="24"/>
              </w:rPr>
              <w:t>11,1</w:t>
            </w:r>
          </w:p>
        </w:tc>
        <w:tc>
          <w:tcPr>
            <w:tcW w:w="669" w:type="pct"/>
            <w:tcBorders>
              <w:top w:val="single" w:sz="4" w:space="0" w:color="000000"/>
              <w:left w:val="single" w:sz="4" w:space="0" w:color="000000"/>
              <w:bottom w:val="single" w:sz="4" w:space="0" w:color="000000"/>
              <w:right w:val="single" w:sz="4" w:space="0" w:color="000000"/>
            </w:tcBorders>
          </w:tcPr>
          <w:p w14:paraId="79848B1D" w14:textId="77777777" w:rsidR="00DC6CAA" w:rsidRDefault="00DC6CAA">
            <w:pPr>
              <w:pStyle w:val="TableParagraph"/>
              <w:ind w:left="0"/>
              <w:rPr>
                <w:sz w:val="24"/>
                <w:szCs w:val="24"/>
              </w:rPr>
            </w:pPr>
          </w:p>
          <w:p w14:paraId="6CD9C467" w14:textId="77777777" w:rsidR="00DC6CAA" w:rsidRDefault="00DC6CAA">
            <w:pPr>
              <w:pStyle w:val="TableParagraph"/>
              <w:ind w:left="108"/>
              <w:rPr>
                <w:sz w:val="24"/>
                <w:szCs w:val="24"/>
              </w:rPr>
            </w:pPr>
            <w:r>
              <w:rPr>
                <w:sz w:val="24"/>
                <w:szCs w:val="24"/>
              </w:rPr>
              <w:t>13,5</w:t>
            </w:r>
          </w:p>
        </w:tc>
        <w:tc>
          <w:tcPr>
            <w:tcW w:w="755" w:type="pct"/>
            <w:tcBorders>
              <w:top w:val="single" w:sz="4" w:space="0" w:color="000000"/>
              <w:left w:val="single" w:sz="4" w:space="0" w:color="000000"/>
              <w:bottom w:val="single" w:sz="4" w:space="0" w:color="000000"/>
              <w:right w:val="single" w:sz="4" w:space="0" w:color="000000"/>
            </w:tcBorders>
          </w:tcPr>
          <w:p w14:paraId="7950A0C5" w14:textId="77777777" w:rsidR="00DC6CAA" w:rsidRDefault="00DC6CAA">
            <w:pPr>
              <w:pStyle w:val="TableParagraph"/>
              <w:ind w:left="0"/>
              <w:rPr>
                <w:sz w:val="24"/>
                <w:szCs w:val="24"/>
              </w:rPr>
            </w:pPr>
          </w:p>
          <w:p w14:paraId="2534A16D" w14:textId="77777777" w:rsidR="00DC6CAA" w:rsidRDefault="00DC6CAA">
            <w:pPr>
              <w:pStyle w:val="TableParagraph"/>
              <w:ind w:left="108"/>
              <w:rPr>
                <w:sz w:val="24"/>
                <w:szCs w:val="24"/>
              </w:rPr>
            </w:pPr>
            <w:r>
              <w:rPr>
                <w:sz w:val="24"/>
                <w:szCs w:val="24"/>
              </w:rPr>
              <w:t>7,3</w:t>
            </w:r>
          </w:p>
        </w:tc>
        <w:tc>
          <w:tcPr>
            <w:tcW w:w="597" w:type="pct"/>
            <w:tcBorders>
              <w:top w:val="single" w:sz="4" w:space="0" w:color="000000"/>
              <w:left w:val="single" w:sz="4" w:space="0" w:color="000000"/>
              <w:bottom w:val="single" w:sz="4" w:space="0" w:color="000000"/>
              <w:right w:val="single" w:sz="4" w:space="0" w:color="000000"/>
            </w:tcBorders>
          </w:tcPr>
          <w:p w14:paraId="6F218FD0" w14:textId="77777777" w:rsidR="00DC6CAA" w:rsidRDefault="00DC6CAA">
            <w:pPr>
              <w:pStyle w:val="TableParagraph"/>
              <w:ind w:left="0"/>
              <w:rPr>
                <w:sz w:val="24"/>
                <w:szCs w:val="24"/>
              </w:rPr>
            </w:pPr>
          </w:p>
          <w:p w14:paraId="759707C2" w14:textId="77777777" w:rsidR="00DC6CAA" w:rsidRDefault="00DC6CAA">
            <w:pPr>
              <w:pStyle w:val="TableParagraph"/>
              <w:ind w:left="108"/>
              <w:rPr>
                <w:sz w:val="24"/>
                <w:szCs w:val="24"/>
              </w:rPr>
            </w:pPr>
            <w:r>
              <w:rPr>
                <w:sz w:val="24"/>
                <w:szCs w:val="24"/>
              </w:rPr>
              <w:t>8,0</w:t>
            </w:r>
          </w:p>
        </w:tc>
        <w:tc>
          <w:tcPr>
            <w:tcW w:w="683" w:type="pct"/>
            <w:tcBorders>
              <w:top w:val="single" w:sz="4" w:space="0" w:color="000000"/>
              <w:left w:val="single" w:sz="4" w:space="0" w:color="000000"/>
              <w:bottom w:val="single" w:sz="4" w:space="0" w:color="000000"/>
              <w:right w:val="single" w:sz="4" w:space="0" w:color="000000"/>
            </w:tcBorders>
          </w:tcPr>
          <w:p w14:paraId="3E119E94" w14:textId="77777777" w:rsidR="00DC6CAA" w:rsidRDefault="00DC6CAA">
            <w:pPr>
              <w:pStyle w:val="TableParagraph"/>
              <w:ind w:left="0"/>
              <w:rPr>
                <w:sz w:val="24"/>
                <w:szCs w:val="24"/>
              </w:rPr>
            </w:pPr>
          </w:p>
          <w:p w14:paraId="44FD6C68" w14:textId="77777777" w:rsidR="00DC6CAA" w:rsidRDefault="00DC6CAA">
            <w:pPr>
              <w:pStyle w:val="TableParagraph"/>
              <w:ind w:left="106"/>
              <w:rPr>
                <w:sz w:val="24"/>
                <w:szCs w:val="24"/>
              </w:rPr>
            </w:pPr>
            <w:r>
              <w:rPr>
                <w:sz w:val="24"/>
                <w:szCs w:val="24"/>
              </w:rPr>
              <w:t>4,3</w:t>
            </w:r>
          </w:p>
        </w:tc>
      </w:tr>
      <w:tr w:rsidR="00DC6CAA" w14:paraId="061D19C2" w14:textId="77777777" w:rsidTr="00C40540">
        <w:trPr>
          <w:trHeight w:val="254"/>
        </w:trPr>
        <w:tc>
          <w:tcPr>
            <w:tcW w:w="1086" w:type="pct"/>
            <w:tcBorders>
              <w:top w:val="single" w:sz="4" w:space="0" w:color="000000"/>
              <w:left w:val="single" w:sz="4" w:space="0" w:color="000000"/>
              <w:bottom w:val="single" w:sz="4" w:space="0" w:color="000000"/>
              <w:right w:val="single" w:sz="4" w:space="0" w:color="000000"/>
            </w:tcBorders>
            <w:hideMark/>
          </w:tcPr>
          <w:p w14:paraId="03F96C54" w14:textId="77777777" w:rsidR="00DC6CAA" w:rsidRDefault="00DC6CAA">
            <w:pPr>
              <w:pStyle w:val="TableParagraph"/>
              <w:jc w:val="left"/>
              <w:rPr>
                <w:b/>
                <w:sz w:val="24"/>
                <w:szCs w:val="24"/>
              </w:rPr>
            </w:pPr>
            <w:r>
              <w:rPr>
                <w:b/>
                <w:sz w:val="24"/>
                <w:szCs w:val="24"/>
              </w:rPr>
              <w:t>FPG (mg/dl)</w:t>
            </w:r>
          </w:p>
        </w:tc>
        <w:tc>
          <w:tcPr>
            <w:tcW w:w="526" w:type="pct"/>
            <w:tcBorders>
              <w:top w:val="single" w:sz="4" w:space="0" w:color="000000"/>
              <w:left w:val="single" w:sz="4" w:space="0" w:color="000000"/>
              <w:bottom w:val="single" w:sz="4" w:space="0" w:color="000000"/>
              <w:right w:val="single" w:sz="4" w:space="0" w:color="000000"/>
            </w:tcBorders>
          </w:tcPr>
          <w:p w14:paraId="12BD7463" w14:textId="77777777" w:rsidR="00DC6CAA" w:rsidRDefault="00DC6CAA">
            <w:pPr>
              <w:pStyle w:val="TableParagraph"/>
              <w:ind w:left="0"/>
              <w:rPr>
                <w:sz w:val="24"/>
                <w:szCs w:val="24"/>
              </w:rPr>
            </w:pPr>
          </w:p>
        </w:tc>
        <w:tc>
          <w:tcPr>
            <w:tcW w:w="683" w:type="pct"/>
            <w:tcBorders>
              <w:top w:val="single" w:sz="4" w:space="0" w:color="000000"/>
              <w:left w:val="single" w:sz="4" w:space="0" w:color="000000"/>
              <w:bottom w:val="single" w:sz="4" w:space="0" w:color="000000"/>
              <w:right w:val="single" w:sz="4" w:space="0" w:color="000000"/>
            </w:tcBorders>
          </w:tcPr>
          <w:p w14:paraId="0926B157" w14:textId="77777777" w:rsidR="00DC6CAA" w:rsidRDefault="00DC6CAA">
            <w:pPr>
              <w:pStyle w:val="TableParagraph"/>
              <w:ind w:left="0"/>
              <w:rPr>
                <w:sz w:val="24"/>
                <w:szCs w:val="24"/>
              </w:rPr>
            </w:pPr>
          </w:p>
        </w:tc>
        <w:tc>
          <w:tcPr>
            <w:tcW w:w="669" w:type="pct"/>
            <w:tcBorders>
              <w:top w:val="single" w:sz="4" w:space="0" w:color="000000"/>
              <w:left w:val="single" w:sz="4" w:space="0" w:color="000000"/>
              <w:bottom w:val="single" w:sz="4" w:space="0" w:color="000000"/>
              <w:right w:val="single" w:sz="4" w:space="0" w:color="000000"/>
            </w:tcBorders>
          </w:tcPr>
          <w:p w14:paraId="2C6E1300" w14:textId="77777777" w:rsidR="00DC6CAA" w:rsidRDefault="00DC6CAA">
            <w:pPr>
              <w:pStyle w:val="TableParagraph"/>
              <w:ind w:left="0"/>
              <w:rPr>
                <w:sz w:val="24"/>
                <w:szCs w:val="24"/>
              </w:rPr>
            </w:pPr>
          </w:p>
        </w:tc>
        <w:tc>
          <w:tcPr>
            <w:tcW w:w="755" w:type="pct"/>
            <w:tcBorders>
              <w:top w:val="single" w:sz="4" w:space="0" w:color="000000"/>
              <w:left w:val="single" w:sz="4" w:space="0" w:color="000000"/>
              <w:bottom w:val="single" w:sz="4" w:space="0" w:color="000000"/>
              <w:right w:val="single" w:sz="4" w:space="0" w:color="000000"/>
            </w:tcBorders>
          </w:tcPr>
          <w:p w14:paraId="15DBA9EA" w14:textId="77777777" w:rsidR="00DC6CAA" w:rsidRDefault="00DC6CAA">
            <w:pPr>
              <w:pStyle w:val="TableParagraph"/>
              <w:ind w:left="0"/>
              <w:rPr>
                <w:sz w:val="24"/>
                <w:szCs w:val="24"/>
              </w:rPr>
            </w:pPr>
          </w:p>
        </w:tc>
        <w:tc>
          <w:tcPr>
            <w:tcW w:w="597" w:type="pct"/>
            <w:tcBorders>
              <w:top w:val="single" w:sz="4" w:space="0" w:color="000000"/>
              <w:left w:val="single" w:sz="4" w:space="0" w:color="000000"/>
              <w:bottom w:val="single" w:sz="4" w:space="0" w:color="000000"/>
              <w:right w:val="single" w:sz="4" w:space="0" w:color="000000"/>
            </w:tcBorders>
          </w:tcPr>
          <w:p w14:paraId="2712315A" w14:textId="77777777" w:rsidR="00DC6CAA" w:rsidRDefault="00DC6CAA">
            <w:pPr>
              <w:pStyle w:val="TableParagraph"/>
              <w:ind w:left="0"/>
              <w:rPr>
                <w:sz w:val="24"/>
                <w:szCs w:val="24"/>
              </w:rPr>
            </w:pPr>
          </w:p>
        </w:tc>
        <w:tc>
          <w:tcPr>
            <w:tcW w:w="683" w:type="pct"/>
            <w:tcBorders>
              <w:top w:val="single" w:sz="4" w:space="0" w:color="000000"/>
              <w:left w:val="single" w:sz="4" w:space="0" w:color="000000"/>
              <w:bottom w:val="single" w:sz="4" w:space="0" w:color="000000"/>
              <w:right w:val="single" w:sz="4" w:space="0" w:color="000000"/>
            </w:tcBorders>
          </w:tcPr>
          <w:p w14:paraId="7FFC1E23" w14:textId="77777777" w:rsidR="00DC6CAA" w:rsidRDefault="00DC6CAA">
            <w:pPr>
              <w:pStyle w:val="TableParagraph"/>
              <w:ind w:left="0"/>
              <w:rPr>
                <w:sz w:val="24"/>
                <w:szCs w:val="24"/>
              </w:rPr>
            </w:pPr>
          </w:p>
        </w:tc>
      </w:tr>
      <w:tr w:rsidR="00DC6CAA" w14:paraId="1045DE31" w14:textId="77777777" w:rsidTr="00C40540">
        <w:trPr>
          <w:trHeight w:val="251"/>
        </w:trPr>
        <w:tc>
          <w:tcPr>
            <w:tcW w:w="1086" w:type="pct"/>
            <w:tcBorders>
              <w:top w:val="single" w:sz="4" w:space="0" w:color="000000"/>
              <w:left w:val="single" w:sz="4" w:space="0" w:color="000000"/>
              <w:bottom w:val="single" w:sz="4" w:space="0" w:color="000000"/>
              <w:right w:val="single" w:sz="4" w:space="0" w:color="000000"/>
            </w:tcBorders>
            <w:hideMark/>
          </w:tcPr>
          <w:p w14:paraId="2571D077" w14:textId="77777777" w:rsidR="00DC6CAA" w:rsidRDefault="00DC6CAA">
            <w:pPr>
              <w:pStyle w:val="TableParagraph"/>
              <w:jc w:val="left"/>
              <w:rPr>
                <w:sz w:val="24"/>
                <w:szCs w:val="24"/>
              </w:rPr>
            </w:pPr>
            <w:r>
              <w:rPr>
                <w:sz w:val="24"/>
                <w:szCs w:val="24"/>
              </w:rPr>
              <w:t>Antal patienter</w:t>
            </w:r>
          </w:p>
        </w:tc>
        <w:tc>
          <w:tcPr>
            <w:tcW w:w="526" w:type="pct"/>
            <w:tcBorders>
              <w:top w:val="single" w:sz="4" w:space="0" w:color="000000"/>
              <w:left w:val="single" w:sz="4" w:space="0" w:color="000000"/>
              <w:bottom w:val="single" w:sz="4" w:space="0" w:color="000000"/>
              <w:right w:val="single" w:sz="4" w:space="0" w:color="000000"/>
            </w:tcBorders>
            <w:hideMark/>
          </w:tcPr>
          <w:p w14:paraId="1A57266C" w14:textId="77777777" w:rsidR="00DC6CAA" w:rsidRDefault="00DC6CAA">
            <w:pPr>
              <w:pStyle w:val="TableParagraph"/>
              <w:ind w:left="105"/>
              <w:rPr>
                <w:sz w:val="24"/>
                <w:szCs w:val="24"/>
              </w:rPr>
            </w:pPr>
            <w:r>
              <w:rPr>
                <w:sz w:val="24"/>
                <w:szCs w:val="24"/>
              </w:rPr>
              <w:t>n = 61</w:t>
            </w:r>
          </w:p>
        </w:tc>
        <w:tc>
          <w:tcPr>
            <w:tcW w:w="683" w:type="pct"/>
            <w:tcBorders>
              <w:top w:val="single" w:sz="4" w:space="0" w:color="000000"/>
              <w:left w:val="single" w:sz="4" w:space="0" w:color="000000"/>
              <w:bottom w:val="single" w:sz="4" w:space="0" w:color="000000"/>
              <w:right w:val="single" w:sz="4" w:space="0" w:color="000000"/>
            </w:tcBorders>
            <w:hideMark/>
          </w:tcPr>
          <w:p w14:paraId="1C69B1C3" w14:textId="77777777" w:rsidR="00DC6CAA" w:rsidRDefault="00DC6CAA">
            <w:pPr>
              <w:pStyle w:val="TableParagraph"/>
              <w:ind w:left="108"/>
              <w:rPr>
                <w:sz w:val="24"/>
                <w:szCs w:val="24"/>
              </w:rPr>
            </w:pPr>
            <w:r>
              <w:rPr>
                <w:sz w:val="24"/>
                <w:szCs w:val="24"/>
              </w:rPr>
              <w:t>n = 134</w:t>
            </w:r>
          </w:p>
        </w:tc>
        <w:tc>
          <w:tcPr>
            <w:tcW w:w="669" w:type="pct"/>
            <w:tcBorders>
              <w:top w:val="single" w:sz="4" w:space="0" w:color="000000"/>
              <w:left w:val="single" w:sz="4" w:space="0" w:color="000000"/>
              <w:bottom w:val="single" w:sz="4" w:space="0" w:color="000000"/>
              <w:right w:val="single" w:sz="4" w:space="0" w:color="000000"/>
            </w:tcBorders>
            <w:hideMark/>
          </w:tcPr>
          <w:p w14:paraId="1DD545FB" w14:textId="77777777" w:rsidR="00DC6CAA" w:rsidRDefault="00DC6CAA">
            <w:pPr>
              <w:pStyle w:val="TableParagraph"/>
              <w:ind w:left="108"/>
              <w:rPr>
                <w:sz w:val="24"/>
                <w:szCs w:val="24"/>
              </w:rPr>
            </w:pPr>
            <w:r>
              <w:rPr>
                <w:sz w:val="24"/>
                <w:szCs w:val="24"/>
              </w:rPr>
              <w:t>n = 136</w:t>
            </w:r>
          </w:p>
        </w:tc>
        <w:tc>
          <w:tcPr>
            <w:tcW w:w="755" w:type="pct"/>
            <w:tcBorders>
              <w:top w:val="single" w:sz="4" w:space="0" w:color="000000"/>
              <w:left w:val="single" w:sz="4" w:space="0" w:color="000000"/>
              <w:bottom w:val="single" w:sz="4" w:space="0" w:color="000000"/>
              <w:right w:val="single" w:sz="4" w:space="0" w:color="000000"/>
            </w:tcBorders>
            <w:hideMark/>
          </w:tcPr>
          <w:p w14:paraId="19EA743F" w14:textId="77777777" w:rsidR="00DC6CAA" w:rsidRDefault="00DC6CAA">
            <w:pPr>
              <w:pStyle w:val="TableParagraph"/>
              <w:ind w:left="108"/>
              <w:rPr>
                <w:sz w:val="24"/>
                <w:szCs w:val="24"/>
              </w:rPr>
            </w:pPr>
            <w:r>
              <w:rPr>
                <w:sz w:val="24"/>
                <w:szCs w:val="24"/>
              </w:rPr>
              <w:t>n = 135</w:t>
            </w:r>
          </w:p>
        </w:tc>
        <w:tc>
          <w:tcPr>
            <w:tcW w:w="597" w:type="pct"/>
            <w:tcBorders>
              <w:top w:val="single" w:sz="4" w:space="0" w:color="000000"/>
              <w:left w:val="single" w:sz="4" w:space="0" w:color="000000"/>
              <w:bottom w:val="single" w:sz="4" w:space="0" w:color="000000"/>
              <w:right w:val="single" w:sz="4" w:space="0" w:color="000000"/>
            </w:tcBorders>
            <w:hideMark/>
          </w:tcPr>
          <w:p w14:paraId="527A41FE" w14:textId="77777777" w:rsidR="00DC6CAA" w:rsidRDefault="00DC6CAA">
            <w:pPr>
              <w:pStyle w:val="TableParagraph"/>
              <w:ind w:left="108"/>
              <w:rPr>
                <w:sz w:val="24"/>
                <w:szCs w:val="24"/>
              </w:rPr>
            </w:pPr>
            <w:r>
              <w:rPr>
                <w:sz w:val="24"/>
                <w:szCs w:val="24"/>
              </w:rPr>
              <w:t>n = 132</w:t>
            </w:r>
          </w:p>
        </w:tc>
        <w:tc>
          <w:tcPr>
            <w:tcW w:w="683" w:type="pct"/>
            <w:tcBorders>
              <w:top w:val="single" w:sz="4" w:space="0" w:color="000000"/>
              <w:left w:val="single" w:sz="4" w:space="0" w:color="000000"/>
              <w:bottom w:val="single" w:sz="4" w:space="0" w:color="000000"/>
              <w:right w:val="single" w:sz="4" w:space="0" w:color="000000"/>
            </w:tcBorders>
            <w:hideMark/>
          </w:tcPr>
          <w:p w14:paraId="37429473" w14:textId="77777777" w:rsidR="00DC6CAA" w:rsidRDefault="00DC6CAA">
            <w:pPr>
              <w:pStyle w:val="TableParagraph"/>
              <w:ind w:left="106"/>
              <w:rPr>
                <w:sz w:val="24"/>
                <w:szCs w:val="24"/>
              </w:rPr>
            </w:pPr>
            <w:r>
              <w:rPr>
                <w:sz w:val="24"/>
                <w:szCs w:val="24"/>
              </w:rPr>
              <w:t>n = 136</w:t>
            </w:r>
          </w:p>
        </w:tc>
      </w:tr>
      <w:tr w:rsidR="00DC6CAA" w14:paraId="681D3C3D" w14:textId="77777777" w:rsidTr="00C40540">
        <w:trPr>
          <w:trHeight w:val="506"/>
        </w:trPr>
        <w:tc>
          <w:tcPr>
            <w:tcW w:w="1086" w:type="pct"/>
            <w:tcBorders>
              <w:top w:val="single" w:sz="4" w:space="0" w:color="000000"/>
              <w:left w:val="single" w:sz="4" w:space="0" w:color="000000"/>
              <w:bottom w:val="single" w:sz="4" w:space="0" w:color="000000"/>
              <w:right w:val="single" w:sz="4" w:space="0" w:color="000000"/>
            </w:tcBorders>
            <w:hideMark/>
          </w:tcPr>
          <w:p w14:paraId="6369AC2E" w14:textId="77777777" w:rsidR="00DC6CAA" w:rsidRDefault="00DC6CAA">
            <w:pPr>
              <w:pStyle w:val="TableParagraph"/>
              <w:jc w:val="left"/>
              <w:rPr>
                <w:i/>
                <w:sz w:val="24"/>
                <w:szCs w:val="24"/>
              </w:rPr>
            </w:pPr>
            <w:r>
              <w:rPr>
                <w:i/>
                <w:sz w:val="24"/>
                <w:szCs w:val="24"/>
              </w:rPr>
              <w:t>Baseline</w:t>
            </w:r>
          </w:p>
          <w:p w14:paraId="67FF4B42" w14:textId="77777777" w:rsidR="00DC6CAA" w:rsidRDefault="00DC6CAA">
            <w:pPr>
              <w:pStyle w:val="TableParagraph"/>
              <w:jc w:val="left"/>
              <w:rPr>
                <w:sz w:val="24"/>
                <w:szCs w:val="24"/>
              </w:rPr>
            </w:pPr>
            <w:r>
              <w:rPr>
                <w:sz w:val="24"/>
                <w:szCs w:val="24"/>
              </w:rPr>
              <w:t>(gennemsnit)</w:t>
            </w:r>
          </w:p>
        </w:tc>
        <w:tc>
          <w:tcPr>
            <w:tcW w:w="526" w:type="pct"/>
            <w:tcBorders>
              <w:top w:val="single" w:sz="4" w:space="0" w:color="000000"/>
              <w:left w:val="single" w:sz="4" w:space="0" w:color="000000"/>
              <w:bottom w:val="single" w:sz="4" w:space="0" w:color="000000"/>
              <w:right w:val="single" w:sz="4" w:space="0" w:color="000000"/>
            </w:tcBorders>
            <w:hideMark/>
          </w:tcPr>
          <w:p w14:paraId="47F7080E" w14:textId="77777777" w:rsidR="00DC6CAA" w:rsidRDefault="00DC6CAA">
            <w:pPr>
              <w:pStyle w:val="TableParagraph"/>
              <w:ind w:left="105"/>
              <w:rPr>
                <w:sz w:val="24"/>
                <w:szCs w:val="24"/>
              </w:rPr>
            </w:pPr>
            <w:r>
              <w:rPr>
                <w:sz w:val="24"/>
                <w:szCs w:val="24"/>
              </w:rPr>
              <w:t>203</w:t>
            </w:r>
          </w:p>
        </w:tc>
        <w:tc>
          <w:tcPr>
            <w:tcW w:w="683" w:type="pct"/>
            <w:tcBorders>
              <w:top w:val="single" w:sz="4" w:space="0" w:color="000000"/>
              <w:left w:val="single" w:sz="4" w:space="0" w:color="000000"/>
              <w:bottom w:val="single" w:sz="4" w:space="0" w:color="000000"/>
              <w:right w:val="single" w:sz="4" w:space="0" w:color="000000"/>
            </w:tcBorders>
            <w:hideMark/>
          </w:tcPr>
          <w:p w14:paraId="6AFCDC32" w14:textId="77777777" w:rsidR="00DC6CAA" w:rsidRDefault="00DC6CAA">
            <w:pPr>
              <w:pStyle w:val="TableParagraph"/>
              <w:ind w:left="108"/>
              <w:rPr>
                <w:sz w:val="24"/>
                <w:szCs w:val="24"/>
              </w:rPr>
            </w:pPr>
            <w:r>
              <w:rPr>
                <w:sz w:val="24"/>
                <w:szCs w:val="24"/>
              </w:rPr>
              <w:t>195</w:t>
            </w:r>
          </w:p>
        </w:tc>
        <w:tc>
          <w:tcPr>
            <w:tcW w:w="669" w:type="pct"/>
            <w:tcBorders>
              <w:top w:val="single" w:sz="4" w:space="0" w:color="000000"/>
              <w:left w:val="single" w:sz="4" w:space="0" w:color="000000"/>
              <w:bottom w:val="single" w:sz="4" w:space="0" w:color="000000"/>
              <w:right w:val="single" w:sz="4" w:space="0" w:color="000000"/>
            </w:tcBorders>
            <w:hideMark/>
          </w:tcPr>
          <w:p w14:paraId="01986593" w14:textId="77777777" w:rsidR="00DC6CAA" w:rsidRDefault="00DC6CAA">
            <w:pPr>
              <w:pStyle w:val="TableParagraph"/>
              <w:ind w:left="108"/>
              <w:rPr>
                <w:sz w:val="24"/>
                <w:szCs w:val="24"/>
              </w:rPr>
            </w:pPr>
            <w:r>
              <w:rPr>
                <w:sz w:val="24"/>
                <w:szCs w:val="24"/>
              </w:rPr>
              <w:t>191</w:t>
            </w:r>
          </w:p>
        </w:tc>
        <w:tc>
          <w:tcPr>
            <w:tcW w:w="755" w:type="pct"/>
            <w:tcBorders>
              <w:top w:val="single" w:sz="4" w:space="0" w:color="000000"/>
              <w:left w:val="single" w:sz="4" w:space="0" w:color="000000"/>
              <w:bottom w:val="single" w:sz="4" w:space="0" w:color="000000"/>
              <w:right w:val="single" w:sz="4" w:space="0" w:color="000000"/>
            </w:tcBorders>
            <w:hideMark/>
          </w:tcPr>
          <w:p w14:paraId="4E7D722C" w14:textId="77777777" w:rsidR="00DC6CAA" w:rsidRDefault="00DC6CAA">
            <w:pPr>
              <w:pStyle w:val="TableParagraph"/>
              <w:ind w:left="108"/>
              <w:rPr>
                <w:sz w:val="24"/>
                <w:szCs w:val="24"/>
              </w:rPr>
            </w:pPr>
            <w:r>
              <w:rPr>
                <w:sz w:val="24"/>
                <w:szCs w:val="24"/>
              </w:rPr>
              <w:t>199</w:t>
            </w:r>
          </w:p>
        </w:tc>
        <w:tc>
          <w:tcPr>
            <w:tcW w:w="597" w:type="pct"/>
            <w:tcBorders>
              <w:top w:val="single" w:sz="4" w:space="0" w:color="000000"/>
              <w:left w:val="single" w:sz="4" w:space="0" w:color="000000"/>
              <w:bottom w:val="single" w:sz="4" w:space="0" w:color="000000"/>
              <w:right w:val="single" w:sz="4" w:space="0" w:color="000000"/>
            </w:tcBorders>
            <w:hideMark/>
          </w:tcPr>
          <w:p w14:paraId="3D91DD8C" w14:textId="77777777" w:rsidR="00DC6CAA" w:rsidRDefault="00DC6CAA">
            <w:pPr>
              <w:pStyle w:val="TableParagraph"/>
              <w:ind w:left="108"/>
              <w:rPr>
                <w:sz w:val="24"/>
                <w:szCs w:val="24"/>
              </w:rPr>
            </w:pPr>
            <w:r>
              <w:rPr>
                <w:sz w:val="24"/>
                <w:szCs w:val="24"/>
              </w:rPr>
              <w:t>191</w:t>
            </w:r>
          </w:p>
        </w:tc>
        <w:tc>
          <w:tcPr>
            <w:tcW w:w="683" w:type="pct"/>
            <w:tcBorders>
              <w:top w:val="single" w:sz="4" w:space="0" w:color="000000"/>
              <w:left w:val="single" w:sz="4" w:space="0" w:color="000000"/>
              <w:bottom w:val="single" w:sz="4" w:space="0" w:color="000000"/>
              <w:right w:val="single" w:sz="4" w:space="0" w:color="000000"/>
            </w:tcBorders>
            <w:hideMark/>
          </w:tcPr>
          <w:p w14:paraId="1FED27D1" w14:textId="77777777" w:rsidR="00DC6CAA" w:rsidRDefault="00DC6CAA">
            <w:pPr>
              <w:pStyle w:val="TableParagraph"/>
              <w:ind w:left="106"/>
              <w:rPr>
                <w:sz w:val="24"/>
                <w:szCs w:val="24"/>
              </w:rPr>
            </w:pPr>
            <w:r>
              <w:rPr>
                <w:sz w:val="24"/>
                <w:szCs w:val="24"/>
              </w:rPr>
              <w:t>196</w:t>
            </w:r>
          </w:p>
        </w:tc>
      </w:tr>
      <w:tr w:rsidR="00DC6CAA" w14:paraId="4B524EA5" w14:textId="77777777" w:rsidTr="00C40540">
        <w:trPr>
          <w:trHeight w:val="757"/>
        </w:trPr>
        <w:tc>
          <w:tcPr>
            <w:tcW w:w="1086" w:type="pct"/>
            <w:tcBorders>
              <w:top w:val="single" w:sz="4" w:space="0" w:color="000000"/>
              <w:left w:val="single" w:sz="4" w:space="0" w:color="000000"/>
              <w:bottom w:val="single" w:sz="4" w:space="0" w:color="000000"/>
              <w:right w:val="single" w:sz="4" w:space="0" w:color="000000"/>
            </w:tcBorders>
            <w:hideMark/>
          </w:tcPr>
          <w:p w14:paraId="449CDCA8" w14:textId="77777777" w:rsidR="00DC6CAA" w:rsidRDefault="00DC6CAA">
            <w:pPr>
              <w:pStyle w:val="TableParagraph"/>
              <w:jc w:val="left"/>
              <w:rPr>
                <w:sz w:val="24"/>
                <w:szCs w:val="24"/>
                <w:lang w:val="da-DK"/>
              </w:rPr>
            </w:pPr>
            <w:r>
              <w:rPr>
                <w:sz w:val="24"/>
                <w:szCs w:val="24"/>
                <w:lang w:val="da-DK"/>
              </w:rPr>
              <w:t>Ændring i forhold</w:t>
            </w:r>
          </w:p>
          <w:p w14:paraId="50C9F378" w14:textId="77777777" w:rsidR="00DC6CAA" w:rsidRDefault="00DC6CAA">
            <w:pPr>
              <w:pStyle w:val="TableParagraph"/>
              <w:ind w:right="107"/>
              <w:jc w:val="left"/>
              <w:rPr>
                <w:sz w:val="24"/>
                <w:szCs w:val="24"/>
                <w:lang w:val="da-DK"/>
              </w:rPr>
            </w:pPr>
            <w:r>
              <w:rPr>
                <w:sz w:val="24"/>
                <w:szCs w:val="24"/>
                <w:lang w:val="da-DK"/>
              </w:rPr>
              <w:t xml:space="preserve">til </w:t>
            </w:r>
            <w:r>
              <w:rPr>
                <w:i/>
                <w:sz w:val="24"/>
                <w:szCs w:val="24"/>
                <w:lang w:val="da-DK"/>
              </w:rPr>
              <w:t xml:space="preserve">baseline </w:t>
            </w:r>
            <w:r>
              <w:rPr>
                <w:sz w:val="24"/>
                <w:szCs w:val="24"/>
                <w:lang w:val="da-DK"/>
              </w:rPr>
              <w:t>(justeret gennemsnit)</w:t>
            </w:r>
          </w:p>
        </w:tc>
        <w:tc>
          <w:tcPr>
            <w:tcW w:w="526" w:type="pct"/>
            <w:tcBorders>
              <w:top w:val="single" w:sz="4" w:space="0" w:color="000000"/>
              <w:left w:val="single" w:sz="4" w:space="0" w:color="000000"/>
              <w:bottom w:val="single" w:sz="4" w:space="0" w:color="000000"/>
              <w:right w:val="single" w:sz="4" w:space="0" w:color="000000"/>
            </w:tcBorders>
          </w:tcPr>
          <w:p w14:paraId="6E8E25A5" w14:textId="77777777" w:rsidR="00DC6CAA" w:rsidRDefault="00DC6CAA">
            <w:pPr>
              <w:pStyle w:val="TableParagraph"/>
              <w:ind w:left="0"/>
              <w:rPr>
                <w:sz w:val="24"/>
                <w:szCs w:val="24"/>
                <w:lang w:val="da-DK"/>
              </w:rPr>
            </w:pPr>
          </w:p>
          <w:p w14:paraId="5E473016" w14:textId="77777777" w:rsidR="00DC6CAA" w:rsidRDefault="00DC6CAA">
            <w:pPr>
              <w:pStyle w:val="TableParagraph"/>
              <w:ind w:left="105"/>
              <w:rPr>
                <w:sz w:val="24"/>
                <w:szCs w:val="24"/>
              </w:rPr>
            </w:pPr>
            <w:r>
              <w:rPr>
                <w:sz w:val="24"/>
                <w:szCs w:val="24"/>
              </w:rPr>
              <w:t>10</w:t>
            </w:r>
          </w:p>
        </w:tc>
        <w:tc>
          <w:tcPr>
            <w:tcW w:w="683" w:type="pct"/>
            <w:tcBorders>
              <w:top w:val="single" w:sz="4" w:space="0" w:color="000000"/>
              <w:left w:val="single" w:sz="4" w:space="0" w:color="000000"/>
              <w:bottom w:val="single" w:sz="4" w:space="0" w:color="000000"/>
              <w:right w:val="single" w:sz="4" w:space="0" w:color="000000"/>
            </w:tcBorders>
          </w:tcPr>
          <w:p w14:paraId="6C0CB3A6" w14:textId="77777777" w:rsidR="00DC6CAA" w:rsidRDefault="00DC6CAA">
            <w:pPr>
              <w:pStyle w:val="TableParagraph"/>
              <w:ind w:left="0"/>
              <w:rPr>
                <w:sz w:val="24"/>
                <w:szCs w:val="24"/>
              </w:rPr>
            </w:pPr>
          </w:p>
          <w:p w14:paraId="3E54EA94" w14:textId="77777777" w:rsidR="00DC6CAA" w:rsidRDefault="00DC6CAA">
            <w:pPr>
              <w:pStyle w:val="TableParagraph"/>
              <w:ind w:left="108"/>
              <w:rPr>
                <w:sz w:val="24"/>
                <w:szCs w:val="24"/>
              </w:rPr>
            </w:pPr>
            <w:r>
              <w:rPr>
                <w:sz w:val="24"/>
                <w:szCs w:val="24"/>
              </w:rPr>
              <w:t>-9</w:t>
            </w:r>
          </w:p>
        </w:tc>
        <w:tc>
          <w:tcPr>
            <w:tcW w:w="669" w:type="pct"/>
            <w:tcBorders>
              <w:top w:val="single" w:sz="4" w:space="0" w:color="000000"/>
              <w:left w:val="single" w:sz="4" w:space="0" w:color="000000"/>
              <w:bottom w:val="single" w:sz="4" w:space="0" w:color="000000"/>
              <w:right w:val="single" w:sz="4" w:space="0" w:color="000000"/>
            </w:tcBorders>
          </w:tcPr>
          <w:p w14:paraId="5AB81298" w14:textId="77777777" w:rsidR="00DC6CAA" w:rsidRDefault="00DC6CAA">
            <w:pPr>
              <w:pStyle w:val="TableParagraph"/>
              <w:ind w:left="0"/>
              <w:rPr>
                <w:sz w:val="24"/>
                <w:szCs w:val="24"/>
              </w:rPr>
            </w:pPr>
          </w:p>
          <w:p w14:paraId="62AE4176" w14:textId="77777777" w:rsidR="00DC6CAA" w:rsidRDefault="00DC6CAA">
            <w:pPr>
              <w:pStyle w:val="TableParagraph"/>
              <w:ind w:left="108"/>
              <w:rPr>
                <w:sz w:val="24"/>
                <w:szCs w:val="24"/>
              </w:rPr>
            </w:pPr>
            <w:r>
              <w:rPr>
                <w:sz w:val="24"/>
                <w:szCs w:val="24"/>
              </w:rPr>
              <w:t>-16</w:t>
            </w:r>
          </w:p>
        </w:tc>
        <w:tc>
          <w:tcPr>
            <w:tcW w:w="755" w:type="pct"/>
            <w:tcBorders>
              <w:top w:val="single" w:sz="4" w:space="0" w:color="000000"/>
              <w:left w:val="single" w:sz="4" w:space="0" w:color="000000"/>
              <w:bottom w:val="single" w:sz="4" w:space="0" w:color="000000"/>
              <w:right w:val="single" w:sz="4" w:space="0" w:color="000000"/>
            </w:tcBorders>
          </w:tcPr>
          <w:p w14:paraId="52122974" w14:textId="77777777" w:rsidR="00DC6CAA" w:rsidRDefault="00DC6CAA">
            <w:pPr>
              <w:pStyle w:val="TableParagraph"/>
              <w:ind w:left="0"/>
              <w:rPr>
                <w:sz w:val="24"/>
                <w:szCs w:val="24"/>
              </w:rPr>
            </w:pPr>
          </w:p>
          <w:p w14:paraId="1DCD1BF6" w14:textId="77777777" w:rsidR="00DC6CAA" w:rsidRDefault="00DC6CAA">
            <w:pPr>
              <w:pStyle w:val="TableParagraph"/>
              <w:ind w:left="108"/>
              <w:rPr>
                <w:sz w:val="24"/>
                <w:szCs w:val="24"/>
              </w:rPr>
            </w:pPr>
            <w:r>
              <w:rPr>
                <w:sz w:val="24"/>
                <w:szCs w:val="24"/>
              </w:rPr>
              <w:t>-33</w:t>
            </w:r>
          </w:p>
        </w:tc>
        <w:tc>
          <w:tcPr>
            <w:tcW w:w="597" w:type="pct"/>
            <w:tcBorders>
              <w:top w:val="single" w:sz="4" w:space="0" w:color="000000"/>
              <w:left w:val="single" w:sz="4" w:space="0" w:color="000000"/>
              <w:bottom w:val="single" w:sz="4" w:space="0" w:color="000000"/>
              <w:right w:val="single" w:sz="4" w:space="0" w:color="000000"/>
            </w:tcBorders>
          </w:tcPr>
          <w:p w14:paraId="60B67785" w14:textId="77777777" w:rsidR="00DC6CAA" w:rsidRDefault="00DC6CAA">
            <w:pPr>
              <w:pStyle w:val="TableParagraph"/>
              <w:ind w:left="0"/>
              <w:rPr>
                <w:sz w:val="24"/>
                <w:szCs w:val="24"/>
              </w:rPr>
            </w:pPr>
          </w:p>
          <w:p w14:paraId="53140A46" w14:textId="77777777" w:rsidR="00DC6CAA" w:rsidRDefault="00DC6CAA">
            <w:pPr>
              <w:pStyle w:val="TableParagraph"/>
              <w:ind w:left="108"/>
              <w:rPr>
                <w:sz w:val="24"/>
                <w:szCs w:val="24"/>
              </w:rPr>
            </w:pPr>
            <w:r>
              <w:rPr>
                <w:sz w:val="24"/>
                <w:szCs w:val="24"/>
              </w:rPr>
              <w:t>-32</w:t>
            </w:r>
          </w:p>
        </w:tc>
        <w:tc>
          <w:tcPr>
            <w:tcW w:w="683" w:type="pct"/>
            <w:tcBorders>
              <w:top w:val="single" w:sz="4" w:space="0" w:color="000000"/>
              <w:left w:val="single" w:sz="4" w:space="0" w:color="000000"/>
              <w:bottom w:val="single" w:sz="4" w:space="0" w:color="000000"/>
              <w:right w:val="single" w:sz="4" w:space="0" w:color="000000"/>
            </w:tcBorders>
          </w:tcPr>
          <w:p w14:paraId="42DAFAEB" w14:textId="77777777" w:rsidR="00DC6CAA" w:rsidRDefault="00DC6CAA">
            <w:pPr>
              <w:pStyle w:val="TableParagraph"/>
              <w:ind w:left="0"/>
              <w:rPr>
                <w:sz w:val="24"/>
                <w:szCs w:val="24"/>
              </w:rPr>
            </w:pPr>
          </w:p>
          <w:p w14:paraId="65D8DAE4" w14:textId="77777777" w:rsidR="00DC6CAA" w:rsidRDefault="00DC6CAA">
            <w:pPr>
              <w:pStyle w:val="TableParagraph"/>
              <w:ind w:left="106"/>
              <w:rPr>
                <w:sz w:val="24"/>
                <w:szCs w:val="24"/>
              </w:rPr>
            </w:pPr>
            <w:r>
              <w:rPr>
                <w:sz w:val="24"/>
                <w:szCs w:val="24"/>
              </w:rPr>
              <w:t>-49</w:t>
            </w:r>
          </w:p>
        </w:tc>
      </w:tr>
      <w:tr w:rsidR="00DC6CAA" w14:paraId="1B2A46A1" w14:textId="77777777" w:rsidTr="00C40540">
        <w:trPr>
          <w:trHeight w:val="1012"/>
        </w:trPr>
        <w:tc>
          <w:tcPr>
            <w:tcW w:w="1086" w:type="pct"/>
            <w:tcBorders>
              <w:top w:val="single" w:sz="4" w:space="0" w:color="000000"/>
              <w:left w:val="single" w:sz="4" w:space="0" w:color="000000"/>
              <w:bottom w:val="single" w:sz="4" w:space="0" w:color="000000"/>
              <w:right w:val="single" w:sz="4" w:space="0" w:color="000000"/>
            </w:tcBorders>
            <w:hideMark/>
          </w:tcPr>
          <w:p w14:paraId="2F9FE669" w14:textId="77777777" w:rsidR="00DC6CAA" w:rsidRDefault="00DC6CAA">
            <w:pPr>
              <w:pStyle w:val="TableParagraph"/>
              <w:ind w:right="180"/>
              <w:jc w:val="left"/>
              <w:rPr>
                <w:sz w:val="24"/>
                <w:szCs w:val="24"/>
                <w:lang w:val="da-DK"/>
              </w:rPr>
            </w:pPr>
            <w:r>
              <w:rPr>
                <w:sz w:val="24"/>
                <w:szCs w:val="24"/>
                <w:lang w:val="da-DK"/>
              </w:rPr>
              <w:t>Afvigelse fra placebo (justeret gennemsnit) (95 %</w:t>
            </w:r>
          </w:p>
          <w:p w14:paraId="24571526" w14:textId="77777777" w:rsidR="00DC6CAA" w:rsidRDefault="00DC6CAA">
            <w:pPr>
              <w:pStyle w:val="TableParagraph"/>
              <w:jc w:val="left"/>
              <w:rPr>
                <w:sz w:val="24"/>
                <w:szCs w:val="24"/>
              </w:rPr>
            </w:pPr>
            <w:r>
              <w:rPr>
                <w:sz w:val="24"/>
                <w:szCs w:val="24"/>
              </w:rPr>
              <w:t>CI)</w:t>
            </w:r>
          </w:p>
        </w:tc>
        <w:tc>
          <w:tcPr>
            <w:tcW w:w="526" w:type="pct"/>
            <w:tcBorders>
              <w:top w:val="single" w:sz="4" w:space="0" w:color="000000"/>
              <w:left w:val="single" w:sz="4" w:space="0" w:color="000000"/>
              <w:bottom w:val="single" w:sz="4" w:space="0" w:color="000000"/>
              <w:right w:val="single" w:sz="4" w:space="0" w:color="000000"/>
            </w:tcBorders>
            <w:hideMark/>
          </w:tcPr>
          <w:p w14:paraId="3BD325D3" w14:textId="77777777" w:rsidR="00DC6CAA" w:rsidRDefault="00DC6CAA">
            <w:pPr>
              <w:pStyle w:val="TableParagraph"/>
              <w:ind w:left="105"/>
              <w:rPr>
                <w:sz w:val="24"/>
                <w:szCs w:val="24"/>
              </w:rPr>
            </w:pPr>
            <w:r>
              <w:rPr>
                <w:sz w:val="24"/>
                <w:szCs w:val="24"/>
              </w:rPr>
              <w:t>--</w:t>
            </w:r>
          </w:p>
        </w:tc>
        <w:tc>
          <w:tcPr>
            <w:tcW w:w="683" w:type="pct"/>
            <w:tcBorders>
              <w:top w:val="single" w:sz="4" w:space="0" w:color="000000"/>
              <w:left w:val="single" w:sz="4" w:space="0" w:color="000000"/>
              <w:bottom w:val="single" w:sz="4" w:space="0" w:color="000000"/>
              <w:right w:val="single" w:sz="4" w:space="0" w:color="000000"/>
            </w:tcBorders>
            <w:hideMark/>
          </w:tcPr>
          <w:p w14:paraId="2E5EF362" w14:textId="77777777" w:rsidR="00DC6CAA" w:rsidRDefault="00DC6CAA">
            <w:pPr>
              <w:pStyle w:val="TableParagraph"/>
              <w:ind w:left="108"/>
              <w:rPr>
                <w:sz w:val="24"/>
                <w:szCs w:val="24"/>
              </w:rPr>
            </w:pPr>
            <w:r>
              <w:rPr>
                <w:sz w:val="24"/>
                <w:szCs w:val="24"/>
              </w:rPr>
              <w:t>-19</w:t>
            </w:r>
          </w:p>
          <w:p w14:paraId="0BABC761" w14:textId="77777777" w:rsidR="00DC6CAA" w:rsidRDefault="00DC6CAA">
            <w:pPr>
              <w:pStyle w:val="TableParagraph"/>
              <w:ind w:left="108"/>
              <w:rPr>
                <w:sz w:val="24"/>
                <w:szCs w:val="24"/>
              </w:rPr>
            </w:pPr>
            <w:r>
              <w:rPr>
                <w:sz w:val="24"/>
                <w:szCs w:val="24"/>
              </w:rPr>
              <w:t>(-31, -6)</w:t>
            </w:r>
          </w:p>
        </w:tc>
        <w:tc>
          <w:tcPr>
            <w:tcW w:w="669" w:type="pct"/>
            <w:tcBorders>
              <w:top w:val="single" w:sz="4" w:space="0" w:color="000000"/>
              <w:left w:val="single" w:sz="4" w:space="0" w:color="000000"/>
              <w:bottom w:val="single" w:sz="4" w:space="0" w:color="000000"/>
              <w:right w:val="single" w:sz="4" w:space="0" w:color="000000"/>
            </w:tcBorders>
            <w:hideMark/>
          </w:tcPr>
          <w:p w14:paraId="580C805F" w14:textId="77777777" w:rsidR="00DC6CAA" w:rsidRDefault="00DC6CAA">
            <w:pPr>
              <w:pStyle w:val="TableParagraph"/>
              <w:ind w:left="108"/>
              <w:rPr>
                <w:sz w:val="24"/>
                <w:szCs w:val="24"/>
              </w:rPr>
            </w:pPr>
            <w:r>
              <w:rPr>
                <w:sz w:val="24"/>
                <w:szCs w:val="24"/>
              </w:rPr>
              <w:t>-26</w:t>
            </w:r>
          </w:p>
          <w:p w14:paraId="72A595D3" w14:textId="77777777" w:rsidR="00DC6CAA" w:rsidRDefault="00DC6CAA">
            <w:pPr>
              <w:pStyle w:val="TableParagraph"/>
              <w:ind w:left="108"/>
              <w:rPr>
                <w:sz w:val="24"/>
                <w:szCs w:val="24"/>
              </w:rPr>
            </w:pPr>
            <w:r>
              <w:rPr>
                <w:sz w:val="24"/>
                <w:szCs w:val="24"/>
              </w:rPr>
              <w:t>(-38, -14)</w:t>
            </w:r>
          </w:p>
        </w:tc>
        <w:tc>
          <w:tcPr>
            <w:tcW w:w="755" w:type="pct"/>
            <w:tcBorders>
              <w:top w:val="single" w:sz="4" w:space="0" w:color="000000"/>
              <w:left w:val="single" w:sz="4" w:space="0" w:color="000000"/>
              <w:bottom w:val="single" w:sz="4" w:space="0" w:color="000000"/>
              <w:right w:val="single" w:sz="4" w:space="0" w:color="000000"/>
            </w:tcBorders>
            <w:hideMark/>
          </w:tcPr>
          <w:p w14:paraId="5571AD45" w14:textId="77777777" w:rsidR="00DC6CAA" w:rsidRDefault="00DC6CAA">
            <w:pPr>
              <w:pStyle w:val="TableParagraph"/>
              <w:ind w:left="108"/>
              <w:rPr>
                <w:sz w:val="24"/>
                <w:szCs w:val="24"/>
              </w:rPr>
            </w:pPr>
            <w:r>
              <w:rPr>
                <w:sz w:val="24"/>
                <w:szCs w:val="24"/>
              </w:rPr>
              <w:t>-43</w:t>
            </w:r>
          </w:p>
          <w:p w14:paraId="05112662" w14:textId="77777777" w:rsidR="00DC6CAA" w:rsidRDefault="00DC6CAA">
            <w:pPr>
              <w:pStyle w:val="TableParagraph"/>
              <w:ind w:left="108"/>
              <w:rPr>
                <w:sz w:val="24"/>
                <w:szCs w:val="24"/>
              </w:rPr>
            </w:pPr>
            <w:r>
              <w:rPr>
                <w:sz w:val="24"/>
                <w:szCs w:val="24"/>
              </w:rPr>
              <w:t>(-56, -31)</w:t>
            </w:r>
          </w:p>
        </w:tc>
        <w:tc>
          <w:tcPr>
            <w:tcW w:w="597" w:type="pct"/>
            <w:tcBorders>
              <w:top w:val="single" w:sz="4" w:space="0" w:color="000000"/>
              <w:left w:val="single" w:sz="4" w:space="0" w:color="000000"/>
              <w:bottom w:val="single" w:sz="4" w:space="0" w:color="000000"/>
              <w:right w:val="single" w:sz="4" w:space="0" w:color="000000"/>
            </w:tcBorders>
            <w:hideMark/>
          </w:tcPr>
          <w:p w14:paraId="7DFA29CE" w14:textId="77777777" w:rsidR="00DC6CAA" w:rsidRDefault="00DC6CAA">
            <w:pPr>
              <w:pStyle w:val="TableParagraph"/>
              <w:ind w:left="108"/>
              <w:rPr>
                <w:sz w:val="24"/>
                <w:szCs w:val="24"/>
              </w:rPr>
            </w:pPr>
            <w:r>
              <w:rPr>
                <w:sz w:val="24"/>
                <w:szCs w:val="24"/>
              </w:rPr>
              <w:t>-42</w:t>
            </w:r>
          </w:p>
          <w:p w14:paraId="0122CA7C" w14:textId="77777777" w:rsidR="00DC6CAA" w:rsidRDefault="00DC6CAA">
            <w:pPr>
              <w:pStyle w:val="TableParagraph"/>
              <w:ind w:left="108"/>
              <w:rPr>
                <w:sz w:val="24"/>
                <w:szCs w:val="24"/>
              </w:rPr>
            </w:pPr>
            <w:r>
              <w:rPr>
                <w:sz w:val="24"/>
                <w:szCs w:val="24"/>
              </w:rPr>
              <w:t>(-55, -30)</w:t>
            </w:r>
          </w:p>
        </w:tc>
        <w:tc>
          <w:tcPr>
            <w:tcW w:w="683" w:type="pct"/>
            <w:tcBorders>
              <w:top w:val="single" w:sz="4" w:space="0" w:color="000000"/>
              <w:left w:val="single" w:sz="4" w:space="0" w:color="000000"/>
              <w:bottom w:val="single" w:sz="4" w:space="0" w:color="000000"/>
              <w:right w:val="single" w:sz="4" w:space="0" w:color="000000"/>
            </w:tcBorders>
            <w:hideMark/>
          </w:tcPr>
          <w:p w14:paraId="2EBEBA42" w14:textId="77777777" w:rsidR="00DC6CAA" w:rsidRDefault="00DC6CAA">
            <w:pPr>
              <w:pStyle w:val="TableParagraph"/>
              <w:ind w:left="106"/>
              <w:rPr>
                <w:sz w:val="24"/>
                <w:szCs w:val="24"/>
              </w:rPr>
            </w:pPr>
            <w:r>
              <w:rPr>
                <w:sz w:val="24"/>
                <w:szCs w:val="24"/>
              </w:rPr>
              <w:t>-60</w:t>
            </w:r>
          </w:p>
          <w:p w14:paraId="65FC4D31" w14:textId="77777777" w:rsidR="00DC6CAA" w:rsidRDefault="00DC6CAA">
            <w:pPr>
              <w:pStyle w:val="TableParagraph"/>
              <w:ind w:left="106"/>
              <w:rPr>
                <w:sz w:val="24"/>
                <w:szCs w:val="24"/>
              </w:rPr>
            </w:pPr>
            <w:r>
              <w:rPr>
                <w:sz w:val="24"/>
                <w:szCs w:val="24"/>
              </w:rPr>
              <w:t>(-72, -47)</w:t>
            </w:r>
          </w:p>
        </w:tc>
      </w:tr>
    </w:tbl>
    <w:p w14:paraId="3FE446FC" w14:textId="77777777" w:rsidR="00DC6CAA" w:rsidRDefault="00DC6CAA" w:rsidP="00DC6CAA">
      <w:pPr>
        <w:ind w:left="851"/>
        <w:rPr>
          <w:sz w:val="22"/>
          <w:szCs w:val="22"/>
        </w:rPr>
      </w:pPr>
      <w:r>
        <w:rPr>
          <w:sz w:val="22"/>
          <w:szCs w:val="22"/>
          <w:vertAlign w:val="superscript"/>
        </w:rPr>
        <w:t>1</w:t>
      </w:r>
      <w:r>
        <w:rPr>
          <w:sz w:val="22"/>
          <w:szCs w:val="22"/>
        </w:rPr>
        <w:t>Total daglig dosis af linagliptin er lig med 5 mg</w:t>
      </w:r>
    </w:p>
    <w:p w14:paraId="338409BD" w14:textId="77777777" w:rsidR="00DC6CAA" w:rsidRDefault="00DC6CAA" w:rsidP="00DC6CAA">
      <w:pPr>
        <w:ind w:left="851"/>
        <w:rPr>
          <w:sz w:val="24"/>
          <w:szCs w:val="24"/>
        </w:rPr>
      </w:pPr>
    </w:p>
    <w:p w14:paraId="6B76697B" w14:textId="3DA86F4A" w:rsidR="00DC6CAA" w:rsidRPr="000945FA" w:rsidRDefault="00DC6CAA" w:rsidP="000945FA">
      <w:pPr>
        <w:ind w:left="851"/>
        <w:rPr>
          <w:sz w:val="24"/>
          <w:szCs w:val="24"/>
        </w:rPr>
      </w:pPr>
      <w:r w:rsidRPr="000945FA">
        <w:rPr>
          <w:sz w:val="24"/>
          <w:szCs w:val="24"/>
        </w:rPr>
        <w:t>De gennemsnitlige reduktioner i HbA</w:t>
      </w:r>
      <w:r w:rsidRPr="00312252">
        <w:rPr>
          <w:sz w:val="24"/>
          <w:szCs w:val="24"/>
          <w:vertAlign w:val="subscript"/>
        </w:rPr>
        <w:t>1c</w:t>
      </w:r>
      <w:r w:rsidRPr="000945FA">
        <w:rPr>
          <w:sz w:val="24"/>
          <w:szCs w:val="24"/>
        </w:rPr>
        <w:t xml:space="preserve"> i forhold til </w:t>
      </w:r>
      <w:r w:rsidRPr="000945FA">
        <w:rPr>
          <w:i/>
          <w:sz w:val="24"/>
          <w:szCs w:val="24"/>
        </w:rPr>
        <w:t xml:space="preserve">baseline </w:t>
      </w:r>
      <w:r w:rsidRPr="000945FA">
        <w:rPr>
          <w:sz w:val="24"/>
          <w:szCs w:val="24"/>
        </w:rPr>
        <w:t xml:space="preserve">var generelt større for patienter med højere </w:t>
      </w:r>
      <w:r w:rsidRPr="000945FA">
        <w:rPr>
          <w:i/>
          <w:sz w:val="24"/>
          <w:szCs w:val="24"/>
        </w:rPr>
        <w:t>baseline</w:t>
      </w:r>
      <w:r w:rsidRPr="000945FA">
        <w:rPr>
          <w:sz w:val="24"/>
          <w:szCs w:val="24"/>
        </w:rPr>
        <w:t>-HbA</w:t>
      </w:r>
      <w:r w:rsidRPr="00312252">
        <w:rPr>
          <w:sz w:val="24"/>
          <w:szCs w:val="24"/>
          <w:vertAlign w:val="subscript"/>
        </w:rPr>
        <w:t>1c</w:t>
      </w:r>
      <w:r w:rsidRPr="000945FA">
        <w:rPr>
          <w:sz w:val="24"/>
          <w:szCs w:val="24"/>
        </w:rPr>
        <w:t xml:space="preserve">-værdier. Virkningerne på plasmalipider var generelt neutrale. Reduktionen i kropsvægt ved en kombination af linagliptin og metformin var den samme som den, der blev observeret med metformin alene eller placebo. Der var ingen ændring i vægt i forhold til </w:t>
      </w:r>
      <w:r w:rsidRPr="000945FA">
        <w:rPr>
          <w:i/>
          <w:sz w:val="24"/>
          <w:szCs w:val="24"/>
        </w:rPr>
        <w:t xml:space="preserve">baseline </w:t>
      </w:r>
      <w:r w:rsidRPr="000945FA">
        <w:rPr>
          <w:sz w:val="24"/>
          <w:szCs w:val="24"/>
        </w:rPr>
        <w:t>for patienter, der fik linagliptin alene. Hypoglykæmiforekomsten var den samme på tværs af behandlingsgrupperne (placebo 1,4</w:t>
      </w:r>
      <w:r w:rsidR="00312252">
        <w:rPr>
          <w:sz w:val="24"/>
          <w:szCs w:val="24"/>
        </w:rPr>
        <w:t> </w:t>
      </w:r>
      <w:r w:rsidRPr="000945FA">
        <w:rPr>
          <w:sz w:val="24"/>
          <w:szCs w:val="24"/>
        </w:rPr>
        <w:t>%, linagliptin 5 mg 0 %, metformin 2,1 % og linagliptin 2,5 mg plus metformin 2 gange dagligt 1,4 %).</w:t>
      </w:r>
    </w:p>
    <w:p w14:paraId="38B97B03" w14:textId="77777777" w:rsidR="00DC6CAA" w:rsidRPr="000945FA" w:rsidRDefault="00DC6CAA" w:rsidP="000945FA">
      <w:pPr>
        <w:ind w:left="851"/>
        <w:rPr>
          <w:sz w:val="24"/>
          <w:szCs w:val="24"/>
        </w:rPr>
      </w:pPr>
    </w:p>
    <w:p w14:paraId="3EB0E826" w14:textId="77777777" w:rsidR="00DC6CAA" w:rsidRPr="00175F05" w:rsidRDefault="00DC6CAA" w:rsidP="00175F05">
      <w:pPr>
        <w:ind w:left="851"/>
        <w:rPr>
          <w:sz w:val="24"/>
          <w:szCs w:val="24"/>
        </w:rPr>
      </w:pPr>
      <w:r w:rsidRPr="00175F05">
        <w:rPr>
          <w:sz w:val="24"/>
          <w:szCs w:val="24"/>
        </w:rPr>
        <w:t>I et 12-ugers dobbeltblindet, placebokontrolleret studie blev virkning og sikkerhed af linagliptin 2,5 mg 2 gange dagligt vs 5 mg én gang dagligt i kombination med metformin undersøgt hos patienter i metformin-monoterapi med utilstrækkelig glykæmisk kontrol. Behandling med linagliptin 5 mg én gang dagligt og 2,5 mg 2 gange dagligt medførte sammenlignelige (CI: -0,07; 0,19), signifikante HbA</w:t>
      </w:r>
      <w:r w:rsidRPr="00175F05">
        <w:rPr>
          <w:sz w:val="24"/>
          <w:szCs w:val="24"/>
          <w:vertAlign w:val="subscript"/>
        </w:rPr>
        <w:t>1c</w:t>
      </w:r>
      <w:r w:rsidRPr="00175F05">
        <w:rPr>
          <w:sz w:val="24"/>
          <w:szCs w:val="24"/>
        </w:rPr>
        <w:t xml:space="preserve">-reduktioner på henholdsvis -0,80 % (i forhold til </w:t>
      </w:r>
      <w:r w:rsidRPr="00175F05">
        <w:rPr>
          <w:i/>
          <w:sz w:val="24"/>
          <w:szCs w:val="24"/>
        </w:rPr>
        <w:t>baseline</w:t>
      </w:r>
      <w:r w:rsidRPr="00175F05">
        <w:rPr>
          <w:sz w:val="24"/>
          <w:szCs w:val="24"/>
        </w:rPr>
        <w:t xml:space="preserve"> 7,98 %) og -0,74 % (i forhold til </w:t>
      </w:r>
      <w:r w:rsidRPr="00175F05">
        <w:rPr>
          <w:i/>
          <w:sz w:val="24"/>
          <w:szCs w:val="24"/>
        </w:rPr>
        <w:t>baseline</w:t>
      </w:r>
      <w:r w:rsidRPr="00175F05">
        <w:rPr>
          <w:sz w:val="24"/>
          <w:szCs w:val="24"/>
        </w:rPr>
        <w:t xml:space="preserve"> 7,96 %) sammenlignet med placebo. Den observerede forekomst af hypoglykæmi hos patienter behandlet med linagliptin, svarede til forekomsten ved placebo. Kropsvægten varierede ikke signifikant grupperne imellem.</w:t>
      </w:r>
    </w:p>
    <w:p w14:paraId="23C6CD47" w14:textId="77777777" w:rsidR="00DC6CAA" w:rsidRDefault="00DC6CAA" w:rsidP="000945FA">
      <w:pPr>
        <w:pStyle w:val="Brdtekst"/>
        <w:ind w:left="851"/>
        <w:rPr>
          <w:sz w:val="24"/>
          <w:szCs w:val="24"/>
          <w:lang w:val="da-DK"/>
        </w:rPr>
      </w:pPr>
    </w:p>
    <w:p w14:paraId="1CBDDD9C" w14:textId="77777777" w:rsidR="00DC6CAA" w:rsidRDefault="00DC6CAA" w:rsidP="000945FA">
      <w:pPr>
        <w:ind w:left="851"/>
        <w:rPr>
          <w:i/>
          <w:sz w:val="24"/>
          <w:szCs w:val="24"/>
        </w:rPr>
      </w:pPr>
      <w:r>
        <w:rPr>
          <w:i/>
          <w:sz w:val="24"/>
          <w:szCs w:val="24"/>
          <w:u w:val="single"/>
        </w:rPr>
        <w:t>Linagliptin som tillæg til en kombinationsbehandling med metformin og et sulfonylurinstof</w:t>
      </w:r>
    </w:p>
    <w:p w14:paraId="3AEB61B8" w14:textId="3E6B13B4" w:rsidR="00DC6CAA" w:rsidRPr="00175F05" w:rsidRDefault="00DC6CAA" w:rsidP="00175F05">
      <w:pPr>
        <w:ind w:left="851"/>
        <w:rPr>
          <w:sz w:val="24"/>
          <w:szCs w:val="24"/>
        </w:rPr>
      </w:pPr>
      <w:r w:rsidRPr="00175F05">
        <w:rPr>
          <w:sz w:val="24"/>
          <w:szCs w:val="24"/>
        </w:rPr>
        <w:t>I et 24-ugers placebokontrolleret studie blev virkning og sikkerhed af linagliptin 5 mg undersøgt hos patienter, der ikke var tilstrækkeligt behandlet med en kombination af metformin og et sulfonylurinstof. Linagliptin medførte signifikante forbedringer i HbA</w:t>
      </w:r>
      <w:r w:rsidRPr="00175F05">
        <w:rPr>
          <w:sz w:val="24"/>
          <w:szCs w:val="24"/>
          <w:vertAlign w:val="subscript"/>
        </w:rPr>
        <w:t>1c</w:t>
      </w:r>
      <w:r w:rsidRPr="00175F05">
        <w:rPr>
          <w:sz w:val="24"/>
          <w:szCs w:val="24"/>
        </w:rPr>
        <w:t>, (ændring på -0,62 % vs. placebo) i forhold til en gennemsnitlig baseline-HbA</w:t>
      </w:r>
      <w:r w:rsidRPr="00175F05">
        <w:rPr>
          <w:sz w:val="24"/>
          <w:szCs w:val="24"/>
          <w:vertAlign w:val="subscript"/>
        </w:rPr>
        <w:t>1c</w:t>
      </w:r>
      <w:r w:rsidRPr="00175F05">
        <w:rPr>
          <w:sz w:val="24"/>
          <w:szCs w:val="24"/>
        </w:rPr>
        <w:t xml:space="preserve"> på 8,14 %. Linagliptin viste desuden signifikante forbedringer i andelen af</w:t>
      </w:r>
      <w:r w:rsidR="00175F05">
        <w:rPr>
          <w:sz w:val="24"/>
          <w:szCs w:val="24"/>
        </w:rPr>
        <w:t xml:space="preserve"> </w:t>
      </w:r>
      <w:r w:rsidRPr="00175F05">
        <w:rPr>
          <w:sz w:val="24"/>
          <w:szCs w:val="24"/>
        </w:rPr>
        <w:t>patienter, der opnåede en mål-HbA</w:t>
      </w:r>
      <w:r w:rsidRPr="00175F05">
        <w:rPr>
          <w:sz w:val="24"/>
          <w:szCs w:val="24"/>
          <w:vertAlign w:val="subscript"/>
        </w:rPr>
        <w:t>1c</w:t>
      </w:r>
      <w:r w:rsidRPr="00175F05">
        <w:rPr>
          <w:sz w:val="24"/>
          <w:szCs w:val="24"/>
        </w:rPr>
        <w:t xml:space="preserve"> på &lt; 7,0 % (31,2 % på linagliptin </w:t>
      </w:r>
      <w:r w:rsidRPr="00175F05">
        <w:rPr>
          <w:i/>
          <w:sz w:val="24"/>
          <w:szCs w:val="24"/>
        </w:rPr>
        <w:t>vs</w:t>
      </w:r>
      <w:r w:rsidRPr="00175F05">
        <w:rPr>
          <w:sz w:val="24"/>
          <w:szCs w:val="24"/>
        </w:rPr>
        <w:t xml:space="preserve"> 9,2 % på placebo), og også i patienternes </w:t>
      </w:r>
      <w:r w:rsidRPr="00175F05">
        <w:rPr>
          <w:sz w:val="24"/>
          <w:szCs w:val="24"/>
        </w:rPr>
        <w:lastRenderedPageBreak/>
        <w:t>faste-plasma-glucose (FPG) med en reduktion på -12,7 mg/dl sammenlignet med placebo. Kropsvægten varierede ikke signifikant grupperne imellem.</w:t>
      </w:r>
    </w:p>
    <w:p w14:paraId="7310A496" w14:textId="77777777" w:rsidR="00DC6CAA" w:rsidRPr="00175F05" w:rsidRDefault="00DC6CAA" w:rsidP="00175F05">
      <w:pPr>
        <w:ind w:left="851"/>
        <w:rPr>
          <w:sz w:val="24"/>
          <w:szCs w:val="24"/>
        </w:rPr>
      </w:pPr>
    </w:p>
    <w:p w14:paraId="6086F90A" w14:textId="77777777" w:rsidR="00DC6CAA" w:rsidRDefault="00DC6CAA" w:rsidP="000945FA">
      <w:pPr>
        <w:ind w:left="851"/>
        <w:rPr>
          <w:i/>
          <w:sz w:val="24"/>
          <w:szCs w:val="24"/>
        </w:rPr>
      </w:pPr>
      <w:r>
        <w:rPr>
          <w:i/>
          <w:sz w:val="24"/>
          <w:szCs w:val="24"/>
          <w:u w:val="single"/>
        </w:rPr>
        <w:t>Linagliptin som tillæg til en kombinationsbehandling med metformin plus empagliflozin</w:t>
      </w:r>
    </w:p>
    <w:p w14:paraId="350CD9DD" w14:textId="19B0D84D" w:rsidR="00DC6CAA" w:rsidRPr="00175F05" w:rsidRDefault="00DC6CAA" w:rsidP="00175F05">
      <w:pPr>
        <w:ind w:left="851"/>
        <w:rPr>
          <w:sz w:val="24"/>
          <w:szCs w:val="24"/>
        </w:rPr>
      </w:pPr>
      <w:r w:rsidRPr="00175F05">
        <w:rPr>
          <w:sz w:val="24"/>
          <w:szCs w:val="24"/>
        </w:rPr>
        <w:t>Hos patienter, der ikke var tilstrækkeligt reguleret med metformin og empagliflozin (10 mg (n = 247) eller 25 mg (n = 217)), medførte 24 ugers tillægsbehandling med linagliptin 5</w:t>
      </w:r>
      <w:r w:rsidR="00175F05">
        <w:rPr>
          <w:sz w:val="24"/>
          <w:szCs w:val="24"/>
        </w:rPr>
        <w:t> </w:t>
      </w:r>
      <w:r w:rsidRPr="00175F05">
        <w:rPr>
          <w:sz w:val="24"/>
          <w:szCs w:val="24"/>
        </w:rPr>
        <w:t>mg, justerede gennemsnitlige fald i HbA</w:t>
      </w:r>
      <w:r w:rsidRPr="00175F05">
        <w:rPr>
          <w:sz w:val="24"/>
          <w:szCs w:val="24"/>
          <w:vertAlign w:val="subscript"/>
        </w:rPr>
        <w:t>1c</w:t>
      </w:r>
      <w:r w:rsidRPr="00175F05">
        <w:rPr>
          <w:sz w:val="24"/>
          <w:szCs w:val="24"/>
        </w:rPr>
        <w:t xml:space="preserve"> i forhold til baseline på hhv. -0,53 % (signifikant forskel ift. tillægs- placebo -0,32 % (95 %-CI: -0,52; -0,13)) og -0,58 % (signifikant forskel ift. tillægs-placebo -0,47 % (95 %-CI: -0,66; -0,28)). En statistisk signifikant større andel af patienter med baseline-HbA</w:t>
      </w:r>
      <w:r w:rsidRPr="00175F05">
        <w:rPr>
          <w:sz w:val="24"/>
          <w:szCs w:val="24"/>
          <w:vertAlign w:val="subscript"/>
        </w:rPr>
        <w:t>1c</w:t>
      </w:r>
      <w:r w:rsidRPr="00175F05">
        <w:rPr>
          <w:sz w:val="24"/>
          <w:szCs w:val="24"/>
        </w:rPr>
        <w:t xml:space="preserve"> ≥ 7,0 % og behandlet med linagliptin 5 mg opnåede målsat-HbA</w:t>
      </w:r>
      <w:r w:rsidRPr="00175F05">
        <w:rPr>
          <w:sz w:val="24"/>
          <w:szCs w:val="24"/>
          <w:vertAlign w:val="subscript"/>
        </w:rPr>
        <w:t>1c</w:t>
      </w:r>
      <w:r w:rsidRPr="00175F05">
        <w:rPr>
          <w:sz w:val="24"/>
          <w:szCs w:val="24"/>
        </w:rPr>
        <w:t xml:space="preserve"> &lt; 7 % sammenholdt med placebo.</w:t>
      </w:r>
    </w:p>
    <w:p w14:paraId="490EB5F9" w14:textId="77777777" w:rsidR="00DC6CAA" w:rsidRPr="00175F05" w:rsidRDefault="00DC6CAA" w:rsidP="00175F05">
      <w:pPr>
        <w:ind w:left="851"/>
        <w:rPr>
          <w:sz w:val="24"/>
          <w:szCs w:val="24"/>
        </w:rPr>
      </w:pPr>
    </w:p>
    <w:p w14:paraId="5467DE42" w14:textId="77777777" w:rsidR="00DC6CAA" w:rsidRDefault="00DC6CAA" w:rsidP="000945FA">
      <w:pPr>
        <w:ind w:left="851"/>
        <w:rPr>
          <w:i/>
          <w:sz w:val="24"/>
          <w:szCs w:val="24"/>
        </w:rPr>
      </w:pPr>
      <w:r>
        <w:rPr>
          <w:i/>
          <w:sz w:val="24"/>
          <w:szCs w:val="24"/>
          <w:u w:val="single"/>
        </w:rPr>
        <w:t>Linagliptin i kombination med metformin og insulin</w:t>
      </w:r>
    </w:p>
    <w:p w14:paraId="69FB6E91" w14:textId="20B9ECA6" w:rsidR="00DC6CAA" w:rsidRPr="00175F05" w:rsidRDefault="00DC6CAA" w:rsidP="00175F05">
      <w:pPr>
        <w:ind w:left="851"/>
        <w:rPr>
          <w:sz w:val="24"/>
          <w:szCs w:val="24"/>
        </w:rPr>
      </w:pPr>
      <w:r w:rsidRPr="00175F05">
        <w:rPr>
          <w:sz w:val="24"/>
          <w:szCs w:val="24"/>
        </w:rPr>
        <w:t>Et 24-ugers placebokontrolleret studie blev udført for at vurdere virkning of sikkerhed af linagliptin</w:t>
      </w:r>
      <w:r w:rsidR="00175F05" w:rsidRPr="00175F05">
        <w:rPr>
          <w:sz w:val="24"/>
          <w:szCs w:val="24"/>
        </w:rPr>
        <w:t xml:space="preserve"> </w:t>
      </w:r>
      <w:r w:rsidRPr="00175F05">
        <w:rPr>
          <w:sz w:val="24"/>
          <w:szCs w:val="24"/>
        </w:rPr>
        <w:t>(5 mg én gang dagligt) i tillæg til insulin med eller uden metformin. 83 % af patienterne tog metformin i kombination med insulin i dette studie. Linagliptin i kombination med metformin plus insulin medførte en signifikant forbedring i HbA</w:t>
      </w:r>
      <w:r w:rsidRPr="00175F05">
        <w:rPr>
          <w:sz w:val="24"/>
          <w:szCs w:val="24"/>
          <w:vertAlign w:val="subscript"/>
        </w:rPr>
        <w:t>1c</w:t>
      </w:r>
      <w:r w:rsidRPr="00175F05">
        <w:rPr>
          <w:sz w:val="24"/>
          <w:szCs w:val="24"/>
        </w:rPr>
        <w:t xml:space="preserve"> i denne undergruppe med -0,68 % (CI: -0,78; -0,57) justeret gennemsnitlig ændring fra </w:t>
      </w:r>
      <w:r w:rsidRPr="00175F05">
        <w:rPr>
          <w:i/>
          <w:sz w:val="24"/>
          <w:szCs w:val="24"/>
        </w:rPr>
        <w:t>baseline</w:t>
      </w:r>
      <w:r w:rsidRPr="00175F05">
        <w:rPr>
          <w:sz w:val="24"/>
          <w:szCs w:val="24"/>
        </w:rPr>
        <w:t xml:space="preserve"> (gennemsnitlig </w:t>
      </w:r>
      <w:r w:rsidRPr="00175F05">
        <w:rPr>
          <w:i/>
          <w:sz w:val="24"/>
          <w:szCs w:val="24"/>
        </w:rPr>
        <w:t>baseline</w:t>
      </w:r>
      <w:r w:rsidRPr="00175F05">
        <w:rPr>
          <w:sz w:val="24"/>
          <w:szCs w:val="24"/>
        </w:rPr>
        <w:t>-HbA</w:t>
      </w:r>
      <w:r w:rsidRPr="00175F05">
        <w:rPr>
          <w:sz w:val="24"/>
          <w:szCs w:val="24"/>
          <w:vertAlign w:val="subscript"/>
        </w:rPr>
        <w:t>1c</w:t>
      </w:r>
      <w:r w:rsidRPr="00175F05">
        <w:rPr>
          <w:sz w:val="24"/>
          <w:szCs w:val="24"/>
        </w:rPr>
        <w:t xml:space="preserve"> 8,28 %) sammenlignet med placebo i kombination med metformin plus insulin. Der var ingen betydningsfuld ændring fra baseline i kropsvægt i nogen af grupperne.</w:t>
      </w:r>
    </w:p>
    <w:p w14:paraId="6DCDB0CD" w14:textId="77777777" w:rsidR="00DC6CAA" w:rsidRDefault="00DC6CAA" w:rsidP="000945FA">
      <w:pPr>
        <w:pStyle w:val="Brdtekst"/>
        <w:ind w:left="851"/>
        <w:rPr>
          <w:sz w:val="24"/>
          <w:szCs w:val="24"/>
          <w:lang w:val="da-DK"/>
        </w:rPr>
      </w:pPr>
    </w:p>
    <w:p w14:paraId="0704998B" w14:textId="77777777" w:rsidR="00DC6CAA" w:rsidRDefault="00DC6CAA" w:rsidP="000945FA">
      <w:pPr>
        <w:ind w:left="851"/>
        <w:rPr>
          <w:i/>
          <w:sz w:val="24"/>
          <w:szCs w:val="24"/>
        </w:rPr>
      </w:pPr>
      <w:r>
        <w:rPr>
          <w:i/>
          <w:sz w:val="24"/>
          <w:szCs w:val="24"/>
          <w:u w:val="single"/>
        </w:rPr>
        <w:t>24 måneders data for linagliptin som tillæg til metformin, sammenlignet med glimepirid</w:t>
      </w:r>
    </w:p>
    <w:p w14:paraId="568320B8" w14:textId="1C5DBE5A" w:rsidR="00DC6CAA" w:rsidRPr="00175F05" w:rsidRDefault="00DC6CAA" w:rsidP="00175F05">
      <w:pPr>
        <w:ind w:left="851"/>
        <w:rPr>
          <w:sz w:val="24"/>
          <w:szCs w:val="24"/>
        </w:rPr>
      </w:pPr>
      <w:r w:rsidRPr="00175F05">
        <w:rPr>
          <w:sz w:val="24"/>
          <w:szCs w:val="24"/>
        </w:rPr>
        <w:t>I et studie hvor virkning og sikkerhed blev sammenlignet ved tillæg af enten linagliptin 5</w:t>
      </w:r>
      <w:r w:rsidR="00175F05">
        <w:rPr>
          <w:sz w:val="24"/>
          <w:szCs w:val="24"/>
        </w:rPr>
        <w:t> </w:t>
      </w:r>
      <w:r w:rsidRPr="00175F05">
        <w:rPr>
          <w:sz w:val="24"/>
          <w:szCs w:val="24"/>
        </w:rPr>
        <w:t>mg eller glimepirid (gennemsnitlig dosis 3 mg) hos patienter uden tilstrækkelig glykæmisk kontrol i metformin monoterapi, var de gennemsnitlige reduktioner i HbA</w:t>
      </w:r>
      <w:r w:rsidRPr="00175F05">
        <w:rPr>
          <w:sz w:val="24"/>
          <w:szCs w:val="24"/>
          <w:vertAlign w:val="subscript"/>
        </w:rPr>
        <w:t>1c</w:t>
      </w:r>
      <w:r w:rsidRPr="00175F05">
        <w:rPr>
          <w:sz w:val="24"/>
          <w:szCs w:val="24"/>
        </w:rPr>
        <w:t xml:space="preserve"> -0,16 % med linagliptin (gennemsnitlig </w:t>
      </w:r>
      <w:r w:rsidRPr="00175F05">
        <w:rPr>
          <w:i/>
          <w:sz w:val="24"/>
          <w:szCs w:val="24"/>
        </w:rPr>
        <w:t>baseline</w:t>
      </w:r>
      <w:r w:rsidRPr="00175F05">
        <w:rPr>
          <w:sz w:val="24"/>
          <w:szCs w:val="24"/>
        </w:rPr>
        <w:t>-HbA</w:t>
      </w:r>
      <w:r w:rsidRPr="00175F05">
        <w:rPr>
          <w:sz w:val="24"/>
          <w:szCs w:val="24"/>
          <w:vertAlign w:val="subscript"/>
        </w:rPr>
        <w:t>1c</w:t>
      </w:r>
      <w:r w:rsidRPr="00175F05">
        <w:rPr>
          <w:sz w:val="24"/>
          <w:szCs w:val="24"/>
        </w:rPr>
        <w:t xml:space="preserve"> på 7,69 %) og -0,36 % med glimepirid (gennemsnitlig </w:t>
      </w:r>
      <w:r w:rsidRPr="00175F05">
        <w:rPr>
          <w:i/>
          <w:sz w:val="24"/>
          <w:szCs w:val="24"/>
        </w:rPr>
        <w:t>baseline</w:t>
      </w:r>
      <w:r w:rsidRPr="00175F05">
        <w:rPr>
          <w:sz w:val="24"/>
          <w:szCs w:val="24"/>
        </w:rPr>
        <w:t>-HbA</w:t>
      </w:r>
      <w:r w:rsidRPr="00175F05">
        <w:rPr>
          <w:sz w:val="24"/>
          <w:szCs w:val="24"/>
          <w:vertAlign w:val="subscript"/>
        </w:rPr>
        <w:t>1c</w:t>
      </w:r>
      <w:r w:rsidRPr="00175F05">
        <w:rPr>
          <w:sz w:val="24"/>
          <w:szCs w:val="24"/>
        </w:rPr>
        <w:t xml:space="preserve"> på 7,69 %) med en gennemsnitlig behandlingsforskel på 0,20 % (97,5 % CI: 0,09; 0,299). Forekomsten af hypoglykæmi i linagliptingruppen (7,5 %) var signifikant lavere end i glimepiridgruppen (36,1 %).</w:t>
      </w:r>
    </w:p>
    <w:p w14:paraId="7F8B07A9" w14:textId="77777777" w:rsidR="00DC6CAA" w:rsidRPr="00175F05" w:rsidRDefault="00DC6CAA" w:rsidP="00175F05">
      <w:pPr>
        <w:ind w:left="851"/>
        <w:rPr>
          <w:sz w:val="24"/>
          <w:szCs w:val="24"/>
        </w:rPr>
      </w:pPr>
      <w:r w:rsidRPr="00175F05">
        <w:rPr>
          <w:sz w:val="24"/>
          <w:szCs w:val="24"/>
        </w:rPr>
        <w:t xml:space="preserve">Patienter behandlet med linagliptin havde en signifikant gennemsnitlig reduktion i kropsvægt i forhold til baseline sammenlignet med en signifikant vægtstigning hos patienter, der fik glimepirid (-1,39 </w:t>
      </w:r>
      <w:r w:rsidRPr="00175F05">
        <w:rPr>
          <w:i/>
          <w:sz w:val="24"/>
          <w:szCs w:val="24"/>
        </w:rPr>
        <w:t>vs</w:t>
      </w:r>
      <w:r w:rsidRPr="00175F05">
        <w:rPr>
          <w:sz w:val="24"/>
          <w:szCs w:val="24"/>
        </w:rPr>
        <w:t xml:space="preserve"> +1,29 kg).</w:t>
      </w:r>
    </w:p>
    <w:p w14:paraId="13B1CFEA" w14:textId="77777777" w:rsidR="00DC6CAA" w:rsidRDefault="00DC6CAA" w:rsidP="000945FA">
      <w:pPr>
        <w:ind w:left="851"/>
        <w:rPr>
          <w:i/>
          <w:sz w:val="24"/>
          <w:szCs w:val="24"/>
          <w:u w:val="single"/>
        </w:rPr>
      </w:pPr>
    </w:p>
    <w:p w14:paraId="2781FEAE" w14:textId="77777777" w:rsidR="00DC6CAA" w:rsidRDefault="00DC6CAA" w:rsidP="000945FA">
      <w:pPr>
        <w:ind w:left="851"/>
        <w:rPr>
          <w:i/>
          <w:sz w:val="24"/>
          <w:szCs w:val="24"/>
        </w:rPr>
      </w:pPr>
      <w:r>
        <w:rPr>
          <w:i/>
          <w:sz w:val="24"/>
          <w:szCs w:val="24"/>
          <w:u w:val="single"/>
        </w:rPr>
        <w:t>Linagliptin som tillægsbehandling hos ældre (alder ≥ 70 år) med type 2-diabetes</w:t>
      </w:r>
    </w:p>
    <w:p w14:paraId="4114154E" w14:textId="77777777" w:rsidR="00DC6CAA" w:rsidRPr="00175F05" w:rsidRDefault="00DC6CAA" w:rsidP="00175F05">
      <w:pPr>
        <w:ind w:left="851"/>
        <w:rPr>
          <w:sz w:val="24"/>
          <w:szCs w:val="24"/>
        </w:rPr>
      </w:pPr>
      <w:r w:rsidRPr="00175F05">
        <w:rPr>
          <w:sz w:val="24"/>
          <w:szCs w:val="24"/>
        </w:rPr>
        <w:t>I et dobbeltblindet 24-ugers studie blev virkning og sikkerhed af linagliptin 5 mg evalueret hos ældre (≥ 70 år) med type 2-diabetes. Patienterne fik metformin og/eller sulfonylurinstof og/eller insulin som baggrundsbehandling. Dosis af den antidiabetiske baggrundsbehandling blev holdt stabil gennem de første 12 uger, hvorefter dosisjustering var tilladt. Linagliptin medførte signifikant forbedring i HbA</w:t>
      </w:r>
      <w:r w:rsidRPr="00175F05">
        <w:rPr>
          <w:sz w:val="24"/>
          <w:szCs w:val="24"/>
          <w:vertAlign w:val="subscript"/>
        </w:rPr>
        <w:t>1c</w:t>
      </w:r>
      <w:r w:rsidRPr="00175F05">
        <w:rPr>
          <w:sz w:val="24"/>
          <w:szCs w:val="24"/>
        </w:rPr>
        <w:t>, (ændring på -0,64 % sammenlignet med placebo efter 24 uger) i forhold til et gennemsnitligt HbA</w:t>
      </w:r>
      <w:r w:rsidRPr="00175F05">
        <w:rPr>
          <w:sz w:val="24"/>
          <w:szCs w:val="24"/>
          <w:vertAlign w:val="subscript"/>
        </w:rPr>
        <w:t>1c</w:t>
      </w:r>
      <w:r w:rsidRPr="00175F05">
        <w:rPr>
          <w:sz w:val="24"/>
          <w:szCs w:val="24"/>
        </w:rPr>
        <w:t xml:space="preserve"> ved </w:t>
      </w:r>
      <w:r w:rsidRPr="00175F05">
        <w:rPr>
          <w:i/>
          <w:sz w:val="24"/>
          <w:szCs w:val="24"/>
        </w:rPr>
        <w:t>baseline</w:t>
      </w:r>
      <w:r w:rsidRPr="00175F05">
        <w:rPr>
          <w:sz w:val="24"/>
          <w:szCs w:val="24"/>
        </w:rPr>
        <w:t xml:space="preserve"> på 7,8 %. Linagliptin viste desuden signifikant forbedring i faste-plasma-glucose (FPG) sammenlignet med placebo. Der var ingen signifikant forskel i kropsvægt mellem grupperne.</w:t>
      </w:r>
    </w:p>
    <w:p w14:paraId="3A821EBD" w14:textId="77777777" w:rsidR="00DC6CAA" w:rsidRPr="00175F05" w:rsidRDefault="00DC6CAA" w:rsidP="00175F05">
      <w:pPr>
        <w:ind w:left="851"/>
        <w:rPr>
          <w:sz w:val="24"/>
          <w:szCs w:val="24"/>
        </w:rPr>
      </w:pPr>
    </w:p>
    <w:p w14:paraId="2CE2047D" w14:textId="77777777" w:rsidR="00DC6CAA" w:rsidRPr="00175F05" w:rsidRDefault="00DC6CAA" w:rsidP="00175F05">
      <w:pPr>
        <w:ind w:left="851"/>
        <w:rPr>
          <w:sz w:val="24"/>
          <w:szCs w:val="24"/>
        </w:rPr>
      </w:pPr>
      <w:r w:rsidRPr="00175F05">
        <w:rPr>
          <w:sz w:val="24"/>
          <w:szCs w:val="24"/>
        </w:rPr>
        <w:t>I en puljet analyse af ældre patienter (alder ≥ 70 år) med type 2-diabetes (n = 183) i behandling med både metformin og basal-insulin som baggrundsbehandling gav linagliptin i kombination med metformin plus insulin en signifikant forbedring i HbA</w:t>
      </w:r>
      <w:r w:rsidRPr="00175F05">
        <w:rPr>
          <w:sz w:val="24"/>
          <w:szCs w:val="24"/>
          <w:vertAlign w:val="subscript"/>
        </w:rPr>
        <w:t>1c</w:t>
      </w:r>
      <w:r w:rsidRPr="00175F05">
        <w:rPr>
          <w:sz w:val="24"/>
          <w:szCs w:val="24"/>
        </w:rPr>
        <w:t>-parametre med -0,81 % (CI: -1,01; -0,61) justeret gennemsnitlig ændring fra baseline (gennemsnitlig baseline-HbA</w:t>
      </w:r>
      <w:r w:rsidRPr="00175F05">
        <w:rPr>
          <w:sz w:val="24"/>
          <w:szCs w:val="24"/>
          <w:vertAlign w:val="subscript"/>
        </w:rPr>
        <w:t>1c</w:t>
      </w:r>
      <w:r w:rsidRPr="00175F05">
        <w:rPr>
          <w:sz w:val="24"/>
          <w:szCs w:val="24"/>
        </w:rPr>
        <w:t xml:space="preserve"> 8,13 %) sammenlignet med placebo i kombination med metformin plus insulin.</w:t>
      </w:r>
    </w:p>
    <w:p w14:paraId="75D3025A" w14:textId="5C0B226D" w:rsidR="00C40540" w:rsidRDefault="00C40540">
      <w:pPr>
        <w:rPr>
          <w:sz w:val="24"/>
          <w:szCs w:val="24"/>
        </w:rPr>
      </w:pPr>
      <w:r>
        <w:rPr>
          <w:sz w:val="24"/>
          <w:szCs w:val="24"/>
        </w:rPr>
        <w:br w:type="page"/>
      </w:r>
    </w:p>
    <w:p w14:paraId="32348757" w14:textId="77777777" w:rsidR="00DC6CAA" w:rsidRDefault="00DC6CAA" w:rsidP="000945FA">
      <w:pPr>
        <w:pStyle w:val="Brdtekst"/>
        <w:ind w:left="851"/>
        <w:rPr>
          <w:sz w:val="24"/>
          <w:szCs w:val="24"/>
          <w:lang w:val="da-DK"/>
        </w:rPr>
      </w:pPr>
    </w:p>
    <w:p w14:paraId="3B0E39D2" w14:textId="77777777" w:rsidR="00DC6CAA" w:rsidRDefault="00DC6CAA" w:rsidP="000945FA">
      <w:pPr>
        <w:ind w:left="851"/>
        <w:rPr>
          <w:i/>
          <w:sz w:val="24"/>
          <w:szCs w:val="24"/>
        </w:rPr>
      </w:pPr>
      <w:r>
        <w:rPr>
          <w:i/>
          <w:sz w:val="24"/>
          <w:szCs w:val="24"/>
        </w:rPr>
        <w:t>Linagliptin studie for kardiovaskulær og renal sikkerhed (CARMELINA)</w:t>
      </w:r>
    </w:p>
    <w:p w14:paraId="2BCD0256" w14:textId="77777777" w:rsidR="00DC6CAA" w:rsidRPr="00175F05" w:rsidRDefault="00DC6CAA" w:rsidP="00175F05">
      <w:pPr>
        <w:ind w:left="851"/>
        <w:rPr>
          <w:sz w:val="24"/>
          <w:szCs w:val="24"/>
        </w:rPr>
      </w:pPr>
      <w:r w:rsidRPr="00175F05">
        <w:rPr>
          <w:sz w:val="24"/>
          <w:szCs w:val="24"/>
        </w:rPr>
        <w:t>CARMELINA var et randomiseret studie hos 6 979 patienter med type 2-diabetes med en øget kardiovaskulær risiko, vist ved en anamnese af fastlagt makrovaskulær eller renal sygdom, som blev behandlet med linagliptin 5 mg (3 494) eller placebo (3 485), tilføjet til deres standardbehandling rettet mod regionale standarder for HbA</w:t>
      </w:r>
      <w:r w:rsidRPr="00175F05">
        <w:rPr>
          <w:sz w:val="24"/>
          <w:szCs w:val="24"/>
          <w:vertAlign w:val="subscript"/>
        </w:rPr>
        <w:t>1c</w:t>
      </w:r>
      <w:r w:rsidRPr="00175F05">
        <w:rPr>
          <w:sz w:val="24"/>
          <w:szCs w:val="24"/>
        </w:rPr>
        <w:t>, kardiovaskulære risikofaktorer og nyresygdom.</w:t>
      </w:r>
    </w:p>
    <w:p w14:paraId="72DF56EF" w14:textId="0F0CFA2E" w:rsidR="00DC6CAA" w:rsidRPr="00175F05" w:rsidRDefault="00DC6CAA" w:rsidP="00175F05">
      <w:pPr>
        <w:ind w:left="851"/>
        <w:rPr>
          <w:sz w:val="24"/>
          <w:szCs w:val="24"/>
        </w:rPr>
      </w:pPr>
      <w:r w:rsidRPr="00175F05">
        <w:rPr>
          <w:sz w:val="24"/>
          <w:szCs w:val="24"/>
        </w:rPr>
        <w:t>Studiepopulationen omfattede 1 211 (17,4 %) patienter ≥ 75 år, og 4 348 (62,3 %) patienter med nedsat nyrefunktion. Ca. 19 % af populationen havde eGFR ≥ 45 til &lt;</w:t>
      </w:r>
      <w:r w:rsidR="000A5A14">
        <w:rPr>
          <w:sz w:val="24"/>
          <w:szCs w:val="24"/>
        </w:rPr>
        <w:t> </w:t>
      </w:r>
      <w:r w:rsidRPr="00175F05">
        <w:rPr>
          <w:sz w:val="24"/>
          <w:szCs w:val="24"/>
        </w:rPr>
        <w:t>60</w:t>
      </w:r>
      <w:r w:rsidR="000A5A14">
        <w:rPr>
          <w:sz w:val="24"/>
          <w:szCs w:val="24"/>
        </w:rPr>
        <w:t> </w:t>
      </w:r>
      <w:r w:rsidRPr="00175F05">
        <w:rPr>
          <w:sz w:val="24"/>
          <w:szCs w:val="24"/>
        </w:rPr>
        <w:t>ml/min/1,73</w:t>
      </w:r>
      <w:r w:rsidR="000A5A14">
        <w:rPr>
          <w:sz w:val="24"/>
          <w:szCs w:val="24"/>
        </w:rPr>
        <w:t> </w:t>
      </w:r>
      <w:r w:rsidRPr="00175F05">
        <w:rPr>
          <w:sz w:val="24"/>
          <w:szCs w:val="24"/>
        </w:rPr>
        <w:t>m</w:t>
      </w:r>
      <w:r w:rsidRPr="00175F05">
        <w:rPr>
          <w:sz w:val="24"/>
          <w:szCs w:val="24"/>
          <w:vertAlign w:val="superscript"/>
        </w:rPr>
        <w:t>2</w:t>
      </w:r>
      <w:r w:rsidRPr="00175F05">
        <w:rPr>
          <w:sz w:val="24"/>
          <w:szCs w:val="24"/>
        </w:rPr>
        <w:t>, 28 % af populationen havde eGFR ≥ 30 til &lt; 45 ml/min/1,73 m</w:t>
      </w:r>
      <w:r w:rsidRPr="00175F05">
        <w:rPr>
          <w:sz w:val="24"/>
          <w:szCs w:val="24"/>
          <w:vertAlign w:val="superscript"/>
        </w:rPr>
        <w:t>2</w:t>
      </w:r>
      <w:r w:rsidRPr="00175F05">
        <w:rPr>
          <w:sz w:val="24"/>
          <w:szCs w:val="24"/>
        </w:rPr>
        <w:t>, og 15 % havde eGFR &lt; 30 ml/min/1,73 m</w:t>
      </w:r>
      <w:r w:rsidRPr="00175F05">
        <w:rPr>
          <w:sz w:val="24"/>
          <w:szCs w:val="24"/>
          <w:vertAlign w:val="superscript"/>
        </w:rPr>
        <w:t>2</w:t>
      </w:r>
      <w:r w:rsidRPr="00175F05">
        <w:rPr>
          <w:sz w:val="24"/>
          <w:szCs w:val="24"/>
        </w:rPr>
        <w:t>. Den gennemsnitlige HbA1c ved baseline var 8,0</w:t>
      </w:r>
      <w:r w:rsidR="000A5A14">
        <w:rPr>
          <w:sz w:val="24"/>
          <w:szCs w:val="24"/>
        </w:rPr>
        <w:t> </w:t>
      </w:r>
      <w:r w:rsidRPr="00175F05">
        <w:rPr>
          <w:sz w:val="24"/>
          <w:szCs w:val="24"/>
        </w:rPr>
        <w:t>%.</w:t>
      </w:r>
    </w:p>
    <w:p w14:paraId="7D1709C7" w14:textId="77777777" w:rsidR="00DC6CAA" w:rsidRDefault="00DC6CAA" w:rsidP="000945FA">
      <w:pPr>
        <w:pStyle w:val="Brdtekst"/>
        <w:ind w:left="851"/>
        <w:rPr>
          <w:sz w:val="24"/>
          <w:szCs w:val="24"/>
          <w:lang w:val="da-DK"/>
        </w:rPr>
      </w:pPr>
    </w:p>
    <w:p w14:paraId="77DF1A57" w14:textId="77777777" w:rsidR="00DC6CAA" w:rsidRDefault="00DC6CAA" w:rsidP="000945FA">
      <w:pPr>
        <w:pStyle w:val="Brdtekst"/>
        <w:ind w:left="851"/>
        <w:rPr>
          <w:sz w:val="24"/>
          <w:szCs w:val="24"/>
          <w:lang w:val="da-DK"/>
        </w:rPr>
      </w:pPr>
      <w:r>
        <w:rPr>
          <w:sz w:val="24"/>
          <w:szCs w:val="24"/>
          <w:lang w:val="da-DK"/>
        </w:rPr>
        <w:t>Studiet blev designet til at vise non-inferioritet for det primære kardiovaskulære endepunkt, som var en sammensætning af den første forekomst af kardiovaskulær død eller ikke-dødeligt myokardieinfarkt (MI) eller ikke-dødelig apopleksi (3P-MACE). Det renale sammensatte endepunkt blev defineret som nyredød eller vedvarende nyresygdom i slutstadiet eller en vedvarende reduktion på 40 % eller mere i eGFR.</w:t>
      </w:r>
    </w:p>
    <w:p w14:paraId="45026FF8" w14:textId="77777777" w:rsidR="00DC6CAA" w:rsidRDefault="00DC6CAA" w:rsidP="000945FA">
      <w:pPr>
        <w:pStyle w:val="Brdtekst"/>
        <w:ind w:left="851"/>
        <w:rPr>
          <w:sz w:val="24"/>
          <w:szCs w:val="24"/>
          <w:lang w:val="da-DK"/>
        </w:rPr>
      </w:pPr>
    </w:p>
    <w:p w14:paraId="098E5A62" w14:textId="77777777" w:rsidR="00DC6CAA" w:rsidRDefault="00DC6CAA" w:rsidP="000945FA">
      <w:pPr>
        <w:pStyle w:val="Brdtekst"/>
        <w:ind w:left="851"/>
        <w:rPr>
          <w:sz w:val="24"/>
          <w:szCs w:val="24"/>
          <w:lang w:val="da-DK"/>
        </w:rPr>
      </w:pPr>
      <w:r>
        <w:rPr>
          <w:sz w:val="24"/>
          <w:szCs w:val="24"/>
          <w:lang w:val="da-DK"/>
        </w:rPr>
        <w:t>Efter en median opfølgning på 2,2 år øgede linagliptin, når det blev tilføjet til standardbehandling, ikke risikoen for større uønskede kardiovaskulære eller renale endepunktshændelser. Der var ingen øget risiko for indlæggelse for hjertesvigt, hvilket var et ekstra adjudikeret endepunkt, som blev observeret, sammenlignet med standardbehandling uden linagliptin hos patienter med type 2-diabetes (tabel 4).</w:t>
      </w:r>
    </w:p>
    <w:p w14:paraId="352E1A8C" w14:textId="77777777" w:rsidR="00DC6CAA" w:rsidRDefault="00DC6CAA" w:rsidP="000945FA">
      <w:pPr>
        <w:pStyle w:val="Brdtekst"/>
        <w:ind w:left="851"/>
        <w:rPr>
          <w:sz w:val="24"/>
          <w:szCs w:val="24"/>
          <w:lang w:val="da-DK"/>
        </w:rPr>
      </w:pPr>
    </w:p>
    <w:p w14:paraId="44BD487F" w14:textId="662C90FA" w:rsidR="00DC6CAA" w:rsidRDefault="00DC6CAA" w:rsidP="000945FA">
      <w:pPr>
        <w:pStyle w:val="Brdtekst"/>
        <w:tabs>
          <w:tab w:val="left" w:pos="1351"/>
        </w:tabs>
        <w:ind w:left="851" w:right="32"/>
        <w:rPr>
          <w:sz w:val="24"/>
          <w:szCs w:val="24"/>
          <w:lang w:val="da-DK"/>
        </w:rPr>
      </w:pPr>
      <w:r>
        <w:rPr>
          <w:sz w:val="24"/>
          <w:szCs w:val="24"/>
          <w:lang w:val="da-DK"/>
        </w:rPr>
        <w:t>Tabel 4</w:t>
      </w:r>
      <w:r w:rsidR="00175F05">
        <w:rPr>
          <w:sz w:val="24"/>
          <w:szCs w:val="24"/>
          <w:lang w:val="da-DK"/>
        </w:rPr>
        <w:t xml:space="preserve">. </w:t>
      </w:r>
      <w:r>
        <w:rPr>
          <w:sz w:val="24"/>
          <w:szCs w:val="24"/>
          <w:lang w:val="da-DK"/>
        </w:rPr>
        <w:t>Kardiovaskulære og renale endepunkter pr. behandlingsgruppe i CARMELINA-studiet</w:t>
      </w:r>
    </w:p>
    <w:p w14:paraId="2C930F99" w14:textId="77777777" w:rsidR="00DC6CAA" w:rsidRDefault="00DC6CAA" w:rsidP="00DC6CAA">
      <w:pPr>
        <w:pStyle w:val="Brdtekst"/>
        <w:ind w:left="633"/>
        <w:rPr>
          <w:sz w:val="24"/>
          <w:szCs w:val="24"/>
          <w:lang w:val="da-DK"/>
        </w:rPr>
      </w:pPr>
    </w:p>
    <w:tbl>
      <w:tblPr>
        <w:tblW w:w="906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1314"/>
        <w:gridCol w:w="1187"/>
        <w:gridCol w:w="1186"/>
        <w:gridCol w:w="1359"/>
        <w:gridCol w:w="1902"/>
      </w:tblGrid>
      <w:tr w:rsidR="00DC6CAA" w14:paraId="14B16396" w14:textId="77777777" w:rsidTr="00DC6CAA">
        <w:trPr>
          <w:trHeight w:val="254"/>
        </w:trPr>
        <w:tc>
          <w:tcPr>
            <w:tcW w:w="2111" w:type="dxa"/>
            <w:vMerge w:val="restart"/>
            <w:tcBorders>
              <w:top w:val="single" w:sz="4" w:space="0" w:color="000000"/>
              <w:left w:val="single" w:sz="4" w:space="0" w:color="000000"/>
              <w:bottom w:val="single" w:sz="4" w:space="0" w:color="000000"/>
              <w:right w:val="single" w:sz="4" w:space="0" w:color="000000"/>
            </w:tcBorders>
          </w:tcPr>
          <w:p w14:paraId="20CA23CC" w14:textId="77777777" w:rsidR="00DC6CAA" w:rsidRDefault="00DC6CAA">
            <w:pPr>
              <w:pStyle w:val="TableParagraph"/>
              <w:ind w:left="0"/>
              <w:rPr>
                <w:sz w:val="24"/>
                <w:szCs w:val="24"/>
                <w:lang w:val="da-DK"/>
              </w:rPr>
            </w:pPr>
          </w:p>
        </w:tc>
        <w:tc>
          <w:tcPr>
            <w:tcW w:w="2500" w:type="dxa"/>
            <w:gridSpan w:val="2"/>
            <w:tcBorders>
              <w:top w:val="single" w:sz="4" w:space="0" w:color="000000"/>
              <w:left w:val="single" w:sz="4" w:space="0" w:color="000000"/>
              <w:bottom w:val="single" w:sz="4" w:space="0" w:color="000000"/>
              <w:right w:val="single" w:sz="4" w:space="0" w:color="000000"/>
            </w:tcBorders>
            <w:hideMark/>
          </w:tcPr>
          <w:p w14:paraId="05CBF9F7" w14:textId="77777777" w:rsidR="00DC6CAA" w:rsidRDefault="00DC6CAA">
            <w:pPr>
              <w:pStyle w:val="TableParagraph"/>
              <w:ind w:left="434"/>
              <w:rPr>
                <w:b/>
                <w:sz w:val="24"/>
                <w:szCs w:val="24"/>
              </w:rPr>
            </w:pPr>
            <w:r>
              <w:rPr>
                <w:b/>
                <w:sz w:val="24"/>
                <w:szCs w:val="24"/>
              </w:rPr>
              <w:t>Linagliptin 5 mg</w:t>
            </w:r>
          </w:p>
        </w:tc>
        <w:tc>
          <w:tcPr>
            <w:tcW w:w="2545" w:type="dxa"/>
            <w:gridSpan w:val="2"/>
            <w:tcBorders>
              <w:top w:val="single" w:sz="4" w:space="0" w:color="000000"/>
              <w:left w:val="single" w:sz="4" w:space="0" w:color="000000"/>
              <w:bottom w:val="single" w:sz="4" w:space="0" w:color="000000"/>
              <w:right w:val="single" w:sz="4" w:space="0" w:color="000000"/>
            </w:tcBorders>
            <w:hideMark/>
          </w:tcPr>
          <w:p w14:paraId="7D413CB0" w14:textId="77777777" w:rsidR="00DC6CAA" w:rsidRDefault="00DC6CAA">
            <w:pPr>
              <w:pStyle w:val="TableParagraph"/>
              <w:ind w:left="887" w:right="873"/>
              <w:rPr>
                <w:b/>
                <w:sz w:val="24"/>
                <w:szCs w:val="24"/>
              </w:rPr>
            </w:pPr>
            <w:r>
              <w:rPr>
                <w:b/>
                <w:sz w:val="24"/>
                <w:szCs w:val="24"/>
              </w:rPr>
              <w:t>Placebo</w:t>
            </w:r>
          </w:p>
        </w:tc>
        <w:tc>
          <w:tcPr>
            <w:tcW w:w="1902" w:type="dxa"/>
            <w:tcBorders>
              <w:top w:val="single" w:sz="4" w:space="0" w:color="000000"/>
              <w:left w:val="single" w:sz="4" w:space="0" w:color="000000"/>
              <w:bottom w:val="single" w:sz="4" w:space="0" w:color="000000"/>
              <w:right w:val="single" w:sz="4" w:space="0" w:color="000000"/>
            </w:tcBorders>
            <w:hideMark/>
          </w:tcPr>
          <w:p w14:paraId="4AC22279" w14:textId="77777777" w:rsidR="00DC6CAA" w:rsidRDefault="00DC6CAA">
            <w:pPr>
              <w:pStyle w:val="TableParagraph"/>
              <w:ind w:left="196" w:right="182"/>
              <w:rPr>
                <w:b/>
                <w:sz w:val="24"/>
                <w:szCs w:val="24"/>
              </w:rPr>
            </w:pPr>
            <w:r>
              <w:rPr>
                <w:b/>
                <w:i/>
                <w:sz w:val="24"/>
                <w:szCs w:val="24"/>
              </w:rPr>
              <w:t xml:space="preserve">Hazard </w:t>
            </w:r>
            <w:r>
              <w:rPr>
                <w:b/>
                <w:sz w:val="24"/>
                <w:szCs w:val="24"/>
              </w:rPr>
              <w:t>Ratio</w:t>
            </w:r>
          </w:p>
        </w:tc>
      </w:tr>
      <w:tr w:rsidR="00DC6CAA" w14:paraId="5892F602" w14:textId="77777777" w:rsidTr="00DC6CAA">
        <w:trPr>
          <w:trHeight w:val="757"/>
        </w:trPr>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74462CFB" w14:textId="77777777" w:rsidR="00DC6CAA" w:rsidRDefault="00DC6CAA">
            <w:pPr>
              <w:rPr>
                <w:sz w:val="24"/>
                <w:szCs w:val="24"/>
              </w:rPr>
            </w:pPr>
          </w:p>
        </w:tc>
        <w:tc>
          <w:tcPr>
            <w:tcW w:w="1313" w:type="dxa"/>
            <w:tcBorders>
              <w:top w:val="single" w:sz="4" w:space="0" w:color="000000"/>
              <w:left w:val="single" w:sz="4" w:space="0" w:color="000000"/>
              <w:bottom w:val="single" w:sz="4" w:space="0" w:color="000000"/>
              <w:right w:val="single" w:sz="4" w:space="0" w:color="000000"/>
            </w:tcBorders>
            <w:hideMark/>
          </w:tcPr>
          <w:p w14:paraId="4338A1EE" w14:textId="77777777" w:rsidR="00DC6CAA" w:rsidRDefault="00DC6CAA">
            <w:pPr>
              <w:pStyle w:val="TableParagraph"/>
              <w:ind w:left="149" w:right="179" w:hanging="1"/>
              <w:rPr>
                <w:sz w:val="24"/>
                <w:szCs w:val="24"/>
              </w:rPr>
            </w:pPr>
            <w:r>
              <w:rPr>
                <w:sz w:val="24"/>
                <w:szCs w:val="24"/>
              </w:rPr>
              <w:t>Antal personer</w:t>
            </w:r>
          </w:p>
          <w:p w14:paraId="6EA8EDF7" w14:textId="77777777" w:rsidR="00DC6CAA" w:rsidRDefault="00DC6CAA">
            <w:pPr>
              <w:pStyle w:val="TableParagraph"/>
              <w:ind w:left="149" w:right="179"/>
              <w:rPr>
                <w:sz w:val="24"/>
                <w:szCs w:val="24"/>
              </w:rPr>
            </w:pPr>
            <w:r>
              <w:rPr>
                <w:sz w:val="24"/>
                <w:szCs w:val="24"/>
              </w:rPr>
              <w:t>(%)</w:t>
            </w:r>
          </w:p>
        </w:tc>
        <w:tc>
          <w:tcPr>
            <w:tcW w:w="1187" w:type="dxa"/>
            <w:tcBorders>
              <w:top w:val="single" w:sz="4" w:space="0" w:color="000000"/>
              <w:left w:val="single" w:sz="4" w:space="0" w:color="000000"/>
              <w:bottom w:val="single" w:sz="4" w:space="0" w:color="000000"/>
              <w:right w:val="single" w:sz="4" w:space="0" w:color="000000"/>
            </w:tcBorders>
            <w:hideMark/>
          </w:tcPr>
          <w:p w14:paraId="61BE1A02" w14:textId="77777777" w:rsidR="00DC6CAA" w:rsidRDefault="00DC6CAA">
            <w:pPr>
              <w:pStyle w:val="TableParagraph"/>
              <w:ind w:left="105" w:right="88"/>
              <w:rPr>
                <w:sz w:val="24"/>
                <w:szCs w:val="24"/>
              </w:rPr>
            </w:pPr>
            <w:r>
              <w:rPr>
                <w:sz w:val="24"/>
                <w:szCs w:val="24"/>
              </w:rPr>
              <w:t>Forekomst pr.</w:t>
            </w:r>
          </w:p>
          <w:p w14:paraId="54F8B38A" w14:textId="77777777" w:rsidR="00DC6CAA" w:rsidRDefault="00DC6CAA">
            <w:pPr>
              <w:pStyle w:val="TableParagraph"/>
              <w:ind w:left="123"/>
              <w:rPr>
                <w:sz w:val="24"/>
                <w:szCs w:val="24"/>
              </w:rPr>
            </w:pPr>
            <w:r>
              <w:rPr>
                <w:sz w:val="24"/>
                <w:szCs w:val="24"/>
              </w:rPr>
              <w:t>1 000 PY*</w:t>
            </w:r>
          </w:p>
        </w:tc>
        <w:tc>
          <w:tcPr>
            <w:tcW w:w="1186" w:type="dxa"/>
            <w:tcBorders>
              <w:top w:val="single" w:sz="4" w:space="0" w:color="000000"/>
              <w:left w:val="single" w:sz="4" w:space="0" w:color="000000"/>
              <w:bottom w:val="single" w:sz="4" w:space="0" w:color="000000"/>
              <w:right w:val="single" w:sz="4" w:space="0" w:color="000000"/>
            </w:tcBorders>
            <w:hideMark/>
          </w:tcPr>
          <w:p w14:paraId="640C95CA" w14:textId="77777777" w:rsidR="00DC6CAA" w:rsidRDefault="00DC6CAA">
            <w:pPr>
              <w:pStyle w:val="TableParagraph"/>
              <w:ind w:left="54" w:right="139" w:hanging="1"/>
              <w:rPr>
                <w:sz w:val="24"/>
                <w:szCs w:val="24"/>
              </w:rPr>
            </w:pPr>
            <w:r>
              <w:rPr>
                <w:sz w:val="24"/>
                <w:szCs w:val="24"/>
              </w:rPr>
              <w:t>Antal personer</w:t>
            </w:r>
          </w:p>
          <w:p w14:paraId="51DB4C5C" w14:textId="77777777" w:rsidR="00DC6CAA" w:rsidRDefault="00DC6CAA">
            <w:pPr>
              <w:pStyle w:val="TableParagraph"/>
              <w:ind w:left="54" w:right="139"/>
              <w:rPr>
                <w:sz w:val="24"/>
                <w:szCs w:val="24"/>
              </w:rPr>
            </w:pPr>
            <w:r>
              <w:rPr>
                <w:sz w:val="24"/>
                <w:szCs w:val="24"/>
              </w:rPr>
              <w:t>(%)</w:t>
            </w:r>
          </w:p>
        </w:tc>
        <w:tc>
          <w:tcPr>
            <w:tcW w:w="1359" w:type="dxa"/>
            <w:tcBorders>
              <w:top w:val="single" w:sz="4" w:space="0" w:color="000000"/>
              <w:left w:val="single" w:sz="4" w:space="0" w:color="000000"/>
              <w:bottom w:val="single" w:sz="4" w:space="0" w:color="000000"/>
              <w:right w:val="single" w:sz="4" w:space="0" w:color="000000"/>
            </w:tcBorders>
            <w:hideMark/>
          </w:tcPr>
          <w:p w14:paraId="650D476D" w14:textId="77777777" w:rsidR="00DC6CAA" w:rsidRDefault="00DC6CAA">
            <w:pPr>
              <w:pStyle w:val="TableParagraph"/>
              <w:ind w:left="144" w:right="72"/>
              <w:rPr>
                <w:sz w:val="24"/>
                <w:szCs w:val="24"/>
              </w:rPr>
            </w:pPr>
            <w:r>
              <w:rPr>
                <w:sz w:val="24"/>
                <w:szCs w:val="24"/>
              </w:rPr>
              <w:t>Forekomst pr.</w:t>
            </w:r>
          </w:p>
          <w:p w14:paraId="497A10EA" w14:textId="77777777" w:rsidR="00DC6CAA" w:rsidRDefault="00DC6CAA">
            <w:pPr>
              <w:pStyle w:val="TableParagraph"/>
              <w:ind w:left="144" w:right="72"/>
              <w:rPr>
                <w:sz w:val="24"/>
                <w:szCs w:val="24"/>
              </w:rPr>
            </w:pPr>
            <w:r>
              <w:rPr>
                <w:sz w:val="24"/>
                <w:szCs w:val="24"/>
              </w:rPr>
              <w:t>1 000 PY*</w:t>
            </w:r>
          </w:p>
        </w:tc>
        <w:tc>
          <w:tcPr>
            <w:tcW w:w="1902" w:type="dxa"/>
            <w:tcBorders>
              <w:top w:val="single" w:sz="4" w:space="0" w:color="000000"/>
              <w:left w:val="single" w:sz="4" w:space="0" w:color="000000"/>
              <w:bottom w:val="single" w:sz="4" w:space="0" w:color="000000"/>
              <w:right w:val="single" w:sz="4" w:space="0" w:color="000000"/>
            </w:tcBorders>
            <w:hideMark/>
          </w:tcPr>
          <w:p w14:paraId="6AE7C58F" w14:textId="77777777" w:rsidR="00DC6CAA" w:rsidRDefault="00DC6CAA">
            <w:pPr>
              <w:pStyle w:val="TableParagraph"/>
              <w:ind w:left="190" w:right="182"/>
              <w:rPr>
                <w:sz w:val="24"/>
                <w:szCs w:val="24"/>
              </w:rPr>
            </w:pPr>
            <w:r>
              <w:rPr>
                <w:sz w:val="24"/>
                <w:szCs w:val="24"/>
              </w:rPr>
              <w:t>(95 % CI)</w:t>
            </w:r>
          </w:p>
        </w:tc>
      </w:tr>
      <w:tr w:rsidR="00DC6CAA" w14:paraId="0624CC59" w14:textId="77777777" w:rsidTr="00DC6CAA">
        <w:trPr>
          <w:trHeight w:val="254"/>
        </w:trPr>
        <w:tc>
          <w:tcPr>
            <w:tcW w:w="2111" w:type="dxa"/>
            <w:tcBorders>
              <w:top w:val="single" w:sz="4" w:space="0" w:color="000000"/>
              <w:left w:val="single" w:sz="4" w:space="0" w:color="000000"/>
              <w:bottom w:val="single" w:sz="4" w:space="0" w:color="000000"/>
              <w:right w:val="single" w:sz="4" w:space="0" w:color="000000"/>
            </w:tcBorders>
            <w:hideMark/>
          </w:tcPr>
          <w:p w14:paraId="18F49CB2" w14:textId="77777777" w:rsidR="00DC6CAA" w:rsidRDefault="00DC6CAA">
            <w:pPr>
              <w:pStyle w:val="TableParagraph"/>
              <w:rPr>
                <w:sz w:val="24"/>
                <w:szCs w:val="24"/>
              </w:rPr>
            </w:pPr>
            <w:r>
              <w:rPr>
                <w:sz w:val="24"/>
                <w:szCs w:val="24"/>
              </w:rPr>
              <w:t>Antal patienter</w:t>
            </w:r>
          </w:p>
        </w:tc>
        <w:tc>
          <w:tcPr>
            <w:tcW w:w="1313" w:type="dxa"/>
            <w:tcBorders>
              <w:top w:val="single" w:sz="4" w:space="0" w:color="000000"/>
              <w:left w:val="single" w:sz="4" w:space="0" w:color="000000"/>
              <w:bottom w:val="single" w:sz="4" w:space="0" w:color="000000"/>
              <w:right w:val="single" w:sz="4" w:space="0" w:color="000000"/>
            </w:tcBorders>
            <w:hideMark/>
          </w:tcPr>
          <w:p w14:paraId="7B2C16B4" w14:textId="77777777" w:rsidR="00DC6CAA" w:rsidRDefault="00DC6CAA">
            <w:pPr>
              <w:pStyle w:val="TableParagraph"/>
              <w:ind w:left="143" w:right="133"/>
              <w:rPr>
                <w:sz w:val="24"/>
                <w:szCs w:val="24"/>
              </w:rPr>
            </w:pPr>
            <w:r>
              <w:rPr>
                <w:sz w:val="24"/>
                <w:szCs w:val="24"/>
              </w:rPr>
              <w:t>3 494</w:t>
            </w:r>
          </w:p>
        </w:tc>
        <w:tc>
          <w:tcPr>
            <w:tcW w:w="1187" w:type="dxa"/>
            <w:tcBorders>
              <w:top w:val="single" w:sz="4" w:space="0" w:color="000000"/>
              <w:left w:val="single" w:sz="4" w:space="0" w:color="000000"/>
              <w:bottom w:val="single" w:sz="4" w:space="0" w:color="000000"/>
              <w:right w:val="single" w:sz="4" w:space="0" w:color="000000"/>
            </w:tcBorders>
          </w:tcPr>
          <w:p w14:paraId="656FE083" w14:textId="77777777" w:rsidR="00DC6CAA" w:rsidRDefault="00DC6CAA">
            <w:pPr>
              <w:pStyle w:val="TableParagraph"/>
              <w:ind w:left="0"/>
              <w:rPr>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1004FBCD" w14:textId="77777777" w:rsidR="00DC6CAA" w:rsidRDefault="00DC6CAA">
            <w:pPr>
              <w:pStyle w:val="TableParagraph"/>
              <w:ind w:left="103" w:right="87"/>
              <w:rPr>
                <w:sz w:val="24"/>
                <w:szCs w:val="24"/>
              </w:rPr>
            </w:pPr>
            <w:r>
              <w:rPr>
                <w:sz w:val="24"/>
                <w:szCs w:val="24"/>
              </w:rPr>
              <w:t>3 485</w:t>
            </w:r>
          </w:p>
        </w:tc>
        <w:tc>
          <w:tcPr>
            <w:tcW w:w="1359" w:type="dxa"/>
            <w:tcBorders>
              <w:top w:val="single" w:sz="4" w:space="0" w:color="000000"/>
              <w:left w:val="single" w:sz="4" w:space="0" w:color="000000"/>
              <w:bottom w:val="single" w:sz="4" w:space="0" w:color="000000"/>
              <w:right w:val="single" w:sz="4" w:space="0" w:color="000000"/>
            </w:tcBorders>
          </w:tcPr>
          <w:p w14:paraId="2A3CA4C4" w14:textId="77777777" w:rsidR="00DC6CAA" w:rsidRDefault="00DC6CAA">
            <w:pPr>
              <w:pStyle w:val="TableParagraph"/>
              <w:ind w:left="0"/>
              <w:rPr>
                <w:sz w:val="24"/>
                <w:szCs w:val="24"/>
              </w:rPr>
            </w:pPr>
          </w:p>
        </w:tc>
        <w:tc>
          <w:tcPr>
            <w:tcW w:w="1902" w:type="dxa"/>
            <w:tcBorders>
              <w:top w:val="single" w:sz="4" w:space="0" w:color="000000"/>
              <w:left w:val="single" w:sz="4" w:space="0" w:color="000000"/>
              <w:bottom w:val="single" w:sz="4" w:space="0" w:color="000000"/>
              <w:right w:val="single" w:sz="4" w:space="0" w:color="000000"/>
            </w:tcBorders>
          </w:tcPr>
          <w:p w14:paraId="7389BD01" w14:textId="77777777" w:rsidR="00DC6CAA" w:rsidRDefault="00DC6CAA">
            <w:pPr>
              <w:pStyle w:val="TableParagraph"/>
              <w:ind w:left="0"/>
              <w:rPr>
                <w:sz w:val="24"/>
                <w:szCs w:val="24"/>
              </w:rPr>
            </w:pPr>
          </w:p>
        </w:tc>
      </w:tr>
      <w:tr w:rsidR="00DC6CAA" w14:paraId="0FB9EE7A" w14:textId="77777777" w:rsidTr="00DC6CAA">
        <w:trPr>
          <w:trHeight w:val="1770"/>
        </w:trPr>
        <w:tc>
          <w:tcPr>
            <w:tcW w:w="2111" w:type="dxa"/>
            <w:tcBorders>
              <w:top w:val="single" w:sz="4" w:space="0" w:color="000000"/>
              <w:left w:val="single" w:sz="4" w:space="0" w:color="000000"/>
              <w:bottom w:val="single" w:sz="4" w:space="0" w:color="000000"/>
              <w:right w:val="single" w:sz="4" w:space="0" w:color="000000"/>
            </w:tcBorders>
            <w:hideMark/>
          </w:tcPr>
          <w:p w14:paraId="4CC024E8" w14:textId="77777777" w:rsidR="00DC6CAA" w:rsidRDefault="00DC6CAA">
            <w:pPr>
              <w:pStyle w:val="TableParagraph"/>
              <w:ind w:right="187"/>
              <w:rPr>
                <w:sz w:val="24"/>
                <w:szCs w:val="24"/>
                <w:lang w:val="da-DK"/>
              </w:rPr>
            </w:pPr>
            <w:r>
              <w:rPr>
                <w:sz w:val="24"/>
                <w:szCs w:val="24"/>
                <w:lang w:val="da-DK"/>
              </w:rPr>
              <w:t>Primært sammensat kardiovaskulært endepunkt (kardiovaskulær død, ikke-dødeligt MI, ikke-dødelig</w:t>
            </w:r>
          </w:p>
          <w:p w14:paraId="0254C96D" w14:textId="77777777" w:rsidR="00DC6CAA" w:rsidRDefault="00DC6CAA">
            <w:pPr>
              <w:pStyle w:val="TableParagraph"/>
              <w:rPr>
                <w:sz w:val="24"/>
                <w:szCs w:val="24"/>
              </w:rPr>
            </w:pPr>
            <w:r>
              <w:rPr>
                <w:sz w:val="24"/>
                <w:szCs w:val="24"/>
              </w:rPr>
              <w:t>apopleksi)</w:t>
            </w:r>
          </w:p>
        </w:tc>
        <w:tc>
          <w:tcPr>
            <w:tcW w:w="1313" w:type="dxa"/>
            <w:tcBorders>
              <w:top w:val="single" w:sz="4" w:space="0" w:color="000000"/>
              <w:left w:val="single" w:sz="4" w:space="0" w:color="000000"/>
              <w:bottom w:val="single" w:sz="4" w:space="0" w:color="000000"/>
              <w:right w:val="single" w:sz="4" w:space="0" w:color="000000"/>
            </w:tcBorders>
            <w:hideMark/>
          </w:tcPr>
          <w:p w14:paraId="09C018B8" w14:textId="77777777" w:rsidR="00DC6CAA" w:rsidRDefault="00DC6CAA">
            <w:pPr>
              <w:pStyle w:val="TableParagraph"/>
              <w:ind w:left="143" w:right="134"/>
              <w:rPr>
                <w:sz w:val="24"/>
                <w:szCs w:val="24"/>
              </w:rPr>
            </w:pPr>
            <w:r>
              <w:rPr>
                <w:sz w:val="24"/>
                <w:szCs w:val="24"/>
              </w:rPr>
              <w:t>434 (12,4)</w:t>
            </w:r>
          </w:p>
        </w:tc>
        <w:tc>
          <w:tcPr>
            <w:tcW w:w="1187" w:type="dxa"/>
            <w:tcBorders>
              <w:top w:val="single" w:sz="4" w:space="0" w:color="000000"/>
              <w:left w:val="single" w:sz="4" w:space="0" w:color="000000"/>
              <w:bottom w:val="single" w:sz="4" w:space="0" w:color="000000"/>
              <w:right w:val="single" w:sz="4" w:space="0" w:color="000000"/>
            </w:tcBorders>
            <w:hideMark/>
          </w:tcPr>
          <w:p w14:paraId="2980EE37" w14:textId="77777777" w:rsidR="00DC6CAA" w:rsidRDefault="00DC6CAA">
            <w:pPr>
              <w:pStyle w:val="TableParagraph"/>
              <w:ind w:left="382" w:right="370"/>
              <w:rPr>
                <w:sz w:val="24"/>
                <w:szCs w:val="24"/>
              </w:rPr>
            </w:pPr>
            <w:r>
              <w:rPr>
                <w:sz w:val="24"/>
                <w:szCs w:val="24"/>
              </w:rPr>
              <w:t>57,7</w:t>
            </w:r>
          </w:p>
        </w:tc>
        <w:tc>
          <w:tcPr>
            <w:tcW w:w="1186" w:type="dxa"/>
            <w:tcBorders>
              <w:top w:val="single" w:sz="4" w:space="0" w:color="000000"/>
              <w:left w:val="single" w:sz="4" w:space="0" w:color="000000"/>
              <w:bottom w:val="single" w:sz="4" w:space="0" w:color="000000"/>
              <w:right w:val="single" w:sz="4" w:space="0" w:color="000000"/>
            </w:tcBorders>
            <w:hideMark/>
          </w:tcPr>
          <w:p w14:paraId="523F7442" w14:textId="77777777" w:rsidR="00DC6CAA" w:rsidRDefault="00DC6CAA">
            <w:pPr>
              <w:pStyle w:val="TableParagraph"/>
              <w:ind w:left="103" w:right="88"/>
              <w:rPr>
                <w:sz w:val="24"/>
                <w:szCs w:val="24"/>
              </w:rPr>
            </w:pPr>
            <w:r>
              <w:rPr>
                <w:sz w:val="24"/>
                <w:szCs w:val="24"/>
              </w:rPr>
              <w:t>420 (12,1)</w:t>
            </w:r>
          </w:p>
        </w:tc>
        <w:tc>
          <w:tcPr>
            <w:tcW w:w="1359" w:type="dxa"/>
            <w:tcBorders>
              <w:top w:val="single" w:sz="4" w:space="0" w:color="000000"/>
              <w:left w:val="single" w:sz="4" w:space="0" w:color="000000"/>
              <w:bottom w:val="single" w:sz="4" w:space="0" w:color="000000"/>
              <w:right w:val="single" w:sz="4" w:space="0" w:color="000000"/>
            </w:tcBorders>
            <w:hideMark/>
          </w:tcPr>
          <w:p w14:paraId="675BF316" w14:textId="77777777" w:rsidR="00DC6CAA" w:rsidRDefault="00DC6CAA">
            <w:pPr>
              <w:pStyle w:val="TableParagraph"/>
              <w:ind w:left="481" w:right="466"/>
              <w:rPr>
                <w:sz w:val="24"/>
                <w:szCs w:val="24"/>
              </w:rPr>
            </w:pPr>
            <w:r>
              <w:rPr>
                <w:sz w:val="24"/>
                <w:szCs w:val="24"/>
              </w:rPr>
              <w:t>56,3</w:t>
            </w:r>
          </w:p>
        </w:tc>
        <w:tc>
          <w:tcPr>
            <w:tcW w:w="1902" w:type="dxa"/>
            <w:tcBorders>
              <w:top w:val="single" w:sz="4" w:space="0" w:color="000000"/>
              <w:left w:val="single" w:sz="4" w:space="0" w:color="000000"/>
              <w:bottom w:val="single" w:sz="4" w:space="0" w:color="000000"/>
              <w:right w:val="single" w:sz="4" w:space="0" w:color="000000"/>
            </w:tcBorders>
            <w:hideMark/>
          </w:tcPr>
          <w:p w14:paraId="4D8972C0" w14:textId="77777777" w:rsidR="00DC6CAA" w:rsidRDefault="00DC6CAA">
            <w:pPr>
              <w:pStyle w:val="TableParagraph"/>
              <w:ind w:left="194" w:right="182"/>
              <w:rPr>
                <w:sz w:val="24"/>
                <w:szCs w:val="24"/>
              </w:rPr>
            </w:pPr>
            <w:r>
              <w:rPr>
                <w:sz w:val="24"/>
                <w:szCs w:val="24"/>
              </w:rPr>
              <w:t>1,02</w:t>
            </w:r>
          </w:p>
          <w:p w14:paraId="2D040ED6" w14:textId="77777777" w:rsidR="00DC6CAA" w:rsidRDefault="00DC6CAA">
            <w:pPr>
              <w:pStyle w:val="TableParagraph"/>
              <w:ind w:left="196" w:right="179"/>
              <w:rPr>
                <w:sz w:val="24"/>
                <w:szCs w:val="24"/>
              </w:rPr>
            </w:pPr>
            <w:r>
              <w:rPr>
                <w:sz w:val="24"/>
                <w:szCs w:val="24"/>
              </w:rPr>
              <w:t>(0,89; 1,</w:t>
            </w:r>
            <w:proofErr w:type="gramStart"/>
            <w:r>
              <w:rPr>
                <w:sz w:val="24"/>
                <w:szCs w:val="24"/>
              </w:rPr>
              <w:t>17)*</w:t>
            </w:r>
            <w:proofErr w:type="gramEnd"/>
            <w:r>
              <w:rPr>
                <w:sz w:val="24"/>
                <w:szCs w:val="24"/>
              </w:rPr>
              <w:t>*</w:t>
            </w:r>
          </w:p>
        </w:tc>
      </w:tr>
      <w:tr w:rsidR="00DC6CAA" w14:paraId="2E04BAE8" w14:textId="77777777" w:rsidTr="00DC6CAA">
        <w:trPr>
          <w:trHeight w:val="1516"/>
        </w:trPr>
        <w:tc>
          <w:tcPr>
            <w:tcW w:w="2111" w:type="dxa"/>
            <w:tcBorders>
              <w:top w:val="single" w:sz="4" w:space="0" w:color="000000"/>
              <w:left w:val="single" w:sz="4" w:space="0" w:color="000000"/>
              <w:bottom w:val="single" w:sz="4" w:space="0" w:color="000000"/>
              <w:right w:val="single" w:sz="4" w:space="0" w:color="000000"/>
            </w:tcBorders>
            <w:hideMark/>
          </w:tcPr>
          <w:p w14:paraId="6AFE83C7" w14:textId="77777777" w:rsidR="00DC6CAA" w:rsidRDefault="00DC6CAA">
            <w:pPr>
              <w:pStyle w:val="TableParagraph"/>
              <w:ind w:right="221"/>
              <w:rPr>
                <w:sz w:val="24"/>
                <w:szCs w:val="24"/>
                <w:lang w:val="da-DK"/>
              </w:rPr>
            </w:pPr>
            <w:r>
              <w:rPr>
                <w:sz w:val="24"/>
                <w:szCs w:val="24"/>
                <w:lang w:val="da-DK"/>
              </w:rPr>
              <w:t>Sekundært sammensat renalt endepunkt (nyredød, ESRD, 40 %</w:t>
            </w:r>
          </w:p>
          <w:p w14:paraId="411251BE" w14:textId="77777777" w:rsidR="00DC6CAA" w:rsidRDefault="00DC6CAA">
            <w:pPr>
              <w:pStyle w:val="TableParagraph"/>
              <w:ind w:right="130"/>
              <w:rPr>
                <w:sz w:val="24"/>
                <w:szCs w:val="24"/>
              </w:rPr>
            </w:pPr>
            <w:r>
              <w:rPr>
                <w:sz w:val="24"/>
                <w:szCs w:val="24"/>
              </w:rPr>
              <w:t>vedvarende reduktion i eGFR)</w:t>
            </w:r>
          </w:p>
        </w:tc>
        <w:tc>
          <w:tcPr>
            <w:tcW w:w="1313" w:type="dxa"/>
            <w:tcBorders>
              <w:top w:val="single" w:sz="4" w:space="0" w:color="000000"/>
              <w:left w:val="single" w:sz="4" w:space="0" w:color="000000"/>
              <w:bottom w:val="single" w:sz="4" w:space="0" w:color="000000"/>
              <w:right w:val="single" w:sz="4" w:space="0" w:color="000000"/>
            </w:tcBorders>
            <w:hideMark/>
          </w:tcPr>
          <w:p w14:paraId="76D6C7F4" w14:textId="77777777" w:rsidR="00DC6CAA" w:rsidRDefault="00DC6CAA">
            <w:pPr>
              <w:pStyle w:val="TableParagraph"/>
              <w:ind w:left="143" w:right="134"/>
              <w:rPr>
                <w:sz w:val="24"/>
                <w:szCs w:val="24"/>
              </w:rPr>
            </w:pPr>
            <w:r>
              <w:rPr>
                <w:sz w:val="24"/>
                <w:szCs w:val="24"/>
              </w:rPr>
              <w:t>327 (9,4)</w:t>
            </w:r>
          </w:p>
        </w:tc>
        <w:tc>
          <w:tcPr>
            <w:tcW w:w="1187" w:type="dxa"/>
            <w:tcBorders>
              <w:top w:val="single" w:sz="4" w:space="0" w:color="000000"/>
              <w:left w:val="single" w:sz="4" w:space="0" w:color="000000"/>
              <w:bottom w:val="single" w:sz="4" w:space="0" w:color="000000"/>
              <w:right w:val="single" w:sz="4" w:space="0" w:color="000000"/>
            </w:tcBorders>
            <w:hideMark/>
          </w:tcPr>
          <w:p w14:paraId="28C1C4FE" w14:textId="77777777" w:rsidR="00DC6CAA" w:rsidRDefault="00DC6CAA">
            <w:pPr>
              <w:pStyle w:val="TableParagraph"/>
              <w:ind w:left="382" w:right="370"/>
              <w:rPr>
                <w:sz w:val="24"/>
                <w:szCs w:val="24"/>
              </w:rPr>
            </w:pPr>
            <w:r>
              <w:rPr>
                <w:sz w:val="24"/>
                <w:szCs w:val="24"/>
              </w:rPr>
              <w:t>48,9</w:t>
            </w:r>
          </w:p>
        </w:tc>
        <w:tc>
          <w:tcPr>
            <w:tcW w:w="1186" w:type="dxa"/>
            <w:tcBorders>
              <w:top w:val="single" w:sz="4" w:space="0" w:color="000000"/>
              <w:left w:val="single" w:sz="4" w:space="0" w:color="000000"/>
              <w:bottom w:val="single" w:sz="4" w:space="0" w:color="000000"/>
              <w:right w:val="single" w:sz="4" w:space="0" w:color="000000"/>
            </w:tcBorders>
            <w:hideMark/>
          </w:tcPr>
          <w:p w14:paraId="2CAF06BD" w14:textId="77777777" w:rsidR="00DC6CAA" w:rsidRDefault="00DC6CAA">
            <w:pPr>
              <w:pStyle w:val="TableParagraph"/>
              <w:ind w:left="103" w:right="88"/>
              <w:rPr>
                <w:sz w:val="24"/>
                <w:szCs w:val="24"/>
              </w:rPr>
            </w:pPr>
            <w:r>
              <w:rPr>
                <w:sz w:val="24"/>
                <w:szCs w:val="24"/>
              </w:rPr>
              <w:t>306 (8,8)</w:t>
            </w:r>
          </w:p>
        </w:tc>
        <w:tc>
          <w:tcPr>
            <w:tcW w:w="1359" w:type="dxa"/>
            <w:tcBorders>
              <w:top w:val="single" w:sz="4" w:space="0" w:color="000000"/>
              <w:left w:val="single" w:sz="4" w:space="0" w:color="000000"/>
              <w:bottom w:val="single" w:sz="4" w:space="0" w:color="000000"/>
              <w:right w:val="single" w:sz="4" w:space="0" w:color="000000"/>
            </w:tcBorders>
            <w:hideMark/>
          </w:tcPr>
          <w:p w14:paraId="51A2388E" w14:textId="77777777" w:rsidR="00DC6CAA" w:rsidRDefault="00DC6CAA">
            <w:pPr>
              <w:pStyle w:val="TableParagraph"/>
              <w:ind w:left="481" w:right="466"/>
              <w:rPr>
                <w:sz w:val="24"/>
                <w:szCs w:val="24"/>
              </w:rPr>
            </w:pPr>
            <w:r>
              <w:rPr>
                <w:sz w:val="24"/>
                <w:szCs w:val="24"/>
              </w:rPr>
              <w:t>46,6</w:t>
            </w:r>
          </w:p>
        </w:tc>
        <w:tc>
          <w:tcPr>
            <w:tcW w:w="1902" w:type="dxa"/>
            <w:tcBorders>
              <w:top w:val="single" w:sz="4" w:space="0" w:color="000000"/>
              <w:left w:val="single" w:sz="4" w:space="0" w:color="000000"/>
              <w:bottom w:val="single" w:sz="4" w:space="0" w:color="000000"/>
              <w:right w:val="single" w:sz="4" w:space="0" w:color="000000"/>
            </w:tcBorders>
            <w:hideMark/>
          </w:tcPr>
          <w:p w14:paraId="57608CC1" w14:textId="77777777" w:rsidR="00DC6CAA" w:rsidRDefault="00DC6CAA">
            <w:pPr>
              <w:pStyle w:val="TableParagraph"/>
              <w:ind w:left="196" w:right="181"/>
              <w:rPr>
                <w:sz w:val="24"/>
                <w:szCs w:val="24"/>
              </w:rPr>
            </w:pPr>
            <w:r>
              <w:rPr>
                <w:sz w:val="24"/>
                <w:szCs w:val="24"/>
              </w:rPr>
              <w:t>1,04 (0,89; 1,22)</w:t>
            </w:r>
          </w:p>
        </w:tc>
      </w:tr>
      <w:tr w:rsidR="00DC6CAA" w14:paraId="58E640EC" w14:textId="77777777" w:rsidTr="00DC6CAA">
        <w:trPr>
          <w:trHeight w:val="505"/>
        </w:trPr>
        <w:tc>
          <w:tcPr>
            <w:tcW w:w="2111" w:type="dxa"/>
            <w:tcBorders>
              <w:top w:val="single" w:sz="4" w:space="0" w:color="000000"/>
              <w:left w:val="single" w:sz="4" w:space="0" w:color="000000"/>
              <w:bottom w:val="single" w:sz="4" w:space="0" w:color="000000"/>
              <w:right w:val="single" w:sz="4" w:space="0" w:color="000000"/>
            </w:tcBorders>
            <w:hideMark/>
          </w:tcPr>
          <w:p w14:paraId="06831440" w14:textId="77777777" w:rsidR="00DC6CAA" w:rsidRDefault="00DC6CAA">
            <w:pPr>
              <w:pStyle w:val="TableParagraph"/>
              <w:rPr>
                <w:sz w:val="24"/>
                <w:szCs w:val="24"/>
              </w:rPr>
            </w:pPr>
            <w:r>
              <w:rPr>
                <w:sz w:val="24"/>
                <w:szCs w:val="24"/>
              </w:rPr>
              <w:t>Mortalitet uanset</w:t>
            </w:r>
          </w:p>
          <w:p w14:paraId="6DAC970A" w14:textId="77777777" w:rsidR="00DC6CAA" w:rsidRDefault="00DC6CAA">
            <w:pPr>
              <w:pStyle w:val="TableParagraph"/>
              <w:rPr>
                <w:sz w:val="24"/>
                <w:szCs w:val="24"/>
              </w:rPr>
            </w:pPr>
            <w:r>
              <w:rPr>
                <w:sz w:val="24"/>
                <w:szCs w:val="24"/>
              </w:rPr>
              <w:t>årsag</w:t>
            </w:r>
          </w:p>
        </w:tc>
        <w:tc>
          <w:tcPr>
            <w:tcW w:w="1313" w:type="dxa"/>
            <w:tcBorders>
              <w:top w:val="single" w:sz="4" w:space="0" w:color="000000"/>
              <w:left w:val="single" w:sz="4" w:space="0" w:color="000000"/>
              <w:bottom w:val="single" w:sz="4" w:space="0" w:color="000000"/>
              <w:right w:val="single" w:sz="4" w:space="0" w:color="000000"/>
            </w:tcBorders>
            <w:hideMark/>
          </w:tcPr>
          <w:p w14:paraId="112B58E4" w14:textId="77777777" w:rsidR="00DC6CAA" w:rsidRDefault="00DC6CAA">
            <w:pPr>
              <w:pStyle w:val="TableParagraph"/>
              <w:ind w:left="143" w:right="134"/>
              <w:rPr>
                <w:sz w:val="24"/>
                <w:szCs w:val="24"/>
              </w:rPr>
            </w:pPr>
            <w:r>
              <w:rPr>
                <w:sz w:val="24"/>
                <w:szCs w:val="24"/>
              </w:rPr>
              <w:t>367 (10,5)</w:t>
            </w:r>
          </w:p>
        </w:tc>
        <w:tc>
          <w:tcPr>
            <w:tcW w:w="1187" w:type="dxa"/>
            <w:tcBorders>
              <w:top w:val="single" w:sz="4" w:space="0" w:color="000000"/>
              <w:left w:val="single" w:sz="4" w:space="0" w:color="000000"/>
              <w:bottom w:val="single" w:sz="4" w:space="0" w:color="000000"/>
              <w:right w:val="single" w:sz="4" w:space="0" w:color="000000"/>
            </w:tcBorders>
            <w:hideMark/>
          </w:tcPr>
          <w:p w14:paraId="46FDD8DA" w14:textId="77777777" w:rsidR="00DC6CAA" w:rsidRDefault="00DC6CAA">
            <w:pPr>
              <w:pStyle w:val="TableParagraph"/>
              <w:ind w:left="382" w:right="370"/>
              <w:rPr>
                <w:sz w:val="24"/>
                <w:szCs w:val="24"/>
              </w:rPr>
            </w:pPr>
            <w:r>
              <w:rPr>
                <w:sz w:val="24"/>
                <w:szCs w:val="24"/>
              </w:rPr>
              <w:t>46,9</w:t>
            </w:r>
          </w:p>
        </w:tc>
        <w:tc>
          <w:tcPr>
            <w:tcW w:w="1186" w:type="dxa"/>
            <w:tcBorders>
              <w:top w:val="single" w:sz="4" w:space="0" w:color="000000"/>
              <w:left w:val="single" w:sz="4" w:space="0" w:color="000000"/>
              <w:bottom w:val="single" w:sz="4" w:space="0" w:color="000000"/>
              <w:right w:val="single" w:sz="4" w:space="0" w:color="000000"/>
            </w:tcBorders>
            <w:hideMark/>
          </w:tcPr>
          <w:p w14:paraId="1374FB9D" w14:textId="77777777" w:rsidR="00DC6CAA" w:rsidRDefault="00DC6CAA">
            <w:pPr>
              <w:pStyle w:val="TableParagraph"/>
              <w:ind w:left="103" w:right="88"/>
              <w:rPr>
                <w:sz w:val="24"/>
                <w:szCs w:val="24"/>
              </w:rPr>
            </w:pPr>
            <w:r>
              <w:rPr>
                <w:sz w:val="24"/>
                <w:szCs w:val="24"/>
              </w:rPr>
              <w:t>373 (10,7)</w:t>
            </w:r>
          </w:p>
        </w:tc>
        <w:tc>
          <w:tcPr>
            <w:tcW w:w="1359" w:type="dxa"/>
            <w:tcBorders>
              <w:top w:val="single" w:sz="4" w:space="0" w:color="000000"/>
              <w:left w:val="single" w:sz="4" w:space="0" w:color="000000"/>
              <w:bottom w:val="single" w:sz="4" w:space="0" w:color="000000"/>
              <w:right w:val="single" w:sz="4" w:space="0" w:color="000000"/>
            </w:tcBorders>
            <w:hideMark/>
          </w:tcPr>
          <w:p w14:paraId="09E57667" w14:textId="77777777" w:rsidR="00DC6CAA" w:rsidRDefault="00DC6CAA">
            <w:pPr>
              <w:pStyle w:val="TableParagraph"/>
              <w:ind w:left="481" w:right="466"/>
              <w:rPr>
                <w:sz w:val="24"/>
                <w:szCs w:val="24"/>
              </w:rPr>
            </w:pPr>
            <w:r>
              <w:rPr>
                <w:sz w:val="24"/>
                <w:szCs w:val="24"/>
              </w:rPr>
              <w:t>48,0</w:t>
            </w:r>
          </w:p>
        </w:tc>
        <w:tc>
          <w:tcPr>
            <w:tcW w:w="1902" w:type="dxa"/>
            <w:tcBorders>
              <w:top w:val="single" w:sz="4" w:space="0" w:color="000000"/>
              <w:left w:val="single" w:sz="4" w:space="0" w:color="000000"/>
              <w:bottom w:val="single" w:sz="4" w:space="0" w:color="000000"/>
              <w:right w:val="single" w:sz="4" w:space="0" w:color="000000"/>
            </w:tcBorders>
            <w:hideMark/>
          </w:tcPr>
          <w:p w14:paraId="42FC0205" w14:textId="77777777" w:rsidR="00DC6CAA" w:rsidRDefault="00DC6CAA">
            <w:pPr>
              <w:pStyle w:val="TableParagraph"/>
              <w:ind w:left="196" w:right="181"/>
              <w:rPr>
                <w:sz w:val="24"/>
                <w:szCs w:val="24"/>
              </w:rPr>
            </w:pPr>
            <w:r>
              <w:rPr>
                <w:sz w:val="24"/>
                <w:szCs w:val="24"/>
              </w:rPr>
              <w:t>0,98 (0,84; 1,13)</w:t>
            </w:r>
          </w:p>
        </w:tc>
      </w:tr>
      <w:tr w:rsidR="00DC6CAA" w14:paraId="2757036A" w14:textId="77777777" w:rsidTr="00DC6CAA">
        <w:trPr>
          <w:trHeight w:val="253"/>
        </w:trPr>
        <w:tc>
          <w:tcPr>
            <w:tcW w:w="2111" w:type="dxa"/>
            <w:tcBorders>
              <w:top w:val="single" w:sz="4" w:space="0" w:color="000000"/>
              <w:left w:val="single" w:sz="4" w:space="0" w:color="000000"/>
              <w:bottom w:val="single" w:sz="4" w:space="0" w:color="000000"/>
              <w:right w:val="single" w:sz="4" w:space="0" w:color="000000"/>
            </w:tcBorders>
            <w:hideMark/>
          </w:tcPr>
          <w:p w14:paraId="1455860A" w14:textId="77777777" w:rsidR="00DC6CAA" w:rsidRDefault="00DC6CAA">
            <w:pPr>
              <w:pStyle w:val="TableParagraph"/>
              <w:rPr>
                <w:sz w:val="24"/>
                <w:szCs w:val="24"/>
              </w:rPr>
            </w:pPr>
            <w:r>
              <w:rPr>
                <w:sz w:val="24"/>
                <w:szCs w:val="24"/>
              </w:rPr>
              <w:t>Kardiovaskulær død</w:t>
            </w:r>
          </w:p>
        </w:tc>
        <w:tc>
          <w:tcPr>
            <w:tcW w:w="1313" w:type="dxa"/>
            <w:tcBorders>
              <w:top w:val="single" w:sz="4" w:space="0" w:color="000000"/>
              <w:left w:val="single" w:sz="4" w:space="0" w:color="000000"/>
              <w:bottom w:val="single" w:sz="4" w:space="0" w:color="000000"/>
              <w:right w:val="single" w:sz="4" w:space="0" w:color="000000"/>
            </w:tcBorders>
            <w:hideMark/>
          </w:tcPr>
          <w:p w14:paraId="3003DB1E" w14:textId="77777777" w:rsidR="00DC6CAA" w:rsidRDefault="00DC6CAA">
            <w:pPr>
              <w:pStyle w:val="TableParagraph"/>
              <w:ind w:left="143" w:right="134"/>
              <w:rPr>
                <w:sz w:val="24"/>
                <w:szCs w:val="24"/>
              </w:rPr>
            </w:pPr>
            <w:r>
              <w:rPr>
                <w:sz w:val="24"/>
                <w:szCs w:val="24"/>
              </w:rPr>
              <w:t>255 (7,3)</w:t>
            </w:r>
          </w:p>
        </w:tc>
        <w:tc>
          <w:tcPr>
            <w:tcW w:w="1187" w:type="dxa"/>
            <w:tcBorders>
              <w:top w:val="single" w:sz="4" w:space="0" w:color="000000"/>
              <w:left w:val="single" w:sz="4" w:space="0" w:color="000000"/>
              <w:bottom w:val="single" w:sz="4" w:space="0" w:color="000000"/>
              <w:right w:val="single" w:sz="4" w:space="0" w:color="000000"/>
            </w:tcBorders>
            <w:hideMark/>
          </w:tcPr>
          <w:p w14:paraId="1EF9CB31" w14:textId="77777777" w:rsidR="00DC6CAA" w:rsidRDefault="00DC6CAA">
            <w:pPr>
              <w:pStyle w:val="TableParagraph"/>
              <w:ind w:left="382" w:right="370"/>
              <w:rPr>
                <w:sz w:val="24"/>
                <w:szCs w:val="24"/>
              </w:rPr>
            </w:pPr>
            <w:r>
              <w:rPr>
                <w:sz w:val="24"/>
                <w:szCs w:val="24"/>
              </w:rPr>
              <w:t>32,6</w:t>
            </w:r>
          </w:p>
        </w:tc>
        <w:tc>
          <w:tcPr>
            <w:tcW w:w="1186" w:type="dxa"/>
            <w:tcBorders>
              <w:top w:val="single" w:sz="4" w:space="0" w:color="000000"/>
              <w:left w:val="single" w:sz="4" w:space="0" w:color="000000"/>
              <w:bottom w:val="single" w:sz="4" w:space="0" w:color="000000"/>
              <w:right w:val="single" w:sz="4" w:space="0" w:color="000000"/>
            </w:tcBorders>
            <w:hideMark/>
          </w:tcPr>
          <w:p w14:paraId="6FF4E09A" w14:textId="77777777" w:rsidR="00DC6CAA" w:rsidRDefault="00DC6CAA">
            <w:pPr>
              <w:pStyle w:val="TableParagraph"/>
              <w:ind w:left="103" w:right="88"/>
              <w:rPr>
                <w:sz w:val="24"/>
                <w:szCs w:val="24"/>
              </w:rPr>
            </w:pPr>
            <w:r>
              <w:rPr>
                <w:sz w:val="24"/>
                <w:szCs w:val="24"/>
              </w:rPr>
              <w:t>264 (7,6)</w:t>
            </w:r>
          </w:p>
        </w:tc>
        <w:tc>
          <w:tcPr>
            <w:tcW w:w="1359" w:type="dxa"/>
            <w:tcBorders>
              <w:top w:val="single" w:sz="4" w:space="0" w:color="000000"/>
              <w:left w:val="single" w:sz="4" w:space="0" w:color="000000"/>
              <w:bottom w:val="single" w:sz="4" w:space="0" w:color="000000"/>
              <w:right w:val="single" w:sz="4" w:space="0" w:color="000000"/>
            </w:tcBorders>
            <w:hideMark/>
          </w:tcPr>
          <w:p w14:paraId="205970EE" w14:textId="77777777" w:rsidR="00DC6CAA" w:rsidRDefault="00DC6CAA">
            <w:pPr>
              <w:pStyle w:val="TableParagraph"/>
              <w:ind w:left="479" w:right="467"/>
              <w:rPr>
                <w:sz w:val="24"/>
                <w:szCs w:val="24"/>
              </w:rPr>
            </w:pPr>
            <w:r>
              <w:rPr>
                <w:sz w:val="24"/>
                <w:szCs w:val="24"/>
              </w:rPr>
              <w:t>34</w:t>
            </w:r>
          </w:p>
        </w:tc>
        <w:tc>
          <w:tcPr>
            <w:tcW w:w="1902" w:type="dxa"/>
            <w:tcBorders>
              <w:top w:val="single" w:sz="4" w:space="0" w:color="000000"/>
              <w:left w:val="single" w:sz="4" w:space="0" w:color="000000"/>
              <w:bottom w:val="single" w:sz="4" w:space="0" w:color="000000"/>
              <w:right w:val="single" w:sz="4" w:space="0" w:color="000000"/>
            </w:tcBorders>
            <w:hideMark/>
          </w:tcPr>
          <w:p w14:paraId="224E0D0A" w14:textId="77777777" w:rsidR="00DC6CAA" w:rsidRDefault="00DC6CAA">
            <w:pPr>
              <w:pStyle w:val="TableParagraph"/>
              <w:ind w:left="196" w:right="181"/>
              <w:rPr>
                <w:sz w:val="24"/>
                <w:szCs w:val="24"/>
              </w:rPr>
            </w:pPr>
            <w:r>
              <w:rPr>
                <w:sz w:val="24"/>
                <w:szCs w:val="24"/>
              </w:rPr>
              <w:t xml:space="preserve">0,96 (0,81; </w:t>
            </w:r>
            <w:r>
              <w:rPr>
                <w:sz w:val="24"/>
                <w:szCs w:val="24"/>
              </w:rPr>
              <w:lastRenderedPageBreak/>
              <w:t>1,14)</w:t>
            </w:r>
          </w:p>
        </w:tc>
      </w:tr>
      <w:tr w:rsidR="00DC6CAA" w14:paraId="0A631775" w14:textId="77777777" w:rsidTr="00DC6CAA">
        <w:trPr>
          <w:trHeight w:val="506"/>
        </w:trPr>
        <w:tc>
          <w:tcPr>
            <w:tcW w:w="2111" w:type="dxa"/>
            <w:tcBorders>
              <w:top w:val="single" w:sz="4" w:space="0" w:color="000000"/>
              <w:left w:val="single" w:sz="4" w:space="0" w:color="000000"/>
              <w:bottom w:val="single" w:sz="4" w:space="0" w:color="000000"/>
              <w:right w:val="single" w:sz="4" w:space="0" w:color="000000"/>
            </w:tcBorders>
            <w:hideMark/>
          </w:tcPr>
          <w:p w14:paraId="502AB79F" w14:textId="77777777" w:rsidR="00DC6CAA" w:rsidRDefault="00DC6CAA">
            <w:pPr>
              <w:pStyle w:val="TableParagraph"/>
              <w:rPr>
                <w:sz w:val="24"/>
                <w:szCs w:val="24"/>
              </w:rPr>
            </w:pPr>
            <w:r>
              <w:rPr>
                <w:sz w:val="24"/>
                <w:szCs w:val="24"/>
              </w:rPr>
              <w:lastRenderedPageBreak/>
              <w:t>Indlæggelse for</w:t>
            </w:r>
          </w:p>
          <w:p w14:paraId="11D33EDC" w14:textId="77777777" w:rsidR="00DC6CAA" w:rsidRDefault="00DC6CAA">
            <w:pPr>
              <w:pStyle w:val="TableParagraph"/>
              <w:rPr>
                <w:sz w:val="24"/>
                <w:szCs w:val="24"/>
              </w:rPr>
            </w:pPr>
            <w:r>
              <w:rPr>
                <w:sz w:val="24"/>
                <w:szCs w:val="24"/>
              </w:rPr>
              <w:t>hjertesvigt</w:t>
            </w:r>
          </w:p>
        </w:tc>
        <w:tc>
          <w:tcPr>
            <w:tcW w:w="1313" w:type="dxa"/>
            <w:tcBorders>
              <w:top w:val="single" w:sz="4" w:space="0" w:color="000000"/>
              <w:left w:val="single" w:sz="4" w:space="0" w:color="000000"/>
              <w:bottom w:val="single" w:sz="4" w:space="0" w:color="000000"/>
              <w:right w:val="single" w:sz="4" w:space="0" w:color="000000"/>
            </w:tcBorders>
            <w:hideMark/>
          </w:tcPr>
          <w:p w14:paraId="701F2734" w14:textId="77777777" w:rsidR="00DC6CAA" w:rsidRDefault="00DC6CAA">
            <w:pPr>
              <w:pStyle w:val="TableParagraph"/>
              <w:ind w:left="143" w:right="134"/>
              <w:rPr>
                <w:sz w:val="24"/>
                <w:szCs w:val="24"/>
              </w:rPr>
            </w:pPr>
            <w:r>
              <w:rPr>
                <w:sz w:val="24"/>
                <w:szCs w:val="24"/>
              </w:rPr>
              <w:t>209 (6,0)</w:t>
            </w:r>
          </w:p>
        </w:tc>
        <w:tc>
          <w:tcPr>
            <w:tcW w:w="1187" w:type="dxa"/>
            <w:tcBorders>
              <w:top w:val="single" w:sz="4" w:space="0" w:color="000000"/>
              <w:left w:val="single" w:sz="4" w:space="0" w:color="000000"/>
              <w:bottom w:val="single" w:sz="4" w:space="0" w:color="000000"/>
              <w:right w:val="single" w:sz="4" w:space="0" w:color="000000"/>
            </w:tcBorders>
            <w:hideMark/>
          </w:tcPr>
          <w:p w14:paraId="762FF950" w14:textId="77777777" w:rsidR="00DC6CAA" w:rsidRDefault="00DC6CAA">
            <w:pPr>
              <w:pStyle w:val="TableParagraph"/>
              <w:ind w:left="382" w:right="370"/>
              <w:rPr>
                <w:sz w:val="24"/>
                <w:szCs w:val="24"/>
              </w:rPr>
            </w:pPr>
            <w:r>
              <w:rPr>
                <w:sz w:val="24"/>
                <w:szCs w:val="24"/>
              </w:rPr>
              <w:t>27,7</w:t>
            </w:r>
          </w:p>
        </w:tc>
        <w:tc>
          <w:tcPr>
            <w:tcW w:w="1186" w:type="dxa"/>
            <w:tcBorders>
              <w:top w:val="single" w:sz="4" w:space="0" w:color="000000"/>
              <w:left w:val="single" w:sz="4" w:space="0" w:color="000000"/>
              <w:bottom w:val="single" w:sz="4" w:space="0" w:color="000000"/>
              <w:right w:val="single" w:sz="4" w:space="0" w:color="000000"/>
            </w:tcBorders>
            <w:hideMark/>
          </w:tcPr>
          <w:p w14:paraId="297C62FB" w14:textId="77777777" w:rsidR="00DC6CAA" w:rsidRDefault="00DC6CAA">
            <w:pPr>
              <w:pStyle w:val="TableParagraph"/>
              <w:ind w:left="103" w:right="88"/>
              <w:rPr>
                <w:sz w:val="24"/>
                <w:szCs w:val="24"/>
              </w:rPr>
            </w:pPr>
            <w:r>
              <w:rPr>
                <w:sz w:val="24"/>
                <w:szCs w:val="24"/>
              </w:rPr>
              <w:t>226 (6,5)</w:t>
            </w:r>
          </w:p>
        </w:tc>
        <w:tc>
          <w:tcPr>
            <w:tcW w:w="1359" w:type="dxa"/>
            <w:tcBorders>
              <w:top w:val="single" w:sz="4" w:space="0" w:color="000000"/>
              <w:left w:val="single" w:sz="4" w:space="0" w:color="000000"/>
              <w:bottom w:val="single" w:sz="4" w:space="0" w:color="000000"/>
              <w:right w:val="single" w:sz="4" w:space="0" w:color="000000"/>
            </w:tcBorders>
            <w:hideMark/>
          </w:tcPr>
          <w:p w14:paraId="23EE06D6" w14:textId="77777777" w:rsidR="00DC6CAA" w:rsidRDefault="00DC6CAA">
            <w:pPr>
              <w:pStyle w:val="TableParagraph"/>
              <w:ind w:left="481" w:right="466"/>
              <w:rPr>
                <w:sz w:val="24"/>
                <w:szCs w:val="24"/>
              </w:rPr>
            </w:pPr>
            <w:r>
              <w:rPr>
                <w:sz w:val="24"/>
                <w:szCs w:val="24"/>
              </w:rPr>
              <w:t>30,4</w:t>
            </w:r>
          </w:p>
        </w:tc>
        <w:tc>
          <w:tcPr>
            <w:tcW w:w="1902" w:type="dxa"/>
            <w:tcBorders>
              <w:top w:val="single" w:sz="4" w:space="0" w:color="000000"/>
              <w:left w:val="single" w:sz="4" w:space="0" w:color="000000"/>
              <w:bottom w:val="single" w:sz="4" w:space="0" w:color="000000"/>
              <w:right w:val="single" w:sz="4" w:space="0" w:color="000000"/>
            </w:tcBorders>
            <w:hideMark/>
          </w:tcPr>
          <w:p w14:paraId="7D88F670" w14:textId="77777777" w:rsidR="00DC6CAA" w:rsidRDefault="00DC6CAA">
            <w:pPr>
              <w:pStyle w:val="TableParagraph"/>
              <w:ind w:left="196" w:right="181"/>
              <w:rPr>
                <w:sz w:val="24"/>
                <w:szCs w:val="24"/>
              </w:rPr>
            </w:pPr>
            <w:r>
              <w:rPr>
                <w:sz w:val="24"/>
                <w:szCs w:val="24"/>
              </w:rPr>
              <w:t>0,90 (0,74; 1,08)</w:t>
            </w:r>
          </w:p>
        </w:tc>
      </w:tr>
    </w:tbl>
    <w:p w14:paraId="1687A538" w14:textId="77777777" w:rsidR="00DC6CAA" w:rsidRDefault="00DC6CAA" w:rsidP="00DC6CAA">
      <w:pPr>
        <w:ind w:left="851"/>
        <w:rPr>
          <w:sz w:val="22"/>
          <w:szCs w:val="22"/>
        </w:rPr>
      </w:pPr>
      <w:r>
        <w:rPr>
          <w:sz w:val="22"/>
          <w:szCs w:val="22"/>
        </w:rPr>
        <w:t>* PY = patientår</w:t>
      </w:r>
    </w:p>
    <w:p w14:paraId="6CDA1448" w14:textId="77777777" w:rsidR="00DC6CAA" w:rsidRDefault="00DC6CAA" w:rsidP="00DC6CAA">
      <w:pPr>
        <w:ind w:left="851"/>
        <w:rPr>
          <w:sz w:val="22"/>
          <w:szCs w:val="22"/>
        </w:rPr>
      </w:pPr>
      <w:r>
        <w:rPr>
          <w:sz w:val="22"/>
          <w:szCs w:val="22"/>
        </w:rPr>
        <w:t xml:space="preserve">** Test for non-inferioritet for at vise, at den øvre grænse af det 95 % CI for </w:t>
      </w:r>
      <w:r>
        <w:rPr>
          <w:i/>
          <w:sz w:val="22"/>
          <w:szCs w:val="22"/>
        </w:rPr>
        <w:t xml:space="preserve">hazard </w:t>
      </w:r>
      <w:r>
        <w:rPr>
          <w:sz w:val="22"/>
          <w:szCs w:val="22"/>
        </w:rPr>
        <w:t>ratio er under 1,3</w:t>
      </w:r>
    </w:p>
    <w:p w14:paraId="0548FE2E" w14:textId="77777777" w:rsidR="00DC6CAA" w:rsidRDefault="00DC6CAA" w:rsidP="000945FA">
      <w:pPr>
        <w:pStyle w:val="Brdtekst"/>
        <w:ind w:left="851"/>
        <w:rPr>
          <w:sz w:val="24"/>
          <w:szCs w:val="24"/>
          <w:lang w:val="da-DK"/>
        </w:rPr>
      </w:pPr>
    </w:p>
    <w:p w14:paraId="5C4BCD1A" w14:textId="77777777" w:rsidR="00DC6CAA" w:rsidRDefault="00DC6CAA" w:rsidP="000945FA">
      <w:pPr>
        <w:pStyle w:val="Brdtekst"/>
        <w:ind w:left="851"/>
        <w:rPr>
          <w:sz w:val="24"/>
          <w:szCs w:val="24"/>
          <w:lang w:val="da-DK"/>
        </w:rPr>
      </w:pPr>
      <w:r>
        <w:rPr>
          <w:sz w:val="24"/>
          <w:szCs w:val="24"/>
          <w:lang w:val="da-DK"/>
        </w:rPr>
        <w:t xml:space="preserve">I analyser for progression af albuminuri (ændring fra normoalbuminuri til mikro- eller makroalbuminuri eller fra mikroalbuminuri til makroalbuminuri) var den estimerede </w:t>
      </w:r>
      <w:r>
        <w:rPr>
          <w:i/>
          <w:sz w:val="24"/>
          <w:szCs w:val="24"/>
          <w:lang w:val="da-DK"/>
        </w:rPr>
        <w:t xml:space="preserve">hazard </w:t>
      </w:r>
      <w:r>
        <w:rPr>
          <w:sz w:val="24"/>
          <w:szCs w:val="24"/>
          <w:lang w:val="da-DK"/>
        </w:rPr>
        <w:t xml:space="preserve">ratio 0,86 (95 % CI 0,78; 0,95) for linagliptin </w:t>
      </w:r>
      <w:r>
        <w:rPr>
          <w:i/>
          <w:sz w:val="24"/>
          <w:szCs w:val="24"/>
          <w:lang w:val="da-DK"/>
        </w:rPr>
        <w:t xml:space="preserve">vs. </w:t>
      </w:r>
      <w:r>
        <w:rPr>
          <w:sz w:val="24"/>
          <w:szCs w:val="24"/>
          <w:lang w:val="da-DK"/>
        </w:rPr>
        <w:t>placebo.</w:t>
      </w:r>
    </w:p>
    <w:p w14:paraId="63084698" w14:textId="77777777" w:rsidR="00DC6CAA" w:rsidRDefault="00DC6CAA" w:rsidP="000945FA">
      <w:pPr>
        <w:pStyle w:val="Brdtekst"/>
        <w:ind w:left="851"/>
        <w:rPr>
          <w:sz w:val="24"/>
          <w:szCs w:val="24"/>
          <w:lang w:val="da-DK"/>
        </w:rPr>
      </w:pPr>
    </w:p>
    <w:p w14:paraId="4F89217D" w14:textId="77777777" w:rsidR="00DC6CAA" w:rsidRDefault="00DC6CAA" w:rsidP="000945FA">
      <w:pPr>
        <w:ind w:left="851"/>
        <w:rPr>
          <w:i/>
          <w:sz w:val="24"/>
          <w:szCs w:val="24"/>
        </w:rPr>
      </w:pPr>
      <w:r>
        <w:rPr>
          <w:i/>
          <w:sz w:val="24"/>
          <w:szCs w:val="24"/>
          <w:u w:val="single"/>
        </w:rPr>
        <w:t>Linagliptin studie for kardiovaskulær sikkerhed (CAROLINA)</w:t>
      </w:r>
    </w:p>
    <w:p w14:paraId="5AD6A44E" w14:textId="77777777" w:rsidR="00DC6CAA" w:rsidRPr="00175F05" w:rsidRDefault="00DC6CAA" w:rsidP="00175F05">
      <w:pPr>
        <w:ind w:left="851"/>
        <w:rPr>
          <w:sz w:val="24"/>
          <w:szCs w:val="24"/>
        </w:rPr>
      </w:pPr>
      <w:r w:rsidRPr="00175F05">
        <w:rPr>
          <w:sz w:val="24"/>
          <w:szCs w:val="24"/>
        </w:rPr>
        <w:t>CAROLINA var et randomiseret studie hos 6 033 patienter med tidlig type 2-diabetes med en øget kardiovaskulær risiko eller fastlagte komplikationer, som blev behandlet med linagliptin 5 mg (3 023) eller glimepirid 1-4 mg (3 010), tilføjet til deres standardbehandling (herunder baggrundsbehandling med metformin hos 83 % af patienter) rettet mod regionale standarder for HbA</w:t>
      </w:r>
      <w:r w:rsidRPr="00175F05">
        <w:rPr>
          <w:sz w:val="24"/>
          <w:szCs w:val="24"/>
          <w:vertAlign w:val="subscript"/>
        </w:rPr>
        <w:t>1c</w:t>
      </w:r>
      <w:r w:rsidRPr="00175F05">
        <w:rPr>
          <w:sz w:val="24"/>
          <w:szCs w:val="24"/>
        </w:rPr>
        <w:t xml:space="preserve"> og kardiovaskulære risikofaktorer. Gennemsnitsalderen for studiepopulationen var 64 år og omfattede 2 030 (34 %) patienter ≥ 70 år. Studiepopulationen omfattede 2 089 (35 %) patienter med kardiovaskulær sygdom og 1 130 (19 %) patienter med nedsat nyrefunktion med en eGFR &lt; 60 mL/min/1,73 m</w:t>
      </w:r>
      <w:r w:rsidRPr="00175F05">
        <w:rPr>
          <w:sz w:val="24"/>
          <w:szCs w:val="24"/>
          <w:vertAlign w:val="superscript"/>
        </w:rPr>
        <w:t xml:space="preserve">2 </w:t>
      </w:r>
      <w:r w:rsidRPr="00175F05">
        <w:rPr>
          <w:sz w:val="24"/>
          <w:szCs w:val="24"/>
        </w:rPr>
        <w:t xml:space="preserve">ved </w:t>
      </w:r>
      <w:r w:rsidRPr="00175F05">
        <w:rPr>
          <w:i/>
          <w:sz w:val="24"/>
          <w:szCs w:val="24"/>
        </w:rPr>
        <w:t>baseline</w:t>
      </w:r>
      <w:r w:rsidRPr="00175F05">
        <w:rPr>
          <w:sz w:val="24"/>
          <w:szCs w:val="24"/>
        </w:rPr>
        <w:t>. Den gennemsnitlige HbA</w:t>
      </w:r>
      <w:r w:rsidRPr="00175F05">
        <w:rPr>
          <w:sz w:val="24"/>
          <w:szCs w:val="24"/>
          <w:vertAlign w:val="subscript"/>
        </w:rPr>
        <w:t>1c</w:t>
      </w:r>
      <w:r w:rsidRPr="00175F05">
        <w:rPr>
          <w:sz w:val="24"/>
          <w:szCs w:val="24"/>
        </w:rPr>
        <w:t xml:space="preserve"> ved </w:t>
      </w:r>
      <w:r w:rsidRPr="00175F05">
        <w:rPr>
          <w:i/>
          <w:sz w:val="24"/>
          <w:szCs w:val="24"/>
        </w:rPr>
        <w:t xml:space="preserve">baseline </w:t>
      </w:r>
      <w:r w:rsidRPr="00175F05">
        <w:rPr>
          <w:sz w:val="24"/>
          <w:szCs w:val="24"/>
        </w:rPr>
        <w:t>var 7,15 %.</w:t>
      </w:r>
    </w:p>
    <w:p w14:paraId="776A33C0" w14:textId="77777777" w:rsidR="00DC6CAA" w:rsidRDefault="00DC6CAA" w:rsidP="000945FA">
      <w:pPr>
        <w:pStyle w:val="Brdtekst"/>
        <w:ind w:left="851"/>
        <w:rPr>
          <w:sz w:val="24"/>
          <w:szCs w:val="24"/>
          <w:lang w:val="da-DK"/>
        </w:rPr>
      </w:pPr>
    </w:p>
    <w:p w14:paraId="405050C6" w14:textId="77777777" w:rsidR="00DC6CAA" w:rsidRDefault="00DC6CAA" w:rsidP="000945FA">
      <w:pPr>
        <w:pStyle w:val="Brdtekst"/>
        <w:ind w:left="851"/>
        <w:rPr>
          <w:sz w:val="24"/>
          <w:szCs w:val="24"/>
          <w:lang w:val="da-DK"/>
        </w:rPr>
      </w:pPr>
      <w:r>
        <w:rPr>
          <w:sz w:val="24"/>
          <w:szCs w:val="24"/>
          <w:lang w:val="da-DK"/>
        </w:rPr>
        <w:t>Studiet blev designet til at vise non-inferioritet for det primære kardiovaskulære endepunkt, som var en sammensætning af den første forekomst af kardiovaskulær død eller ikke-dødeligt myokardieinfarkt (MI) eller ikke-dødelig apopleksi</w:t>
      </w:r>
      <w:r>
        <w:rPr>
          <w:spacing w:val="-6"/>
          <w:sz w:val="24"/>
          <w:szCs w:val="24"/>
          <w:lang w:val="da-DK"/>
        </w:rPr>
        <w:t xml:space="preserve"> </w:t>
      </w:r>
      <w:r>
        <w:rPr>
          <w:sz w:val="24"/>
          <w:szCs w:val="24"/>
          <w:lang w:val="da-DK"/>
        </w:rPr>
        <w:t>(3P-MACE).</w:t>
      </w:r>
    </w:p>
    <w:p w14:paraId="643797DD" w14:textId="77777777" w:rsidR="00DC6CAA" w:rsidRDefault="00DC6CAA" w:rsidP="000945FA">
      <w:pPr>
        <w:pStyle w:val="Brdtekst"/>
        <w:ind w:left="851"/>
        <w:rPr>
          <w:sz w:val="24"/>
          <w:szCs w:val="24"/>
          <w:lang w:val="da-DK"/>
        </w:rPr>
      </w:pPr>
    </w:p>
    <w:p w14:paraId="43C9F49E" w14:textId="77777777" w:rsidR="00DC6CAA" w:rsidRDefault="00DC6CAA" w:rsidP="000945FA">
      <w:pPr>
        <w:pStyle w:val="Brdtekst"/>
        <w:ind w:left="851"/>
        <w:rPr>
          <w:sz w:val="24"/>
          <w:szCs w:val="24"/>
          <w:lang w:val="da-DK"/>
        </w:rPr>
      </w:pPr>
      <w:r>
        <w:rPr>
          <w:sz w:val="24"/>
          <w:szCs w:val="24"/>
          <w:lang w:val="da-DK"/>
        </w:rPr>
        <w:t>Efter en median opfølgning på 6,25 år, når linagliptin blev tilføjet til standardbehandling, øgede linagliptin ikke risikoen for større kardiovaskulære hændelser (se tabel 5), sammenlignet med glimepirid. Resultaterne var konsistente for patienter behandlet med eller uden metformin.</w:t>
      </w:r>
    </w:p>
    <w:p w14:paraId="35BA2A7D" w14:textId="77777777" w:rsidR="00DC6CAA" w:rsidRDefault="00DC6CAA" w:rsidP="000945FA">
      <w:pPr>
        <w:pStyle w:val="Brdtekst"/>
        <w:ind w:left="851"/>
        <w:rPr>
          <w:sz w:val="24"/>
          <w:szCs w:val="24"/>
          <w:lang w:val="da-DK"/>
        </w:rPr>
      </w:pPr>
    </w:p>
    <w:p w14:paraId="41FCD620" w14:textId="6F1AC092" w:rsidR="00DC6CAA" w:rsidRPr="00175F05" w:rsidRDefault="00DC6CAA" w:rsidP="00175F05">
      <w:pPr>
        <w:ind w:left="851"/>
        <w:rPr>
          <w:sz w:val="24"/>
          <w:szCs w:val="24"/>
        </w:rPr>
      </w:pPr>
      <w:r w:rsidRPr="00175F05">
        <w:rPr>
          <w:sz w:val="24"/>
          <w:szCs w:val="24"/>
        </w:rPr>
        <w:t>Tabel</w:t>
      </w:r>
      <w:r w:rsidRPr="00175F05">
        <w:rPr>
          <w:spacing w:val="-2"/>
          <w:sz w:val="24"/>
          <w:szCs w:val="24"/>
        </w:rPr>
        <w:t xml:space="preserve"> </w:t>
      </w:r>
      <w:r w:rsidRPr="00175F05">
        <w:rPr>
          <w:sz w:val="24"/>
          <w:szCs w:val="24"/>
        </w:rPr>
        <w:t>5</w:t>
      </w:r>
      <w:r w:rsidR="00175F05">
        <w:rPr>
          <w:sz w:val="24"/>
          <w:szCs w:val="24"/>
        </w:rPr>
        <w:t xml:space="preserve">. </w:t>
      </w:r>
      <w:r w:rsidRPr="00175F05">
        <w:rPr>
          <w:sz w:val="24"/>
          <w:szCs w:val="24"/>
        </w:rPr>
        <w:t>Større kardiovaskulære bivirkninger (MACE) og død pr. behandlingsgruppe i CAROLINA-studiet</w:t>
      </w:r>
    </w:p>
    <w:p w14:paraId="1BAF65DD" w14:textId="77777777" w:rsidR="00DC6CAA" w:rsidRPr="00175F05" w:rsidRDefault="00DC6CAA" w:rsidP="00175F05">
      <w:pPr>
        <w:ind w:left="851"/>
        <w:rPr>
          <w:sz w:val="24"/>
          <w:szCs w:val="24"/>
        </w:rPr>
      </w:pPr>
    </w:p>
    <w:tbl>
      <w:tblPr>
        <w:tblW w:w="906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1106"/>
        <w:gridCol w:w="1327"/>
        <w:gridCol w:w="1161"/>
        <w:gridCol w:w="1384"/>
        <w:gridCol w:w="1902"/>
      </w:tblGrid>
      <w:tr w:rsidR="00DC6CAA" w14:paraId="2A70CB2E" w14:textId="77777777" w:rsidTr="00DC6CAA">
        <w:trPr>
          <w:trHeight w:val="251"/>
        </w:trPr>
        <w:tc>
          <w:tcPr>
            <w:tcW w:w="2179" w:type="dxa"/>
            <w:vMerge w:val="restart"/>
            <w:tcBorders>
              <w:top w:val="single" w:sz="4" w:space="0" w:color="000000"/>
              <w:left w:val="single" w:sz="4" w:space="0" w:color="000000"/>
              <w:bottom w:val="single" w:sz="4" w:space="0" w:color="000000"/>
              <w:right w:val="single" w:sz="4" w:space="0" w:color="000000"/>
            </w:tcBorders>
          </w:tcPr>
          <w:p w14:paraId="32E399C4" w14:textId="77777777" w:rsidR="00DC6CAA" w:rsidRDefault="00DC6CAA">
            <w:pPr>
              <w:pStyle w:val="TableParagraph"/>
              <w:ind w:left="0"/>
              <w:rPr>
                <w:sz w:val="24"/>
                <w:szCs w:val="24"/>
                <w:lang w:val="da-DK"/>
              </w:rPr>
            </w:pPr>
          </w:p>
        </w:tc>
        <w:tc>
          <w:tcPr>
            <w:tcW w:w="2433" w:type="dxa"/>
            <w:gridSpan w:val="2"/>
            <w:tcBorders>
              <w:top w:val="single" w:sz="4" w:space="0" w:color="000000"/>
              <w:left w:val="single" w:sz="4" w:space="0" w:color="000000"/>
              <w:bottom w:val="single" w:sz="4" w:space="0" w:color="000000"/>
              <w:right w:val="single" w:sz="4" w:space="0" w:color="000000"/>
            </w:tcBorders>
            <w:hideMark/>
          </w:tcPr>
          <w:p w14:paraId="608EBCCF" w14:textId="77777777" w:rsidR="00DC6CAA" w:rsidRDefault="00DC6CAA">
            <w:pPr>
              <w:pStyle w:val="TableParagraph"/>
              <w:ind w:left="434"/>
              <w:rPr>
                <w:b/>
                <w:sz w:val="24"/>
                <w:szCs w:val="24"/>
              </w:rPr>
            </w:pPr>
            <w:r>
              <w:rPr>
                <w:b/>
                <w:sz w:val="24"/>
                <w:szCs w:val="24"/>
              </w:rPr>
              <w:t>Linagliptin 5 mg</w:t>
            </w:r>
          </w:p>
        </w:tc>
        <w:tc>
          <w:tcPr>
            <w:tcW w:w="2545" w:type="dxa"/>
            <w:gridSpan w:val="2"/>
            <w:tcBorders>
              <w:top w:val="single" w:sz="4" w:space="0" w:color="000000"/>
              <w:left w:val="single" w:sz="4" w:space="0" w:color="000000"/>
              <w:bottom w:val="single" w:sz="4" w:space="0" w:color="000000"/>
              <w:right w:val="single" w:sz="4" w:space="0" w:color="000000"/>
            </w:tcBorders>
            <w:hideMark/>
          </w:tcPr>
          <w:p w14:paraId="5EEE2B69" w14:textId="77777777" w:rsidR="00DC6CAA" w:rsidRDefault="00DC6CAA">
            <w:pPr>
              <w:pStyle w:val="TableParagraph"/>
              <w:ind w:left="331"/>
              <w:rPr>
                <w:b/>
                <w:sz w:val="24"/>
                <w:szCs w:val="24"/>
              </w:rPr>
            </w:pPr>
            <w:r>
              <w:rPr>
                <w:b/>
                <w:sz w:val="24"/>
                <w:szCs w:val="24"/>
              </w:rPr>
              <w:t>Glimepirid (1-4 mg)</w:t>
            </w:r>
          </w:p>
        </w:tc>
        <w:tc>
          <w:tcPr>
            <w:tcW w:w="1902" w:type="dxa"/>
            <w:tcBorders>
              <w:top w:val="single" w:sz="4" w:space="0" w:color="000000"/>
              <w:left w:val="single" w:sz="4" w:space="0" w:color="000000"/>
              <w:bottom w:val="single" w:sz="4" w:space="0" w:color="000000"/>
              <w:right w:val="single" w:sz="4" w:space="0" w:color="000000"/>
            </w:tcBorders>
            <w:hideMark/>
          </w:tcPr>
          <w:p w14:paraId="72044FA8" w14:textId="77777777" w:rsidR="00DC6CAA" w:rsidRDefault="00DC6CAA">
            <w:pPr>
              <w:pStyle w:val="TableParagraph"/>
              <w:ind w:left="194" w:right="182"/>
              <w:rPr>
                <w:b/>
                <w:sz w:val="24"/>
                <w:szCs w:val="24"/>
              </w:rPr>
            </w:pPr>
            <w:r>
              <w:rPr>
                <w:b/>
                <w:i/>
                <w:sz w:val="24"/>
                <w:szCs w:val="24"/>
              </w:rPr>
              <w:t xml:space="preserve">Hazard </w:t>
            </w:r>
            <w:r>
              <w:rPr>
                <w:b/>
                <w:sz w:val="24"/>
                <w:szCs w:val="24"/>
              </w:rPr>
              <w:t>Ratio</w:t>
            </w:r>
          </w:p>
        </w:tc>
      </w:tr>
      <w:tr w:rsidR="00DC6CAA" w14:paraId="5EAF1691" w14:textId="77777777" w:rsidTr="00DC6CAA">
        <w:trPr>
          <w:trHeight w:val="760"/>
        </w:trPr>
        <w:tc>
          <w:tcPr>
            <w:tcW w:w="2179" w:type="dxa"/>
            <w:vMerge/>
            <w:tcBorders>
              <w:top w:val="single" w:sz="4" w:space="0" w:color="000000"/>
              <w:left w:val="single" w:sz="4" w:space="0" w:color="000000"/>
              <w:bottom w:val="single" w:sz="4" w:space="0" w:color="000000"/>
              <w:right w:val="single" w:sz="4" w:space="0" w:color="000000"/>
            </w:tcBorders>
            <w:vAlign w:val="center"/>
            <w:hideMark/>
          </w:tcPr>
          <w:p w14:paraId="442F73F6" w14:textId="77777777" w:rsidR="00DC6CAA" w:rsidRDefault="00DC6CAA">
            <w:pPr>
              <w:rPr>
                <w:sz w:val="24"/>
                <w:szCs w:val="24"/>
              </w:rPr>
            </w:pPr>
          </w:p>
        </w:tc>
        <w:tc>
          <w:tcPr>
            <w:tcW w:w="1106" w:type="dxa"/>
            <w:tcBorders>
              <w:top w:val="single" w:sz="4" w:space="0" w:color="000000"/>
              <w:left w:val="single" w:sz="4" w:space="0" w:color="000000"/>
              <w:bottom w:val="single" w:sz="4" w:space="0" w:color="000000"/>
              <w:right w:val="single" w:sz="4" w:space="0" w:color="000000"/>
            </w:tcBorders>
            <w:hideMark/>
          </w:tcPr>
          <w:p w14:paraId="6B806C72" w14:textId="77777777" w:rsidR="00DC6CAA" w:rsidRDefault="00DC6CAA">
            <w:pPr>
              <w:pStyle w:val="TableParagraph"/>
              <w:ind w:left="129" w:right="120"/>
              <w:rPr>
                <w:sz w:val="24"/>
                <w:szCs w:val="24"/>
              </w:rPr>
            </w:pPr>
            <w:r>
              <w:rPr>
                <w:sz w:val="24"/>
                <w:szCs w:val="24"/>
              </w:rPr>
              <w:t>Antal</w:t>
            </w:r>
          </w:p>
          <w:p w14:paraId="38CD4794" w14:textId="77777777" w:rsidR="00DC6CAA" w:rsidRDefault="00DC6CAA">
            <w:pPr>
              <w:pStyle w:val="TableParagraph"/>
              <w:ind w:left="129" w:right="117"/>
              <w:rPr>
                <w:sz w:val="24"/>
                <w:szCs w:val="24"/>
              </w:rPr>
            </w:pPr>
            <w:r>
              <w:rPr>
                <w:sz w:val="24"/>
                <w:szCs w:val="24"/>
              </w:rPr>
              <w:t>personer (%)</w:t>
            </w:r>
          </w:p>
        </w:tc>
        <w:tc>
          <w:tcPr>
            <w:tcW w:w="1327" w:type="dxa"/>
            <w:tcBorders>
              <w:top w:val="single" w:sz="4" w:space="0" w:color="000000"/>
              <w:left w:val="single" w:sz="4" w:space="0" w:color="000000"/>
              <w:bottom w:val="single" w:sz="4" w:space="0" w:color="000000"/>
              <w:right w:val="single" w:sz="4" w:space="0" w:color="000000"/>
            </w:tcBorders>
            <w:hideMark/>
          </w:tcPr>
          <w:p w14:paraId="363FBD7A" w14:textId="77777777" w:rsidR="00DC6CAA" w:rsidRDefault="00DC6CAA">
            <w:pPr>
              <w:pStyle w:val="TableParagraph"/>
              <w:ind w:left="542" w:right="164" w:hanging="351"/>
              <w:rPr>
                <w:sz w:val="24"/>
                <w:szCs w:val="24"/>
              </w:rPr>
            </w:pPr>
            <w:r>
              <w:rPr>
                <w:sz w:val="24"/>
                <w:szCs w:val="24"/>
              </w:rPr>
              <w:t>Forekomst pr.</w:t>
            </w:r>
          </w:p>
          <w:p w14:paraId="4654BA73" w14:textId="77777777" w:rsidR="00DC6CAA" w:rsidRDefault="00DC6CAA">
            <w:pPr>
              <w:pStyle w:val="TableParagraph"/>
              <w:ind w:left="192"/>
              <w:rPr>
                <w:sz w:val="24"/>
                <w:szCs w:val="24"/>
              </w:rPr>
            </w:pPr>
            <w:r>
              <w:rPr>
                <w:sz w:val="24"/>
                <w:szCs w:val="24"/>
              </w:rPr>
              <w:t>1 000 PY*</w:t>
            </w:r>
          </w:p>
        </w:tc>
        <w:tc>
          <w:tcPr>
            <w:tcW w:w="1161" w:type="dxa"/>
            <w:tcBorders>
              <w:top w:val="single" w:sz="4" w:space="0" w:color="000000"/>
              <w:left w:val="single" w:sz="4" w:space="0" w:color="000000"/>
              <w:bottom w:val="single" w:sz="4" w:space="0" w:color="000000"/>
              <w:right w:val="single" w:sz="4" w:space="0" w:color="000000"/>
            </w:tcBorders>
            <w:hideMark/>
          </w:tcPr>
          <w:p w14:paraId="3B81B268" w14:textId="77777777" w:rsidR="00DC6CAA" w:rsidRDefault="00DC6CAA">
            <w:pPr>
              <w:pStyle w:val="TableParagraph"/>
              <w:ind w:left="97" w:right="89"/>
              <w:rPr>
                <w:sz w:val="24"/>
                <w:szCs w:val="24"/>
              </w:rPr>
            </w:pPr>
            <w:r>
              <w:rPr>
                <w:sz w:val="24"/>
                <w:szCs w:val="24"/>
              </w:rPr>
              <w:t>Antal</w:t>
            </w:r>
          </w:p>
          <w:p w14:paraId="79A61772" w14:textId="77777777" w:rsidR="00DC6CAA" w:rsidRDefault="00DC6CAA">
            <w:pPr>
              <w:pStyle w:val="TableParagraph"/>
              <w:ind w:left="100" w:right="89"/>
              <w:rPr>
                <w:sz w:val="24"/>
                <w:szCs w:val="24"/>
              </w:rPr>
            </w:pPr>
            <w:r>
              <w:rPr>
                <w:sz w:val="24"/>
                <w:szCs w:val="24"/>
              </w:rPr>
              <w:t>personer (%)</w:t>
            </w:r>
          </w:p>
        </w:tc>
        <w:tc>
          <w:tcPr>
            <w:tcW w:w="1384" w:type="dxa"/>
            <w:tcBorders>
              <w:top w:val="single" w:sz="4" w:space="0" w:color="000000"/>
              <w:left w:val="single" w:sz="4" w:space="0" w:color="000000"/>
              <w:bottom w:val="single" w:sz="4" w:space="0" w:color="000000"/>
              <w:right w:val="single" w:sz="4" w:space="0" w:color="000000"/>
            </w:tcBorders>
            <w:hideMark/>
          </w:tcPr>
          <w:p w14:paraId="73DE5E2E" w14:textId="77777777" w:rsidR="00DC6CAA" w:rsidRDefault="00DC6CAA">
            <w:pPr>
              <w:pStyle w:val="TableParagraph"/>
              <w:ind w:left="572" w:right="191" w:hanging="351"/>
              <w:rPr>
                <w:sz w:val="24"/>
                <w:szCs w:val="24"/>
              </w:rPr>
            </w:pPr>
            <w:r>
              <w:rPr>
                <w:sz w:val="24"/>
                <w:szCs w:val="24"/>
              </w:rPr>
              <w:t>Forekomst pr.</w:t>
            </w:r>
          </w:p>
          <w:p w14:paraId="34D00EF6" w14:textId="77777777" w:rsidR="00DC6CAA" w:rsidRDefault="00DC6CAA">
            <w:pPr>
              <w:pStyle w:val="TableParagraph"/>
              <w:ind w:left="222"/>
              <w:rPr>
                <w:sz w:val="24"/>
                <w:szCs w:val="24"/>
              </w:rPr>
            </w:pPr>
            <w:r>
              <w:rPr>
                <w:sz w:val="24"/>
                <w:szCs w:val="24"/>
              </w:rPr>
              <w:t>1 000 PY*</w:t>
            </w:r>
          </w:p>
        </w:tc>
        <w:tc>
          <w:tcPr>
            <w:tcW w:w="1902" w:type="dxa"/>
            <w:tcBorders>
              <w:top w:val="single" w:sz="4" w:space="0" w:color="000000"/>
              <w:left w:val="single" w:sz="4" w:space="0" w:color="000000"/>
              <w:bottom w:val="single" w:sz="4" w:space="0" w:color="000000"/>
              <w:right w:val="single" w:sz="4" w:space="0" w:color="000000"/>
            </w:tcBorders>
            <w:hideMark/>
          </w:tcPr>
          <w:p w14:paraId="2CDABDC6" w14:textId="77777777" w:rsidR="00DC6CAA" w:rsidRDefault="00DC6CAA">
            <w:pPr>
              <w:pStyle w:val="TableParagraph"/>
              <w:ind w:left="188" w:right="182"/>
              <w:rPr>
                <w:sz w:val="24"/>
                <w:szCs w:val="24"/>
              </w:rPr>
            </w:pPr>
            <w:r>
              <w:rPr>
                <w:sz w:val="24"/>
                <w:szCs w:val="24"/>
              </w:rPr>
              <w:t>(95 % CI)</w:t>
            </w:r>
          </w:p>
        </w:tc>
      </w:tr>
      <w:tr w:rsidR="00DC6CAA" w14:paraId="7E4F5662" w14:textId="77777777" w:rsidTr="00DC6CAA">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7E019702" w14:textId="77777777" w:rsidR="00DC6CAA" w:rsidRDefault="00DC6CAA">
            <w:pPr>
              <w:pStyle w:val="TableParagraph"/>
              <w:rPr>
                <w:sz w:val="24"/>
                <w:szCs w:val="24"/>
              </w:rPr>
            </w:pPr>
            <w:r>
              <w:rPr>
                <w:sz w:val="24"/>
                <w:szCs w:val="24"/>
              </w:rPr>
              <w:t>Antal patienter</w:t>
            </w:r>
          </w:p>
        </w:tc>
        <w:tc>
          <w:tcPr>
            <w:tcW w:w="2433" w:type="dxa"/>
            <w:gridSpan w:val="2"/>
            <w:tcBorders>
              <w:top w:val="single" w:sz="4" w:space="0" w:color="000000"/>
              <w:left w:val="single" w:sz="4" w:space="0" w:color="000000"/>
              <w:bottom w:val="single" w:sz="4" w:space="0" w:color="000000"/>
              <w:right w:val="single" w:sz="4" w:space="0" w:color="000000"/>
            </w:tcBorders>
            <w:hideMark/>
          </w:tcPr>
          <w:p w14:paraId="1E0B1BDE" w14:textId="77777777" w:rsidR="00DC6CAA" w:rsidRDefault="00DC6CAA">
            <w:pPr>
              <w:pStyle w:val="TableParagraph"/>
              <w:ind w:left="950" w:right="937"/>
              <w:rPr>
                <w:sz w:val="24"/>
                <w:szCs w:val="24"/>
              </w:rPr>
            </w:pPr>
            <w:r>
              <w:rPr>
                <w:sz w:val="24"/>
                <w:szCs w:val="24"/>
              </w:rPr>
              <w:t>3 023</w:t>
            </w:r>
          </w:p>
        </w:tc>
        <w:tc>
          <w:tcPr>
            <w:tcW w:w="2545" w:type="dxa"/>
            <w:gridSpan w:val="2"/>
            <w:tcBorders>
              <w:top w:val="single" w:sz="4" w:space="0" w:color="000000"/>
              <w:left w:val="single" w:sz="4" w:space="0" w:color="000000"/>
              <w:bottom w:val="single" w:sz="4" w:space="0" w:color="000000"/>
              <w:right w:val="single" w:sz="4" w:space="0" w:color="000000"/>
            </w:tcBorders>
            <w:hideMark/>
          </w:tcPr>
          <w:p w14:paraId="2B38DC1B" w14:textId="77777777" w:rsidR="00DC6CAA" w:rsidRDefault="00DC6CAA">
            <w:pPr>
              <w:pStyle w:val="TableParagraph"/>
              <w:ind w:left="885" w:right="873"/>
              <w:rPr>
                <w:sz w:val="24"/>
                <w:szCs w:val="24"/>
              </w:rPr>
            </w:pPr>
            <w:r>
              <w:rPr>
                <w:sz w:val="24"/>
                <w:szCs w:val="24"/>
              </w:rPr>
              <w:t>3 010</w:t>
            </w:r>
          </w:p>
        </w:tc>
        <w:tc>
          <w:tcPr>
            <w:tcW w:w="1902" w:type="dxa"/>
            <w:tcBorders>
              <w:top w:val="single" w:sz="4" w:space="0" w:color="000000"/>
              <w:left w:val="single" w:sz="4" w:space="0" w:color="000000"/>
              <w:bottom w:val="single" w:sz="4" w:space="0" w:color="000000"/>
              <w:right w:val="single" w:sz="4" w:space="0" w:color="000000"/>
            </w:tcBorders>
          </w:tcPr>
          <w:p w14:paraId="3F60C416" w14:textId="77777777" w:rsidR="00DC6CAA" w:rsidRDefault="00DC6CAA">
            <w:pPr>
              <w:pStyle w:val="TableParagraph"/>
              <w:ind w:left="0"/>
              <w:rPr>
                <w:sz w:val="24"/>
                <w:szCs w:val="24"/>
              </w:rPr>
            </w:pPr>
          </w:p>
        </w:tc>
      </w:tr>
      <w:tr w:rsidR="00DC6CAA" w14:paraId="01DBD43B" w14:textId="77777777" w:rsidTr="00DC6CAA">
        <w:trPr>
          <w:trHeight w:val="1770"/>
        </w:trPr>
        <w:tc>
          <w:tcPr>
            <w:tcW w:w="2179" w:type="dxa"/>
            <w:tcBorders>
              <w:top w:val="single" w:sz="4" w:space="0" w:color="000000"/>
              <w:left w:val="single" w:sz="4" w:space="0" w:color="000000"/>
              <w:bottom w:val="single" w:sz="4" w:space="0" w:color="000000"/>
              <w:right w:val="single" w:sz="4" w:space="0" w:color="000000"/>
            </w:tcBorders>
            <w:hideMark/>
          </w:tcPr>
          <w:p w14:paraId="44B1D800" w14:textId="77777777" w:rsidR="00DC6CAA" w:rsidRDefault="00DC6CAA">
            <w:pPr>
              <w:pStyle w:val="TableParagraph"/>
              <w:ind w:right="187"/>
              <w:rPr>
                <w:sz w:val="24"/>
                <w:szCs w:val="24"/>
                <w:lang w:val="da-DK"/>
              </w:rPr>
            </w:pPr>
            <w:r>
              <w:rPr>
                <w:sz w:val="24"/>
                <w:szCs w:val="24"/>
                <w:lang w:val="da-DK"/>
              </w:rPr>
              <w:t>Primært sammensat kardiovaskulært endepunkt (kardiovaskulær død, ikke dødeligt MI, ikke-dødelig</w:t>
            </w:r>
          </w:p>
          <w:p w14:paraId="75B84F23" w14:textId="77777777" w:rsidR="00DC6CAA" w:rsidRDefault="00DC6CAA">
            <w:pPr>
              <w:pStyle w:val="TableParagraph"/>
              <w:rPr>
                <w:sz w:val="24"/>
                <w:szCs w:val="24"/>
              </w:rPr>
            </w:pPr>
            <w:r>
              <w:rPr>
                <w:sz w:val="24"/>
                <w:szCs w:val="24"/>
              </w:rPr>
              <w:t>apopleksi)</w:t>
            </w:r>
          </w:p>
        </w:tc>
        <w:tc>
          <w:tcPr>
            <w:tcW w:w="1106" w:type="dxa"/>
            <w:tcBorders>
              <w:top w:val="single" w:sz="4" w:space="0" w:color="000000"/>
              <w:left w:val="single" w:sz="4" w:space="0" w:color="000000"/>
              <w:bottom w:val="single" w:sz="4" w:space="0" w:color="000000"/>
              <w:right w:val="single" w:sz="4" w:space="0" w:color="000000"/>
            </w:tcBorders>
            <w:hideMark/>
          </w:tcPr>
          <w:p w14:paraId="3AC0FB6F" w14:textId="77777777" w:rsidR="00DC6CAA" w:rsidRDefault="00DC6CAA">
            <w:pPr>
              <w:pStyle w:val="TableParagraph"/>
              <w:ind w:left="128" w:right="120"/>
              <w:rPr>
                <w:sz w:val="24"/>
                <w:szCs w:val="24"/>
              </w:rPr>
            </w:pPr>
            <w:r>
              <w:rPr>
                <w:sz w:val="24"/>
                <w:szCs w:val="24"/>
              </w:rPr>
              <w:t>356</w:t>
            </w:r>
          </w:p>
          <w:p w14:paraId="187AA5C5" w14:textId="77777777" w:rsidR="00DC6CAA" w:rsidRDefault="00DC6CAA">
            <w:pPr>
              <w:pStyle w:val="TableParagraph"/>
              <w:ind w:left="129" w:right="118"/>
              <w:rPr>
                <w:sz w:val="24"/>
                <w:szCs w:val="24"/>
              </w:rPr>
            </w:pPr>
            <w:r>
              <w:rPr>
                <w:sz w:val="24"/>
                <w:szCs w:val="24"/>
              </w:rPr>
              <w:t>(11,8)</w:t>
            </w:r>
          </w:p>
        </w:tc>
        <w:tc>
          <w:tcPr>
            <w:tcW w:w="1327" w:type="dxa"/>
            <w:tcBorders>
              <w:top w:val="single" w:sz="4" w:space="0" w:color="000000"/>
              <w:left w:val="single" w:sz="4" w:space="0" w:color="000000"/>
              <w:bottom w:val="single" w:sz="4" w:space="0" w:color="000000"/>
              <w:right w:val="single" w:sz="4" w:space="0" w:color="000000"/>
            </w:tcBorders>
            <w:hideMark/>
          </w:tcPr>
          <w:p w14:paraId="3436453E" w14:textId="77777777" w:rsidR="00DC6CAA" w:rsidRDefault="00DC6CAA">
            <w:pPr>
              <w:pStyle w:val="TableParagraph"/>
              <w:ind w:left="470"/>
              <w:rPr>
                <w:sz w:val="24"/>
                <w:szCs w:val="24"/>
              </w:rPr>
            </w:pPr>
            <w:r>
              <w:rPr>
                <w:sz w:val="24"/>
                <w:szCs w:val="24"/>
              </w:rPr>
              <w:t>20,7</w:t>
            </w:r>
          </w:p>
        </w:tc>
        <w:tc>
          <w:tcPr>
            <w:tcW w:w="1161" w:type="dxa"/>
            <w:tcBorders>
              <w:top w:val="single" w:sz="4" w:space="0" w:color="000000"/>
              <w:left w:val="single" w:sz="4" w:space="0" w:color="000000"/>
              <w:bottom w:val="single" w:sz="4" w:space="0" w:color="000000"/>
              <w:right w:val="single" w:sz="4" w:space="0" w:color="000000"/>
            </w:tcBorders>
            <w:hideMark/>
          </w:tcPr>
          <w:p w14:paraId="210B2ABA" w14:textId="77777777" w:rsidR="00DC6CAA" w:rsidRDefault="00DC6CAA">
            <w:pPr>
              <w:pStyle w:val="TableParagraph"/>
              <w:ind w:left="102" w:right="89"/>
              <w:rPr>
                <w:sz w:val="24"/>
                <w:szCs w:val="24"/>
              </w:rPr>
            </w:pPr>
            <w:r>
              <w:rPr>
                <w:sz w:val="24"/>
                <w:szCs w:val="24"/>
              </w:rPr>
              <w:t>362 (12,0)</w:t>
            </w:r>
          </w:p>
        </w:tc>
        <w:tc>
          <w:tcPr>
            <w:tcW w:w="1384" w:type="dxa"/>
            <w:tcBorders>
              <w:top w:val="single" w:sz="4" w:space="0" w:color="000000"/>
              <w:left w:val="single" w:sz="4" w:space="0" w:color="000000"/>
              <w:bottom w:val="single" w:sz="4" w:space="0" w:color="000000"/>
              <w:right w:val="single" w:sz="4" w:space="0" w:color="000000"/>
            </w:tcBorders>
            <w:hideMark/>
          </w:tcPr>
          <w:p w14:paraId="4472D4D2" w14:textId="77777777" w:rsidR="00DC6CAA" w:rsidRDefault="00DC6CAA">
            <w:pPr>
              <w:pStyle w:val="TableParagraph"/>
              <w:ind w:left="480" w:right="467"/>
              <w:rPr>
                <w:sz w:val="24"/>
                <w:szCs w:val="24"/>
              </w:rPr>
            </w:pPr>
            <w:r>
              <w:rPr>
                <w:sz w:val="24"/>
                <w:szCs w:val="24"/>
              </w:rPr>
              <w:t>21,2</w:t>
            </w:r>
          </w:p>
        </w:tc>
        <w:tc>
          <w:tcPr>
            <w:tcW w:w="1902" w:type="dxa"/>
            <w:tcBorders>
              <w:top w:val="single" w:sz="4" w:space="0" w:color="000000"/>
              <w:left w:val="single" w:sz="4" w:space="0" w:color="000000"/>
              <w:bottom w:val="single" w:sz="4" w:space="0" w:color="000000"/>
              <w:right w:val="single" w:sz="4" w:space="0" w:color="000000"/>
            </w:tcBorders>
            <w:hideMark/>
          </w:tcPr>
          <w:p w14:paraId="045B5F6C" w14:textId="77777777" w:rsidR="00DC6CAA" w:rsidRDefault="00DC6CAA">
            <w:pPr>
              <w:pStyle w:val="TableParagraph"/>
              <w:ind w:left="192" w:right="182"/>
              <w:rPr>
                <w:sz w:val="24"/>
                <w:szCs w:val="24"/>
              </w:rPr>
            </w:pPr>
            <w:r>
              <w:rPr>
                <w:sz w:val="24"/>
                <w:szCs w:val="24"/>
              </w:rPr>
              <w:t>0,98</w:t>
            </w:r>
          </w:p>
          <w:p w14:paraId="406871A0" w14:textId="77777777" w:rsidR="00DC6CAA" w:rsidRDefault="00DC6CAA">
            <w:pPr>
              <w:pStyle w:val="TableParagraph"/>
              <w:ind w:left="196" w:right="181"/>
              <w:rPr>
                <w:sz w:val="24"/>
                <w:szCs w:val="24"/>
              </w:rPr>
            </w:pPr>
            <w:r>
              <w:rPr>
                <w:sz w:val="24"/>
                <w:szCs w:val="24"/>
              </w:rPr>
              <w:t>(0,84; 1,</w:t>
            </w:r>
            <w:proofErr w:type="gramStart"/>
            <w:r>
              <w:rPr>
                <w:sz w:val="24"/>
                <w:szCs w:val="24"/>
              </w:rPr>
              <w:t>14)*</w:t>
            </w:r>
            <w:proofErr w:type="gramEnd"/>
            <w:r>
              <w:rPr>
                <w:sz w:val="24"/>
                <w:szCs w:val="24"/>
              </w:rPr>
              <w:t>*</w:t>
            </w:r>
          </w:p>
        </w:tc>
      </w:tr>
      <w:tr w:rsidR="00DC6CAA" w14:paraId="54298BD3" w14:textId="77777777" w:rsidTr="00DC6CAA">
        <w:trPr>
          <w:trHeight w:val="505"/>
        </w:trPr>
        <w:tc>
          <w:tcPr>
            <w:tcW w:w="2179" w:type="dxa"/>
            <w:tcBorders>
              <w:top w:val="single" w:sz="4" w:space="0" w:color="000000"/>
              <w:left w:val="single" w:sz="4" w:space="0" w:color="000000"/>
              <w:bottom w:val="single" w:sz="4" w:space="0" w:color="000000"/>
              <w:right w:val="single" w:sz="4" w:space="0" w:color="000000"/>
            </w:tcBorders>
            <w:hideMark/>
          </w:tcPr>
          <w:p w14:paraId="69698B63" w14:textId="77777777" w:rsidR="00DC6CAA" w:rsidRDefault="00DC6CAA">
            <w:pPr>
              <w:pStyle w:val="TableParagraph"/>
              <w:rPr>
                <w:sz w:val="24"/>
                <w:szCs w:val="24"/>
              </w:rPr>
            </w:pPr>
            <w:r>
              <w:rPr>
                <w:sz w:val="24"/>
                <w:szCs w:val="24"/>
              </w:rPr>
              <w:t>Mortalitet uanset</w:t>
            </w:r>
          </w:p>
          <w:p w14:paraId="11153866" w14:textId="77777777" w:rsidR="00DC6CAA" w:rsidRDefault="00DC6CAA">
            <w:pPr>
              <w:pStyle w:val="TableParagraph"/>
              <w:rPr>
                <w:sz w:val="24"/>
                <w:szCs w:val="24"/>
              </w:rPr>
            </w:pPr>
            <w:r>
              <w:rPr>
                <w:sz w:val="24"/>
                <w:szCs w:val="24"/>
              </w:rPr>
              <w:t>årsag</w:t>
            </w:r>
          </w:p>
        </w:tc>
        <w:tc>
          <w:tcPr>
            <w:tcW w:w="1106" w:type="dxa"/>
            <w:tcBorders>
              <w:top w:val="single" w:sz="4" w:space="0" w:color="000000"/>
              <w:left w:val="single" w:sz="4" w:space="0" w:color="000000"/>
              <w:bottom w:val="single" w:sz="4" w:space="0" w:color="000000"/>
              <w:right w:val="single" w:sz="4" w:space="0" w:color="000000"/>
            </w:tcBorders>
            <w:hideMark/>
          </w:tcPr>
          <w:p w14:paraId="76216CF4" w14:textId="77777777" w:rsidR="00DC6CAA" w:rsidRDefault="00DC6CAA">
            <w:pPr>
              <w:pStyle w:val="TableParagraph"/>
              <w:ind w:left="128" w:right="120"/>
              <w:rPr>
                <w:sz w:val="24"/>
                <w:szCs w:val="24"/>
              </w:rPr>
            </w:pPr>
            <w:r>
              <w:rPr>
                <w:sz w:val="24"/>
                <w:szCs w:val="24"/>
              </w:rPr>
              <w:t>308</w:t>
            </w:r>
          </w:p>
          <w:p w14:paraId="7B5DCCEA" w14:textId="77777777" w:rsidR="00DC6CAA" w:rsidRDefault="00DC6CAA">
            <w:pPr>
              <w:pStyle w:val="TableParagraph"/>
              <w:ind w:left="129" w:right="118"/>
              <w:rPr>
                <w:sz w:val="24"/>
                <w:szCs w:val="24"/>
              </w:rPr>
            </w:pPr>
            <w:r>
              <w:rPr>
                <w:sz w:val="24"/>
                <w:szCs w:val="24"/>
              </w:rPr>
              <w:t>(10,2)</w:t>
            </w:r>
          </w:p>
        </w:tc>
        <w:tc>
          <w:tcPr>
            <w:tcW w:w="1327" w:type="dxa"/>
            <w:tcBorders>
              <w:top w:val="single" w:sz="4" w:space="0" w:color="000000"/>
              <w:left w:val="single" w:sz="4" w:space="0" w:color="000000"/>
              <w:bottom w:val="single" w:sz="4" w:space="0" w:color="000000"/>
              <w:right w:val="single" w:sz="4" w:space="0" w:color="000000"/>
            </w:tcBorders>
            <w:hideMark/>
          </w:tcPr>
          <w:p w14:paraId="588B2C03" w14:textId="77777777" w:rsidR="00DC6CAA" w:rsidRDefault="00DC6CAA">
            <w:pPr>
              <w:pStyle w:val="TableParagraph"/>
              <w:ind w:left="470"/>
              <w:rPr>
                <w:sz w:val="24"/>
                <w:szCs w:val="24"/>
              </w:rPr>
            </w:pPr>
            <w:r>
              <w:rPr>
                <w:sz w:val="24"/>
                <w:szCs w:val="24"/>
              </w:rPr>
              <w:t>16,8</w:t>
            </w:r>
          </w:p>
        </w:tc>
        <w:tc>
          <w:tcPr>
            <w:tcW w:w="1161" w:type="dxa"/>
            <w:tcBorders>
              <w:top w:val="single" w:sz="4" w:space="0" w:color="000000"/>
              <w:left w:val="single" w:sz="4" w:space="0" w:color="000000"/>
              <w:bottom w:val="single" w:sz="4" w:space="0" w:color="000000"/>
              <w:right w:val="single" w:sz="4" w:space="0" w:color="000000"/>
            </w:tcBorders>
            <w:hideMark/>
          </w:tcPr>
          <w:p w14:paraId="6E24446E" w14:textId="77777777" w:rsidR="00DC6CAA" w:rsidRDefault="00DC6CAA">
            <w:pPr>
              <w:pStyle w:val="TableParagraph"/>
              <w:ind w:left="102" w:right="89"/>
              <w:rPr>
                <w:sz w:val="24"/>
                <w:szCs w:val="24"/>
              </w:rPr>
            </w:pPr>
            <w:r>
              <w:rPr>
                <w:sz w:val="24"/>
                <w:szCs w:val="24"/>
              </w:rPr>
              <w:t>336 (11,2)</w:t>
            </w:r>
          </w:p>
        </w:tc>
        <w:tc>
          <w:tcPr>
            <w:tcW w:w="1384" w:type="dxa"/>
            <w:tcBorders>
              <w:top w:val="single" w:sz="4" w:space="0" w:color="000000"/>
              <w:left w:val="single" w:sz="4" w:space="0" w:color="000000"/>
              <w:bottom w:val="single" w:sz="4" w:space="0" w:color="000000"/>
              <w:right w:val="single" w:sz="4" w:space="0" w:color="000000"/>
            </w:tcBorders>
            <w:hideMark/>
          </w:tcPr>
          <w:p w14:paraId="00622BE6" w14:textId="77777777" w:rsidR="00DC6CAA" w:rsidRDefault="00DC6CAA">
            <w:pPr>
              <w:pStyle w:val="TableParagraph"/>
              <w:ind w:left="480" w:right="467"/>
              <w:rPr>
                <w:sz w:val="24"/>
                <w:szCs w:val="24"/>
              </w:rPr>
            </w:pPr>
            <w:r>
              <w:rPr>
                <w:sz w:val="24"/>
                <w:szCs w:val="24"/>
              </w:rPr>
              <w:t>18,4</w:t>
            </w:r>
          </w:p>
        </w:tc>
        <w:tc>
          <w:tcPr>
            <w:tcW w:w="1902" w:type="dxa"/>
            <w:tcBorders>
              <w:top w:val="single" w:sz="4" w:space="0" w:color="000000"/>
              <w:left w:val="single" w:sz="4" w:space="0" w:color="000000"/>
              <w:bottom w:val="single" w:sz="4" w:space="0" w:color="000000"/>
              <w:right w:val="single" w:sz="4" w:space="0" w:color="000000"/>
            </w:tcBorders>
            <w:hideMark/>
          </w:tcPr>
          <w:p w14:paraId="513AB473" w14:textId="77777777" w:rsidR="00DC6CAA" w:rsidRDefault="00DC6CAA">
            <w:pPr>
              <w:pStyle w:val="TableParagraph"/>
              <w:ind w:left="195" w:right="182"/>
              <w:rPr>
                <w:sz w:val="24"/>
                <w:szCs w:val="24"/>
              </w:rPr>
            </w:pPr>
            <w:r>
              <w:rPr>
                <w:sz w:val="24"/>
                <w:szCs w:val="24"/>
              </w:rPr>
              <w:t>0,91 (0,78; 1,06)</w:t>
            </w:r>
          </w:p>
        </w:tc>
      </w:tr>
      <w:tr w:rsidR="00DC6CAA" w14:paraId="3A502B56" w14:textId="77777777" w:rsidTr="00DC6CAA">
        <w:trPr>
          <w:trHeight w:val="254"/>
        </w:trPr>
        <w:tc>
          <w:tcPr>
            <w:tcW w:w="2179" w:type="dxa"/>
            <w:tcBorders>
              <w:top w:val="single" w:sz="4" w:space="0" w:color="000000"/>
              <w:left w:val="single" w:sz="4" w:space="0" w:color="000000"/>
              <w:bottom w:val="single" w:sz="4" w:space="0" w:color="000000"/>
              <w:right w:val="single" w:sz="4" w:space="0" w:color="000000"/>
            </w:tcBorders>
            <w:hideMark/>
          </w:tcPr>
          <w:p w14:paraId="58E60307" w14:textId="77777777" w:rsidR="00DC6CAA" w:rsidRDefault="00DC6CAA">
            <w:pPr>
              <w:pStyle w:val="TableParagraph"/>
              <w:rPr>
                <w:sz w:val="24"/>
                <w:szCs w:val="24"/>
              </w:rPr>
            </w:pPr>
            <w:r>
              <w:rPr>
                <w:sz w:val="24"/>
                <w:szCs w:val="24"/>
              </w:rPr>
              <w:lastRenderedPageBreak/>
              <w:t>Kardiovaskulær død</w:t>
            </w:r>
          </w:p>
        </w:tc>
        <w:tc>
          <w:tcPr>
            <w:tcW w:w="1106" w:type="dxa"/>
            <w:tcBorders>
              <w:top w:val="single" w:sz="4" w:space="0" w:color="000000"/>
              <w:left w:val="single" w:sz="4" w:space="0" w:color="000000"/>
              <w:bottom w:val="single" w:sz="4" w:space="0" w:color="000000"/>
              <w:right w:val="single" w:sz="4" w:space="0" w:color="000000"/>
            </w:tcBorders>
            <w:hideMark/>
          </w:tcPr>
          <w:p w14:paraId="0B0F1A88" w14:textId="77777777" w:rsidR="00DC6CAA" w:rsidRDefault="00DC6CAA">
            <w:pPr>
              <w:pStyle w:val="TableParagraph"/>
              <w:ind w:left="129" w:right="120"/>
              <w:rPr>
                <w:sz w:val="24"/>
                <w:szCs w:val="24"/>
              </w:rPr>
            </w:pPr>
            <w:r>
              <w:rPr>
                <w:sz w:val="24"/>
                <w:szCs w:val="24"/>
              </w:rPr>
              <w:t>169 (5,6)</w:t>
            </w:r>
          </w:p>
        </w:tc>
        <w:tc>
          <w:tcPr>
            <w:tcW w:w="1327" w:type="dxa"/>
            <w:tcBorders>
              <w:top w:val="single" w:sz="4" w:space="0" w:color="000000"/>
              <w:left w:val="single" w:sz="4" w:space="0" w:color="000000"/>
              <w:bottom w:val="single" w:sz="4" w:space="0" w:color="000000"/>
              <w:right w:val="single" w:sz="4" w:space="0" w:color="000000"/>
            </w:tcBorders>
            <w:hideMark/>
          </w:tcPr>
          <w:p w14:paraId="5D7997F7" w14:textId="77777777" w:rsidR="00DC6CAA" w:rsidRDefault="00DC6CAA">
            <w:pPr>
              <w:pStyle w:val="TableParagraph"/>
              <w:ind w:left="526"/>
              <w:rPr>
                <w:sz w:val="24"/>
                <w:szCs w:val="24"/>
              </w:rPr>
            </w:pPr>
            <w:r>
              <w:rPr>
                <w:sz w:val="24"/>
                <w:szCs w:val="24"/>
              </w:rPr>
              <w:t>9,2</w:t>
            </w:r>
          </w:p>
        </w:tc>
        <w:tc>
          <w:tcPr>
            <w:tcW w:w="1161" w:type="dxa"/>
            <w:tcBorders>
              <w:top w:val="single" w:sz="4" w:space="0" w:color="000000"/>
              <w:left w:val="single" w:sz="4" w:space="0" w:color="000000"/>
              <w:bottom w:val="single" w:sz="4" w:space="0" w:color="000000"/>
              <w:right w:val="single" w:sz="4" w:space="0" w:color="000000"/>
            </w:tcBorders>
            <w:hideMark/>
          </w:tcPr>
          <w:p w14:paraId="1CC7C04A" w14:textId="77777777" w:rsidR="00DC6CAA" w:rsidRDefault="00DC6CAA">
            <w:pPr>
              <w:pStyle w:val="TableParagraph"/>
              <w:ind w:left="102" w:right="89"/>
              <w:rPr>
                <w:sz w:val="24"/>
                <w:szCs w:val="24"/>
              </w:rPr>
            </w:pPr>
            <w:r>
              <w:rPr>
                <w:sz w:val="24"/>
                <w:szCs w:val="24"/>
              </w:rPr>
              <w:t>168 (5,6)</w:t>
            </w:r>
          </w:p>
        </w:tc>
        <w:tc>
          <w:tcPr>
            <w:tcW w:w="1384" w:type="dxa"/>
            <w:tcBorders>
              <w:top w:val="single" w:sz="4" w:space="0" w:color="000000"/>
              <w:left w:val="single" w:sz="4" w:space="0" w:color="000000"/>
              <w:bottom w:val="single" w:sz="4" w:space="0" w:color="000000"/>
              <w:right w:val="single" w:sz="4" w:space="0" w:color="000000"/>
            </w:tcBorders>
            <w:hideMark/>
          </w:tcPr>
          <w:p w14:paraId="36289D64" w14:textId="77777777" w:rsidR="00DC6CAA" w:rsidRDefault="00DC6CAA">
            <w:pPr>
              <w:pStyle w:val="TableParagraph"/>
              <w:ind w:left="480" w:right="467"/>
              <w:rPr>
                <w:sz w:val="24"/>
                <w:szCs w:val="24"/>
              </w:rPr>
            </w:pPr>
            <w:r>
              <w:rPr>
                <w:sz w:val="24"/>
                <w:szCs w:val="24"/>
              </w:rPr>
              <w:t>9,2</w:t>
            </w:r>
          </w:p>
        </w:tc>
        <w:tc>
          <w:tcPr>
            <w:tcW w:w="1902" w:type="dxa"/>
            <w:tcBorders>
              <w:top w:val="single" w:sz="4" w:space="0" w:color="000000"/>
              <w:left w:val="single" w:sz="4" w:space="0" w:color="000000"/>
              <w:bottom w:val="single" w:sz="4" w:space="0" w:color="000000"/>
              <w:right w:val="single" w:sz="4" w:space="0" w:color="000000"/>
            </w:tcBorders>
            <w:hideMark/>
          </w:tcPr>
          <w:p w14:paraId="4F2ADC3F" w14:textId="77777777" w:rsidR="00DC6CAA" w:rsidRDefault="00DC6CAA">
            <w:pPr>
              <w:pStyle w:val="TableParagraph"/>
              <w:ind w:left="195" w:right="182"/>
              <w:rPr>
                <w:sz w:val="24"/>
                <w:szCs w:val="24"/>
              </w:rPr>
            </w:pPr>
            <w:r>
              <w:rPr>
                <w:sz w:val="24"/>
                <w:szCs w:val="24"/>
              </w:rPr>
              <w:t>1,00 (0,81; 1,24)</w:t>
            </w:r>
          </w:p>
        </w:tc>
      </w:tr>
      <w:tr w:rsidR="00DC6CAA" w14:paraId="1C9CAA91" w14:textId="77777777" w:rsidTr="00DC6CAA">
        <w:trPr>
          <w:trHeight w:val="505"/>
        </w:trPr>
        <w:tc>
          <w:tcPr>
            <w:tcW w:w="2179" w:type="dxa"/>
            <w:tcBorders>
              <w:top w:val="single" w:sz="4" w:space="0" w:color="000000"/>
              <w:left w:val="single" w:sz="4" w:space="0" w:color="000000"/>
              <w:bottom w:val="single" w:sz="4" w:space="0" w:color="000000"/>
              <w:right w:val="single" w:sz="4" w:space="0" w:color="000000"/>
            </w:tcBorders>
            <w:hideMark/>
          </w:tcPr>
          <w:p w14:paraId="309B62E7" w14:textId="77777777" w:rsidR="00DC6CAA" w:rsidRDefault="00DC6CAA">
            <w:pPr>
              <w:pStyle w:val="TableParagraph"/>
              <w:rPr>
                <w:sz w:val="24"/>
                <w:szCs w:val="24"/>
              </w:rPr>
            </w:pPr>
            <w:r>
              <w:rPr>
                <w:sz w:val="24"/>
                <w:szCs w:val="24"/>
              </w:rPr>
              <w:t>Indlæggelse for</w:t>
            </w:r>
          </w:p>
          <w:p w14:paraId="542DF788" w14:textId="77777777" w:rsidR="00DC6CAA" w:rsidRDefault="00DC6CAA">
            <w:pPr>
              <w:pStyle w:val="TableParagraph"/>
              <w:rPr>
                <w:sz w:val="24"/>
                <w:szCs w:val="24"/>
              </w:rPr>
            </w:pPr>
            <w:r>
              <w:rPr>
                <w:sz w:val="24"/>
                <w:szCs w:val="24"/>
              </w:rPr>
              <w:t>hjertesvigt</w:t>
            </w:r>
          </w:p>
        </w:tc>
        <w:tc>
          <w:tcPr>
            <w:tcW w:w="1106" w:type="dxa"/>
            <w:tcBorders>
              <w:top w:val="single" w:sz="4" w:space="0" w:color="000000"/>
              <w:left w:val="single" w:sz="4" w:space="0" w:color="000000"/>
              <w:bottom w:val="single" w:sz="4" w:space="0" w:color="000000"/>
              <w:right w:val="single" w:sz="4" w:space="0" w:color="000000"/>
            </w:tcBorders>
            <w:hideMark/>
          </w:tcPr>
          <w:p w14:paraId="027DFE6B" w14:textId="77777777" w:rsidR="00DC6CAA" w:rsidRDefault="00DC6CAA">
            <w:pPr>
              <w:pStyle w:val="TableParagraph"/>
              <w:ind w:left="129" w:right="120"/>
              <w:rPr>
                <w:sz w:val="24"/>
                <w:szCs w:val="24"/>
              </w:rPr>
            </w:pPr>
            <w:r>
              <w:rPr>
                <w:sz w:val="24"/>
                <w:szCs w:val="24"/>
              </w:rPr>
              <w:t>112 (3,7)</w:t>
            </w:r>
          </w:p>
        </w:tc>
        <w:tc>
          <w:tcPr>
            <w:tcW w:w="1327" w:type="dxa"/>
            <w:tcBorders>
              <w:top w:val="single" w:sz="4" w:space="0" w:color="000000"/>
              <w:left w:val="single" w:sz="4" w:space="0" w:color="000000"/>
              <w:bottom w:val="single" w:sz="4" w:space="0" w:color="000000"/>
              <w:right w:val="single" w:sz="4" w:space="0" w:color="000000"/>
            </w:tcBorders>
            <w:hideMark/>
          </w:tcPr>
          <w:p w14:paraId="3695F277" w14:textId="77777777" w:rsidR="00DC6CAA" w:rsidRDefault="00DC6CAA">
            <w:pPr>
              <w:pStyle w:val="TableParagraph"/>
              <w:ind w:left="526"/>
              <w:rPr>
                <w:sz w:val="24"/>
                <w:szCs w:val="24"/>
              </w:rPr>
            </w:pPr>
            <w:r>
              <w:rPr>
                <w:sz w:val="24"/>
                <w:szCs w:val="24"/>
              </w:rPr>
              <w:t>6,4</w:t>
            </w:r>
          </w:p>
        </w:tc>
        <w:tc>
          <w:tcPr>
            <w:tcW w:w="1161" w:type="dxa"/>
            <w:tcBorders>
              <w:top w:val="single" w:sz="4" w:space="0" w:color="000000"/>
              <w:left w:val="single" w:sz="4" w:space="0" w:color="000000"/>
              <w:bottom w:val="single" w:sz="4" w:space="0" w:color="000000"/>
              <w:right w:val="single" w:sz="4" w:space="0" w:color="000000"/>
            </w:tcBorders>
            <w:hideMark/>
          </w:tcPr>
          <w:p w14:paraId="31837D6D" w14:textId="77777777" w:rsidR="00DC6CAA" w:rsidRDefault="00DC6CAA">
            <w:pPr>
              <w:pStyle w:val="TableParagraph"/>
              <w:ind w:left="102" w:right="89"/>
              <w:rPr>
                <w:sz w:val="24"/>
                <w:szCs w:val="24"/>
              </w:rPr>
            </w:pPr>
            <w:r>
              <w:rPr>
                <w:sz w:val="24"/>
                <w:szCs w:val="24"/>
              </w:rPr>
              <w:t>92 (3,1)</w:t>
            </w:r>
          </w:p>
        </w:tc>
        <w:tc>
          <w:tcPr>
            <w:tcW w:w="1384" w:type="dxa"/>
            <w:tcBorders>
              <w:top w:val="single" w:sz="4" w:space="0" w:color="000000"/>
              <w:left w:val="single" w:sz="4" w:space="0" w:color="000000"/>
              <w:bottom w:val="single" w:sz="4" w:space="0" w:color="000000"/>
              <w:right w:val="single" w:sz="4" w:space="0" w:color="000000"/>
            </w:tcBorders>
            <w:hideMark/>
          </w:tcPr>
          <w:p w14:paraId="1C6F7FF0" w14:textId="77777777" w:rsidR="00DC6CAA" w:rsidRDefault="00DC6CAA">
            <w:pPr>
              <w:pStyle w:val="TableParagraph"/>
              <w:ind w:left="480" w:right="467"/>
              <w:rPr>
                <w:sz w:val="24"/>
                <w:szCs w:val="24"/>
              </w:rPr>
            </w:pPr>
            <w:r>
              <w:rPr>
                <w:sz w:val="24"/>
                <w:szCs w:val="24"/>
              </w:rPr>
              <w:t>5,3</w:t>
            </w:r>
          </w:p>
        </w:tc>
        <w:tc>
          <w:tcPr>
            <w:tcW w:w="1902" w:type="dxa"/>
            <w:tcBorders>
              <w:top w:val="single" w:sz="4" w:space="0" w:color="000000"/>
              <w:left w:val="single" w:sz="4" w:space="0" w:color="000000"/>
              <w:bottom w:val="single" w:sz="4" w:space="0" w:color="000000"/>
              <w:right w:val="single" w:sz="4" w:space="0" w:color="000000"/>
            </w:tcBorders>
            <w:hideMark/>
          </w:tcPr>
          <w:p w14:paraId="7C8BDCA5" w14:textId="77777777" w:rsidR="00DC6CAA" w:rsidRDefault="00DC6CAA">
            <w:pPr>
              <w:pStyle w:val="TableParagraph"/>
              <w:ind w:left="195" w:right="182"/>
              <w:rPr>
                <w:sz w:val="24"/>
                <w:szCs w:val="24"/>
              </w:rPr>
            </w:pPr>
            <w:r>
              <w:rPr>
                <w:sz w:val="24"/>
                <w:szCs w:val="24"/>
              </w:rPr>
              <w:t>1,21 (0,92; 1,59)</w:t>
            </w:r>
          </w:p>
        </w:tc>
      </w:tr>
    </w:tbl>
    <w:p w14:paraId="414843A2" w14:textId="77777777" w:rsidR="00DC6CAA" w:rsidRDefault="00DC6CAA" w:rsidP="00DC6CAA">
      <w:pPr>
        <w:ind w:left="851" w:right="-393"/>
        <w:rPr>
          <w:sz w:val="22"/>
          <w:szCs w:val="22"/>
        </w:rPr>
      </w:pPr>
      <w:r>
        <w:rPr>
          <w:sz w:val="22"/>
          <w:szCs w:val="22"/>
        </w:rPr>
        <w:t>* PY = patientår</w:t>
      </w:r>
    </w:p>
    <w:p w14:paraId="0C577838" w14:textId="77777777" w:rsidR="00DC6CAA" w:rsidRDefault="00DC6CAA" w:rsidP="00DC6CAA">
      <w:pPr>
        <w:ind w:left="851" w:right="-393"/>
        <w:rPr>
          <w:sz w:val="22"/>
          <w:szCs w:val="22"/>
        </w:rPr>
      </w:pPr>
      <w:r>
        <w:rPr>
          <w:sz w:val="22"/>
          <w:szCs w:val="22"/>
        </w:rPr>
        <w:t xml:space="preserve">** Test for non-inferioritet for at vise, at den øvre grænse af det 95 % CI for </w:t>
      </w:r>
      <w:r>
        <w:rPr>
          <w:i/>
          <w:sz w:val="22"/>
          <w:szCs w:val="22"/>
        </w:rPr>
        <w:t xml:space="preserve">hazard </w:t>
      </w:r>
      <w:r>
        <w:rPr>
          <w:sz w:val="22"/>
          <w:szCs w:val="22"/>
        </w:rPr>
        <w:t>ratio er under 1,3</w:t>
      </w:r>
    </w:p>
    <w:p w14:paraId="12ABB212" w14:textId="77777777" w:rsidR="00DC6CAA" w:rsidRDefault="00DC6CAA" w:rsidP="000945FA">
      <w:pPr>
        <w:pStyle w:val="Brdtekst"/>
        <w:ind w:left="851"/>
        <w:rPr>
          <w:sz w:val="24"/>
          <w:szCs w:val="24"/>
          <w:lang w:val="da-DK"/>
        </w:rPr>
      </w:pPr>
    </w:p>
    <w:p w14:paraId="5FDB1914" w14:textId="77777777" w:rsidR="00DC6CAA" w:rsidRDefault="00DC6CAA" w:rsidP="000945FA">
      <w:pPr>
        <w:pStyle w:val="Brdtekst"/>
        <w:ind w:left="851" w:right="336"/>
        <w:rPr>
          <w:sz w:val="24"/>
          <w:szCs w:val="24"/>
          <w:lang w:val="da-DK"/>
        </w:rPr>
      </w:pPr>
      <w:r>
        <w:rPr>
          <w:sz w:val="24"/>
          <w:szCs w:val="24"/>
          <w:lang w:val="da-DK"/>
        </w:rPr>
        <w:t>I hele behandlingsperioden (mediantid i behandling 5,9 år) var hyppigheden af patienter med moderat eller svær hypoglykæmi 6,5 % for linagliptin versus 30,9 % for glimepirid. Der opstod svær hypoglykæmi hos 0,3 % af patienter på linagliptin versus 2,2 % på glimepirid.</w:t>
      </w:r>
    </w:p>
    <w:p w14:paraId="735E0B79" w14:textId="77777777" w:rsidR="00DC6CAA" w:rsidRDefault="00DC6CAA" w:rsidP="000945FA">
      <w:pPr>
        <w:pStyle w:val="Brdtekst"/>
        <w:ind w:left="851"/>
        <w:rPr>
          <w:sz w:val="24"/>
          <w:szCs w:val="24"/>
          <w:lang w:val="da-DK"/>
        </w:rPr>
      </w:pPr>
    </w:p>
    <w:p w14:paraId="79EB20C8" w14:textId="77777777" w:rsidR="00DC6CAA" w:rsidRDefault="00DC6CAA" w:rsidP="000945FA">
      <w:pPr>
        <w:ind w:left="851"/>
        <w:rPr>
          <w:i/>
          <w:sz w:val="24"/>
          <w:szCs w:val="24"/>
        </w:rPr>
      </w:pPr>
      <w:r>
        <w:rPr>
          <w:i/>
          <w:sz w:val="24"/>
          <w:szCs w:val="24"/>
          <w:u w:val="single"/>
        </w:rPr>
        <w:t>Metformin</w:t>
      </w:r>
    </w:p>
    <w:p w14:paraId="4C55945D" w14:textId="77777777" w:rsidR="00DC6CAA" w:rsidRDefault="00DC6CAA" w:rsidP="000945FA">
      <w:pPr>
        <w:pStyle w:val="Brdtekst"/>
        <w:ind w:left="851"/>
        <w:rPr>
          <w:sz w:val="24"/>
          <w:szCs w:val="24"/>
          <w:lang w:val="da-DK"/>
        </w:rPr>
      </w:pPr>
      <w:r>
        <w:rPr>
          <w:sz w:val="24"/>
          <w:szCs w:val="24"/>
          <w:lang w:val="da-DK"/>
        </w:rPr>
        <w:t>Det prospektive, randomiserede studie (UKPDS) har fastslået en langvarig gavnlig virkning af intensiv blodglucosekontrol ved type 2-diabetes. Analyse af resultaterne for overvægtige patienter, der blev behandlet med metformin efter manglende effekt af diæt alene, viste:</w:t>
      </w:r>
    </w:p>
    <w:p w14:paraId="0A29896F" w14:textId="77777777" w:rsidR="00DC6CAA" w:rsidRDefault="00DC6CAA" w:rsidP="000945FA">
      <w:pPr>
        <w:pStyle w:val="Brdtekst"/>
        <w:ind w:left="851"/>
        <w:rPr>
          <w:sz w:val="24"/>
          <w:szCs w:val="24"/>
          <w:lang w:val="da-DK"/>
        </w:rPr>
      </w:pPr>
    </w:p>
    <w:p w14:paraId="28FCB5A0" w14:textId="708B3E7A" w:rsidR="00DC6CAA" w:rsidRPr="00C40540" w:rsidRDefault="00DC6CAA" w:rsidP="008920F7">
      <w:pPr>
        <w:pStyle w:val="Listeafsnit"/>
        <w:numPr>
          <w:ilvl w:val="0"/>
          <w:numId w:val="7"/>
        </w:numPr>
        <w:spacing w:line="240" w:lineRule="auto"/>
        <w:ind w:left="1134" w:hanging="283"/>
        <w:rPr>
          <w:sz w:val="24"/>
          <w:szCs w:val="24"/>
          <w:lang w:val="da-DK"/>
        </w:rPr>
      </w:pPr>
      <w:r w:rsidRPr="00C40540">
        <w:rPr>
          <w:sz w:val="24"/>
          <w:szCs w:val="24"/>
          <w:lang w:val="da-DK"/>
        </w:rPr>
        <w:t xml:space="preserve">en signifikant reduktion af den absolutte risiko for enhver diabetesrelaterede komplikation i metformingruppen (29,8 hændelser/1 000 patientår) </w:t>
      </w:r>
      <w:r w:rsidRPr="00C40540">
        <w:rPr>
          <w:i/>
          <w:sz w:val="24"/>
          <w:szCs w:val="24"/>
          <w:lang w:val="da-DK"/>
        </w:rPr>
        <w:t xml:space="preserve">vs. </w:t>
      </w:r>
      <w:r w:rsidRPr="00C40540">
        <w:rPr>
          <w:sz w:val="24"/>
          <w:szCs w:val="24"/>
          <w:lang w:val="da-DK"/>
        </w:rPr>
        <w:t>diæt</w:t>
      </w:r>
      <w:r w:rsidRPr="00C40540">
        <w:rPr>
          <w:spacing w:val="-12"/>
          <w:sz w:val="24"/>
          <w:szCs w:val="24"/>
          <w:lang w:val="da-DK"/>
        </w:rPr>
        <w:t xml:space="preserve"> </w:t>
      </w:r>
      <w:r w:rsidRPr="00C40540">
        <w:rPr>
          <w:sz w:val="24"/>
          <w:szCs w:val="24"/>
          <w:lang w:val="da-DK"/>
        </w:rPr>
        <w:t>alene</w:t>
      </w:r>
      <w:r w:rsidR="00C40540">
        <w:rPr>
          <w:sz w:val="24"/>
          <w:szCs w:val="24"/>
          <w:lang w:val="da-DK"/>
        </w:rPr>
        <w:t xml:space="preserve"> </w:t>
      </w:r>
      <w:r w:rsidRPr="00C40540">
        <w:rPr>
          <w:sz w:val="24"/>
          <w:szCs w:val="24"/>
          <w:lang w:val="da-DK"/>
        </w:rPr>
        <w:t xml:space="preserve">(43,3 hændelser/1 000 patientår), p = 0,0023, og </w:t>
      </w:r>
      <w:r w:rsidRPr="00C40540">
        <w:rPr>
          <w:i/>
          <w:sz w:val="24"/>
          <w:szCs w:val="24"/>
          <w:lang w:val="da-DK"/>
        </w:rPr>
        <w:t xml:space="preserve">vs. </w:t>
      </w:r>
      <w:r w:rsidRPr="00C40540">
        <w:rPr>
          <w:sz w:val="24"/>
          <w:szCs w:val="24"/>
          <w:lang w:val="da-DK"/>
        </w:rPr>
        <w:t>de kombinerede grupper med sulfonylurinstof alene og insulin alene (40,1 hændelser/1 000 patientår), p = 0,0034</w:t>
      </w:r>
    </w:p>
    <w:p w14:paraId="01D07473" w14:textId="7BFBBCC9" w:rsidR="00DC6CAA" w:rsidRDefault="00DC6CAA" w:rsidP="00C40540">
      <w:pPr>
        <w:pStyle w:val="Listeafsnit"/>
        <w:numPr>
          <w:ilvl w:val="0"/>
          <w:numId w:val="7"/>
        </w:numPr>
        <w:spacing w:line="240" w:lineRule="auto"/>
        <w:ind w:left="1134" w:hanging="283"/>
        <w:rPr>
          <w:sz w:val="24"/>
          <w:szCs w:val="24"/>
          <w:lang w:val="da-DK"/>
        </w:rPr>
      </w:pPr>
      <w:r>
        <w:rPr>
          <w:sz w:val="24"/>
          <w:szCs w:val="24"/>
          <w:lang w:val="da-DK"/>
        </w:rPr>
        <w:t>en signifikant reduktion af den absolutte risiko for enhver diabetesrelateret mortalitet: metformin 7,5 hændelser/1 000 patientår, diæt alene 12,7 hændelser/1 000 patientår, p</w:t>
      </w:r>
      <w:r w:rsidR="00C40540">
        <w:rPr>
          <w:sz w:val="24"/>
          <w:szCs w:val="24"/>
          <w:lang w:val="da-DK"/>
        </w:rPr>
        <w:t> </w:t>
      </w:r>
      <w:r>
        <w:rPr>
          <w:sz w:val="24"/>
          <w:szCs w:val="24"/>
          <w:lang w:val="da-DK"/>
        </w:rPr>
        <w:t>=</w:t>
      </w:r>
      <w:r w:rsidR="00C40540">
        <w:rPr>
          <w:spacing w:val="-31"/>
          <w:sz w:val="24"/>
          <w:szCs w:val="24"/>
          <w:lang w:val="da-DK"/>
        </w:rPr>
        <w:t> </w:t>
      </w:r>
      <w:r>
        <w:rPr>
          <w:sz w:val="24"/>
          <w:szCs w:val="24"/>
          <w:lang w:val="da-DK"/>
        </w:rPr>
        <w:t>0,017</w:t>
      </w:r>
    </w:p>
    <w:p w14:paraId="17D63B6E" w14:textId="69A807EA" w:rsidR="00DC6CAA" w:rsidRPr="00C40540" w:rsidRDefault="00DC6CAA" w:rsidP="001A109B">
      <w:pPr>
        <w:pStyle w:val="Listeafsnit"/>
        <w:numPr>
          <w:ilvl w:val="0"/>
          <w:numId w:val="7"/>
        </w:numPr>
        <w:spacing w:line="240" w:lineRule="auto"/>
        <w:ind w:left="1134" w:hanging="283"/>
        <w:rPr>
          <w:sz w:val="24"/>
          <w:szCs w:val="24"/>
          <w:lang w:val="da-DK"/>
        </w:rPr>
      </w:pPr>
      <w:r w:rsidRPr="00C40540">
        <w:rPr>
          <w:sz w:val="24"/>
          <w:szCs w:val="24"/>
          <w:lang w:val="da-DK"/>
        </w:rPr>
        <w:t>en signifikant reduktion af den absolutte risiko for total mortalitet:</w:t>
      </w:r>
      <w:r w:rsidRPr="00C40540">
        <w:rPr>
          <w:spacing w:val="-19"/>
          <w:sz w:val="24"/>
          <w:szCs w:val="24"/>
          <w:lang w:val="da-DK"/>
        </w:rPr>
        <w:t xml:space="preserve"> </w:t>
      </w:r>
      <w:r w:rsidRPr="00C40540">
        <w:rPr>
          <w:sz w:val="24"/>
          <w:szCs w:val="24"/>
          <w:lang w:val="da-DK"/>
        </w:rPr>
        <w:t>metformin</w:t>
      </w:r>
      <w:r w:rsidR="00C40540" w:rsidRPr="00C40540">
        <w:rPr>
          <w:sz w:val="24"/>
          <w:szCs w:val="24"/>
          <w:lang w:val="da-DK"/>
        </w:rPr>
        <w:t xml:space="preserve"> </w:t>
      </w:r>
      <w:r w:rsidRPr="00C40540">
        <w:rPr>
          <w:sz w:val="24"/>
          <w:szCs w:val="24"/>
          <w:lang w:val="da-DK"/>
        </w:rPr>
        <w:t xml:space="preserve">13,5 hændelser/1 000 patientår </w:t>
      </w:r>
      <w:r w:rsidRPr="00C40540">
        <w:rPr>
          <w:i/>
          <w:sz w:val="24"/>
          <w:szCs w:val="24"/>
          <w:lang w:val="da-DK"/>
        </w:rPr>
        <w:t xml:space="preserve">vs </w:t>
      </w:r>
      <w:r w:rsidRPr="00C40540">
        <w:rPr>
          <w:sz w:val="24"/>
          <w:szCs w:val="24"/>
          <w:lang w:val="da-DK"/>
        </w:rPr>
        <w:t xml:space="preserve">diæt alene 20,6 hændelser/1 000 patientår, (p = 0,011), og </w:t>
      </w:r>
      <w:r w:rsidRPr="00C40540">
        <w:rPr>
          <w:i/>
          <w:sz w:val="24"/>
          <w:szCs w:val="24"/>
          <w:lang w:val="da-DK"/>
        </w:rPr>
        <w:t>vs</w:t>
      </w:r>
      <w:r w:rsidR="00C40540">
        <w:rPr>
          <w:i/>
          <w:sz w:val="24"/>
          <w:szCs w:val="24"/>
          <w:lang w:val="da-DK"/>
        </w:rPr>
        <w:t xml:space="preserve"> </w:t>
      </w:r>
      <w:r w:rsidRPr="00C40540">
        <w:rPr>
          <w:sz w:val="24"/>
          <w:szCs w:val="24"/>
          <w:lang w:val="da-DK"/>
        </w:rPr>
        <w:t>de kombinerede grupper med sulfonylurinstof alene og insulin alene 18,9 hændelser/1 000 patientår (p = 0,021)</w:t>
      </w:r>
    </w:p>
    <w:p w14:paraId="10B2A782" w14:textId="01170CAB" w:rsidR="00DC6CAA" w:rsidRDefault="00DC6CAA" w:rsidP="00C40540">
      <w:pPr>
        <w:pStyle w:val="Listeafsnit"/>
        <w:numPr>
          <w:ilvl w:val="0"/>
          <w:numId w:val="7"/>
        </w:numPr>
        <w:spacing w:line="240" w:lineRule="auto"/>
        <w:ind w:left="1134" w:hanging="283"/>
        <w:rPr>
          <w:sz w:val="24"/>
          <w:szCs w:val="24"/>
          <w:lang w:val="da-DK"/>
        </w:rPr>
      </w:pPr>
      <w:r>
        <w:rPr>
          <w:sz w:val="24"/>
          <w:szCs w:val="24"/>
          <w:lang w:val="da-DK"/>
        </w:rPr>
        <w:t>en signifikant reduktion af den absolutte risiko for myokardieinfarkt: metformin 11 hændelser/1 000 patientår, diæt alene 18 hændelser/1 000 patientår, (p</w:t>
      </w:r>
      <w:r w:rsidR="00C40540">
        <w:rPr>
          <w:sz w:val="24"/>
          <w:szCs w:val="24"/>
          <w:lang w:val="da-DK"/>
        </w:rPr>
        <w:t> </w:t>
      </w:r>
      <w:proofErr w:type="gramStart"/>
      <w:r>
        <w:rPr>
          <w:sz w:val="24"/>
          <w:szCs w:val="24"/>
          <w:lang w:val="da-DK"/>
        </w:rPr>
        <w:t>=</w:t>
      </w:r>
      <w:r w:rsidR="00C40540">
        <w:rPr>
          <w:sz w:val="24"/>
          <w:szCs w:val="24"/>
          <w:lang w:val="da-DK"/>
        </w:rPr>
        <w:t> </w:t>
      </w:r>
      <w:r>
        <w:rPr>
          <w:spacing w:val="-33"/>
          <w:sz w:val="24"/>
          <w:szCs w:val="24"/>
          <w:lang w:val="da-DK"/>
        </w:rPr>
        <w:t xml:space="preserve"> </w:t>
      </w:r>
      <w:r>
        <w:rPr>
          <w:sz w:val="24"/>
          <w:szCs w:val="24"/>
          <w:lang w:val="da-DK"/>
        </w:rPr>
        <w:t>0</w:t>
      </w:r>
      <w:proofErr w:type="gramEnd"/>
      <w:r>
        <w:rPr>
          <w:sz w:val="24"/>
          <w:szCs w:val="24"/>
          <w:lang w:val="da-DK"/>
        </w:rPr>
        <w:t>,01).</w:t>
      </w:r>
    </w:p>
    <w:p w14:paraId="30D0D0B6" w14:textId="77777777" w:rsidR="00DC6CAA" w:rsidRDefault="00DC6CAA" w:rsidP="000945FA">
      <w:pPr>
        <w:pStyle w:val="Brdtekst"/>
        <w:ind w:left="851"/>
        <w:rPr>
          <w:sz w:val="24"/>
          <w:szCs w:val="24"/>
          <w:lang w:val="da-DK"/>
        </w:rPr>
      </w:pPr>
    </w:p>
    <w:p w14:paraId="55E3AF95" w14:textId="77777777" w:rsidR="00DC6CAA" w:rsidRDefault="00DC6CAA" w:rsidP="000945FA">
      <w:pPr>
        <w:pStyle w:val="Brdtekst"/>
        <w:ind w:left="851"/>
        <w:rPr>
          <w:sz w:val="24"/>
          <w:szCs w:val="24"/>
          <w:lang w:val="da-DK"/>
        </w:rPr>
      </w:pPr>
      <w:r>
        <w:rPr>
          <w:sz w:val="24"/>
          <w:szCs w:val="24"/>
          <w:u w:val="single"/>
          <w:lang w:val="da-DK"/>
        </w:rPr>
        <w:t>Pædiatrisk population</w:t>
      </w:r>
    </w:p>
    <w:p w14:paraId="1AD3BC53" w14:textId="4813E79F" w:rsidR="00DC6CAA" w:rsidRDefault="00DC6CAA" w:rsidP="000945FA">
      <w:pPr>
        <w:pStyle w:val="Brdtekst"/>
        <w:ind w:left="851"/>
        <w:rPr>
          <w:sz w:val="24"/>
          <w:szCs w:val="24"/>
          <w:lang w:val="da-DK"/>
        </w:rPr>
      </w:pPr>
      <w:r>
        <w:rPr>
          <w:sz w:val="24"/>
          <w:szCs w:val="24"/>
          <w:lang w:val="da-DK"/>
        </w:rPr>
        <w:t>Den kliniske virkning og sikkerhed af empagliflozin 10 mg med potentiel dosisstigning til 25 mg eller linagliptin 5 mg én gang dagligt er blevet undersøgt hos børn og unge i alderen fra 10 to 17 år med type 2-diabetes mellitus i et dobbeltblindet, randomiseret, placebokontrolleret studie med parallelle grupper (DINAMO) i løbet af 26 uger, med en dobbeltblindet sikkerhedsforlængelsesperiode på op til 52 uger med aktiv behandling. 91</w:t>
      </w:r>
      <w:r w:rsidR="000A5A14">
        <w:rPr>
          <w:sz w:val="24"/>
          <w:szCs w:val="24"/>
          <w:lang w:val="da-DK"/>
        </w:rPr>
        <w:t> </w:t>
      </w:r>
      <w:r>
        <w:rPr>
          <w:sz w:val="24"/>
          <w:szCs w:val="24"/>
          <w:lang w:val="da-DK"/>
        </w:rPr>
        <w:t>% af patienterne i studiet fik baggrundsbehandling med metformin som tillæg til kost og motion.</w:t>
      </w:r>
    </w:p>
    <w:p w14:paraId="47EC83C9" w14:textId="77777777" w:rsidR="00DC6CAA" w:rsidRDefault="00DC6CAA" w:rsidP="000945FA">
      <w:pPr>
        <w:pStyle w:val="Brdtekst"/>
        <w:ind w:left="851"/>
        <w:rPr>
          <w:lang w:val="da-DK"/>
        </w:rPr>
      </w:pPr>
      <w:r>
        <w:rPr>
          <w:sz w:val="24"/>
          <w:szCs w:val="24"/>
          <w:lang w:val="da-DK"/>
        </w:rPr>
        <w:t xml:space="preserve">Ved </w:t>
      </w:r>
      <w:r>
        <w:rPr>
          <w:i/>
          <w:sz w:val="24"/>
          <w:szCs w:val="24"/>
          <w:lang w:val="da-DK"/>
        </w:rPr>
        <w:t xml:space="preserve">baseline </w:t>
      </w:r>
      <w:r>
        <w:rPr>
          <w:sz w:val="24"/>
          <w:szCs w:val="24"/>
          <w:lang w:val="da-DK"/>
        </w:rPr>
        <w:t>var gennemsnitlig HbA</w:t>
      </w:r>
      <w:r w:rsidRPr="00175F05">
        <w:rPr>
          <w:sz w:val="24"/>
          <w:szCs w:val="24"/>
          <w:vertAlign w:val="subscript"/>
          <w:lang w:val="da-DK"/>
        </w:rPr>
        <w:t>1c</w:t>
      </w:r>
      <w:r>
        <w:rPr>
          <w:sz w:val="24"/>
          <w:szCs w:val="24"/>
          <w:lang w:val="da-DK"/>
        </w:rPr>
        <w:t xml:space="preserve"> 8,03 %. Behandlingen med linagliptin 5 mg gav ingen signifikant forbedring i HbA</w:t>
      </w:r>
      <w:r w:rsidRPr="00175F05">
        <w:rPr>
          <w:sz w:val="24"/>
          <w:szCs w:val="24"/>
          <w:vertAlign w:val="subscript"/>
          <w:lang w:val="da-DK"/>
        </w:rPr>
        <w:t>1c</w:t>
      </w:r>
      <w:r>
        <w:rPr>
          <w:sz w:val="24"/>
          <w:szCs w:val="24"/>
          <w:lang w:val="da-DK"/>
        </w:rPr>
        <w:t>. Behandlingsforskellen af justeret gennemsnitlig ændring i HbA</w:t>
      </w:r>
      <w:r w:rsidRPr="00175F05">
        <w:rPr>
          <w:sz w:val="24"/>
          <w:szCs w:val="24"/>
          <w:vertAlign w:val="subscript"/>
          <w:lang w:val="da-DK"/>
        </w:rPr>
        <w:t>1c</w:t>
      </w:r>
      <w:r>
        <w:rPr>
          <w:sz w:val="24"/>
          <w:szCs w:val="24"/>
          <w:lang w:val="da-DK"/>
        </w:rPr>
        <w:t xml:space="preserve"> efter 26 uger mellem linagliptin og placebo var -0,34 % (95 % CI -0,99; 0,30, p = 0,2935). Den justerede gennemsnitlige ændring i HbA1c fra </w:t>
      </w:r>
      <w:r>
        <w:rPr>
          <w:i/>
          <w:sz w:val="24"/>
          <w:szCs w:val="24"/>
          <w:lang w:val="da-DK"/>
        </w:rPr>
        <w:t xml:space="preserve">baseline </w:t>
      </w:r>
      <w:r>
        <w:rPr>
          <w:sz w:val="24"/>
          <w:szCs w:val="24"/>
          <w:lang w:val="da-DK"/>
        </w:rPr>
        <w:t>var 0,33 % hos patienter behandlet med linagliptin og 0,68 % hos patienter behandlet med placebo (se pkt. 4.2).</w:t>
      </w:r>
    </w:p>
    <w:p w14:paraId="2569168A" w14:textId="77777777" w:rsidR="009260DE" w:rsidRPr="00C84483" w:rsidRDefault="009260DE" w:rsidP="009260DE">
      <w:pPr>
        <w:tabs>
          <w:tab w:val="left" w:pos="851"/>
        </w:tabs>
        <w:ind w:left="851"/>
        <w:rPr>
          <w:sz w:val="24"/>
          <w:szCs w:val="24"/>
        </w:rPr>
      </w:pPr>
    </w:p>
    <w:p w14:paraId="4B92836D"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D65CBB3" w14:textId="77777777" w:rsidR="00DC6CAA" w:rsidRDefault="00DC6CAA" w:rsidP="000945FA">
      <w:pPr>
        <w:pStyle w:val="Brdtekst"/>
        <w:ind w:left="851" w:right="32"/>
        <w:rPr>
          <w:sz w:val="24"/>
          <w:szCs w:val="24"/>
          <w:lang w:val="da-DK"/>
        </w:rPr>
      </w:pPr>
      <w:r>
        <w:rPr>
          <w:sz w:val="24"/>
          <w:szCs w:val="24"/>
          <w:lang w:val="da-DK"/>
        </w:rPr>
        <w:t>Bioækvivalensstudier hos raske frivillige viste, at kombinationstabletterne linagliptin/metforminhydrochlorid er bioækvivalente med samtidig administration af linagliptin og metforminhydrochlorid som separate tabletter.</w:t>
      </w:r>
    </w:p>
    <w:p w14:paraId="15444B93" w14:textId="77777777" w:rsidR="00DC6CAA" w:rsidRDefault="00DC6CAA" w:rsidP="000945FA">
      <w:pPr>
        <w:pStyle w:val="Brdtekst"/>
        <w:ind w:left="851" w:right="32"/>
        <w:rPr>
          <w:sz w:val="24"/>
          <w:szCs w:val="24"/>
          <w:lang w:val="da-DK"/>
        </w:rPr>
      </w:pPr>
    </w:p>
    <w:p w14:paraId="78140D0E" w14:textId="77777777" w:rsidR="00DC6CAA" w:rsidRDefault="00DC6CAA" w:rsidP="000945FA">
      <w:pPr>
        <w:pStyle w:val="Brdtekst"/>
        <w:ind w:left="851" w:right="32"/>
        <w:rPr>
          <w:sz w:val="24"/>
          <w:szCs w:val="24"/>
          <w:lang w:val="da-DK"/>
        </w:rPr>
      </w:pPr>
      <w:r>
        <w:rPr>
          <w:sz w:val="24"/>
          <w:szCs w:val="24"/>
          <w:lang w:val="da-DK"/>
        </w:rPr>
        <w:lastRenderedPageBreak/>
        <w:t>Administration af linagliptin og metformin 2,5/1 000 mg ved måltider medførte ingen ændring i den samlede eksponering for linagliptin. Med metformin var der ingen ændring i AUC. Metformins gennemsnitlige maksimale serumkoncentration var dog reduceret med 18 % ved indtagelse sammen med føde. En forsinkelse på 2 timer til den maksimale serumkoncentration blev observeret for metformin efter indtagelse i forbindelse med føde. Disse ændringer har sandsynligvis ikke klinisk betydning.</w:t>
      </w:r>
    </w:p>
    <w:p w14:paraId="3445DD4E" w14:textId="77777777" w:rsidR="00DC6CAA" w:rsidRDefault="00DC6CAA" w:rsidP="000945FA">
      <w:pPr>
        <w:pStyle w:val="Brdtekst"/>
        <w:ind w:left="851" w:right="32"/>
        <w:rPr>
          <w:sz w:val="24"/>
          <w:szCs w:val="24"/>
          <w:lang w:val="da-DK"/>
        </w:rPr>
      </w:pPr>
    </w:p>
    <w:p w14:paraId="7747BFB1" w14:textId="774DB13E" w:rsidR="00DC6CAA" w:rsidRDefault="00DC6CAA" w:rsidP="000945FA">
      <w:pPr>
        <w:pStyle w:val="Brdtekst"/>
        <w:ind w:left="851" w:right="32"/>
        <w:rPr>
          <w:sz w:val="24"/>
          <w:szCs w:val="24"/>
          <w:lang w:val="da-DK"/>
        </w:rPr>
      </w:pPr>
      <w:r>
        <w:rPr>
          <w:sz w:val="24"/>
          <w:szCs w:val="24"/>
          <w:lang w:val="da-DK"/>
        </w:rPr>
        <w:t xml:space="preserve">De efterfølgende oplysninger afspejler de farmakokinetiske egenskaber for de enkelte aktive stoffer i </w:t>
      </w:r>
      <w:r w:rsidR="002B2434">
        <w:rPr>
          <w:sz w:val="24"/>
          <w:szCs w:val="24"/>
          <w:lang w:val="da-DK"/>
        </w:rPr>
        <w:t>Glymetia</w:t>
      </w:r>
      <w:r>
        <w:rPr>
          <w:sz w:val="24"/>
          <w:szCs w:val="24"/>
          <w:lang w:val="da-DK"/>
        </w:rPr>
        <w:t>.</w:t>
      </w:r>
    </w:p>
    <w:p w14:paraId="1691D8A6" w14:textId="77777777" w:rsidR="00DC6CAA" w:rsidRDefault="00DC6CAA" w:rsidP="000945FA">
      <w:pPr>
        <w:pStyle w:val="Brdtekst"/>
        <w:ind w:left="851" w:right="32"/>
        <w:rPr>
          <w:sz w:val="24"/>
          <w:szCs w:val="24"/>
          <w:lang w:val="da-DK"/>
        </w:rPr>
      </w:pPr>
    </w:p>
    <w:p w14:paraId="743108C8" w14:textId="77777777" w:rsidR="00DC6CAA" w:rsidRDefault="00DC6CAA" w:rsidP="000945FA">
      <w:pPr>
        <w:pStyle w:val="Brdtekst"/>
        <w:ind w:left="851" w:right="32"/>
        <w:rPr>
          <w:sz w:val="24"/>
          <w:szCs w:val="24"/>
          <w:lang w:val="da-DK"/>
        </w:rPr>
      </w:pPr>
      <w:r>
        <w:rPr>
          <w:sz w:val="24"/>
          <w:szCs w:val="24"/>
          <w:u w:val="single"/>
          <w:lang w:val="da-DK"/>
        </w:rPr>
        <w:t>Linagliptin</w:t>
      </w:r>
    </w:p>
    <w:p w14:paraId="182ACE81" w14:textId="674EB18F" w:rsidR="00DC6CAA" w:rsidRPr="00C40540" w:rsidRDefault="00DC6CAA" w:rsidP="00C40540">
      <w:pPr>
        <w:ind w:left="851"/>
        <w:rPr>
          <w:sz w:val="24"/>
          <w:szCs w:val="24"/>
        </w:rPr>
      </w:pPr>
      <w:r w:rsidRPr="00C40540">
        <w:rPr>
          <w:sz w:val="24"/>
          <w:szCs w:val="24"/>
        </w:rPr>
        <w:t>Linagliptins farmakokinetik er udførligt undersøgt hos raske frivillige og hos patienter med type 2-diabetes. Efter oral administration af en 5 mg dosis til enten raske frivillige eller patienter blev linagliptin hurtigt absorberet, og maksimal plasmakoncentration (median T</w:t>
      </w:r>
      <w:r w:rsidRPr="00C40540">
        <w:rPr>
          <w:sz w:val="24"/>
          <w:szCs w:val="24"/>
          <w:vertAlign w:val="subscript"/>
        </w:rPr>
        <w:t>max</w:t>
      </w:r>
      <w:r w:rsidRPr="00C40540">
        <w:rPr>
          <w:sz w:val="24"/>
          <w:szCs w:val="24"/>
        </w:rPr>
        <w:t>) blev opnået 1,5 time efter indtagelsen.</w:t>
      </w:r>
    </w:p>
    <w:p w14:paraId="3D40E96E" w14:textId="77777777" w:rsidR="00DC6CAA" w:rsidRPr="00C40540" w:rsidRDefault="00DC6CAA" w:rsidP="00C40540">
      <w:pPr>
        <w:ind w:left="851"/>
        <w:rPr>
          <w:sz w:val="24"/>
          <w:szCs w:val="24"/>
        </w:rPr>
      </w:pPr>
    </w:p>
    <w:p w14:paraId="7E47EE22" w14:textId="54003FA3" w:rsidR="00DC6CAA" w:rsidRDefault="00DC6CAA" w:rsidP="000945FA">
      <w:pPr>
        <w:pStyle w:val="Brdtekst"/>
        <w:ind w:left="851" w:right="32"/>
        <w:rPr>
          <w:sz w:val="24"/>
          <w:szCs w:val="24"/>
          <w:lang w:val="da-DK"/>
        </w:rPr>
      </w:pPr>
      <w:r>
        <w:rPr>
          <w:sz w:val="24"/>
          <w:szCs w:val="24"/>
          <w:lang w:val="da-DK"/>
        </w:rPr>
        <w:t xml:space="preserve">Plasmakoncentrationen af linagliptin aftager tre-fasisk med en lang terminal halveringstid (terminal halveringstid for linagliptin på mere end 100 timer), som overvejende er relateret til linagliptins mættede, tætte binding til DPP-4, uden at bidrage til akkumulation af det aktive stof. Efter oral administration af gentagne doser linagliptin 5 mg er den effektive halveringstid for akkumulering af linagliptin ca. 12 timer. Efter administration af 5 mg linagliptin én gang dagligt opnåedes </w:t>
      </w:r>
      <w:r>
        <w:rPr>
          <w:i/>
          <w:sz w:val="24"/>
          <w:szCs w:val="24"/>
          <w:lang w:val="da-DK"/>
        </w:rPr>
        <w:t>steady state</w:t>
      </w:r>
      <w:r>
        <w:rPr>
          <w:sz w:val="24"/>
          <w:szCs w:val="24"/>
          <w:lang w:val="da-DK"/>
        </w:rPr>
        <w:t xml:space="preserve">- plasmakoncentrationerne ved tredje dosis. Efter administration af 5 mg doser ved </w:t>
      </w:r>
      <w:r>
        <w:rPr>
          <w:i/>
          <w:sz w:val="24"/>
          <w:szCs w:val="24"/>
          <w:lang w:val="da-DK"/>
        </w:rPr>
        <w:t xml:space="preserve">steady state </w:t>
      </w:r>
      <w:r>
        <w:rPr>
          <w:sz w:val="24"/>
          <w:szCs w:val="24"/>
          <w:lang w:val="da-DK"/>
        </w:rPr>
        <w:t>var plasma-AUC for linagliptin ca. 33</w:t>
      </w:r>
      <w:r w:rsidR="00C40540">
        <w:rPr>
          <w:sz w:val="24"/>
          <w:szCs w:val="24"/>
          <w:lang w:val="da-DK"/>
        </w:rPr>
        <w:t> </w:t>
      </w:r>
      <w:r>
        <w:rPr>
          <w:sz w:val="24"/>
          <w:szCs w:val="24"/>
          <w:lang w:val="da-DK"/>
        </w:rPr>
        <w:t>% højere i forhold til den første dosis. Intra- og intervariationskoefficienter for linagliptins AUC var lave (henholdsvis 12,6 % og 28,5 %). På grund af den koncentrationsafhængige binding af linagliptin til DPP-IV var linagliptins farmakokinetik ikke lineær vurderet på baggrund af total eksponering. Linagliptins total-plasma-AUC steg mindre end dosisproportionalt, mens stigningen i AUC for ubundet linagliptin stort set var dosisproportional.</w:t>
      </w:r>
    </w:p>
    <w:p w14:paraId="28879201" w14:textId="77777777" w:rsidR="00DC6CAA" w:rsidRDefault="00DC6CAA" w:rsidP="000945FA">
      <w:pPr>
        <w:pStyle w:val="Brdtekst"/>
        <w:ind w:left="851" w:right="32"/>
        <w:rPr>
          <w:sz w:val="24"/>
          <w:szCs w:val="24"/>
          <w:lang w:val="da-DK"/>
        </w:rPr>
      </w:pPr>
      <w:r>
        <w:rPr>
          <w:sz w:val="24"/>
          <w:szCs w:val="24"/>
          <w:lang w:val="da-DK"/>
        </w:rPr>
        <w:t>Linagliptins farmakokinetik hos raske frivillige og type 2-diabetes-patienter var generelt ens.</w:t>
      </w:r>
    </w:p>
    <w:p w14:paraId="73F8E962" w14:textId="77777777" w:rsidR="00DC6CAA" w:rsidRDefault="00DC6CAA" w:rsidP="000945FA">
      <w:pPr>
        <w:pStyle w:val="Brdtekst"/>
        <w:ind w:left="851" w:right="32"/>
        <w:rPr>
          <w:sz w:val="24"/>
          <w:szCs w:val="24"/>
          <w:lang w:val="da-DK"/>
        </w:rPr>
      </w:pPr>
    </w:p>
    <w:p w14:paraId="2F1E3735" w14:textId="77777777" w:rsidR="00DC6CAA" w:rsidRDefault="00DC6CAA" w:rsidP="000945FA">
      <w:pPr>
        <w:ind w:left="851" w:right="32"/>
        <w:rPr>
          <w:i/>
          <w:sz w:val="24"/>
          <w:szCs w:val="24"/>
        </w:rPr>
      </w:pPr>
      <w:r>
        <w:rPr>
          <w:i/>
          <w:sz w:val="24"/>
          <w:szCs w:val="24"/>
        </w:rPr>
        <w:t>Absorption</w:t>
      </w:r>
    </w:p>
    <w:p w14:paraId="3538C798" w14:textId="77777777" w:rsidR="00DC6CAA" w:rsidRPr="00175F05" w:rsidRDefault="00DC6CAA" w:rsidP="00175F05">
      <w:pPr>
        <w:ind w:left="851"/>
        <w:rPr>
          <w:sz w:val="24"/>
          <w:szCs w:val="24"/>
        </w:rPr>
      </w:pPr>
      <w:r w:rsidRPr="00175F05">
        <w:rPr>
          <w:sz w:val="24"/>
          <w:szCs w:val="24"/>
        </w:rPr>
        <w:t>Linagliptins absolutte biotilgængelighed var ca. 30 %. Samtidig indtagelse af et måltid med højt fedtindhold og linagliptin forlængede tiden til at opnå C</w:t>
      </w:r>
      <w:r w:rsidRPr="00175F05">
        <w:rPr>
          <w:sz w:val="24"/>
          <w:szCs w:val="24"/>
          <w:vertAlign w:val="subscript"/>
        </w:rPr>
        <w:t>max</w:t>
      </w:r>
      <w:r w:rsidRPr="00175F05">
        <w:rPr>
          <w:sz w:val="24"/>
          <w:szCs w:val="24"/>
        </w:rPr>
        <w:t xml:space="preserve"> med 2 timer og sænkede C</w:t>
      </w:r>
      <w:r w:rsidRPr="00175F05">
        <w:rPr>
          <w:sz w:val="24"/>
          <w:szCs w:val="24"/>
          <w:vertAlign w:val="subscript"/>
        </w:rPr>
        <w:t>max</w:t>
      </w:r>
      <w:r w:rsidRPr="00175F05">
        <w:rPr>
          <w:sz w:val="24"/>
          <w:szCs w:val="24"/>
        </w:rPr>
        <w:t xml:space="preserve"> med 15 %, men der blev ikke observeret nogen påvirkning af AUC 0-72t. Der forventes ingen klinisk relevante virkninger af ændringer i C</w:t>
      </w:r>
      <w:r w:rsidRPr="00175F05">
        <w:rPr>
          <w:sz w:val="24"/>
          <w:szCs w:val="24"/>
          <w:vertAlign w:val="subscript"/>
        </w:rPr>
        <w:t>max</w:t>
      </w:r>
      <w:r w:rsidRPr="00175F05">
        <w:rPr>
          <w:sz w:val="24"/>
          <w:szCs w:val="24"/>
        </w:rPr>
        <w:t xml:space="preserve"> og T</w:t>
      </w:r>
      <w:r w:rsidRPr="00175F05">
        <w:rPr>
          <w:sz w:val="24"/>
          <w:szCs w:val="24"/>
          <w:vertAlign w:val="subscript"/>
        </w:rPr>
        <w:t>max</w:t>
      </w:r>
      <w:r w:rsidRPr="00175F05">
        <w:rPr>
          <w:sz w:val="24"/>
          <w:szCs w:val="24"/>
        </w:rPr>
        <w:t>, og linagliptin kan derfor indtages med eller uden mad.</w:t>
      </w:r>
    </w:p>
    <w:p w14:paraId="5E4DD5CD" w14:textId="77777777" w:rsidR="00DC6CAA" w:rsidRDefault="00DC6CAA" w:rsidP="000945FA">
      <w:pPr>
        <w:pStyle w:val="Brdtekst"/>
        <w:ind w:left="851" w:right="32"/>
        <w:rPr>
          <w:sz w:val="24"/>
          <w:szCs w:val="24"/>
          <w:lang w:val="da-DK"/>
        </w:rPr>
      </w:pPr>
    </w:p>
    <w:p w14:paraId="6B101387" w14:textId="77777777" w:rsidR="00DC6CAA" w:rsidRDefault="00DC6CAA" w:rsidP="000945FA">
      <w:pPr>
        <w:ind w:left="851" w:right="32"/>
        <w:rPr>
          <w:i/>
          <w:sz w:val="24"/>
          <w:szCs w:val="24"/>
        </w:rPr>
      </w:pPr>
      <w:r>
        <w:rPr>
          <w:i/>
          <w:sz w:val="24"/>
          <w:szCs w:val="24"/>
        </w:rPr>
        <w:t>Fordeling</w:t>
      </w:r>
    </w:p>
    <w:p w14:paraId="62CA1E1F" w14:textId="25145E89" w:rsidR="00DC6CAA" w:rsidRDefault="00DC6CAA" w:rsidP="000945FA">
      <w:pPr>
        <w:pStyle w:val="Brdtekst"/>
        <w:ind w:left="851" w:right="32"/>
        <w:rPr>
          <w:sz w:val="24"/>
          <w:szCs w:val="24"/>
          <w:lang w:val="da-DK"/>
        </w:rPr>
      </w:pPr>
      <w:r>
        <w:rPr>
          <w:sz w:val="24"/>
          <w:szCs w:val="24"/>
          <w:lang w:val="da-DK"/>
        </w:rPr>
        <w:t xml:space="preserve">På grund af vævsbinding var det gennemsnitlige tilsyneladende fordelingsvolumen ved </w:t>
      </w:r>
      <w:r>
        <w:rPr>
          <w:i/>
          <w:sz w:val="24"/>
          <w:szCs w:val="24"/>
          <w:lang w:val="da-DK"/>
        </w:rPr>
        <w:t xml:space="preserve">steady state </w:t>
      </w:r>
      <w:r>
        <w:rPr>
          <w:sz w:val="24"/>
          <w:szCs w:val="24"/>
          <w:lang w:val="da-DK"/>
        </w:rPr>
        <w:t>efter en enkelt intravenøs dosis på 5 mg linagliptin hos raske frivillige ca. 1 110 liter, hvilket antyder, at linagliptin har en udtalt vævsfordeling. Plasmaproteinbindingen af linagliptin var koncentrationsafhængig og faldt fra ca. 99 % ved 1 nmol/L til 75-89</w:t>
      </w:r>
      <w:r w:rsidR="00C40540">
        <w:rPr>
          <w:sz w:val="24"/>
          <w:szCs w:val="24"/>
          <w:lang w:val="da-DK"/>
        </w:rPr>
        <w:t> </w:t>
      </w:r>
      <w:r>
        <w:rPr>
          <w:sz w:val="24"/>
          <w:szCs w:val="24"/>
          <w:lang w:val="da-DK"/>
        </w:rPr>
        <w:t>% ved ≥ 30 nmol/L, hvilket afspejler, at bindingen til DPP-4 blev mættet med stigende koncentrationer af linagliptin. Ved høje koncentrationer, hvor DPP-4 var fuldt mættet, var 70-80 % af linagliptin bundet til andre plasmaproteiner end DPP-4, og 20-30 % var ubundet i plasma.</w:t>
      </w:r>
    </w:p>
    <w:p w14:paraId="7EF283AB" w14:textId="77777777" w:rsidR="00DC6CAA" w:rsidRDefault="00DC6CAA" w:rsidP="000945FA">
      <w:pPr>
        <w:pStyle w:val="Brdtekst"/>
        <w:ind w:left="851" w:right="32"/>
        <w:rPr>
          <w:sz w:val="24"/>
          <w:szCs w:val="24"/>
          <w:lang w:val="da-DK"/>
        </w:rPr>
      </w:pPr>
    </w:p>
    <w:p w14:paraId="38B2335A" w14:textId="77777777" w:rsidR="00DC6CAA" w:rsidRDefault="00DC6CAA" w:rsidP="000945FA">
      <w:pPr>
        <w:ind w:left="851" w:right="32"/>
        <w:rPr>
          <w:i/>
          <w:sz w:val="24"/>
          <w:szCs w:val="24"/>
        </w:rPr>
      </w:pPr>
      <w:r>
        <w:rPr>
          <w:i/>
          <w:sz w:val="24"/>
          <w:szCs w:val="24"/>
        </w:rPr>
        <w:t>Biotransformation</w:t>
      </w:r>
    </w:p>
    <w:p w14:paraId="2768E3D5" w14:textId="77777777" w:rsidR="00DC6CAA" w:rsidRDefault="00DC6CAA" w:rsidP="000945FA">
      <w:pPr>
        <w:pStyle w:val="Brdtekst"/>
        <w:ind w:left="851" w:right="34"/>
        <w:rPr>
          <w:sz w:val="24"/>
          <w:szCs w:val="24"/>
          <w:lang w:val="da-DK"/>
        </w:rPr>
      </w:pPr>
      <w:r>
        <w:rPr>
          <w:sz w:val="24"/>
          <w:szCs w:val="24"/>
          <w:lang w:val="da-DK"/>
        </w:rPr>
        <w:t>Efter en oral [</w:t>
      </w:r>
      <w:r>
        <w:rPr>
          <w:sz w:val="24"/>
          <w:szCs w:val="24"/>
          <w:vertAlign w:val="superscript"/>
          <w:lang w:val="da-DK"/>
        </w:rPr>
        <w:t>14</w:t>
      </w:r>
      <w:proofErr w:type="gramStart"/>
      <w:r>
        <w:rPr>
          <w:sz w:val="24"/>
          <w:szCs w:val="24"/>
          <w:lang w:val="da-DK"/>
        </w:rPr>
        <w:t>C]-</w:t>
      </w:r>
      <w:proofErr w:type="gramEnd"/>
      <w:r>
        <w:rPr>
          <w:sz w:val="24"/>
          <w:szCs w:val="24"/>
          <w:lang w:val="da-DK"/>
        </w:rPr>
        <w:t xml:space="preserve">linagliptin 10 mg dosis blev ca. 5 % af radioaktiviteten udskilt med </w:t>
      </w:r>
      <w:r>
        <w:rPr>
          <w:sz w:val="24"/>
          <w:szCs w:val="24"/>
          <w:lang w:val="da-DK"/>
        </w:rPr>
        <w:lastRenderedPageBreak/>
        <w:t xml:space="preserve">urinen. Metabolisering spiller en underordnet rolle i eliminationen af linagliptin. En hovedmetabolit med en relativ eksponering på 13,3 % af linagliptin-dosis ved </w:t>
      </w:r>
      <w:r>
        <w:rPr>
          <w:i/>
          <w:sz w:val="24"/>
          <w:szCs w:val="24"/>
          <w:lang w:val="da-DK"/>
        </w:rPr>
        <w:t xml:space="preserve">steady state </w:t>
      </w:r>
      <w:r>
        <w:rPr>
          <w:sz w:val="24"/>
          <w:szCs w:val="24"/>
          <w:lang w:val="da-DK"/>
        </w:rPr>
        <w:t>blev påvist. Denne er farmakologisk inaktiv og bidrager derfor ikke til linagliptins hæmmende aktivitet over for plasma-DPP-4.</w:t>
      </w:r>
    </w:p>
    <w:p w14:paraId="7DF91793" w14:textId="77777777" w:rsidR="00DC6CAA" w:rsidRDefault="00DC6CAA" w:rsidP="000945FA">
      <w:pPr>
        <w:pStyle w:val="Brdtekst"/>
        <w:ind w:left="851" w:right="34"/>
        <w:rPr>
          <w:sz w:val="24"/>
          <w:szCs w:val="24"/>
          <w:lang w:val="da-DK"/>
        </w:rPr>
      </w:pPr>
    </w:p>
    <w:p w14:paraId="580A6141" w14:textId="77777777" w:rsidR="00DC6CAA" w:rsidRDefault="00DC6CAA" w:rsidP="000945FA">
      <w:pPr>
        <w:pStyle w:val="Brdtekst"/>
        <w:ind w:left="851" w:right="34"/>
        <w:rPr>
          <w:i/>
          <w:sz w:val="24"/>
          <w:szCs w:val="24"/>
          <w:lang w:val="da-DK"/>
        </w:rPr>
      </w:pPr>
      <w:r>
        <w:rPr>
          <w:i/>
          <w:sz w:val="24"/>
          <w:szCs w:val="24"/>
          <w:lang w:val="da-DK"/>
        </w:rPr>
        <w:t>Elimination</w:t>
      </w:r>
    </w:p>
    <w:p w14:paraId="2141E863" w14:textId="77777777" w:rsidR="00DC6CAA" w:rsidRDefault="00DC6CAA" w:rsidP="000945FA">
      <w:pPr>
        <w:pStyle w:val="Brdtekst"/>
        <w:ind w:left="851" w:right="34"/>
        <w:rPr>
          <w:i/>
          <w:sz w:val="24"/>
          <w:szCs w:val="24"/>
          <w:lang w:val="da-DK"/>
        </w:rPr>
      </w:pPr>
      <w:r>
        <w:rPr>
          <w:sz w:val="24"/>
          <w:szCs w:val="24"/>
          <w:lang w:val="da-DK"/>
        </w:rPr>
        <w:t>Efter administration af en oral dosis [</w:t>
      </w:r>
      <w:r>
        <w:rPr>
          <w:sz w:val="24"/>
          <w:szCs w:val="24"/>
          <w:vertAlign w:val="superscript"/>
          <w:lang w:val="da-DK"/>
        </w:rPr>
        <w:t>14</w:t>
      </w:r>
      <w:proofErr w:type="gramStart"/>
      <w:r>
        <w:rPr>
          <w:sz w:val="24"/>
          <w:szCs w:val="24"/>
          <w:lang w:val="da-DK"/>
        </w:rPr>
        <w:t>C]-</w:t>
      </w:r>
      <w:proofErr w:type="gramEnd"/>
      <w:r>
        <w:rPr>
          <w:sz w:val="24"/>
          <w:szCs w:val="24"/>
          <w:lang w:val="da-DK"/>
        </w:rPr>
        <w:t xml:space="preserve">linagliptin til raske frivillige blev ca. 85 % af den indgivne radioaktivitet udskilt gennem fæces (80 %) eller urin (5 %) inden for 4 dage efter doseringen. Renal clearance ved </w:t>
      </w:r>
      <w:r>
        <w:rPr>
          <w:i/>
          <w:sz w:val="24"/>
          <w:szCs w:val="24"/>
          <w:lang w:val="da-DK"/>
        </w:rPr>
        <w:t xml:space="preserve">steady state </w:t>
      </w:r>
      <w:r>
        <w:rPr>
          <w:sz w:val="24"/>
          <w:szCs w:val="24"/>
          <w:lang w:val="da-DK"/>
        </w:rPr>
        <w:t>var ca. 70 mL/min.</w:t>
      </w:r>
    </w:p>
    <w:p w14:paraId="787CD569" w14:textId="77777777" w:rsidR="00DC6CAA" w:rsidRDefault="00DC6CAA" w:rsidP="000945FA">
      <w:pPr>
        <w:pStyle w:val="Brdtekst"/>
        <w:ind w:left="851" w:right="34"/>
        <w:rPr>
          <w:sz w:val="24"/>
          <w:szCs w:val="24"/>
          <w:lang w:val="da-DK"/>
        </w:rPr>
      </w:pPr>
    </w:p>
    <w:p w14:paraId="681406DE" w14:textId="77777777" w:rsidR="00DC6CAA" w:rsidRDefault="00DC6CAA" w:rsidP="000945FA">
      <w:pPr>
        <w:ind w:left="851" w:right="34"/>
        <w:rPr>
          <w:i/>
          <w:sz w:val="24"/>
          <w:szCs w:val="24"/>
        </w:rPr>
      </w:pPr>
      <w:r>
        <w:rPr>
          <w:i/>
          <w:sz w:val="24"/>
          <w:szCs w:val="24"/>
        </w:rPr>
        <w:t>Nedsat nyrefunktion</w:t>
      </w:r>
    </w:p>
    <w:p w14:paraId="635857E0" w14:textId="5701B6DE" w:rsidR="00DC6CAA" w:rsidRDefault="00DC6CAA" w:rsidP="000945FA">
      <w:pPr>
        <w:pStyle w:val="Brdtekst"/>
        <w:ind w:left="851" w:right="34"/>
        <w:rPr>
          <w:sz w:val="24"/>
          <w:szCs w:val="24"/>
          <w:lang w:val="da-DK"/>
        </w:rPr>
      </w:pPr>
      <w:r>
        <w:rPr>
          <w:sz w:val="24"/>
          <w:szCs w:val="24"/>
          <w:lang w:val="da-DK"/>
        </w:rPr>
        <w:t xml:space="preserve">Ved </w:t>
      </w:r>
      <w:r>
        <w:rPr>
          <w:i/>
          <w:sz w:val="24"/>
          <w:szCs w:val="24"/>
          <w:lang w:val="da-DK"/>
        </w:rPr>
        <w:t xml:space="preserve">steady state </w:t>
      </w:r>
      <w:r>
        <w:rPr>
          <w:sz w:val="24"/>
          <w:szCs w:val="24"/>
          <w:lang w:val="da-DK"/>
        </w:rPr>
        <w:t xml:space="preserve">var linagliptin-eksponeringen sammenlignelig hos patienter med let nedsat nyrefunktion og raske frivillige. Hos patienter med moderat nedsat nyrefunktion sås en moderat øget eksponering på ca. 1,7 gange sammenlignet med kontrolgruppen. Eksponeringen hos type 2-diabetes- patienter med svært nedsat nyrefunktion var ca. 1,4 gange højere sammenlignet med type 2-diabetes- patienter med normal nyrefunktion. Estimeret AUC ved </w:t>
      </w:r>
      <w:r>
        <w:rPr>
          <w:i/>
          <w:sz w:val="24"/>
          <w:szCs w:val="24"/>
          <w:lang w:val="da-DK"/>
        </w:rPr>
        <w:t xml:space="preserve">steady state </w:t>
      </w:r>
      <w:r>
        <w:rPr>
          <w:sz w:val="24"/>
          <w:szCs w:val="24"/>
          <w:lang w:val="da-DK"/>
        </w:rPr>
        <w:t xml:space="preserve">for linagliptin hos patienter med ESRD indikerede en eksponering, der svarede til eksponeringen hos patienter med moderat eller svært nedsat nyrefunktion. Linagliptin forventes desuden ikke at blive udskilt i en terapeutisk signifikant grad ved hæmodialyse eller peritonealdialyse. Det anbefales ikke at justere dosis af linagliptin hos patienter med nedsat nyrefunktion. Derfor kan behandling med linagliptin fortsætte i form af en enkelt tablet ved den samme totale daglige dosis på 5 mg, hvis behandling med </w:t>
      </w:r>
      <w:r w:rsidR="002B2434">
        <w:rPr>
          <w:sz w:val="24"/>
          <w:szCs w:val="24"/>
          <w:lang w:val="da-DK"/>
        </w:rPr>
        <w:t>Glymetia</w:t>
      </w:r>
      <w:r>
        <w:rPr>
          <w:sz w:val="24"/>
          <w:szCs w:val="24"/>
          <w:lang w:val="da-DK"/>
        </w:rPr>
        <w:t xml:space="preserve"> seponeres på grund af evidens for nedsat nyrefunktion.</w:t>
      </w:r>
    </w:p>
    <w:p w14:paraId="4F30156D" w14:textId="77777777" w:rsidR="00DC6CAA" w:rsidRDefault="00DC6CAA" w:rsidP="000945FA">
      <w:pPr>
        <w:pStyle w:val="Brdtekst"/>
        <w:ind w:left="851" w:right="32"/>
        <w:rPr>
          <w:sz w:val="24"/>
          <w:szCs w:val="24"/>
          <w:lang w:val="da-DK"/>
        </w:rPr>
      </w:pPr>
    </w:p>
    <w:p w14:paraId="02B2C367" w14:textId="77777777" w:rsidR="00DC6CAA" w:rsidRDefault="00DC6CAA" w:rsidP="000945FA">
      <w:pPr>
        <w:ind w:left="851" w:right="32"/>
        <w:rPr>
          <w:i/>
          <w:sz w:val="24"/>
          <w:szCs w:val="24"/>
        </w:rPr>
      </w:pPr>
      <w:r>
        <w:rPr>
          <w:i/>
          <w:sz w:val="24"/>
          <w:szCs w:val="24"/>
        </w:rPr>
        <w:t>Nedsat leverfunktion</w:t>
      </w:r>
    </w:p>
    <w:p w14:paraId="1EFF00DD" w14:textId="77777777" w:rsidR="00DC6CAA" w:rsidRPr="00175F05" w:rsidRDefault="00DC6CAA" w:rsidP="00175F05">
      <w:pPr>
        <w:ind w:left="851"/>
        <w:rPr>
          <w:sz w:val="24"/>
          <w:szCs w:val="24"/>
        </w:rPr>
      </w:pPr>
      <w:r w:rsidRPr="00175F05">
        <w:rPr>
          <w:sz w:val="24"/>
          <w:szCs w:val="24"/>
        </w:rPr>
        <w:t>Hos patienter med let, moderat og svært nedsat leverfunktion (i henhold til Child-Pugh- klassifikationen), var den gennemsnitlige AUC og C</w:t>
      </w:r>
      <w:r w:rsidRPr="00175F05">
        <w:rPr>
          <w:sz w:val="24"/>
          <w:szCs w:val="24"/>
          <w:vertAlign w:val="subscript"/>
        </w:rPr>
        <w:t>max</w:t>
      </w:r>
      <w:r w:rsidRPr="00175F05">
        <w:rPr>
          <w:sz w:val="24"/>
          <w:szCs w:val="24"/>
        </w:rPr>
        <w:t xml:space="preserve"> sammenlignelig med raske, matchende kontrolpersoner efter administration af gentagne doser af linagliptin 5 mg.</w:t>
      </w:r>
    </w:p>
    <w:p w14:paraId="37D0EBD7" w14:textId="77777777" w:rsidR="00DC6CAA" w:rsidRPr="00175F05" w:rsidRDefault="00DC6CAA" w:rsidP="00175F05">
      <w:pPr>
        <w:ind w:left="851"/>
        <w:rPr>
          <w:sz w:val="24"/>
          <w:szCs w:val="24"/>
        </w:rPr>
      </w:pPr>
    </w:p>
    <w:p w14:paraId="64F46182" w14:textId="77777777" w:rsidR="00DC6CAA" w:rsidRDefault="00DC6CAA" w:rsidP="000945FA">
      <w:pPr>
        <w:ind w:left="851" w:right="32"/>
        <w:rPr>
          <w:i/>
          <w:sz w:val="24"/>
          <w:szCs w:val="24"/>
        </w:rPr>
      </w:pPr>
      <w:r>
        <w:rPr>
          <w:i/>
          <w:sz w:val="24"/>
          <w:szCs w:val="24"/>
        </w:rPr>
        <w:t>Body Mass Index (BMI)</w:t>
      </w:r>
    </w:p>
    <w:p w14:paraId="0E4DA03B" w14:textId="77777777" w:rsidR="00DC6CAA" w:rsidRDefault="00DC6CAA" w:rsidP="000945FA">
      <w:pPr>
        <w:pStyle w:val="Brdtekst"/>
        <w:ind w:left="851" w:right="32"/>
        <w:rPr>
          <w:sz w:val="24"/>
          <w:szCs w:val="24"/>
          <w:lang w:val="da-DK"/>
        </w:rPr>
      </w:pPr>
      <w:r>
        <w:rPr>
          <w:sz w:val="24"/>
          <w:szCs w:val="24"/>
          <w:lang w:val="da-DK"/>
        </w:rPr>
        <w:t>Baseret på en farmakokinetisk populationsanalyse af fase I- og fase II-data, havde BMI ikke nogen klinisk relevant indvirkning på linagliptins farmakokinetik. De kliniske studier før markedsføringstilladelsen er gennemført hos personer med et BMI op til 40 kg/m</w:t>
      </w:r>
      <w:r>
        <w:rPr>
          <w:sz w:val="24"/>
          <w:szCs w:val="24"/>
          <w:vertAlign w:val="superscript"/>
          <w:lang w:val="da-DK"/>
        </w:rPr>
        <w:t>2</w:t>
      </w:r>
      <w:r>
        <w:rPr>
          <w:sz w:val="24"/>
          <w:szCs w:val="24"/>
          <w:lang w:val="da-DK"/>
        </w:rPr>
        <w:t>.</w:t>
      </w:r>
    </w:p>
    <w:p w14:paraId="5308AF67" w14:textId="77777777" w:rsidR="00DC6CAA" w:rsidRDefault="00DC6CAA" w:rsidP="000945FA">
      <w:pPr>
        <w:pStyle w:val="Brdtekst"/>
        <w:ind w:left="851" w:right="32"/>
        <w:rPr>
          <w:sz w:val="24"/>
          <w:szCs w:val="24"/>
          <w:lang w:val="da-DK"/>
        </w:rPr>
      </w:pPr>
    </w:p>
    <w:p w14:paraId="0F3DF68F" w14:textId="77777777" w:rsidR="00DC6CAA" w:rsidRDefault="00DC6CAA" w:rsidP="000945FA">
      <w:pPr>
        <w:ind w:left="851" w:right="32"/>
        <w:rPr>
          <w:i/>
          <w:sz w:val="24"/>
          <w:szCs w:val="24"/>
        </w:rPr>
      </w:pPr>
      <w:r>
        <w:rPr>
          <w:i/>
          <w:sz w:val="24"/>
          <w:szCs w:val="24"/>
        </w:rPr>
        <w:t>Køn</w:t>
      </w:r>
    </w:p>
    <w:p w14:paraId="57289441" w14:textId="77777777" w:rsidR="00DC6CAA" w:rsidRDefault="00DC6CAA" w:rsidP="000945FA">
      <w:pPr>
        <w:pStyle w:val="Brdtekst"/>
        <w:ind w:left="851" w:right="32"/>
        <w:rPr>
          <w:sz w:val="24"/>
          <w:szCs w:val="24"/>
          <w:lang w:val="da-DK"/>
        </w:rPr>
      </w:pPr>
      <w:r>
        <w:rPr>
          <w:sz w:val="24"/>
          <w:szCs w:val="24"/>
          <w:lang w:val="da-DK"/>
        </w:rPr>
        <w:t>Baseret på en farmakokinetisk populationsanalyse af fase I- og fase II-data, havde køn ikke nogen klinisk relevant indvirkning på linagliptins farmakokinetik.</w:t>
      </w:r>
    </w:p>
    <w:p w14:paraId="0E2FFC83" w14:textId="77777777" w:rsidR="00DC6CAA" w:rsidRDefault="00DC6CAA" w:rsidP="000945FA">
      <w:pPr>
        <w:pStyle w:val="Brdtekst"/>
        <w:ind w:left="851" w:right="32"/>
        <w:rPr>
          <w:sz w:val="24"/>
          <w:szCs w:val="24"/>
          <w:lang w:val="da-DK"/>
        </w:rPr>
      </w:pPr>
    </w:p>
    <w:p w14:paraId="1E7E1010" w14:textId="77777777" w:rsidR="00DC6CAA" w:rsidRDefault="00DC6CAA" w:rsidP="000945FA">
      <w:pPr>
        <w:ind w:left="851" w:right="32"/>
        <w:rPr>
          <w:i/>
          <w:sz w:val="24"/>
          <w:szCs w:val="24"/>
        </w:rPr>
      </w:pPr>
      <w:r>
        <w:rPr>
          <w:i/>
          <w:sz w:val="24"/>
          <w:szCs w:val="24"/>
        </w:rPr>
        <w:t>Ældre</w:t>
      </w:r>
    </w:p>
    <w:p w14:paraId="653AF919" w14:textId="1FB4D0B8" w:rsidR="00DC6CAA" w:rsidRDefault="00DC6CAA" w:rsidP="000945FA">
      <w:pPr>
        <w:pStyle w:val="Brdtekst"/>
        <w:ind w:left="851" w:right="32"/>
        <w:rPr>
          <w:sz w:val="24"/>
          <w:szCs w:val="24"/>
          <w:lang w:val="da-DK"/>
        </w:rPr>
      </w:pPr>
      <w:r>
        <w:rPr>
          <w:sz w:val="24"/>
          <w:szCs w:val="24"/>
          <w:lang w:val="da-DK"/>
        </w:rPr>
        <w:t xml:space="preserve">Baseret på en farmakokinetisk populationsanalyse af fase I- og fase II-data, havde alder ikke nogen klinisk relevant indflydelse på linagliptins farmakokinetik. Ældre (65 til 80 år, den ældste patient var 78 år) og yngre havde sammenlignelige plasmakoncentrationer af linagliptin. </w:t>
      </w:r>
      <w:r>
        <w:rPr>
          <w:i/>
          <w:sz w:val="24"/>
          <w:szCs w:val="24"/>
          <w:lang w:val="da-DK"/>
        </w:rPr>
        <w:t>Through</w:t>
      </w:r>
      <w:r>
        <w:rPr>
          <w:sz w:val="24"/>
          <w:szCs w:val="24"/>
          <w:lang w:val="da-DK"/>
        </w:rPr>
        <w:t>-værdien (minimum) af linagliptin blev også målt hos ældre (alder ≥</w:t>
      </w:r>
      <w:r w:rsidR="00C40540">
        <w:rPr>
          <w:sz w:val="24"/>
          <w:szCs w:val="24"/>
          <w:lang w:val="da-DK"/>
        </w:rPr>
        <w:t> </w:t>
      </w:r>
      <w:r>
        <w:rPr>
          <w:sz w:val="24"/>
          <w:szCs w:val="24"/>
          <w:lang w:val="da-DK"/>
        </w:rPr>
        <w:t>70 år) med type 2-diabetes i et 24 ugers fase III studie. Koncentrationen af linagliptin i dette studie var inden for samme interval, som tidligere set hos yngre type 2-diabetikere.</w:t>
      </w:r>
    </w:p>
    <w:p w14:paraId="22731245" w14:textId="77777777" w:rsidR="00DC6CAA" w:rsidRDefault="00DC6CAA" w:rsidP="000945FA">
      <w:pPr>
        <w:pStyle w:val="Brdtekst"/>
        <w:ind w:left="851" w:right="32"/>
        <w:rPr>
          <w:sz w:val="24"/>
          <w:szCs w:val="24"/>
          <w:lang w:val="da-DK"/>
        </w:rPr>
      </w:pPr>
    </w:p>
    <w:p w14:paraId="3390A0E8" w14:textId="77777777" w:rsidR="00DC6CAA" w:rsidRDefault="00DC6CAA" w:rsidP="000945FA">
      <w:pPr>
        <w:ind w:left="851" w:right="32"/>
        <w:rPr>
          <w:i/>
          <w:sz w:val="24"/>
          <w:szCs w:val="24"/>
        </w:rPr>
      </w:pPr>
      <w:r>
        <w:rPr>
          <w:i/>
          <w:sz w:val="24"/>
          <w:szCs w:val="24"/>
        </w:rPr>
        <w:t>Pædiatrisk population</w:t>
      </w:r>
    </w:p>
    <w:p w14:paraId="4E79B4D4" w14:textId="59F3BA84" w:rsidR="00DC6CAA" w:rsidRPr="002B2434" w:rsidRDefault="00DC6CAA" w:rsidP="00175F05">
      <w:pPr>
        <w:pStyle w:val="Brdtekst"/>
        <w:ind w:left="851" w:right="32"/>
        <w:rPr>
          <w:sz w:val="24"/>
          <w:szCs w:val="24"/>
          <w:lang w:val="da-DK"/>
        </w:rPr>
      </w:pPr>
      <w:r>
        <w:rPr>
          <w:sz w:val="24"/>
          <w:szCs w:val="24"/>
          <w:lang w:val="da-DK"/>
        </w:rPr>
        <w:t xml:space="preserve">Et pædiatrisk fase II-studie undersøgte farmakokinetikken og farmakodynamikken af 1 mg og 5 mg linagliptin hos børn og unge i alderen ≥ 10 til &lt; 18 år med type 2-diabetes mellitus. Det observerede farmakokinetiske og farmakodynamiske respons var i overensstemmelse med responset hos voksne personer. </w:t>
      </w:r>
      <w:r w:rsidRPr="00175F05">
        <w:rPr>
          <w:sz w:val="24"/>
          <w:szCs w:val="24"/>
          <w:lang w:val="da-DK"/>
        </w:rPr>
        <w:t>Linagliptin 5 mg var bedre end 1</w:t>
      </w:r>
      <w:r w:rsidR="000A5A14">
        <w:rPr>
          <w:sz w:val="24"/>
          <w:szCs w:val="24"/>
          <w:lang w:val="da-DK"/>
        </w:rPr>
        <w:t> </w:t>
      </w:r>
      <w:r w:rsidRPr="00175F05">
        <w:rPr>
          <w:sz w:val="24"/>
          <w:szCs w:val="24"/>
          <w:lang w:val="da-DK"/>
        </w:rPr>
        <w:t xml:space="preserve">mg hvad </w:t>
      </w:r>
      <w:r w:rsidRPr="00175F05">
        <w:rPr>
          <w:sz w:val="24"/>
          <w:szCs w:val="24"/>
          <w:lang w:val="da-DK"/>
        </w:rPr>
        <w:lastRenderedPageBreak/>
        <w:t>angår minimumsværdi for DPP-4-hæmning (72 % vs. 32 %, p = 0,0050) og der blev observeret en numerisk større reduktion hvad angår justeret gennemsnitlig ændring fra baseline i HbA</w:t>
      </w:r>
      <w:r w:rsidRPr="00175F05">
        <w:rPr>
          <w:sz w:val="24"/>
          <w:szCs w:val="24"/>
          <w:vertAlign w:val="subscript"/>
          <w:lang w:val="da-DK"/>
        </w:rPr>
        <w:t>1c</w:t>
      </w:r>
      <w:r w:rsidRPr="00175F05">
        <w:rPr>
          <w:sz w:val="24"/>
          <w:szCs w:val="24"/>
          <w:lang w:val="da-DK"/>
        </w:rPr>
        <w:t xml:space="preserve"> (-0,63 % vs. -0,48 %, ikke-signifikant). </w:t>
      </w:r>
      <w:r w:rsidRPr="002B2434">
        <w:rPr>
          <w:sz w:val="24"/>
          <w:szCs w:val="24"/>
          <w:lang w:val="da-DK"/>
        </w:rPr>
        <w:t>På grund af det begrænsede datasæt skal resultaterne fortolkes med forsigtighed.</w:t>
      </w:r>
    </w:p>
    <w:p w14:paraId="2E1B0CF9" w14:textId="77777777" w:rsidR="00DC6CAA" w:rsidRDefault="00DC6CAA" w:rsidP="000945FA">
      <w:pPr>
        <w:pStyle w:val="Brdtekst"/>
        <w:ind w:left="851" w:right="32"/>
        <w:rPr>
          <w:sz w:val="24"/>
          <w:szCs w:val="24"/>
          <w:lang w:val="da-DK"/>
        </w:rPr>
      </w:pPr>
    </w:p>
    <w:p w14:paraId="5ECD6BC5" w14:textId="08D9149B" w:rsidR="00DC6CAA" w:rsidRPr="00C3612A" w:rsidRDefault="00DC6CAA" w:rsidP="00C3612A">
      <w:pPr>
        <w:pStyle w:val="Brdtekst"/>
        <w:ind w:left="851" w:right="32"/>
        <w:rPr>
          <w:sz w:val="24"/>
          <w:szCs w:val="24"/>
          <w:lang w:val="da-DK"/>
        </w:rPr>
      </w:pPr>
      <w:r>
        <w:rPr>
          <w:sz w:val="24"/>
          <w:szCs w:val="24"/>
          <w:lang w:val="da-DK"/>
        </w:rPr>
        <w:t>Et pædiatrisk fase 3-studie undersøgte farmakokinetikken og farmakodynamikken (HbA</w:t>
      </w:r>
      <w:r w:rsidRPr="00C3612A">
        <w:rPr>
          <w:sz w:val="24"/>
          <w:szCs w:val="24"/>
          <w:vertAlign w:val="subscript"/>
          <w:lang w:val="da-DK"/>
        </w:rPr>
        <w:t>1c</w:t>
      </w:r>
      <w:r>
        <w:rPr>
          <w:sz w:val="24"/>
          <w:szCs w:val="24"/>
          <w:lang w:val="da-DK"/>
        </w:rPr>
        <w:t xml:space="preserve">-ændring fra </w:t>
      </w:r>
      <w:r>
        <w:rPr>
          <w:i/>
          <w:sz w:val="24"/>
          <w:szCs w:val="24"/>
          <w:lang w:val="da-DK"/>
        </w:rPr>
        <w:t>baseline</w:t>
      </w:r>
      <w:r>
        <w:rPr>
          <w:sz w:val="24"/>
          <w:szCs w:val="24"/>
          <w:lang w:val="da-DK"/>
        </w:rPr>
        <w:t xml:space="preserve">) af 5 mg linagliptin hos børn og unge i alderen 10 til 17 år med type 2-diabetes mellitus. Det observerede eksponering/respons-forhold var generelt sammenligneligt mellem pædiatriske og voksne patienter, dog med en mindre estimeret lægemiddelvirkning hos børn. Oral administration af linagliptin førte til eksponering inden for det observerede interval hos voksne patienter. </w:t>
      </w:r>
      <w:r w:rsidRPr="00C3612A">
        <w:rPr>
          <w:sz w:val="24"/>
          <w:szCs w:val="24"/>
          <w:lang w:val="da-DK"/>
        </w:rPr>
        <w:t>De observerede geometriske gennemsnitlige minimumskoncentrationer og geometriske gennemsnitskoncentrationer 1,5 timer efter administration (hvilket udgør en koncentration omkring T</w:t>
      </w:r>
      <w:r w:rsidRPr="00C3612A">
        <w:rPr>
          <w:sz w:val="24"/>
          <w:szCs w:val="24"/>
          <w:vertAlign w:val="subscript"/>
          <w:lang w:val="da-DK"/>
        </w:rPr>
        <w:t>max</w:t>
      </w:r>
      <w:r w:rsidRPr="00C3612A">
        <w:rPr>
          <w:sz w:val="24"/>
          <w:szCs w:val="24"/>
          <w:lang w:val="da-DK"/>
        </w:rPr>
        <w:t xml:space="preserve">) ved </w:t>
      </w:r>
      <w:r w:rsidRPr="00C3612A">
        <w:rPr>
          <w:i/>
          <w:sz w:val="24"/>
          <w:szCs w:val="24"/>
          <w:lang w:val="da-DK"/>
        </w:rPr>
        <w:t>steady state</w:t>
      </w:r>
      <w:r w:rsidRPr="00C3612A">
        <w:rPr>
          <w:sz w:val="24"/>
          <w:szCs w:val="24"/>
          <w:lang w:val="da-DK"/>
        </w:rPr>
        <w:t xml:space="preserve"> var hhv. 4,30</w:t>
      </w:r>
      <w:r w:rsidR="00C40540">
        <w:rPr>
          <w:sz w:val="24"/>
          <w:szCs w:val="24"/>
          <w:lang w:val="da-DK"/>
        </w:rPr>
        <w:t> </w:t>
      </w:r>
      <w:r w:rsidRPr="00C3612A">
        <w:rPr>
          <w:sz w:val="24"/>
          <w:szCs w:val="24"/>
          <w:lang w:val="da-DK"/>
        </w:rPr>
        <w:t>nmol/l og 12,6 nmol/l. Tilsvarende plasmakoncentrationer hos voksne patienter var 6,04 nmol/l og 15,1 nmol/l.</w:t>
      </w:r>
    </w:p>
    <w:p w14:paraId="09AC5111" w14:textId="77777777" w:rsidR="00DC6CAA" w:rsidRDefault="00DC6CAA" w:rsidP="000945FA">
      <w:pPr>
        <w:pStyle w:val="Brdtekst"/>
        <w:ind w:left="851" w:right="32"/>
        <w:rPr>
          <w:sz w:val="24"/>
          <w:szCs w:val="24"/>
          <w:lang w:val="da-DK"/>
        </w:rPr>
      </w:pPr>
    </w:p>
    <w:p w14:paraId="32AEAD41" w14:textId="77777777" w:rsidR="00DC6CAA" w:rsidRDefault="00DC6CAA" w:rsidP="000945FA">
      <w:pPr>
        <w:ind w:left="851" w:right="32"/>
        <w:rPr>
          <w:i/>
          <w:sz w:val="24"/>
          <w:szCs w:val="24"/>
        </w:rPr>
      </w:pPr>
      <w:r>
        <w:rPr>
          <w:i/>
          <w:sz w:val="24"/>
          <w:szCs w:val="24"/>
        </w:rPr>
        <w:t>Etnisk oprindelse</w:t>
      </w:r>
    </w:p>
    <w:p w14:paraId="7239534D" w14:textId="77777777" w:rsidR="00DC6CAA" w:rsidRDefault="00DC6CAA" w:rsidP="000945FA">
      <w:pPr>
        <w:pStyle w:val="Brdtekst"/>
        <w:ind w:left="851" w:right="32"/>
        <w:rPr>
          <w:sz w:val="24"/>
          <w:szCs w:val="24"/>
          <w:lang w:val="da-DK"/>
        </w:rPr>
      </w:pPr>
      <w:r>
        <w:rPr>
          <w:sz w:val="24"/>
          <w:szCs w:val="24"/>
          <w:lang w:val="da-DK"/>
        </w:rPr>
        <w:t>Baseret på en sammensat analyse af tilgængelige farmakokinetiske data, herunder patienter af kaukasisk, latinamerikansk, afrikansk og asiatisk oprindelse fandtes, at etnisk oprindelse ikke havde tydelig indvirkning på plasmakoncentrationerne af linagliptin</w:t>
      </w:r>
      <w:r>
        <w:rPr>
          <w:i/>
          <w:sz w:val="24"/>
          <w:szCs w:val="24"/>
          <w:lang w:val="da-DK"/>
        </w:rPr>
        <w:t xml:space="preserve">. </w:t>
      </w:r>
      <w:r>
        <w:rPr>
          <w:sz w:val="24"/>
          <w:szCs w:val="24"/>
          <w:lang w:val="da-DK"/>
        </w:rPr>
        <w:t>Desuden fandt man i fase I-studier, at linagliptins farmakokinetiske karakteristika var sammenlignelig hos japanske, kinesiske og kaukasiske raske frivillige og afroamerikanske type 2-diabetes-patienter.</w:t>
      </w:r>
    </w:p>
    <w:p w14:paraId="1C3DB61F" w14:textId="77777777" w:rsidR="00DC6CAA" w:rsidRDefault="00DC6CAA" w:rsidP="000945FA">
      <w:pPr>
        <w:pStyle w:val="Brdtekst"/>
        <w:ind w:left="851" w:right="32"/>
        <w:rPr>
          <w:sz w:val="24"/>
          <w:szCs w:val="24"/>
          <w:lang w:val="da-DK"/>
        </w:rPr>
      </w:pPr>
    </w:p>
    <w:p w14:paraId="06809490" w14:textId="77777777" w:rsidR="00DC6CAA" w:rsidRDefault="00DC6CAA" w:rsidP="000945FA">
      <w:pPr>
        <w:pStyle w:val="Brdtekst"/>
        <w:ind w:left="851" w:right="32"/>
        <w:rPr>
          <w:sz w:val="24"/>
          <w:szCs w:val="24"/>
          <w:lang w:val="da-DK"/>
        </w:rPr>
      </w:pPr>
      <w:r>
        <w:rPr>
          <w:sz w:val="24"/>
          <w:szCs w:val="24"/>
          <w:u w:val="single"/>
          <w:lang w:val="da-DK"/>
        </w:rPr>
        <w:t>Metformin</w:t>
      </w:r>
    </w:p>
    <w:p w14:paraId="0DD00EDD" w14:textId="77777777" w:rsidR="00DC6CAA" w:rsidRDefault="00DC6CAA" w:rsidP="000945FA">
      <w:pPr>
        <w:ind w:left="851" w:right="32"/>
        <w:rPr>
          <w:i/>
          <w:sz w:val="24"/>
          <w:szCs w:val="24"/>
        </w:rPr>
      </w:pPr>
      <w:r>
        <w:rPr>
          <w:i/>
          <w:sz w:val="24"/>
          <w:szCs w:val="24"/>
        </w:rPr>
        <w:t>Absorption</w:t>
      </w:r>
    </w:p>
    <w:p w14:paraId="01D6F0C2" w14:textId="77777777" w:rsidR="00DC6CAA" w:rsidRPr="00C3612A" w:rsidRDefault="00DC6CAA" w:rsidP="00C3612A">
      <w:pPr>
        <w:ind w:left="851"/>
        <w:rPr>
          <w:sz w:val="24"/>
          <w:szCs w:val="24"/>
        </w:rPr>
      </w:pPr>
      <w:r w:rsidRPr="00C3612A">
        <w:rPr>
          <w:sz w:val="24"/>
          <w:szCs w:val="24"/>
        </w:rPr>
        <w:t>Efter en oral dosis metformin nås T</w:t>
      </w:r>
      <w:r w:rsidRPr="00C3612A">
        <w:rPr>
          <w:sz w:val="24"/>
          <w:szCs w:val="24"/>
          <w:vertAlign w:val="subscript"/>
        </w:rPr>
        <w:t>max</w:t>
      </w:r>
      <w:r w:rsidRPr="00C3612A">
        <w:rPr>
          <w:sz w:val="24"/>
          <w:szCs w:val="24"/>
        </w:rPr>
        <w:t xml:space="preserve"> efter 2,5 timer. Den absolutte biotilgængelighed af en 500 mg eller 850 mg metforminhydrochloridtablet er ca. 50-60 % hos raske frivillige. Efter en oral dosis var den ikke-absorberede fraktion i fæces 20-30 %.</w:t>
      </w:r>
    </w:p>
    <w:p w14:paraId="2DDEE5FE" w14:textId="77777777" w:rsidR="00DC6CAA" w:rsidRPr="00C3612A" w:rsidRDefault="00DC6CAA" w:rsidP="00C3612A">
      <w:pPr>
        <w:ind w:left="851"/>
        <w:rPr>
          <w:sz w:val="24"/>
          <w:szCs w:val="24"/>
        </w:rPr>
      </w:pPr>
    </w:p>
    <w:p w14:paraId="5B2A1EDC" w14:textId="77777777" w:rsidR="00DC6CAA" w:rsidRDefault="00DC6CAA" w:rsidP="000945FA">
      <w:pPr>
        <w:pStyle w:val="Brdtekst"/>
        <w:ind w:left="851" w:right="32"/>
        <w:rPr>
          <w:sz w:val="24"/>
          <w:szCs w:val="24"/>
          <w:lang w:val="da-DK"/>
        </w:rPr>
      </w:pPr>
      <w:r>
        <w:rPr>
          <w:sz w:val="24"/>
          <w:szCs w:val="24"/>
          <w:lang w:val="da-DK"/>
        </w:rPr>
        <w:t>Efter oral administration er absorptionen af metforminhydrochlorid mætbar og ufuldstændig. Det antages, at farmakokinetikken for absorption af metforminhydrochlorid er non-lineær.</w:t>
      </w:r>
    </w:p>
    <w:p w14:paraId="79EEC9BE" w14:textId="77777777" w:rsidR="00DC6CAA" w:rsidRDefault="00DC6CAA" w:rsidP="000945FA">
      <w:pPr>
        <w:pStyle w:val="Brdtekst"/>
        <w:ind w:left="851" w:right="32"/>
        <w:rPr>
          <w:sz w:val="24"/>
          <w:szCs w:val="24"/>
          <w:lang w:val="da-DK"/>
        </w:rPr>
      </w:pPr>
    </w:p>
    <w:p w14:paraId="58BE6679" w14:textId="77777777" w:rsidR="00DC6CAA" w:rsidRPr="00C3612A" w:rsidRDefault="00DC6CAA" w:rsidP="00C3612A">
      <w:pPr>
        <w:ind w:left="851"/>
        <w:rPr>
          <w:sz w:val="24"/>
          <w:szCs w:val="24"/>
        </w:rPr>
      </w:pPr>
      <w:r w:rsidRPr="00C3612A">
        <w:rPr>
          <w:sz w:val="24"/>
          <w:szCs w:val="24"/>
        </w:rPr>
        <w:t>Ved de anbefalede metforminhydrochloriddoser og doseringsregimer nås steady state plasmakoncentrationer inden for 24-48 timer og er generelt under 1 mikrogram/mL. I kontrollerede kliniske studier oversteg metforminhydrochlorids maksimale plasmakoncentrationer (C</w:t>
      </w:r>
      <w:r w:rsidRPr="00C3612A">
        <w:rPr>
          <w:sz w:val="24"/>
          <w:szCs w:val="24"/>
          <w:vertAlign w:val="subscript"/>
        </w:rPr>
        <w:t>max</w:t>
      </w:r>
      <w:r w:rsidRPr="00C3612A">
        <w:rPr>
          <w:sz w:val="24"/>
          <w:szCs w:val="24"/>
        </w:rPr>
        <w:t>) ikke 5 mikrogram/mL, selv ved maksimale doser.</w:t>
      </w:r>
    </w:p>
    <w:p w14:paraId="1B6E11E4" w14:textId="77777777" w:rsidR="00DC6CAA" w:rsidRPr="00C3612A" w:rsidRDefault="00DC6CAA" w:rsidP="00C3612A">
      <w:pPr>
        <w:ind w:left="851"/>
        <w:rPr>
          <w:sz w:val="24"/>
          <w:szCs w:val="24"/>
        </w:rPr>
      </w:pPr>
    </w:p>
    <w:p w14:paraId="68B11AD0" w14:textId="77777777" w:rsidR="00DC6CAA" w:rsidRDefault="00DC6CAA" w:rsidP="000945FA">
      <w:pPr>
        <w:pStyle w:val="Brdtekst"/>
        <w:ind w:left="851" w:right="32"/>
        <w:rPr>
          <w:sz w:val="24"/>
          <w:szCs w:val="24"/>
          <w:lang w:val="da-DK"/>
        </w:rPr>
      </w:pPr>
      <w:r>
        <w:rPr>
          <w:sz w:val="24"/>
          <w:szCs w:val="24"/>
          <w:lang w:val="da-DK"/>
        </w:rPr>
        <w:t>Mad mindsker graden af og forsinker i mindre omfang absorptionen af metforminhydrochlorid. Efter administration af en dosis på 850 mg blev der observeret en 40 % lavere maksimal plasmakoncentration, 25 % fald i AUC (areal under kurven) og en forlængelse af tiden til maksimal plasmakoncentration på 35 minutter. Den kliniske relevans af disse fald kendes ikke.</w:t>
      </w:r>
    </w:p>
    <w:p w14:paraId="6D5E863C" w14:textId="77777777" w:rsidR="00DC6CAA" w:rsidRDefault="00DC6CAA" w:rsidP="000945FA">
      <w:pPr>
        <w:pStyle w:val="Brdtekst"/>
        <w:ind w:left="851" w:right="32"/>
        <w:rPr>
          <w:sz w:val="24"/>
          <w:szCs w:val="24"/>
          <w:lang w:val="da-DK"/>
        </w:rPr>
      </w:pPr>
    </w:p>
    <w:p w14:paraId="5E50A27B" w14:textId="77777777" w:rsidR="00DC6CAA" w:rsidRDefault="00DC6CAA" w:rsidP="000945FA">
      <w:pPr>
        <w:ind w:left="851" w:right="32"/>
        <w:rPr>
          <w:i/>
          <w:sz w:val="24"/>
          <w:szCs w:val="24"/>
        </w:rPr>
      </w:pPr>
      <w:r>
        <w:rPr>
          <w:i/>
          <w:sz w:val="24"/>
          <w:szCs w:val="24"/>
        </w:rPr>
        <w:t>Fordeling</w:t>
      </w:r>
    </w:p>
    <w:p w14:paraId="56763E18" w14:textId="77777777" w:rsidR="00DC6CAA" w:rsidRDefault="00DC6CAA" w:rsidP="000945FA">
      <w:pPr>
        <w:pStyle w:val="Brdtekst"/>
        <w:ind w:left="851" w:right="32"/>
        <w:rPr>
          <w:sz w:val="24"/>
          <w:szCs w:val="24"/>
          <w:lang w:val="da-DK"/>
        </w:rPr>
      </w:pPr>
      <w:r>
        <w:rPr>
          <w:sz w:val="24"/>
          <w:szCs w:val="24"/>
          <w:lang w:val="da-DK"/>
        </w:rPr>
        <w:t>Plasmaproteinbindingen er ubetydelig. Metforminhydrochlorid fordeler sig i erytrocytter. Maksimum for blod er lavere end maksimum for plasma og fremkommer på ca. samme tidspunkt. De røde blodlegemer udgør sandsynligvis et sekundært fordelingsrum. Det gennemsnitlige fordelingsvolumen (Vd) lå på 63-276 L.</w:t>
      </w:r>
    </w:p>
    <w:p w14:paraId="113910C3" w14:textId="77777777" w:rsidR="00DC6CAA" w:rsidRDefault="00DC6CAA" w:rsidP="000945FA">
      <w:pPr>
        <w:pStyle w:val="Brdtekst"/>
        <w:ind w:left="851" w:right="32"/>
        <w:rPr>
          <w:sz w:val="24"/>
          <w:szCs w:val="24"/>
          <w:lang w:val="da-DK"/>
        </w:rPr>
      </w:pPr>
    </w:p>
    <w:p w14:paraId="5544CDD9" w14:textId="77777777" w:rsidR="00DC6CAA" w:rsidRDefault="00DC6CAA" w:rsidP="000945FA">
      <w:pPr>
        <w:ind w:left="851" w:right="32"/>
        <w:rPr>
          <w:i/>
          <w:sz w:val="24"/>
          <w:szCs w:val="24"/>
        </w:rPr>
      </w:pPr>
      <w:r>
        <w:rPr>
          <w:i/>
          <w:sz w:val="24"/>
          <w:szCs w:val="24"/>
        </w:rPr>
        <w:lastRenderedPageBreak/>
        <w:t>Biotransformation</w:t>
      </w:r>
    </w:p>
    <w:p w14:paraId="4B99E2D6" w14:textId="77777777" w:rsidR="00DC6CAA" w:rsidRDefault="00DC6CAA" w:rsidP="000945FA">
      <w:pPr>
        <w:pStyle w:val="Brdtekst"/>
        <w:ind w:left="851" w:right="32"/>
        <w:rPr>
          <w:sz w:val="24"/>
          <w:szCs w:val="24"/>
          <w:lang w:val="da-DK"/>
        </w:rPr>
      </w:pPr>
      <w:r>
        <w:rPr>
          <w:sz w:val="24"/>
          <w:szCs w:val="24"/>
          <w:lang w:val="da-DK"/>
        </w:rPr>
        <w:t>Metforminhydrochlorid udskilles uændret i urinen. Der er ikke fundet metabolitter hos mennesker.</w:t>
      </w:r>
    </w:p>
    <w:p w14:paraId="699FFFE2" w14:textId="77777777" w:rsidR="00DC6CAA" w:rsidRDefault="00DC6CAA" w:rsidP="000945FA">
      <w:pPr>
        <w:pStyle w:val="Brdtekst"/>
        <w:ind w:left="851" w:right="32"/>
        <w:rPr>
          <w:sz w:val="24"/>
          <w:szCs w:val="24"/>
          <w:lang w:val="da-DK"/>
        </w:rPr>
      </w:pPr>
    </w:p>
    <w:p w14:paraId="3A2880A1" w14:textId="77777777" w:rsidR="00DC6CAA" w:rsidRDefault="00DC6CAA" w:rsidP="000945FA">
      <w:pPr>
        <w:ind w:left="851" w:right="32"/>
        <w:rPr>
          <w:i/>
          <w:sz w:val="24"/>
          <w:szCs w:val="24"/>
        </w:rPr>
      </w:pPr>
      <w:r>
        <w:rPr>
          <w:i/>
          <w:sz w:val="24"/>
          <w:szCs w:val="24"/>
        </w:rPr>
        <w:t>Elimination</w:t>
      </w:r>
    </w:p>
    <w:p w14:paraId="3EDB802C" w14:textId="77777777" w:rsidR="00DC6CAA" w:rsidRDefault="00DC6CAA" w:rsidP="000945FA">
      <w:pPr>
        <w:pStyle w:val="Brdtekst"/>
        <w:ind w:left="851" w:right="32"/>
        <w:rPr>
          <w:sz w:val="24"/>
          <w:szCs w:val="24"/>
          <w:lang w:val="da-DK"/>
        </w:rPr>
      </w:pPr>
      <w:r>
        <w:rPr>
          <w:sz w:val="24"/>
          <w:szCs w:val="24"/>
          <w:lang w:val="da-DK"/>
        </w:rPr>
        <w:t>Den renale clearence for metforminhydrochlorid er &gt; 400 mL/min, hvilket tyder på, at metforminhydrochlorid elimineres ved glomerulær filtration og tubulær sekretion. Efter en oral dosis er den tilsyneladende, terminale eliminationshalveringstid ca. 6,5 timer.</w:t>
      </w:r>
    </w:p>
    <w:p w14:paraId="05D0F01B" w14:textId="77777777" w:rsidR="00DC6CAA" w:rsidRDefault="00DC6CAA" w:rsidP="000945FA">
      <w:pPr>
        <w:pStyle w:val="Brdtekst"/>
        <w:ind w:left="851" w:right="32"/>
        <w:rPr>
          <w:sz w:val="24"/>
          <w:szCs w:val="24"/>
          <w:lang w:val="da-DK"/>
        </w:rPr>
      </w:pPr>
      <w:r>
        <w:rPr>
          <w:sz w:val="24"/>
          <w:szCs w:val="24"/>
          <w:lang w:val="da-DK"/>
        </w:rPr>
        <w:t>Når nyrefunktionen er nedsat, er den renale clearance nedsat i forhold til kreatinins, og derfor er halveringstiden for elimination forlænget, hvilket fører til øgede niveauer af metforminhydrochlorid i plasma.</w:t>
      </w:r>
    </w:p>
    <w:p w14:paraId="3B97E04D" w14:textId="77777777" w:rsidR="00DC6CAA" w:rsidRDefault="00DC6CAA" w:rsidP="000945FA">
      <w:pPr>
        <w:pStyle w:val="Brdtekst"/>
        <w:ind w:left="851" w:right="32"/>
        <w:rPr>
          <w:sz w:val="24"/>
          <w:szCs w:val="24"/>
          <w:lang w:val="da-DK"/>
        </w:rPr>
      </w:pPr>
    </w:p>
    <w:p w14:paraId="4C84AF0E" w14:textId="77777777" w:rsidR="00DC6CAA" w:rsidRDefault="00DC6CAA" w:rsidP="000945FA">
      <w:pPr>
        <w:ind w:left="851" w:right="32"/>
        <w:rPr>
          <w:i/>
          <w:sz w:val="24"/>
          <w:szCs w:val="24"/>
        </w:rPr>
      </w:pPr>
      <w:r>
        <w:rPr>
          <w:i/>
          <w:sz w:val="24"/>
          <w:szCs w:val="24"/>
        </w:rPr>
        <w:t>Pædiatrisk population</w:t>
      </w:r>
    </w:p>
    <w:p w14:paraId="193C980F" w14:textId="77777777" w:rsidR="00DC6CAA" w:rsidRDefault="00DC6CAA" w:rsidP="000945FA">
      <w:pPr>
        <w:pStyle w:val="Brdtekst"/>
        <w:ind w:left="851" w:right="32"/>
        <w:rPr>
          <w:sz w:val="24"/>
          <w:szCs w:val="24"/>
          <w:lang w:val="da-DK"/>
        </w:rPr>
      </w:pPr>
      <w:r>
        <w:rPr>
          <w:sz w:val="24"/>
          <w:szCs w:val="24"/>
          <w:lang w:val="da-DK"/>
        </w:rPr>
        <w:t>Enkeltdosisstudie: Efter administration af enkeltdoser på 500 mg metforminhydrochlorid, har pædiatriske patienter fremvist den samme farmakokinetiske profil som den, der er observeret hos raske voksne.</w:t>
      </w:r>
    </w:p>
    <w:p w14:paraId="44A24779" w14:textId="77777777" w:rsidR="00DC6CAA" w:rsidRDefault="00DC6CAA" w:rsidP="000945FA">
      <w:pPr>
        <w:pStyle w:val="Brdtekst"/>
        <w:ind w:left="851" w:right="32"/>
        <w:rPr>
          <w:sz w:val="24"/>
          <w:szCs w:val="24"/>
          <w:lang w:val="da-DK"/>
        </w:rPr>
      </w:pPr>
    </w:p>
    <w:p w14:paraId="209CC680" w14:textId="77777777" w:rsidR="00DC6CAA" w:rsidRPr="00C3612A" w:rsidRDefault="00DC6CAA" w:rsidP="00C3612A">
      <w:pPr>
        <w:ind w:left="851"/>
        <w:rPr>
          <w:sz w:val="24"/>
          <w:szCs w:val="24"/>
        </w:rPr>
      </w:pPr>
      <w:r w:rsidRPr="00C3612A">
        <w:rPr>
          <w:sz w:val="24"/>
          <w:szCs w:val="24"/>
        </w:rPr>
        <w:t>Flerdosisstudie: Data er begrænset til ét studie. Efter gentagne doser af 500 mg 2 gange dagligt i 7 dage hos pædiatriske patienter var den maksimale plasmakoncentration (C</w:t>
      </w:r>
      <w:r w:rsidRPr="00C3612A">
        <w:rPr>
          <w:sz w:val="24"/>
          <w:szCs w:val="24"/>
          <w:vertAlign w:val="subscript"/>
        </w:rPr>
        <w:t>max</w:t>
      </w:r>
      <w:r w:rsidRPr="00C3612A">
        <w:rPr>
          <w:sz w:val="24"/>
          <w:szCs w:val="24"/>
        </w:rPr>
        <w:t>), og systemisk eksponering (AUC</w:t>
      </w:r>
      <w:r w:rsidRPr="00C3612A">
        <w:rPr>
          <w:sz w:val="24"/>
          <w:szCs w:val="24"/>
          <w:vertAlign w:val="subscript"/>
        </w:rPr>
        <w:t>0-t</w:t>
      </w:r>
      <w:r w:rsidRPr="00C3612A">
        <w:rPr>
          <w:sz w:val="24"/>
          <w:szCs w:val="24"/>
        </w:rPr>
        <w:t>) reduceret med henholdsvis ca. 33 % og 40 % sammenlignet med voksne diabetikere, der fik gentagne doser af 500 mg 2 gange dagligt i 14 dage. Dette er af begrænset klinisk relevans, da doseringen titreres individuelt, baseret på glykæmisk kontrol.</w:t>
      </w:r>
    </w:p>
    <w:p w14:paraId="05358219" w14:textId="77777777" w:rsidR="009260DE" w:rsidRPr="00C84483" w:rsidRDefault="009260DE" w:rsidP="009260DE">
      <w:pPr>
        <w:tabs>
          <w:tab w:val="left" w:pos="851"/>
        </w:tabs>
        <w:ind w:left="851"/>
        <w:rPr>
          <w:sz w:val="24"/>
          <w:szCs w:val="24"/>
        </w:rPr>
      </w:pPr>
    </w:p>
    <w:p w14:paraId="70CCBA9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F1F917D" w14:textId="77777777" w:rsidR="00C3612A" w:rsidRDefault="00C3612A" w:rsidP="000945FA">
      <w:pPr>
        <w:pStyle w:val="Brdtekst"/>
        <w:ind w:left="851"/>
        <w:rPr>
          <w:sz w:val="24"/>
          <w:szCs w:val="24"/>
          <w:u w:val="single"/>
          <w:lang w:val="da-DK"/>
        </w:rPr>
      </w:pPr>
    </w:p>
    <w:p w14:paraId="778BF060" w14:textId="2C3F9ABA" w:rsidR="00DC6CAA" w:rsidRDefault="00DC6CAA" w:rsidP="000945FA">
      <w:pPr>
        <w:pStyle w:val="Brdtekst"/>
        <w:ind w:left="851"/>
        <w:rPr>
          <w:sz w:val="24"/>
          <w:szCs w:val="24"/>
          <w:lang w:val="da-DK"/>
        </w:rPr>
      </w:pPr>
      <w:r>
        <w:rPr>
          <w:sz w:val="24"/>
          <w:szCs w:val="24"/>
          <w:u w:val="single"/>
          <w:lang w:val="da-DK"/>
        </w:rPr>
        <w:t>Linagliptin plus metformin</w:t>
      </w:r>
    </w:p>
    <w:p w14:paraId="4E918810" w14:textId="77777777" w:rsidR="00DC6CAA" w:rsidRDefault="00DC6CAA" w:rsidP="000945FA">
      <w:pPr>
        <w:pStyle w:val="Brdtekst"/>
        <w:ind w:left="851"/>
        <w:rPr>
          <w:sz w:val="24"/>
          <w:szCs w:val="24"/>
          <w:lang w:val="da-DK"/>
        </w:rPr>
      </w:pPr>
      <w:r>
        <w:rPr>
          <w:sz w:val="24"/>
          <w:szCs w:val="24"/>
          <w:lang w:val="da-DK"/>
        </w:rPr>
        <w:t>Generelle toksikologiske studier i rotter, der varede op til 13 uger, blev udført med samtidig administration af linagliptin og metformin. Den eneste observerede interaktion mellem linagliptin og metformin var, at kropsvægten ikke steg i samme grad. Ved AUC-eksponeringsniveauer op til henholdsvis 2 og 23 gange human eksponering, blev der ikke observeret anden additiv toksicitet forårsaget af kombinationen af linagliptin og metformin.</w:t>
      </w:r>
    </w:p>
    <w:p w14:paraId="401DAAF3" w14:textId="77777777" w:rsidR="00DC6CAA" w:rsidRDefault="00DC6CAA" w:rsidP="000945FA">
      <w:pPr>
        <w:pStyle w:val="Brdtekst"/>
        <w:ind w:left="851"/>
        <w:rPr>
          <w:sz w:val="24"/>
          <w:szCs w:val="24"/>
          <w:lang w:val="da-DK"/>
        </w:rPr>
      </w:pPr>
    </w:p>
    <w:p w14:paraId="4D33FDA6" w14:textId="77777777" w:rsidR="00DC6CAA" w:rsidRDefault="00DC6CAA" w:rsidP="000945FA">
      <w:pPr>
        <w:pStyle w:val="Brdtekst"/>
        <w:ind w:left="851"/>
        <w:rPr>
          <w:sz w:val="24"/>
          <w:szCs w:val="24"/>
          <w:lang w:val="da-DK"/>
        </w:rPr>
      </w:pPr>
      <w:r>
        <w:rPr>
          <w:sz w:val="24"/>
          <w:szCs w:val="24"/>
          <w:lang w:val="da-DK"/>
        </w:rPr>
        <w:t>Et embryo-føtalt udviklingsstudie i drægtige rotter indikerede ingen forekomst af en teratogen virkning, der kan tilskrives samtidig administration af linagliptin og metformin ved AUC- eksponeringsniveauer op til henholdsvis 4 og 30 gange human eksponering.</w:t>
      </w:r>
    </w:p>
    <w:p w14:paraId="5E96AD2F" w14:textId="77777777" w:rsidR="00DC6CAA" w:rsidRDefault="00DC6CAA" w:rsidP="000945FA">
      <w:pPr>
        <w:pStyle w:val="Brdtekst"/>
        <w:ind w:left="851"/>
        <w:rPr>
          <w:sz w:val="24"/>
          <w:szCs w:val="24"/>
          <w:lang w:val="da-DK"/>
        </w:rPr>
      </w:pPr>
    </w:p>
    <w:p w14:paraId="557EC2C8" w14:textId="77777777" w:rsidR="00DC6CAA" w:rsidRDefault="00DC6CAA" w:rsidP="000945FA">
      <w:pPr>
        <w:pStyle w:val="Brdtekst"/>
        <w:ind w:left="851"/>
        <w:rPr>
          <w:sz w:val="24"/>
          <w:szCs w:val="24"/>
          <w:lang w:val="da-DK"/>
        </w:rPr>
      </w:pPr>
      <w:r>
        <w:rPr>
          <w:sz w:val="24"/>
          <w:szCs w:val="24"/>
          <w:u w:val="single"/>
          <w:lang w:val="da-DK"/>
        </w:rPr>
        <w:t>Linagliptin</w:t>
      </w:r>
    </w:p>
    <w:p w14:paraId="7B036345" w14:textId="77777777" w:rsidR="00DC6CAA" w:rsidRDefault="00DC6CAA" w:rsidP="000945FA">
      <w:pPr>
        <w:pStyle w:val="Brdtekst"/>
        <w:ind w:left="851"/>
        <w:rPr>
          <w:sz w:val="24"/>
          <w:szCs w:val="24"/>
          <w:lang w:val="da-DK"/>
        </w:rPr>
      </w:pPr>
      <w:r>
        <w:rPr>
          <w:sz w:val="24"/>
          <w:szCs w:val="24"/>
          <w:lang w:val="da-DK"/>
        </w:rPr>
        <w:t>Lever, nyrer og mave-tarm-kanalen var de primære målorganer for toksisk påvirkning hos mus og rotter ved gentagne doser af linagliptin på mere end 300 gange den humane eksponering.</w:t>
      </w:r>
    </w:p>
    <w:p w14:paraId="4C044E7E" w14:textId="77777777" w:rsidR="00DC6CAA" w:rsidRDefault="00DC6CAA" w:rsidP="000945FA">
      <w:pPr>
        <w:pStyle w:val="Brdtekst"/>
        <w:ind w:left="851"/>
        <w:rPr>
          <w:sz w:val="24"/>
          <w:szCs w:val="24"/>
          <w:lang w:val="da-DK"/>
        </w:rPr>
      </w:pPr>
      <w:r>
        <w:rPr>
          <w:sz w:val="24"/>
          <w:szCs w:val="24"/>
          <w:lang w:val="da-DK"/>
        </w:rPr>
        <w:t>Hos rotter blev der set påvirkning af kønsorganerne, thyroidea og lymfoide organer ved en eksponering på mere end 1 500 gange den humane eksponering. Stærke pseudo-allergiske reaktioner blev observeret i hunde ved mellemstore doser og medførte sekundært kardiovaskulære forandringer, som blev anset for at være hunde-specifikke. Lever, nyrer, mave, reproduktive organer, thymus, milt og lymfeknuder var målorganer for toksicitet i cynomolgusaber ved en eksponering på mere end</w:t>
      </w:r>
    </w:p>
    <w:p w14:paraId="5C441E80" w14:textId="77777777" w:rsidR="00DC6CAA" w:rsidRDefault="00DC6CAA" w:rsidP="000945FA">
      <w:pPr>
        <w:pStyle w:val="Brdtekst"/>
        <w:ind w:left="851"/>
        <w:rPr>
          <w:sz w:val="24"/>
          <w:szCs w:val="24"/>
          <w:lang w:val="da-DK"/>
        </w:rPr>
      </w:pPr>
      <w:r>
        <w:rPr>
          <w:sz w:val="24"/>
          <w:szCs w:val="24"/>
          <w:lang w:val="da-DK"/>
        </w:rPr>
        <w:t>450 gange den humane eksponering. Ved en eksponering på mere end 100 gange den humane eksponering var irritation af maven det primære fund i disse aber.</w:t>
      </w:r>
    </w:p>
    <w:p w14:paraId="3C52EF77" w14:textId="77777777" w:rsidR="00DC6CAA" w:rsidRDefault="00DC6CAA" w:rsidP="000945FA">
      <w:pPr>
        <w:pStyle w:val="Brdtekst"/>
        <w:ind w:left="851"/>
        <w:rPr>
          <w:sz w:val="24"/>
          <w:szCs w:val="24"/>
          <w:lang w:val="da-DK"/>
        </w:rPr>
      </w:pPr>
    </w:p>
    <w:p w14:paraId="54B96F56" w14:textId="77777777" w:rsidR="00DC6CAA" w:rsidRDefault="00DC6CAA" w:rsidP="000945FA">
      <w:pPr>
        <w:pStyle w:val="Brdtekst"/>
        <w:ind w:left="851"/>
        <w:rPr>
          <w:sz w:val="24"/>
          <w:szCs w:val="24"/>
          <w:lang w:val="da-DK"/>
        </w:rPr>
      </w:pPr>
      <w:r>
        <w:rPr>
          <w:sz w:val="24"/>
          <w:szCs w:val="24"/>
          <w:lang w:val="da-DK"/>
        </w:rPr>
        <w:t>Linagliptin og dets hovedmetabolit viste ikke genotoksisk potentiale.</w:t>
      </w:r>
    </w:p>
    <w:p w14:paraId="68F11E8A" w14:textId="77777777" w:rsidR="00DC6CAA" w:rsidRDefault="00DC6CAA" w:rsidP="000945FA">
      <w:pPr>
        <w:pStyle w:val="Brdtekst"/>
        <w:ind w:left="851"/>
        <w:rPr>
          <w:sz w:val="24"/>
          <w:szCs w:val="24"/>
          <w:lang w:val="da-DK"/>
        </w:rPr>
      </w:pPr>
      <w:r>
        <w:rPr>
          <w:sz w:val="24"/>
          <w:szCs w:val="24"/>
          <w:lang w:val="da-DK"/>
        </w:rPr>
        <w:lastRenderedPageBreak/>
        <w:t>Karcinogenicitetsstudier over 2 år med oral administration i rotter og mus viste ikke evidens for karcinogenicitet hos rotter eller hanmus. En signifikant højere forekomst af maligne lymfomer set i hunmus ved den højeste dosis (&gt; 200 gange human eksponering), betragtes ikke som relevant for mennesker (forklaring: ikke-behandlingsrelateret, men skyldes baggrundsforekomst med stor variabilitet). Studierne giver ikke anledning til bekymring for karcinogenicitet hos mennesker.</w:t>
      </w:r>
    </w:p>
    <w:p w14:paraId="052D8E58" w14:textId="77777777" w:rsidR="00DC6CAA" w:rsidRDefault="00DC6CAA" w:rsidP="000945FA">
      <w:pPr>
        <w:pStyle w:val="Brdtekst"/>
        <w:ind w:left="851"/>
        <w:rPr>
          <w:sz w:val="24"/>
          <w:szCs w:val="24"/>
          <w:lang w:val="da-DK"/>
        </w:rPr>
      </w:pPr>
    </w:p>
    <w:p w14:paraId="3FBA8343" w14:textId="77777777" w:rsidR="00DC6CAA" w:rsidRDefault="00DC6CAA" w:rsidP="000945FA">
      <w:pPr>
        <w:pStyle w:val="Brdtekst"/>
        <w:ind w:left="851"/>
        <w:rPr>
          <w:sz w:val="24"/>
          <w:szCs w:val="24"/>
          <w:lang w:val="da-DK"/>
        </w:rPr>
      </w:pPr>
      <w:r>
        <w:rPr>
          <w:sz w:val="24"/>
          <w:szCs w:val="24"/>
          <w:lang w:val="da-DK"/>
        </w:rPr>
        <w:t>NOAEL (</w:t>
      </w:r>
      <w:r>
        <w:rPr>
          <w:i/>
          <w:sz w:val="24"/>
          <w:szCs w:val="24"/>
          <w:lang w:val="da-DK"/>
        </w:rPr>
        <w:t>no observed adverse effect level</w:t>
      </w:r>
      <w:r>
        <w:rPr>
          <w:sz w:val="24"/>
          <w:szCs w:val="24"/>
          <w:lang w:val="da-DK"/>
        </w:rPr>
        <w:t>) for fertilitet, tidlig fosterudvikling og teratogenicitet i rotter blev sat til &gt; 900 gange den humane eksponering. NOAEL for toksicitet i moderdyret, embryo-føtal toksicitet og toksicitet i afkommet hos rotter var 49 gange den humane eksponering. Der blev ikke observeret teratogene virkninger i kaniner ved &gt; 1 000 gange den humane eksponering. Et NOAEL på 78 gange den humane eksponering blev udledt for embryo-føtal toksicitet i kaniner, og NOAEL for toksicitet i moderdyret var 2,1 gange den humane eksponering. Det anses derfor for usandsynligt, at linagliptin påvirker reproduktionen ved terapeutiske doser hos mennesker.</w:t>
      </w:r>
    </w:p>
    <w:p w14:paraId="714A6B24" w14:textId="77777777" w:rsidR="00DC6CAA" w:rsidRDefault="00DC6CAA" w:rsidP="000945FA">
      <w:pPr>
        <w:pStyle w:val="Brdtekst"/>
        <w:ind w:left="851"/>
        <w:rPr>
          <w:sz w:val="24"/>
          <w:szCs w:val="24"/>
          <w:lang w:val="da-DK"/>
        </w:rPr>
      </w:pPr>
    </w:p>
    <w:p w14:paraId="4EFD410F" w14:textId="77777777" w:rsidR="00DC6CAA" w:rsidRDefault="00DC6CAA" w:rsidP="000945FA">
      <w:pPr>
        <w:pStyle w:val="Brdtekst"/>
        <w:ind w:left="851"/>
        <w:rPr>
          <w:sz w:val="24"/>
          <w:szCs w:val="24"/>
          <w:lang w:val="da-DK"/>
        </w:rPr>
      </w:pPr>
      <w:r>
        <w:rPr>
          <w:sz w:val="24"/>
          <w:szCs w:val="24"/>
          <w:u w:val="single"/>
          <w:lang w:val="da-DK"/>
        </w:rPr>
        <w:t>Metformin</w:t>
      </w:r>
    </w:p>
    <w:p w14:paraId="64B5B563" w14:textId="77777777" w:rsidR="00DC6CAA" w:rsidRDefault="00DC6CAA" w:rsidP="000945FA">
      <w:pPr>
        <w:pStyle w:val="Brdtekst"/>
        <w:ind w:left="851"/>
        <w:rPr>
          <w:sz w:val="24"/>
          <w:szCs w:val="24"/>
          <w:lang w:val="da-DK"/>
        </w:rPr>
      </w:pPr>
      <w:r>
        <w:rPr>
          <w:sz w:val="24"/>
          <w:szCs w:val="24"/>
          <w:lang w:val="da-DK"/>
        </w:rPr>
        <w:t>Non-kliniske data viser ingen speciel risiko for mennesker vurderet ud fra konventionelle studier af sikkerhedsfarmakologi, toksicitet efter gentagne doser, genotoksicitet, karcinogent potentiale samt reproduktions- og udviklingstoksicitet.</w:t>
      </w:r>
    </w:p>
    <w:p w14:paraId="190DF5C8" w14:textId="77777777" w:rsidR="009260DE" w:rsidRPr="00C84483" w:rsidRDefault="009260DE" w:rsidP="009260DE">
      <w:pPr>
        <w:tabs>
          <w:tab w:val="left" w:pos="851"/>
        </w:tabs>
        <w:ind w:left="851"/>
        <w:rPr>
          <w:sz w:val="24"/>
          <w:szCs w:val="24"/>
        </w:rPr>
      </w:pPr>
    </w:p>
    <w:p w14:paraId="479AC842" w14:textId="77777777" w:rsidR="009260DE" w:rsidRPr="00C84483" w:rsidRDefault="009260DE" w:rsidP="009260DE">
      <w:pPr>
        <w:tabs>
          <w:tab w:val="left" w:pos="851"/>
        </w:tabs>
        <w:ind w:left="851"/>
        <w:rPr>
          <w:sz w:val="24"/>
          <w:szCs w:val="24"/>
        </w:rPr>
      </w:pPr>
    </w:p>
    <w:p w14:paraId="18015436"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60852FE" w14:textId="77777777" w:rsidR="009260DE" w:rsidRPr="00BA09F1" w:rsidRDefault="009260DE" w:rsidP="009260DE">
      <w:pPr>
        <w:tabs>
          <w:tab w:val="left" w:pos="851"/>
        </w:tabs>
        <w:ind w:left="851"/>
        <w:rPr>
          <w:sz w:val="24"/>
          <w:szCs w:val="24"/>
        </w:rPr>
      </w:pPr>
    </w:p>
    <w:p w14:paraId="086496AB"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C6A8926" w14:textId="77777777" w:rsidR="00C3612A" w:rsidRDefault="00C3612A" w:rsidP="000945FA">
      <w:pPr>
        <w:pStyle w:val="Brdtekst"/>
        <w:ind w:left="851"/>
        <w:rPr>
          <w:sz w:val="24"/>
          <w:szCs w:val="24"/>
          <w:u w:val="single"/>
          <w:lang w:val="da-DK"/>
        </w:rPr>
      </w:pPr>
    </w:p>
    <w:p w14:paraId="0C6E1D23" w14:textId="191D1991" w:rsidR="00DC6CAA" w:rsidRDefault="00DC6CAA" w:rsidP="000945FA">
      <w:pPr>
        <w:pStyle w:val="Brdtekst"/>
        <w:ind w:left="851"/>
        <w:rPr>
          <w:sz w:val="24"/>
          <w:szCs w:val="24"/>
          <w:lang w:val="da-DK"/>
        </w:rPr>
      </w:pPr>
      <w:r>
        <w:rPr>
          <w:sz w:val="24"/>
          <w:szCs w:val="24"/>
          <w:u w:val="single"/>
          <w:lang w:val="da-DK"/>
        </w:rPr>
        <w:t>Tabletkerne</w:t>
      </w:r>
      <w:r>
        <w:rPr>
          <w:sz w:val="24"/>
          <w:szCs w:val="24"/>
          <w:lang w:val="da-DK"/>
        </w:rPr>
        <w:t>:</w:t>
      </w:r>
    </w:p>
    <w:p w14:paraId="77607664" w14:textId="77777777" w:rsidR="00DC6CAA" w:rsidRDefault="00DC6CAA" w:rsidP="000945FA">
      <w:pPr>
        <w:pStyle w:val="Brdtekst"/>
        <w:ind w:left="851"/>
        <w:rPr>
          <w:sz w:val="24"/>
          <w:szCs w:val="24"/>
          <w:lang w:val="da-DK"/>
        </w:rPr>
      </w:pPr>
      <w:r>
        <w:rPr>
          <w:sz w:val="24"/>
          <w:szCs w:val="24"/>
          <w:lang w:val="da-DK"/>
        </w:rPr>
        <w:t>Majsstivelse</w:t>
      </w:r>
    </w:p>
    <w:p w14:paraId="4AAAE0C0" w14:textId="77777777" w:rsidR="00DC6CAA" w:rsidRDefault="00DC6CAA" w:rsidP="000945FA">
      <w:pPr>
        <w:pStyle w:val="Brdtekst"/>
        <w:ind w:left="851"/>
        <w:rPr>
          <w:sz w:val="24"/>
          <w:szCs w:val="24"/>
          <w:lang w:val="da-DK"/>
        </w:rPr>
      </w:pPr>
      <w:r>
        <w:rPr>
          <w:sz w:val="24"/>
          <w:szCs w:val="24"/>
          <w:lang w:val="da-DK"/>
        </w:rPr>
        <w:t>Copovidon</w:t>
      </w:r>
    </w:p>
    <w:p w14:paraId="187CFA7F" w14:textId="77777777" w:rsidR="00DC6CAA" w:rsidRDefault="00DC6CAA" w:rsidP="000945FA">
      <w:pPr>
        <w:ind w:left="851"/>
        <w:rPr>
          <w:sz w:val="24"/>
          <w:szCs w:val="24"/>
        </w:rPr>
      </w:pPr>
      <w:r>
        <w:rPr>
          <w:sz w:val="24"/>
          <w:szCs w:val="24"/>
        </w:rPr>
        <w:t>Hypromellose (type 2910)</w:t>
      </w:r>
    </w:p>
    <w:p w14:paraId="0DA29E53" w14:textId="77777777" w:rsidR="00DC6CAA" w:rsidRDefault="00DC6CAA" w:rsidP="000945FA">
      <w:pPr>
        <w:tabs>
          <w:tab w:val="left" w:pos="1180"/>
        </w:tabs>
        <w:ind w:left="851"/>
        <w:rPr>
          <w:color w:val="000000"/>
          <w:sz w:val="24"/>
          <w:szCs w:val="24"/>
        </w:rPr>
      </w:pPr>
      <w:r>
        <w:rPr>
          <w:sz w:val="24"/>
          <w:szCs w:val="24"/>
        </w:rPr>
        <w:t>Natriumcarbonat</w:t>
      </w:r>
    </w:p>
    <w:p w14:paraId="32A094DE" w14:textId="77777777" w:rsidR="00DC6CAA" w:rsidRDefault="00DC6CAA" w:rsidP="000945FA">
      <w:pPr>
        <w:pStyle w:val="Brdtekst"/>
        <w:ind w:left="851"/>
        <w:rPr>
          <w:sz w:val="24"/>
          <w:szCs w:val="24"/>
          <w:lang w:val="da-DK"/>
        </w:rPr>
      </w:pPr>
      <w:r>
        <w:rPr>
          <w:sz w:val="24"/>
          <w:szCs w:val="24"/>
          <w:lang w:val="da-DK"/>
        </w:rPr>
        <w:t>Kolloid vandfri silica</w:t>
      </w:r>
    </w:p>
    <w:p w14:paraId="557BE3C3" w14:textId="77777777" w:rsidR="00DC6CAA" w:rsidRDefault="00DC6CAA" w:rsidP="000945FA">
      <w:pPr>
        <w:pStyle w:val="Brdtekst"/>
        <w:ind w:left="851"/>
        <w:rPr>
          <w:sz w:val="24"/>
          <w:szCs w:val="24"/>
          <w:lang w:val="da-DK"/>
        </w:rPr>
      </w:pPr>
      <w:r>
        <w:rPr>
          <w:sz w:val="24"/>
          <w:szCs w:val="24"/>
          <w:lang w:val="da-DK"/>
        </w:rPr>
        <w:t>Magnesiumstearat</w:t>
      </w:r>
    </w:p>
    <w:p w14:paraId="255E3BA0" w14:textId="77777777" w:rsidR="00DC6CAA" w:rsidRDefault="00DC6CAA" w:rsidP="000945FA">
      <w:pPr>
        <w:pStyle w:val="Brdtekst"/>
        <w:ind w:left="851"/>
        <w:rPr>
          <w:sz w:val="24"/>
          <w:szCs w:val="24"/>
          <w:lang w:val="da-DK"/>
        </w:rPr>
      </w:pPr>
    </w:p>
    <w:p w14:paraId="293FB229" w14:textId="315AD576" w:rsidR="00DC6CAA" w:rsidRDefault="002B2434" w:rsidP="000945FA">
      <w:pPr>
        <w:pStyle w:val="Brdtekst"/>
        <w:ind w:left="851"/>
        <w:rPr>
          <w:sz w:val="24"/>
          <w:szCs w:val="24"/>
          <w:lang w:val="da-DK"/>
        </w:rPr>
      </w:pPr>
      <w:r>
        <w:rPr>
          <w:sz w:val="24"/>
          <w:szCs w:val="24"/>
          <w:u w:val="single"/>
          <w:lang w:val="da-DK"/>
        </w:rPr>
        <w:t>Glymetia</w:t>
      </w:r>
      <w:r w:rsidR="00DC6CAA">
        <w:rPr>
          <w:sz w:val="24"/>
          <w:szCs w:val="24"/>
          <w:u w:val="single"/>
          <w:lang w:val="da-DK"/>
        </w:rPr>
        <w:t xml:space="preserve"> 2,5 mg/850 mg filmovertrukne tabletter</w:t>
      </w:r>
    </w:p>
    <w:p w14:paraId="0BA2A37E" w14:textId="77777777" w:rsidR="00DC6CAA" w:rsidRDefault="00DC6CAA" w:rsidP="000945FA">
      <w:pPr>
        <w:ind w:left="851"/>
        <w:rPr>
          <w:i/>
          <w:sz w:val="24"/>
          <w:szCs w:val="24"/>
        </w:rPr>
      </w:pPr>
      <w:r>
        <w:rPr>
          <w:i/>
          <w:sz w:val="24"/>
          <w:szCs w:val="24"/>
        </w:rPr>
        <w:t>Filmovertræk</w:t>
      </w:r>
    </w:p>
    <w:p w14:paraId="7966CF05" w14:textId="77777777" w:rsidR="00DC6CAA" w:rsidRPr="00C40540" w:rsidRDefault="00DC6CAA" w:rsidP="000945FA">
      <w:pPr>
        <w:ind w:left="851"/>
        <w:rPr>
          <w:sz w:val="24"/>
          <w:szCs w:val="24"/>
          <w:lang w:val="en-US"/>
        </w:rPr>
      </w:pPr>
      <w:r w:rsidRPr="00C40540">
        <w:rPr>
          <w:sz w:val="24"/>
          <w:szCs w:val="24"/>
          <w:lang w:val="en-US"/>
        </w:rPr>
        <w:t>Hypromellose (type 2910)</w:t>
      </w:r>
    </w:p>
    <w:p w14:paraId="7820E022" w14:textId="77777777" w:rsidR="00DC6CAA" w:rsidRPr="00C40540" w:rsidRDefault="00DC6CAA" w:rsidP="000945FA">
      <w:pPr>
        <w:ind w:left="851"/>
        <w:rPr>
          <w:sz w:val="24"/>
          <w:szCs w:val="24"/>
          <w:lang w:val="en-US"/>
        </w:rPr>
      </w:pPr>
      <w:r w:rsidRPr="00C40540">
        <w:rPr>
          <w:sz w:val="24"/>
          <w:szCs w:val="24"/>
          <w:lang w:val="en-US"/>
        </w:rPr>
        <w:t>Titandioxid (E171)</w:t>
      </w:r>
    </w:p>
    <w:p w14:paraId="20437928" w14:textId="77777777" w:rsidR="00DC6CAA" w:rsidRDefault="00DC6CAA" w:rsidP="000945FA">
      <w:pPr>
        <w:ind w:left="851"/>
        <w:rPr>
          <w:sz w:val="24"/>
          <w:szCs w:val="24"/>
          <w:lang w:val="en-US"/>
        </w:rPr>
      </w:pPr>
      <w:r>
        <w:rPr>
          <w:sz w:val="24"/>
          <w:szCs w:val="24"/>
          <w:lang w:val="en-US"/>
        </w:rPr>
        <w:t>Talcum</w:t>
      </w:r>
    </w:p>
    <w:p w14:paraId="578BB04C" w14:textId="77777777" w:rsidR="00DC6CAA" w:rsidRDefault="00DC6CAA" w:rsidP="000945FA">
      <w:pPr>
        <w:pStyle w:val="Brdtekst"/>
        <w:ind w:left="851"/>
        <w:rPr>
          <w:sz w:val="24"/>
          <w:szCs w:val="24"/>
        </w:rPr>
      </w:pPr>
      <w:r>
        <w:rPr>
          <w:sz w:val="24"/>
          <w:szCs w:val="24"/>
        </w:rPr>
        <w:t>Propylenglycol</w:t>
      </w:r>
    </w:p>
    <w:p w14:paraId="24F7395D" w14:textId="77777777" w:rsidR="00DC6CAA" w:rsidRDefault="00DC6CAA" w:rsidP="000945FA">
      <w:pPr>
        <w:pStyle w:val="Brdtekst"/>
        <w:ind w:left="851"/>
        <w:rPr>
          <w:sz w:val="24"/>
          <w:szCs w:val="24"/>
          <w:lang w:val="es-ES"/>
        </w:rPr>
      </w:pPr>
      <w:r>
        <w:rPr>
          <w:sz w:val="24"/>
          <w:szCs w:val="24"/>
          <w:lang w:val="es-ES"/>
        </w:rPr>
        <w:t>Rød jernoxid (E172)</w:t>
      </w:r>
    </w:p>
    <w:p w14:paraId="3B6071E3" w14:textId="77777777" w:rsidR="00DC6CAA" w:rsidRDefault="00DC6CAA" w:rsidP="000945FA">
      <w:pPr>
        <w:pStyle w:val="Brdtekst"/>
        <w:ind w:left="851"/>
        <w:rPr>
          <w:sz w:val="24"/>
          <w:szCs w:val="24"/>
          <w:lang w:val="es-ES"/>
        </w:rPr>
      </w:pPr>
      <w:r>
        <w:rPr>
          <w:sz w:val="24"/>
          <w:szCs w:val="24"/>
          <w:lang w:val="es-ES"/>
        </w:rPr>
        <w:t>Gul jernoxid (E172)</w:t>
      </w:r>
    </w:p>
    <w:p w14:paraId="7DFDE7C7" w14:textId="77777777" w:rsidR="00DC6CAA" w:rsidRDefault="00DC6CAA" w:rsidP="000945FA">
      <w:pPr>
        <w:pStyle w:val="Brdtekst"/>
        <w:ind w:left="851"/>
        <w:rPr>
          <w:sz w:val="24"/>
          <w:szCs w:val="24"/>
          <w:highlight w:val="yellow"/>
          <w:lang w:val="es-ES"/>
        </w:rPr>
      </w:pPr>
    </w:p>
    <w:p w14:paraId="10B1C717" w14:textId="37EA9776" w:rsidR="00DC6CAA" w:rsidRDefault="002B2434" w:rsidP="000945FA">
      <w:pPr>
        <w:pStyle w:val="Brdtekst"/>
        <w:ind w:left="851"/>
        <w:rPr>
          <w:sz w:val="24"/>
          <w:szCs w:val="24"/>
          <w:lang w:val="da-DK"/>
        </w:rPr>
      </w:pPr>
      <w:r>
        <w:rPr>
          <w:sz w:val="24"/>
          <w:szCs w:val="24"/>
          <w:u w:val="single"/>
          <w:lang w:val="da-DK"/>
        </w:rPr>
        <w:t>Glymetia</w:t>
      </w:r>
      <w:r w:rsidR="00DC6CAA">
        <w:rPr>
          <w:sz w:val="24"/>
          <w:szCs w:val="24"/>
          <w:u w:val="single"/>
          <w:lang w:val="da-DK"/>
        </w:rPr>
        <w:t xml:space="preserve"> 2,5 mg/1 000 mg filmovertrukne tabletter</w:t>
      </w:r>
    </w:p>
    <w:p w14:paraId="0F2F7255" w14:textId="77777777" w:rsidR="00DC6CAA" w:rsidRDefault="00DC6CAA" w:rsidP="000945FA">
      <w:pPr>
        <w:ind w:left="851"/>
        <w:rPr>
          <w:i/>
          <w:sz w:val="24"/>
          <w:szCs w:val="24"/>
        </w:rPr>
      </w:pPr>
      <w:r>
        <w:rPr>
          <w:i/>
          <w:sz w:val="24"/>
          <w:szCs w:val="24"/>
        </w:rPr>
        <w:t>Filmovertræk</w:t>
      </w:r>
    </w:p>
    <w:p w14:paraId="2A41EA77" w14:textId="77777777" w:rsidR="00DC6CAA" w:rsidRPr="00C40540" w:rsidRDefault="00DC6CAA" w:rsidP="000945FA">
      <w:pPr>
        <w:ind w:left="851"/>
        <w:rPr>
          <w:sz w:val="24"/>
          <w:szCs w:val="24"/>
          <w:lang w:val="en-US"/>
        </w:rPr>
      </w:pPr>
      <w:r w:rsidRPr="00C40540">
        <w:rPr>
          <w:sz w:val="24"/>
          <w:szCs w:val="24"/>
          <w:lang w:val="en-US"/>
        </w:rPr>
        <w:t>Hypromellose (type 2910)</w:t>
      </w:r>
    </w:p>
    <w:p w14:paraId="3DCCAAED" w14:textId="77777777" w:rsidR="00DC6CAA" w:rsidRPr="00C40540" w:rsidRDefault="00DC6CAA" w:rsidP="000945FA">
      <w:pPr>
        <w:ind w:left="851"/>
        <w:rPr>
          <w:sz w:val="24"/>
          <w:szCs w:val="24"/>
          <w:lang w:val="en-US"/>
        </w:rPr>
      </w:pPr>
      <w:r w:rsidRPr="00C40540">
        <w:rPr>
          <w:sz w:val="24"/>
          <w:szCs w:val="24"/>
          <w:lang w:val="en-US"/>
        </w:rPr>
        <w:t>Titandioxid (E171)</w:t>
      </w:r>
    </w:p>
    <w:p w14:paraId="6FC61BD0" w14:textId="77777777" w:rsidR="00DC6CAA" w:rsidRDefault="00DC6CAA" w:rsidP="000945FA">
      <w:pPr>
        <w:ind w:left="851"/>
        <w:rPr>
          <w:sz w:val="24"/>
          <w:szCs w:val="24"/>
          <w:lang w:val="en-US"/>
        </w:rPr>
      </w:pPr>
      <w:r>
        <w:rPr>
          <w:sz w:val="24"/>
          <w:szCs w:val="24"/>
          <w:lang w:val="en-US"/>
        </w:rPr>
        <w:t>Talcum</w:t>
      </w:r>
    </w:p>
    <w:p w14:paraId="1E25F2FA" w14:textId="77777777" w:rsidR="00DC6CAA" w:rsidRDefault="00DC6CAA" w:rsidP="000945FA">
      <w:pPr>
        <w:pStyle w:val="Brdtekst"/>
        <w:ind w:left="851"/>
        <w:rPr>
          <w:sz w:val="24"/>
          <w:szCs w:val="24"/>
        </w:rPr>
      </w:pPr>
      <w:r>
        <w:rPr>
          <w:sz w:val="24"/>
          <w:szCs w:val="24"/>
        </w:rPr>
        <w:t>Propylenglycol</w:t>
      </w:r>
    </w:p>
    <w:p w14:paraId="30E71067" w14:textId="77777777" w:rsidR="00DC6CAA" w:rsidRPr="00C40540" w:rsidRDefault="00DC6CAA" w:rsidP="000945FA">
      <w:pPr>
        <w:pStyle w:val="Brdtekst"/>
        <w:ind w:left="851"/>
        <w:rPr>
          <w:lang w:val="da-DK"/>
        </w:rPr>
      </w:pPr>
      <w:r w:rsidRPr="00C40540">
        <w:rPr>
          <w:sz w:val="24"/>
          <w:szCs w:val="24"/>
          <w:lang w:val="da-DK"/>
        </w:rPr>
        <w:t>Rød jernoxid (E172)</w:t>
      </w:r>
    </w:p>
    <w:p w14:paraId="6E69D19C" w14:textId="77777777" w:rsidR="009260DE" w:rsidRPr="00C40540" w:rsidRDefault="009260DE" w:rsidP="009260DE">
      <w:pPr>
        <w:tabs>
          <w:tab w:val="left" w:pos="851"/>
        </w:tabs>
        <w:ind w:left="851"/>
        <w:rPr>
          <w:sz w:val="24"/>
          <w:szCs w:val="24"/>
        </w:rPr>
      </w:pPr>
    </w:p>
    <w:p w14:paraId="6C9B487A" w14:textId="77777777" w:rsidR="009260DE" w:rsidRPr="00C84483" w:rsidRDefault="009260DE" w:rsidP="009260DE">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14:paraId="2D427567" w14:textId="77777777" w:rsidR="00DC6CAA" w:rsidRDefault="00DC6CAA" w:rsidP="00DC6CAA">
      <w:pPr>
        <w:ind w:left="851"/>
        <w:rPr>
          <w:sz w:val="24"/>
          <w:szCs w:val="24"/>
        </w:rPr>
      </w:pPr>
      <w:r>
        <w:rPr>
          <w:sz w:val="24"/>
          <w:szCs w:val="24"/>
        </w:rPr>
        <w:t>Ikke relevant.</w:t>
      </w:r>
    </w:p>
    <w:p w14:paraId="3A982991" w14:textId="77777777" w:rsidR="009260DE" w:rsidRPr="00C84483" w:rsidRDefault="009260DE" w:rsidP="009260DE">
      <w:pPr>
        <w:tabs>
          <w:tab w:val="left" w:pos="851"/>
        </w:tabs>
        <w:ind w:left="851"/>
        <w:rPr>
          <w:sz w:val="24"/>
          <w:szCs w:val="24"/>
        </w:rPr>
      </w:pPr>
    </w:p>
    <w:p w14:paraId="7A7F7C2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8529073" w14:textId="77777777" w:rsidR="00DC6CAA" w:rsidRDefault="00DC6CAA" w:rsidP="00DC6CAA">
      <w:pPr>
        <w:tabs>
          <w:tab w:val="left" w:pos="851"/>
        </w:tabs>
        <w:ind w:left="851"/>
        <w:rPr>
          <w:sz w:val="24"/>
          <w:szCs w:val="24"/>
        </w:rPr>
      </w:pPr>
      <w:r>
        <w:rPr>
          <w:sz w:val="24"/>
          <w:szCs w:val="24"/>
        </w:rPr>
        <w:t>15 måneder</w:t>
      </w:r>
    </w:p>
    <w:p w14:paraId="71BDE3C3" w14:textId="77777777" w:rsidR="009260DE" w:rsidRPr="00C84483" w:rsidRDefault="009260DE" w:rsidP="009260DE">
      <w:pPr>
        <w:tabs>
          <w:tab w:val="left" w:pos="851"/>
        </w:tabs>
        <w:ind w:left="851"/>
        <w:rPr>
          <w:sz w:val="24"/>
          <w:szCs w:val="24"/>
        </w:rPr>
      </w:pPr>
    </w:p>
    <w:p w14:paraId="1CD79226"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3A0175B" w14:textId="77777777" w:rsidR="00EA65FD" w:rsidRDefault="00EA65FD" w:rsidP="00EA65FD">
      <w:pPr>
        <w:ind w:left="851"/>
        <w:rPr>
          <w:sz w:val="24"/>
          <w:szCs w:val="24"/>
        </w:rPr>
      </w:pPr>
      <w:r>
        <w:rPr>
          <w:sz w:val="24"/>
          <w:szCs w:val="24"/>
        </w:rPr>
        <w:t>Opbevares ved temperaturer under 30 °C.</w:t>
      </w:r>
    </w:p>
    <w:p w14:paraId="679BDA22" w14:textId="77777777" w:rsidR="009260DE" w:rsidRPr="00C84483" w:rsidRDefault="009260DE" w:rsidP="009260DE">
      <w:pPr>
        <w:tabs>
          <w:tab w:val="left" w:pos="851"/>
        </w:tabs>
        <w:ind w:left="851"/>
        <w:rPr>
          <w:sz w:val="24"/>
          <w:szCs w:val="24"/>
        </w:rPr>
      </w:pPr>
    </w:p>
    <w:p w14:paraId="610C42E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405D873" w14:textId="77777777" w:rsidR="002B2434" w:rsidRDefault="002B2434" w:rsidP="002B2434">
      <w:pPr>
        <w:ind w:left="851"/>
        <w:rPr>
          <w:sz w:val="24"/>
          <w:szCs w:val="24"/>
        </w:rPr>
      </w:pPr>
      <w:r>
        <w:rPr>
          <w:sz w:val="24"/>
          <w:szCs w:val="24"/>
        </w:rPr>
        <w:t>Pakningsstørrelser: 10, 14, 28, 30, 56, 60, 84, 90, 98, 100 og 120 filmovertrukne tabletter og multipakninger med 120 (2 pakninger af 60), 180 (2 pakninger af 90), 180 (3 pakninger af 60) og 200 (2 pakninger af 100) filmovertrukne tabletter i PVC/PCTFE/PVC // Alu-blister.</w:t>
      </w:r>
    </w:p>
    <w:p w14:paraId="4F4DA272" w14:textId="77777777" w:rsidR="002B2434" w:rsidRDefault="002B2434" w:rsidP="002B2434">
      <w:pPr>
        <w:ind w:left="851"/>
        <w:rPr>
          <w:sz w:val="24"/>
          <w:szCs w:val="24"/>
        </w:rPr>
      </w:pPr>
      <w:r>
        <w:rPr>
          <w:sz w:val="24"/>
          <w:szCs w:val="24"/>
        </w:rPr>
        <w:t>Pakningsstørrelser: 10 × 1, 14 × 1, 28 × 1, 30 × 1, 56 × 1, 60 × 1, 84 × 1, 90 × 1, 98 × 1, 100 × 1 og 120 × 1 filmovertrukne tabletter og multipakninger med 120 (2 pakninger af 60 × 1), 180 (2 pakninger af 90 × 1), 180 (3 pakninger af 60 × 1) og 200 (2 pakninger af 100 × 1) filmovertrukne tabletter i PVC/PCTFE/PVC // Alu perforerede enkeltdosisblistre.</w:t>
      </w:r>
    </w:p>
    <w:p w14:paraId="705DD41D" w14:textId="77777777" w:rsidR="002B2434" w:rsidRDefault="002B2434" w:rsidP="002B2434">
      <w:pPr>
        <w:ind w:left="851"/>
        <w:rPr>
          <w:sz w:val="24"/>
          <w:szCs w:val="24"/>
        </w:rPr>
      </w:pPr>
    </w:p>
    <w:p w14:paraId="5A9F6188" w14:textId="77777777" w:rsidR="002B2434" w:rsidRDefault="002B2434" w:rsidP="002B2434">
      <w:pPr>
        <w:ind w:left="851"/>
        <w:rPr>
          <w:sz w:val="24"/>
          <w:szCs w:val="24"/>
        </w:rPr>
      </w:pPr>
      <w:r>
        <w:rPr>
          <w:sz w:val="24"/>
          <w:szCs w:val="24"/>
        </w:rPr>
        <w:t>Ikke alle pakningsstørrelser er nødvendigvis markedsført.</w:t>
      </w:r>
    </w:p>
    <w:p w14:paraId="1169BB86" w14:textId="77777777" w:rsidR="009260DE" w:rsidRPr="00C84483" w:rsidRDefault="009260DE" w:rsidP="009260DE">
      <w:pPr>
        <w:tabs>
          <w:tab w:val="left" w:pos="851"/>
        </w:tabs>
        <w:ind w:left="851"/>
        <w:rPr>
          <w:sz w:val="24"/>
          <w:szCs w:val="24"/>
        </w:rPr>
      </w:pPr>
    </w:p>
    <w:p w14:paraId="204BABB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C1941AF" w14:textId="77777777" w:rsidR="00EA65FD" w:rsidRDefault="00EA65FD" w:rsidP="00EA65FD">
      <w:pPr>
        <w:ind w:left="851"/>
        <w:rPr>
          <w:sz w:val="24"/>
          <w:szCs w:val="24"/>
        </w:rPr>
      </w:pPr>
      <w:r>
        <w:rPr>
          <w:sz w:val="24"/>
          <w:szCs w:val="24"/>
        </w:rPr>
        <w:t>Ikke anvendt lægemiddel samt affald heraf skal bortskaffes i henhold til lokale retningslinjer.</w:t>
      </w:r>
    </w:p>
    <w:p w14:paraId="1E429A03" w14:textId="77777777" w:rsidR="009260DE" w:rsidRPr="00C84483" w:rsidRDefault="009260DE" w:rsidP="000730CA">
      <w:pPr>
        <w:tabs>
          <w:tab w:val="left" w:pos="851"/>
        </w:tabs>
        <w:ind w:left="851"/>
        <w:rPr>
          <w:sz w:val="24"/>
          <w:szCs w:val="24"/>
        </w:rPr>
      </w:pPr>
    </w:p>
    <w:p w14:paraId="7C1B205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205C810" w14:textId="77777777" w:rsidR="00EA65FD" w:rsidRDefault="00EA65FD" w:rsidP="00EA65FD">
      <w:pPr>
        <w:ind w:left="851"/>
        <w:rPr>
          <w:sz w:val="24"/>
          <w:szCs w:val="24"/>
        </w:rPr>
      </w:pPr>
      <w:r>
        <w:rPr>
          <w:sz w:val="24"/>
          <w:szCs w:val="24"/>
        </w:rPr>
        <w:t>PharmaPath S.A.</w:t>
      </w:r>
    </w:p>
    <w:p w14:paraId="12D903FA" w14:textId="77777777" w:rsidR="00EA65FD" w:rsidRDefault="00EA65FD" w:rsidP="00EA65FD">
      <w:pPr>
        <w:ind w:left="851"/>
        <w:rPr>
          <w:sz w:val="24"/>
          <w:szCs w:val="24"/>
        </w:rPr>
      </w:pPr>
      <w:r>
        <w:rPr>
          <w:sz w:val="24"/>
          <w:szCs w:val="24"/>
        </w:rPr>
        <w:t xml:space="preserve">28is Oktovriou 1, </w:t>
      </w:r>
    </w:p>
    <w:p w14:paraId="2A7A5275" w14:textId="77777777" w:rsidR="00EA65FD" w:rsidRDefault="00EA65FD" w:rsidP="00EA65FD">
      <w:pPr>
        <w:ind w:left="851"/>
        <w:rPr>
          <w:sz w:val="24"/>
          <w:szCs w:val="24"/>
        </w:rPr>
      </w:pPr>
      <w:r>
        <w:rPr>
          <w:sz w:val="24"/>
          <w:szCs w:val="24"/>
        </w:rPr>
        <w:t>Agia Varvara, 123 51,</w:t>
      </w:r>
    </w:p>
    <w:p w14:paraId="37B536E6" w14:textId="6E1C367E" w:rsidR="009260DE" w:rsidRPr="00C84483" w:rsidRDefault="00EA65FD" w:rsidP="00C3612A">
      <w:pPr>
        <w:ind w:left="851"/>
        <w:rPr>
          <w:sz w:val="24"/>
          <w:szCs w:val="24"/>
        </w:rPr>
      </w:pPr>
      <w:r>
        <w:rPr>
          <w:sz w:val="24"/>
          <w:szCs w:val="24"/>
        </w:rPr>
        <w:t>Grækenland</w:t>
      </w:r>
    </w:p>
    <w:p w14:paraId="703986A4" w14:textId="77777777" w:rsidR="00641C65" w:rsidRPr="00641C65" w:rsidRDefault="00641C65" w:rsidP="009260DE">
      <w:pPr>
        <w:tabs>
          <w:tab w:val="left" w:pos="851"/>
        </w:tabs>
        <w:ind w:left="851"/>
        <w:rPr>
          <w:sz w:val="24"/>
          <w:szCs w:val="24"/>
        </w:rPr>
      </w:pPr>
    </w:p>
    <w:p w14:paraId="2B72FD3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1B41BB2" w14:textId="1D884FE2" w:rsidR="00EA65FD" w:rsidRDefault="00EA65FD" w:rsidP="00C3612A">
      <w:pPr>
        <w:pStyle w:val="Brdtekst"/>
        <w:tabs>
          <w:tab w:val="left" w:pos="2694"/>
        </w:tabs>
        <w:ind w:left="851" w:right="316"/>
        <w:rPr>
          <w:sz w:val="24"/>
          <w:szCs w:val="24"/>
          <w:lang w:val="da-DK"/>
        </w:rPr>
      </w:pPr>
      <w:r>
        <w:rPr>
          <w:sz w:val="24"/>
          <w:szCs w:val="24"/>
          <w:lang w:val="da-DK"/>
        </w:rPr>
        <w:t xml:space="preserve">2,5 mg/850 mg: </w:t>
      </w:r>
      <w:r w:rsidR="00C3612A">
        <w:rPr>
          <w:sz w:val="24"/>
          <w:szCs w:val="24"/>
          <w:lang w:val="da-DK"/>
        </w:rPr>
        <w:tab/>
      </w:r>
      <w:r>
        <w:rPr>
          <w:sz w:val="24"/>
          <w:szCs w:val="24"/>
          <w:lang w:val="da-DK"/>
        </w:rPr>
        <w:t>700</w:t>
      </w:r>
      <w:r w:rsidR="002B2434">
        <w:rPr>
          <w:sz w:val="24"/>
          <w:szCs w:val="24"/>
          <w:lang w:val="da-DK"/>
        </w:rPr>
        <w:t>68</w:t>
      </w:r>
    </w:p>
    <w:p w14:paraId="25976145" w14:textId="3F892658" w:rsidR="00EA65FD" w:rsidRDefault="00EA65FD" w:rsidP="00C3612A">
      <w:pPr>
        <w:pStyle w:val="Brdtekst"/>
        <w:tabs>
          <w:tab w:val="left" w:pos="2694"/>
        </w:tabs>
        <w:ind w:left="851" w:right="316"/>
        <w:rPr>
          <w:lang w:val="da-DK"/>
        </w:rPr>
      </w:pPr>
      <w:r>
        <w:rPr>
          <w:sz w:val="24"/>
          <w:szCs w:val="24"/>
          <w:lang w:val="da-DK"/>
        </w:rPr>
        <w:t xml:space="preserve">2,5 mg/1 000 mg: </w:t>
      </w:r>
      <w:r w:rsidR="00C3612A">
        <w:rPr>
          <w:sz w:val="24"/>
          <w:szCs w:val="24"/>
          <w:lang w:val="da-DK"/>
        </w:rPr>
        <w:tab/>
      </w:r>
      <w:r>
        <w:rPr>
          <w:sz w:val="24"/>
          <w:szCs w:val="24"/>
          <w:lang w:val="da-DK"/>
        </w:rPr>
        <w:t>700</w:t>
      </w:r>
      <w:r w:rsidR="002B2434">
        <w:rPr>
          <w:sz w:val="24"/>
          <w:szCs w:val="24"/>
          <w:lang w:val="da-DK"/>
        </w:rPr>
        <w:t>69</w:t>
      </w:r>
    </w:p>
    <w:p w14:paraId="4D1F6AE6" w14:textId="77777777" w:rsidR="009260DE" w:rsidRPr="00C84483" w:rsidRDefault="009260DE" w:rsidP="00C3612A">
      <w:pPr>
        <w:tabs>
          <w:tab w:val="left" w:pos="851"/>
          <w:tab w:val="left" w:pos="2694"/>
        </w:tabs>
        <w:ind w:left="851"/>
        <w:rPr>
          <w:sz w:val="24"/>
          <w:szCs w:val="24"/>
        </w:rPr>
      </w:pPr>
    </w:p>
    <w:p w14:paraId="4954D6D7"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6C2D56A" w14:textId="78B81F4A" w:rsidR="009260DE" w:rsidRPr="00C84483" w:rsidRDefault="00C40540" w:rsidP="009260DE">
      <w:pPr>
        <w:tabs>
          <w:tab w:val="left" w:pos="851"/>
        </w:tabs>
        <w:ind w:left="851"/>
        <w:rPr>
          <w:sz w:val="24"/>
          <w:szCs w:val="24"/>
        </w:rPr>
      </w:pPr>
      <w:r>
        <w:rPr>
          <w:sz w:val="24"/>
          <w:szCs w:val="24"/>
        </w:rPr>
        <w:t>6. marts 2025</w:t>
      </w:r>
    </w:p>
    <w:p w14:paraId="0B821F26" w14:textId="77777777" w:rsidR="009260DE" w:rsidRPr="00C84483" w:rsidRDefault="009260DE" w:rsidP="009260DE">
      <w:pPr>
        <w:tabs>
          <w:tab w:val="left" w:pos="851"/>
        </w:tabs>
        <w:ind w:left="851"/>
        <w:rPr>
          <w:sz w:val="24"/>
          <w:szCs w:val="24"/>
        </w:rPr>
      </w:pPr>
    </w:p>
    <w:p w14:paraId="19F1ADE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7A93A20" w14:textId="441AFC66" w:rsidR="009260DE" w:rsidRPr="00C84483" w:rsidRDefault="007C3B21"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AA61F" w14:textId="77777777" w:rsidR="00DC6CAA" w:rsidRDefault="00DC6CAA">
      <w:r>
        <w:separator/>
      </w:r>
    </w:p>
  </w:endnote>
  <w:endnote w:type="continuationSeparator" w:id="0">
    <w:p w14:paraId="66A68731" w14:textId="77777777" w:rsidR="00DC6CAA" w:rsidRDefault="00DC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2B1A" w14:textId="77777777" w:rsidR="00DC6CAA" w:rsidRDefault="00DC6CAA">
    <w:pPr>
      <w:pStyle w:val="Sidefod"/>
      <w:pBdr>
        <w:bottom w:val="single" w:sz="6" w:space="1" w:color="auto"/>
      </w:pBdr>
    </w:pPr>
  </w:p>
  <w:p w14:paraId="318E4363" w14:textId="77777777" w:rsidR="00DC6CAA" w:rsidRDefault="00DC6CAA" w:rsidP="00C42586">
    <w:pPr>
      <w:pStyle w:val="Sidefod"/>
      <w:tabs>
        <w:tab w:val="clear" w:pos="4819"/>
        <w:tab w:val="left" w:pos="8505"/>
      </w:tabs>
      <w:rPr>
        <w:i/>
        <w:sz w:val="18"/>
        <w:szCs w:val="18"/>
      </w:rPr>
    </w:pPr>
  </w:p>
  <w:p w14:paraId="39BBF69F" w14:textId="340AE221" w:rsidR="00DC6CAA" w:rsidRPr="00B373D7" w:rsidRDefault="00DC6CA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B1386">
      <w:rPr>
        <w:i/>
        <w:noProof/>
        <w:sz w:val="18"/>
        <w:szCs w:val="18"/>
      </w:rPr>
      <w:t>Glymetia, filmovertrukne tabletter 2,5+850 mg og 2,5+1000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A9C03" w14:textId="77777777" w:rsidR="00DC6CAA" w:rsidRDefault="00DC6CAA">
      <w:r>
        <w:separator/>
      </w:r>
    </w:p>
  </w:footnote>
  <w:footnote w:type="continuationSeparator" w:id="0">
    <w:p w14:paraId="1209CA3D" w14:textId="77777777" w:rsidR="00DC6CAA" w:rsidRDefault="00DC6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277F07"/>
    <w:multiLevelType w:val="hybridMultilevel"/>
    <w:tmpl w:val="F32EE99E"/>
    <w:lvl w:ilvl="0" w:tplc="03E4B9F6">
      <w:numFmt w:val="bullet"/>
      <w:lvlText w:val=""/>
      <w:lvlJc w:val="left"/>
      <w:pPr>
        <w:ind w:left="784" w:hanging="567"/>
      </w:pPr>
      <w:rPr>
        <w:rFonts w:ascii="Symbol" w:eastAsia="Symbol" w:hAnsi="Symbol" w:cs="Symbol" w:hint="default"/>
        <w:w w:val="100"/>
        <w:sz w:val="22"/>
        <w:szCs w:val="22"/>
      </w:rPr>
    </w:lvl>
    <w:lvl w:ilvl="1" w:tplc="A8F2E80C">
      <w:numFmt w:val="bullet"/>
      <w:lvlText w:val="•"/>
      <w:lvlJc w:val="left"/>
      <w:pPr>
        <w:ind w:left="1654" w:hanging="567"/>
      </w:pPr>
    </w:lvl>
    <w:lvl w:ilvl="2" w:tplc="CE1E002C">
      <w:numFmt w:val="bullet"/>
      <w:lvlText w:val="•"/>
      <w:lvlJc w:val="left"/>
      <w:pPr>
        <w:ind w:left="2529" w:hanging="567"/>
      </w:pPr>
    </w:lvl>
    <w:lvl w:ilvl="3" w:tplc="CE68F866">
      <w:numFmt w:val="bullet"/>
      <w:lvlText w:val="•"/>
      <w:lvlJc w:val="left"/>
      <w:pPr>
        <w:ind w:left="3403" w:hanging="567"/>
      </w:pPr>
    </w:lvl>
    <w:lvl w:ilvl="4" w:tplc="0C36B236">
      <w:numFmt w:val="bullet"/>
      <w:lvlText w:val="•"/>
      <w:lvlJc w:val="left"/>
      <w:pPr>
        <w:ind w:left="4278" w:hanging="567"/>
      </w:pPr>
    </w:lvl>
    <w:lvl w:ilvl="5" w:tplc="67B02292">
      <w:numFmt w:val="bullet"/>
      <w:lvlText w:val="•"/>
      <w:lvlJc w:val="left"/>
      <w:pPr>
        <w:ind w:left="5152" w:hanging="567"/>
      </w:pPr>
    </w:lvl>
    <w:lvl w:ilvl="6" w:tplc="BF48BA2E">
      <w:numFmt w:val="bullet"/>
      <w:lvlText w:val="•"/>
      <w:lvlJc w:val="left"/>
      <w:pPr>
        <w:ind w:left="6027" w:hanging="567"/>
      </w:pPr>
    </w:lvl>
    <w:lvl w:ilvl="7" w:tplc="034CC362">
      <w:numFmt w:val="bullet"/>
      <w:lvlText w:val="•"/>
      <w:lvlJc w:val="left"/>
      <w:pPr>
        <w:ind w:left="6901" w:hanging="567"/>
      </w:pPr>
    </w:lvl>
    <w:lvl w:ilvl="8" w:tplc="0D3AC096">
      <w:numFmt w:val="bullet"/>
      <w:lvlText w:val="•"/>
      <w:lvlJc w:val="left"/>
      <w:pPr>
        <w:ind w:left="7776" w:hanging="567"/>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6E7A65"/>
    <w:multiLevelType w:val="hybridMultilevel"/>
    <w:tmpl w:val="ACBAD55E"/>
    <w:lvl w:ilvl="0" w:tplc="25C4252C">
      <w:numFmt w:val="bullet"/>
      <w:lvlText w:val="•"/>
      <w:lvlJc w:val="left"/>
      <w:pPr>
        <w:ind w:left="1418" w:hanging="567"/>
      </w:pPr>
      <w:rPr>
        <w:rFonts w:ascii="Times New Roman" w:eastAsia="Times New Roman" w:hAnsi="Times New Roman" w:cs="Times New Roman" w:hint="default"/>
        <w:w w:val="100"/>
        <w:sz w:val="22"/>
        <w:szCs w:val="22"/>
      </w:rPr>
    </w:lvl>
    <w:lvl w:ilvl="1" w:tplc="6C521702">
      <w:numFmt w:val="bullet"/>
      <w:lvlText w:val="•"/>
      <w:lvlJc w:val="left"/>
      <w:pPr>
        <w:ind w:left="2288" w:hanging="567"/>
      </w:pPr>
    </w:lvl>
    <w:lvl w:ilvl="2" w:tplc="11A0A35C">
      <w:numFmt w:val="bullet"/>
      <w:lvlText w:val="•"/>
      <w:lvlJc w:val="left"/>
      <w:pPr>
        <w:ind w:left="3163" w:hanging="567"/>
      </w:pPr>
    </w:lvl>
    <w:lvl w:ilvl="3" w:tplc="87EE39EE">
      <w:numFmt w:val="bullet"/>
      <w:lvlText w:val="•"/>
      <w:lvlJc w:val="left"/>
      <w:pPr>
        <w:ind w:left="4037" w:hanging="567"/>
      </w:pPr>
    </w:lvl>
    <w:lvl w:ilvl="4" w:tplc="EA3A5C2E">
      <w:numFmt w:val="bullet"/>
      <w:lvlText w:val="•"/>
      <w:lvlJc w:val="left"/>
      <w:pPr>
        <w:ind w:left="4912" w:hanging="567"/>
      </w:pPr>
    </w:lvl>
    <w:lvl w:ilvl="5" w:tplc="E9BA083A">
      <w:numFmt w:val="bullet"/>
      <w:lvlText w:val="•"/>
      <w:lvlJc w:val="left"/>
      <w:pPr>
        <w:ind w:left="5786" w:hanging="567"/>
      </w:pPr>
    </w:lvl>
    <w:lvl w:ilvl="6" w:tplc="F8B4D54E">
      <w:numFmt w:val="bullet"/>
      <w:lvlText w:val="•"/>
      <w:lvlJc w:val="left"/>
      <w:pPr>
        <w:ind w:left="6661" w:hanging="567"/>
      </w:pPr>
    </w:lvl>
    <w:lvl w:ilvl="7" w:tplc="9692F086">
      <w:numFmt w:val="bullet"/>
      <w:lvlText w:val="•"/>
      <w:lvlJc w:val="left"/>
      <w:pPr>
        <w:ind w:left="7535" w:hanging="567"/>
      </w:pPr>
    </w:lvl>
    <w:lvl w:ilvl="8" w:tplc="EA0EB26A">
      <w:numFmt w:val="bullet"/>
      <w:lvlText w:val="•"/>
      <w:lvlJc w:val="left"/>
      <w:pPr>
        <w:ind w:left="8410" w:hanging="567"/>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E7A6BE7"/>
    <w:multiLevelType w:val="hybridMultilevel"/>
    <w:tmpl w:val="99C8169A"/>
    <w:lvl w:ilvl="0" w:tplc="6BB6C340">
      <w:start w:val="1"/>
      <w:numFmt w:val="decimal"/>
      <w:lvlText w:val="(%1)"/>
      <w:lvlJc w:val="left"/>
      <w:pPr>
        <w:ind w:left="529" w:hanging="312"/>
      </w:pPr>
      <w:rPr>
        <w:rFonts w:ascii="Times New Roman" w:eastAsia="Times New Roman" w:hAnsi="Times New Roman" w:cs="Times New Roman" w:hint="default"/>
        <w:spacing w:val="-1"/>
        <w:w w:val="100"/>
        <w:sz w:val="22"/>
        <w:szCs w:val="22"/>
      </w:rPr>
    </w:lvl>
    <w:lvl w:ilvl="1" w:tplc="28FCD052">
      <w:numFmt w:val="bullet"/>
      <w:lvlText w:val="•"/>
      <w:lvlJc w:val="left"/>
      <w:pPr>
        <w:ind w:left="1420" w:hanging="312"/>
      </w:pPr>
    </w:lvl>
    <w:lvl w:ilvl="2" w:tplc="5C440284">
      <w:numFmt w:val="bullet"/>
      <w:lvlText w:val="•"/>
      <w:lvlJc w:val="left"/>
      <w:pPr>
        <w:ind w:left="2321" w:hanging="312"/>
      </w:pPr>
    </w:lvl>
    <w:lvl w:ilvl="3" w:tplc="D1B24D02">
      <w:numFmt w:val="bullet"/>
      <w:lvlText w:val="•"/>
      <w:lvlJc w:val="left"/>
      <w:pPr>
        <w:ind w:left="3221" w:hanging="312"/>
      </w:pPr>
    </w:lvl>
    <w:lvl w:ilvl="4" w:tplc="C4FEF3A4">
      <w:numFmt w:val="bullet"/>
      <w:lvlText w:val="•"/>
      <w:lvlJc w:val="left"/>
      <w:pPr>
        <w:ind w:left="4122" w:hanging="312"/>
      </w:pPr>
    </w:lvl>
    <w:lvl w:ilvl="5" w:tplc="7F0C8D76">
      <w:numFmt w:val="bullet"/>
      <w:lvlText w:val="•"/>
      <w:lvlJc w:val="left"/>
      <w:pPr>
        <w:ind w:left="5022" w:hanging="312"/>
      </w:pPr>
    </w:lvl>
    <w:lvl w:ilvl="6" w:tplc="886C41D2">
      <w:numFmt w:val="bullet"/>
      <w:lvlText w:val="•"/>
      <w:lvlJc w:val="left"/>
      <w:pPr>
        <w:ind w:left="5923" w:hanging="312"/>
      </w:pPr>
    </w:lvl>
    <w:lvl w:ilvl="7" w:tplc="94AC03A6">
      <w:numFmt w:val="bullet"/>
      <w:lvlText w:val="•"/>
      <w:lvlJc w:val="left"/>
      <w:pPr>
        <w:ind w:left="6823" w:hanging="312"/>
      </w:pPr>
    </w:lvl>
    <w:lvl w:ilvl="8" w:tplc="4B906896">
      <w:numFmt w:val="bullet"/>
      <w:lvlText w:val="•"/>
      <w:lvlJc w:val="left"/>
      <w:pPr>
        <w:ind w:left="7724" w:hanging="312"/>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81"/>
    <w:rsid w:val="000259B9"/>
    <w:rsid w:val="00041491"/>
    <w:rsid w:val="00050D16"/>
    <w:rsid w:val="000730CA"/>
    <w:rsid w:val="00074F2A"/>
    <w:rsid w:val="000945FA"/>
    <w:rsid w:val="000A1CA8"/>
    <w:rsid w:val="000A466B"/>
    <w:rsid w:val="000A5A14"/>
    <w:rsid w:val="000B058C"/>
    <w:rsid w:val="000D68B0"/>
    <w:rsid w:val="000E4EE6"/>
    <w:rsid w:val="001454E2"/>
    <w:rsid w:val="00175F05"/>
    <w:rsid w:val="00206CE8"/>
    <w:rsid w:val="0021526C"/>
    <w:rsid w:val="00283A2B"/>
    <w:rsid w:val="002B2434"/>
    <w:rsid w:val="002B30AD"/>
    <w:rsid w:val="002C1EC0"/>
    <w:rsid w:val="002C2C01"/>
    <w:rsid w:val="002D1286"/>
    <w:rsid w:val="00312252"/>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539F7"/>
    <w:rsid w:val="0078011A"/>
    <w:rsid w:val="00782AF4"/>
    <w:rsid w:val="00790EE7"/>
    <w:rsid w:val="007B6649"/>
    <w:rsid w:val="007C3B21"/>
    <w:rsid w:val="0082576E"/>
    <w:rsid w:val="0089346F"/>
    <w:rsid w:val="008E0A81"/>
    <w:rsid w:val="00907F75"/>
    <w:rsid w:val="009260DE"/>
    <w:rsid w:val="0093258A"/>
    <w:rsid w:val="009C7BA3"/>
    <w:rsid w:val="009D1F5A"/>
    <w:rsid w:val="00A10294"/>
    <w:rsid w:val="00AC1EF5"/>
    <w:rsid w:val="00B003BF"/>
    <w:rsid w:val="00B373D7"/>
    <w:rsid w:val="00B55271"/>
    <w:rsid w:val="00BD7931"/>
    <w:rsid w:val="00BF6243"/>
    <w:rsid w:val="00C3612A"/>
    <w:rsid w:val="00C36276"/>
    <w:rsid w:val="00C40540"/>
    <w:rsid w:val="00C42586"/>
    <w:rsid w:val="00C45F6B"/>
    <w:rsid w:val="00C60CCD"/>
    <w:rsid w:val="00C84483"/>
    <w:rsid w:val="00C95551"/>
    <w:rsid w:val="00CB20D7"/>
    <w:rsid w:val="00CD3D34"/>
    <w:rsid w:val="00D020B0"/>
    <w:rsid w:val="00D11748"/>
    <w:rsid w:val="00D237F6"/>
    <w:rsid w:val="00D34D98"/>
    <w:rsid w:val="00D366CF"/>
    <w:rsid w:val="00D415D9"/>
    <w:rsid w:val="00D93992"/>
    <w:rsid w:val="00DC6CAA"/>
    <w:rsid w:val="00E108AA"/>
    <w:rsid w:val="00E3749A"/>
    <w:rsid w:val="00E7437F"/>
    <w:rsid w:val="00E865B8"/>
    <w:rsid w:val="00EA65FD"/>
    <w:rsid w:val="00EB1386"/>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FE70B"/>
  <w15:chartTrackingRefBased/>
  <w15:docId w15:val="{5BA14CF6-6D32-44C5-9438-50D4C550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DC6CAA"/>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DC6CAA"/>
    <w:rPr>
      <w:sz w:val="22"/>
      <w:szCs w:val="22"/>
      <w:lang w:val="en-US" w:eastAsia="en-US"/>
    </w:rPr>
  </w:style>
  <w:style w:type="paragraph" w:styleId="Listeafsnit">
    <w:name w:val="List Paragraph"/>
    <w:basedOn w:val="Normal"/>
    <w:uiPriority w:val="1"/>
    <w:qFormat/>
    <w:rsid w:val="00DC6CAA"/>
    <w:pPr>
      <w:widowControl w:val="0"/>
      <w:autoSpaceDE w:val="0"/>
      <w:autoSpaceDN w:val="0"/>
      <w:spacing w:line="252" w:lineRule="exact"/>
      <w:ind w:left="787" w:hanging="570"/>
    </w:pPr>
    <w:rPr>
      <w:sz w:val="22"/>
      <w:szCs w:val="22"/>
      <w:lang w:val="en-US"/>
    </w:rPr>
  </w:style>
  <w:style w:type="paragraph" w:customStyle="1" w:styleId="TableParagraph">
    <w:name w:val="Table Paragraph"/>
    <w:basedOn w:val="Normal"/>
    <w:uiPriority w:val="1"/>
    <w:qFormat/>
    <w:rsid w:val="00DC6CAA"/>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DC6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91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4376716">
      <w:bodyDiv w:val="1"/>
      <w:marLeft w:val="0"/>
      <w:marRight w:val="0"/>
      <w:marTop w:val="0"/>
      <w:marBottom w:val="0"/>
      <w:divBdr>
        <w:top w:val="none" w:sz="0" w:space="0" w:color="auto"/>
        <w:left w:val="none" w:sz="0" w:space="0" w:color="auto"/>
        <w:bottom w:val="none" w:sz="0" w:space="0" w:color="auto"/>
        <w:right w:val="none" w:sz="0" w:space="0" w:color="auto"/>
      </w:divBdr>
    </w:div>
    <w:div w:id="444271710">
      <w:bodyDiv w:val="1"/>
      <w:marLeft w:val="0"/>
      <w:marRight w:val="0"/>
      <w:marTop w:val="0"/>
      <w:marBottom w:val="0"/>
      <w:divBdr>
        <w:top w:val="none" w:sz="0" w:space="0" w:color="auto"/>
        <w:left w:val="none" w:sz="0" w:space="0" w:color="auto"/>
        <w:bottom w:val="none" w:sz="0" w:space="0" w:color="auto"/>
        <w:right w:val="none" w:sz="0" w:space="0" w:color="auto"/>
      </w:divBdr>
    </w:div>
    <w:div w:id="550776699">
      <w:bodyDiv w:val="1"/>
      <w:marLeft w:val="0"/>
      <w:marRight w:val="0"/>
      <w:marTop w:val="0"/>
      <w:marBottom w:val="0"/>
      <w:divBdr>
        <w:top w:val="none" w:sz="0" w:space="0" w:color="auto"/>
        <w:left w:val="none" w:sz="0" w:space="0" w:color="auto"/>
        <w:bottom w:val="none" w:sz="0" w:space="0" w:color="auto"/>
        <w:right w:val="none" w:sz="0" w:space="0" w:color="auto"/>
      </w:divBdr>
    </w:div>
    <w:div w:id="858619776">
      <w:bodyDiv w:val="1"/>
      <w:marLeft w:val="0"/>
      <w:marRight w:val="0"/>
      <w:marTop w:val="0"/>
      <w:marBottom w:val="0"/>
      <w:divBdr>
        <w:top w:val="none" w:sz="0" w:space="0" w:color="auto"/>
        <w:left w:val="none" w:sz="0" w:space="0" w:color="auto"/>
        <w:bottom w:val="none" w:sz="0" w:space="0" w:color="auto"/>
        <w:right w:val="none" w:sz="0" w:space="0" w:color="auto"/>
      </w:divBdr>
    </w:div>
    <w:div w:id="866020962">
      <w:bodyDiv w:val="1"/>
      <w:marLeft w:val="0"/>
      <w:marRight w:val="0"/>
      <w:marTop w:val="0"/>
      <w:marBottom w:val="0"/>
      <w:divBdr>
        <w:top w:val="none" w:sz="0" w:space="0" w:color="auto"/>
        <w:left w:val="none" w:sz="0" w:space="0" w:color="auto"/>
        <w:bottom w:val="none" w:sz="0" w:space="0" w:color="auto"/>
        <w:right w:val="none" w:sz="0" w:space="0" w:color="auto"/>
      </w:divBdr>
    </w:div>
    <w:div w:id="911086104">
      <w:bodyDiv w:val="1"/>
      <w:marLeft w:val="0"/>
      <w:marRight w:val="0"/>
      <w:marTop w:val="0"/>
      <w:marBottom w:val="0"/>
      <w:divBdr>
        <w:top w:val="none" w:sz="0" w:space="0" w:color="auto"/>
        <w:left w:val="none" w:sz="0" w:space="0" w:color="auto"/>
        <w:bottom w:val="none" w:sz="0" w:space="0" w:color="auto"/>
        <w:right w:val="none" w:sz="0" w:space="0" w:color="auto"/>
      </w:divBdr>
    </w:div>
    <w:div w:id="987317239">
      <w:bodyDiv w:val="1"/>
      <w:marLeft w:val="0"/>
      <w:marRight w:val="0"/>
      <w:marTop w:val="0"/>
      <w:marBottom w:val="0"/>
      <w:divBdr>
        <w:top w:val="none" w:sz="0" w:space="0" w:color="auto"/>
        <w:left w:val="none" w:sz="0" w:space="0" w:color="auto"/>
        <w:bottom w:val="none" w:sz="0" w:space="0" w:color="auto"/>
        <w:right w:val="none" w:sz="0" w:space="0" w:color="auto"/>
      </w:divBdr>
    </w:div>
    <w:div w:id="1076438471">
      <w:bodyDiv w:val="1"/>
      <w:marLeft w:val="0"/>
      <w:marRight w:val="0"/>
      <w:marTop w:val="0"/>
      <w:marBottom w:val="0"/>
      <w:divBdr>
        <w:top w:val="none" w:sz="0" w:space="0" w:color="auto"/>
        <w:left w:val="none" w:sz="0" w:space="0" w:color="auto"/>
        <w:bottom w:val="none" w:sz="0" w:space="0" w:color="auto"/>
        <w:right w:val="none" w:sz="0" w:space="0" w:color="auto"/>
      </w:divBdr>
    </w:div>
    <w:div w:id="1290168604">
      <w:bodyDiv w:val="1"/>
      <w:marLeft w:val="0"/>
      <w:marRight w:val="0"/>
      <w:marTop w:val="0"/>
      <w:marBottom w:val="0"/>
      <w:divBdr>
        <w:top w:val="none" w:sz="0" w:space="0" w:color="auto"/>
        <w:left w:val="none" w:sz="0" w:space="0" w:color="auto"/>
        <w:bottom w:val="none" w:sz="0" w:space="0" w:color="auto"/>
        <w:right w:val="none" w:sz="0" w:space="0" w:color="auto"/>
      </w:divBdr>
    </w:div>
    <w:div w:id="1325669678">
      <w:bodyDiv w:val="1"/>
      <w:marLeft w:val="0"/>
      <w:marRight w:val="0"/>
      <w:marTop w:val="0"/>
      <w:marBottom w:val="0"/>
      <w:divBdr>
        <w:top w:val="none" w:sz="0" w:space="0" w:color="auto"/>
        <w:left w:val="none" w:sz="0" w:space="0" w:color="auto"/>
        <w:bottom w:val="none" w:sz="0" w:space="0" w:color="auto"/>
        <w:right w:val="none" w:sz="0" w:space="0" w:color="auto"/>
      </w:divBdr>
    </w:div>
    <w:div w:id="1483697220">
      <w:bodyDiv w:val="1"/>
      <w:marLeft w:val="0"/>
      <w:marRight w:val="0"/>
      <w:marTop w:val="0"/>
      <w:marBottom w:val="0"/>
      <w:divBdr>
        <w:top w:val="none" w:sz="0" w:space="0" w:color="auto"/>
        <w:left w:val="none" w:sz="0" w:space="0" w:color="auto"/>
        <w:bottom w:val="none" w:sz="0" w:space="0" w:color="auto"/>
        <w:right w:val="none" w:sz="0" w:space="0" w:color="auto"/>
      </w:divBdr>
    </w:div>
    <w:div w:id="1535340338">
      <w:bodyDiv w:val="1"/>
      <w:marLeft w:val="0"/>
      <w:marRight w:val="0"/>
      <w:marTop w:val="0"/>
      <w:marBottom w:val="0"/>
      <w:divBdr>
        <w:top w:val="none" w:sz="0" w:space="0" w:color="auto"/>
        <w:left w:val="none" w:sz="0" w:space="0" w:color="auto"/>
        <w:bottom w:val="none" w:sz="0" w:space="0" w:color="auto"/>
        <w:right w:val="none" w:sz="0" w:space="0" w:color="auto"/>
      </w:divBdr>
    </w:div>
    <w:div w:id="1578436129">
      <w:bodyDiv w:val="1"/>
      <w:marLeft w:val="0"/>
      <w:marRight w:val="0"/>
      <w:marTop w:val="0"/>
      <w:marBottom w:val="0"/>
      <w:divBdr>
        <w:top w:val="none" w:sz="0" w:space="0" w:color="auto"/>
        <w:left w:val="none" w:sz="0" w:space="0" w:color="auto"/>
        <w:bottom w:val="none" w:sz="0" w:space="0" w:color="auto"/>
        <w:right w:val="none" w:sz="0" w:space="0" w:color="auto"/>
      </w:divBdr>
    </w:div>
    <w:div w:id="1635675303">
      <w:bodyDiv w:val="1"/>
      <w:marLeft w:val="0"/>
      <w:marRight w:val="0"/>
      <w:marTop w:val="0"/>
      <w:marBottom w:val="0"/>
      <w:divBdr>
        <w:top w:val="none" w:sz="0" w:space="0" w:color="auto"/>
        <w:left w:val="none" w:sz="0" w:space="0" w:color="auto"/>
        <w:bottom w:val="none" w:sz="0" w:space="0" w:color="auto"/>
        <w:right w:val="none" w:sz="0" w:space="0" w:color="auto"/>
      </w:divBdr>
    </w:div>
    <w:div w:id="1772043485">
      <w:bodyDiv w:val="1"/>
      <w:marLeft w:val="0"/>
      <w:marRight w:val="0"/>
      <w:marTop w:val="0"/>
      <w:marBottom w:val="0"/>
      <w:divBdr>
        <w:top w:val="none" w:sz="0" w:space="0" w:color="auto"/>
        <w:left w:val="none" w:sz="0" w:space="0" w:color="auto"/>
        <w:bottom w:val="none" w:sz="0" w:space="0" w:color="auto"/>
        <w:right w:val="none" w:sz="0" w:space="0" w:color="auto"/>
      </w:divBdr>
    </w:div>
    <w:div w:id="1893157287">
      <w:bodyDiv w:val="1"/>
      <w:marLeft w:val="0"/>
      <w:marRight w:val="0"/>
      <w:marTop w:val="0"/>
      <w:marBottom w:val="0"/>
      <w:divBdr>
        <w:top w:val="none" w:sz="0" w:space="0" w:color="auto"/>
        <w:left w:val="none" w:sz="0" w:space="0" w:color="auto"/>
        <w:bottom w:val="none" w:sz="0" w:space="0" w:color="auto"/>
        <w:right w:val="none" w:sz="0" w:space="0" w:color="auto"/>
      </w:divBdr>
    </w:div>
    <w:div w:id="1907260666">
      <w:bodyDiv w:val="1"/>
      <w:marLeft w:val="0"/>
      <w:marRight w:val="0"/>
      <w:marTop w:val="0"/>
      <w:marBottom w:val="0"/>
      <w:divBdr>
        <w:top w:val="none" w:sz="0" w:space="0" w:color="auto"/>
        <w:left w:val="none" w:sz="0" w:space="0" w:color="auto"/>
        <w:bottom w:val="none" w:sz="0" w:space="0" w:color="auto"/>
        <w:right w:val="none" w:sz="0" w:space="0" w:color="auto"/>
      </w:divBdr>
    </w:div>
    <w:div w:id="1949001863">
      <w:bodyDiv w:val="1"/>
      <w:marLeft w:val="0"/>
      <w:marRight w:val="0"/>
      <w:marTop w:val="0"/>
      <w:marBottom w:val="0"/>
      <w:divBdr>
        <w:top w:val="none" w:sz="0" w:space="0" w:color="auto"/>
        <w:left w:val="none" w:sz="0" w:space="0" w:color="auto"/>
        <w:bottom w:val="none" w:sz="0" w:space="0" w:color="auto"/>
        <w:right w:val="none" w:sz="0" w:space="0" w:color="auto"/>
      </w:divBdr>
    </w:div>
    <w:div w:id="1960990024">
      <w:bodyDiv w:val="1"/>
      <w:marLeft w:val="0"/>
      <w:marRight w:val="0"/>
      <w:marTop w:val="0"/>
      <w:marBottom w:val="0"/>
      <w:divBdr>
        <w:top w:val="none" w:sz="0" w:space="0" w:color="auto"/>
        <w:left w:val="none" w:sz="0" w:space="0" w:color="auto"/>
        <w:bottom w:val="none" w:sz="0" w:space="0" w:color="auto"/>
        <w:right w:val="none" w:sz="0" w:space="0" w:color="auto"/>
      </w:divBdr>
    </w:div>
    <w:div w:id="1963807739">
      <w:bodyDiv w:val="1"/>
      <w:marLeft w:val="0"/>
      <w:marRight w:val="0"/>
      <w:marTop w:val="0"/>
      <w:marBottom w:val="0"/>
      <w:divBdr>
        <w:top w:val="none" w:sz="0" w:space="0" w:color="auto"/>
        <w:left w:val="none" w:sz="0" w:space="0" w:color="auto"/>
        <w:bottom w:val="none" w:sz="0" w:space="0" w:color="auto"/>
        <w:right w:val="none" w:sz="0" w:space="0" w:color="auto"/>
      </w:divBdr>
    </w:div>
    <w:div w:id="2069496565">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18</TotalTime>
  <Pages>25</Pages>
  <Words>8968</Words>
  <Characters>56077</Characters>
  <Application>Microsoft Office Word</Application>
  <DocSecurity>0</DocSecurity>
  <Lines>467</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2023080548, MT</dc:description>
  <cp:lastModifiedBy>Gitte Jørgensen</cp:lastModifiedBy>
  <cp:revision>6</cp:revision>
  <cp:lastPrinted>2012-08-22T08:53:00Z</cp:lastPrinted>
  <dcterms:created xsi:type="dcterms:W3CDTF">2025-03-05T12:26:00Z</dcterms:created>
  <dcterms:modified xsi:type="dcterms:W3CDTF">2025-03-06T08:22:00Z</dcterms:modified>
</cp:coreProperties>
</file>