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A1568" w14:textId="77777777" w:rsidR="009260DE" w:rsidRPr="006D5543" w:rsidRDefault="0021526C" w:rsidP="009260DE">
      <w:pPr>
        <w:rPr>
          <w:sz w:val="24"/>
          <w:szCs w:val="24"/>
        </w:rPr>
      </w:pPr>
      <w:r w:rsidRPr="006D5543">
        <w:rPr>
          <w:noProof/>
          <w:sz w:val="24"/>
          <w:szCs w:val="24"/>
          <w:lang w:eastAsia="da-DK"/>
        </w:rPr>
        <w:drawing>
          <wp:anchor distT="0" distB="0" distL="114300" distR="114300" simplePos="0" relativeHeight="251658240" behindDoc="0" locked="0" layoutInCell="1" allowOverlap="1" wp14:anchorId="0C649528" wp14:editId="09BAD00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D5543">
        <w:rPr>
          <w:sz w:val="24"/>
          <w:szCs w:val="24"/>
        </w:rPr>
        <w:br w:type="textWrapping" w:clear="all"/>
      </w:r>
    </w:p>
    <w:p w14:paraId="6AF3F319" w14:textId="77777777" w:rsidR="009260DE" w:rsidRPr="006D5543" w:rsidRDefault="009260DE" w:rsidP="009260DE">
      <w:pPr>
        <w:pStyle w:val="Titel"/>
        <w:tabs>
          <w:tab w:val="right" w:pos="9356"/>
        </w:tabs>
        <w:jc w:val="left"/>
        <w:rPr>
          <w:b w:val="0"/>
          <w:szCs w:val="24"/>
          <w:lang w:eastAsia="en-US"/>
        </w:rPr>
      </w:pPr>
    </w:p>
    <w:p w14:paraId="2BC1E864" w14:textId="13EB8C02" w:rsidR="009260DE" w:rsidRPr="006D5543" w:rsidRDefault="009260DE" w:rsidP="009260DE">
      <w:pPr>
        <w:pStyle w:val="Titel"/>
        <w:tabs>
          <w:tab w:val="right" w:pos="9356"/>
        </w:tabs>
        <w:jc w:val="left"/>
        <w:rPr>
          <w:b w:val="0"/>
          <w:szCs w:val="24"/>
          <w:lang w:eastAsia="en-US"/>
        </w:rPr>
      </w:pPr>
      <w:r w:rsidRPr="006D5543">
        <w:rPr>
          <w:b w:val="0"/>
          <w:szCs w:val="24"/>
          <w:lang w:eastAsia="en-US"/>
        </w:rPr>
        <w:tab/>
      </w:r>
      <w:r w:rsidR="00444207">
        <w:rPr>
          <w:szCs w:val="24"/>
        </w:rPr>
        <w:t>15. august 2022</w:t>
      </w:r>
    </w:p>
    <w:p w14:paraId="48FD03CB" w14:textId="77777777" w:rsidR="009260DE" w:rsidRPr="006D5543" w:rsidRDefault="009260DE" w:rsidP="009260DE">
      <w:pPr>
        <w:pStyle w:val="Titel"/>
        <w:tabs>
          <w:tab w:val="left" w:pos="8222"/>
        </w:tabs>
        <w:jc w:val="left"/>
        <w:rPr>
          <w:b w:val="0"/>
          <w:szCs w:val="24"/>
        </w:rPr>
      </w:pPr>
    </w:p>
    <w:p w14:paraId="2D8756D1" w14:textId="77777777" w:rsidR="009260DE" w:rsidRPr="006D5543" w:rsidRDefault="009260DE" w:rsidP="009260DE">
      <w:pPr>
        <w:pStyle w:val="Titel"/>
        <w:jc w:val="left"/>
        <w:rPr>
          <w:b w:val="0"/>
          <w:szCs w:val="24"/>
        </w:rPr>
      </w:pPr>
    </w:p>
    <w:p w14:paraId="3C1A621F" w14:textId="77777777" w:rsidR="009260DE" w:rsidRPr="006D5543" w:rsidRDefault="009260DE" w:rsidP="009260DE">
      <w:pPr>
        <w:pStyle w:val="Titel"/>
        <w:jc w:val="left"/>
        <w:rPr>
          <w:b w:val="0"/>
          <w:szCs w:val="24"/>
        </w:rPr>
      </w:pPr>
    </w:p>
    <w:p w14:paraId="5B332311" w14:textId="77777777" w:rsidR="009260DE" w:rsidRPr="006D5543" w:rsidRDefault="009260DE" w:rsidP="009260DE">
      <w:pPr>
        <w:jc w:val="center"/>
        <w:rPr>
          <w:b/>
          <w:sz w:val="24"/>
          <w:szCs w:val="24"/>
        </w:rPr>
      </w:pPr>
      <w:r w:rsidRPr="006D5543">
        <w:rPr>
          <w:b/>
          <w:sz w:val="24"/>
          <w:szCs w:val="24"/>
        </w:rPr>
        <w:t>PRODUKTRESUMÉ</w:t>
      </w:r>
    </w:p>
    <w:p w14:paraId="53D51AEA" w14:textId="77777777" w:rsidR="009260DE" w:rsidRPr="006D5543" w:rsidRDefault="009260DE" w:rsidP="009260DE">
      <w:pPr>
        <w:jc w:val="center"/>
        <w:rPr>
          <w:b/>
          <w:sz w:val="24"/>
          <w:szCs w:val="24"/>
        </w:rPr>
      </w:pPr>
    </w:p>
    <w:p w14:paraId="317677BF" w14:textId="77777777" w:rsidR="009260DE" w:rsidRPr="006D5543" w:rsidRDefault="009260DE" w:rsidP="009260DE">
      <w:pPr>
        <w:jc w:val="center"/>
        <w:rPr>
          <w:b/>
          <w:sz w:val="24"/>
          <w:szCs w:val="24"/>
        </w:rPr>
      </w:pPr>
      <w:r w:rsidRPr="006D5543">
        <w:rPr>
          <w:b/>
          <w:sz w:val="24"/>
          <w:szCs w:val="24"/>
        </w:rPr>
        <w:t>for</w:t>
      </w:r>
    </w:p>
    <w:p w14:paraId="28DCB414" w14:textId="77777777" w:rsidR="000B058C" w:rsidRPr="006D5543" w:rsidRDefault="000B058C" w:rsidP="009260DE">
      <w:pPr>
        <w:jc w:val="center"/>
        <w:rPr>
          <w:b/>
          <w:sz w:val="24"/>
          <w:szCs w:val="24"/>
        </w:rPr>
      </w:pPr>
    </w:p>
    <w:p w14:paraId="35F52700" w14:textId="77777777" w:rsidR="009260DE" w:rsidRPr="006D5543" w:rsidRDefault="00D92715" w:rsidP="009260DE">
      <w:pPr>
        <w:jc w:val="center"/>
        <w:rPr>
          <w:b/>
          <w:sz w:val="24"/>
          <w:szCs w:val="24"/>
        </w:rPr>
      </w:pPr>
      <w:r w:rsidRPr="006D5543">
        <w:rPr>
          <w:b/>
          <w:sz w:val="24"/>
          <w:szCs w:val="24"/>
        </w:rPr>
        <w:t>Glyronul, injektionsvæske, opløsning</w:t>
      </w:r>
    </w:p>
    <w:p w14:paraId="18E60CA2" w14:textId="77777777" w:rsidR="009260DE" w:rsidRPr="006D5543" w:rsidRDefault="009260DE" w:rsidP="009260DE">
      <w:pPr>
        <w:jc w:val="both"/>
        <w:rPr>
          <w:sz w:val="24"/>
          <w:szCs w:val="24"/>
        </w:rPr>
      </w:pPr>
    </w:p>
    <w:p w14:paraId="4C7F7054" w14:textId="77777777" w:rsidR="009260DE" w:rsidRPr="006D5543" w:rsidRDefault="009260DE" w:rsidP="009260DE">
      <w:pPr>
        <w:jc w:val="both"/>
        <w:rPr>
          <w:sz w:val="24"/>
          <w:szCs w:val="24"/>
        </w:rPr>
      </w:pPr>
    </w:p>
    <w:p w14:paraId="50051950" w14:textId="77777777" w:rsidR="009260DE" w:rsidRPr="006D5543" w:rsidRDefault="009260DE" w:rsidP="009260DE">
      <w:pPr>
        <w:tabs>
          <w:tab w:val="left" w:pos="851"/>
        </w:tabs>
        <w:ind w:left="851" w:hanging="851"/>
        <w:rPr>
          <w:b/>
          <w:sz w:val="24"/>
          <w:szCs w:val="24"/>
        </w:rPr>
      </w:pPr>
      <w:r w:rsidRPr="006D5543">
        <w:rPr>
          <w:b/>
          <w:sz w:val="24"/>
          <w:szCs w:val="24"/>
        </w:rPr>
        <w:t>0.</w:t>
      </w:r>
      <w:r w:rsidRPr="006D5543">
        <w:rPr>
          <w:b/>
          <w:sz w:val="24"/>
          <w:szCs w:val="24"/>
        </w:rPr>
        <w:tab/>
        <w:t>D.SP.NR.</w:t>
      </w:r>
    </w:p>
    <w:p w14:paraId="6EA8E0E2" w14:textId="3D2CB84E" w:rsidR="009260DE" w:rsidRPr="006D5543" w:rsidRDefault="00965F7F" w:rsidP="009260DE">
      <w:pPr>
        <w:tabs>
          <w:tab w:val="left" w:pos="851"/>
        </w:tabs>
        <w:ind w:left="851"/>
        <w:rPr>
          <w:sz w:val="24"/>
          <w:szCs w:val="24"/>
        </w:rPr>
      </w:pPr>
      <w:r w:rsidRPr="006D5543">
        <w:rPr>
          <w:sz w:val="24"/>
          <w:szCs w:val="24"/>
        </w:rPr>
        <w:t>32461</w:t>
      </w:r>
    </w:p>
    <w:p w14:paraId="5FC84199" w14:textId="77777777" w:rsidR="009260DE" w:rsidRPr="006D5543" w:rsidRDefault="009260DE" w:rsidP="009260DE">
      <w:pPr>
        <w:tabs>
          <w:tab w:val="left" w:pos="851"/>
        </w:tabs>
        <w:ind w:left="851"/>
        <w:rPr>
          <w:sz w:val="24"/>
          <w:szCs w:val="24"/>
        </w:rPr>
      </w:pPr>
    </w:p>
    <w:p w14:paraId="20898265" w14:textId="77777777" w:rsidR="009260DE" w:rsidRPr="006D5543" w:rsidRDefault="009260DE" w:rsidP="009260DE">
      <w:pPr>
        <w:tabs>
          <w:tab w:val="left" w:pos="851"/>
        </w:tabs>
        <w:ind w:left="851" w:hanging="851"/>
        <w:rPr>
          <w:b/>
          <w:sz w:val="24"/>
          <w:szCs w:val="24"/>
        </w:rPr>
      </w:pPr>
      <w:r w:rsidRPr="006D5543">
        <w:rPr>
          <w:b/>
          <w:sz w:val="24"/>
          <w:szCs w:val="24"/>
        </w:rPr>
        <w:t>1.</w:t>
      </w:r>
      <w:r w:rsidRPr="006D5543">
        <w:rPr>
          <w:b/>
          <w:sz w:val="24"/>
          <w:szCs w:val="24"/>
        </w:rPr>
        <w:tab/>
        <w:t>LÆGEMIDLETS NAVN</w:t>
      </w:r>
    </w:p>
    <w:p w14:paraId="565C212D" w14:textId="776C7FE7" w:rsidR="009260DE" w:rsidRPr="006D5543" w:rsidRDefault="00965F7F" w:rsidP="009260DE">
      <w:pPr>
        <w:tabs>
          <w:tab w:val="left" w:pos="851"/>
        </w:tabs>
        <w:ind w:left="851"/>
        <w:rPr>
          <w:sz w:val="24"/>
          <w:szCs w:val="24"/>
        </w:rPr>
      </w:pPr>
      <w:r w:rsidRPr="006D5543">
        <w:rPr>
          <w:sz w:val="24"/>
          <w:szCs w:val="24"/>
        </w:rPr>
        <w:t>Glyronul</w:t>
      </w:r>
    </w:p>
    <w:p w14:paraId="277195F0" w14:textId="77777777" w:rsidR="009260DE" w:rsidRPr="006D5543" w:rsidRDefault="009260DE" w:rsidP="009260DE">
      <w:pPr>
        <w:tabs>
          <w:tab w:val="left" w:pos="851"/>
        </w:tabs>
        <w:ind w:left="851"/>
        <w:rPr>
          <w:sz w:val="24"/>
          <w:szCs w:val="24"/>
        </w:rPr>
      </w:pPr>
    </w:p>
    <w:p w14:paraId="4B91E2D1" w14:textId="77777777" w:rsidR="009260DE" w:rsidRPr="006D5543" w:rsidRDefault="009260DE" w:rsidP="009260DE">
      <w:pPr>
        <w:tabs>
          <w:tab w:val="left" w:pos="851"/>
        </w:tabs>
        <w:ind w:left="851" w:hanging="851"/>
        <w:rPr>
          <w:b/>
          <w:sz w:val="24"/>
          <w:szCs w:val="24"/>
        </w:rPr>
      </w:pPr>
      <w:r w:rsidRPr="006D5543">
        <w:rPr>
          <w:b/>
          <w:sz w:val="24"/>
          <w:szCs w:val="24"/>
        </w:rPr>
        <w:t>2.</w:t>
      </w:r>
      <w:r w:rsidRPr="006D5543">
        <w:rPr>
          <w:b/>
          <w:sz w:val="24"/>
          <w:szCs w:val="24"/>
        </w:rPr>
        <w:tab/>
        <w:t>KVALITATIV OG KVANTITATIV SAMMENSÆTNING</w:t>
      </w:r>
    </w:p>
    <w:p w14:paraId="23A84EF1" w14:textId="77777777" w:rsidR="00965F7F" w:rsidRPr="006D5543" w:rsidRDefault="00965F7F" w:rsidP="00965F7F">
      <w:pPr>
        <w:tabs>
          <w:tab w:val="left" w:pos="851"/>
        </w:tabs>
        <w:ind w:left="851"/>
        <w:rPr>
          <w:sz w:val="24"/>
          <w:szCs w:val="24"/>
        </w:rPr>
      </w:pPr>
      <w:bookmarkStart w:id="0" w:name="_Hlk503800747"/>
      <w:r w:rsidRPr="006D5543">
        <w:rPr>
          <w:sz w:val="24"/>
          <w:szCs w:val="24"/>
        </w:rPr>
        <w:t>1 ml indeholder 0,2 mg glycopyrroniumbromid</w:t>
      </w:r>
      <w:bookmarkEnd w:id="0"/>
      <w:r w:rsidRPr="006D5543">
        <w:rPr>
          <w:sz w:val="24"/>
          <w:szCs w:val="24"/>
        </w:rPr>
        <w:t>.</w:t>
      </w:r>
    </w:p>
    <w:p w14:paraId="0AE92622" w14:textId="77777777" w:rsidR="00965F7F" w:rsidRPr="006D5543" w:rsidRDefault="00965F7F" w:rsidP="00965F7F">
      <w:pPr>
        <w:tabs>
          <w:tab w:val="left" w:pos="851"/>
        </w:tabs>
        <w:ind w:left="851"/>
        <w:rPr>
          <w:sz w:val="24"/>
          <w:szCs w:val="24"/>
        </w:rPr>
      </w:pPr>
    </w:p>
    <w:p w14:paraId="2D688AC5" w14:textId="04C32158" w:rsidR="00965F7F" w:rsidRPr="006D5543" w:rsidRDefault="00965F7F" w:rsidP="00965F7F">
      <w:pPr>
        <w:tabs>
          <w:tab w:val="left" w:pos="851"/>
        </w:tabs>
        <w:ind w:left="851"/>
        <w:rPr>
          <w:sz w:val="24"/>
          <w:szCs w:val="24"/>
          <w:u w:val="single"/>
        </w:rPr>
      </w:pPr>
      <w:r w:rsidRPr="006D5543">
        <w:rPr>
          <w:sz w:val="24"/>
          <w:szCs w:val="24"/>
          <w:u w:val="single"/>
        </w:rPr>
        <w:t>Hjælpestof, som behandleren skal være opmærksom på</w:t>
      </w:r>
    </w:p>
    <w:p w14:paraId="1EA065AF" w14:textId="77777777" w:rsidR="00965F7F" w:rsidRPr="006D5543" w:rsidRDefault="00965F7F" w:rsidP="00965F7F">
      <w:pPr>
        <w:tabs>
          <w:tab w:val="left" w:pos="851"/>
        </w:tabs>
        <w:ind w:left="851"/>
        <w:rPr>
          <w:sz w:val="24"/>
          <w:szCs w:val="24"/>
        </w:rPr>
      </w:pPr>
      <w:r w:rsidRPr="006D5543">
        <w:rPr>
          <w:sz w:val="24"/>
          <w:szCs w:val="24"/>
        </w:rPr>
        <w:t>Indeholder 9,0 mg natriumklorid per ml.</w:t>
      </w:r>
    </w:p>
    <w:p w14:paraId="0A69B44F" w14:textId="77777777" w:rsidR="00965F7F" w:rsidRPr="006D5543" w:rsidRDefault="00965F7F" w:rsidP="00965F7F">
      <w:pPr>
        <w:tabs>
          <w:tab w:val="left" w:pos="851"/>
        </w:tabs>
        <w:ind w:left="851"/>
        <w:rPr>
          <w:sz w:val="24"/>
          <w:szCs w:val="24"/>
        </w:rPr>
      </w:pPr>
    </w:p>
    <w:p w14:paraId="1436E3FD" w14:textId="77777777" w:rsidR="00965F7F" w:rsidRPr="006D5543" w:rsidRDefault="00965F7F" w:rsidP="00965F7F">
      <w:pPr>
        <w:tabs>
          <w:tab w:val="left" w:pos="851"/>
        </w:tabs>
        <w:ind w:left="851"/>
        <w:rPr>
          <w:sz w:val="24"/>
          <w:szCs w:val="24"/>
        </w:rPr>
      </w:pPr>
      <w:r w:rsidRPr="006D5543">
        <w:rPr>
          <w:sz w:val="24"/>
          <w:szCs w:val="24"/>
        </w:rPr>
        <w:t>Alle hjælpestoffer er anført under pkt. 6.1.</w:t>
      </w:r>
    </w:p>
    <w:p w14:paraId="2F7DC791" w14:textId="77777777" w:rsidR="009260DE" w:rsidRPr="006D5543" w:rsidRDefault="009260DE" w:rsidP="009260DE">
      <w:pPr>
        <w:tabs>
          <w:tab w:val="left" w:pos="851"/>
        </w:tabs>
        <w:ind w:left="851"/>
        <w:rPr>
          <w:sz w:val="24"/>
          <w:szCs w:val="24"/>
        </w:rPr>
      </w:pPr>
    </w:p>
    <w:p w14:paraId="075DD494" w14:textId="77777777" w:rsidR="009260DE" w:rsidRPr="006D5543" w:rsidRDefault="009260DE" w:rsidP="009260DE">
      <w:pPr>
        <w:tabs>
          <w:tab w:val="left" w:pos="851"/>
        </w:tabs>
        <w:ind w:left="851" w:hanging="851"/>
        <w:rPr>
          <w:b/>
          <w:sz w:val="24"/>
          <w:szCs w:val="24"/>
        </w:rPr>
      </w:pPr>
      <w:r w:rsidRPr="006D5543">
        <w:rPr>
          <w:b/>
          <w:sz w:val="24"/>
          <w:szCs w:val="24"/>
        </w:rPr>
        <w:t>3.</w:t>
      </w:r>
      <w:r w:rsidRPr="006D5543">
        <w:rPr>
          <w:b/>
          <w:sz w:val="24"/>
          <w:szCs w:val="24"/>
        </w:rPr>
        <w:tab/>
        <w:t>LÆGEMIDDELFORM</w:t>
      </w:r>
    </w:p>
    <w:p w14:paraId="3D7E1A95" w14:textId="580A0096" w:rsidR="002502CB" w:rsidRPr="006D5543" w:rsidRDefault="002502CB" w:rsidP="002502CB">
      <w:pPr>
        <w:tabs>
          <w:tab w:val="left" w:pos="851"/>
        </w:tabs>
        <w:ind w:left="851"/>
        <w:rPr>
          <w:sz w:val="24"/>
          <w:szCs w:val="24"/>
        </w:rPr>
      </w:pPr>
      <w:r w:rsidRPr="006D5543">
        <w:rPr>
          <w:sz w:val="24"/>
          <w:szCs w:val="24"/>
        </w:rPr>
        <w:t>Injektionsvæske, opløsning</w:t>
      </w:r>
    </w:p>
    <w:p w14:paraId="12C5621F" w14:textId="77777777" w:rsidR="002502CB" w:rsidRPr="006D5543" w:rsidRDefault="002502CB" w:rsidP="002502CB">
      <w:pPr>
        <w:tabs>
          <w:tab w:val="left" w:pos="851"/>
        </w:tabs>
        <w:ind w:left="851"/>
        <w:rPr>
          <w:sz w:val="24"/>
          <w:szCs w:val="24"/>
        </w:rPr>
      </w:pPr>
    </w:p>
    <w:p w14:paraId="29CE957B" w14:textId="77777777" w:rsidR="002502CB" w:rsidRPr="006D5543" w:rsidRDefault="002502CB" w:rsidP="002502CB">
      <w:pPr>
        <w:tabs>
          <w:tab w:val="left" w:pos="851"/>
        </w:tabs>
        <w:ind w:left="851"/>
        <w:rPr>
          <w:sz w:val="24"/>
          <w:szCs w:val="24"/>
        </w:rPr>
      </w:pPr>
      <w:r w:rsidRPr="006D5543">
        <w:rPr>
          <w:sz w:val="24"/>
          <w:szCs w:val="24"/>
        </w:rPr>
        <w:t>Klar, farveløs opløsning.</w:t>
      </w:r>
    </w:p>
    <w:p w14:paraId="754950DE" w14:textId="77777777" w:rsidR="002502CB" w:rsidRPr="006D5543" w:rsidRDefault="002502CB" w:rsidP="002502CB">
      <w:pPr>
        <w:tabs>
          <w:tab w:val="left" w:pos="851"/>
        </w:tabs>
        <w:ind w:left="851"/>
        <w:rPr>
          <w:sz w:val="24"/>
          <w:szCs w:val="24"/>
        </w:rPr>
      </w:pPr>
    </w:p>
    <w:p w14:paraId="5FE11B7A" w14:textId="77777777" w:rsidR="009260DE" w:rsidRPr="006D5543" w:rsidRDefault="009260DE" w:rsidP="009260DE">
      <w:pPr>
        <w:tabs>
          <w:tab w:val="left" w:pos="851"/>
        </w:tabs>
        <w:ind w:left="851"/>
        <w:rPr>
          <w:sz w:val="24"/>
          <w:szCs w:val="24"/>
        </w:rPr>
      </w:pPr>
    </w:p>
    <w:p w14:paraId="59E7FB93" w14:textId="77777777" w:rsidR="009260DE" w:rsidRPr="006D5543" w:rsidRDefault="009260DE" w:rsidP="009260DE">
      <w:pPr>
        <w:tabs>
          <w:tab w:val="left" w:pos="851"/>
        </w:tabs>
        <w:ind w:left="851"/>
        <w:rPr>
          <w:sz w:val="24"/>
          <w:szCs w:val="24"/>
        </w:rPr>
      </w:pPr>
    </w:p>
    <w:p w14:paraId="33AB1197" w14:textId="77777777" w:rsidR="009260DE" w:rsidRPr="006D5543" w:rsidRDefault="009260DE" w:rsidP="009260DE">
      <w:pPr>
        <w:tabs>
          <w:tab w:val="left" w:pos="851"/>
        </w:tabs>
        <w:ind w:left="851" w:hanging="851"/>
        <w:rPr>
          <w:b/>
          <w:sz w:val="24"/>
          <w:szCs w:val="24"/>
        </w:rPr>
      </w:pPr>
      <w:r w:rsidRPr="006D5543">
        <w:rPr>
          <w:b/>
          <w:sz w:val="24"/>
          <w:szCs w:val="24"/>
        </w:rPr>
        <w:t>4.</w:t>
      </w:r>
      <w:r w:rsidRPr="006D5543">
        <w:rPr>
          <w:b/>
          <w:sz w:val="24"/>
          <w:szCs w:val="24"/>
        </w:rPr>
        <w:tab/>
        <w:t>KLINISKE OPLYSNINGER</w:t>
      </w:r>
    </w:p>
    <w:p w14:paraId="44CEA9DE" w14:textId="77777777" w:rsidR="009260DE" w:rsidRPr="006D5543" w:rsidRDefault="009260DE" w:rsidP="009260DE">
      <w:pPr>
        <w:tabs>
          <w:tab w:val="left" w:pos="851"/>
        </w:tabs>
        <w:ind w:left="851"/>
        <w:rPr>
          <w:b/>
          <w:sz w:val="24"/>
          <w:szCs w:val="24"/>
        </w:rPr>
      </w:pPr>
    </w:p>
    <w:p w14:paraId="47578596" w14:textId="77777777" w:rsidR="009260DE" w:rsidRPr="006D5543" w:rsidRDefault="009260DE" w:rsidP="009260DE">
      <w:pPr>
        <w:tabs>
          <w:tab w:val="left" w:pos="851"/>
        </w:tabs>
        <w:ind w:left="851" w:hanging="851"/>
        <w:rPr>
          <w:b/>
          <w:sz w:val="24"/>
          <w:szCs w:val="24"/>
          <w:u w:val="single"/>
        </w:rPr>
      </w:pPr>
      <w:r w:rsidRPr="006D5543">
        <w:rPr>
          <w:b/>
          <w:sz w:val="24"/>
          <w:szCs w:val="24"/>
        </w:rPr>
        <w:t>4.1</w:t>
      </w:r>
      <w:r w:rsidRPr="006D5543">
        <w:rPr>
          <w:b/>
          <w:sz w:val="24"/>
          <w:szCs w:val="24"/>
        </w:rPr>
        <w:tab/>
        <w:t>Terapeutiske indikationer</w:t>
      </w:r>
    </w:p>
    <w:p w14:paraId="418DE3B7" w14:textId="77777777" w:rsidR="000F5C88" w:rsidRPr="006D5543" w:rsidRDefault="000F5C88" w:rsidP="000F5C88">
      <w:pPr>
        <w:tabs>
          <w:tab w:val="left" w:pos="851"/>
        </w:tabs>
        <w:ind w:left="851"/>
        <w:rPr>
          <w:sz w:val="24"/>
          <w:szCs w:val="24"/>
        </w:rPr>
      </w:pPr>
      <w:r w:rsidRPr="006D5543">
        <w:rPr>
          <w:sz w:val="24"/>
          <w:szCs w:val="24"/>
        </w:rPr>
        <w:t xml:space="preserve">Til beskyttelse mod perifere muskarine virkninger af </w:t>
      </w:r>
      <w:bookmarkStart w:id="1" w:name="_Hlk503520997"/>
      <w:r w:rsidRPr="006D5543">
        <w:rPr>
          <w:sz w:val="24"/>
          <w:szCs w:val="24"/>
        </w:rPr>
        <w:t>kolinesterasehæmmere</w:t>
      </w:r>
      <w:bookmarkEnd w:id="1"/>
      <w:r w:rsidRPr="006D5543">
        <w:rPr>
          <w:sz w:val="24"/>
          <w:szCs w:val="24"/>
        </w:rPr>
        <w:t>, der anvendes til revertering af residual neuromuskulær blokade forårsaget af ikke-depolariserende muskelafslappende midler.</w:t>
      </w:r>
    </w:p>
    <w:p w14:paraId="7B65BB11" w14:textId="77777777" w:rsidR="000F5C88" w:rsidRPr="006D5543" w:rsidRDefault="000F5C88" w:rsidP="000F5C88">
      <w:pPr>
        <w:tabs>
          <w:tab w:val="left" w:pos="851"/>
        </w:tabs>
        <w:ind w:left="851"/>
        <w:rPr>
          <w:sz w:val="24"/>
          <w:szCs w:val="24"/>
        </w:rPr>
      </w:pPr>
    </w:p>
    <w:p w14:paraId="08C68858" w14:textId="329D5DDE" w:rsidR="000F5C88" w:rsidRPr="006D5543" w:rsidRDefault="000F5C88" w:rsidP="000F5C88">
      <w:pPr>
        <w:tabs>
          <w:tab w:val="left" w:pos="851"/>
        </w:tabs>
        <w:ind w:left="851"/>
        <w:rPr>
          <w:sz w:val="24"/>
          <w:szCs w:val="24"/>
        </w:rPr>
      </w:pPr>
      <w:r w:rsidRPr="006D5543">
        <w:rPr>
          <w:sz w:val="24"/>
          <w:szCs w:val="24"/>
        </w:rPr>
        <w:t>Som et præoperativ</w:t>
      </w:r>
      <w:r w:rsidR="00175019" w:rsidRPr="006D5543">
        <w:rPr>
          <w:sz w:val="24"/>
          <w:szCs w:val="24"/>
        </w:rPr>
        <w:t>t</w:t>
      </w:r>
      <w:r w:rsidRPr="006D5543">
        <w:rPr>
          <w:sz w:val="24"/>
          <w:szCs w:val="24"/>
        </w:rPr>
        <w:t xml:space="preserve"> antimuskarint middel til reduktion af trakeobronkial og pharyngeal spytsekretion samt reducering af syreindholdet i maven.</w:t>
      </w:r>
    </w:p>
    <w:p w14:paraId="43695389" w14:textId="77777777" w:rsidR="000F5C88" w:rsidRPr="006D5543" w:rsidRDefault="000F5C88" w:rsidP="000F5C88">
      <w:pPr>
        <w:tabs>
          <w:tab w:val="left" w:pos="851"/>
        </w:tabs>
        <w:ind w:left="851"/>
        <w:rPr>
          <w:sz w:val="24"/>
          <w:szCs w:val="24"/>
        </w:rPr>
      </w:pPr>
    </w:p>
    <w:p w14:paraId="3AB6981F" w14:textId="25C2860D" w:rsidR="000F5C88" w:rsidRPr="006D5543" w:rsidRDefault="000F5C88" w:rsidP="000F5C88">
      <w:pPr>
        <w:tabs>
          <w:tab w:val="left" w:pos="851"/>
        </w:tabs>
        <w:ind w:left="851"/>
        <w:rPr>
          <w:sz w:val="24"/>
          <w:szCs w:val="24"/>
        </w:rPr>
      </w:pPr>
      <w:r w:rsidRPr="006D5543">
        <w:rPr>
          <w:sz w:val="24"/>
          <w:szCs w:val="24"/>
        </w:rPr>
        <w:t>Som et præoperativ</w:t>
      </w:r>
      <w:r w:rsidR="00175019" w:rsidRPr="006D5543">
        <w:rPr>
          <w:sz w:val="24"/>
          <w:szCs w:val="24"/>
        </w:rPr>
        <w:t>t</w:t>
      </w:r>
      <w:r w:rsidRPr="006D5543">
        <w:rPr>
          <w:sz w:val="24"/>
          <w:szCs w:val="24"/>
        </w:rPr>
        <w:t xml:space="preserve"> eller intraoperativt antimuskarint middel til reduktion eller forebyggelse af intraoperativ bradykardi.</w:t>
      </w:r>
    </w:p>
    <w:p w14:paraId="09F69F94" w14:textId="77777777" w:rsidR="000F5C88" w:rsidRPr="006D5543" w:rsidRDefault="000F5C88" w:rsidP="000F5C88">
      <w:pPr>
        <w:tabs>
          <w:tab w:val="left" w:pos="851"/>
        </w:tabs>
        <w:ind w:left="851"/>
        <w:rPr>
          <w:sz w:val="24"/>
          <w:szCs w:val="24"/>
        </w:rPr>
      </w:pPr>
      <w:r w:rsidRPr="006D5543">
        <w:rPr>
          <w:sz w:val="24"/>
          <w:szCs w:val="24"/>
        </w:rPr>
        <w:t>Glyronul er indiceret til voksne, unge og børn fra 1 måned.</w:t>
      </w:r>
    </w:p>
    <w:p w14:paraId="1094A7F6" w14:textId="77777777" w:rsidR="009260DE" w:rsidRPr="006D5543" w:rsidRDefault="009260DE" w:rsidP="009260DE">
      <w:pPr>
        <w:tabs>
          <w:tab w:val="left" w:pos="851"/>
        </w:tabs>
        <w:ind w:left="851"/>
        <w:rPr>
          <w:sz w:val="24"/>
          <w:szCs w:val="24"/>
        </w:rPr>
      </w:pPr>
    </w:p>
    <w:p w14:paraId="31FC3AB8" w14:textId="77777777" w:rsidR="009260DE" w:rsidRPr="006D5543" w:rsidRDefault="009260DE" w:rsidP="009260DE">
      <w:pPr>
        <w:tabs>
          <w:tab w:val="left" w:pos="851"/>
        </w:tabs>
        <w:ind w:left="851" w:hanging="851"/>
        <w:rPr>
          <w:b/>
          <w:sz w:val="24"/>
          <w:szCs w:val="24"/>
        </w:rPr>
      </w:pPr>
      <w:r w:rsidRPr="006D5543">
        <w:rPr>
          <w:b/>
          <w:sz w:val="24"/>
          <w:szCs w:val="24"/>
        </w:rPr>
        <w:t>4.2</w:t>
      </w:r>
      <w:r w:rsidRPr="006D5543">
        <w:rPr>
          <w:b/>
          <w:sz w:val="24"/>
          <w:szCs w:val="24"/>
        </w:rPr>
        <w:tab/>
        <w:t>Dosering og indgivelsesmåde</w:t>
      </w:r>
    </w:p>
    <w:p w14:paraId="4450A03F" w14:textId="77777777" w:rsidR="00B011DC" w:rsidRPr="006D5543" w:rsidRDefault="00B011DC" w:rsidP="00175019">
      <w:pPr>
        <w:tabs>
          <w:tab w:val="left" w:pos="851"/>
        </w:tabs>
        <w:ind w:left="851"/>
        <w:rPr>
          <w:sz w:val="24"/>
          <w:szCs w:val="24"/>
          <w:u w:val="single"/>
        </w:rPr>
      </w:pPr>
    </w:p>
    <w:p w14:paraId="20D125C6" w14:textId="4B382783" w:rsidR="00175019" w:rsidRPr="006D5543" w:rsidRDefault="00175019" w:rsidP="00175019">
      <w:pPr>
        <w:tabs>
          <w:tab w:val="left" w:pos="851"/>
        </w:tabs>
        <w:ind w:left="851"/>
        <w:rPr>
          <w:b/>
          <w:sz w:val="24"/>
          <w:szCs w:val="24"/>
        </w:rPr>
      </w:pPr>
      <w:r w:rsidRPr="006D5543">
        <w:rPr>
          <w:b/>
          <w:sz w:val="24"/>
          <w:szCs w:val="24"/>
        </w:rPr>
        <w:t>Dosering</w:t>
      </w:r>
    </w:p>
    <w:p w14:paraId="12A2E3BD" w14:textId="77777777" w:rsidR="00175019" w:rsidRPr="006D5543" w:rsidRDefault="00175019" w:rsidP="00175019">
      <w:pPr>
        <w:tabs>
          <w:tab w:val="left" w:pos="851"/>
        </w:tabs>
        <w:ind w:left="851"/>
        <w:rPr>
          <w:sz w:val="24"/>
          <w:szCs w:val="24"/>
          <w:u w:val="single"/>
        </w:rPr>
      </w:pPr>
    </w:p>
    <w:p w14:paraId="0E079617" w14:textId="77777777" w:rsidR="00175019" w:rsidRPr="006D5543" w:rsidRDefault="00175019" w:rsidP="00175019">
      <w:pPr>
        <w:tabs>
          <w:tab w:val="left" w:pos="851"/>
        </w:tabs>
        <w:ind w:left="851"/>
        <w:rPr>
          <w:bCs/>
          <w:i/>
          <w:sz w:val="24"/>
          <w:szCs w:val="24"/>
          <w:u w:val="single"/>
        </w:rPr>
      </w:pPr>
      <w:r w:rsidRPr="006D5543">
        <w:rPr>
          <w:bCs/>
          <w:sz w:val="24"/>
          <w:szCs w:val="24"/>
          <w:u w:val="single"/>
        </w:rPr>
        <w:t>Præ-operativ anvendelse</w:t>
      </w:r>
    </w:p>
    <w:p w14:paraId="4C68BF32" w14:textId="77777777" w:rsidR="00B011DC" w:rsidRPr="006D5543" w:rsidRDefault="00B011DC" w:rsidP="00175019">
      <w:pPr>
        <w:tabs>
          <w:tab w:val="left" w:pos="851"/>
        </w:tabs>
        <w:ind w:left="851"/>
        <w:rPr>
          <w:i/>
          <w:sz w:val="24"/>
          <w:szCs w:val="24"/>
        </w:rPr>
      </w:pPr>
    </w:p>
    <w:p w14:paraId="5415AE52" w14:textId="64207656" w:rsidR="00175019" w:rsidRPr="006D5543" w:rsidRDefault="00175019" w:rsidP="00175019">
      <w:pPr>
        <w:tabs>
          <w:tab w:val="left" w:pos="851"/>
        </w:tabs>
        <w:ind w:left="851"/>
        <w:rPr>
          <w:i/>
          <w:sz w:val="24"/>
          <w:szCs w:val="24"/>
        </w:rPr>
      </w:pPr>
      <w:r w:rsidRPr="006D5543">
        <w:rPr>
          <w:i/>
          <w:sz w:val="24"/>
          <w:szCs w:val="24"/>
        </w:rPr>
        <w:t>Voksne, unge over 12 år samt ældre</w:t>
      </w:r>
    </w:p>
    <w:p w14:paraId="5ECD61F2" w14:textId="12E68F0F" w:rsidR="00175019" w:rsidRPr="006D5543" w:rsidRDefault="00175019" w:rsidP="00175019">
      <w:pPr>
        <w:tabs>
          <w:tab w:val="left" w:pos="851"/>
        </w:tabs>
        <w:ind w:left="851"/>
        <w:rPr>
          <w:sz w:val="24"/>
          <w:szCs w:val="24"/>
        </w:rPr>
      </w:pPr>
      <w:r w:rsidRPr="006D5543">
        <w:rPr>
          <w:sz w:val="24"/>
          <w:szCs w:val="24"/>
        </w:rPr>
        <w:t>0,2</w:t>
      </w:r>
      <w:r w:rsidR="00B011DC" w:rsidRPr="006D5543">
        <w:rPr>
          <w:sz w:val="24"/>
          <w:szCs w:val="24"/>
        </w:rPr>
        <w:t>-</w:t>
      </w:r>
      <w:r w:rsidRPr="006D5543">
        <w:rPr>
          <w:sz w:val="24"/>
          <w:szCs w:val="24"/>
        </w:rPr>
        <w:t>0,4 mg (1-2 ml) intravenøst eller intramuskulært før induktion af anæstesi. Alternativt kan en dosis på 0,004</w:t>
      </w:r>
      <w:r w:rsidR="00B011DC" w:rsidRPr="006D5543">
        <w:rPr>
          <w:sz w:val="24"/>
          <w:szCs w:val="24"/>
        </w:rPr>
        <w:t>-</w:t>
      </w:r>
      <w:r w:rsidRPr="006D5543">
        <w:rPr>
          <w:sz w:val="24"/>
          <w:szCs w:val="24"/>
        </w:rPr>
        <w:t>0,005 mg/kg op til maksimalt 0,4 mg anvendes. Højere doser kan medføre svær og langvarig mundtørhed.</w:t>
      </w:r>
    </w:p>
    <w:p w14:paraId="77FF8A40" w14:textId="77777777" w:rsidR="00175019" w:rsidRPr="006D5543" w:rsidRDefault="00175019" w:rsidP="00175019">
      <w:pPr>
        <w:tabs>
          <w:tab w:val="left" w:pos="851"/>
        </w:tabs>
        <w:ind w:left="851"/>
        <w:rPr>
          <w:i/>
          <w:sz w:val="24"/>
          <w:szCs w:val="24"/>
        </w:rPr>
      </w:pPr>
    </w:p>
    <w:p w14:paraId="2167A41A" w14:textId="77777777" w:rsidR="00175019" w:rsidRPr="006D5543" w:rsidRDefault="00175019" w:rsidP="00175019">
      <w:pPr>
        <w:tabs>
          <w:tab w:val="left" w:pos="851"/>
        </w:tabs>
        <w:ind w:left="851"/>
        <w:rPr>
          <w:i/>
          <w:sz w:val="24"/>
          <w:szCs w:val="24"/>
        </w:rPr>
      </w:pPr>
      <w:r w:rsidRPr="006D5543">
        <w:rPr>
          <w:i/>
          <w:sz w:val="24"/>
          <w:szCs w:val="24"/>
        </w:rPr>
        <w:t>Pædiatrisk population (børn fra 1 måned op til 12 år)</w:t>
      </w:r>
    </w:p>
    <w:p w14:paraId="200F2DD3" w14:textId="77777777" w:rsidR="00175019" w:rsidRPr="006D5543" w:rsidRDefault="00175019" w:rsidP="00175019">
      <w:pPr>
        <w:tabs>
          <w:tab w:val="left" w:pos="851"/>
        </w:tabs>
        <w:ind w:left="851"/>
        <w:rPr>
          <w:sz w:val="24"/>
          <w:szCs w:val="24"/>
        </w:rPr>
      </w:pPr>
      <w:r w:rsidRPr="006D5543">
        <w:rPr>
          <w:sz w:val="24"/>
          <w:szCs w:val="24"/>
        </w:rPr>
        <w:t>0,004 til 0,008 mg/kg op til maksimalt 0,2 mg intravenøst eller intramuskulært før induktion af anæstesi. Højere doser kan medføre svær og langvarig mundtørhed.</w:t>
      </w:r>
    </w:p>
    <w:p w14:paraId="015DA9DC" w14:textId="77777777" w:rsidR="00175019" w:rsidRPr="006D5543" w:rsidRDefault="00175019" w:rsidP="00175019">
      <w:pPr>
        <w:tabs>
          <w:tab w:val="left" w:pos="851"/>
        </w:tabs>
        <w:ind w:left="851"/>
        <w:rPr>
          <w:sz w:val="24"/>
          <w:szCs w:val="24"/>
        </w:rPr>
      </w:pPr>
    </w:p>
    <w:p w14:paraId="014A04DD" w14:textId="7588C781" w:rsidR="00175019" w:rsidRPr="006D5543" w:rsidRDefault="00175019" w:rsidP="00175019">
      <w:pPr>
        <w:tabs>
          <w:tab w:val="left" w:pos="851"/>
        </w:tabs>
        <w:ind w:left="851"/>
        <w:rPr>
          <w:bCs/>
          <w:sz w:val="24"/>
          <w:szCs w:val="24"/>
          <w:u w:val="single"/>
        </w:rPr>
      </w:pPr>
      <w:r w:rsidRPr="006D5543">
        <w:rPr>
          <w:bCs/>
          <w:sz w:val="24"/>
          <w:szCs w:val="24"/>
          <w:u w:val="single"/>
        </w:rPr>
        <w:t>Intraoperativ</w:t>
      </w:r>
      <w:r w:rsidR="00DB162D" w:rsidRPr="006D5543">
        <w:rPr>
          <w:bCs/>
          <w:sz w:val="24"/>
          <w:szCs w:val="24"/>
          <w:u w:val="single"/>
        </w:rPr>
        <w:t>t</w:t>
      </w:r>
      <w:r w:rsidRPr="006D5543">
        <w:rPr>
          <w:bCs/>
          <w:sz w:val="24"/>
          <w:szCs w:val="24"/>
          <w:u w:val="single"/>
        </w:rPr>
        <w:t xml:space="preserve"> brug</w:t>
      </w:r>
    </w:p>
    <w:p w14:paraId="6831BA9C" w14:textId="77777777" w:rsidR="00B011DC" w:rsidRPr="006D5543" w:rsidRDefault="00B011DC" w:rsidP="00175019">
      <w:pPr>
        <w:tabs>
          <w:tab w:val="left" w:pos="851"/>
        </w:tabs>
        <w:ind w:left="851"/>
        <w:rPr>
          <w:i/>
          <w:sz w:val="24"/>
          <w:szCs w:val="24"/>
        </w:rPr>
      </w:pPr>
    </w:p>
    <w:p w14:paraId="0FA93EA6" w14:textId="320AECF8" w:rsidR="00175019" w:rsidRPr="006D5543" w:rsidRDefault="00175019" w:rsidP="00175019">
      <w:pPr>
        <w:tabs>
          <w:tab w:val="left" w:pos="851"/>
        </w:tabs>
        <w:ind w:left="851"/>
        <w:rPr>
          <w:i/>
          <w:sz w:val="24"/>
          <w:szCs w:val="24"/>
        </w:rPr>
      </w:pPr>
      <w:r w:rsidRPr="006D5543">
        <w:rPr>
          <w:i/>
          <w:sz w:val="24"/>
          <w:szCs w:val="24"/>
        </w:rPr>
        <w:t>Voksne, unge over 12 år samt ældre</w:t>
      </w:r>
    </w:p>
    <w:p w14:paraId="6AD5134B" w14:textId="3BEF6E9F" w:rsidR="00175019" w:rsidRPr="006D5543" w:rsidRDefault="00175019" w:rsidP="00175019">
      <w:pPr>
        <w:tabs>
          <w:tab w:val="left" w:pos="851"/>
        </w:tabs>
        <w:ind w:left="851"/>
        <w:rPr>
          <w:sz w:val="24"/>
          <w:szCs w:val="24"/>
        </w:rPr>
      </w:pPr>
      <w:r w:rsidRPr="006D5543">
        <w:rPr>
          <w:sz w:val="24"/>
          <w:szCs w:val="24"/>
        </w:rPr>
        <w:t>En enkeltdosis på 0,2 mg</w:t>
      </w:r>
      <w:r w:rsidR="00B011DC" w:rsidRPr="006D5543">
        <w:rPr>
          <w:sz w:val="24"/>
          <w:szCs w:val="24"/>
        </w:rPr>
        <w:t>-</w:t>
      </w:r>
      <w:r w:rsidRPr="006D5543">
        <w:rPr>
          <w:sz w:val="24"/>
          <w:szCs w:val="24"/>
        </w:rPr>
        <w:t>0,4 mg givet som intravenøs injektion. Alternativt kan en enkeltdosis på 0,004 til 0,005 mg/kg op til maksimalt 0,4 mg anvendes. Denne dosis kan gentages, om nødvendigt.</w:t>
      </w:r>
    </w:p>
    <w:p w14:paraId="0B522384" w14:textId="77777777" w:rsidR="00175019" w:rsidRPr="006D5543" w:rsidRDefault="00175019" w:rsidP="00175019">
      <w:pPr>
        <w:tabs>
          <w:tab w:val="left" w:pos="851"/>
        </w:tabs>
        <w:ind w:left="851"/>
        <w:rPr>
          <w:sz w:val="24"/>
          <w:szCs w:val="24"/>
        </w:rPr>
      </w:pPr>
    </w:p>
    <w:p w14:paraId="6929332D" w14:textId="77777777" w:rsidR="00175019" w:rsidRPr="006D5543" w:rsidRDefault="00175019" w:rsidP="00175019">
      <w:pPr>
        <w:tabs>
          <w:tab w:val="left" w:pos="851"/>
        </w:tabs>
        <w:ind w:left="851"/>
        <w:rPr>
          <w:i/>
          <w:sz w:val="24"/>
          <w:szCs w:val="24"/>
        </w:rPr>
      </w:pPr>
      <w:r w:rsidRPr="006D5543">
        <w:rPr>
          <w:i/>
          <w:sz w:val="24"/>
          <w:szCs w:val="24"/>
        </w:rPr>
        <w:t>Pædiatrisk population (børn fra 1 måned op til 12 år)</w:t>
      </w:r>
    </w:p>
    <w:p w14:paraId="6C9D3656" w14:textId="589F25D4" w:rsidR="00175019" w:rsidRPr="006D5543" w:rsidRDefault="00175019" w:rsidP="00175019">
      <w:pPr>
        <w:tabs>
          <w:tab w:val="left" w:pos="851"/>
        </w:tabs>
        <w:ind w:left="851"/>
        <w:rPr>
          <w:sz w:val="24"/>
          <w:szCs w:val="24"/>
        </w:rPr>
      </w:pPr>
      <w:r w:rsidRPr="006D5543">
        <w:rPr>
          <w:sz w:val="24"/>
          <w:szCs w:val="24"/>
        </w:rPr>
        <w:t>En enkeltdosis på 0,004</w:t>
      </w:r>
      <w:r w:rsidR="00B011DC" w:rsidRPr="006D5543">
        <w:rPr>
          <w:sz w:val="24"/>
          <w:szCs w:val="24"/>
        </w:rPr>
        <w:t>-</w:t>
      </w:r>
      <w:r w:rsidRPr="006D5543">
        <w:rPr>
          <w:sz w:val="24"/>
          <w:szCs w:val="24"/>
        </w:rPr>
        <w:t>0,008 mg/kg op til maksimalt 0,2 mg givet som intravenøs injektion bør anvendes. Denne dosis kan gentages, om nødvendigt.</w:t>
      </w:r>
    </w:p>
    <w:p w14:paraId="663A7E25" w14:textId="77777777" w:rsidR="00175019" w:rsidRPr="006D5543" w:rsidRDefault="00175019" w:rsidP="00175019">
      <w:pPr>
        <w:tabs>
          <w:tab w:val="left" w:pos="851"/>
        </w:tabs>
        <w:ind w:left="851"/>
        <w:rPr>
          <w:sz w:val="24"/>
          <w:szCs w:val="24"/>
        </w:rPr>
      </w:pPr>
    </w:p>
    <w:p w14:paraId="6D0649D9" w14:textId="77777777" w:rsidR="00175019" w:rsidRPr="006D5543" w:rsidRDefault="00175019" w:rsidP="00175019">
      <w:pPr>
        <w:tabs>
          <w:tab w:val="left" w:pos="851"/>
        </w:tabs>
        <w:ind w:left="851"/>
        <w:rPr>
          <w:bCs/>
          <w:sz w:val="24"/>
          <w:szCs w:val="24"/>
          <w:u w:val="single"/>
        </w:rPr>
      </w:pPr>
      <w:r w:rsidRPr="006D5543">
        <w:rPr>
          <w:bCs/>
          <w:sz w:val="24"/>
          <w:szCs w:val="24"/>
          <w:u w:val="single"/>
        </w:rPr>
        <w:t>Revertering af residual ikke-depolariserende neuromuskulær blokade</w:t>
      </w:r>
    </w:p>
    <w:p w14:paraId="7C6B588F" w14:textId="77777777" w:rsidR="00DB162D" w:rsidRPr="006D5543" w:rsidRDefault="00DB162D" w:rsidP="00175019">
      <w:pPr>
        <w:tabs>
          <w:tab w:val="left" w:pos="851"/>
        </w:tabs>
        <w:ind w:left="851"/>
        <w:rPr>
          <w:i/>
          <w:sz w:val="24"/>
          <w:szCs w:val="24"/>
        </w:rPr>
      </w:pPr>
    </w:p>
    <w:p w14:paraId="254C0611" w14:textId="1B5A90A2" w:rsidR="00175019" w:rsidRPr="006D5543" w:rsidRDefault="00175019" w:rsidP="00175019">
      <w:pPr>
        <w:tabs>
          <w:tab w:val="left" w:pos="851"/>
        </w:tabs>
        <w:ind w:left="851"/>
        <w:rPr>
          <w:i/>
          <w:sz w:val="24"/>
          <w:szCs w:val="24"/>
        </w:rPr>
      </w:pPr>
      <w:r w:rsidRPr="006D5543">
        <w:rPr>
          <w:i/>
          <w:sz w:val="24"/>
          <w:szCs w:val="24"/>
        </w:rPr>
        <w:t>Voksne, unge over 12 år samt ældre</w:t>
      </w:r>
    </w:p>
    <w:p w14:paraId="709173F1" w14:textId="1EB3A163" w:rsidR="00175019" w:rsidRPr="006D5543" w:rsidRDefault="00175019" w:rsidP="00175019">
      <w:pPr>
        <w:tabs>
          <w:tab w:val="left" w:pos="851"/>
        </w:tabs>
        <w:ind w:left="851"/>
        <w:rPr>
          <w:sz w:val="24"/>
          <w:szCs w:val="24"/>
        </w:rPr>
      </w:pPr>
      <w:r w:rsidRPr="006D5543">
        <w:rPr>
          <w:sz w:val="24"/>
          <w:szCs w:val="24"/>
        </w:rPr>
        <w:t>0,2 mg (1 ml) intravenøst pr. 1 mg neostigmin eller tilsvarende dosis af pyridostigmin. Alternativt kan anvendes en dosis på 0,01</w:t>
      </w:r>
      <w:r w:rsidR="00DB162D" w:rsidRPr="006D5543">
        <w:rPr>
          <w:sz w:val="24"/>
          <w:szCs w:val="24"/>
        </w:rPr>
        <w:t>-</w:t>
      </w:r>
      <w:r w:rsidRPr="006D5543">
        <w:rPr>
          <w:sz w:val="24"/>
          <w:szCs w:val="24"/>
        </w:rPr>
        <w:t xml:space="preserve">0,015 mg/kg intravenøst per 0,05 mg/kg neostigmin eller tilsvarende dosis pyridostigmin. </w:t>
      </w:r>
    </w:p>
    <w:p w14:paraId="1719E67B" w14:textId="77777777" w:rsidR="00175019" w:rsidRPr="006D5543" w:rsidRDefault="00175019" w:rsidP="00175019">
      <w:pPr>
        <w:tabs>
          <w:tab w:val="left" w:pos="851"/>
        </w:tabs>
        <w:ind w:left="851"/>
        <w:rPr>
          <w:sz w:val="24"/>
          <w:szCs w:val="24"/>
        </w:rPr>
      </w:pPr>
      <w:r w:rsidRPr="006D5543">
        <w:rPr>
          <w:sz w:val="24"/>
          <w:szCs w:val="24"/>
        </w:rPr>
        <w:t>Glycopyrrolat injektion kan administreres samtidigt og i samme sprøjte som kolinesterasehæmmeren. Denne indgivelsesmåde giver bedre kardiovaskulær stabilitet.</w:t>
      </w:r>
    </w:p>
    <w:p w14:paraId="57ABAEF6" w14:textId="77777777" w:rsidR="00175019" w:rsidRPr="006D5543" w:rsidRDefault="00175019" w:rsidP="00175019">
      <w:pPr>
        <w:tabs>
          <w:tab w:val="left" w:pos="851"/>
        </w:tabs>
        <w:ind w:left="851"/>
        <w:rPr>
          <w:sz w:val="24"/>
          <w:szCs w:val="24"/>
        </w:rPr>
      </w:pPr>
    </w:p>
    <w:p w14:paraId="7063E8A2" w14:textId="77777777" w:rsidR="00175019" w:rsidRPr="006D5543" w:rsidRDefault="00175019" w:rsidP="00175019">
      <w:pPr>
        <w:tabs>
          <w:tab w:val="left" w:pos="851"/>
        </w:tabs>
        <w:ind w:left="851"/>
        <w:rPr>
          <w:i/>
          <w:sz w:val="24"/>
          <w:szCs w:val="24"/>
        </w:rPr>
      </w:pPr>
      <w:r w:rsidRPr="006D5543">
        <w:rPr>
          <w:i/>
          <w:sz w:val="24"/>
          <w:szCs w:val="24"/>
        </w:rPr>
        <w:t>Pædiatrisk population (børn fra 1 måned op til 12 år)</w:t>
      </w:r>
    </w:p>
    <w:p w14:paraId="43E083D1" w14:textId="77777777" w:rsidR="00175019" w:rsidRPr="006D5543" w:rsidRDefault="00175019" w:rsidP="00175019">
      <w:pPr>
        <w:tabs>
          <w:tab w:val="left" w:pos="851"/>
        </w:tabs>
        <w:ind w:left="851"/>
        <w:rPr>
          <w:sz w:val="24"/>
          <w:szCs w:val="24"/>
        </w:rPr>
      </w:pPr>
      <w:r w:rsidRPr="006D5543">
        <w:rPr>
          <w:sz w:val="24"/>
          <w:szCs w:val="24"/>
        </w:rPr>
        <w:t xml:space="preserve">0,01 mg/kg intravenøst med 0,05 mg/kg neostigmin eller tilsvarende dosis pyridostigmin. </w:t>
      </w:r>
    </w:p>
    <w:p w14:paraId="172DB13C" w14:textId="77777777" w:rsidR="00175019" w:rsidRPr="006D5543" w:rsidRDefault="00175019" w:rsidP="00175019">
      <w:pPr>
        <w:tabs>
          <w:tab w:val="left" w:pos="851"/>
        </w:tabs>
        <w:ind w:left="851"/>
        <w:rPr>
          <w:sz w:val="24"/>
          <w:szCs w:val="24"/>
        </w:rPr>
      </w:pPr>
      <w:r w:rsidRPr="006D5543">
        <w:rPr>
          <w:sz w:val="24"/>
          <w:szCs w:val="24"/>
        </w:rPr>
        <w:t>Glyronul kan administreres samtidigt og i samme sprøjte som kolinesterasehæmmeren. Denne indgivelsesmåde giver bedre kardiovaskulær stabilitet.</w:t>
      </w:r>
    </w:p>
    <w:p w14:paraId="4EF50923" w14:textId="77777777" w:rsidR="00175019" w:rsidRPr="006D5543" w:rsidRDefault="00175019" w:rsidP="00175019">
      <w:pPr>
        <w:tabs>
          <w:tab w:val="left" w:pos="851"/>
        </w:tabs>
        <w:ind w:left="851"/>
        <w:rPr>
          <w:sz w:val="24"/>
          <w:szCs w:val="24"/>
        </w:rPr>
      </w:pPr>
    </w:p>
    <w:p w14:paraId="296C625A" w14:textId="77777777" w:rsidR="00175019" w:rsidRPr="006D5543" w:rsidRDefault="00175019" w:rsidP="00175019">
      <w:pPr>
        <w:tabs>
          <w:tab w:val="left" w:pos="851"/>
        </w:tabs>
        <w:ind w:left="851"/>
        <w:rPr>
          <w:b/>
          <w:bCs/>
          <w:sz w:val="24"/>
          <w:szCs w:val="24"/>
          <w:u w:val="single"/>
        </w:rPr>
      </w:pPr>
      <w:r w:rsidRPr="006D5543">
        <w:rPr>
          <w:b/>
          <w:bCs/>
          <w:sz w:val="24"/>
          <w:szCs w:val="24"/>
          <w:u w:val="single"/>
        </w:rPr>
        <w:t>Særlige populationer</w:t>
      </w:r>
    </w:p>
    <w:p w14:paraId="65BC27CB" w14:textId="77777777" w:rsidR="00DB162D" w:rsidRPr="006D5543" w:rsidRDefault="00DB162D" w:rsidP="00175019">
      <w:pPr>
        <w:tabs>
          <w:tab w:val="left" w:pos="851"/>
        </w:tabs>
        <w:ind w:left="851"/>
        <w:rPr>
          <w:i/>
          <w:iCs/>
          <w:sz w:val="24"/>
          <w:szCs w:val="24"/>
        </w:rPr>
      </w:pPr>
    </w:p>
    <w:p w14:paraId="3E05D9FB" w14:textId="6C431CFE" w:rsidR="00175019" w:rsidRPr="006D5543" w:rsidRDefault="00175019" w:rsidP="00175019">
      <w:pPr>
        <w:tabs>
          <w:tab w:val="left" w:pos="851"/>
        </w:tabs>
        <w:ind w:left="851"/>
        <w:rPr>
          <w:iCs/>
          <w:sz w:val="24"/>
          <w:szCs w:val="24"/>
          <w:u w:val="single"/>
        </w:rPr>
      </w:pPr>
      <w:r w:rsidRPr="006D5543">
        <w:rPr>
          <w:iCs/>
          <w:sz w:val="24"/>
          <w:szCs w:val="24"/>
          <w:u w:val="single"/>
        </w:rPr>
        <w:t>Nedsat leverfunktion</w:t>
      </w:r>
    </w:p>
    <w:p w14:paraId="65800C59" w14:textId="7E4F89C2" w:rsidR="00175019" w:rsidRPr="006D5543" w:rsidRDefault="00175019" w:rsidP="00175019">
      <w:pPr>
        <w:tabs>
          <w:tab w:val="left" w:pos="851"/>
        </w:tabs>
        <w:ind w:left="851"/>
        <w:rPr>
          <w:sz w:val="24"/>
          <w:szCs w:val="24"/>
        </w:rPr>
      </w:pPr>
      <w:r w:rsidRPr="006D5543">
        <w:rPr>
          <w:sz w:val="24"/>
          <w:szCs w:val="24"/>
        </w:rPr>
        <w:t>Der er ikke udført kliniske studier af patienter med nedsat leverfunktion. Der forventes ikke dosisjusteringer eller særlige overvejelser ved behandling af patienter med nedsat leverfunktion, se pkt. 5.2.</w:t>
      </w:r>
    </w:p>
    <w:p w14:paraId="7C66A93E" w14:textId="77777777" w:rsidR="00175019" w:rsidRPr="006D5543" w:rsidRDefault="00175019" w:rsidP="00175019">
      <w:pPr>
        <w:tabs>
          <w:tab w:val="left" w:pos="851"/>
        </w:tabs>
        <w:ind w:left="851"/>
        <w:rPr>
          <w:sz w:val="24"/>
          <w:szCs w:val="24"/>
        </w:rPr>
      </w:pPr>
    </w:p>
    <w:p w14:paraId="09779EF2" w14:textId="77777777" w:rsidR="00175019" w:rsidRPr="006D5543" w:rsidRDefault="00175019" w:rsidP="00175019">
      <w:pPr>
        <w:tabs>
          <w:tab w:val="left" w:pos="851"/>
        </w:tabs>
        <w:ind w:left="851"/>
        <w:rPr>
          <w:iCs/>
          <w:sz w:val="24"/>
          <w:szCs w:val="24"/>
          <w:u w:val="single"/>
        </w:rPr>
      </w:pPr>
      <w:r w:rsidRPr="006D5543">
        <w:rPr>
          <w:iCs/>
          <w:sz w:val="24"/>
          <w:szCs w:val="24"/>
          <w:u w:val="single"/>
        </w:rPr>
        <w:t>Nedsat nyrefunktion</w:t>
      </w:r>
    </w:p>
    <w:p w14:paraId="4D196149" w14:textId="77777777" w:rsidR="00175019" w:rsidRPr="006D5543" w:rsidRDefault="00175019" w:rsidP="00175019">
      <w:pPr>
        <w:tabs>
          <w:tab w:val="left" w:pos="851"/>
        </w:tabs>
        <w:ind w:left="851"/>
        <w:rPr>
          <w:sz w:val="24"/>
          <w:szCs w:val="24"/>
        </w:rPr>
      </w:pPr>
      <w:r w:rsidRPr="006D5543">
        <w:rPr>
          <w:sz w:val="24"/>
          <w:szCs w:val="24"/>
        </w:rPr>
        <w:t xml:space="preserve">Reduktion af dosis bør overvejes hos patienter med nedsat nyrefunktion. </w:t>
      </w:r>
    </w:p>
    <w:p w14:paraId="61B61046" w14:textId="77777777" w:rsidR="00175019" w:rsidRPr="006D5543" w:rsidRDefault="00175019" w:rsidP="00175019">
      <w:pPr>
        <w:tabs>
          <w:tab w:val="left" w:pos="851"/>
        </w:tabs>
        <w:ind w:left="851"/>
        <w:rPr>
          <w:sz w:val="24"/>
          <w:szCs w:val="24"/>
        </w:rPr>
      </w:pPr>
      <w:r w:rsidRPr="006D5543">
        <w:rPr>
          <w:sz w:val="24"/>
          <w:szCs w:val="24"/>
        </w:rPr>
        <w:t>(se pkt. 4.4. og 5.2).</w:t>
      </w:r>
    </w:p>
    <w:p w14:paraId="209B36B5" w14:textId="77777777" w:rsidR="00175019" w:rsidRPr="006D5543" w:rsidRDefault="00175019" w:rsidP="00175019">
      <w:pPr>
        <w:tabs>
          <w:tab w:val="left" w:pos="851"/>
        </w:tabs>
        <w:ind w:left="851"/>
        <w:rPr>
          <w:sz w:val="24"/>
          <w:szCs w:val="24"/>
          <w:u w:val="single"/>
        </w:rPr>
      </w:pPr>
    </w:p>
    <w:p w14:paraId="7D8E7918" w14:textId="77777777" w:rsidR="00175019" w:rsidRPr="006D5543" w:rsidRDefault="00175019" w:rsidP="00175019">
      <w:pPr>
        <w:tabs>
          <w:tab w:val="left" w:pos="851"/>
        </w:tabs>
        <w:ind w:left="851"/>
        <w:rPr>
          <w:b/>
          <w:sz w:val="24"/>
          <w:szCs w:val="24"/>
        </w:rPr>
      </w:pPr>
      <w:r w:rsidRPr="006D5543">
        <w:rPr>
          <w:b/>
          <w:sz w:val="24"/>
          <w:szCs w:val="24"/>
        </w:rPr>
        <w:t>Administration</w:t>
      </w:r>
    </w:p>
    <w:p w14:paraId="445762D9" w14:textId="77777777" w:rsidR="00BA3EEE" w:rsidRPr="006D5543" w:rsidRDefault="00175019" w:rsidP="00175019">
      <w:pPr>
        <w:tabs>
          <w:tab w:val="left" w:pos="851"/>
        </w:tabs>
        <w:ind w:left="851"/>
        <w:rPr>
          <w:sz w:val="24"/>
          <w:szCs w:val="24"/>
        </w:rPr>
      </w:pPr>
      <w:r w:rsidRPr="006D5543">
        <w:rPr>
          <w:sz w:val="24"/>
          <w:szCs w:val="24"/>
        </w:rPr>
        <w:t>Glyronul er til intravenøs eller intramuskulær injektion.</w:t>
      </w:r>
    </w:p>
    <w:p w14:paraId="5DC88886" w14:textId="6622139D" w:rsidR="00175019" w:rsidRPr="006D5543" w:rsidRDefault="00175019" w:rsidP="00175019">
      <w:pPr>
        <w:tabs>
          <w:tab w:val="left" w:pos="851"/>
        </w:tabs>
        <w:ind w:left="851"/>
        <w:rPr>
          <w:sz w:val="24"/>
          <w:szCs w:val="24"/>
        </w:rPr>
      </w:pPr>
      <w:r w:rsidRPr="006D5543">
        <w:rPr>
          <w:sz w:val="24"/>
          <w:szCs w:val="24"/>
        </w:rPr>
        <w:t>For instruktioner om fortynding af lægemidlet før administration, se pkt. 6.6.</w:t>
      </w:r>
    </w:p>
    <w:p w14:paraId="3515CD1C" w14:textId="77777777" w:rsidR="009260DE" w:rsidRPr="006D5543" w:rsidRDefault="009260DE" w:rsidP="009260DE">
      <w:pPr>
        <w:tabs>
          <w:tab w:val="left" w:pos="851"/>
        </w:tabs>
        <w:ind w:left="851"/>
        <w:rPr>
          <w:sz w:val="24"/>
          <w:szCs w:val="24"/>
        </w:rPr>
      </w:pPr>
    </w:p>
    <w:p w14:paraId="206A73C8" w14:textId="77777777" w:rsidR="009260DE" w:rsidRPr="006D5543" w:rsidRDefault="009260DE" w:rsidP="009260DE">
      <w:pPr>
        <w:tabs>
          <w:tab w:val="left" w:pos="851"/>
        </w:tabs>
        <w:ind w:left="851" w:hanging="851"/>
        <w:rPr>
          <w:b/>
          <w:sz w:val="24"/>
          <w:szCs w:val="24"/>
        </w:rPr>
      </w:pPr>
      <w:r w:rsidRPr="006D5543">
        <w:rPr>
          <w:b/>
          <w:sz w:val="24"/>
          <w:szCs w:val="24"/>
        </w:rPr>
        <w:t>4.3</w:t>
      </w:r>
      <w:r w:rsidRPr="006D5543">
        <w:rPr>
          <w:b/>
          <w:sz w:val="24"/>
          <w:szCs w:val="24"/>
        </w:rPr>
        <w:tab/>
        <w:t>Kontraindikationer</w:t>
      </w:r>
    </w:p>
    <w:p w14:paraId="668FE35F" w14:textId="77777777" w:rsidR="00F847AF" w:rsidRPr="006D5543" w:rsidRDefault="00F847AF" w:rsidP="00F847AF">
      <w:pPr>
        <w:tabs>
          <w:tab w:val="left" w:pos="851"/>
        </w:tabs>
        <w:ind w:left="851"/>
        <w:rPr>
          <w:sz w:val="24"/>
          <w:szCs w:val="24"/>
        </w:rPr>
      </w:pPr>
      <w:r w:rsidRPr="006D5543">
        <w:rPr>
          <w:sz w:val="24"/>
          <w:szCs w:val="24"/>
        </w:rPr>
        <w:t xml:space="preserve">Overfølsomhed over for det aktive stof eller over for et eller flere af hjælpestofferne anført i pkt. 6.1. </w:t>
      </w:r>
    </w:p>
    <w:p w14:paraId="3912937F" w14:textId="77777777" w:rsidR="00F847AF" w:rsidRPr="006D5543" w:rsidRDefault="00F847AF" w:rsidP="00F847AF">
      <w:pPr>
        <w:tabs>
          <w:tab w:val="left" w:pos="851"/>
        </w:tabs>
        <w:ind w:left="851"/>
        <w:rPr>
          <w:sz w:val="24"/>
          <w:szCs w:val="24"/>
        </w:rPr>
      </w:pPr>
    </w:p>
    <w:p w14:paraId="18B13CC4" w14:textId="5A8FD289" w:rsidR="00F847AF" w:rsidRPr="006D5543" w:rsidRDefault="00F847AF" w:rsidP="00F847AF">
      <w:pPr>
        <w:tabs>
          <w:tab w:val="left" w:pos="851"/>
        </w:tabs>
        <w:ind w:left="851"/>
        <w:rPr>
          <w:sz w:val="24"/>
          <w:szCs w:val="24"/>
          <w:u w:val="single"/>
        </w:rPr>
      </w:pPr>
      <w:r w:rsidRPr="006D5543">
        <w:rPr>
          <w:sz w:val="24"/>
          <w:szCs w:val="24"/>
          <w:u w:val="single"/>
        </w:rPr>
        <w:t>Som for andre antimuskarine midler</w:t>
      </w:r>
    </w:p>
    <w:p w14:paraId="6274E592" w14:textId="77777777" w:rsidR="00F847AF" w:rsidRPr="006D5543" w:rsidRDefault="00F847AF" w:rsidP="006C62B4">
      <w:pPr>
        <w:numPr>
          <w:ilvl w:val="0"/>
          <w:numId w:val="8"/>
        </w:numPr>
        <w:tabs>
          <w:tab w:val="left" w:pos="851"/>
        </w:tabs>
        <w:ind w:left="1134" w:hanging="283"/>
        <w:rPr>
          <w:sz w:val="24"/>
          <w:szCs w:val="24"/>
        </w:rPr>
      </w:pPr>
      <w:r w:rsidRPr="006D5543">
        <w:rPr>
          <w:sz w:val="24"/>
          <w:szCs w:val="24"/>
        </w:rPr>
        <w:t xml:space="preserve">Snævervinklet glaukom </w:t>
      </w:r>
    </w:p>
    <w:p w14:paraId="3997FEFC" w14:textId="77777777" w:rsidR="00F847AF" w:rsidRPr="006D5543" w:rsidRDefault="00F847AF" w:rsidP="006C62B4">
      <w:pPr>
        <w:numPr>
          <w:ilvl w:val="0"/>
          <w:numId w:val="8"/>
        </w:numPr>
        <w:tabs>
          <w:tab w:val="left" w:pos="851"/>
        </w:tabs>
        <w:ind w:left="1134" w:hanging="283"/>
        <w:rPr>
          <w:sz w:val="24"/>
          <w:szCs w:val="24"/>
        </w:rPr>
      </w:pPr>
      <w:r w:rsidRPr="006D5543">
        <w:rPr>
          <w:sz w:val="24"/>
          <w:szCs w:val="24"/>
        </w:rPr>
        <w:t xml:space="preserve">myasthenia gravis (store doser kvaternære ammoniumforbindelser kan blokere nikotinreceptorerne) </w:t>
      </w:r>
    </w:p>
    <w:p w14:paraId="171DE76F" w14:textId="77777777" w:rsidR="00F847AF" w:rsidRPr="006D5543" w:rsidRDefault="00F847AF" w:rsidP="006C62B4">
      <w:pPr>
        <w:numPr>
          <w:ilvl w:val="0"/>
          <w:numId w:val="8"/>
        </w:numPr>
        <w:tabs>
          <w:tab w:val="left" w:pos="851"/>
        </w:tabs>
        <w:ind w:left="1134" w:hanging="283"/>
        <w:rPr>
          <w:sz w:val="24"/>
          <w:szCs w:val="24"/>
        </w:rPr>
      </w:pPr>
      <w:r w:rsidRPr="006D5543">
        <w:rPr>
          <w:sz w:val="24"/>
          <w:szCs w:val="24"/>
        </w:rPr>
        <w:t xml:space="preserve">paralytisk ileus </w:t>
      </w:r>
    </w:p>
    <w:p w14:paraId="714457A7" w14:textId="77777777" w:rsidR="00F847AF" w:rsidRPr="006D5543" w:rsidRDefault="00F847AF" w:rsidP="006C62B4">
      <w:pPr>
        <w:numPr>
          <w:ilvl w:val="0"/>
          <w:numId w:val="8"/>
        </w:numPr>
        <w:tabs>
          <w:tab w:val="left" w:pos="851"/>
        </w:tabs>
        <w:ind w:left="1134" w:hanging="283"/>
        <w:rPr>
          <w:sz w:val="24"/>
          <w:szCs w:val="24"/>
        </w:rPr>
      </w:pPr>
      <w:r w:rsidRPr="006D5543">
        <w:rPr>
          <w:sz w:val="24"/>
          <w:szCs w:val="24"/>
        </w:rPr>
        <w:t xml:space="preserve">pylorus stenose </w:t>
      </w:r>
    </w:p>
    <w:p w14:paraId="65E382B3" w14:textId="77777777" w:rsidR="00F847AF" w:rsidRPr="006D5543" w:rsidRDefault="00F847AF" w:rsidP="006C62B4">
      <w:pPr>
        <w:numPr>
          <w:ilvl w:val="0"/>
          <w:numId w:val="8"/>
        </w:numPr>
        <w:tabs>
          <w:tab w:val="left" w:pos="851"/>
        </w:tabs>
        <w:ind w:left="1134" w:hanging="283"/>
        <w:rPr>
          <w:sz w:val="24"/>
          <w:szCs w:val="24"/>
        </w:rPr>
      </w:pPr>
      <w:r w:rsidRPr="006D5543">
        <w:rPr>
          <w:sz w:val="24"/>
          <w:szCs w:val="24"/>
        </w:rPr>
        <w:t>prostatahypertrofi.</w:t>
      </w:r>
    </w:p>
    <w:p w14:paraId="6419EF8E" w14:textId="77777777" w:rsidR="00F847AF" w:rsidRPr="006D5543" w:rsidRDefault="00F847AF" w:rsidP="00F847AF">
      <w:pPr>
        <w:tabs>
          <w:tab w:val="left" w:pos="851"/>
        </w:tabs>
        <w:ind w:left="851"/>
        <w:rPr>
          <w:sz w:val="24"/>
          <w:szCs w:val="24"/>
        </w:rPr>
      </w:pPr>
    </w:p>
    <w:p w14:paraId="52081551" w14:textId="77777777" w:rsidR="00F847AF" w:rsidRPr="006D5543" w:rsidRDefault="00F847AF" w:rsidP="00F847AF">
      <w:pPr>
        <w:tabs>
          <w:tab w:val="left" w:pos="851"/>
        </w:tabs>
        <w:ind w:left="851"/>
        <w:rPr>
          <w:sz w:val="24"/>
          <w:szCs w:val="24"/>
        </w:rPr>
      </w:pPr>
      <w:r w:rsidRPr="006D5543">
        <w:rPr>
          <w:sz w:val="24"/>
          <w:szCs w:val="24"/>
        </w:rPr>
        <w:t>Kombinationer af kolinesterasehæmmere og antimuskarine midler såsom neostigmin og glycopyrronium bør undgås hos patienter med forlænget QT-interval (se pkt. 4.5)</w:t>
      </w:r>
    </w:p>
    <w:p w14:paraId="26A41061" w14:textId="77777777" w:rsidR="009260DE" w:rsidRPr="006D5543" w:rsidRDefault="009260DE" w:rsidP="009260DE">
      <w:pPr>
        <w:tabs>
          <w:tab w:val="left" w:pos="851"/>
        </w:tabs>
        <w:ind w:left="851"/>
        <w:rPr>
          <w:sz w:val="24"/>
          <w:szCs w:val="24"/>
        </w:rPr>
      </w:pPr>
    </w:p>
    <w:p w14:paraId="7F151E05" w14:textId="77777777" w:rsidR="009260DE" w:rsidRPr="006D5543" w:rsidRDefault="009260DE" w:rsidP="009260DE">
      <w:pPr>
        <w:tabs>
          <w:tab w:val="left" w:pos="851"/>
        </w:tabs>
        <w:ind w:left="851" w:hanging="851"/>
        <w:rPr>
          <w:b/>
          <w:sz w:val="24"/>
          <w:szCs w:val="24"/>
        </w:rPr>
      </w:pPr>
      <w:r w:rsidRPr="006D5543">
        <w:rPr>
          <w:b/>
          <w:sz w:val="24"/>
          <w:szCs w:val="24"/>
        </w:rPr>
        <w:t>4.4</w:t>
      </w:r>
      <w:r w:rsidRPr="006D5543">
        <w:rPr>
          <w:b/>
          <w:sz w:val="24"/>
          <w:szCs w:val="24"/>
        </w:rPr>
        <w:tab/>
        <w:t>Særlige advarsler og forsigtighedsregler vedrørende brugen</w:t>
      </w:r>
    </w:p>
    <w:p w14:paraId="484B109E" w14:textId="77777777" w:rsidR="00F54678" w:rsidRPr="006D5543" w:rsidRDefault="00F54678" w:rsidP="00F54678">
      <w:pPr>
        <w:tabs>
          <w:tab w:val="left" w:pos="851"/>
        </w:tabs>
        <w:ind w:left="851"/>
        <w:rPr>
          <w:sz w:val="24"/>
          <w:szCs w:val="24"/>
        </w:rPr>
      </w:pPr>
      <w:r w:rsidRPr="006D5543">
        <w:rPr>
          <w:sz w:val="24"/>
          <w:szCs w:val="24"/>
        </w:rPr>
        <w:t>Forsigtighed er påkrævet hos patienter med hypertension, arytmi, hjertelidelse og hyperthyreose da glycopyrrolat forårsager takykardi og det anbefales at måle patientens puls, hvis patienten rapporterer meget hurtig eller meget langsom hjerterytme.</w:t>
      </w:r>
    </w:p>
    <w:p w14:paraId="02C95B5D" w14:textId="77777777" w:rsidR="00F54678" w:rsidRPr="006D5543" w:rsidRDefault="00F54678" w:rsidP="00F54678">
      <w:pPr>
        <w:tabs>
          <w:tab w:val="left" w:pos="851"/>
        </w:tabs>
        <w:ind w:left="851"/>
        <w:rPr>
          <w:sz w:val="24"/>
          <w:szCs w:val="24"/>
        </w:rPr>
      </w:pPr>
    </w:p>
    <w:p w14:paraId="01C2A9B9" w14:textId="77777777" w:rsidR="00F54678" w:rsidRPr="006D5543" w:rsidRDefault="00F54678" w:rsidP="00F54678">
      <w:pPr>
        <w:tabs>
          <w:tab w:val="left" w:pos="851"/>
        </w:tabs>
        <w:ind w:left="851"/>
        <w:rPr>
          <w:sz w:val="24"/>
          <w:szCs w:val="24"/>
        </w:rPr>
      </w:pPr>
      <w:r w:rsidRPr="006D5543">
        <w:rPr>
          <w:sz w:val="24"/>
          <w:szCs w:val="24"/>
        </w:rPr>
        <w:t xml:space="preserve">Bør anvendes med forsigtighed til patienter med forøget temperatur, da glycopyrrolat hæmmer svedtendensen og det anbefales at måle temperaturen på fastsatte tidspunkter. </w:t>
      </w:r>
    </w:p>
    <w:p w14:paraId="23F5D4C2" w14:textId="77777777" w:rsidR="00F54678" w:rsidRPr="006D5543" w:rsidRDefault="00F54678" w:rsidP="00F54678">
      <w:pPr>
        <w:tabs>
          <w:tab w:val="left" w:pos="851"/>
        </w:tabs>
        <w:ind w:left="851"/>
        <w:rPr>
          <w:sz w:val="24"/>
          <w:szCs w:val="24"/>
        </w:rPr>
      </w:pPr>
    </w:p>
    <w:p w14:paraId="28EFE9F2" w14:textId="77777777" w:rsidR="00F54678" w:rsidRPr="006D5543" w:rsidRDefault="00F54678" w:rsidP="00F54678">
      <w:pPr>
        <w:tabs>
          <w:tab w:val="left" w:pos="851"/>
        </w:tabs>
        <w:ind w:left="851"/>
        <w:rPr>
          <w:sz w:val="24"/>
          <w:szCs w:val="24"/>
        </w:rPr>
      </w:pPr>
      <w:r w:rsidRPr="006D5543">
        <w:rPr>
          <w:sz w:val="24"/>
          <w:szCs w:val="24"/>
        </w:rPr>
        <w:t>Bør anvendes med forsigtighed til patienter med nedsat nyrefunktion, prostatahypertrofi, diarrè, ulcerativ colitis, parkinson og astma.</w:t>
      </w:r>
    </w:p>
    <w:p w14:paraId="16EEA216" w14:textId="77777777" w:rsidR="00F54678" w:rsidRPr="006D5543" w:rsidRDefault="00F54678" w:rsidP="00F54678">
      <w:pPr>
        <w:tabs>
          <w:tab w:val="left" w:pos="851"/>
        </w:tabs>
        <w:ind w:left="851"/>
        <w:rPr>
          <w:sz w:val="24"/>
          <w:szCs w:val="24"/>
        </w:rPr>
      </w:pPr>
      <w:r w:rsidRPr="006D5543">
        <w:rPr>
          <w:sz w:val="24"/>
          <w:szCs w:val="24"/>
        </w:rPr>
        <w:t xml:space="preserve">Patienter diagnosticeret med en eller flere af de nævnte lidelser, bør informeres om, at de skal lade lægen vide, hvis specifikke symptomer opstår. </w:t>
      </w:r>
    </w:p>
    <w:p w14:paraId="5BCCF02B" w14:textId="77777777" w:rsidR="00F54678" w:rsidRPr="006D5543" w:rsidRDefault="00F54678" w:rsidP="00F54678">
      <w:pPr>
        <w:tabs>
          <w:tab w:val="left" w:pos="851"/>
        </w:tabs>
        <w:ind w:left="851"/>
        <w:rPr>
          <w:sz w:val="24"/>
          <w:szCs w:val="24"/>
        </w:rPr>
      </w:pPr>
    </w:p>
    <w:p w14:paraId="60269B14" w14:textId="77777777" w:rsidR="00F54678" w:rsidRPr="006D5543" w:rsidRDefault="00F54678" w:rsidP="00F54678">
      <w:pPr>
        <w:tabs>
          <w:tab w:val="left" w:pos="851"/>
        </w:tabs>
        <w:ind w:left="851"/>
        <w:rPr>
          <w:sz w:val="24"/>
          <w:szCs w:val="24"/>
        </w:rPr>
      </w:pPr>
      <w:r w:rsidRPr="006D5543">
        <w:rPr>
          <w:sz w:val="24"/>
          <w:szCs w:val="24"/>
        </w:rPr>
        <w:t xml:space="preserve">Varigheden af effekten af glycopyrronium kan være forlænget hos patienter med nedsat nyrefunktion, da glycopyrrolat hovedsageligt udskilles uomdannet i urinen </w:t>
      </w:r>
    </w:p>
    <w:p w14:paraId="441838F7" w14:textId="77777777" w:rsidR="00F54678" w:rsidRPr="006D5543" w:rsidRDefault="00F54678" w:rsidP="00F54678">
      <w:pPr>
        <w:tabs>
          <w:tab w:val="left" w:pos="851"/>
        </w:tabs>
        <w:ind w:left="851"/>
        <w:rPr>
          <w:sz w:val="24"/>
          <w:szCs w:val="24"/>
        </w:rPr>
      </w:pPr>
      <w:r w:rsidRPr="006D5543">
        <w:rPr>
          <w:sz w:val="24"/>
          <w:szCs w:val="24"/>
        </w:rPr>
        <w:t>(se pkt. 5.2). Justering af dosis kan være påkrævet hos patienter med nedsat nyrefunktion</w:t>
      </w:r>
    </w:p>
    <w:p w14:paraId="704E2861" w14:textId="77777777" w:rsidR="00F54678" w:rsidRPr="006D5543" w:rsidRDefault="00F54678" w:rsidP="00F54678">
      <w:pPr>
        <w:tabs>
          <w:tab w:val="left" w:pos="851"/>
        </w:tabs>
        <w:ind w:left="851"/>
        <w:rPr>
          <w:sz w:val="24"/>
          <w:szCs w:val="24"/>
        </w:rPr>
      </w:pPr>
    </w:p>
    <w:p w14:paraId="01700A7A" w14:textId="77777777" w:rsidR="00F54678" w:rsidRPr="006D5543" w:rsidRDefault="00F54678" w:rsidP="00F54678">
      <w:pPr>
        <w:tabs>
          <w:tab w:val="left" w:pos="851"/>
        </w:tabs>
        <w:ind w:left="851"/>
        <w:rPr>
          <w:sz w:val="24"/>
          <w:szCs w:val="24"/>
        </w:rPr>
      </w:pPr>
      <w:r w:rsidRPr="006D5543">
        <w:rPr>
          <w:sz w:val="24"/>
          <w:szCs w:val="24"/>
        </w:rPr>
        <w:t>Dette lægemiddel indeholder mindre end 1 mmol (23 mg) natrium pr. dosis, dvs. det er i det væsentlige natriumfrit.</w:t>
      </w:r>
    </w:p>
    <w:p w14:paraId="38D13060" w14:textId="77777777" w:rsidR="009260DE" w:rsidRPr="006D5543" w:rsidRDefault="009260DE" w:rsidP="009260DE">
      <w:pPr>
        <w:tabs>
          <w:tab w:val="left" w:pos="851"/>
        </w:tabs>
        <w:ind w:left="851"/>
        <w:rPr>
          <w:sz w:val="24"/>
          <w:szCs w:val="24"/>
        </w:rPr>
      </w:pPr>
    </w:p>
    <w:p w14:paraId="4C39B1E2" w14:textId="77777777" w:rsidR="009260DE" w:rsidRPr="006D5543" w:rsidRDefault="009260DE" w:rsidP="009260DE">
      <w:pPr>
        <w:tabs>
          <w:tab w:val="left" w:pos="851"/>
        </w:tabs>
        <w:ind w:left="851" w:hanging="851"/>
        <w:rPr>
          <w:b/>
          <w:sz w:val="24"/>
          <w:szCs w:val="24"/>
        </w:rPr>
      </w:pPr>
      <w:r w:rsidRPr="006D5543">
        <w:rPr>
          <w:b/>
          <w:sz w:val="24"/>
          <w:szCs w:val="24"/>
        </w:rPr>
        <w:t>4.5</w:t>
      </w:r>
      <w:r w:rsidRPr="006D5543">
        <w:rPr>
          <w:b/>
          <w:sz w:val="24"/>
          <w:szCs w:val="24"/>
        </w:rPr>
        <w:tab/>
        <w:t>Interaktion med andre lægemidler og andre former for interaktion</w:t>
      </w:r>
    </w:p>
    <w:p w14:paraId="18AD8074" w14:textId="77777777" w:rsidR="00F54678" w:rsidRPr="006D5543" w:rsidRDefault="00F54678" w:rsidP="00F54678">
      <w:pPr>
        <w:tabs>
          <w:tab w:val="left" w:pos="851"/>
        </w:tabs>
        <w:ind w:left="851"/>
        <w:rPr>
          <w:sz w:val="24"/>
          <w:szCs w:val="24"/>
        </w:rPr>
      </w:pPr>
      <w:r w:rsidRPr="006D5543">
        <w:rPr>
          <w:sz w:val="24"/>
          <w:szCs w:val="24"/>
        </w:rPr>
        <w:t>Antikolinære lægemidler kan forårsage ventrikulær arytmi ved anæstesi med cyclopropan. Dette kan undgåes ved at administrere Glyronul i lave doser (&lt;0,1 mg).</w:t>
      </w:r>
    </w:p>
    <w:p w14:paraId="53259CF5" w14:textId="77777777" w:rsidR="00F54678" w:rsidRPr="006D5543" w:rsidRDefault="00F54678" w:rsidP="00F54678">
      <w:pPr>
        <w:tabs>
          <w:tab w:val="left" w:pos="851"/>
        </w:tabs>
        <w:ind w:left="851"/>
        <w:rPr>
          <w:sz w:val="24"/>
          <w:szCs w:val="24"/>
        </w:rPr>
      </w:pPr>
    </w:p>
    <w:p w14:paraId="65035365" w14:textId="77777777" w:rsidR="00F54678" w:rsidRPr="006D5543" w:rsidRDefault="00F54678" w:rsidP="00F54678">
      <w:pPr>
        <w:tabs>
          <w:tab w:val="left" w:pos="851"/>
        </w:tabs>
        <w:ind w:left="851"/>
        <w:rPr>
          <w:sz w:val="24"/>
          <w:szCs w:val="24"/>
        </w:rPr>
      </w:pPr>
      <w:r w:rsidRPr="006D5543">
        <w:rPr>
          <w:sz w:val="24"/>
          <w:szCs w:val="24"/>
        </w:rPr>
        <w:t>Mange lægemidler har en antimuskarin effekt. Samtidig anvendelse af to eller flere af sådanne lægemidler kan øge bivirkninger som f.eks. tør mund, urinretention og forstoppelse. Samtidig brug kan også medføre konfusion hos ældre.</w:t>
      </w:r>
    </w:p>
    <w:p w14:paraId="4BA33537" w14:textId="77777777" w:rsidR="00F54678" w:rsidRPr="006D5543" w:rsidRDefault="00F54678" w:rsidP="00F54678">
      <w:pPr>
        <w:tabs>
          <w:tab w:val="left" w:pos="851"/>
        </w:tabs>
        <w:ind w:left="851"/>
        <w:rPr>
          <w:sz w:val="24"/>
          <w:szCs w:val="24"/>
        </w:rPr>
      </w:pPr>
    </w:p>
    <w:p w14:paraId="4F3D4B8E" w14:textId="77777777" w:rsidR="00F54678" w:rsidRPr="006D5543" w:rsidRDefault="00F54678" w:rsidP="00F54678">
      <w:pPr>
        <w:tabs>
          <w:tab w:val="left" w:pos="851"/>
        </w:tabs>
        <w:ind w:left="851"/>
        <w:rPr>
          <w:sz w:val="24"/>
          <w:szCs w:val="24"/>
        </w:rPr>
      </w:pPr>
      <w:r w:rsidRPr="006D5543">
        <w:rPr>
          <w:sz w:val="24"/>
          <w:szCs w:val="24"/>
        </w:rPr>
        <w:t>Antikolinergika kan forsinke absorption af andre lægemidler, der administreres samtidig.</w:t>
      </w:r>
    </w:p>
    <w:p w14:paraId="7D8878D9" w14:textId="77777777" w:rsidR="00F54678" w:rsidRPr="006D5543" w:rsidRDefault="00F54678" w:rsidP="00F54678">
      <w:pPr>
        <w:tabs>
          <w:tab w:val="left" w:pos="851"/>
        </w:tabs>
        <w:ind w:left="851"/>
        <w:rPr>
          <w:sz w:val="24"/>
          <w:szCs w:val="24"/>
        </w:rPr>
      </w:pPr>
    </w:p>
    <w:p w14:paraId="77911D1B" w14:textId="77777777" w:rsidR="00F54678" w:rsidRPr="006D5543" w:rsidRDefault="00F54678" w:rsidP="00F54678">
      <w:pPr>
        <w:tabs>
          <w:tab w:val="left" w:pos="851"/>
        </w:tabs>
        <w:ind w:left="851"/>
        <w:rPr>
          <w:sz w:val="24"/>
          <w:szCs w:val="24"/>
        </w:rPr>
      </w:pPr>
      <w:r w:rsidRPr="006D5543">
        <w:rPr>
          <w:sz w:val="24"/>
          <w:szCs w:val="24"/>
        </w:rPr>
        <w:lastRenderedPageBreak/>
        <w:t>Samtidig brug af antikolinergika med langsomt opløselige digoxin tabletter kan medføre forhøjet digoxin-niveau i serum.</w:t>
      </w:r>
    </w:p>
    <w:p w14:paraId="151693D1" w14:textId="77777777" w:rsidR="00F54678" w:rsidRPr="006D5543" w:rsidRDefault="00F54678" w:rsidP="00F54678">
      <w:pPr>
        <w:tabs>
          <w:tab w:val="left" w:pos="851"/>
        </w:tabs>
        <w:ind w:left="851"/>
        <w:rPr>
          <w:sz w:val="24"/>
          <w:szCs w:val="24"/>
        </w:rPr>
      </w:pPr>
    </w:p>
    <w:p w14:paraId="1E3167E9" w14:textId="77777777" w:rsidR="00F54678" w:rsidRPr="006D5543" w:rsidRDefault="00F54678" w:rsidP="00F54678">
      <w:pPr>
        <w:tabs>
          <w:tab w:val="left" w:pos="851"/>
        </w:tabs>
        <w:ind w:left="851"/>
        <w:rPr>
          <w:sz w:val="24"/>
          <w:szCs w:val="24"/>
        </w:rPr>
      </w:pPr>
      <w:r w:rsidRPr="006D5543">
        <w:rPr>
          <w:sz w:val="24"/>
          <w:szCs w:val="24"/>
        </w:rPr>
        <w:t xml:space="preserve">Domperidon/metoclopramid: Gastrointestinal effekt antagoniseres. </w:t>
      </w:r>
    </w:p>
    <w:p w14:paraId="686C04D9" w14:textId="77777777" w:rsidR="00F54678" w:rsidRPr="006D5543" w:rsidRDefault="00F54678" w:rsidP="00F54678">
      <w:pPr>
        <w:tabs>
          <w:tab w:val="left" w:pos="851"/>
        </w:tabs>
        <w:ind w:left="851"/>
        <w:rPr>
          <w:sz w:val="24"/>
          <w:szCs w:val="24"/>
        </w:rPr>
      </w:pPr>
    </w:p>
    <w:p w14:paraId="1302E34F" w14:textId="77777777" w:rsidR="00F54678" w:rsidRPr="006D5543" w:rsidRDefault="00F54678" w:rsidP="00F54678">
      <w:pPr>
        <w:tabs>
          <w:tab w:val="left" w:pos="851"/>
        </w:tabs>
        <w:ind w:left="851"/>
        <w:rPr>
          <w:sz w:val="24"/>
          <w:szCs w:val="24"/>
        </w:rPr>
      </w:pPr>
      <w:r w:rsidRPr="006D5543">
        <w:rPr>
          <w:sz w:val="24"/>
          <w:szCs w:val="24"/>
        </w:rPr>
        <w:t>Ketoconazol: Nedsat absorption af ketoconazol.</w:t>
      </w:r>
    </w:p>
    <w:p w14:paraId="70D70571" w14:textId="77777777" w:rsidR="00F54678" w:rsidRPr="006D5543" w:rsidRDefault="00F54678" w:rsidP="00F54678">
      <w:pPr>
        <w:tabs>
          <w:tab w:val="left" w:pos="851"/>
        </w:tabs>
        <w:ind w:left="851"/>
        <w:rPr>
          <w:sz w:val="24"/>
          <w:szCs w:val="24"/>
        </w:rPr>
      </w:pPr>
    </w:p>
    <w:p w14:paraId="03F8C5A7" w14:textId="77777777" w:rsidR="00F54678" w:rsidRPr="006D5543" w:rsidRDefault="00F54678" w:rsidP="00F54678">
      <w:pPr>
        <w:tabs>
          <w:tab w:val="left" w:pos="851"/>
        </w:tabs>
        <w:ind w:left="851"/>
        <w:rPr>
          <w:sz w:val="24"/>
          <w:szCs w:val="24"/>
        </w:rPr>
      </w:pPr>
      <w:r w:rsidRPr="006D5543">
        <w:rPr>
          <w:sz w:val="24"/>
          <w:szCs w:val="24"/>
        </w:rPr>
        <w:t xml:space="preserve">Levodopa: Absorption af levodopa kan nedsættes </w:t>
      </w:r>
    </w:p>
    <w:p w14:paraId="79C3460C" w14:textId="77777777" w:rsidR="00F54678" w:rsidRPr="006D5543" w:rsidRDefault="00F54678" w:rsidP="00F54678">
      <w:pPr>
        <w:tabs>
          <w:tab w:val="left" w:pos="851"/>
        </w:tabs>
        <w:ind w:left="851"/>
        <w:rPr>
          <w:sz w:val="24"/>
          <w:szCs w:val="24"/>
        </w:rPr>
      </w:pPr>
    </w:p>
    <w:p w14:paraId="536324E8" w14:textId="77777777" w:rsidR="00F54678" w:rsidRPr="006D5543" w:rsidRDefault="00F54678" w:rsidP="00F54678">
      <w:pPr>
        <w:tabs>
          <w:tab w:val="left" w:pos="851"/>
        </w:tabs>
        <w:ind w:left="851"/>
        <w:rPr>
          <w:sz w:val="24"/>
          <w:szCs w:val="24"/>
        </w:rPr>
      </w:pPr>
      <w:r w:rsidRPr="006D5543">
        <w:rPr>
          <w:sz w:val="24"/>
          <w:szCs w:val="24"/>
        </w:rPr>
        <w:t>Memantin: Virkningen forstærkes muligvis ved samtidig anvendelse.</w:t>
      </w:r>
    </w:p>
    <w:p w14:paraId="6C23CE03" w14:textId="77777777" w:rsidR="009260DE" w:rsidRPr="006D5543" w:rsidRDefault="009260DE" w:rsidP="009260DE">
      <w:pPr>
        <w:tabs>
          <w:tab w:val="left" w:pos="851"/>
        </w:tabs>
        <w:ind w:left="851"/>
        <w:rPr>
          <w:sz w:val="24"/>
          <w:szCs w:val="24"/>
        </w:rPr>
      </w:pPr>
    </w:p>
    <w:p w14:paraId="34A3312B" w14:textId="77777777" w:rsidR="009260DE" w:rsidRPr="006D5543" w:rsidRDefault="009260DE" w:rsidP="009260DE">
      <w:pPr>
        <w:tabs>
          <w:tab w:val="left" w:pos="851"/>
        </w:tabs>
        <w:ind w:left="851" w:hanging="851"/>
        <w:rPr>
          <w:b/>
          <w:sz w:val="24"/>
          <w:szCs w:val="24"/>
        </w:rPr>
      </w:pPr>
      <w:r w:rsidRPr="006D5543">
        <w:rPr>
          <w:b/>
          <w:sz w:val="24"/>
          <w:szCs w:val="24"/>
        </w:rPr>
        <w:t>4.6</w:t>
      </w:r>
      <w:r w:rsidRPr="006D5543">
        <w:rPr>
          <w:b/>
          <w:sz w:val="24"/>
          <w:szCs w:val="24"/>
        </w:rPr>
        <w:tab/>
        <w:t>Graviditet og amning</w:t>
      </w:r>
    </w:p>
    <w:p w14:paraId="2600C551" w14:textId="77777777" w:rsidR="00207B1C" w:rsidRPr="006D5543" w:rsidRDefault="00207B1C" w:rsidP="00207B1C">
      <w:pPr>
        <w:tabs>
          <w:tab w:val="left" w:pos="851"/>
        </w:tabs>
        <w:ind w:left="851"/>
        <w:rPr>
          <w:sz w:val="24"/>
          <w:szCs w:val="24"/>
          <w:u w:val="single"/>
        </w:rPr>
      </w:pPr>
    </w:p>
    <w:p w14:paraId="55E592C1" w14:textId="06EBFACA" w:rsidR="00207B1C" w:rsidRPr="006D5543" w:rsidRDefault="00207B1C" w:rsidP="00207B1C">
      <w:pPr>
        <w:tabs>
          <w:tab w:val="left" w:pos="851"/>
        </w:tabs>
        <w:ind w:left="851"/>
        <w:rPr>
          <w:sz w:val="24"/>
          <w:szCs w:val="24"/>
          <w:u w:val="single"/>
        </w:rPr>
      </w:pPr>
      <w:r w:rsidRPr="006D5543">
        <w:rPr>
          <w:sz w:val="24"/>
          <w:szCs w:val="24"/>
          <w:u w:val="single"/>
        </w:rPr>
        <w:t xml:space="preserve">Graviditet </w:t>
      </w:r>
    </w:p>
    <w:p w14:paraId="633BD007" w14:textId="77777777" w:rsidR="00207B1C" w:rsidRPr="006D5543" w:rsidRDefault="00207B1C" w:rsidP="00207B1C">
      <w:pPr>
        <w:tabs>
          <w:tab w:val="left" w:pos="851"/>
        </w:tabs>
        <w:ind w:left="851"/>
        <w:rPr>
          <w:sz w:val="24"/>
          <w:szCs w:val="24"/>
        </w:rPr>
      </w:pPr>
      <w:r w:rsidRPr="006D5543">
        <w:rPr>
          <w:sz w:val="24"/>
          <w:szCs w:val="24"/>
        </w:rPr>
        <w:t xml:space="preserve">Der er ingen eller begrænsede data fra anvendelse af glycopyrroniumbromid til gravide kvinder. </w:t>
      </w:r>
    </w:p>
    <w:p w14:paraId="08A87530" w14:textId="77777777" w:rsidR="00207B1C" w:rsidRPr="006D5543" w:rsidRDefault="00207B1C" w:rsidP="00207B1C">
      <w:pPr>
        <w:tabs>
          <w:tab w:val="left" w:pos="851"/>
        </w:tabs>
        <w:ind w:left="851"/>
        <w:rPr>
          <w:sz w:val="24"/>
          <w:szCs w:val="24"/>
        </w:rPr>
      </w:pPr>
      <w:r w:rsidRPr="006D5543">
        <w:rPr>
          <w:sz w:val="24"/>
          <w:szCs w:val="24"/>
        </w:rPr>
        <w:t xml:space="preserve">Data fra dyreforsøg er utilstrækkelige hvad angår reproduktionstoksicitet (se pkt. 5.3). </w:t>
      </w:r>
    </w:p>
    <w:p w14:paraId="41A46158" w14:textId="77777777" w:rsidR="00207B1C" w:rsidRPr="006D5543" w:rsidRDefault="00207B1C" w:rsidP="00207B1C">
      <w:pPr>
        <w:tabs>
          <w:tab w:val="left" w:pos="851"/>
        </w:tabs>
        <w:ind w:left="851"/>
        <w:rPr>
          <w:sz w:val="24"/>
          <w:szCs w:val="24"/>
        </w:rPr>
      </w:pPr>
      <w:r w:rsidRPr="006D5543">
        <w:rPr>
          <w:sz w:val="24"/>
          <w:szCs w:val="24"/>
        </w:rPr>
        <w:t>For en sikkerheds skyld bør Glyronul undgås under graviditet.</w:t>
      </w:r>
    </w:p>
    <w:p w14:paraId="5A373B91" w14:textId="77777777" w:rsidR="00207B1C" w:rsidRPr="006D5543" w:rsidRDefault="00207B1C" w:rsidP="00207B1C">
      <w:pPr>
        <w:tabs>
          <w:tab w:val="left" w:pos="851"/>
        </w:tabs>
        <w:ind w:left="851"/>
        <w:rPr>
          <w:sz w:val="24"/>
          <w:szCs w:val="24"/>
        </w:rPr>
      </w:pPr>
    </w:p>
    <w:p w14:paraId="13F51846" w14:textId="77777777" w:rsidR="00207B1C" w:rsidRPr="006D5543" w:rsidRDefault="00207B1C" w:rsidP="00207B1C">
      <w:pPr>
        <w:tabs>
          <w:tab w:val="left" w:pos="851"/>
        </w:tabs>
        <w:ind w:left="851"/>
        <w:rPr>
          <w:sz w:val="24"/>
          <w:szCs w:val="24"/>
          <w:u w:val="single"/>
        </w:rPr>
      </w:pPr>
      <w:r w:rsidRPr="006D5543">
        <w:rPr>
          <w:sz w:val="24"/>
          <w:szCs w:val="24"/>
          <w:u w:val="single"/>
        </w:rPr>
        <w:t>Amning</w:t>
      </w:r>
    </w:p>
    <w:p w14:paraId="3CB0ECCD" w14:textId="6FF6F86D" w:rsidR="00207B1C" w:rsidRPr="006D5543" w:rsidRDefault="00207B1C" w:rsidP="00207B1C">
      <w:pPr>
        <w:tabs>
          <w:tab w:val="left" w:pos="851"/>
        </w:tabs>
        <w:ind w:left="851"/>
        <w:rPr>
          <w:sz w:val="24"/>
          <w:szCs w:val="24"/>
        </w:rPr>
      </w:pPr>
      <w:r w:rsidRPr="006D5543">
        <w:rPr>
          <w:sz w:val="24"/>
          <w:szCs w:val="24"/>
        </w:rPr>
        <w:t>Glycopyrroniumbromid udskilles i human mælk, men der forventes ingen påvirkning af det ammede barn ved terapeutiske doser af Glyronul</w:t>
      </w:r>
      <w:r w:rsidR="0046390D" w:rsidRPr="006D5543">
        <w:rPr>
          <w:sz w:val="24"/>
          <w:szCs w:val="24"/>
        </w:rPr>
        <w:t>.</w:t>
      </w:r>
    </w:p>
    <w:p w14:paraId="6A79573A" w14:textId="77777777" w:rsidR="00207B1C" w:rsidRPr="006D5543" w:rsidRDefault="00207B1C" w:rsidP="00207B1C">
      <w:pPr>
        <w:tabs>
          <w:tab w:val="left" w:pos="851"/>
        </w:tabs>
        <w:ind w:left="851"/>
        <w:rPr>
          <w:sz w:val="24"/>
          <w:szCs w:val="24"/>
          <w:u w:val="single"/>
        </w:rPr>
      </w:pPr>
    </w:p>
    <w:p w14:paraId="4C143558" w14:textId="77777777" w:rsidR="00207B1C" w:rsidRPr="006D5543" w:rsidRDefault="00207B1C" w:rsidP="00207B1C">
      <w:pPr>
        <w:tabs>
          <w:tab w:val="left" w:pos="851"/>
        </w:tabs>
        <w:ind w:left="851"/>
        <w:rPr>
          <w:sz w:val="24"/>
          <w:szCs w:val="24"/>
          <w:u w:val="single"/>
        </w:rPr>
      </w:pPr>
      <w:r w:rsidRPr="006D5543">
        <w:rPr>
          <w:sz w:val="24"/>
          <w:szCs w:val="24"/>
          <w:u w:val="single"/>
        </w:rPr>
        <w:t>Fertilitet</w:t>
      </w:r>
    </w:p>
    <w:p w14:paraId="3E4F52AD" w14:textId="77777777" w:rsidR="00207B1C" w:rsidRPr="006D5543" w:rsidRDefault="00207B1C" w:rsidP="00207B1C">
      <w:pPr>
        <w:tabs>
          <w:tab w:val="left" w:pos="851"/>
        </w:tabs>
        <w:ind w:left="851"/>
        <w:rPr>
          <w:sz w:val="24"/>
          <w:szCs w:val="24"/>
        </w:rPr>
      </w:pPr>
      <w:r w:rsidRPr="006D5543">
        <w:rPr>
          <w:sz w:val="24"/>
          <w:szCs w:val="24"/>
        </w:rPr>
        <w:t>Der foreligger ingen data vedrørende glycopyrroniums påvirkning af human fertilitet.</w:t>
      </w:r>
    </w:p>
    <w:p w14:paraId="288C26D7" w14:textId="77777777" w:rsidR="009260DE" w:rsidRPr="006D5543" w:rsidRDefault="009260DE" w:rsidP="009260DE">
      <w:pPr>
        <w:tabs>
          <w:tab w:val="left" w:pos="851"/>
        </w:tabs>
        <w:ind w:left="851"/>
        <w:rPr>
          <w:sz w:val="24"/>
          <w:szCs w:val="24"/>
        </w:rPr>
      </w:pPr>
    </w:p>
    <w:p w14:paraId="23BACAAB" w14:textId="77777777" w:rsidR="009260DE" w:rsidRPr="006D5543" w:rsidRDefault="009260DE" w:rsidP="009260DE">
      <w:pPr>
        <w:tabs>
          <w:tab w:val="left" w:pos="851"/>
        </w:tabs>
        <w:ind w:left="851" w:hanging="851"/>
        <w:rPr>
          <w:b/>
          <w:sz w:val="24"/>
          <w:szCs w:val="24"/>
        </w:rPr>
      </w:pPr>
      <w:r w:rsidRPr="006D5543">
        <w:rPr>
          <w:b/>
          <w:sz w:val="24"/>
          <w:szCs w:val="24"/>
        </w:rPr>
        <w:t>4.7</w:t>
      </w:r>
      <w:r w:rsidRPr="006D5543">
        <w:rPr>
          <w:b/>
          <w:sz w:val="24"/>
          <w:szCs w:val="24"/>
        </w:rPr>
        <w:tab/>
        <w:t>Virkninger på evnen til at føre motorkøretøj eller betjene maskiner</w:t>
      </w:r>
    </w:p>
    <w:p w14:paraId="0B15055A" w14:textId="77777777" w:rsidR="00C80661" w:rsidRPr="006D5543" w:rsidRDefault="00C80661" w:rsidP="00C80661">
      <w:pPr>
        <w:tabs>
          <w:tab w:val="left" w:pos="851"/>
        </w:tabs>
        <w:ind w:left="851"/>
        <w:rPr>
          <w:sz w:val="24"/>
          <w:szCs w:val="24"/>
        </w:rPr>
      </w:pPr>
      <w:r w:rsidRPr="006D5543">
        <w:rPr>
          <w:sz w:val="24"/>
          <w:szCs w:val="24"/>
        </w:rPr>
        <w:t>Ikke mærkning.</w:t>
      </w:r>
    </w:p>
    <w:p w14:paraId="2DDA0FEB" w14:textId="054A3662" w:rsidR="00C80661" w:rsidRPr="006D5543" w:rsidRDefault="00C80661" w:rsidP="00C80661">
      <w:pPr>
        <w:tabs>
          <w:tab w:val="left" w:pos="851"/>
        </w:tabs>
        <w:ind w:left="851"/>
        <w:rPr>
          <w:sz w:val="24"/>
          <w:szCs w:val="24"/>
        </w:rPr>
      </w:pPr>
      <w:r w:rsidRPr="006D5543">
        <w:rPr>
          <w:sz w:val="24"/>
          <w:szCs w:val="24"/>
        </w:rPr>
        <w:t xml:space="preserve">Glycopyrroniumbromid anvendes i anæstesi. Det forventes ikke, at patienter vil føre motorkøretøj eller betjene maskiner under indflydelse af lægemidlet. Administration af </w:t>
      </w:r>
      <w:r w:rsidRPr="006D5543">
        <w:rPr>
          <w:bCs/>
          <w:sz w:val="24"/>
          <w:szCs w:val="24"/>
        </w:rPr>
        <w:t>glycopyrroniumbromid</w:t>
      </w:r>
      <w:r w:rsidRPr="006D5543">
        <w:rPr>
          <w:sz w:val="24"/>
          <w:szCs w:val="24"/>
        </w:rPr>
        <w:t xml:space="preserve"> kan forårsage sløvhed, synsforstyrrelser og andre bivirkninger, der svækker patientens evne til at føre motorkøretøj eller betjene maskiner. Disse aktiviteter bør ikke udføres, før patienten er kommet sig over disse bivirkninger.</w:t>
      </w:r>
    </w:p>
    <w:p w14:paraId="545492EF" w14:textId="77777777" w:rsidR="009260DE" w:rsidRPr="006D5543" w:rsidRDefault="009260DE" w:rsidP="009260DE">
      <w:pPr>
        <w:tabs>
          <w:tab w:val="left" w:pos="851"/>
        </w:tabs>
        <w:ind w:left="851"/>
        <w:rPr>
          <w:sz w:val="24"/>
          <w:szCs w:val="24"/>
        </w:rPr>
      </w:pPr>
    </w:p>
    <w:p w14:paraId="4B95B1BE" w14:textId="77777777" w:rsidR="009260DE" w:rsidRPr="006D5543" w:rsidRDefault="009260DE" w:rsidP="009260DE">
      <w:pPr>
        <w:tabs>
          <w:tab w:val="left" w:pos="851"/>
        </w:tabs>
        <w:ind w:left="851" w:hanging="851"/>
        <w:rPr>
          <w:b/>
          <w:sz w:val="24"/>
          <w:szCs w:val="24"/>
        </w:rPr>
      </w:pPr>
      <w:r w:rsidRPr="006D5543">
        <w:rPr>
          <w:b/>
          <w:sz w:val="24"/>
          <w:szCs w:val="24"/>
        </w:rPr>
        <w:t>4.8</w:t>
      </w:r>
      <w:r w:rsidRPr="006D5543">
        <w:rPr>
          <w:b/>
          <w:sz w:val="24"/>
          <w:szCs w:val="24"/>
        </w:rPr>
        <w:tab/>
        <w:t>Bivirkninger</w:t>
      </w:r>
    </w:p>
    <w:p w14:paraId="670DF0F1" w14:textId="77777777" w:rsidR="00E72638" w:rsidRPr="006D5543" w:rsidRDefault="00E72638" w:rsidP="00E72638">
      <w:pPr>
        <w:tabs>
          <w:tab w:val="left" w:pos="851"/>
        </w:tabs>
        <w:ind w:left="851"/>
        <w:rPr>
          <w:sz w:val="24"/>
          <w:szCs w:val="24"/>
        </w:rPr>
      </w:pPr>
      <w:r w:rsidRPr="006D5543">
        <w:rPr>
          <w:sz w:val="24"/>
          <w:szCs w:val="24"/>
        </w:rPr>
        <w:t xml:space="preserve">Den mest almindelige bivirkning (mundtørhed) optræder hos 100 %. </w:t>
      </w:r>
    </w:p>
    <w:p w14:paraId="1CE14943" w14:textId="77777777" w:rsidR="00E72638" w:rsidRPr="006D5543" w:rsidRDefault="00E72638" w:rsidP="00E72638">
      <w:pPr>
        <w:tabs>
          <w:tab w:val="left" w:pos="851"/>
        </w:tabs>
        <w:ind w:left="851"/>
        <w:rPr>
          <w:sz w:val="24"/>
          <w:szCs w:val="24"/>
        </w:rPr>
      </w:pPr>
    </w:p>
    <w:p w14:paraId="09C43E8C" w14:textId="77777777" w:rsidR="00E72638" w:rsidRPr="006D5543" w:rsidRDefault="00E72638" w:rsidP="00E72638">
      <w:pPr>
        <w:tabs>
          <w:tab w:val="left" w:pos="851"/>
        </w:tabs>
        <w:ind w:left="851"/>
        <w:rPr>
          <w:sz w:val="24"/>
          <w:szCs w:val="24"/>
        </w:rPr>
      </w:pPr>
      <w:r w:rsidRPr="006D5543">
        <w:rPr>
          <w:sz w:val="24"/>
          <w:szCs w:val="24"/>
        </w:rPr>
        <w:t>Bivirkninger listet efter systemorganklasse. Hyppighed defineres ved hjælp af følgende konvention: Meget almindelig (≥1/10), almindelig (≥1/100 til &lt;1/10), ikke kendt (kan ikke estimeres ud fra forhåndenværende data).</w:t>
      </w:r>
    </w:p>
    <w:p w14:paraId="48A044F8" w14:textId="77777777" w:rsidR="00E72638" w:rsidRPr="006D5543" w:rsidRDefault="00E72638" w:rsidP="00E72638">
      <w:pPr>
        <w:tabs>
          <w:tab w:val="left" w:pos="851"/>
        </w:tabs>
        <w:ind w:left="851"/>
        <w:rPr>
          <w:sz w:val="24"/>
          <w:szCs w:val="24"/>
        </w:rPr>
      </w:pPr>
    </w:p>
    <w:p w14:paraId="4782BC34" w14:textId="77777777" w:rsidR="00E72638" w:rsidRPr="006D5543" w:rsidRDefault="00E72638" w:rsidP="00E72638">
      <w:pPr>
        <w:tabs>
          <w:tab w:val="left" w:pos="851"/>
        </w:tabs>
        <w:ind w:left="851"/>
        <w:rPr>
          <w:sz w:val="24"/>
          <w:szCs w:val="24"/>
        </w:rPr>
      </w:pPr>
      <w:r w:rsidRPr="006D5543">
        <w:rPr>
          <w:sz w:val="24"/>
          <w:szCs w:val="24"/>
        </w:rPr>
        <w:t>Tabuleret liste over bivirkninger:</w:t>
      </w:r>
    </w:p>
    <w:p w14:paraId="7D7AF61F" w14:textId="77777777" w:rsidR="00E72638" w:rsidRPr="006D5543" w:rsidRDefault="00E72638" w:rsidP="00E72638">
      <w:pPr>
        <w:tabs>
          <w:tab w:val="left" w:pos="851"/>
        </w:tabs>
        <w:ind w:left="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3522"/>
        <w:gridCol w:w="2972"/>
      </w:tblGrid>
      <w:tr w:rsidR="00E72638" w:rsidRPr="006D5543" w14:paraId="3F3A5A96" w14:textId="77777777" w:rsidTr="00E72638">
        <w:tc>
          <w:tcPr>
            <w:tcW w:w="981" w:type="pct"/>
            <w:tcBorders>
              <w:top w:val="single" w:sz="4" w:space="0" w:color="auto"/>
              <w:left w:val="single" w:sz="4" w:space="0" w:color="auto"/>
              <w:bottom w:val="single" w:sz="4" w:space="0" w:color="auto"/>
              <w:right w:val="single" w:sz="4" w:space="0" w:color="auto"/>
            </w:tcBorders>
            <w:hideMark/>
          </w:tcPr>
          <w:p w14:paraId="7140FE4B" w14:textId="77777777" w:rsidR="00E72638" w:rsidRPr="006D5543" w:rsidRDefault="00E72638" w:rsidP="00FF622E">
            <w:pPr>
              <w:ind w:left="33"/>
              <w:rPr>
                <w:b/>
                <w:sz w:val="24"/>
                <w:szCs w:val="24"/>
              </w:rPr>
            </w:pPr>
            <w:r w:rsidRPr="006D5543">
              <w:rPr>
                <w:b/>
                <w:sz w:val="24"/>
                <w:szCs w:val="24"/>
              </w:rPr>
              <w:t xml:space="preserve">Systemorganklasse </w:t>
            </w:r>
          </w:p>
        </w:tc>
        <w:tc>
          <w:tcPr>
            <w:tcW w:w="2166" w:type="pct"/>
            <w:tcBorders>
              <w:top w:val="single" w:sz="4" w:space="0" w:color="auto"/>
              <w:left w:val="single" w:sz="4" w:space="0" w:color="auto"/>
              <w:bottom w:val="single" w:sz="4" w:space="0" w:color="auto"/>
              <w:right w:val="single" w:sz="4" w:space="0" w:color="auto"/>
            </w:tcBorders>
            <w:hideMark/>
          </w:tcPr>
          <w:p w14:paraId="656866F9" w14:textId="77777777" w:rsidR="00E72638" w:rsidRPr="006D5543" w:rsidRDefault="00E72638" w:rsidP="00FF622E">
            <w:pPr>
              <w:ind w:left="11"/>
              <w:rPr>
                <w:b/>
                <w:sz w:val="24"/>
                <w:szCs w:val="24"/>
              </w:rPr>
            </w:pPr>
            <w:r w:rsidRPr="006D5543">
              <w:rPr>
                <w:b/>
                <w:sz w:val="24"/>
                <w:szCs w:val="24"/>
              </w:rPr>
              <w:t>Bivirkning</w:t>
            </w:r>
          </w:p>
        </w:tc>
        <w:tc>
          <w:tcPr>
            <w:tcW w:w="1853" w:type="pct"/>
            <w:tcBorders>
              <w:top w:val="single" w:sz="4" w:space="0" w:color="auto"/>
              <w:left w:val="single" w:sz="4" w:space="0" w:color="auto"/>
              <w:bottom w:val="single" w:sz="4" w:space="0" w:color="auto"/>
              <w:right w:val="single" w:sz="4" w:space="0" w:color="auto"/>
            </w:tcBorders>
            <w:hideMark/>
          </w:tcPr>
          <w:p w14:paraId="714355AA" w14:textId="77777777" w:rsidR="00E72638" w:rsidRPr="006D5543" w:rsidRDefault="00E72638" w:rsidP="004B6D5F">
            <w:pPr>
              <w:ind w:left="34"/>
              <w:rPr>
                <w:b/>
                <w:sz w:val="24"/>
                <w:szCs w:val="24"/>
              </w:rPr>
            </w:pPr>
            <w:r w:rsidRPr="006D5543">
              <w:rPr>
                <w:b/>
                <w:sz w:val="24"/>
                <w:szCs w:val="24"/>
              </w:rPr>
              <w:t>Hyppighed</w:t>
            </w:r>
          </w:p>
        </w:tc>
      </w:tr>
      <w:tr w:rsidR="00E72638" w:rsidRPr="006D5543" w14:paraId="2DA532F4" w14:textId="77777777" w:rsidTr="00E72638">
        <w:tc>
          <w:tcPr>
            <w:tcW w:w="981" w:type="pct"/>
            <w:tcBorders>
              <w:top w:val="single" w:sz="4" w:space="0" w:color="auto"/>
              <w:left w:val="single" w:sz="4" w:space="0" w:color="auto"/>
              <w:bottom w:val="single" w:sz="4" w:space="0" w:color="auto"/>
              <w:right w:val="single" w:sz="4" w:space="0" w:color="auto"/>
            </w:tcBorders>
            <w:hideMark/>
          </w:tcPr>
          <w:p w14:paraId="3CB201D6" w14:textId="77777777" w:rsidR="00E72638" w:rsidRPr="006D5543" w:rsidRDefault="00E72638" w:rsidP="00FF622E">
            <w:pPr>
              <w:ind w:left="33"/>
              <w:rPr>
                <w:sz w:val="24"/>
                <w:szCs w:val="24"/>
              </w:rPr>
            </w:pPr>
            <w:r w:rsidRPr="006D5543">
              <w:rPr>
                <w:sz w:val="24"/>
                <w:szCs w:val="24"/>
              </w:rPr>
              <w:t>Immunsystemet</w:t>
            </w:r>
          </w:p>
        </w:tc>
        <w:tc>
          <w:tcPr>
            <w:tcW w:w="2166" w:type="pct"/>
            <w:tcBorders>
              <w:top w:val="single" w:sz="4" w:space="0" w:color="auto"/>
              <w:left w:val="single" w:sz="4" w:space="0" w:color="auto"/>
              <w:bottom w:val="single" w:sz="4" w:space="0" w:color="auto"/>
              <w:right w:val="single" w:sz="4" w:space="0" w:color="auto"/>
            </w:tcBorders>
            <w:hideMark/>
          </w:tcPr>
          <w:p w14:paraId="13FD4450" w14:textId="77777777" w:rsidR="00E72638" w:rsidRPr="006D5543" w:rsidRDefault="00E72638" w:rsidP="00FF622E">
            <w:pPr>
              <w:tabs>
                <w:tab w:val="left" w:pos="851"/>
              </w:tabs>
              <w:ind w:left="11"/>
              <w:rPr>
                <w:sz w:val="24"/>
                <w:szCs w:val="24"/>
              </w:rPr>
            </w:pPr>
            <w:r w:rsidRPr="006D5543">
              <w:rPr>
                <w:sz w:val="24"/>
                <w:szCs w:val="24"/>
              </w:rPr>
              <w:t xml:space="preserve">Hypersensitivitet </w:t>
            </w:r>
          </w:p>
          <w:p w14:paraId="7632752B" w14:textId="77777777" w:rsidR="00E72638" w:rsidRPr="006D5543" w:rsidRDefault="00E72638" w:rsidP="00FF622E">
            <w:pPr>
              <w:tabs>
                <w:tab w:val="left" w:pos="851"/>
              </w:tabs>
              <w:ind w:left="11"/>
              <w:rPr>
                <w:sz w:val="24"/>
                <w:szCs w:val="24"/>
              </w:rPr>
            </w:pPr>
            <w:r w:rsidRPr="006D5543">
              <w:rPr>
                <w:sz w:val="24"/>
                <w:szCs w:val="24"/>
              </w:rPr>
              <w:t>Angioødem</w:t>
            </w:r>
          </w:p>
        </w:tc>
        <w:tc>
          <w:tcPr>
            <w:tcW w:w="1853" w:type="pct"/>
            <w:tcBorders>
              <w:top w:val="single" w:sz="4" w:space="0" w:color="auto"/>
              <w:left w:val="single" w:sz="4" w:space="0" w:color="auto"/>
              <w:bottom w:val="single" w:sz="4" w:space="0" w:color="auto"/>
              <w:right w:val="single" w:sz="4" w:space="0" w:color="auto"/>
            </w:tcBorders>
            <w:hideMark/>
          </w:tcPr>
          <w:p w14:paraId="08C5F719" w14:textId="77777777" w:rsidR="00E72638" w:rsidRPr="006D5543" w:rsidRDefault="00E72638" w:rsidP="004B6D5F">
            <w:pPr>
              <w:ind w:left="34"/>
              <w:rPr>
                <w:sz w:val="24"/>
                <w:szCs w:val="24"/>
              </w:rPr>
            </w:pPr>
            <w:r w:rsidRPr="006D5543">
              <w:rPr>
                <w:sz w:val="24"/>
                <w:szCs w:val="24"/>
              </w:rPr>
              <w:t>Ikke kendt</w:t>
            </w:r>
          </w:p>
        </w:tc>
      </w:tr>
      <w:tr w:rsidR="00E72638" w:rsidRPr="006D5543" w14:paraId="06810502" w14:textId="77777777" w:rsidTr="00E72638">
        <w:tc>
          <w:tcPr>
            <w:tcW w:w="981" w:type="pct"/>
            <w:tcBorders>
              <w:top w:val="single" w:sz="4" w:space="0" w:color="auto"/>
              <w:left w:val="single" w:sz="4" w:space="0" w:color="auto"/>
              <w:bottom w:val="single" w:sz="4" w:space="0" w:color="auto"/>
              <w:right w:val="single" w:sz="4" w:space="0" w:color="auto"/>
            </w:tcBorders>
            <w:hideMark/>
          </w:tcPr>
          <w:p w14:paraId="35A08F50" w14:textId="77777777" w:rsidR="00E72638" w:rsidRPr="006D5543" w:rsidRDefault="00E72638" w:rsidP="00FF622E">
            <w:pPr>
              <w:ind w:left="33"/>
              <w:rPr>
                <w:sz w:val="24"/>
                <w:szCs w:val="24"/>
              </w:rPr>
            </w:pPr>
            <w:r w:rsidRPr="006D5543">
              <w:rPr>
                <w:sz w:val="24"/>
                <w:szCs w:val="24"/>
              </w:rPr>
              <w:t>Nervesystemet</w:t>
            </w:r>
          </w:p>
        </w:tc>
        <w:tc>
          <w:tcPr>
            <w:tcW w:w="2166" w:type="pct"/>
            <w:tcBorders>
              <w:top w:val="single" w:sz="4" w:space="0" w:color="auto"/>
              <w:left w:val="single" w:sz="4" w:space="0" w:color="auto"/>
              <w:bottom w:val="single" w:sz="4" w:space="0" w:color="auto"/>
              <w:right w:val="single" w:sz="4" w:space="0" w:color="auto"/>
            </w:tcBorders>
          </w:tcPr>
          <w:p w14:paraId="6BA6AD47" w14:textId="77777777" w:rsidR="00E72638" w:rsidRPr="006D5543" w:rsidRDefault="00E72638" w:rsidP="00FF622E">
            <w:pPr>
              <w:tabs>
                <w:tab w:val="left" w:pos="851"/>
              </w:tabs>
              <w:ind w:left="11"/>
              <w:rPr>
                <w:sz w:val="24"/>
                <w:szCs w:val="24"/>
              </w:rPr>
            </w:pPr>
            <w:r w:rsidRPr="006D5543">
              <w:rPr>
                <w:sz w:val="24"/>
                <w:szCs w:val="24"/>
              </w:rPr>
              <w:t>Sløvhed</w:t>
            </w:r>
          </w:p>
          <w:p w14:paraId="745265FD" w14:textId="77777777" w:rsidR="00E72638" w:rsidRPr="006D5543" w:rsidRDefault="00E72638" w:rsidP="00FF622E">
            <w:pPr>
              <w:tabs>
                <w:tab w:val="left" w:pos="851"/>
              </w:tabs>
              <w:ind w:left="11"/>
              <w:rPr>
                <w:sz w:val="24"/>
                <w:szCs w:val="24"/>
              </w:rPr>
            </w:pPr>
          </w:p>
          <w:p w14:paraId="181F9C04" w14:textId="77777777" w:rsidR="00E72638" w:rsidRPr="006D5543" w:rsidRDefault="00E72638" w:rsidP="00FF622E">
            <w:pPr>
              <w:tabs>
                <w:tab w:val="left" w:pos="851"/>
              </w:tabs>
              <w:ind w:left="11"/>
              <w:rPr>
                <w:sz w:val="24"/>
                <w:szCs w:val="24"/>
              </w:rPr>
            </w:pPr>
            <w:r w:rsidRPr="006D5543">
              <w:rPr>
                <w:sz w:val="24"/>
                <w:szCs w:val="24"/>
              </w:rPr>
              <w:t>Konfusion **, svimmelhed</w:t>
            </w:r>
          </w:p>
        </w:tc>
        <w:tc>
          <w:tcPr>
            <w:tcW w:w="1853" w:type="pct"/>
            <w:tcBorders>
              <w:top w:val="single" w:sz="4" w:space="0" w:color="auto"/>
              <w:left w:val="single" w:sz="4" w:space="0" w:color="auto"/>
              <w:bottom w:val="single" w:sz="4" w:space="0" w:color="auto"/>
              <w:right w:val="single" w:sz="4" w:space="0" w:color="auto"/>
            </w:tcBorders>
          </w:tcPr>
          <w:p w14:paraId="0FB0F7BC" w14:textId="77777777" w:rsidR="00E72638" w:rsidRPr="006D5543" w:rsidRDefault="00E72638" w:rsidP="004B6D5F">
            <w:pPr>
              <w:ind w:left="34"/>
              <w:rPr>
                <w:sz w:val="24"/>
                <w:szCs w:val="24"/>
              </w:rPr>
            </w:pPr>
            <w:r w:rsidRPr="006D5543">
              <w:rPr>
                <w:sz w:val="24"/>
                <w:szCs w:val="24"/>
              </w:rPr>
              <w:t>Almindelig</w:t>
            </w:r>
          </w:p>
          <w:p w14:paraId="131C9634" w14:textId="77777777" w:rsidR="00E72638" w:rsidRPr="006D5543" w:rsidRDefault="00E72638" w:rsidP="004B6D5F">
            <w:pPr>
              <w:ind w:left="34"/>
              <w:rPr>
                <w:sz w:val="24"/>
                <w:szCs w:val="24"/>
              </w:rPr>
            </w:pPr>
          </w:p>
          <w:p w14:paraId="4ABB177D" w14:textId="77777777" w:rsidR="00E72638" w:rsidRPr="006D5543" w:rsidRDefault="00E72638" w:rsidP="004B6D5F">
            <w:pPr>
              <w:ind w:left="34"/>
              <w:rPr>
                <w:sz w:val="24"/>
                <w:szCs w:val="24"/>
              </w:rPr>
            </w:pPr>
            <w:r w:rsidRPr="006D5543">
              <w:rPr>
                <w:sz w:val="24"/>
                <w:szCs w:val="24"/>
              </w:rPr>
              <w:t>Ikke kendt</w:t>
            </w:r>
          </w:p>
        </w:tc>
      </w:tr>
      <w:tr w:rsidR="00E72638" w:rsidRPr="006D5543" w14:paraId="244B3C3D" w14:textId="77777777" w:rsidTr="00E72638">
        <w:tc>
          <w:tcPr>
            <w:tcW w:w="981" w:type="pct"/>
            <w:tcBorders>
              <w:top w:val="single" w:sz="4" w:space="0" w:color="auto"/>
              <w:left w:val="single" w:sz="4" w:space="0" w:color="auto"/>
              <w:bottom w:val="single" w:sz="4" w:space="0" w:color="auto"/>
              <w:right w:val="single" w:sz="4" w:space="0" w:color="auto"/>
            </w:tcBorders>
            <w:hideMark/>
          </w:tcPr>
          <w:p w14:paraId="1EA9D51A" w14:textId="77777777" w:rsidR="00E72638" w:rsidRPr="006D5543" w:rsidRDefault="00E72638" w:rsidP="00FF622E">
            <w:pPr>
              <w:ind w:left="33"/>
              <w:rPr>
                <w:sz w:val="24"/>
                <w:szCs w:val="24"/>
              </w:rPr>
            </w:pPr>
            <w:r w:rsidRPr="006D5543">
              <w:rPr>
                <w:sz w:val="24"/>
                <w:szCs w:val="24"/>
              </w:rPr>
              <w:t>Øjne</w:t>
            </w:r>
          </w:p>
        </w:tc>
        <w:tc>
          <w:tcPr>
            <w:tcW w:w="2166" w:type="pct"/>
            <w:tcBorders>
              <w:top w:val="single" w:sz="4" w:space="0" w:color="auto"/>
              <w:left w:val="single" w:sz="4" w:space="0" w:color="auto"/>
              <w:bottom w:val="single" w:sz="4" w:space="0" w:color="auto"/>
              <w:right w:val="single" w:sz="4" w:space="0" w:color="auto"/>
            </w:tcBorders>
            <w:hideMark/>
          </w:tcPr>
          <w:p w14:paraId="746102D6" w14:textId="77777777" w:rsidR="00E72638" w:rsidRPr="006D5543" w:rsidRDefault="00E72638" w:rsidP="00FF622E">
            <w:pPr>
              <w:tabs>
                <w:tab w:val="left" w:pos="851"/>
              </w:tabs>
              <w:ind w:left="11"/>
              <w:rPr>
                <w:sz w:val="24"/>
                <w:szCs w:val="24"/>
              </w:rPr>
            </w:pPr>
            <w:r w:rsidRPr="006D5543">
              <w:rPr>
                <w:sz w:val="24"/>
                <w:szCs w:val="24"/>
              </w:rPr>
              <w:t>Synsforstyrrelser</w:t>
            </w:r>
          </w:p>
        </w:tc>
        <w:tc>
          <w:tcPr>
            <w:tcW w:w="1853" w:type="pct"/>
            <w:tcBorders>
              <w:top w:val="single" w:sz="4" w:space="0" w:color="auto"/>
              <w:left w:val="single" w:sz="4" w:space="0" w:color="auto"/>
              <w:bottom w:val="single" w:sz="4" w:space="0" w:color="auto"/>
              <w:right w:val="single" w:sz="4" w:space="0" w:color="auto"/>
            </w:tcBorders>
            <w:hideMark/>
          </w:tcPr>
          <w:p w14:paraId="48B6B504" w14:textId="77777777" w:rsidR="00E72638" w:rsidRPr="006D5543" w:rsidRDefault="00E72638" w:rsidP="004B6D5F">
            <w:pPr>
              <w:ind w:left="34"/>
              <w:rPr>
                <w:sz w:val="24"/>
                <w:szCs w:val="24"/>
              </w:rPr>
            </w:pPr>
            <w:r w:rsidRPr="006D5543">
              <w:rPr>
                <w:sz w:val="24"/>
                <w:szCs w:val="24"/>
              </w:rPr>
              <w:t>Almindelig</w:t>
            </w:r>
          </w:p>
        </w:tc>
      </w:tr>
      <w:tr w:rsidR="00E72638" w:rsidRPr="006D5543" w14:paraId="794039FC" w14:textId="77777777" w:rsidTr="00E72638">
        <w:tc>
          <w:tcPr>
            <w:tcW w:w="981" w:type="pct"/>
            <w:tcBorders>
              <w:top w:val="single" w:sz="4" w:space="0" w:color="auto"/>
              <w:left w:val="single" w:sz="4" w:space="0" w:color="auto"/>
              <w:bottom w:val="single" w:sz="4" w:space="0" w:color="auto"/>
              <w:right w:val="single" w:sz="4" w:space="0" w:color="auto"/>
            </w:tcBorders>
            <w:hideMark/>
          </w:tcPr>
          <w:p w14:paraId="7552A535" w14:textId="77777777" w:rsidR="00E72638" w:rsidRPr="006D5543" w:rsidRDefault="00E72638" w:rsidP="00FF622E">
            <w:pPr>
              <w:ind w:left="33"/>
              <w:rPr>
                <w:sz w:val="24"/>
                <w:szCs w:val="24"/>
              </w:rPr>
            </w:pPr>
            <w:r w:rsidRPr="006D5543">
              <w:rPr>
                <w:sz w:val="24"/>
                <w:szCs w:val="24"/>
              </w:rPr>
              <w:lastRenderedPageBreak/>
              <w:t>Hjerte</w:t>
            </w:r>
          </w:p>
        </w:tc>
        <w:tc>
          <w:tcPr>
            <w:tcW w:w="2166" w:type="pct"/>
            <w:tcBorders>
              <w:top w:val="single" w:sz="4" w:space="0" w:color="auto"/>
              <w:left w:val="single" w:sz="4" w:space="0" w:color="auto"/>
              <w:bottom w:val="single" w:sz="4" w:space="0" w:color="auto"/>
              <w:right w:val="single" w:sz="4" w:space="0" w:color="auto"/>
            </w:tcBorders>
            <w:hideMark/>
          </w:tcPr>
          <w:p w14:paraId="7E98D32B" w14:textId="77777777" w:rsidR="00E72638" w:rsidRPr="006D5543" w:rsidRDefault="00E72638" w:rsidP="00FF622E">
            <w:pPr>
              <w:tabs>
                <w:tab w:val="left" w:pos="851"/>
              </w:tabs>
              <w:ind w:left="11"/>
              <w:rPr>
                <w:sz w:val="24"/>
                <w:szCs w:val="24"/>
              </w:rPr>
            </w:pPr>
            <w:r w:rsidRPr="006D5543">
              <w:rPr>
                <w:sz w:val="24"/>
                <w:szCs w:val="24"/>
              </w:rPr>
              <w:t>Takykardi, palpitationer og ventrikulær arytmi</w:t>
            </w:r>
          </w:p>
        </w:tc>
        <w:tc>
          <w:tcPr>
            <w:tcW w:w="1853" w:type="pct"/>
            <w:tcBorders>
              <w:top w:val="single" w:sz="4" w:space="0" w:color="auto"/>
              <w:left w:val="single" w:sz="4" w:space="0" w:color="auto"/>
              <w:bottom w:val="single" w:sz="4" w:space="0" w:color="auto"/>
              <w:right w:val="single" w:sz="4" w:space="0" w:color="auto"/>
            </w:tcBorders>
            <w:hideMark/>
          </w:tcPr>
          <w:p w14:paraId="47EA0EA2" w14:textId="77777777" w:rsidR="00E72638" w:rsidRPr="006D5543" w:rsidRDefault="00E72638" w:rsidP="004B6D5F">
            <w:pPr>
              <w:ind w:left="34"/>
              <w:rPr>
                <w:sz w:val="24"/>
                <w:szCs w:val="24"/>
              </w:rPr>
            </w:pPr>
            <w:r w:rsidRPr="006D5543">
              <w:rPr>
                <w:sz w:val="24"/>
                <w:szCs w:val="24"/>
              </w:rPr>
              <w:t>Almindelig</w:t>
            </w:r>
          </w:p>
        </w:tc>
      </w:tr>
      <w:tr w:rsidR="00E72638" w:rsidRPr="006D5543" w14:paraId="3A940438" w14:textId="77777777" w:rsidTr="00E72638">
        <w:tc>
          <w:tcPr>
            <w:tcW w:w="981" w:type="pct"/>
            <w:tcBorders>
              <w:top w:val="single" w:sz="4" w:space="0" w:color="auto"/>
              <w:left w:val="single" w:sz="4" w:space="0" w:color="auto"/>
              <w:bottom w:val="single" w:sz="4" w:space="0" w:color="auto"/>
              <w:right w:val="single" w:sz="4" w:space="0" w:color="auto"/>
            </w:tcBorders>
            <w:hideMark/>
          </w:tcPr>
          <w:p w14:paraId="2FFD7049" w14:textId="77777777" w:rsidR="00E72638" w:rsidRPr="006D5543" w:rsidRDefault="00E72638" w:rsidP="00FF622E">
            <w:pPr>
              <w:ind w:left="33"/>
              <w:rPr>
                <w:sz w:val="24"/>
                <w:szCs w:val="24"/>
              </w:rPr>
            </w:pPr>
            <w:r w:rsidRPr="006D5543">
              <w:rPr>
                <w:sz w:val="24"/>
                <w:szCs w:val="24"/>
              </w:rPr>
              <w:t>Luftveje, thorax og mediastinum</w:t>
            </w:r>
          </w:p>
        </w:tc>
        <w:tc>
          <w:tcPr>
            <w:tcW w:w="2166" w:type="pct"/>
            <w:tcBorders>
              <w:top w:val="single" w:sz="4" w:space="0" w:color="auto"/>
              <w:left w:val="single" w:sz="4" w:space="0" w:color="auto"/>
              <w:bottom w:val="single" w:sz="4" w:space="0" w:color="auto"/>
              <w:right w:val="single" w:sz="4" w:space="0" w:color="auto"/>
            </w:tcBorders>
            <w:hideMark/>
          </w:tcPr>
          <w:p w14:paraId="28C95E30" w14:textId="77777777" w:rsidR="00E72638" w:rsidRPr="006D5543" w:rsidRDefault="00E72638" w:rsidP="00FF622E">
            <w:pPr>
              <w:tabs>
                <w:tab w:val="left" w:pos="851"/>
              </w:tabs>
              <w:ind w:left="11"/>
              <w:rPr>
                <w:sz w:val="24"/>
                <w:szCs w:val="24"/>
              </w:rPr>
            </w:pPr>
            <w:r w:rsidRPr="006D5543">
              <w:rPr>
                <w:sz w:val="24"/>
                <w:szCs w:val="24"/>
              </w:rPr>
              <w:t>Tilstoppet næse, reduceret bronkialsekretion</w:t>
            </w:r>
          </w:p>
        </w:tc>
        <w:tc>
          <w:tcPr>
            <w:tcW w:w="1853" w:type="pct"/>
            <w:tcBorders>
              <w:top w:val="single" w:sz="4" w:space="0" w:color="auto"/>
              <w:left w:val="single" w:sz="4" w:space="0" w:color="auto"/>
              <w:bottom w:val="single" w:sz="4" w:space="0" w:color="auto"/>
              <w:right w:val="single" w:sz="4" w:space="0" w:color="auto"/>
            </w:tcBorders>
            <w:hideMark/>
          </w:tcPr>
          <w:p w14:paraId="502F1DB8" w14:textId="77777777" w:rsidR="00E72638" w:rsidRPr="006D5543" w:rsidRDefault="00E72638" w:rsidP="004B6D5F">
            <w:pPr>
              <w:ind w:left="34"/>
              <w:rPr>
                <w:sz w:val="24"/>
                <w:szCs w:val="24"/>
              </w:rPr>
            </w:pPr>
            <w:r w:rsidRPr="006D5543">
              <w:rPr>
                <w:sz w:val="24"/>
                <w:szCs w:val="24"/>
              </w:rPr>
              <w:t>Ikke kendt</w:t>
            </w:r>
          </w:p>
        </w:tc>
      </w:tr>
      <w:tr w:rsidR="00E72638" w:rsidRPr="006D5543" w14:paraId="763C8127" w14:textId="77777777" w:rsidTr="00E72638">
        <w:tc>
          <w:tcPr>
            <w:tcW w:w="981" w:type="pct"/>
            <w:tcBorders>
              <w:top w:val="single" w:sz="4" w:space="0" w:color="auto"/>
              <w:left w:val="single" w:sz="4" w:space="0" w:color="auto"/>
              <w:bottom w:val="single" w:sz="4" w:space="0" w:color="auto"/>
              <w:right w:val="single" w:sz="4" w:space="0" w:color="auto"/>
            </w:tcBorders>
            <w:vAlign w:val="center"/>
            <w:hideMark/>
          </w:tcPr>
          <w:p w14:paraId="5B72B328" w14:textId="77777777" w:rsidR="00E72638" w:rsidRPr="006D5543" w:rsidRDefault="00E72638" w:rsidP="00FF622E">
            <w:pPr>
              <w:ind w:left="33"/>
              <w:rPr>
                <w:sz w:val="24"/>
                <w:szCs w:val="24"/>
              </w:rPr>
            </w:pPr>
            <w:r w:rsidRPr="006D5543">
              <w:rPr>
                <w:sz w:val="24"/>
                <w:szCs w:val="24"/>
                <w:lang w:val="en-GB"/>
              </w:rPr>
              <w:t xml:space="preserve">Mave-tarm-kanalen </w:t>
            </w:r>
          </w:p>
        </w:tc>
        <w:tc>
          <w:tcPr>
            <w:tcW w:w="2166" w:type="pct"/>
            <w:tcBorders>
              <w:top w:val="single" w:sz="4" w:space="0" w:color="auto"/>
              <w:left w:val="single" w:sz="4" w:space="0" w:color="auto"/>
              <w:bottom w:val="single" w:sz="4" w:space="0" w:color="auto"/>
              <w:right w:val="single" w:sz="4" w:space="0" w:color="auto"/>
            </w:tcBorders>
            <w:hideMark/>
          </w:tcPr>
          <w:p w14:paraId="5A4FE510" w14:textId="77777777" w:rsidR="00E72638" w:rsidRPr="006D5543" w:rsidRDefault="00E72638" w:rsidP="00FF622E">
            <w:pPr>
              <w:tabs>
                <w:tab w:val="left" w:pos="851"/>
              </w:tabs>
              <w:ind w:left="11"/>
              <w:rPr>
                <w:sz w:val="24"/>
                <w:szCs w:val="24"/>
              </w:rPr>
            </w:pPr>
            <w:r w:rsidRPr="006D5543">
              <w:rPr>
                <w:sz w:val="24"/>
                <w:szCs w:val="24"/>
              </w:rPr>
              <w:t>Utilpashed, opkastning, forstoppelse</w:t>
            </w:r>
          </w:p>
        </w:tc>
        <w:tc>
          <w:tcPr>
            <w:tcW w:w="1853" w:type="pct"/>
            <w:tcBorders>
              <w:top w:val="single" w:sz="4" w:space="0" w:color="auto"/>
              <w:left w:val="single" w:sz="4" w:space="0" w:color="auto"/>
              <w:bottom w:val="single" w:sz="4" w:space="0" w:color="auto"/>
              <w:right w:val="single" w:sz="4" w:space="0" w:color="auto"/>
            </w:tcBorders>
            <w:hideMark/>
          </w:tcPr>
          <w:p w14:paraId="4613875B" w14:textId="77777777" w:rsidR="00E72638" w:rsidRPr="006D5543" w:rsidRDefault="00E72638" w:rsidP="004B6D5F">
            <w:pPr>
              <w:ind w:left="34"/>
              <w:rPr>
                <w:sz w:val="24"/>
                <w:szCs w:val="24"/>
              </w:rPr>
            </w:pPr>
            <w:r w:rsidRPr="006D5543">
              <w:rPr>
                <w:sz w:val="24"/>
                <w:szCs w:val="24"/>
              </w:rPr>
              <w:t>Ikke kendt</w:t>
            </w:r>
          </w:p>
        </w:tc>
      </w:tr>
      <w:tr w:rsidR="00E72638" w:rsidRPr="006D5543" w14:paraId="2DA1146A" w14:textId="77777777" w:rsidTr="00E72638">
        <w:tc>
          <w:tcPr>
            <w:tcW w:w="981" w:type="pct"/>
            <w:tcBorders>
              <w:top w:val="single" w:sz="4" w:space="0" w:color="auto"/>
              <w:left w:val="single" w:sz="4" w:space="0" w:color="auto"/>
              <w:bottom w:val="single" w:sz="4" w:space="0" w:color="auto"/>
              <w:right w:val="single" w:sz="4" w:space="0" w:color="auto"/>
            </w:tcBorders>
            <w:vAlign w:val="center"/>
            <w:hideMark/>
          </w:tcPr>
          <w:p w14:paraId="0A339FDF" w14:textId="77777777" w:rsidR="00E72638" w:rsidRPr="006D5543" w:rsidRDefault="00E72638" w:rsidP="00FF622E">
            <w:pPr>
              <w:ind w:left="33"/>
              <w:rPr>
                <w:sz w:val="24"/>
                <w:szCs w:val="24"/>
              </w:rPr>
            </w:pPr>
            <w:r w:rsidRPr="006D5543">
              <w:rPr>
                <w:sz w:val="24"/>
                <w:szCs w:val="24"/>
              </w:rPr>
              <w:t>Nyrer- og urinveje</w:t>
            </w:r>
          </w:p>
        </w:tc>
        <w:tc>
          <w:tcPr>
            <w:tcW w:w="2166" w:type="pct"/>
            <w:tcBorders>
              <w:top w:val="single" w:sz="4" w:space="0" w:color="auto"/>
              <w:left w:val="single" w:sz="4" w:space="0" w:color="auto"/>
              <w:bottom w:val="single" w:sz="4" w:space="0" w:color="auto"/>
              <w:right w:val="single" w:sz="4" w:space="0" w:color="auto"/>
            </w:tcBorders>
            <w:hideMark/>
          </w:tcPr>
          <w:p w14:paraId="7988D44C" w14:textId="2EB8D89F" w:rsidR="00E72638" w:rsidRPr="006D5543" w:rsidRDefault="00FF622E" w:rsidP="00FF622E">
            <w:pPr>
              <w:tabs>
                <w:tab w:val="left" w:pos="851"/>
              </w:tabs>
              <w:ind w:left="11"/>
              <w:rPr>
                <w:sz w:val="24"/>
                <w:szCs w:val="24"/>
              </w:rPr>
            </w:pPr>
            <w:r w:rsidRPr="006D5543">
              <w:rPr>
                <w:sz w:val="24"/>
                <w:szCs w:val="24"/>
              </w:rPr>
              <w:t>V</w:t>
            </w:r>
            <w:r w:rsidR="00E72638" w:rsidRPr="006D5543">
              <w:rPr>
                <w:sz w:val="24"/>
                <w:szCs w:val="24"/>
              </w:rPr>
              <w:t>andladningsproblemer, urinretention</w:t>
            </w:r>
          </w:p>
        </w:tc>
        <w:tc>
          <w:tcPr>
            <w:tcW w:w="1853" w:type="pct"/>
            <w:tcBorders>
              <w:top w:val="single" w:sz="4" w:space="0" w:color="auto"/>
              <w:left w:val="single" w:sz="4" w:space="0" w:color="auto"/>
              <w:bottom w:val="single" w:sz="4" w:space="0" w:color="auto"/>
              <w:right w:val="single" w:sz="4" w:space="0" w:color="auto"/>
            </w:tcBorders>
            <w:hideMark/>
          </w:tcPr>
          <w:p w14:paraId="114560D9" w14:textId="77777777" w:rsidR="00E72638" w:rsidRPr="006D5543" w:rsidRDefault="00E72638" w:rsidP="004B6D5F">
            <w:pPr>
              <w:ind w:left="34"/>
              <w:rPr>
                <w:sz w:val="24"/>
                <w:szCs w:val="24"/>
              </w:rPr>
            </w:pPr>
            <w:r w:rsidRPr="006D5543">
              <w:rPr>
                <w:sz w:val="24"/>
                <w:szCs w:val="24"/>
              </w:rPr>
              <w:t>Almindelig</w:t>
            </w:r>
          </w:p>
        </w:tc>
      </w:tr>
      <w:tr w:rsidR="00E72638" w:rsidRPr="006D5543" w14:paraId="72553101" w14:textId="77777777" w:rsidTr="00E72638">
        <w:tc>
          <w:tcPr>
            <w:tcW w:w="981" w:type="pct"/>
            <w:tcBorders>
              <w:top w:val="single" w:sz="4" w:space="0" w:color="auto"/>
              <w:left w:val="single" w:sz="4" w:space="0" w:color="auto"/>
              <w:bottom w:val="single" w:sz="4" w:space="0" w:color="auto"/>
              <w:right w:val="single" w:sz="4" w:space="0" w:color="auto"/>
            </w:tcBorders>
            <w:hideMark/>
          </w:tcPr>
          <w:p w14:paraId="1798E719" w14:textId="77777777" w:rsidR="00E72638" w:rsidRPr="006D5543" w:rsidRDefault="00E72638" w:rsidP="00FF622E">
            <w:pPr>
              <w:ind w:left="33"/>
              <w:rPr>
                <w:sz w:val="24"/>
                <w:szCs w:val="24"/>
              </w:rPr>
            </w:pPr>
            <w:r w:rsidRPr="006D5543">
              <w:rPr>
                <w:sz w:val="24"/>
                <w:szCs w:val="24"/>
              </w:rPr>
              <w:t>Almene symptomer og reaktioner på administrationsstedet</w:t>
            </w:r>
          </w:p>
        </w:tc>
        <w:tc>
          <w:tcPr>
            <w:tcW w:w="2166" w:type="pct"/>
            <w:tcBorders>
              <w:top w:val="single" w:sz="4" w:space="0" w:color="auto"/>
              <w:left w:val="single" w:sz="4" w:space="0" w:color="auto"/>
              <w:bottom w:val="single" w:sz="4" w:space="0" w:color="auto"/>
              <w:right w:val="single" w:sz="4" w:space="0" w:color="auto"/>
            </w:tcBorders>
            <w:hideMark/>
          </w:tcPr>
          <w:p w14:paraId="5FE67396" w14:textId="77777777" w:rsidR="00E72638" w:rsidRPr="006D5543" w:rsidRDefault="00E72638" w:rsidP="00FF622E">
            <w:pPr>
              <w:tabs>
                <w:tab w:val="left" w:pos="851"/>
              </w:tabs>
              <w:ind w:left="11"/>
              <w:rPr>
                <w:sz w:val="24"/>
                <w:szCs w:val="24"/>
              </w:rPr>
            </w:pPr>
            <w:r w:rsidRPr="006D5543">
              <w:rPr>
                <w:sz w:val="24"/>
                <w:szCs w:val="24"/>
              </w:rPr>
              <w:t>Anafylaktisk reaktion</w:t>
            </w:r>
          </w:p>
        </w:tc>
        <w:tc>
          <w:tcPr>
            <w:tcW w:w="1853" w:type="pct"/>
            <w:tcBorders>
              <w:top w:val="single" w:sz="4" w:space="0" w:color="auto"/>
              <w:left w:val="single" w:sz="4" w:space="0" w:color="auto"/>
              <w:bottom w:val="single" w:sz="4" w:space="0" w:color="auto"/>
              <w:right w:val="single" w:sz="4" w:space="0" w:color="auto"/>
            </w:tcBorders>
            <w:hideMark/>
          </w:tcPr>
          <w:p w14:paraId="26ED229A" w14:textId="77777777" w:rsidR="00E72638" w:rsidRPr="006D5543" w:rsidRDefault="00E72638" w:rsidP="004B6D5F">
            <w:pPr>
              <w:ind w:left="34"/>
              <w:rPr>
                <w:sz w:val="24"/>
                <w:szCs w:val="24"/>
              </w:rPr>
            </w:pPr>
            <w:r w:rsidRPr="006D5543">
              <w:rPr>
                <w:sz w:val="24"/>
                <w:szCs w:val="24"/>
              </w:rPr>
              <w:t>Ikke kendt</w:t>
            </w:r>
          </w:p>
        </w:tc>
      </w:tr>
    </w:tbl>
    <w:p w14:paraId="4945E302" w14:textId="77777777" w:rsidR="00E72638" w:rsidRPr="006D5543" w:rsidRDefault="00E72638" w:rsidP="00E72638">
      <w:pPr>
        <w:tabs>
          <w:tab w:val="left" w:pos="851"/>
        </w:tabs>
        <w:ind w:left="851"/>
        <w:rPr>
          <w:sz w:val="24"/>
          <w:szCs w:val="24"/>
        </w:rPr>
      </w:pPr>
      <w:r w:rsidRPr="006D5543">
        <w:rPr>
          <w:sz w:val="24"/>
          <w:szCs w:val="24"/>
        </w:rPr>
        <w:t>** Især hos ældre.</w:t>
      </w:r>
    </w:p>
    <w:p w14:paraId="19229015" w14:textId="77777777" w:rsidR="00E72638" w:rsidRPr="006D5543" w:rsidRDefault="00E72638" w:rsidP="00E72638">
      <w:pPr>
        <w:tabs>
          <w:tab w:val="left" w:pos="851"/>
        </w:tabs>
        <w:ind w:left="851"/>
        <w:rPr>
          <w:sz w:val="24"/>
          <w:szCs w:val="24"/>
        </w:rPr>
      </w:pPr>
    </w:p>
    <w:p w14:paraId="5DFE2CA0" w14:textId="77777777" w:rsidR="00E72638" w:rsidRPr="006D5543" w:rsidRDefault="00E72638" w:rsidP="00E72638">
      <w:pPr>
        <w:tabs>
          <w:tab w:val="left" w:pos="851"/>
        </w:tabs>
        <w:ind w:left="851"/>
        <w:rPr>
          <w:sz w:val="24"/>
          <w:szCs w:val="24"/>
          <w:u w:val="single"/>
        </w:rPr>
      </w:pPr>
      <w:r w:rsidRPr="006D5543">
        <w:rPr>
          <w:sz w:val="24"/>
          <w:szCs w:val="24"/>
          <w:u w:val="single"/>
        </w:rPr>
        <w:t>Indberetning af formodede bivirkninger</w:t>
      </w:r>
    </w:p>
    <w:p w14:paraId="7B02DC66" w14:textId="77777777" w:rsidR="00E72638" w:rsidRPr="006D5543" w:rsidRDefault="00E72638" w:rsidP="00E72638">
      <w:pPr>
        <w:tabs>
          <w:tab w:val="left" w:pos="851"/>
        </w:tabs>
        <w:ind w:left="851"/>
        <w:rPr>
          <w:sz w:val="24"/>
          <w:szCs w:val="24"/>
        </w:rPr>
      </w:pPr>
      <w:r w:rsidRPr="006D5543">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37CE32EF" w14:textId="77777777" w:rsidR="00E72638" w:rsidRPr="006D5543" w:rsidRDefault="00E72638" w:rsidP="00E72638">
      <w:pPr>
        <w:tabs>
          <w:tab w:val="left" w:pos="851"/>
        </w:tabs>
        <w:ind w:left="851"/>
        <w:rPr>
          <w:sz w:val="24"/>
          <w:szCs w:val="24"/>
        </w:rPr>
      </w:pPr>
    </w:p>
    <w:p w14:paraId="7C84DAA7" w14:textId="77777777" w:rsidR="00E72638" w:rsidRPr="006D5543" w:rsidRDefault="00E72638" w:rsidP="00E72638">
      <w:pPr>
        <w:tabs>
          <w:tab w:val="left" w:pos="851"/>
        </w:tabs>
        <w:ind w:left="851"/>
        <w:rPr>
          <w:sz w:val="24"/>
          <w:szCs w:val="24"/>
        </w:rPr>
      </w:pPr>
      <w:r w:rsidRPr="006D5543">
        <w:rPr>
          <w:sz w:val="24"/>
          <w:szCs w:val="24"/>
        </w:rPr>
        <w:t>Lægemiddelstyrelsen</w:t>
      </w:r>
    </w:p>
    <w:p w14:paraId="0FC54516" w14:textId="77777777" w:rsidR="00E72638" w:rsidRPr="006D5543" w:rsidRDefault="00E72638" w:rsidP="00E72638">
      <w:pPr>
        <w:tabs>
          <w:tab w:val="left" w:pos="851"/>
        </w:tabs>
        <w:ind w:left="851"/>
        <w:rPr>
          <w:sz w:val="24"/>
          <w:szCs w:val="24"/>
        </w:rPr>
      </w:pPr>
      <w:r w:rsidRPr="006D5543">
        <w:rPr>
          <w:sz w:val="24"/>
          <w:szCs w:val="24"/>
        </w:rPr>
        <w:t>Axel Heides Gade 1</w:t>
      </w:r>
    </w:p>
    <w:p w14:paraId="1DF81FC1" w14:textId="77777777" w:rsidR="00E72638" w:rsidRPr="006D5543" w:rsidRDefault="00E72638" w:rsidP="00E72638">
      <w:pPr>
        <w:tabs>
          <w:tab w:val="left" w:pos="851"/>
        </w:tabs>
        <w:ind w:left="851"/>
        <w:rPr>
          <w:sz w:val="24"/>
          <w:szCs w:val="24"/>
        </w:rPr>
      </w:pPr>
      <w:r w:rsidRPr="006D5543">
        <w:rPr>
          <w:sz w:val="24"/>
          <w:szCs w:val="24"/>
        </w:rPr>
        <w:t>DK-2300 København S</w:t>
      </w:r>
    </w:p>
    <w:p w14:paraId="52E702E2" w14:textId="77777777" w:rsidR="00E72638" w:rsidRPr="006D5543" w:rsidRDefault="00E72638" w:rsidP="00E72638">
      <w:pPr>
        <w:tabs>
          <w:tab w:val="left" w:pos="851"/>
        </w:tabs>
        <w:ind w:left="851"/>
        <w:rPr>
          <w:sz w:val="24"/>
          <w:szCs w:val="24"/>
        </w:rPr>
      </w:pPr>
      <w:r w:rsidRPr="006D5543">
        <w:rPr>
          <w:sz w:val="24"/>
          <w:szCs w:val="24"/>
        </w:rPr>
        <w:t>Websted: www.meldenbivirkning.dk</w:t>
      </w:r>
    </w:p>
    <w:p w14:paraId="04DCC69E" w14:textId="77777777" w:rsidR="009260DE" w:rsidRPr="006D5543" w:rsidRDefault="009260DE" w:rsidP="00A10294">
      <w:pPr>
        <w:tabs>
          <w:tab w:val="left" w:pos="851"/>
        </w:tabs>
        <w:ind w:left="851"/>
        <w:rPr>
          <w:sz w:val="24"/>
          <w:szCs w:val="24"/>
        </w:rPr>
      </w:pPr>
    </w:p>
    <w:p w14:paraId="24BC5B04" w14:textId="77777777" w:rsidR="009260DE" w:rsidRPr="006D5543" w:rsidRDefault="009260DE" w:rsidP="009260DE">
      <w:pPr>
        <w:tabs>
          <w:tab w:val="left" w:pos="851"/>
        </w:tabs>
        <w:ind w:left="851" w:hanging="851"/>
        <w:rPr>
          <w:b/>
          <w:sz w:val="24"/>
          <w:szCs w:val="24"/>
        </w:rPr>
      </w:pPr>
      <w:r w:rsidRPr="006D5543">
        <w:rPr>
          <w:b/>
          <w:sz w:val="24"/>
          <w:szCs w:val="24"/>
        </w:rPr>
        <w:t>4.9</w:t>
      </w:r>
      <w:r w:rsidRPr="006D5543">
        <w:rPr>
          <w:b/>
          <w:sz w:val="24"/>
          <w:szCs w:val="24"/>
        </w:rPr>
        <w:tab/>
        <w:t>Overdosering</w:t>
      </w:r>
    </w:p>
    <w:p w14:paraId="5A8363B5" w14:textId="77777777" w:rsidR="00FE7F01" w:rsidRPr="006D5543" w:rsidRDefault="00FE7F01" w:rsidP="00FE7F01">
      <w:pPr>
        <w:tabs>
          <w:tab w:val="left" w:pos="851"/>
        </w:tabs>
        <w:ind w:left="851"/>
        <w:rPr>
          <w:sz w:val="24"/>
          <w:szCs w:val="24"/>
        </w:rPr>
      </w:pPr>
    </w:p>
    <w:p w14:paraId="4763D4E2" w14:textId="7D94ED11" w:rsidR="00FE7F01" w:rsidRPr="006D5543" w:rsidRDefault="00FE7F01" w:rsidP="00FE7F01">
      <w:pPr>
        <w:tabs>
          <w:tab w:val="left" w:pos="851"/>
        </w:tabs>
        <w:ind w:left="851"/>
        <w:rPr>
          <w:sz w:val="24"/>
          <w:szCs w:val="24"/>
          <w:u w:val="single"/>
        </w:rPr>
      </w:pPr>
      <w:r w:rsidRPr="006D5543">
        <w:rPr>
          <w:sz w:val="24"/>
          <w:szCs w:val="24"/>
          <w:u w:val="single"/>
        </w:rPr>
        <w:t>Symptomer</w:t>
      </w:r>
    </w:p>
    <w:p w14:paraId="5BEAC60E" w14:textId="77777777" w:rsidR="00FE7F01" w:rsidRPr="006D5543" w:rsidRDefault="00FE7F01" w:rsidP="00FE7F01">
      <w:pPr>
        <w:tabs>
          <w:tab w:val="left" w:pos="851"/>
        </w:tabs>
        <w:ind w:left="851"/>
        <w:rPr>
          <w:sz w:val="24"/>
          <w:szCs w:val="24"/>
        </w:rPr>
      </w:pPr>
      <w:r w:rsidRPr="006D5543">
        <w:rPr>
          <w:sz w:val="24"/>
          <w:szCs w:val="24"/>
        </w:rPr>
        <w:t xml:space="preserve">Symptomer på overdosering reflekterer den farmakologiske effekt af Glyronul og består derfor af antikolinerge symptomer. De fleste symptomer er især perifere, men i mere alvorlige tilfælde kan der forekomme centrale symptomer. Neuromuskulær blokering og blokering af nikotinreceptorer kan forekomme. </w:t>
      </w:r>
    </w:p>
    <w:p w14:paraId="58BCECC3" w14:textId="77777777" w:rsidR="00FE7F01" w:rsidRPr="006D5543" w:rsidRDefault="00FE7F01" w:rsidP="00FE7F01">
      <w:pPr>
        <w:tabs>
          <w:tab w:val="left" w:pos="851"/>
        </w:tabs>
        <w:ind w:left="851"/>
        <w:rPr>
          <w:sz w:val="24"/>
          <w:szCs w:val="24"/>
        </w:rPr>
      </w:pPr>
    </w:p>
    <w:p w14:paraId="62D3E156" w14:textId="5557AEF8" w:rsidR="00FE7F01" w:rsidRPr="006D5543" w:rsidRDefault="00FE7F01" w:rsidP="00FE7F01">
      <w:pPr>
        <w:tabs>
          <w:tab w:val="left" w:pos="851"/>
        </w:tabs>
        <w:ind w:left="851"/>
        <w:rPr>
          <w:sz w:val="24"/>
          <w:szCs w:val="24"/>
          <w:u w:val="single"/>
        </w:rPr>
      </w:pPr>
      <w:r w:rsidRPr="006D5543">
        <w:rPr>
          <w:sz w:val="24"/>
          <w:szCs w:val="24"/>
          <w:u w:val="single"/>
        </w:rPr>
        <w:t>Behandling</w:t>
      </w:r>
    </w:p>
    <w:p w14:paraId="75787AAD" w14:textId="77777777" w:rsidR="00FE7F01" w:rsidRPr="006D5543" w:rsidRDefault="00FE7F01" w:rsidP="00FE7F01">
      <w:pPr>
        <w:tabs>
          <w:tab w:val="left" w:pos="851"/>
        </w:tabs>
        <w:ind w:left="851"/>
        <w:rPr>
          <w:sz w:val="24"/>
          <w:szCs w:val="24"/>
        </w:rPr>
      </w:pPr>
      <w:r w:rsidRPr="006D5543">
        <w:rPr>
          <w:sz w:val="24"/>
          <w:szCs w:val="24"/>
        </w:rPr>
        <w:t>Behandlingen bør være symptomatisk. På grund af lægemidlets lave plasmakoncentration anbefales dialyse ikke. Perifere antikolinerge bivirkninger kan behandles med en kvaternær ammonium antikolinerg ester såsom neostigmin (som ikke passerer blod/hjerne- barrieren).</w:t>
      </w:r>
    </w:p>
    <w:p w14:paraId="2A074845" w14:textId="77777777" w:rsidR="00FE7F01" w:rsidRPr="006D5543" w:rsidRDefault="00FE7F01" w:rsidP="00FE7F01">
      <w:pPr>
        <w:tabs>
          <w:tab w:val="left" w:pos="851"/>
        </w:tabs>
        <w:ind w:left="851"/>
        <w:rPr>
          <w:sz w:val="24"/>
          <w:szCs w:val="24"/>
        </w:rPr>
      </w:pPr>
      <w:r w:rsidRPr="006D5543">
        <w:rPr>
          <w:sz w:val="24"/>
          <w:szCs w:val="24"/>
        </w:rPr>
        <w:t xml:space="preserve">I de tilfælde hvor der optræder symptomer på central overdosis, bør der i stedet for anvendelse af neostigmin administreres physostigmin (som passerer blod/hjerne- barrieren). </w:t>
      </w:r>
    </w:p>
    <w:p w14:paraId="3598DD0A" w14:textId="77777777" w:rsidR="009260DE" w:rsidRPr="006D5543" w:rsidRDefault="009260DE" w:rsidP="009260DE">
      <w:pPr>
        <w:tabs>
          <w:tab w:val="left" w:pos="851"/>
        </w:tabs>
        <w:ind w:left="851"/>
        <w:rPr>
          <w:sz w:val="24"/>
          <w:szCs w:val="24"/>
        </w:rPr>
      </w:pPr>
    </w:p>
    <w:p w14:paraId="446486D3" w14:textId="77777777" w:rsidR="009260DE" w:rsidRPr="006D5543" w:rsidRDefault="009260DE" w:rsidP="009260DE">
      <w:pPr>
        <w:tabs>
          <w:tab w:val="left" w:pos="851"/>
        </w:tabs>
        <w:ind w:left="851" w:hanging="851"/>
        <w:rPr>
          <w:b/>
          <w:sz w:val="24"/>
          <w:szCs w:val="24"/>
        </w:rPr>
      </w:pPr>
      <w:r w:rsidRPr="006D5543">
        <w:rPr>
          <w:b/>
          <w:sz w:val="24"/>
          <w:szCs w:val="24"/>
        </w:rPr>
        <w:t>4.10</w:t>
      </w:r>
      <w:r w:rsidRPr="006D5543">
        <w:rPr>
          <w:b/>
          <w:sz w:val="24"/>
          <w:szCs w:val="24"/>
        </w:rPr>
        <w:tab/>
        <w:t>Udlevering</w:t>
      </w:r>
    </w:p>
    <w:p w14:paraId="5F951D59" w14:textId="5053D21C" w:rsidR="009260DE" w:rsidRPr="006D5543" w:rsidRDefault="00CB07D8" w:rsidP="009260DE">
      <w:pPr>
        <w:tabs>
          <w:tab w:val="left" w:pos="851"/>
        </w:tabs>
        <w:ind w:left="851"/>
        <w:rPr>
          <w:sz w:val="24"/>
          <w:szCs w:val="24"/>
        </w:rPr>
      </w:pPr>
      <w:r w:rsidRPr="006D5543">
        <w:rPr>
          <w:sz w:val="24"/>
          <w:szCs w:val="24"/>
        </w:rPr>
        <w:t>B</w:t>
      </w:r>
    </w:p>
    <w:p w14:paraId="7693D138" w14:textId="77777777" w:rsidR="009260DE" w:rsidRPr="006D5543" w:rsidRDefault="009260DE" w:rsidP="009260DE">
      <w:pPr>
        <w:tabs>
          <w:tab w:val="left" w:pos="851"/>
        </w:tabs>
        <w:ind w:left="851"/>
        <w:rPr>
          <w:sz w:val="24"/>
          <w:szCs w:val="24"/>
        </w:rPr>
      </w:pPr>
    </w:p>
    <w:p w14:paraId="1FCE5525" w14:textId="77777777" w:rsidR="009260DE" w:rsidRPr="006D5543" w:rsidRDefault="009260DE" w:rsidP="009260DE">
      <w:pPr>
        <w:tabs>
          <w:tab w:val="left" w:pos="851"/>
        </w:tabs>
        <w:ind w:left="851"/>
        <w:rPr>
          <w:sz w:val="24"/>
          <w:szCs w:val="24"/>
        </w:rPr>
      </w:pPr>
    </w:p>
    <w:p w14:paraId="49A53366" w14:textId="77777777" w:rsidR="009260DE" w:rsidRPr="006D5543" w:rsidRDefault="009260DE" w:rsidP="009260DE">
      <w:pPr>
        <w:tabs>
          <w:tab w:val="left" w:pos="851"/>
        </w:tabs>
        <w:ind w:left="851" w:hanging="851"/>
        <w:rPr>
          <w:b/>
          <w:sz w:val="24"/>
          <w:szCs w:val="24"/>
        </w:rPr>
      </w:pPr>
      <w:r w:rsidRPr="006D5543">
        <w:rPr>
          <w:b/>
          <w:sz w:val="24"/>
          <w:szCs w:val="24"/>
        </w:rPr>
        <w:t>5.</w:t>
      </w:r>
      <w:r w:rsidRPr="006D5543">
        <w:rPr>
          <w:b/>
          <w:sz w:val="24"/>
          <w:szCs w:val="24"/>
        </w:rPr>
        <w:tab/>
        <w:t>FARMAKOLOGISKE EGENSKABER</w:t>
      </w:r>
    </w:p>
    <w:p w14:paraId="61B1AA6B" w14:textId="77777777" w:rsidR="009260DE" w:rsidRPr="006D5543" w:rsidRDefault="009260DE" w:rsidP="009260DE">
      <w:pPr>
        <w:tabs>
          <w:tab w:val="left" w:pos="851"/>
        </w:tabs>
        <w:ind w:left="851"/>
        <w:rPr>
          <w:sz w:val="24"/>
          <w:szCs w:val="24"/>
        </w:rPr>
      </w:pPr>
    </w:p>
    <w:p w14:paraId="77E3A6F4" w14:textId="77777777" w:rsidR="009260DE" w:rsidRPr="006D5543" w:rsidRDefault="009260DE" w:rsidP="009260DE">
      <w:pPr>
        <w:tabs>
          <w:tab w:val="left" w:pos="851"/>
        </w:tabs>
        <w:ind w:left="851" w:hanging="851"/>
        <w:rPr>
          <w:b/>
          <w:sz w:val="24"/>
          <w:szCs w:val="24"/>
        </w:rPr>
      </w:pPr>
      <w:r w:rsidRPr="006D5543">
        <w:rPr>
          <w:b/>
          <w:sz w:val="24"/>
          <w:szCs w:val="24"/>
        </w:rPr>
        <w:t>5.0</w:t>
      </w:r>
      <w:r w:rsidRPr="006D5543">
        <w:rPr>
          <w:b/>
          <w:sz w:val="24"/>
          <w:szCs w:val="24"/>
        </w:rPr>
        <w:tab/>
        <w:t>Terapeutisk klassifikation</w:t>
      </w:r>
    </w:p>
    <w:p w14:paraId="6E9677E0" w14:textId="7BCC9948" w:rsidR="00CE2417" w:rsidRPr="006D5543" w:rsidRDefault="00E1482A" w:rsidP="00CE2417">
      <w:pPr>
        <w:tabs>
          <w:tab w:val="left" w:pos="851"/>
        </w:tabs>
        <w:ind w:left="851"/>
        <w:rPr>
          <w:sz w:val="24"/>
          <w:szCs w:val="24"/>
        </w:rPr>
      </w:pPr>
      <w:r w:rsidRPr="006D5543">
        <w:rPr>
          <w:sz w:val="24"/>
          <w:szCs w:val="24"/>
        </w:rPr>
        <w:t>ATC-kode: A 03 AB 02. S</w:t>
      </w:r>
      <w:r w:rsidR="00CE2417" w:rsidRPr="006D5543">
        <w:rPr>
          <w:sz w:val="24"/>
          <w:szCs w:val="24"/>
        </w:rPr>
        <w:t>yntetiske anticholinergica, kvaternære ammoniumforb</w:t>
      </w:r>
      <w:r w:rsidRPr="006D5543">
        <w:rPr>
          <w:sz w:val="24"/>
          <w:szCs w:val="24"/>
        </w:rPr>
        <w:t>indelser.</w:t>
      </w:r>
      <w:r w:rsidR="00CE2417" w:rsidRPr="006D5543">
        <w:rPr>
          <w:sz w:val="24"/>
          <w:szCs w:val="24"/>
        </w:rPr>
        <w:t xml:space="preserve"> </w:t>
      </w:r>
    </w:p>
    <w:p w14:paraId="6635A67D" w14:textId="68D22C29" w:rsidR="00DF3820" w:rsidRPr="006D5543" w:rsidRDefault="00DF3820">
      <w:pPr>
        <w:rPr>
          <w:sz w:val="24"/>
          <w:szCs w:val="24"/>
        </w:rPr>
      </w:pPr>
      <w:r w:rsidRPr="006D5543">
        <w:rPr>
          <w:sz w:val="24"/>
          <w:szCs w:val="24"/>
        </w:rPr>
        <w:br w:type="page"/>
      </w:r>
    </w:p>
    <w:p w14:paraId="61F50B71" w14:textId="77777777" w:rsidR="009260DE" w:rsidRPr="006D5543" w:rsidRDefault="009260DE" w:rsidP="009260DE">
      <w:pPr>
        <w:tabs>
          <w:tab w:val="left" w:pos="851"/>
        </w:tabs>
        <w:ind w:left="851"/>
        <w:rPr>
          <w:sz w:val="24"/>
          <w:szCs w:val="24"/>
        </w:rPr>
      </w:pPr>
    </w:p>
    <w:p w14:paraId="33410950" w14:textId="77777777" w:rsidR="009260DE" w:rsidRPr="006D5543" w:rsidRDefault="009260DE" w:rsidP="009260DE">
      <w:pPr>
        <w:tabs>
          <w:tab w:val="num" w:pos="851"/>
        </w:tabs>
        <w:ind w:left="851" w:hanging="851"/>
        <w:rPr>
          <w:b/>
          <w:sz w:val="24"/>
          <w:szCs w:val="24"/>
        </w:rPr>
      </w:pPr>
      <w:r w:rsidRPr="006D5543">
        <w:rPr>
          <w:b/>
          <w:sz w:val="24"/>
          <w:szCs w:val="24"/>
        </w:rPr>
        <w:t>5.1</w:t>
      </w:r>
      <w:r w:rsidRPr="006D5543">
        <w:rPr>
          <w:b/>
          <w:sz w:val="24"/>
          <w:szCs w:val="24"/>
        </w:rPr>
        <w:tab/>
        <w:t>Farmakodynamiske egenskaber</w:t>
      </w:r>
    </w:p>
    <w:p w14:paraId="69E47419" w14:textId="77777777" w:rsidR="00DF3820" w:rsidRPr="006D5543" w:rsidRDefault="00DF3820" w:rsidP="00E1482A">
      <w:pPr>
        <w:tabs>
          <w:tab w:val="left" w:pos="851"/>
        </w:tabs>
        <w:ind w:left="851"/>
        <w:rPr>
          <w:bCs/>
          <w:sz w:val="24"/>
          <w:szCs w:val="24"/>
          <w:u w:val="single"/>
        </w:rPr>
      </w:pPr>
    </w:p>
    <w:p w14:paraId="2217FBD4" w14:textId="10C4D322" w:rsidR="00E1482A" w:rsidRPr="006D5543" w:rsidRDefault="00E1482A" w:rsidP="00E1482A">
      <w:pPr>
        <w:tabs>
          <w:tab w:val="left" w:pos="851"/>
        </w:tabs>
        <w:ind w:left="851"/>
        <w:rPr>
          <w:bCs/>
          <w:sz w:val="24"/>
          <w:szCs w:val="24"/>
          <w:u w:val="single"/>
        </w:rPr>
      </w:pPr>
      <w:r w:rsidRPr="006D5543">
        <w:rPr>
          <w:bCs/>
          <w:sz w:val="24"/>
          <w:szCs w:val="24"/>
          <w:u w:val="single"/>
        </w:rPr>
        <w:t>Virkningsmekanisme</w:t>
      </w:r>
    </w:p>
    <w:p w14:paraId="0D24A985" w14:textId="77777777" w:rsidR="00E1482A" w:rsidRPr="006D5543" w:rsidRDefault="00E1482A" w:rsidP="00E1482A">
      <w:pPr>
        <w:tabs>
          <w:tab w:val="left" w:pos="851"/>
        </w:tabs>
        <w:ind w:left="851"/>
        <w:rPr>
          <w:sz w:val="24"/>
          <w:szCs w:val="24"/>
        </w:rPr>
      </w:pPr>
      <w:r w:rsidRPr="006D5543">
        <w:rPr>
          <w:sz w:val="24"/>
          <w:szCs w:val="24"/>
        </w:rPr>
        <w:t xml:space="preserve">Glycopyrrolat er en antimuskarin kvaternær ammoniumforbindelse der som andre antikolinerge lægemidler hæmmer acetylkolins virkning på strukturer der innerveres af postganglionære kolinerge nerver, samt på glatte muskler der responderer på acetylkolin, men mangler kolinerg innervation.  </w:t>
      </w:r>
    </w:p>
    <w:p w14:paraId="5287FAF4" w14:textId="77777777" w:rsidR="00E1482A" w:rsidRPr="006D5543" w:rsidRDefault="00E1482A" w:rsidP="00E1482A">
      <w:pPr>
        <w:tabs>
          <w:tab w:val="left" w:pos="851"/>
        </w:tabs>
        <w:ind w:left="851"/>
        <w:rPr>
          <w:sz w:val="24"/>
          <w:szCs w:val="24"/>
        </w:rPr>
      </w:pPr>
      <w:r w:rsidRPr="006D5543">
        <w:rPr>
          <w:sz w:val="24"/>
          <w:szCs w:val="24"/>
        </w:rPr>
        <w:t xml:space="preserve">Disse perifere kolinerge receptorer er til stede i de autonome effektorceller i glat muskulatur, hjertemuskulatur, sinoatrialknuden, atrioventrikulærknuden, eksokrine kirtler og i begrænset omfang i de autonome ganglier. Det begrænser hermed volumet og frigør syreindholdet i de gastriske sekreter og kontrollerer overdreven svælg-, luftrørs- og bronkial sekretion. Glycopyrrolat modvirker muskarine symptomer (f.eks. bronkorè, bronkospasme, bradykardi og intestinal hypermotilitet) induceret af kolinerge lægemidler såsom kolinesterasehæmmere. </w:t>
      </w:r>
    </w:p>
    <w:p w14:paraId="45B33FDA" w14:textId="77777777" w:rsidR="00E1482A" w:rsidRPr="006D5543" w:rsidRDefault="00E1482A" w:rsidP="00E1482A">
      <w:pPr>
        <w:tabs>
          <w:tab w:val="left" w:pos="851"/>
        </w:tabs>
        <w:ind w:left="851"/>
        <w:rPr>
          <w:sz w:val="24"/>
          <w:szCs w:val="24"/>
        </w:rPr>
      </w:pPr>
    </w:p>
    <w:p w14:paraId="08A5668A" w14:textId="77777777" w:rsidR="00E1482A" w:rsidRPr="006D5543" w:rsidRDefault="00E1482A" w:rsidP="00E1482A">
      <w:pPr>
        <w:tabs>
          <w:tab w:val="left" w:pos="851"/>
        </w:tabs>
        <w:ind w:left="851"/>
        <w:rPr>
          <w:sz w:val="24"/>
          <w:szCs w:val="24"/>
        </w:rPr>
      </w:pPr>
      <w:r w:rsidRPr="006D5543">
        <w:rPr>
          <w:sz w:val="24"/>
          <w:szCs w:val="24"/>
        </w:rPr>
        <w:t>Grundet glycopyrrolats meget polære kvarternære ammoniumforbindelse begrænses dets passage gennem lipide membraner, såsom blod/hjerne-barrieren, i modsætning til atropinsulfat og skopolaminhydrobromid der er ikke-polære tertiære aminer, som let trænger ind i lipide barrierer.</w:t>
      </w:r>
    </w:p>
    <w:p w14:paraId="1C075A95" w14:textId="77777777" w:rsidR="009260DE" w:rsidRPr="006D5543" w:rsidRDefault="009260DE" w:rsidP="009260DE">
      <w:pPr>
        <w:tabs>
          <w:tab w:val="left" w:pos="851"/>
        </w:tabs>
        <w:ind w:left="851"/>
        <w:rPr>
          <w:sz w:val="24"/>
          <w:szCs w:val="24"/>
        </w:rPr>
      </w:pPr>
    </w:p>
    <w:p w14:paraId="612AD2DB" w14:textId="77777777" w:rsidR="009260DE" w:rsidRPr="006D5543" w:rsidRDefault="009260DE" w:rsidP="009260DE">
      <w:pPr>
        <w:tabs>
          <w:tab w:val="left" w:pos="851"/>
        </w:tabs>
        <w:ind w:left="851" w:hanging="851"/>
        <w:rPr>
          <w:b/>
          <w:sz w:val="24"/>
          <w:szCs w:val="24"/>
        </w:rPr>
      </w:pPr>
      <w:r w:rsidRPr="006D5543">
        <w:rPr>
          <w:b/>
          <w:sz w:val="24"/>
          <w:szCs w:val="24"/>
        </w:rPr>
        <w:t>5.2</w:t>
      </w:r>
      <w:r w:rsidRPr="006D5543">
        <w:rPr>
          <w:b/>
          <w:sz w:val="24"/>
          <w:szCs w:val="24"/>
        </w:rPr>
        <w:tab/>
        <w:t>Farmakokinetiske egenskaber</w:t>
      </w:r>
    </w:p>
    <w:p w14:paraId="33F4F265" w14:textId="77777777" w:rsidR="008039F5" w:rsidRPr="006D5543" w:rsidRDefault="008039F5" w:rsidP="00DF3820">
      <w:pPr>
        <w:ind w:left="851"/>
        <w:rPr>
          <w:noProof/>
          <w:sz w:val="24"/>
          <w:szCs w:val="24"/>
          <w:u w:val="single"/>
        </w:rPr>
      </w:pPr>
    </w:p>
    <w:p w14:paraId="27CD51D9" w14:textId="3194C922" w:rsidR="00DF3820" w:rsidRPr="006D5543" w:rsidRDefault="00DF3820" w:rsidP="00DF3820">
      <w:pPr>
        <w:ind w:left="851"/>
        <w:rPr>
          <w:noProof/>
          <w:sz w:val="24"/>
          <w:szCs w:val="24"/>
          <w:u w:val="single"/>
        </w:rPr>
      </w:pPr>
      <w:r w:rsidRPr="006D5543">
        <w:rPr>
          <w:noProof/>
          <w:sz w:val="24"/>
          <w:szCs w:val="24"/>
          <w:u w:val="single"/>
        </w:rPr>
        <w:t>Absorption</w:t>
      </w:r>
    </w:p>
    <w:p w14:paraId="0AC9B5A5" w14:textId="77777777" w:rsidR="00DF3820" w:rsidRPr="006D5543" w:rsidRDefault="00DF3820" w:rsidP="00DF3820">
      <w:pPr>
        <w:ind w:left="851"/>
        <w:rPr>
          <w:sz w:val="24"/>
          <w:szCs w:val="24"/>
        </w:rPr>
      </w:pPr>
      <w:r w:rsidRPr="006D5543">
        <w:rPr>
          <w:sz w:val="24"/>
          <w:szCs w:val="24"/>
        </w:rPr>
        <w:t>Efter iv administration falder serumkoncentrationen hurtigt og mindre end 10 % findes i serum 5 minutter efter indgiven dosis. Effekten vedvarer cirka 4 timer.</w:t>
      </w:r>
    </w:p>
    <w:p w14:paraId="774A3D2D" w14:textId="77777777" w:rsidR="00DF3820" w:rsidRPr="006D5543" w:rsidRDefault="00DF3820" w:rsidP="00DF3820">
      <w:pPr>
        <w:ind w:left="851"/>
        <w:rPr>
          <w:sz w:val="24"/>
          <w:szCs w:val="24"/>
        </w:rPr>
      </w:pPr>
    </w:p>
    <w:p w14:paraId="7619D710" w14:textId="7A8A55F8" w:rsidR="00DF3820" w:rsidRPr="006D5543" w:rsidRDefault="00DF3820" w:rsidP="00DF3820">
      <w:pPr>
        <w:ind w:left="851"/>
        <w:rPr>
          <w:sz w:val="24"/>
          <w:szCs w:val="24"/>
        </w:rPr>
      </w:pPr>
      <w:r w:rsidRPr="006D5543">
        <w:rPr>
          <w:sz w:val="24"/>
          <w:szCs w:val="24"/>
        </w:rPr>
        <w:t>Efter intramuskulær injektion opnås maksimal plasmakoncentration inden for 30 minutter og maksimal effekt intræder efter cirka 30</w:t>
      </w:r>
      <w:r w:rsidR="000A4B40" w:rsidRPr="006D5543">
        <w:rPr>
          <w:sz w:val="24"/>
          <w:szCs w:val="24"/>
        </w:rPr>
        <w:t>-</w:t>
      </w:r>
      <w:r w:rsidRPr="006D5543">
        <w:rPr>
          <w:sz w:val="24"/>
          <w:szCs w:val="24"/>
        </w:rPr>
        <w:t>45 minutter. Vagusblokerende virkning varer 2</w:t>
      </w:r>
      <w:r w:rsidRPr="006D5543">
        <w:rPr>
          <w:sz w:val="24"/>
          <w:szCs w:val="24"/>
        </w:rPr>
        <w:noBreakHyphen/>
        <w:t>3 timer, og den hæmmende effekt på spytsekretionen fortsætter i 7</w:t>
      </w:r>
      <w:r w:rsidRPr="006D5543">
        <w:rPr>
          <w:sz w:val="24"/>
          <w:szCs w:val="24"/>
        </w:rPr>
        <w:noBreakHyphen/>
        <w:t>8 timer. Der er en hurtigere absorptionshastighed, når glycopyrroniumbromid indsprøjtes i deltoidmusklen, end hvis indsprøjtningen foretages i gluteal- eller vastus lateralismusklerne.</w:t>
      </w:r>
    </w:p>
    <w:p w14:paraId="585C7A6C" w14:textId="77777777" w:rsidR="00DF3820" w:rsidRPr="006D5543" w:rsidRDefault="00DF3820" w:rsidP="00DF3820">
      <w:pPr>
        <w:ind w:left="851"/>
        <w:rPr>
          <w:color w:val="FF0000"/>
          <w:sz w:val="24"/>
          <w:szCs w:val="24"/>
        </w:rPr>
      </w:pPr>
    </w:p>
    <w:p w14:paraId="6ED15394" w14:textId="77777777" w:rsidR="00DF3820" w:rsidRPr="006D5543" w:rsidRDefault="00DF3820" w:rsidP="00DF3820">
      <w:pPr>
        <w:keepNext/>
        <w:ind w:left="851"/>
        <w:rPr>
          <w:sz w:val="24"/>
          <w:szCs w:val="24"/>
          <w:u w:val="single"/>
        </w:rPr>
      </w:pPr>
      <w:r w:rsidRPr="006D5543">
        <w:rPr>
          <w:noProof/>
          <w:sz w:val="24"/>
          <w:szCs w:val="24"/>
          <w:u w:val="single"/>
        </w:rPr>
        <w:t>Fordeling</w:t>
      </w:r>
    </w:p>
    <w:p w14:paraId="6F804681" w14:textId="77777777" w:rsidR="00DF3820" w:rsidRPr="006D5543" w:rsidRDefault="00DF3820" w:rsidP="00DF3820">
      <w:pPr>
        <w:ind w:left="851"/>
        <w:rPr>
          <w:sz w:val="24"/>
          <w:szCs w:val="24"/>
        </w:rPr>
      </w:pPr>
      <w:r w:rsidRPr="006D5543">
        <w:rPr>
          <w:sz w:val="24"/>
          <w:szCs w:val="24"/>
        </w:rPr>
        <w:t>Glycopyrronium passerer ikke blod/hjerne-barrieren og cerebrospinalvæskeniveauer af glycopyrroniumbromid er under detektionsniveauet op til en time efter terapeutisk dosering.</w:t>
      </w:r>
    </w:p>
    <w:p w14:paraId="271DB8E1" w14:textId="77777777" w:rsidR="00DF3820" w:rsidRPr="006D5543" w:rsidRDefault="00DF3820" w:rsidP="00DF3820">
      <w:pPr>
        <w:ind w:left="851"/>
        <w:rPr>
          <w:color w:val="FF0000"/>
          <w:sz w:val="24"/>
          <w:szCs w:val="24"/>
        </w:rPr>
      </w:pPr>
    </w:p>
    <w:p w14:paraId="3A4A4683" w14:textId="77777777" w:rsidR="00DF3820" w:rsidRPr="006D5543" w:rsidRDefault="00DF3820" w:rsidP="00DF3820">
      <w:pPr>
        <w:ind w:left="851"/>
        <w:rPr>
          <w:noProof/>
          <w:sz w:val="24"/>
          <w:szCs w:val="24"/>
          <w:u w:val="single"/>
        </w:rPr>
      </w:pPr>
      <w:r w:rsidRPr="006D5543">
        <w:rPr>
          <w:noProof/>
          <w:sz w:val="24"/>
          <w:szCs w:val="24"/>
          <w:u w:val="single"/>
        </w:rPr>
        <w:t>Elimination</w:t>
      </w:r>
    </w:p>
    <w:p w14:paraId="4E7FE0F6" w14:textId="77777777" w:rsidR="00DF3820" w:rsidRPr="006D5543" w:rsidRDefault="00DF3820" w:rsidP="00DF3820">
      <w:pPr>
        <w:ind w:left="851"/>
        <w:rPr>
          <w:sz w:val="24"/>
          <w:szCs w:val="24"/>
        </w:rPr>
      </w:pPr>
      <w:r w:rsidRPr="006D5543">
        <w:rPr>
          <w:sz w:val="24"/>
          <w:szCs w:val="24"/>
        </w:rPr>
        <w:t>Glycopyrrolat udskilles hovedsageligt uforandret i urin, fæces eller galde.</w:t>
      </w:r>
    </w:p>
    <w:p w14:paraId="1AE62140" w14:textId="77777777" w:rsidR="00DF3820" w:rsidRPr="006D5543" w:rsidRDefault="00DF3820" w:rsidP="00DF3820">
      <w:pPr>
        <w:ind w:left="851"/>
        <w:rPr>
          <w:sz w:val="24"/>
          <w:szCs w:val="24"/>
        </w:rPr>
      </w:pPr>
      <w:r w:rsidRPr="006D5543">
        <w:rPr>
          <w:sz w:val="24"/>
          <w:szCs w:val="24"/>
        </w:rPr>
        <w:t>Efter intravenøs eller intramuskulær administration er 50 % af glycopyrroniumbromid udskilt i urinen efter 3 timer hos ikke-uræmiske patienter. Renal elimination er betydeligt forlænget hos patienter med uræmi. Betydelige mængder udskilles i galden. 85 % udskilles i urinen i løbet af 48 timer. Ca. 80 % af den udskilte mængde er uomdannet glycopyrroniumbromid eller aktive metabolitter heraf. Selvom plasmahalveringstiden for glycopyrroniumbromid er inden for 75 minutter, kan målbare niveauer forblive i kroppen i op til 8 timer efter indgivelse.</w:t>
      </w:r>
    </w:p>
    <w:p w14:paraId="57BE1BBA" w14:textId="77777777" w:rsidR="009260DE" w:rsidRPr="006D5543" w:rsidRDefault="009260DE" w:rsidP="009260DE">
      <w:pPr>
        <w:tabs>
          <w:tab w:val="left" w:pos="851"/>
        </w:tabs>
        <w:ind w:left="851"/>
        <w:rPr>
          <w:sz w:val="24"/>
          <w:szCs w:val="24"/>
        </w:rPr>
      </w:pPr>
    </w:p>
    <w:p w14:paraId="333A87F6" w14:textId="77777777" w:rsidR="009260DE" w:rsidRPr="006D5543" w:rsidRDefault="009260DE" w:rsidP="009260DE">
      <w:pPr>
        <w:tabs>
          <w:tab w:val="left" w:pos="851"/>
        </w:tabs>
        <w:ind w:left="851" w:hanging="851"/>
        <w:rPr>
          <w:b/>
          <w:sz w:val="24"/>
          <w:szCs w:val="24"/>
        </w:rPr>
      </w:pPr>
      <w:r w:rsidRPr="006D5543">
        <w:rPr>
          <w:b/>
          <w:sz w:val="24"/>
          <w:szCs w:val="24"/>
        </w:rPr>
        <w:t>5.3</w:t>
      </w:r>
      <w:r w:rsidRPr="006D5543">
        <w:rPr>
          <w:b/>
          <w:sz w:val="24"/>
          <w:szCs w:val="24"/>
        </w:rPr>
        <w:tab/>
        <w:t>Prækliniske sikkerhedsdata</w:t>
      </w:r>
    </w:p>
    <w:p w14:paraId="06D83E82" w14:textId="77777777" w:rsidR="008039F5" w:rsidRPr="006D5543" w:rsidRDefault="008039F5" w:rsidP="008039F5">
      <w:pPr>
        <w:pStyle w:val="Brdtekst"/>
        <w:ind w:left="851"/>
        <w:rPr>
          <w:sz w:val="24"/>
          <w:szCs w:val="24"/>
        </w:rPr>
      </w:pPr>
      <w:r w:rsidRPr="006D5543">
        <w:rPr>
          <w:sz w:val="24"/>
          <w:szCs w:val="24"/>
        </w:rPr>
        <w:t xml:space="preserve">Der er ikke udført længerevarende studier i dyr til vurdering af det karcinogene eller mutagene potentiale af glycopyrrolat. </w:t>
      </w:r>
    </w:p>
    <w:p w14:paraId="30E2AB90" w14:textId="77777777" w:rsidR="008039F5" w:rsidRPr="006D5543" w:rsidRDefault="008039F5" w:rsidP="008039F5">
      <w:pPr>
        <w:pStyle w:val="Brdtekst"/>
        <w:ind w:left="851"/>
        <w:rPr>
          <w:sz w:val="24"/>
          <w:szCs w:val="24"/>
        </w:rPr>
      </w:pPr>
    </w:p>
    <w:p w14:paraId="02DC7ED8" w14:textId="77777777" w:rsidR="008039F5" w:rsidRPr="006D5543" w:rsidRDefault="008039F5" w:rsidP="008039F5">
      <w:pPr>
        <w:pStyle w:val="Brdtekst"/>
        <w:ind w:left="851"/>
        <w:rPr>
          <w:sz w:val="24"/>
          <w:szCs w:val="24"/>
        </w:rPr>
      </w:pPr>
      <w:r w:rsidRPr="006D5543">
        <w:rPr>
          <w:sz w:val="24"/>
          <w:szCs w:val="24"/>
        </w:rPr>
        <w:t>Dosisrelateret faldende konceptions- og overlevelsesrate ved afvænning blev observeret i rotter. Studier i hunde tyder på, at den nedsatte konceptionsrate kan skyldes en reduceret sædsekretion, som er evident ved høje doser af glycopyrrolat. Den kliniske humane relevans af disse resultater er uklar.</w:t>
      </w:r>
    </w:p>
    <w:p w14:paraId="032FB0FA" w14:textId="77777777" w:rsidR="009260DE" w:rsidRPr="006D5543" w:rsidRDefault="009260DE" w:rsidP="009260DE">
      <w:pPr>
        <w:tabs>
          <w:tab w:val="left" w:pos="851"/>
        </w:tabs>
        <w:ind w:left="851"/>
        <w:rPr>
          <w:sz w:val="24"/>
          <w:szCs w:val="24"/>
        </w:rPr>
      </w:pPr>
    </w:p>
    <w:p w14:paraId="57A50C6F" w14:textId="77777777" w:rsidR="009260DE" w:rsidRPr="006D5543" w:rsidRDefault="009260DE" w:rsidP="009260DE">
      <w:pPr>
        <w:tabs>
          <w:tab w:val="left" w:pos="851"/>
        </w:tabs>
        <w:ind w:left="851"/>
        <w:rPr>
          <w:sz w:val="24"/>
          <w:szCs w:val="24"/>
        </w:rPr>
      </w:pPr>
    </w:p>
    <w:p w14:paraId="71DADF35" w14:textId="77777777" w:rsidR="009260DE" w:rsidRPr="006D5543" w:rsidRDefault="009260DE" w:rsidP="009260DE">
      <w:pPr>
        <w:tabs>
          <w:tab w:val="left" w:pos="851"/>
        </w:tabs>
        <w:ind w:left="851" w:hanging="851"/>
        <w:rPr>
          <w:b/>
          <w:sz w:val="24"/>
          <w:szCs w:val="24"/>
        </w:rPr>
      </w:pPr>
      <w:r w:rsidRPr="006D5543">
        <w:rPr>
          <w:b/>
          <w:sz w:val="24"/>
          <w:szCs w:val="24"/>
        </w:rPr>
        <w:t>6.</w:t>
      </w:r>
      <w:r w:rsidRPr="006D5543">
        <w:rPr>
          <w:b/>
          <w:sz w:val="24"/>
          <w:szCs w:val="24"/>
        </w:rPr>
        <w:tab/>
        <w:t>FARMACEUTISKE OPLYSNINGER</w:t>
      </w:r>
    </w:p>
    <w:p w14:paraId="74B1DFC6" w14:textId="77777777" w:rsidR="009260DE" w:rsidRPr="006D5543" w:rsidRDefault="009260DE" w:rsidP="009260DE">
      <w:pPr>
        <w:tabs>
          <w:tab w:val="left" w:pos="851"/>
        </w:tabs>
        <w:ind w:left="851"/>
        <w:rPr>
          <w:sz w:val="24"/>
          <w:szCs w:val="24"/>
        </w:rPr>
      </w:pPr>
    </w:p>
    <w:p w14:paraId="66E2A1F1" w14:textId="77777777" w:rsidR="009260DE" w:rsidRPr="006D5543" w:rsidRDefault="009260DE" w:rsidP="009260DE">
      <w:pPr>
        <w:tabs>
          <w:tab w:val="left" w:pos="851"/>
        </w:tabs>
        <w:ind w:left="851" w:hanging="851"/>
        <w:rPr>
          <w:b/>
          <w:sz w:val="24"/>
          <w:szCs w:val="24"/>
        </w:rPr>
      </w:pPr>
      <w:r w:rsidRPr="006D5543">
        <w:rPr>
          <w:b/>
          <w:sz w:val="24"/>
          <w:szCs w:val="24"/>
        </w:rPr>
        <w:t>6.1</w:t>
      </w:r>
      <w:r w:rsidRPr="006D5543">
        <w:rPr>
          <w:b/>
          <w:sz w:val="24"/>
          <w:szCs w:val="24"/>
        </w:rPr>
        <w:tab/>
        <w:t>Hjælpestoffer</w:t>
      </w:r>
    </w:p>
    <w:p w14:paraId="7503EAE3" w14:textId="77777777" w:rsidR="00AE7DC7" w:rsidRPr="006D5543" w:rsidRDefault="00AE7DC7" w:rsidP="00AE7DC7">
      <w:pPr>
        <w:tabs>
          <w:tab w:val="left" w:pos="851"/>
        </w:tabs>
        <w:ind w:left="851"/>
        <w:rPr>
          <w:sz w:val="24"/>
          <w:szCs w:val="24"/>
        </w:rPr>
      </w:pPr>
      <w:r w:rsidRPr="006D5543">
        <w:rPr>
          <w:sz w:val="24"/>
          <w:szCs w:val="24"/>
        </w:rPr>
        <w:t>Natriumchlorid</w:t>
      </w:r>
    </w:p>
    <w:p w14:paraId="3256EB05" w14:textId="77777777" w:rsidR="00AE7DC7" w:rsidRPr="006D5543" w:rsidRDefault="00AE7DC7" w:rsidP="00AE7DC7">
      <w:pPr>
        <w:tabs>
          <w:tab w:val="left" w:pos="851"/>
        </w:tabs>
        <w:ind w:left="851"/>
        <w:rPr>
          <w:sz w:val="24"/>
          <w:szCs w:val="24"/>
        </w:rPr>
      </w:pPr>
      <w:r w:rsidRPr="006D5543">
        <w:rPr>
          <w:sz w:val="24"/>
          <w:szCs w:val="24"/>
        </w:rPr>
        <w:t xml:space="preserve">Saltsyre </w:t>
      </w:r>
    </w:p>
    <w:p w14:paraId="4B82EFAA" w14:textId="77777777" w:rsidR="00AE7DC7" w:rsidRPr="006D5543" w:rsidRDefault="00AE7DC7" w:rsidP="00AE7DC7">
      <w:pPr>
        <w:tabs>
          <w:tab w:val="left" w:pos="851"/>
        </w:tabs>
        <w:ind w:left="851"/>
        <w:rPr>
          <w:sz w:val="24"/>
          <w:szCs w:val="24"/>
        </w:rPr>
      </w:pPr>
      <w:r w:rsidRPr="006D5543">
        <w:rPr>
          <w:sz w:val="24"/>
          <w:szCs w:val="24"/>
        </w:rPr>
        <w:t xml:space="preserve">Vand </w:t>
      </w:r>
    </w:p>
    <w:p w14:paraId="7D143BAE" w14:textId="77777777" w:rsidR="009260DE" w:rsidRPr="006D5543" w:rsidRDefault="009260DE" w:rsidP="009260DE">
      <w:pPr>
        <w:tabs>
          <w:tab w:val="left" w:pos="851"/>
        </w:tabs>
        <w:ind w:left="851"/>
        <w:rPr>
          <w:sz w:val="24"/>
          <w:szCs w:val="24"/>
        </w:rPr>
      </w:pPr>
    </w:p>
    <w:p w14:paraId="0C427D79" w14:textId="77777777" w:rsidR="009260DE" w:rsidRPr="006D5543" w:rsidRDefault="009260DE" w:rsidP="009260DE">
      <w:pPr>
        <w:tabs>
          <w:tab w:val="left" w:pos="851"/>
        </w:tabs>
        <w:ind w:left="851" w:hanging="851"/>
        <w:rPr>
          <w:b/>
          <w:sz w:val="24"/>
          <w:szCs w:val="24"/>
        </w:rPr>
      </w:pPr>
      <w:r w:rsidRPr="006D5543">
        <w:rPr>
          <w:b/>
          <w:sz w:val="24"/>
          <w:szCs w:val="24"/>
        </w:rPr>
        <w:t>6.2</w:t>
      </w:r>
      <w:r w:rsidRPr="006D5543">
        <w:rPr>
          <w:b/>
          <w:sz w:val="24"/>
          <w:szCs w:val="24"/>
        </w:rPr>
        <w:tab/>
        <w:t>Uforligeligheder</w:t>
      </w:r>
    </w:p>
    <w:p w14:paraId="49357415" w14:textId="77777777" w:rsidR="00AE7DC7" w:rsidRPr="006D5543" w:rsidRDefault="00AE7DC7" w:rsidP="00AE7DC7">
      <w:pPr>
        <w:pStyle w:val="Brdtekst"/>
        <w:keepNext/>
        <w:ind w:left="851"/>
        <w:rPr>
          <w:sz w:val="24"/>
          <w:szCs w:val="24"/>
        </w:rPr>
      </w:pPr>
      <w:r w:rsidRPr="006D5543">
        <w:rPr>
          <w:sz w:val="24"/>
          <w:szCs w:val="24"/>
        </w:rPr>
        <w:t xml:space="preserve">Dette lægemiddel må ikke blandes med andre lægemidler end dem, der er anført </w:t>
      </w:r>
    </w:p>
    <w:p w14:paraId="22B33048" w14:textId="77777777" w:rsidR="00AE7DC7" w:rsidRPr="006D5543" w:rsidRDefault="00AE7DC7" w:rsidP="00AE7DC7">
      <w:pPr>
        <w:pStyle w:val="Brdtekst"/>
        <w:ind w:left="851"/>
        <w:rPr>
          <w:sz w:val="24"/>
          <w:szCs w:val="24"/>
        </w:rPr>
      </w:pPr>
      <w:r w:rsidRPr="006D5543">
        <w:rPr>
          <w:sz w:val="24"/>
          <w:szCs w:val="24"/>
        </w:rPr>
        <w:t>under pkt. 6.6.</w:t>
      </w:r>
    </w:p>
    <w:p w14:paraId="0146C731" w14:textId="77777777" w:rsidR="009260DE" w:rsidRPr="006D5543" w:rsidRDefault="009260DE" w:rsidP="009260DE">
      <w:pPr>
        <w:tabs>
          <w:tab w:val="left" w:pos="851"/>
        </w:tabs>
        <w:ind w:left="851"/>
        <w:rPr>
          <w:sz w:val="24"/>
          <w:szCs w:val="24"/>
        </w:rPr>
      </w:pPr>
    </w:p>
    <w:p w14:paraId="1354542E" w14:textId="77777777" w:rsidR="009260DE" w:rsidRPr="006D5543" w:rsidRDefault="009260DE" w:rsidP="009260DE">
      <w:pPr>
        <w:tabs>
          <w:tab w:val="left" w:pos="851"/>
        </w:tabs>
        <w:ind w:left="851" w:hanging="851"/>
        <w:rPr>
          <w:b/>
          <w:sz w:val="24"/>
          <w:szCs w:val="24"/>
        </w:rPr>
      </w:pPr>
      <w:r w:rsidRPr="006D5543">
        <w:rPr>
          <w:b/>
          <w:sz w:val="24"/>
          <w:szCs w:val="24"/>
        </w:rPr>
        <w:t>6.3</w:t>
      </w:r>
      <w:r w:rsidRPr="006D5543">
        <w:rPr>
          <w:b/>
          <w:sz w:val="24"/>
          <w:szCs w:val="24"/>
        </w:rPr>
        <w:tab/>
        <w:t>Opbevaringstid</w:t>
      </w:r>
    </w:p>
    <w:p w14:paraId="7431909B" w14:textId="77777777" w:rsidR="00307A2F" w:rsidRPr="006D5543" w:rsidRDefault="00307A2F" w:rsidP="00307A2F">
      <w:pPr>
        <w:pStyle w:val="Brdtekst"/>
        <w:ind w:left="851" w:hanging="851"/>
        <w:rPr>
          <w:sz w:val="24"/>
          <w:szCs w:val="24"/>
        </w:rPr>
      </w:pPr>
      <w:r w:rsidRPr="006D5543">
        <w:rPr>
          <w:sz w:val="24"/>
          <w:szCs w:val="24"/>
        </w:rPr>
        <w:tab/>
        <w:t>3 år.</w:t>
      </w:r>
    </w:p>
    <w:p w14:paraId="2C858AD0" w14:textId="77777777" w:rsidR="00307A2F" w:rsidRPr="006D5543" w:rsidRDefault="00307A2F" w:rsidP="00307A2F">
      <w:pPr>
        <w:pStyle w:val="Brdtekst"/>
        <w:ind w:left="851" w:hanging="851"/>
        <w:rPr>
          <w:sz w:val="24"/>
          <w:szCs w:val="24"/>
        </w:rPr>
      </w:pPr>
    </w:p>
    <w:p w14:paraId="1A2B14D2" w14:textId="77777777" w:rsidR="00307A2F" w:rsidRPr="006D5543" w:rsidRDefault="00307A2F" w:rsidP="00307A2F">
      <w:pPr>
        <w:ind w:left="851"/>
        <w:rPr>
          <w:sz w:val="24"/>
          <w:szCs w:val="24"/>
        </w:rPr>
      </w:pPr>
      <w:r w:rsidRPr="006D5543">
        <w:rPr>
          <w:sz w:val="24"/>
          <w:szCs w:val="24"/>
        </w:rPr>
        <w:t xml:space="preserve">Kemisk og fysisk stabilitet efter åbning er dokumenteret i 48 timer ved 25 ºC. </w:t>
      </w:r>
    </w:p>
    <w:p w14:paraId="01CA8C2B" w14:textId="77777777" w:rsidR="00307A2F" w:rsidRPr="006D5543" w:rsidRDefault="00307A2F" w:rsidP="00307A2F">
      <w:pPr>
        <w:ind w:left="851"/>
        <w:rPr>
          <w:sz w:val="24"/>
          <w:szCs w:val="24"/>
        </w:rPr>
      </w:pPr>
      <w:r w:rsidRPr="006D5543">
        <w:rPr>
          <w:sz w:val="24"/>
          <w:szCs w:val="24"/>
        </w:rPr>
        <w:t xml:space="preserve">Ud fra et mikrobiologisk synspunkt skal præparatet bruges med det samme. Hvis produktet ikke anvendes med det samme, er opbevaringstider og -betingelser på brugerens eget ansvar og vil normalt ikke være længere end 24 timer ved 2 til 8 °C, med mindre opløsning af produktet er sket under kontrollerede og validerede aseptiske betingelser. </w:t>
      </w:r>
    </w:p>
    <w:p w14:paraId="79042C2E" w14:textId="77777777" w:rsidR="009260DE" w:rsidRPr="006D5543" w:rsidRDefault="009260DE" w:rsidP="009260DE">
      <w:pPr>
        <w:tabs>
          <w:tab w:val="left" w:pos="851"/>
        </w:tabs>
        <w:ind w:left="851"/>
        <w:rPr>
          <w:sz w:val="24"/>
          <w:szCs w:val="24"/>
        </w:rPr>
      </w:pPr>
    </w:p>
    <w:p w14:paraId="301FD976" w14:textId="77777777" w:rsidR="009260DE" w:rsidRPr="006D5543" w:rsidRDefault="009260DE" w:rsidP="009260DE">
      <w:pPr>
        <w:tabs>
          <w:tab w:val="left" w:pos="851"/>
        </w:tabs>
        <w:ind w:left="851" w:hanging="851"/>
        <w:rPr>
          <w:b/>
          <w:sz w:val="24"/>
          <w:szCs w:val="24"/>
        </w:rPr>
      </w:pPr>
      <w:r w:rsidRPr="006D5543">
        <w:rPr>
          <w:b/>
          <w:sz w:val="24"/>
          <w:szCs w:val="24"/>
        </w:rPr>
        <w:t>6.4</w:t>
      </w:r>
      <w:r w:rsidRPr="006D5543">
        <w:rPr>
          <w:b/>
          <w:sz w:val="24"/>
          <w:szCs w:val="24"/>
        </w:rPr>
        <w:tab/>
        <w:t>Særlige opbevaringsforhold</w:t>
      </w:r>
    </w:p>
    <w:p w14:paraId="1853A645" w14:textId="77777777" w:rsidR="00307A2F" w:rsidRPr="006D5543" w:rsidRDefault="00307A2F" w:rsidP="00307A2F">
      <w:pPr>
        <w:tabs>
          <w:tab w:val="left" w:pos="851"/>
        </w:tabs>
        <w:ind w:left="851"/>
        <w:rPr>
          <w:sz w:val="24"/>
          <w:szCs w:val="24"/>
        </w:rPr>
      </w:pPr>
      <w:r w:rsidRPr="006D5543">
        <w:rPr>
          <w:sz w:val="24"/>
          <w:szCs w:val="24"/>
        </w:rPr>
        <w:t>Dette lægemiddel kræver ingen særlige forholdsregler vedrørende opbevaringen.</w:t>
      </w:r>
    </w:p>
    <w:p w14:paraId="5ABEF81A" w14:textId="77777777" w:rsidR="001D2617" w:rsidRPr="006D5543" w:rsidRDefault="001D2617" w:rsidP="00307A2F">
      <w:pPr>
        <w:tabs>
          <w:tab w:val="left" w:pos="851"/>
        </w:tabs>
        <w:ind w:left="851"/>
        <w:rPr>
          <w:sz w:val="24"/>
          <w:szCs w:val="24"/>
        </w:rPr>
      </w:pPr>
    </w:p>
    <w:p w14:paraId="5C1E5E76" w14:textId="6B40DAE1" w:rsidR="00307A2F" w:rsidRPr="006D5543" w:rsidRDefault="00307A2F" w:rsidP="00307A2F">
      <w:pPr>
        <w:tabs>
          <w:tab w:val="left" w:pos="851"/>
        </w:tabs>
        <w:ind w:left="851"/>
        <w:rPr>
          <w:sz w:val="24"/>
          <w:szCs w:val="24"/>
        </w:rPr>
      </w:pPr>
      <w:r w:rsidRPr="006D5543">
        <w:rPr>
          <w:sz w:val="24"/>
          <w:szCs w:val="24"/>
        </w:rPr>
        <w:t xml:space="preserve">For opbevaringsbetingelser efter fortynding af lægemidlet, se pkt. 6.3. </w:t>
      </w:r>
    </w:p>
    <w:p w14:paraId="2C222E6B" w14:textId="77777777" w:rsidR="009260DE" w:rsidRPr="006D5543" w:rsidRDefault="009260DE" w:rsidP="009260DE">
      <w:pPr>
        <w:tabs>
          <w:tab w:val="left" w:pos="851"/>
        </w:tabs>
        <w:ind w:left="851"/>
        <w:rPr>
          <w:sz w:val="24"/>
          <w:szCs w:val="24"/>
        </w:rPr>
      </w:pPr>
    </w:p>
    <w:p w14:paraId="365B78F1" w14:textId="77777777" w:rsidR="009260DE" w:rsidRPr="006D5543" w:rsidRDefault="009260DE" w:rsidP="009260DE">
      <w:pPr>
        <w:tabs>
          <w:tab w:val="left" w:pos="851"/>
        </w:tabs>
        <w:ind w:left="851" w:hanging="851"/>
        <w:rPr>
          <w:b/>
          <w:sz w:val="24"/>
          <w:szCs w:val="24"/>
        </w:rPr>
      </w:pPr>
      <w:r w:rsidRPr="006D5543">
        <w:rPr>
          <w:b/>
          <w:sz w:val="24"/>
          <w:szCs w:val="24"/>
        </w:rPr>
        <w:t>6.5</w:t>
      </w:r>
      <w:r w:rsidRPr="006D5543">
        <w:rPr>
          <w:b/>
          <w:sz w:val="24"/>
          <w:szCs w:val="24"/>
        </w:rPr>
        <w:tab/>
        <w:t>Emballagetyper og pakningsstørrelser</w:t>
      </w:r>
    </w:p>
    <w:p w14:paraId="37F9B300" w14:textId="77777777" w:rsidR="00A06F6F" w:rsidRDefault="00A06F6F" w:rsidP="00A06F6F">
      <w:pPr>
        <w:tabs>
          <w:tab w:val="left" w:pos="851"/>
        </w:tabs>
        <w:ind w:left="851"/>
        <w:rPr>
          <w:sz w:val="24"/>
          <w:szCs w:val="24"/>
        </w:rPr>
      </w:pPr>
      <w:r w:rsidRPr="00A06F6F">
        <w:rPr>
          <w:sz w:val="24"/>
          <w:szCs w:val="24"/>
        </w:rPr>
        <w:t>Glasampul med 1 ml injektionsvæske, opløsning</w:t>
      </w:r>
      <w:r>
        <w:rPr>
          <w:sz w:val="24"/>
          <w:szCs w:val="24"/>
        </w:rPr>
        <w:t>.</w:t>
      </w:r>
    </w:p>
    <w:p w14:paraId="2E9EBCA9" w14:textId="77777777" w:rsidR="00A06F6F" w:rsidRDefault="00A06F6F" w:rsidP="00A06F6F">
      <w:pPr>
        <w:tabs>
          <w:tab w:val="left" w:pos="851"/>
        </w:tabs>
        <w:ind w:left="851"/>
        <w:rPr>
          <w:sz w:val="24"/>
          <w:szCs w:val="24"/>
        </w:rPr>
      </w:pPr>
    </w:p>
    <w:p w14:paraId="7CA87021" w14:textId="47FDE24C" w:rsidR="009260DE" w:rsidRDefault="00A06F6F" w:rsidP="009260DE">
      <w:pPr>
        <w:tabs>
          <w:tab w:val="left" w:pos="851"/>
        </w:tabs>
        <w:ind w:left="851"/>
        <w:rPr>
          <w:sz w:val="24"/>
          <w:szCs w:val="24"/>
        </w:rPr>
      </w:pPr>
      <w:r>
        <w:rPr>
          <w:sz w:val="24"/>
          <w:szCs w:val="24"/>
        </w:rPr>
        <w:t xml:space="preserve">Pakningsstørrelser: </w:t>
      </w:r>
      <w:r w:rsidRPr="00A06F6F">
        <w:rPr>
          <w:sz w:val="24"/>
          <w:szCs w:val="24"/>
        </w:rPr>
        <w:t>10</w:t>
      </w:r>
      <w:r>
        <w:rPr>
          <w:sz w:val="24"/>
          <w:szCs w:val="24"/>
        </w:rPr>
        <w:t>×</w:t>
      </w:r>
      <w:r w:rsidRPr="00A06F6F">
        <w:rPr>
          <w:sz w:val="24"/>
          <w:szCs w:val="24"/>
        </w:rPr>
        <w:t>1 ml</w:t>
      </w:r>
      <w:r w:rsidR="00A07FD8">
        <w:rPr>
          <w:sz w:val="24"/>
          <w:szCs w:val="24"/>
        </w:rPr>
        <w:t>.</w:t>
      </w:r>
    </w:p>
    <w:p w14:paraId="5CE6B652" w14:textId="77777777" w:rsidR="00A07FD8" w:rsidRDefault="00A07FD8" w:rsidP="00A07FD8">
      <w:pPr>
        <w:tabs>
          <w:tab w:val="left" w:pos="851"/>
          <w:tab w:val="left" w:pos="8222"/>
        </w:tabs>
        <w:ind w:left="851"/>
        <w:rPr>
          <w:sz w:val="24"/>
          <w:szCs w:val="24"/>
        </w:rPr>
      </w:pPr>
      <w:r>
        <w:rPr>
          <w:sz w:val="24"/>
          <w:szCs w:val="24"/>
        </w:rPr>
        <w:t>Ikke alle pakningsstørrelser er nødvendigvis markedsført.</w:t>
      </w:r>
    </w:p>
    <w:p w14:paraId="0BCD6E61" w14:textId="77777777" w:rsidR="00A07FD8" w:rsidRPr="006D5543" w:rsidRDefault="00A07FD8" w:rsidP="009260DE">
      <w:pPr>
        <w:tabs>
          <w:tab w:val="left" w:pos="851"/>
        </w:tabs>
        <w:ind w:left="851"/>
        <w:rPr>
          <w:sz w:val="24"/>
          <w:szCs w:val="24"/>
        </w:rPr>
      </w:pPr>
    </w:p>
    <w:p w14:paraId="64E29141" w14:textId="77777777" w:rsidR="009260DE" w:rsidRPr="006D5543" w:rsidRDefault="009260DE" w:rsidP="009260DE">
      <w:pPr>
        <w:tabs>
          <w:tab w:val="left" w:pos="851"/>
        </w:tabs>
        <w:ind w:left="851" w:hanging="851"/>
        <w:rPr>
          <w:b/>
          <w:sz w:val="24"/>
          <w:szCs w:val="24"/>
        </w:rPr>
      </w:pPr>
      <w:r w:rsidRPr="006D5543">
        <w:rPr>
          <w:b/>
          <w:sz w:val="24"/>
          <w:szCs w:val="24"/>
        </w:rPr>
        <w:t>6.6</w:t>
      </w:r>
      <w:r w:rsidRPr="006D5543">
        <w:rPr>
          <w:b/>
          <w:sz w:val="24"/>
          <w:szCs w:val="24"/>
        </w:rPr>
        <w:tab/>
        <w:t>Regler for destruktion og anden håndtering</w:t>
      </w:r>
    </w:p>
    <w:p w14:paraId="05CEAB61" w14:textId="77777777" w:rsidR="00263B08" w:rsidRDefault="00A610DB" w:rsidP="00A610DB">
      <w:pPr>
        <w:tabs>
          <w:tab w:val="left" w:pos="851"/>
        </w:tabs>
        <w:ind w:left="851"/>
        <w:rPr>
          <w:sz w:val="24"/>
          <w:szCs w:val="24"/>
        </w:rPr>
      </w:pPr>
      <w:r w:rsidRPr="00A610DB">
        <w:rPr>
          <w:sz w:val="24"/>
          <w:szCs w:val="24"/>
        </w:rPr>
        <w:t>Skal blandes med isotonisk natriumklorid, 5 % eller 10 % glucose opløsning.</w:t>
      </w:r>
    </w:p>
    <w:p w14:paraId="3A08807E" w14:textId="34BAECB5" w:rsidR="00A610DB" w:rsidRPr="00A610DB" w:rsidRDefault="00A610DB" w:rsidP="00A610DB">
      <w:pPr>
        <w:tabs>
          <w:tab w:val="left" w:pos="851"/>
        </w:tabs>
        <w:ind w:left="851"/>
        <w:rPr>
          <w:sz w:val="24"/>
          <w:szCs w:val="24"/>
        </w:rPr>
      </w:pPr>
      <w:r w:rsidRPr="00A610DB">
        <w:rPr>
          <w:sz w:val="24"/>
          <w:szCs w:val="24"/>
        </w:rPr>
        <w:t>pH må ikke overstige 6</w:t>
      </w:r>
      <w:r w:rsidR="00263B08">
        <w:rPr>
          <w:sz w:val="24"/>
          <w:szCs w:val="24"/>
        </w:rPr>
        <w:t>,</w:t>
      </w:r>
      <w:r w:rsidRPr="00A610DB">
        <w:rPr>
          <w:sz w:val="24"/>
          <w:szCs w:val="24"/>
        </w:rPr>
        <w:t xml:space="preserve">0 i den fortyndede opløsning. </w:t>
      </w:r>
    </w:p>
    <w:p w14:paraId="7AEC76ED" w14:textId="77777777" w:rsidR="009260DE" w:rsidRPr="006D5543" w:rsidRDefault="009260DE" w:rsidP="000730CA">
      <w:pPr>
        <w:tabs>
          <w:tab w:val="left" w:pos="851"/>
        </w:tabs>
        <w:ind w:left="851"/>
        <w:rPr>
          <w:sz w:val="24"/>
          <w:szCs w:val="24"/>
        </w:rPr>
      </w:pPr>
    </w:p>
    <w:p w14:paraId="5C9B4A9F" w14:textId="77777777" w:rsidR="009260DE" w:rsidRPr="006D5543" w:rsidRDefault="009260DE" w:rsidP="009260DE">
      <w:pPr>
        <w:tabs>
          <w:tab w:val="left" w:pos="851"/>
        </w:tabs>
        <w:ind w:left="851" w:hanging="851"/>
        <w:rPr>
          <w:b/>
          <w:sz w:val="24"/>
          <w:szCs w:val="24"/>
        </w:rPr>
      </w:pPr>
      <w:r w:rsidRPr="006D5543">
        <w:rPr>
          <w:b/>
          <w:sz w:val="24"/>
          <w:szCs w:val="24"/>
        </w:rPr>
        <w:t>7.</w:t>
      </w:r>
      <w:r w:rsidRPr="006D5543">
        <w:rPr>
          <w:b/>
          <w:sz w:val="24"/>
          <w:szCs w:val="24"/>
        </w:rPr>
        <w:tab/>
        <w:t>INDEHAVER AF MARKEDSFØRINGSTILLADELSEN</w:t>
      </w:r>
    </w:p>
    <w:p w14:paraId="332466E4" w14:textId="77777777" w:rsidR="00263B08" w:rsidRPr="00263B08" w:rsidRDefault="00263B08" w:rsidP="00263B08">
      <w:pPr>
        <w:tabs>
          <w:tab w:val="left" w:pos="851"/>
        </w:tabs>
        <w:ind w:left="851"/>
        <w:rPr>
          <w:sz w:val="24"/>
          <w:szCs w:val="24"/>
        </w:rPr>
      </w:pPr>
      <w:r w:rsidRPr="00263B08">
        <w:rPr>
          <w:sz w:val="24"/>
          <w:szCs w:val="24"/>
        </w:rPr>
        <w:t>EQL Pharma AB</w:t>
      </w:r>
    </w:p>
    <w:p w14:paraId="168C16F1" w14:textId="77777777" w:rsidR="00263B08" w:rsidRPr="00263B08" w:rsidRDefault="00263B08" w:rsidP="00263B08">
      <w:pPr>
        <w:tabs>
          <w:tab w:val="left" w:pos="851"/>
        </w:tabs>
        <w:ind w:left="851"/>
        <w:rPr>
          <w:sz w:val="24"/>
          <w:szCs w:val="24"/>
        </w:rPr>
      </w:pPr>
      <w:r w:rsidRPr="00263B08">
        <w:rPr>
          <w:sz w:val="24"/>
          <w:szCs w:val="24"/>
        </w:rPr>
        <w:t>Stortorget 1</w:t>
      </w:r>
    </w:p>
    <w:p w14:paraId="1758D46D" w14:textId="77777777" w:rsidR="00263B08" w:rsidRPr="00263B08" w:rsidRDefault="00263B08" w:rsidP="00263B08">
      <w:pPr>
        <w:tabs>
          <w:tab w:val="left" w:pos="851"/>
        </w:tabs>
        <w:ind w:left="851"/>
        <w:rPr>
          <w:sz w:val="24"/>
          <w:szCs w:val="24"/>
        </w:rPr>
      </w:pPr>
      <w:r w:rsidRPr="00263B08">
        <w:rPr>
          <w:sz w:val="24"/>
          <w:szCs w:val="24"/>
        </w:rPr>
        <w:t>222 23 Lund</w:t>
      </w:r>
    </w:p>
    <w:p w14:paraId="45DA07E7" w14:textId="5C2DFB0C" w:rsidR="00263B08" w:rsidRPr="00263B08" w:rsidRDefault="00263B08" w:rsidP="00263B08">
      <w:pPr>
        <w:tabs>
          <w:tab w:val="left" w:pos="851"/>
        </w:tabs>
        <w:ind w:left="851"/>
        <w:rPr>
          <w:sz w:val="24"/>
          <w:szCs w:val="24"/>
        </w:rPr>
      </w:pPr>
      <w:r w:rsidRPr="00263B08">
        <w:rPr>
          <w:sz w:val="24"/>
          <w:szCs w:val="24"/>
        </w:rPr>
        <w:t>Sverige</w:t>
      </w:r>
    </w:p>
    <w:p w14:paraId="7CF2BEC0" w14:textId="77777777" w:rsidR="009260DE" w:rsidRPr="006D5543" w:rsidRDefault="009260DE" w:rsidP="009260DE">
      <w:pPr>
        <w:tabs>
          <w:tab w:val="left" w:pos="851"/>
        </w:tabs>
        <w:ind w:left="851"/>
        <w:rPr>
          <w:sz w:val="24"/>
          <w:szCs w:val="24"/>
        </w:rPr>
      </w:pPr>
    </w:p>
    <w:p w14:paraId="078CB8ED" w14:textId="77777777" w:rsidR="009260DE" w:rsidRPr="006D5543" w:rsidRDefault="009260DE" w:rsidP="009260DE">
      <w:pPr>
        <w:tabs>
          <w:tab w:val="left" w:pos="851"/>
        </w:tabs>
        <w:ind w:left="851" w:hanging="851"/>
        <w:rPr>
          <w:b/>
          <w:sz w:val="24"/>
          <w:szCs w:val="24"/>
        </w:rPr>
      </w:pPr>
      <w:r w:rsidRPr="006D5543">
        <w:rPr>
          <w:b/>
          <w:sz w:val="24"/>
          <w:szCs w:val="24"/>
        </w:rPr>
        <w:t>8.</w:t>
      </w:r>
      <w:r w:rsidRPr="006D5543">
        <w:rPr>
          <w:b/>
          <w:sz w:val="24"/>
          <w:szCs w:val="24"/>
        </w:rPr>
        <w:tab/>
        <w:t>MARKEDSFØRINGSTILLADELSESNUMMER (NUMRE)</w:t>
      </w:r>
    </w:p>
    <w:p w14:paraId="3C9F023D" w14:textId="741DBDBC" w:rsidR="009260DE" w:rsidRPr="006D5543" w:rsidRDefault="001B2C72" w:rsidP="009260DE">
      <w:pPr>
        <w:tabs>
          <w:tab w:val="left" w:pos="851"/>
        </w:tabs>
        <w:ind w:left="851"/>
        <w:rPr>
          <w:sz w:val="24"/>
          <w:szCs w:val="24"/>
        </w:rPr>
      </w:pPr>
      <w:r>
        <w:rPr>
          <w:sz w:val="24"/>
          <w:szCs w:val="24"/>
        </w:rPr>
        <w:t>65991</w:t>
      </w:r>
    </w:p>
    <w:p w14:paraId="3B25A318" w14:textId="77777777" w:rsidR="009260DE" w:rsidRPr="006D5543" w:rsidRDefault="009260DE" w:rsidP="009260DE">
      <w:pPr>
        <w:tabs>
          <w:tab w:val="left" w:pos="851"/>
        </w:tabs>
        <w:ind w:left="851"/>
        <w:jc w:val="both"/>
        <w:rPr>
          <w:sz w:val="24"/>
          <w:szCs w:val="24"/>
        </w:rPr>
      </w:pPr>
    </w:p>
    <w:p w14:paraId="2DEEADC1" w14:textId="77777777" w:rsidR="009260DE" w:rsidRPr="006D5543" w:rsidRDefault="009260DE" w:rsidP="009260DE">
      <w:pPr>
        <w:tabs>
          <w:tab w:val="left" w:pos="851"/>
        </w:tabs>
        <w:ind w:left="851" w:hanging="851"/>
        <w:rPr>
          <w:b/>
          <w:sz w:val="24"/>
          <w:szCs w:val="24"/>
        </w:rPr>
      </w:pPr>
      <w:r w:rsidRPr="006D5543">
        <w:rPr>
          <w:b/>
          <w:sz w:val="24"/>
          <w:szCs w:val="24"/>
        </w:rPr>
        <w:lastRenderedPageBreak/>
        <w:t>9.</w:t>
      </w:r>
      <w:r w:rsidRPr="006D5543">
        <w:rPr>
          <w:b/>
          <w:sz w:val="24"/>
          <w:szCs w:val="24"/>
        </w:rPr>
        <w:tab/>
        <w:t>DATO FOR FØRSTE MARKEDSFØRINGSTILLADELSE</w:t>
      </w:r>
    </w:p>
    <w:p w14:paraId="388C9D61" w14:textId="23FB99F1" w:rsidR="009260DE" w:rsidRPr="006D5543" w:rsidRDefault="00444207" w:rsidP="009260DE">
      <w:pPr>
        <w:tabs>
          <w:tab w:val="left" w:pos="851"/>
        </w:tabs>
        <w:ind w:left="851"/>
        <w:rPr>
          <w:sz w:val="24"/>
          <w:szCs w:val="24"/>
        </w:rPr>
      </w:pPr>
      <w:r>
        <w:rPr>
          <w:sz w:val="24"/>
          <w:szCs w:val="24"/>
        </w:rPr>
        <w:t>15. august 2022</w:t>
      </w:r>
      <w:bookmarkStart w:id="2" w:name="_GoBack"/>
      <w:bookmarkEnd w:id="2"/>
    </w:p>
    <w:p w14:paraId="057E6B08" w14:textId="77777777" w:rsidR="009260DE" w:rsidRPr="006D5543" w:rsidRDefault="009260DE" w:rsidP="009260DE">
      <w:pPr>
        <w:tabs>
          <w:tab w:val="left" w:pos="851"/>
        </w:tabs>
        <w:ind w:left="851"/>
        <w:rPr>
          <w:sz w:val="24"/>
          <w:szCs w:val="24"/>
        </w:rPr>
      </w:pPr>
    </w:p>
    <w:p w14:paraId="5DDCCEBF" w14:textId="77777777" w:rsidR="009260DE" w:rsidRPr="006D5543" w:rsidRDefault="009260DE" w:rsidP="009260DE">
      <w:pPr>
        <w:tabs>
          <w:tab w:val="left" w:pos="851"/>
        </w:tabs>
        <w:ind w:left="851" w:hanging="851"/>
        <w:rPr>
          <w:b/>
          <w:sz w:val="24"/>
          <w:szCs w:val="24"/>
        </w:rPr>
      </w:pPr>
      <w:r w:rsidRPr="006D5543">
        <w:rPr>
          <w:b/>
          <w:sz w:val="24"/>
          <w:szCs w:val="24"/>
        </w:rPr>
        <w:t>10.</w:t>
      </w:r>
      <w:r w:rsidRPr="006D5543">
        <w:rPr>
          <w:b/>
          <w:sz w:val="24"/>
          <w:szCs w:val="24"/>
        </w:rPr>
        <w:tab/>
        <w:t>DATO FOR ÆNDRING AF TEKSTEN</w:t>
      </w:r>
    </w:p>
    <w:p w14:paraId="7AF4621B" w14:textId="5B72A9D5" w:rsidR="009260DE" w:rsidRPr="006D5543" w:rsidRDefault="00957CC8" w:rsidP="009260DE">
      <w:pPr>
        <w:tabs>
          <w:tab w:val="left" w:pos="851"/>
        </w:tabs>
        <w:ind w:left="851"/>
        <w:rPr>
          <w:sz w:val="24"/>
          <w:szCs w:val="24"/>
        </w:rPr>
      </w:pPr>
      <w:r>
        <w:rPr>
          <w:sz w:val="24"/>
          <w:szCs w:val="24"/>
        </w:rPr>
        <w:t>-</w:t>
      </w:r>
    </w:p>
    <w:sectPr w:rsidR="009260DE" w:rsidRPr="006D554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F1765" w14:textId="77777777" w:rsidR="00D92715" w:rsidRDefault="00D92715">
      <w:r>
        <w:separator/>
      </w:r>
    </w:p>
  </w:endnote>
  <w:endnote w:type="continuationSeparator" w:id="0">
    <w:p w14:paraId="5E298FD5" w14:textId="77777777" w:rsidR="00D92715" w:rsidRDefault="00D9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6C55" w14:textId="77777777" w:rsidR="000259B9" w:rsidRDefault="000259B9">
    <w:pPr>
      <w:pStyle w:val="Sidefod"/>
      <w:pBdr>
        <w:bottom w:val="single" w:sz="6" w:space="1" w:color="auto"/>
      </w:pBdr>
    </w:pPr>
  </w:p>
  <w:p w14:paraId="3B78E97F" w14:textId="77777777" w:rsidR="000259B9" w:rsidRDefault="000259B9" w:rsidP="00C42586">
    <w:pPr>
      <w:pStyle w:val="Sidefod"/>
      <w:tabs>
        <w:tab w:val="clear" w:pos="4819"/>
        <w:tab w:val="left" w:pos="8505"/>
      </w:tabs>
      <w:rPr>
        <w:i/>
        <w:sz w:val="18"/>
        <w:szCs w:val="18"/>
      </w:rPr>
    </w:pPr>
  </w:p>
  <w:p w14:paraId="28A28747" w14:textId="0D7764C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F5C88">
      <w:rPr>
        <w:i/>
        <w:noProof/>
        <w:sz w:val="18"/>
        <w:szCs w:val="18"/>
      </w:rPr>
      <w:t>Glyronul, injektionsvæske, opløsning 0,2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21D22" w14:textId="77777777" w:rsidR="00D92715" w:rsidRDefault="00D92715">
      <w:r>
        <w:separator/>
      </w:r>
    </w:p>
  </w:footnote>
  <w:footnote w:type="continuationSeparator" w:id="0">
    <w:p w14:paraId="7D0D90F8" w14:textId="77777777" w:rsidR="00D92715" w:rsidRDefault="00D92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96324"/>
    <w:multiLevelType w:val="hybridMultilevel"/>
    <w:tmpl w:val="59AC9BDA"/>
    <w:lvl w:ilvl="0" w:tplc="0406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8185617"/>
    <w:multiLevelType w:val="hybridMultilevel"/>
    <w:tmpl w:val="6BE0CF4A"/>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15"/>
    <w:rsid w:val="000259B9"/>
    <w:rsid w:val="00041491"/>
    <w:rsid w:val="00050D16"/>
    <w:rsid w:val="000730CA"/>
    <w:rsid w:val="00074F2A"/>
    <w:rsid w:val="000A1CA8"/>
    <w:rsid w:val="000A466B"/>
    <w:rsid w:val="000A4B40"/>
    <w:rsid w:val="000B058C"/>
    <w:rsid w:val="000E4EE6"/>
    <w:rsid w:val="000F5C88"/>
    <w:rsid w:val="001454E2"/>
    <w:rsid w:val="00175019"/>
    <w:rsid w:val="001B2C72"/>
    <w:rsid w:val="001D2617"/>
    <w:rsid w:val="00206CE8"/>
    <w:rsid w:val="00207B1C"/>
    <w:rsid w:val="0021526C"/>
    <w:rsid w:val="002502CB"/>
    <w:rsid w:val="00263B08"/>
    <w:rsid w:val="00283A2B"/>
    <w:rsid w:val="002B30AD"/>
    <w:rsid w:val="002C2C01"/>
    <w:rsid w:val="00307A2F"/>
    <w:rsid w:val="003A29AE"/>
    <w:rsid w:val="003A32D7"/>
    <w:rsid w:val="003B4074"/>
    <w:rsid w:val="003C769A"/>
    <w:rsid w:val="003F1838"/>
    <w:rsid w:val="00444207"/>
    <w:rsid w:val="0045746C"/>
    <w:rsid w:val="0046390D"/>
    <w:rsid w:val="0049104B"/>
    <w:rsid w:val="004B6D5F"/>
    <w:rsid w:val="004E3B12"/>
    <w:rsid w:val="00532310"/>
    <w:rsid w:val="00565F0F"/>
    <w:rsid w:val="00575414"/>
    <w:rsid w:val="00594A86"/>
    <w:rsid w:val="00596D86"/>
    <w:rsid w:val="006116E5"/>
    <w:rsid w:val="00627DFE"/>
    <w:rsid w:val="00637F5A"/>
    <w:rsid w:val="006560B1"/>
    <w:rsid w:val="006756DD"/>
    <w:rsid w:val="006C62B4"/>
    <w:rsid w:val="006D5543"/>
    <w:rsid w:val="00731373"/>
    <w:rsid w:val="00737275"/>
    <w:rsid w:val="00740EEC"/>
    <w:rsid w:val="0078011A"/>
    <w:rsid w:val="00782AF4"/>
    <w:rsid w:val="00790EE7"/>
    <w:rsid w:val="007B6649"/>
    <w:rsid w:val="008039F5"/>
    <w:rsid w:val="0082576E"/>
    <w:rsid w:val="00907F75"/>
    <w:rsid w:val="009260DE"/>
    <w:rsid w:val="0093258A"/>
    <w:rsid w:val="00957CC8"/>
    <w:rsid w:val="00965F7F"/>
    <w:rsid w:val="009C7BA3"/>
    <w:rsid w:val="009D1F5A"/>
    <w:rsid w:val="00A06F6F"/>
    <w:rsid w:val="00A07FD8"/>
    <w:rsid w:val="00A10294"/>
    <w:rsid w:val="00A10D5F"/>
    <w:rsid w:val="00A610DB"/>
    <w:rsid w:val="00AE7DC7"/>
    <w:rsid w:val="00B003BF"/>
    <w:rsid w:val="00B011DC"/>
    <w:rsid w:val="00B373D7"/>
    <w:rsid w:val="00BA3EEE"/>
    <w:rsid w:val="00C36276"/>
    <w:rsid w:val="00C42586"/>
    <w:rsid w:val="00C60CCD"/>
    <w:rsid w:val="00C80661"/>
    <w:rsid w:val="00C84483"/>
    <w:rsid w:val="00C95551"/>
    <w:rsid w:val="00CB07D8"/>
    <w:rsid w:val="00CB20D7"/>
    <w:rsid w:val="00CE2417"/>
    <w:rsid w:val="00D020B0"/>
    <w:rsid w:val="00D11748"/>
    <w:rsid w:val="00D366CF"/>
    <w:rsid w:val="00D92715"/>
    <w:rsid w:val="00DB162D"/>
    <w:rsid w:val="00DF3820"/>
    <w:rsid w:val="00E108AA"/>
    <w:rsid w:val="00E1482A"/>
    <w:rsid w:val="00E3749A"/>
    <w:rsid w:val="00E72638"/>
    <w:rsid w:val="00E7437F"/>
    <w:rsid w:val="00E865B8"/>
    <w:rsid w:val="00EC0B9B"/>
    <w:rsid w:val="00ED5E9F"/>
    <w:rsid w:val="00F54678"/>
    <w:rsid w:val="00F66D4F"/>
    <w:rsid w:val="00F847AF"/>
    <w:rsid w:val="00FB6D01"/>
    <w:rsid w:val="00FE7F01"/>
    <w:rsid w:val="00FF62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EA77A"/>
  <w15:chartTrackingRefBased/>
  <w15:docId w15:val="{474826BF-707E-400B-901B-50C96663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qFormat/>
    <w:rsid w:val="008039F5"/>
    <w:pPr>
      <w:ind w:left="567"/>
    </w:pPr>
    <w:rPr>
      <w:rFonts w:eastAsia="Calibri"/>
      <w:sz w:val="22"/>
      <w:szCs w:val="22"/>
    </w:rPr>
  </w:style>
  <w:style w:type="character" w:customStyle="1" w:styleId="BrdtekstTegn">
    <w:name w:val="Brødtekst Tegn"/>
    <w:basedOn w:val="Standardskrifttypeiafsnit"/>
    <w:link w:val="Brdtekst"/>
    <w:semiHidden/>
    <w:rsid w:val="008039F5"/>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2778525">
      <w:bodyDiv w:val="1"/>
      <w:marLeft w:val="0"/>
      <w:marRight w:val="0"/>
      <w:marTop w:val="0"/>
      <w:marBottom w:val="0"/>
      <w:divBdr>
        <w:top w:val="none" w:sz="0" w:space="0" w:color="auto"/>
        <w:left w:val="none" w:sz="0" w:space="0" w:color="auto"/>
        <w:bottom w:val="none" w:sz="0" w:space="0" w:color="auto"/>
        <w:right w:val="none" w:sz="0" w:space="0" w:color="auto"/>
      </w:divBdr>
    </w:div>
    <w:div w:id="350571859">
      <w:bodyDiv w:val="1"/>
      <w:marLeft w:val="0"/>
      <w:marRight w:val="0"/>
      <w:marTop w:val="0"/>
      <w:marBottom w:val="0"/>
      <w:divBdr>
        <w:top w:val="none" w:sz="0" w:space="0" w:color="auto"/>
        <w:left w:val="none" w:sz="0" w:space="0" w:color="auto"/>
        <w:bottom w:val="none" w:sz="0" w:space="0" w:color="auto"/>
        <w:right w:val="none" w:sz="0" w:space="0" w:color="auto"/>
      </w:divBdr>
    </w:div>
    <w:div w:id="379328740">
      <w:bodyDiv w:val="1"/>
      <w:marLeft w:val="0"/>
      <w:marRight w:val="0"/>
      <w:marTop w:val="0"/>
      <w:marBottom w:val="0"/>
      <w:divBdr>
        <w:top w:val="none" w:sz="0" w:space="0" w:color="auto"/>
        <w:left w:val="none" w:sz="0" w:space="0" w:color="auto"/>
        <w:bottom w:val="none" w:sz="0" w:space="0" w:color="auto"/>
        <w:right w:val="none" w:sz="0" w:space="0" w:color="auto"/>
      </w:divBdr>
    </w:div>
    <w:div w:id="437336712">
      <w:bodyDiv w:val="1"/>
      <w:marLeft w:val="0"/>
      <w:marRight w:val="0"/>
      <w:marTop w:val="0"/>
      <w:marBottom w:val="0"/>
      <w:divBdr>
        <w:top w:val="none" w:sz="0" w:space="0" w:color="auto"/>
        <w:left w:val="none" w:sz="0" w:space="0" w:color="auto"/>
        <w:bottom w:val="none" w:sz="0" w:space="0" w:color="auto"/>
        <w:right w:val="none" w:sz="0" w:space="0" w:color="auto"/>
      </w:divBdr>
    </w:div>
    <w:div w:id="494539575">
      <w:bodyDiv w:val="1"/>
      <w:marLeft w:val="0"/>
      <w:marRight w:val="0"/>
      <w:marTop w:val="0"/>
      <w:marBottom w:val="0"/>
      <w:divBdr>
        <w:top w:val="none" w:sz="0" w:space="0" w:color="auto"/>
        <w:left w:val="none" w:sz="0" w:space="0" w:color="auto"/>
        <w:bottom w:val="none" w:sz="0" w:space="0" w:color="auto"/>
        <w:right w:val="none" w:sz="0" w:space="0" w:color="auto"/>
      </w:divBdr>
      <w:divsChild>
        <w:div w:id="2091613153">
          <w:marLeft w:val="0"/>
          <w:marRight w:val="0"/>
          <w:marTop w:val="0"/>
          <w:marBottom w:val="0"/>
          <w:divBdr>
            <w:top w:val="none" w:sz="0" w:space="0" w:color="auto"/>
            <w:left w:val="none" w:sz="0" w:space="0" w:color="auto"/>
            <w:bottom w:val="none" w:sz="0" w:space="0" w:color="auto"/>
            <w:right w:val="none" w:sz="0" w:space="0" w:color="auto"/>
          </w:divBdr>
          <w:divsChild>
            <w:div w:id="4754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1307">
      <w:bodyDiv w:val="1"/>
      <w:marLeft w:val="0"/>
      <w:marRight w:val="0"/>
      <w:marTop w:val="0"/>
      <w:marBottom w:val="0"/>
      <w:divBdr>
        <w:top w:val="none" w:sz="0" w:space="0" w:color="auto"/>
        <w:left w:val="none" w:sz="0" w:space="0" w:color="auto"/>
        <w:bottom w:val="none" w:sz="0" w:space="0" w:color="auto"/>
        <w:right w:val="none" w:sz="0" w:space="0" w:color="auto"/>
      </w:divBdr>
    </w:div>
    <w:div w:id="601651036">
      <w:bodyDiv w:val="1"/>
      <w:marLeft w:val="0"/>
      <w:marRight w:val="0"/>
      <w:marTop w:val="0"/>
      <w:marBottom w:val="0"/>
      <w:divBdr>
        <w:top w:val="none" w:sz="0" w:space="0" w:color="auto"/>
        <w:left w:val="none" w:sz="0" w:space="0" w:color="auto"/>
        <w:bottom w:val="none" w:sz="0" w:space="0" w:color="auto"/>
        <w:right w:val="none" w:sz="0" w:space="0" w:color="auto"/>
      </w:divBdr>
    </w:div>
    <w:div w:id="649023129">
      <w:bodyDiv w:val="1"/>
      <w:marLeft w:val="0"/>
      <w:marRight w:val="0"/>
      <w:marTop w:val="0"/>
      <w:marBottom w:val="0"/>
      <w:divBdr>
        <w:top w:val="none" w:sz="0" w:space="0" w:color="auto"/>
        <w:left w:val="none" w:sz="0" w:space="0" w:color="auto"/>
        <w:bottom w:val="none" w:sz="0" w:space="0" w:color="auto"/>
        <w:right w:val="none" w:sz="0" w:space="0" w:color="auto"/>
      </w:divBdr>
    </w:div>
    <w:div w:id="666521406">
      <w:bodyDiv w:val="1"/>
      <w:marLeft w:val="0"/>
      <w:marRight w:val="0"/>
      <w:marTop w:val="0"/>
      <w:marBottom w:val="0"/>
      <w:divBdr>
        <w:top w:val="none" w:sz="0" w:space="0" w:color="auto"/>
        <w:left w:val="none" w:sz="0" w:space="0" w:color="auto"/>
        <w:bottom w:val="none" w:sz="0" w:space="0" w:color="auto"/>
        <w:right w:val="none" w:sz="0" w:space="0" w:color="auto"/>
      </w:divBdr>
    </w:div>
    <w:div w:id="703557587">
      <w:bodyDiv w:val="1"/>
      <w:marLeft w:val="0"/>
      <w:marRight w:val="0"/>
      <w:marTop w:val="0"/>
      <w:marBottom w:val="0"/>
      <w:divBdr>
        <w:top w:val="none" w:sz="0" w:space="0" w:color="auto"/>
        <w:left w:val="none" w:sz="0" w:space="0" w:color="auto"/>
        <w:bottom w:val="none" w:sz="0" w:space="0" w:color="auto"/>
        <w:right w:val="none" w:sz="0" w:space="0" w:color="auto"/>
      </w:divBdr>
      <w:divsChild>
        <w:div w:id="804541917">
          <w:marLeft w:val="0"/>
          <w:marRight w:val="0"/>
          <w:marTop w:val="0"/>
          <w:marBottom w:val="0"/>
          <w:divBdr>
            <w:top w:val="none" w:sz="0" w:space="0" w:color="auto"/>
            <w:left w:val="none" w:sz="0" w:space="0" w:color="auto"/>
            <w:bottom w:val="none" w:sz="0" w:space="0" w:color="auto"/>
            <w:right w:val="none" w:sz="0" w:space="0" w:color="auto"/>
          </w:divBdr>
          <w:divsChild>
            <w:div w:id="9584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802">
      <w:bodyDiv w:val="1"/>
      <w:marLeft w:val="0"/>
      <w:marRight w:val="0"/>
      <w:marTop w:val="0"/>
      <w:marBottom w:val="0"/>
      <w:divBdr>
        <w:top w:val="none" w:sz="0" w:space="0" w:color="auto"/>
        <w:left w:val="none" w:sz="0" w:space="0" w:color="auto"/>
        <w:bottom w:val="none" w:sz="0" w:space="0" w:color="auto"/>
        <w:right w:val="none" w:sz="0" w:space="0" w:color="auto"/>
      </w:divBdr>
    </w:div>
    <w:div w:id="755630752">
      <w:bodyDiv w:val="1"/>
      <w:marLeft w:val="0"/>
      <w:marRight w:val="0"/>
      <w:marTop w:val="0"/>
      <w:marBottom w:val="0"/>
      <w:divBdr>
        <w:top w:val="none" w:sz="0" w:space="0" w:color="auto"/>
        <w:left w:val="none" w:sz="0" w:space="0" w:color="auto"/>
        <w:bottom w:val="none" w:sz="0" w:space="0" w:color="auto"/>
        <w:right w:val="none" w:sz="0" w:space="0" w:color="auto"/>
      </w:divBdr>
    </w:div>
    <w:div w:id="774177062">
      <w:bodyDiv w:val="1"/>
      <w:marLeft w:val="0"/>
      <w:marRight w:val="0"/>
      <w:marTop w:val="0"/>
      <w:marBottom w:val="0"/>
      <w:divBdr>
        <w:top w:val="none" w:sz="0" w:space="0" w:color="auto"/>
        <w:left w:val="none" w:sz="0" w:space="0" w:color="auto"/>
        <w:bottom w:val="none" w:sz="0" w:space="0" w:color="auto"/>
        <w:right w:val="none" w:sz="0" w:space="0" w:color="auto"/>
      </w:divBdr>
    </w:div>
    <w:div w:id="784151004">
      <w:bodyDiv w:val="1"/>
      <w:marLeft w:val="0"/>
      <w:marRight w:val="0"/>
      <w:marTop w:val="0"/>
      <w:marBottom w:val="0"/>
      <w:divBdr>
        <w:top w:val="none" w:sz="0" w:space="0" w:color="auto"/>
        <w:left w:val="none" w:sz="0" w:space="0" w:color="auto"/>
        <w:bottom w:val="none" w:sz="0" w:space="0" w:color="auto"/>
        <w:right w:val="none" w:sz="0" w:space="0" w:color="auto"/>
      </w:divBdr>
    </w:div>
    <w:div w:id="791941151">
      <w:bodyDiv w:val="1"/>
      <w:marLeft w:val="0"/>
      <w:marRight w:val="0"/>
      <w:marTop w:val="0"/>
      <w:marBottom w:val="0"/>
      <w:divBdr>
        <w:top w:val="none" w:sz="0" w:space="0" w:color="auto"/>
        <w:left w:val="none" w:sz="0" w:space="0" w:color="auto"/>
        <w:bottom w:val="none" w:sz="0" w:space="0" w:color="auto"/>
        <w:right w:val="none" w:sz="0" w:space="0" w:color="auto"/>
      </w:divBdr>
    </w:div>
    <w:div w:id="813989523">
      <w:bodyDiv w:val="1"/>
      <w:marLeft w:val="0"/>
      <w:marRight w:val="0"/>
      <w:marTop w:val="0"/>
      <w:marBottom w:val="0"/>
      <w:divBdr>
        <w:top w:val="none" w:sz="0" w:space="0" w:color="auto"/>
        <w:left w:val="none" w:sz="0" w:space="0" w:color="auto"/>
        <w:bottom w:val="none" w:sz="0" w:space="0" w:color="auto"/>
        <w:right w:val="none" w:sz="0" w:space="0" w:color="auto"/>
      </w:divBdr>
    </w:div>
    <w:div w:id="870915191">
      <w:bodyDiv w:val="1"/>
      <w:marLeft w:val="0"/>
      <w:marRight w:val="0"/>
      <w:marTop w:val="0"/>
      <w:marBottom w:val="0"/>
      <w:divBdr>
        <w:top w:val="none" w:sz="0" w:space="0" w:color="auto"/>
        <w:left w:val="none" w:sz="0" w:space="0" w:color="auto"/>
        <w:bottom w:val="none" w:sz="0" w:space="0" w:color="auto"/>
        <w:right w:val="none" w:sz="0" w:space="0" w:color="auto"/>
      </w:divBdr>
    </w:div>
    <w:div w:id="899287363">
      <w:bodyDiv w:val="1"/>
      <w:marLeft w:val="0"/>
      <w:marRight w:val="0"/>
      <w:marTop w:val="0"/>
      <w:marBottom w:val="0"/>
      <w:divBdr>
        <w:top w:val="none" w:sz="0" w:space="0" w:color="auto"/>
        <w:left w:val="none" w:sz="0" w:space="0" w:color="auto"/>
        <w:bottom w:val="none" w:sz="0" w:space="0" w:color="auto"/>
        <w:right w:val="none" w:sz="0" w:space="0" w:color="auto"/>
      </w:divBdr>
    </w:div>
    <w:div w:id="914363720">
      <w:bodyDiv w:val="1"/>
      <w:marLeft w:val="0"/>
      <w:marRight w:val="0"/>
      <w:marTop w:val="0"/>
      <w:marBottom w:val="0"/>
      <w:divBdr>
        <w:top w:val="none" w:sz="0" w:space="0" w:color="auto"/>
        <w:left w:val="none" w:sz="0" w:space="0" w:color="auto"/>
        <w:bottom w:val="none" w:sz="0" w:space="0" w:color="auto"/>
        <w:right w:val="none" w:sz="0" w:space="0" w:color="auto"/>
      </w:divBdr>
    </w:div>
    <w:div w:id="922228643">
      <w:bodyDiv w:val="1"/>
      <w:marLeft w:val="0"/>
      <w:marRight w:val="0"/>
      <w:marTop w:val="0"/>
      <w:marBottom w:val="0"/>
      <w:divBdr>
        <w:top w:val="none" w:sz="0" w:space="0" w:color="auto"/>
        <w:left w:val="none" w:sz="0" w:space="0" w:color="auto"/>
        <w:bottom w:val="none" w:sz="0" w:space="0" w:color="auto"/>
        <w:right w:val="none" w:sz="0" w:space="0" w:color="auto"/>
      </w:divBdr>
    </w:div>
    <w:div w:id="923533428">
      <w:bodyDiv w:val="1"/>
      <w:marLeft w:val="0"/>
      <w:marRight w:val="0"/>
      <w:marTop w:val="0"/>
      <w:marBottom w:val="0"/>
      <w:divBdr>
        <w:top w:val="none" w:sz="0" w:space="0" w:color="auto"/>
        <w:left w:val="none" w:sz="0" w:space="0" w:color="auto"/>
        <w:bottom w:val="none" w:sz="0" w:space="0" w:color="auto"/>
        <w:right w:val="none" w:sz="0" w:space="0" w:color="auto"/>
      </w:divBdr>
    </w:div>
    <w:div w:id="927691385">
      <w:bodyDiv w:val="1"/>
      <w:marLeft w:val="0"/>
      <w:marRight w:val="0"/>
      <w:marTop w:val="0"/>
      <w:marBottom w:val="0"/>
      <w:divBdr>
        <w:top w:val="none" w:sz="0" w:space="0" w:color="auto"/>
        <w:left w:val="none" w:sz="0" w:space="0" w:color="auto"/>
        <w:bottom w:val="none" w:sz="0" w:space="0" w:color="auto"/>
        <w:right w:val="none" w:sz="0" w:space="0" w:color="auto"/>
      </w:divBdr>
    </w:div>
    <w:div w:id="985552716">
      <w:bodyDiv w:val="1"/>
      <w:marLeft w:val="0"/>
      <w:marRight w:val="0"/>
      <w:marTop w:val="0"/>
      <w:marBottom w:val="0"/>
      <w:divBdr>
        <w:top w:val="none" w:sz="0" w:space="0" w:color="auto"/>
        <w:left w:val="none" w:sz="0" w:space="0" w:color="auto"/>
        <w:bottom w:val="none" w:sz="0" w:space="0" w:color="auto"/>
        <w:right w:val="none" w:sz="0" w:space="0" w:color="auto"/>
      </w:divBdr>
    </w:div>
    <w:div w:id="986859799">
      <w:bodyDiv w:val="1"/>
      <w:marLeft w:val="0"/>
      <w:marRight w:val="0"/>
      <w:marTop w:val="0"/>
      <w:marBottom w:val="0"/>
      <w:divBdr>
        <w:top w:val="none" w:sz="0" w:space="0" w:color="auto"/>
        <w:left w:val="none" w:sz="0" w:space="0" w:color="auto"/>
        <w:bottom w:val="none" w:sz="0" w:space="0" w:color="auto"/>
        <w:right w:val="none" w:sz="0" w:space="0" w:color="auto"/>
      </w:divBdr>
    </w:div>
    <w:div w:id="1017387118">
      <w:bodyDiv w:val="1"/>
      <w:marLeft w:val="0"/>
      <w:marRight w:val="0"/>
      <w:marTop w:val="0"/>
      <w:marBottom w:val="0"/>
      <w:divBdr>
        <w:top w:val="none" w:sz="0" w:space="0" w:color="auto"/>
        <w:left w:val="none" w:sz="0" w:space="0" w:color="auto"/>
        <w:bottom w:val="none" w:sz="0" w:space="0" w:color="auto"/>
        <w:right w:val="none" w:sz="0" w:space="0" w:color="auto"/>
      </w:divBdr>
    </w:div>
    <w:div w:id="1153764607">
      <w:bodyDiv w:val="1"/>
      <w:marLeft w:val="0"/>
      <w:marRight w:val="0"/>
      <w:marTop w:val="0"/>
      <w:marBottom w:val="0"/>
      <w:divBdr>
        <w:top w:val="none" w:sz="0" w:space="0" w:color="auto"/>
        <w:left w:val="none" w:sz="0" w:space="0" w:color="auto"/>
        <w:bottom w:val="none" w:sz="0" w:space="0" w:color="auto"/>
        <w:right w:val="none" w:sz="0" w:space="0" w:color="auto"/>
      </w:divBdr>
    </w:div>
    <w:div w:id="1194999868">
      <w:bodyDiv w:val="1"/>
      <w:marLeft w:val="0"/>
      <w:marRight w:val="0"/>
      <w:marTop w:val="0"/>
      <w:marBottom w:val="0"/>
      <w:divBdr>
        <w:top w:val="none" w:sz="0" w:space="0" w:color="auto"/>
        <w:left w:val="none" w:sz="0" w:space="0" w:color="auto"/>
        <w:bottom w:val="none" w:sz="0" w:space="0" w:color="auto"/>
        <w:right w:val="none" w:sz="0" w:space="0" w:color="auto"/>
      </w:divBdr>
    </w:div>
    <w:div w:id="1196037111">
      <w:bodyDiv w:val="1"/>
      <w:marLeft w:val="0"/>
      <w:marRight w:val="0"/>
      <w:marTop w:val="0"/>
      <w:marBottom w:val="0"/>
      <w:divBdr>
        <w:top w:val="none" w:sz="0" w:space="0" w:color="auto"/>
        <w:left w:val="none" w:sz="0" w:space="0" w:color="auto"/>
        <w:bottom w:val="none" w:sz="0" w:space="0" w:color="auto"/>
        <w:right w:val="none" w:sz="0" w:space="0" w:color="auto"/>
      </w:divBdr>
    </w:div>
    <w:div w:id="1249584197">
      <w:bodyDiv w:val="1"/>
      <w:marLeft w:val="0"/>
      <w:marRight w:val="0"/>
      <w:marTop w:val="0"/>
      <w:marBottom w:val="0"/>
      <w:divBdr>
        <w:top w:val="none" w:sz="0" w:space="0" w:color="auto"/>
        <w:left w:val="none" w:sz="0" w:space="0" w:color="auto"/>
        <w:bottom w:val="none" w:sz="0" w:space="0" w:color="auto"/>
        <w:right w:val="none" w:sz="0" w:space="0" w:color="auto"/>
      </w:divBdr>
    </w:div>
    <w:div w:id="1308851914">
      <w:bodyDiv w:val="1"/>
      <w:marLeft w:val="0"/>
      <w:marRight w:val="0"/>
      <w:marTop w:val="0"/>
      <w:marBottom w:val="0"/>
      <w:divBdr>
        <w:top w:val="none" w:sz="0" w:space="0" w:color="auto"/>
        <w:left w:val="none" w:sz="0" w:space="0" w:color="auto"/>
        <w:bottom w:val="none" w:sz="0" w:space="0" w:color="auto"/>
        <w:right w:val="none" w:sz="0" w:space="0" w:color="auto"/>
      </w:divBdr>
    </w:div>
    <w:div w:id="1318148016">
      <w:bodyDiv w:val="1"/>
      <w:marLeft w:val="0"/>
      <w:marRight w:val="0"/>
      <w:marTop w:val="0"/>
      <w:marBottom w:val="0"/>
      <w:divBdr>
        <w:top w:val="none" w:sz="0" w:space="0" w:color="auto"/>
        <w:left w:val="none" w:sz="0" w:space="0" w:color="auto"/>
        <w:bottom w:val="none" w:sz="0" w:space="0" w:color="auto"/>
        <w:right w:val="none" w:sz="0" w:space="0" w:color="auto"/>
      </w:divBdr>
    </w:div>
    <w:div w:id="1335455779">
      <w:bodyDiv w:val="1"/>
      <w:marLeft w:val="0"/>
      <w:marRight w:val="0"/>
      <w:marTop w:val="0"/>
      <w:marBottom w:val="0"/>
      <w:divBdr>
        <w:top w:val="none" w:sz="0" w:space="0" w:color="auto"/>
        <w:left w:val="none" w:sz="0" w:space="0" w:color="auto"/>
        <w:bottom w:val="none" w:sz="0" w:space="0" w:color="auto"/>
        <w:right w:val="none" w:sz="0" w:space="0" w:color="auto"/>
      </w:divBdr>
    </w:div>
    <w:div w:id="1361778376">
      <w:bodyDiv w:val="1"/>
      <w:marLeft w:val="0"/>
      <w:marRight w:val="0"/>
      <w:marTop w:val="0"/>
      <w:marBottom w:val="0"/>
      <w:divBdr>
        <w:top w:val="none" w:sz="0" w:space="0" w:color="auto"/>
        <w:left w:val="none" w:sz="0" w:space="0" w:color="auto"/>
        <w:bottom w:val="none" w:sz="0" w:space="0" w:color="auto"/>
        <w:right w:val="none" w:sz="0" w:space="0" w:color="auto"/>
      </w:divBdr>
    </w:div>
    <w:div w:id="1492331243">
      <w:bodyDiv w:val="1"/>
      <w:marLeft w:val="0"/>
      <w:marRight w:val="0"/>
      <w:marTop w:val="0"/>
      <w:marBottom w:val="0"/>
      <w:divBdr>
        <w:top w:val="none" w:sz="0" w:space="0" w:color="auto"/>
        <w:left w:val="none" w:sz="0" w:space="0" w:color="auto"/>
        <w:bottom w:val="none" w:sz="0" w:space="0" w:color="auto"/>
        <w:right w:val="none" w:sz="0" w:space="0" w:color="auto"/>
      </w:divBdr>
    </w:div>
    <w:div w:id="1555963868">
      <w:bodyDiv w:val="1"/>
      <w:marLeft w:val="0"/>
      <w:marRight w:val="0"/>
      <w:marTop w:val="0"/>
      <w:marBottom w:val="0"/>
      <w:divBdr>
        <w:top w:val="none" w:sz="0" w:space="0" w:color="auto"/>
        <w:left w:val="none" w:sz="0" w:space="0" w:color="auto"/>
        <w:bottom w:val="none" w:sz="0" w:space="0" w:color="auto"/>
        <w:right w:val="none" w:sz="0" w:space="0" w:color="auto"/>
      </w:divBdr>
    </w:div>
    <w:div w:id="1571961822">
      <w:bodyDiv w:val="1"/>
      <w:marLeft w:val="0"/>
      <w:marRight w:val="0"/>
      <w:marTop w:val="0"/>
      <w:marBottom w:val="0"/>
      <w:divBdr>
        <w:top w:val="none" w:sz="0" w:space="0" w:color="auto"/>
        <w:left w:val="none" w:sz="0" w:space="0" w:color="auto"/>
        <w:bottom w:val="none" w:sz="0" w:space="0" w:color="auto"/>
        <w:right w:val="none" w:sz="0" w:space="0" w:color="auto"/>
      </w:divBdr>
    </w:div>
    <w:div w:id="1572420191">
      <w:bodyDiv w:val="1"/>
      <w:marLeft w:val="0"/>
      <w:marRight w:val="0"/>
      <w:marTop w:val="0"/>
      <w:marBottom w:val="0"/>
      <w:divBdr>
        <w:top w:val="none" w:sz="0" w:space="0" w:color="auto"/>
        <w:left w:val="none" w:sz="0" w:space="0" w:color="auto"/>
        <w:bottom w:val="none" w:sz="0" w:space="0" w:color="auto"/>
        <w:right w:val="none" w:sz="0" w:space="0" w:color="auto"/>
      </w:divBdr>
    </w:div>
    <w:div w:id="1610089267">
      <w:bodyDiv w:val="1"/>
      <w:marLeft w:val="0"/>
      <w:marRight w:val="0"/>
      <w:marTop w:val="0"/>
      <w:marBottom w:val="0"/>
      <w:divBdr>
        <w:top w:val="none" w:sz="0" w:space="0" w:color="auto"/>
        <w:left w:val="none" w:sz="0" w:space="0" w:color="auto"/>
        <w:bottom w:val="none" w:sz="0" w:space="0" w:color="auto"/>
        <w:right w:val="none" w:sz="0" w:space="0" w:color="auto"/>
      </w:divBdr>
    </w:div>
    <w:div w:id="1737121318">
      <w:bodyDiv w:val="1"/>
      <w:marLeft w:val="0"/>
      <w:marRight w:val="0"/>
      <w:marTop w:val="0"/>
      <w:marBottom w:val="0"/>
      <w:divBdr>
        <w:top w:val="none" w:sz="0" w:space="0" w:color="auto"/>
        <w:left w:val="none" w:sz="0" w:space="0" w:color="auto"/>
        <w:bottom w:val="none" w:sz="0" w:space="0" w:color="auto"/>
        <w:right w:val="none" w:sz="0" w:space="0" w:color="auto"/>
      </w:divBdr>
    </w:div>
    <w:div w:id="2047169898">
      <w:bodyDiv w:val="1"/>
      <w:marLeft w:val="0"/>
      <w:marRight w:val="0"/>
      <w:marTop w:val="0"/>
      <w:marBottom w:val="0"/>
      <w:divBdr>
        <w:top w:val="none" w:sz="0" w:space="0" w:color="auto"/>
        <w:left w:val="none" w:sz="0" w:space="0" w:color="auto"/>
        <w:bottom w:val="none" w:sz="0" w:space="0" w:color="auto"/>
        <w:right w:val="none" w:sz="0" w:space="0" w:color="auto"/>
      </w:divBdr>
    </w:div>
    <w:div w:id="20906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34</TotalTime>
  <Pages>8</Pages>
  <Words>1742</Words>
  <Characters>11895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2021041203 mt</dc:description>
  <cp:lastModifiedBy>Hanne Thy Iversen</cp:lastModifiedBy>
  <cp:revision>14</cp:revision>
  <cp:lastPrinted>2012-08-22T08:53:00Z</cp:lastPrinted>
  <dcterms:created xsi:type="dcterms:W3CDTF">2022-08-11T13:56:00Z</dcterms:created>
  <dcterms:modified xsi:type="dcterms:W3CDTF">2022-08-15T08:19:00Z</dcterms:modified>
</cp:coreProperties>
</file>