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E678" w14:textId="77777777" w:rsidR="009260DE" w:rsidRPr="00A6485D" w:rsidRDefault="0021526C" w:rsidP="009260DE">
      <w:pPr>
        <w:rPr>
          <w:sz w:val="24"/>
          <w:szCs w:val="24"/>
        </w:rPr>
      </w:pPr>
      <w:r w:rsidRPr="00A6485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AF3CB7A" wp14:editId="25D1F59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A6485D">
        <w:rPr>
          <w:sz w:val="24"/>
          <w:szCs w:val="24"/>
        </w:rPr>
        <w:br w:type="textWrapping" w:clear="all"/>
      </w:r>
    </w:p>
    <w:p w14:paraId="32A63B59" w14:textId="581EAE06" w:rsidR="009260DE" w:rsidRPr="00A6485D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A6485D">
        <w:rPr>
          <w:b w:val="0"/>
          <w:szCs w:val="24"/>
          <w:lang w:eastAsia="en-US"/>
        </w:rPr>
        <w:tab/>
      </w:r>
      <w:r w:rsidR="0035184D">
        <w:rPr>
          <w:szCs w:val="24"/>
        </w:rPr>
        <w:t>27. januar 2025</w:t>
      </w:r>
    </w:p>
    <w:p w14:paraId="2E3F9ECC" w14:textId="77777777" w:rsidR="009260DE" w:rsidRPr="00A6485D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B43CCE0" w14:textId="34D9F34B" w:rsidR="00860333" w:rsidRPr="00A6485D" w:rsidRDefault="00860333" w:rsidP="009260DE">
      <w:pPr>
        <w:pStyle w:val="Titel"/>
        <w:jc w:val="left"/>
        <w:rPr>
          <w:b w:val="0"/>
          <w:szCs w:val="24"/>
        </w:rPr>
      </w:pPr>
    </w:p>
    <w:p w14:paraId="14BFF0F8" w14:textId="77777777" w:rsidR="009260DE" w:rsidRPr="00A6485D" w:rsidRDefault="009260DE" w:rsidP="009260DE">
      <w:pPr>
        <w:pStyle w:val="Titel"/>
        <w:jc w:val="left"/>
        <w:rPr>
          <w:b w:val="0"/>
          <w:szCs w:val="24"/>
        </w:rPr>
      </w:pPr>
    </w:p>
    <w:p w14:paraId="228C2673" w14:textId="77777777" w:rsidR="009260DE" w:rsidRPr="00A6485D" w:rsidRDefault="009260DE" w:rsidP="009260DE">
      <w:pPr>
        <w:jc w:val="center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PRODUKTRESUMÉ</w:t>
      </w:r>
    </w:p>
    <w:p w14:paraId="75ABC0C6" w14:textId="77777777" w:rsidR="009260DE" w:rsidRPr="00A6485D" w:rsidRDefault="009260DE" w:rsidP="009260DE">
      <w:pPr>
        <w:jc w:val="center"/>
        <w:rPr>
          <w:b/>
          <w:sz w:val="24"/>
          <w:szCs w:val="24"/>
        </w:rPr>
      </w:pPr>
    </w:p>
    <w:p w14:paraId="590F5235" w14:textId="77777777" w:rsidR="009260DE" w:rsidRPr="00A6485D" w:rsidRDefault="009260DE" w:rsidP="009260DE">
      <w:pPr>
        <w:jc w:val="center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for</w:t>
      </w:r>
    </w:p>
    <w:p w14:paraId="3BD192D8" w14:textId="77777777" w:rsidR="000B058C" w:rsidRPr="00A6485D" w:rsidRDefault="000B058C" w:rsidP="009260DE">
      <w:pPr>
        <w:jc w:val="center"/>
        <w:rPr>
          <w:b/>
          <w:sz w:val="24"/>
          <w:szCs w:val="24"/>
        </w:rPr>
      </w:pPr>
    </w:p>
    <w:p w14:paraId="71FB4F45" w14:textId="563F7293" w:rsidR="009260DE" w:rsidRPr="00A6485D" w:rsidRDefault="00CB6199" w:rsidP="009260DE">
      <w:pPr>
        <w:jc w:val="center"/>
        <w:rPr>
          <w:b/>
          <w:sz w:val="24"/>
          <w:szCs w:val="24"/>
        </w:rPr>
      </w:pPr>
      <w:proofErr w:type="spellStart"/>
      <w:r w:rsidRPr="00A6485D">
        <w:rPr>
          <w:b/>
          <w:sz w:val="24"/>
          <w:szCs w:val="24"/>
        </w:rPr>
        <w:t>Gonasi</w:t>
      </w:r>
      <w:proofErr w:type="spellEnd"/>
      <w:r w:rsidRPr="00A6485D">
        <w:rPr>
          <w:b/>
          <w:sz w:val="24"/>
          <w:szCs w:val="24"/>
        </w:rPr>
        <w:t xml:space="preserve"> Set, pulver og solvens til injektionsvæske, opløsning</w:t>
      </w:r>
    </w:p>
    <w:p w14:paraId="511CEBFF" w14:textId="6629DDD5" w:rsidR="009260DE" w:rsidRPr="00A6485D" w:rsidRDefault="009260DE" w:rsidP="009260DE">
      <w:pPr>
        <w:jc w:val="both"/>
        <w:rPr>
          <w:sz w:val="24"/>
          <w:szCs w:val="24"/>
        </w:rPr>
      </w:pPr>
    </w:p>
    <w:p w14:paraId="0C013BC4" w14:textId="77777777" w:rsidR="00FE25BB" w:rsidRPr="00A6485D" w:rsidRDefault="00FE25BB" w:rsidP="00FE25BB">
      <w:pPr>
        <w:spacing w:after="150"/>
        <w:rPr>
          <w:b/>
          <w:bCs/>
          <w:sz w:val="24"/>
          <w:szCs w:val="24"/>
        </w:rPr>
      </w:pPr>
      <w:r w:rsidRPr="00A6485D">
        <w:rPr>
          <w:b/>
          <w:sz w:val="24"/>
          <w:szCs w:val="24"/>
        </w:rPr>
        <w:t xml:space="preserve">▼ </w:t>
      </w:r>
      <w:r w:rsidRPr="00A6485D">
        <w:rPr>
          <w:sz w:val="24"/>
          <w:szCs w:val="24"/>
        </w:rPr>
        <w:t>Dette lægemiddel er underlagt supplerende overvågning. Dermed kan nye sikkerhedsoplysninger hurtigt tilvejebringes. Sundhedspersoner anmodes om at indberette alle formodede bivirkninger. Se i pkt. 4.8, hvordan bivirkninger indberettes.</w:t>
      </w:r>
    </w:p>
    <w:p w14:paraId="6F302944" w14:textId="77777777" w:rsidR="00FE25BB" w:rsidRPr="00A6485D" w:rsidRDefault="00FE25BB" w:rsidP="009260DE">
      <w:pPr>
        <w:jc w:val="both"/>
        <w:rPr>
          <w:sz w:val="24"/>
          <w:szCs w:val="24"/>
        </w:rPr>
      </w:pPr>
    </w:p>
    <w:p w14:paraId="5D967F0F" w14:textId="77777777" w:rsidR="009260DE" w:rsidRPr="00A6485D" w:rsidRDefault="009260DE" w:rsidP="009260DE">
      <w:pPr>
        <w:jc w:val="both"/>
        <w:rPr>
          <w:sz w:val="24"/>
          <w:szCs w:val="24"/>
        </w:rPr>
      </w:pPr>
    </w:p>
    <w:p w14:paraId="71955217" w14:textId="73397233" w:rsidR="009260DE" w:rsidRPr="00A6485D" w:rsidRDefault="0035184D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087B2EED" w14:textId="3C96DF6A" w:rsidR="009260DE" w:rsidRPr="00A6485D" w:rsidRDefault="00CB6199" w:rsidP="009260DE">
      <w:pPr>
        <w:tabs>
          <w:tab w:val="left" w:pos="851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31823</w:t>
      </w:r>
    </w:p>
    <w:p w14:paraId="78C3E33B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F143ED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1.</w:t>
      </w:r>
      <w:r w:rsidRPr="00A6485D">
        <w:rPr>
          <w:b/>
          <w:sz w:val="24"/>
          <w:szCs w:val="24"/>
        </w:rPr>
        <w:tab/>
        <w:t>LÆGEMIDLETS NAVN</w:t>
      </w:r>
    </w:p>
    <w:p w14:paraId="7BC78761" w14:textId="2E2A9AC5" w:rsidR="009260DE" w:rsidRPr="00A6485D" w:rsidRDefault="00FE25BB" w:rsidP="009260DE">
      <w:pPr>
        <w:tabs>
          <w:tab w:val="left" w:pos="851"/>
        </w:tabs>
        <w:ind w:left="851"/>
        <w:rPr>
          <w:sz w:val="24"/>
          <w:szCs w:val="24"/>
        </w:rPr>
      </w:pPr>
      <w:bookmarkStart w:id="0" w:name="_Hlk91069176"/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bookmarkEnd w:id="0"/>
    </w:p>
    <w:p w14:paraId="30A17B7E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0B4FF0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2.</w:t>
      </w:r>
      <w:r w:rsidRPr="00A6485D">
        <w:rPr>
          <w:b/>
          <w:sz w:val="24"/>
          <w:szCs w:val="24"/>
        </w:rPr>
        <w:tab/>
        <w:t>KVALITATIV OG KVANTITATIV SAMMENSÆTNING</w:t>
      </w:r>
    </w:p>
    <w:p w14:paraId="6DDDC7E5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Hvert hætteglas med pulver indeholder: </w:t>
      </w:r>
    </w:p>
    <w:p w14:paraId="704A999E" w14:textId="1EFD017B" w:rsidR="00FE25BB" w:rsidRPr="00A6485D" w:rsidRDefault="003E260F" w:rsidP="00EE7FAC">
      <w:pPr>
        <w:ind w:left="851"/>
        <w:rPr>
          <w:sz w:val="24"/>
          <w:szCs w:val="24"/>
          <w:lang w:eastAsia="it-IT"/>
        </w:rPr>
      </w:pPr>
      <w:r>
        <w:rPr>
          <w:sz w:val="24"/>
          <w:szCs w:val="24"/>
        </w:rPr>
        <w:t xml:space="preserve">Højoprenset humant </w:t>
      </w:r>
      <w:proofErr w:type="spellStart"/>
      <w:r>
        <w:rPr>
          <w:sz w:val="24"/>
          <w:szCs w:val="24"/>
        </w:rPr>
        <w:t>choriongonadotropin</w:t>
      </w:r>
      <w:proofErr w:type="spellEnd"/>
      <w:r>
        <w:rPr>
          <w:sz w:val="24"/>
          <w:szCs w:val="24"/>
        </w:rPr>
        <w:t xml:space="preserve"> 5.000 IE, fremstillet af human urin.</w:t>
      </w:r>
    </w:p>
    <w:p w14:paraId="015F6C26" w14:textId="469A16C3" w:rsidR="006834F8" w:rsidRPr="00A6485D" w:rsidRDefault="006834F8" w:rsidP="006834F8">
      <w:pPr>
        <w:ind w:left="851"/>
        <w:rPr>
          <w:sz w:val="24"/>
          <w:szCs w:val="24"/>
        </w:rPr>
      </w:pPr>
    </w:p>
    <w:p w14:paraId="4E135B09" w14:textId="71AA3D3B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Alle hjælpestoffer er anført under pkt. 6.1.</w:t>
      </w:r>
    </w:p>
    <w:p w14:paraId="3CB8EA11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F8707C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3.</w:t>
      </w:r>
      <w:r w:rsidRPr="00A6485D">
        <w:rPr>
          <w:b/>
          <w:sz w:val="24"/>
          <w:szCs w:val="24"/>
        </w:rPr>
        <w:tab/>
        <w:t>LÆGEMIDDELFORM</w:t>
      </w:r>
    </w:p>
    <w:p w14:paraId="61BEC91E" w14:textId="2AFBFB18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Pulver og solvens til injektionsvæske, opløsning</w:t>
      </w:r>
    </w:p>
    <w:p w14:paraId="6F367E54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Pulver i hætteglas: hvidt til næsten hvidt frysetørret pulver</w:t>
      </w:r>
    </w:p>
    <w:p w14:paraId="6A6EA7D0" w14:textId="77777777" w:rsidR="003E6E86" w:rsidRDefault="003E6E86" w:rsidP="00EE7FAC">
      <w:pPr>
        <w:ind w:left="851"/>
        <w:rPr>
          <w:sz w:val="24"/>
          <w:szCs w:val="24"/>
        </w:rPr>
      </w:pPr>
    </w:p>
    <w:p w14:paraId="18995514" w14:textId="1FDC8889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Solvens i fyldt injektionssprøjte (0,9 % </w:t>
      </w:r>
      <w:proofErr w:type="spellStart"/>
      <w:r w:rsidRPr="00A6485D">
        <w:rPr>
          <w:sz w:val="24"/>
          <w:szCs w:val="24"/>
        </w:rPr>
        <w:t>natriumchlorid</w:t>
      </w:r>
      <w:proofErr w:type="spellEnd"/>
      <w:r w:rsidRPr="00A6485D">
        <w:rPr>
          <w:sz w:val="24"/>
          <w:szCs w:val="24"/>
        </w:rPr>
        <w:t>): klar og farveløs opløsning</w:t>
      </w:r>
    </w:p>
    <w:p w14:paraId="55B9E9A9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45CA98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79FDAB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</w:t>
      </w:r>
      <w:r w:rsidRPr="00A6485D">
        <w:rPr>
          <w:b/>
          <w:sz w:val="24"/>
          <w:szCs w:val="24"/>
        </w:rPr>
        <w:tab/>
        <w:t>KLINISKE OPLYSNINGER</w:t>
      </w:r>
    </w:p>
    <w:p w14:paraId="4B05316F" w14:textId="77777777" w:rsidR="009260DE" w:rsidRPr="00A6485D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1463E87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A6485D">
        <w:rPr>
          <w:b/>
          <w:sz w:val="24"/>
          <w:szCs w:val="24"/>
        </w:rPr>
        <w:t>4.1</w:t>
      </w:r>
      <w:r w:rsidRPr="00A6485D">
        <w:rPr>
          <w:b/>
          <w:sz w:val="24"/>
          <w:szCs w:val="24"/>
        </w:rPr>
        <w:tab/>
        <w:t>Terapeutiske indikationer</w:t>
      </w:r>
    </w:p>
    <w:p w14:paraId="7C0D897A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Til fremkaldelse af ægløsning og induktion af </w:t>
      </w:r>
      <w:proofErr w:type="spellStart"/>
      <w:r w:rsidRPr="00A6485D">
        <w:rPr>
          <w:sz w:val="24"/>
          <w:szCs w:val="24"/>
        </w:rPr>
        <w:t>luteinisering</w:t>
      </w:r>
      <w:proofErr w:type="spellEnd"/>
      <w:r w:rsidRPr="00A6485D">
        <w:rPr>
          <w:sz w:val="24"/>
          <w:szCs w:val="24"/>
        </w:rPr>
        <w:t xml:space="preserve"> efter stimulering af follikelvækst hos </w:t>
      </w:r>
      <w:proofErr w:type="spellStart"/>
      <w:r w:rsidRPr="00A6485D">
        <w:rPr>
          <w:sz w:val="24"/>
          <w:szCs w:val="24"/>
        </w:rPr>
        <w:t>anovulatoriske</w:t>
      </w:r>
      <w:proofErr w:type="spellEnd"/>
      <w:r w:rsidRPr="00A6485D">
        <w:rPr>
          <w:sz w:val="24"/>
          <w:szCs w:val="24"/>
        </w:rPr>
        <w:t xml:space="preserve"> eller </w:t>
      </w:r>
      <w:proofErr w:type="spellStart"/>
      <w:r w:rsidRPr="00A6485D">
        <w:rPr>
          <w:sz w:val="24"/>
          <w:szCs w:val="24"/>
        </w:rPr>
        <w:t>oligoovulatoriske</w:t>
      </w:r>
      <w:proofErr w:type="spellEnd"/>
      <w:r w:rsidRPr="00A6485D">
        <w:rPr>
          <w:sz w:val="24"/>
          <w:szCs w:val="24"/>
        </w:rPr>
        <w:t xml:space="preserve"> kvinder.</w:t>
      </w:r>
    </w:p>
    <w:p w14:paraId="630077AB" w14:textId="77777777" w:rsidR="003E6E86" w:rsidRDefault="003E6E86" w:rsidP="00EE7FAC">
      <w:pPr>
        <w:ind w:left="851"/>
        <w:rPr>
          <w:sz w:val="24"/>
          <w:szCs w:val="24"/>
        </w:rPr>
      </w:pPr>
    </w:p>
    <w:p w14:paraId="2E601A43" w14:textId="3228D1AC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Til assisteret reproduktionsteknologi (ART) såsom </w:t>
      </w:r>
      <w:r w:rsidRPr="00A6485D">
        <w:rPr>
          <w:i/>
          <w:sz w:val="24"/>
          <w:szCs w:val="24"/>
        </w:rPr>
        <w:t>in vitro</w:t>
      </w:r>
      <w:r w:rsidRPr="00A6485D">
        <w:rPr>
          <w:sz w:val="24"/>
          <w:szCs w:val="24"/>
        </w:rPr>
        <w:t xml:space="preserve">-befrugtning: fremkaldelse af afsluttende </w:t>
      </w:r>
      <w:proofErr w:type="spellStart"/>
      <w:r w:rsidRPr="00A6485D">
        <w:rPr>
          <w:sz w:val="24"/>
          <w:szCs w:val="24"/>
        </w:rPr>
        <w:t>follikulær</w:t>
      </w:r>
      <w:proofErr w:type="spellEnd"/>
      <w:r w:rsidRPr="00A6485D">
        <w:rPr>
          <w:sz w:val="24"/>
          <w:szCs w:val="24"/>
        </w:rPr>
        <w:t xml:space="preserve"> modning og </w:t>
      </w:r>
      <w:proofErr w:type="spellStart"/>
      <w:r w:rsidRPr="00A6485D">
        <w:rPr>
          <w:sz w:val="24"/>
          <w:szCs w:val="24"/>
        </w:rPr>
        <w:t>luteinisering</w:t>
      </w:r>
      <w:proofErr w:type="spellEnd"/>
      <w:r w:rsidRPr="00A6485D">
        <w:rPr>
          <w:sz w:val="24"/>
          <w:szCs w:val="24"/>
        </w:rPr>
        <w:t xml:space="preserve"> efter stimulering af follikelvækst.</w:t>
      </w:r>
    </w:p>
    <w:p w14:paraId="174F4461" w14:textId="77777777" w:rsidR="009260DE" w:rsidRPr="00A6485D" w:rsidRDefault="009260DE" w:rsidP="00EE7FAC">
      <w:pPr>
        <w:ind w:left="851"/>
        <w:rPr>
          <w:sz w:val="24"/>
          <w:szCs w:val="24"/>
        </w:rPr>
      </w:pPr>
    </w:p>
    <w:p w14:paraId="56FEFCA0" w14:textId="052F994E" w:rsidR="009260DE" w:rsidRPr="00A6485D" w:rsidRDefault="0035184D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14:paraId="477875BD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Behandlingen bør kun indledes af en læge med erfaring i behandling af </w:t>
      </w:r>
      <w:proofErr w:type="spellStart"/>
      <w:r w:rsidRPr="00A6485D">
        <w:rPr>
          <w:sz w:val="24"/>
          <w:szCs w:val="24"/>
        </w:rPr>
        <w:t>infertilitet</w:t>
      </w:r>
      <w:proofErr w:type="spellEnd"/>
      <w:r w:rsidRPr="00A6485D">
        <w:rPr>
          <w:sz w:val="24"/>
          <w:szCs w:val="24"/>
        </w:rPr>
        <w:t>.</w:t>
      </w:r>
    </w:p>
    <w:p w14:paraId="0C093FA5" w14:textId="77777777" w:rsidR="003E6E86" w:rsidRDefault="003E6E86" w:rsidP="00EE7FAC">
      <w:pPr>
        <w:ind w:left="851"/>
        <w:rPr>
          <w:i/>
          <w:sz w:val="24"/>
          <w:szCs w:val="24"/>
        </w:rPr>
      </w:pPr>
    </w:p>
    <w:p w14:paraId="7349B464" w14:textId="23FBC03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i/>
          <w:sz w:val="24"/>
          <w:szCs w:val="24"/>
        </w:rPr>
        <w:t>Dosering</w:t>
      </w:r>
    </w:p>
    <w:p w14:paraId="6D9A4D45" w14:textId="66DA0292" w:rsidR="00FE25BB" w:rsidRPr="00A6485D" w:rsidRDefault="00FE25BB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Anovulatoriske</w:t>
      </w:r>
      <w:proofErr w:type="spellEnd"/>
      <w:r w:rsidRPr="00A6485D">
        <w:rPr>
          <w:sz w:val="24"/>
          <w:szCs w:val="24"/>
        </w:rPr>
        <w:t xml:space="preserve"> eller </w:t>
      </w:r>
      <w:proofErr w:type="spellStart"/>
      <w:r w:rsidRPr="00A6485D">
        <w:rPr>
          <w:sz w:val="24"/>
          <w:szCs w:val="24"/>
        </w:rPr>
        <w:t>oligoovulatoriske</w:t>
      </w:r>
      <w:proofErr w:type="spellEnd"/>
      <w:r w:rsidRPr="00A6485D">
        <w:rPr>
          <w:sz w:val="24"/>
          <w:szCs w:val="24"/>
        </w:rPr>
        <w:t xml:space="preserve"> kvinder: Et hætteglas (5.000 IE) eller to hætteglas (10.000 IE) af </w:t>
      </w:r>
      <w:proofErr w:type="spellStart"/>
      <w:r w:rsidR="003E6E86" w:rsidRPr="00A6485D">
        <w:rPr>
          <w:sz w:val="24"/>
          <w:szCs w:val="24"/>
        </w:rPr>
        <w:t>Gonasi</w:t>
      </w:r>
      <w:proofErr w:type="spellEnd"/>
      <w:r w:rsidR="003E6E86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administreres 24 til 48 timer efter optimal stimulering af </w:t>
      </w:r>
      <w:proofErr w:type="spellStart"/>
      <w:r w:rsidRPr="00A6485D">
        <w:rPr>
          <w:sz w:val="24"/>
          <w:szCs w:val="24"/>
        </w:rPr>
        <w:t>follikulær</w:t>
      </w:r>
      <w:proofErr w:type="spellEnd"/>
      <w:r w:rsidRPr="00A6485D">
        <w:rPr>
          <w:sz w:val="24"/>
          <w:szCs w:val="24"/>
        </w:rPr>
        <w:t xml:space="preserve"> vækst er opnået. Patienten anbefales at have coitus samme dag og dagen efter injektionen med </w:t>
      </w:r>
      <w:proofErr w:type="spellStart"/>
      <w:r w:rsidR="003E6E86" w:rsidRPr="00A6485D">
        <w:rPr>
          <w:sz w:val="24"/>
          <w:szCs w:val="24"/>
        </w:rPr>
        <w:t>Gonasi</w:t>
      </w:r>
      <w:proofErr w:type="spellEnd"/>
      <w:r w:rsidR="003E6E86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>.</w:t>
      </w:r>
    </w:p>
    <w:p w14:paraId="4CF0F2D2" w14:textId="77777777" w:rsidR="003E6E86" w:rsidRDefault="003E6E86" w:rsidP="00EE7FAC">
      <w:pPr>
        <w:ind w:left="851"/>
        <w:rPr>
          <w:sz w:val="24"/>
          <w:szCs w:val="24"/>
        </w:rPr>
      </w:pPr>
    </w:p>
    <w:p w14:paraId="53935477" w14:textId="660C3F99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Ved assisteret reproduktionsteknologi såsom in </w:t>
      </w:r>
      <w:proofErr w:type="spellStart"/>
      <w:r w:rsidRPr="00A6485D">
        <w:rPr>
          <w:sz w:val="24"/>
          <w:szCs w:val="24"/>
        </w:rPr>
        <w:t>vitro</w:t>
      </w:r>
      <w:proofErr w:type="spellEnd"/>
      <w:r w:rsidRPr="00A6485D">
        <w:rPr>
          <w:sz w:val="24"/>
          <w:szCs w:val="24"/>
        </w:rPr>
        <w:t xml:space="preserve">-fertilisering (IVF): Et hætteglas (5.000 IE) eller to hætteglas (10.000 IE) af </w:t>
      </w:r>
      <w:proofErr w:type="spellStart"/>
      <w:r w:rsidR="00C577E5">
        <w:rPr>
          <w:sz w:val="24"/>
          <w:szCs w:val="24"/>
        </w:rPr>
        <w:t>Gonasi</w:t>
      </w:r>
      <w:proofErr w:type="spellEnd"/>
      <w:r w:rsidR="00C577E5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administreres 24 til 48 timer efter den sidste administration af et FSH- eller </w:t>
      </w:r>
      <w:proofErr w:type="spellStart"/>
      <w:r w:rsidRPr="00A6485D">
        <w:rPr>
          <w:sz w:val="24"/>
          <w:szCs w:val="24"/>
        </w:rPr>
        <w:t>hMG</w:t>
      </w:r>
      <w:proofErr w:type="spellEnd"/>
      <w:r w:rsidRPr="00A6485D">
        <w:rPr>
          <w:sz w:val="24"/>
          <w:szCs w:val="24"/>
        </w:rPr>
        <w:t xml:space="preserve">-præparat, dvs. når optimal stimulering af </w:t>
      </w:r>
      <w:proofErr w:type="spellStart"/>
      <w:r w:rsidRPr="00A6485D">
        <w:rPr>
          <w:sz w:val="24"/>
          <w:szCs w:val="24"/>
        </w:rPr>
        <w:t>follikulær</w:t>
      </w:r>
      <w:proofErr w:type="spellEnd"/>
      <w:r w:rsidRPr="00A6485D">
        <w:rPr>
          <w:sz w:val="24"/>
          <w:szCs w:val="24"/>
        </w:rPr>
        <w:t xml:space="preserve"> vækst er opnået.</w:t>
      </w:r>
    </w:p>
    <w:p w14:paraId="676658B6" w14:textId="77777777" w:rsidR="003E6E86" w:rsidRDefault="003E6E86" w:rsidP="00EE7FAC">
      <w:pPr>
        <w:ind w:left="851"/>
        <w:rPr>
          <w:i/>
          <w:sz w:val="24"/>
          <w:szCs w:val="24"/>
        </w:rPr>
      </w:pPr>
    </w:p>
    <w:p w14:paraId="561C3192" w14:textId="52A036E2" w:rsidR="00FE25BB" w:rsidRPr="00A6485D" w:rsidRDefault="00FE25BB" w:rsidP="00EE7FAC">
      <w:pPr>
        <w:ind w:left="851"/>
        <w:rPr>
          <w:i/>
          <w:iCs/>
          <w:sz w:val="24"/>
          <w:szCs w:val="24"/>
        </w:rPr>
      </w:pPr>
      <w:r w:rsidRPr="00A6485D">
        <w:rPr>
          <w:i/>
          <w:sz w:val="24"/>
          <w:szCs w:val="24"/>
        </w:rPr>
        <w:t>Pædiatrisk population</w:t>
      </w:r>
    </w:p>
    <w:p w14:paraId="12A68DCD" w14:textId="77777777" w:rsidR="00FE25BB" w:rsidRPr="00A6485D" w:rsidRDefault="00FE25BB" w:rsidP="00EE7FAC">
      <w:pPr>
        <w:ind w:left="851"/>
        <w:rPr>
          <w:sz w:val="24"/>
          <w:szCs w:val="24"/>
          <w:u w:val="single"/>
          <w:lang w:val="de-CH" w:bidi="en-US"/>
        </w:rPr>
      </w:pPr>
      <w:r w:rsidRPr="00A6485D">
        <w:rPr>
          <w:sz w:val="24"/>
          <w:szCs w:val="24"/>
        </w:rPr>
        <w:t>Dette produkt er ikke beregnet til anvendelse til børn.</w:t>
      </w:r>
    </w:p>
    <w:p w14:paraId="569D420D" w14:textId="77777777" w:rsidR="003E6E86" w:rsidRDefault="003E6E86" w:rsidP="00EE7FAC">
      <w:pPr>
        <w:ind w:left="851"/>
        <w:rPr>
          <w:sz w:val="24"/>
          <w:szCs w:val="24"/>
          <w:u w:val="single"/>
        </w:rPr>
      </w:pPr>
    </w:p>
    <w:p w14:paraId="1A9AAA32" w14:textId="5C662B70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Administration</w:t>
      </w:r>
    </w:p>
    <w:p w14:paraId="3A8006E6" w14:textId="77777777" w:rsidR="00FE25BB" w:rsidRPr="00A6485D" w:rsidRDefault="00FE25BB" w:rsidP="00EE7FAC">
      <w:pPr>
        <w:ind w:left="851"/>
        <w:rPr>
          <w:bCs/>
          <w:sz w:val="24"/>
          <w:szCs w:val="24"/>
        </w:rPr>
      </w:pPr>
      <w:r w:rsidRPr="00A6485D">
        <w:rPr>
          <w:sz w:val="24"/>
          <w:szCs w:val="24"/>
        </w:rPr>
        <w:t xml:space="preserve">Efter </w:t>
      </w:r>
      <w:proofErr w:type="spellStart"/>
      <w:r w:rsidRPr="00A6485D">
        <w:rPr>
          <w:sz w:val="24"/>
          <w:szCs w:val="24"/>
        </w:rPr>
        <w:t>rekonstituering</w:t>
      </w:r>
      <w:proofErr w:type="spellEnd"/>
      <w:r w:rsidRPr="00A6485D">
        <w:rPr>
          <w:sz w:val="24"/>
          <w:szCs w:val="24"/>
        </w:rPr>
        <w:t xml:space="preserve"> af pulveret med solvensen skal den endelige opløsning straks administreres ved intramuskulær eller subkutan injektion. Ikke anvendt opløsning skal bortskaffes.</w:t>
      </w:r>
    </w:p>
    <w:p w14:paraId="04FB6C2D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71B76A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4.3</w:t>
      </w:r>
      <w:r w:rsidRPr="00A6485D">
        <w:rPr>
          <w:b/>
          <w:sz w:val="24"/>
          <w:szCs w:val="24"/>
        </w:rPr>
        <w:tab/>
        <w:t>Kontraindikationer</w:t>
      </w:r>
    </w:p>
    <w:p w14:paraId="55BADDB1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Overfølsomhed over det aktive stof eller over for et eller flere af hjælpestofferne anført i pkt. 6.1 (se pkt. 4.4).</w:t>
      </w:r>
    </w:p>
    <w:p w14:paraId="5166C966" w14:textId="77777777" w:rsidR="003E6E86" w:rsidRDefault="003E6E86" w:rsidP="00EE7FAC">
      <w:pPr>
        <w:ind w:left="851"/>
        <w:rPr>
          <w:sz w:val="24"/>
          <w:szCs w:val="24"/>
        </w:rPr>
      </w:pPr>
    </w:p>
    <w:p w14:paraId="7CD7C143" w14:textId="54A17733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Ukontrolleret, ikke-</w:t>
      </w:r>
      <w:proofErr w:type="spellStart"/>
      <w:r w:rsidRPr="00A6485D">
        <w:rPr>
          <w:sz w:val="24"/>
          <w:szCs w:val="24"/>
        </w:rPr>
        <w:t>gonadal</w:t>
      </w:r>
      <w:proofErr w:type="spellEnd"/>
      <w:r w:rsidRPr="00A6485D">
        <w:rPr>
          <w:sz w:val="24"/>
          <w:szCs w:val="24"/>
        </w:rPr>
        <w:t xml:space="preserve"> </w:t>
      </w:r>
      <w:proofErr w:type="spellStart"/>
      <w:r w:rsidRPr="00A6485D">
        <w:rPr>
          <w:sz w:val="24"/>
          <w:szCs w:val="24"/>
        </w:rPr>
        <w:t>endokrinopati</w:t>
      </w:r>
      <w:proofErr w:type="spellEnd"/>
      <w:r w:rsidRPr="00A6485D">
        <w:rPr>
          <w:sz w:val="24"/>
          <w:szCs w:val="24"/>
        </w:rPr>
        <w:t xml:space="preserve"> (f.eks. lidelser i skjoldbruskkirtel, binyrer eller hypofysen).</w:t>
      </w:r>
    </w:p>
    <w:p w14:paraId="68550247" w14:textId="77777777" w:rsidR="003E6E86" w:rsidRDefault="003E6E86" w:rsidP="00EE7FAC">
      <w:pPr>
        <w:ind w:left="851"/>
        <w:rPr>
          <w:sz w:val="24"/>
          <w:szCs w:val="24"/>
        </w:rPr>
      </w:pPr>
    </w:p>
    <w:p w14:paraId="7C1E321B" w14:textId="6F49412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Tumorer i bryst, livmoder eller æggestokke.</w:t>
      </w:r>
    </w:p>
    <w:p w14:paraId="1EFD5F47" w14:textId="77777777" w:rsidR="003E6E86" w:rsidRDefault="003E6E86" w:rsidP="00EE7FAC">
      <w:pPr>
        <w:ind w:left="851"/>
        <w:rPr>
          <w:sz w:val="24"/>
          <w:szCs w:val="24"/>
        </w:rPr>
      </w:pPr>
    </w:p>
    <w:p w14:paraId="2D751EEF" w14:textId="204555E8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Abnorm (ikke-</w:t>
      </w:r>
      <w:proofErr w:type="spellStart"/>
      <w:r w:rsidRPr="00A6485D">
        <w:rPr>
          <w:sz w:val="24"/>
          <w:szCs w:val="24"/>
        </w:rPr>
        <w:t>menstruel</w:t>
      </w:r>
      <w:proofErr w:type="spellEnd"/>
      <w:r w:rsidRPr="00A6485D">
        <w:rPr>
          <w:sz w:val="24"/>
          <w:szCs w:val="24"/>
        </w:rPr>
        <w:t xml:space="preserve">) vaginal blødning </w:t>
      </w:r>
      <w:bookmarkStart w:id="1" w:name="_Hlk43906445"/>
      <w:r w:rsidRPr="00A6485D">
        <w:rPr>
          <w:sz w:val="24"/>
          <w:szCs w:val="24"/>
        </w:rPr>
        <w:t>af ukendt ætiologi</w:t>
      </w:r>
      <w:bookmarkEnd w:id="1"/>
      <w:r w:rsidRPr="00A6485D">
        <w:rPr>
          <w:sz w:val="24"/>
          <w:szCs w:val="24"/>
        </w:rPr>
        <w:t>.</w:t>
      </w:r>
    </w:p>
    <w:p w14:paraId="31F273AF" w14:textId="77777777" w:rsidR="003E6E86" w:rsidRDefault="003E6E86" w:rsidP="00EE7FAC">
      <w:pPr>
        <w:ind w:left="851"/>
        <w:rPr>
          <w:sz w:val="24"/>
          <w:szCs w:val="24"/>
        </w:rPr>
      </w:pPr>
    </w:p>
    <w:p w14:paraId="01308AAC" w14:textId="45C9042F" w:rsidR="00FE25BB" w:rsidRPr="00A6485D" w:rsidRDefault="003E6E86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bør ikke anvendes, hvis det ikke er muligt at opnå en effektiv respons, f.eks. i tilfælde af primært ovariesvigt.</w:t>
      </w:r>
    </w:p>
    <w:p w14:paraId="393D402E" w14:textId="77777777" w:rsidR="00FD0642" w:rsidRDefault="00FD0642" w:rsidP="00EE7FAC">
      <w:pPr>
        <w:ind w:left="851"/>
        <w:rPr>
          <w:sz w:val="24"/>
          <w:szCs w:val="24"/>
        </w:rPr>
      </w:pPr>
    </w:p>
    <w:p w14:paraId="3E44A5C7" w14:textId="3396BF7F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Misdannelser af kønsorganerne, der er uforenelige med graviditet.</w:t>
      </w:r>
    </w:p>
    <w:p w14:paraId="49C7CE29" w14:textId="77777777" w:rsidR="00FD0642" w:rsidRDefault="00FD0642" w:rsidP="00EE7FAC">
      <w:pPr>
        <w:ind w:left="851"/>
        <w:rPr>
          <w:sz w:val="24"/>
          <w:szCs w:val="24"/>
        </w:rPr>
      </w:pPr>
    </w:p>
    <w:p w14:paraId="6A988D19" w14:textId="7DD404C4" w:rsidR="00FE25BB" w:rsidRPr="00A6485D" w:rsidRDefault="00FE25BB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Fibroide</w:t>
      </w:r>
      <w:proofErr w:type="spellEnd"/>
      <w:r w:rsidRPr="00A6485D">
        <w:rPr>
          <w:sz w:val="24"/>
          <w:szCs w:val="24"/>
        </w:rPr>
        <w:t xml:space="preserve"> tumorer i livmoderen, der er uforenelige med graviditet.</w:t>
      </w:r>
    </w:p>
    <w:p w14:paraId="2B0CC08C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4392C1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4.4</w:t>
      </w:r>
      <w:r w:rsidRPr="00A6485D">
        <w:rPr>
          <w:b/>
          <w:sz w:val="24"/>
          <w:szCs w:val="24"/>
        </w:rPr>
        <w:tab/>
        <w:t>Særlige advarsler og forsigtighedsregler vedrørende brugen</w:t>
      </w:r>
    </w:p>
    <w:p w14:paraId="0E4E1240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Interferens med serum- eller urintestning</w:t>
      </w:r>
    </w:p>
    <w:p w14:paraId="66273D0D" w14:textId="77777777" w:rsidR="00FD0642" w:rsidRDefault="00FD0642" w:rsidP="00EE7FAC">
      <w:pPr>
        <w:ind w:left="851"/>
        <w:rPr>
          <w:sz w:val="24"/>
          <w:szCs w:val="24"/>
        </w:rPr>
      </w:pPr>
    </w:p>
    <w:p w14:paraId="641ECE6E" w14:textId="56D82AFA" w:rsidR="00FE25BB" w:rsidRPr="00A6485D" w:rsidRDefault="00FD0642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kan påvirke den immunologiske bestemmelse af serum- eller urinbaseret </w:t>
      </w:r>
      <w:proofErr w:type="spellStart"/>
      <w:r w:rsidR="00FE25BB" w:rsidRPr="00A6485D">
        <w:rPr>
          <w:sz w:val="24"/>
          <w:szCs w:val="24"/>
        </w:rPr>
        <w:t>hCG</w:t>
      </w:r>
      <w:proofErr w:type="spellEnd"/>
      <w:r w:rsidR="00FE25BB" w:rsidRPr="00A6485D">
        <w:rPr>
          <w:sz w:val="24"/>
          <w:szCs w:val="24"/>
        </w:rPr>
        <w:t xml:space="preserve"> op til ti dage efter injektion og kan medføre en falsk positiv graviditetstest.</w:t>
      </w:r>
    </w:p>
    <w:p w14:paraId="11DCE580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0CE2401C" w14:textId="3DF59834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Overfølsomhedsreaktioner</w:t>
      </w:r>
    </w:p>
    <w:p w14:paraId="5EC22618" w14:textId="16D62E8B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Overfølsomhedsreaktioner, både generaliserede og lokale; anafylaksi og </w:t>
      </w:r>
      <w:proofErr w:type="spellStart"/>
      <w:r w:rsidRPr="00A6485D">
        <w:rPr>
          <w:sz w:val="24"/>
          <w:szCs w:val="24"/>
        </w:rPr>
        <w:t>angioødem</w:t>
      </w:r>
      <w:proofErr w:type="spellEnd"/>
      <w:r w:rsidRPr="00A6485D">
        <w:rPr>
          <w:sz w:val="24"/>
          <w:szCs w:val="24"/>
        </w:rPr>
        <w:t xml:space="preserve"> er blevet rapporteret. Hvis der er mistanke om en overfølsomhedsreaktion, skal behandlingen med </w:t>
      </w:r>
      <w:proofErr w:type="spellStart"/>
      <w:r w:rsidR="00FD0642" w:rsidRPr="00A6485D">
        <w:rPr>
          <w:sz w:val="24"/>
          <w:szCs w:val="24"/>
        </w:rPr>
        <w:t>Gonasi</w:t>
      </w:r>
      <w:proofErr w:type="spellEnd"/>
      <w:r w:rsidR="00FD0642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seponeres, og der skal undersøges for andre mulige årsager til hændelsen (se pkt. 4.3).</w:t>
      </w:r>
    </w:p>
    <w:p w14:paraId="27E74FE8" w14:textId="7EF0C64A" w:rsidR="00C577E5" w:rsidRDefault="00C577E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75F412CB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593C6233" w14:textId="625D1479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proofErr w:type="spellStart"/>
      <w:r w:rsidRPr="00A6485D">
        <w:rPr>
          <w:sz w:val="24"/>
          <w:szCs w:val="24"/>
          <w:u w:val="single"/>
        </w:rPr>
        <w:t>Ektopisk</w:t>
      </w:r>
      <w:proofErr w:type="spellEnd"/>
      <w:r w:rsidRPr="00A6485D">
        <w:rPr>
          <w:sz w:val="24"/>
          <w:szCs w:val="24"/>
          <w:u w:val="single"/>
        </w:rPr>
        <w:t xml:space="preserve"> graviditet</w:t>
      </w:r>
    </w:p>
    <w:p w14:paraId="7C90258D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Infertile kvinder, der behandles med assisteret reproduktionsteknologi (ART), har en øget risiko for </w:t>
      </w:r>
      <w:proofErr w:type="spellStart"/>
      <w:r w:rsidRPr="00A6485D">
        <w:rPr>
          <w:sz w:val="24"/>
          <w:szCs w:val="24"/>
        </w:rPr>
        <w:t>ektopisk</w:t>
      </w:r>
      <w:proofErr w:type="spellEnd"/>
      <w:r w:rsidRPr="00A6485D">
        <w:rPr>
          <w:sz w:val="24"/>
          <w:szCs w:val="24"/>
        </w:rPr>
        <w:t xml:space="preserve"> graviditet. Det er derfor vigtigt tidligt i forløbet at bestemme ved hjælp af ultralydsscanning, at en graviditet er intrauterin. Forud for behandling af patienter for utilstrækkelig endogen stimulering af </w:t>
      </w:r>
      <w:proofErr w:type="spellStart"/>
      <w:r w:rsidRPr="00A6485D">
        <w:rPr>
          <w:sz w:val="24"/>
          <w:szCs w:val="24"/>
        </w:rPr>
        <w:t>gonaderne</w:t>
      </w:r>
      <w:proofErr w:type="spellEnd"/>
      <w:r w:rsidRPr="00A6485D">
        <w:rPr>
          <w:sz w:val="24"/>
          <w:szCs w:val="24"/>
        </w:rPr>
        <w:t>, skal der foretages en undersøgelse med henblik på at udelukke anatomiske abnormiteter i kønsorganerne eller ikke-</w:t>
      </w:r>
      <w:proofErr w:type="spellStart"/>
      <w:r w:rsidRPr="00A6485D">
        <w:rPr>
          <w:sz w:val="24"/>
          <w:szCs w:val="24"/>
        </w:rPr>
        <w:t>gonadale</w:t>
      </w:r>
      <w:proofErr w:type="spellEnd"/>
      <w:r w:rsidRPr="00A6485D">
        <w:rPr>
          <w:sz w:val="24"/>
          <w:szCs w:val="24"/>
        </w:rPr>
        <w:t xml:space="preserve"> </w:t>
      </w:r>
      <w:proofErr w:type="spellStart"/>
      <w:r w:rsidRPr="00A6485D">
        <w:rPr>
          <w:sz w:val="24"/>
          <w:szCs w:val="24"/>
        </w:rPr>
        <w:t>endokrinopatier</w:t>
      </w:r>
      <w:proofErr w:type="spellEnd"/>
      <w:r w:rsidRPr="00A6485D">
        <w:rPr>
          <w:sz w:val="24"/>
          <w:szCs w:val="24"/>
        </w:rPr>
        <w:t xml:space="preserve"> (for eksempel lidelser i skjoldbruskkirtel eller binyrer, diabetes). Primært ovariesvigt bør udelukkes ved bestemmelse af </w:t>
      </w:r>
      <w:proofErr w:type="spellStart"/>
      <w:r w:rsidRPr="00A6485D">
        <w:rPr>
          <w:sz w:val="24"/>
          <w:szCs w:val="24"/>
        </w:rPr>
        <w:t>gonadotropinniveauer</w:t>
      </w:r>
      <w:proofErr w:type="spellEnd"/>
      <w:r w:rsidRPr="00A6485D">
        <w:rPr>
          <w:sz w:val="24"/>
          <w:szCs w:val="24"/>
        </w:rPr>
        <w:t>.</w:t>
      </w:r>
    </w:p>
    <w:p w14:paraId="4F5F5894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40FD890F" w14:textId="31C4362E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Flerfoldsgraviditeter, flerfoldsfødsler og abort</w:t>
      </w:r>
    </w:p>
    <w:p w14:paraId="597FE195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Ved graviditeter efter induceret ægløsning med </w:t>
      </w:r>
      <w:proofErr w:type="spellStart"/>
      <w:r w:rsidRPr="00A6485D">
        <w:rPr>
          <w:sz w:val="24"/>
          <w:szCs w:val="24"/>
        </w:rPr>
        <w:t>gonadotrope</w:t>
      </w:r>
      <w:proofErr w:type="spellEnd"/>
      <w:r w:rsidRPr="00A6485D">
        <w:rPr>
          <w:sz w:val="24"/>
          <w:szCs w:val="24"/>
        </w:rPr>
        <w:t xml:space="preserve"> præparater er der en øget risiko for abort og flerfoldsgraviditeter. Flerfoldsgraviditet, især i mangefold, medfører en øget risiko for ugunstigt udfald for moder og foster. Forældrene bør informeres om den mulige risiko for flerfoldsgraviditeter før påbegyndelse af behandlingen.</w:t>
      </w:r>
    </w:p>
    <w:p w14:paraId="08A76461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19FE08DE" w14:textId="17D605C0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Medfødte misdannelser</w:t>
      </w:r>
    </w:p>
    <w:p w14:paraId="41A6EA2A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Forekomsten af medfødte misdannelser efter assisteret reproduktionsteknologi (ART) menes at være højere end efter spontan undfangelse. Dette menes at skyldes faktorer, der bidrager til </w:t>
      </w:r>
      <w:proofErr w:type="spellStart"/>
      <w:r w:rsidRPr="00A6485D">
        <w:rPr>
          <w:sz w:val="24"/>
          <w:szCs w:val="24"/>
        </w:rPr>
        <w:t>infertilitet</w:t>
      </w:r>
      <w:proofErr w:type="spellEnd"/>
      <w:r w:rsidRPr="00A6485D">
        <w:rPr>
          <w:sz w:val="24"/>
          <w:szCs w:val="24"/>
        </w:rPr>
        <w:t xml:space="preserve"> (for eksempel moderens alder, sædkarakteristika) og en øget forekomst af flerfoldsgraviditeter.</w:t>
      </w:r>
    </w:p>
    <w:p w14:paraId="7C3F0240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3B722BF8" w14:textId="18C2979C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proofErr w:type="spellStart"/>
      <w:r w:rsidRPr="00A6485D">
        <w:rPr>
          <w:sz w:val="24"/>
          <w:szCs w:val="24"/>
          <w:u w:val="single"/>
        </w:rPr>
        <w:t>Vaskulære</w:t>
      </w:r>
      <w:proofErr w:type="spellEnd"/>
      <w:r w:rsidRPr="00A6485D">
        <w:rPr>
          <w:sz w:val="24"/>
          <w:szCs w:val="24"/>
          <w:u w:val="single"/>
        </w:rPr>
        <w:t xml:space="preserve"> komplikationer</w:t>
      </w:r>
    </w:p>
    <w:p w14:paraId="260D9359" w14:textId="1F44BF95" w:rsidR="00FE25BB" w:rsidRPr="00A6485D" w:rsidRDefault="00FE25BB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Tromboemboliske</w:t>
      </w:r>
      <w:proofErr w:type="spellEnd"/>
      <w:r w:rsidRPr="00A6485D">
        <w:rPr>
          <w:sz w:val="24"/>
          <w:szCs w:val="24"/>
        </w:rPr>
        <w:t xml:space="preserve"> hændelser, både i forbindelse med eller uden </w:t>
      </w:r>
      <w:proofErr w:type="spellStart"/>
      <w:r w:rsidRPr="00A6485D">
        <w:rPr>
          <w:sz w:val="24"/>
          <w:szCs w:val="24"/>
        </w:rPr>
        <w:t>ovarielt</w:t>
      </w:r>
      <w:proofErr w:type="spellEnd"/>
      <w:r w:rsidRPr="00A6485D">
        <w:rPr>
          <w:sz w:val="24"/>
          <w:szCs w:val="24"/>
        </w:rPr>
        <w:t xml:space="preserve"> </w:t>
      </w:r>
      <w:proofErr w:type="spellStart"/>
      <w:r w:rsidRPr="00A6485D">
        <w:rPr>
          <w:sz w:val="24"/>
          <w:szCs w:val="24"/>
        </w:rPr>
        <w:t>hyperstimulations</w:t>
      </w:r>
      <w:r w:rsidR="001920FF">
        <w:rPr>
          <w:sz w:val="24"/>
          <w:szCs w:val="24"/>
        </w:rPr>
        <w:softHyphen/>
      </w:r>
      <w:r w:rsidRPr="00A6485D">
        <w:rPr>
          <w:sz w:val="24"/>
          <w:szCs w:val="24"/>
        </w:rPr>
        <w:t>syndrom</w:t>
      </w:r>
      <w:proofErr w:type="spellEnd"/>
      <w:r w:rsidRPr="00A6485D">
        <w:rPr>
          <w:sz w:val="24"/>
          <w:szCs w:val="24"/>
        </w:rPr>
        <w:t xml:space="preserve"> (OHSS), er rapporteret efter behandling med </w:t>
      </w:r>
      <w:proofErr w:type="spellStart"/>
      <w:r w:rsidRPr="00A6485D">
        <w:rPr>
          <w:sz w:val="24"/>
          <w:szCs w:val="24"/>
        </w:rPr>
        <w:t>gonadotropiner</w:t>
      </w:r>
      <w:proofErr w:type="spellEnd"/>
      <w:r w:rsidRPr="00A6485D">
        <w:rPr>
          <w:sz w:val="24"/>
          <w:szCs w:val="24"/>
        </w:rPr>
        <w:t xml:space="preserve">, herunder </w:t>
      </w:r>
      <w:proofErr w:type="spellStart"/>
      <w:r w:rsidR="00FD0642" w:rsidRPr="00A6485D">
        <w:rPr>
          <w:sz w:val="24"/>
          <w:szCs w:val="24"/>
        </w:rPr>
        <w:t>Gonasi</w:t>
      </w:r>
      <w:proofErr w:type="spellEnd"/>
      <w:r w:rsidR="00FD0642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. </w:t>
      </w:r>
      <w:proofErr w:type="spellStart"/>
      <w:r w:rsidRPr="00A6485D">
        <w:rPr>
          <w:sz w:val="24"/>
          <w:szCs w:val="24"/>
        </w:rPr>
        <w:t>Intravaskulær</w:t>
      </w:r>
      <w:proofErr w:type="spellEnd"/>
      <w:r w:rsidRPr="00A6485D">
        <w:rPr>
          <w:sz w:val="24"/>
          <w:szCs w:val="24"/>
        </w:rPr>
        <w:t xml:space="preserve"> trombose, som kan opstå i vener eller arterier, kan give nedsat blodgennemstrømning til vitale organer og ekstremiteter. Kvinder med generelt anerkendte risikofaktorer for trombose, såsom en personlig eller familiær anamnese, svær fedme eller </w:t>
      </w:r>
      <w:proofErr w:type="spellStart"/>
      <w:r w:rsidRPr="00A6485D">
        <w:rPr>
          <w:sz w:val="24"/>
          <w:szCs w:val="24"/>
        </w:rPr>
        <w:t>trombofili</w:t>
      </w:r>
      <w:proofErr w:type="spellEnd"/>
      <w:r w:rsidRPr="00A6485D">
        <w:rPr>
          <w:sz w:val="24"/>
          <w:szCs w:val="24"/>
        </w:rPr>
        <w:t xml:space="preserve">, kan have en øget risiko for venøse eller arterielle </w:t>
      </w:r>
      <w:proofErr w:type="spellStart"/>
      <w:r w:rsidRPr="00A6485D">
        <w:rPr>
          <w:sz w:val="24"/>
          <w:szCs w:val="24"/>
        </w:rPr>
        <w:t>tromboemboliske</w:t>
      </w:r>
      <w:proofErr w:type="spellEnd"/>
      <w:r w:rsidRPr="00A6485D">
        <w:rPr>
          <w:sz w:val="24"/>
          <w:szCs w:val="24"/>
        </w:rPr>
        <w:t xml:space="preserve"> hændelser under eller efter behandling med </w:t>
      </w:r>
      <w:proofErr w:type="spellStart"/>
      <w:r w:rsidRPr="00A6485D">
        <w:rPr>
          <w:sz w:val="24"/>
          <w:szCs w:val="24"/>
        </w:rPr>
        <w:t>gonadotropiner</w:t>
      </w:r>
      <w:proofErr w:type="spellEnd"/>
      <w:r w:rsidRPr="00A6485D">
        <w:rPr>
          <w:sz w:val="24"/>
          <w:szCs w:val="24"/>
        </w:rPr>
        <w:t>. Hos disse kvinder bør fordelene ved IVF-behandling afvejes mod risikoen. Det skal dog bemærkes, at en graviditet i sig selv medfører en øget risiko for trombose.</w:t>
      </w:r>
    </w:p>
    <w:p w14:paraId="722AC7B4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71DA9765" w14:textId="1B965AEC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  <w:u w:val="single"/>
        </w:rPr>
        <w:t>Benigne og maligne neoplasmer</w:t>
      </w:r>
    </w:p>
    <w:p w14:paraId="69EEE444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Der er rapporteret om både benigne og maligne neoplasmer i ovarier og andre forplantningsorganer hos kvinder, som har gennemgået behandlingsregimer med adskillige lægemidler i forbindelse med fertilitetsbehandling. Virkningen af </w:t>
      </w:r>
      <w:proofErr w:type="spellStart"/>
      <w:r w:rsidRPr="00A6485D">
        <w:rPr>
          <w:sz w:val="24"/>
          <w:szCs w:val="24"/>
        </w:rPr>
        <w:t>gonadotropiner</w:t>
      </w:r>
      <w:proofErr w:type="spellEnd"/>
      <w:r w:rsidRPr="00A6485D">
        <w:rPr>
          <w:sz w:val="24"/>
          <w:szCs w:val="24"/>
        </w:rPr>
        <w:t xml:space="preserve"> på udviklingen af benigne og maligne neoplasmer hos infertile kvinder er endnu ikke klarlagt.</w:t>
      </w:r>
    </w:p>
    <w:p w14:paraId="175181DD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0CB7F82C" w14:textId="6E3C3887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 xml:space="preserve">Lægeundersøgelser </w:t>
      </w:r>
    </w:p>
    <w:p w14:paraId="08B85FF1" w14:textId="6D1500BA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En graviditetstest kan give et falsk positivt resultat i op til 10 dage efter administration af </w:t>
      </w:r>
      <w:proofErr w:type="spellStart"/>
      <w:r w:rsidR="00FD0642" w:rsidRPr="00A6485D">
        <w:rPr>
          <w:sz w:val="24"/>
          <w:szCs w:val="24"/>
        </w:rPr>
        <w:t>Gonasi</w:t>
      </w:r>
      <w:proofErr w:type="spellEnd"/>
      <w:r w:rsidR="00FD0642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>.</w:t>
      </w:r>
    </w:p>
    <w:p w14:paraId="05CA9594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24455D9F" w14:textId="2CEFC7A3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proofErr w:type="spellStart"/>
      <w:r w:rsidRPr="00A6485D">
        <w:rPr>
          <w:sz w:val="24"/>
          <w:szCs w:val="24"/>
          <w:u w:val="single"/>
        </w:rPr>
        <w:t>Ovarielt</w:t>
      </w:r>
      <w:proofErr w:type="spellEnd"/>
      <w:r w:rsidRPr="00A6485D">
        <w:rPr>
          <w:sz w:val="24"/>
          <w:szCs w:val="24"/>
          <w:u w:val="single"/>
        </w:rPr>
        <w:t xml:space="preserve"> </w:t>
      </w:r>
      <w:proofErr w:type="spellStart"/>
      <w:r w:rsidRPr="00A6485D">
        <w:rPr>
          <w:sz w:val="24"/>
          <w:szCs w:val="24"/>
          <w:u w:val="single"/>
        </w:rPr>
        <w:t>hyperstimulationssyndrom</w:t>
      </w:r>
      <w:proofErr w:type="spellEnd"/>
      <w:r w:rsidRPr="00A6485D">
        <w:rPr>
          <w:sz w:val="24"/>
          <w:szCs w:val="24"/>
          <w:u w:val="single"/>
        </w:rPr>
        <w:t xml:space="preserve"> (OHSS) </w:t>
      </w:r>
    </w:p>
    <w:p w14:paraId="142551AA" w14:textId="2B76886D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OHSS er en lidelse, der adskiller sig fra ukompliceret forstørrelse af ovarierne. De kliniske tegn og symptomer på let eller moderat OHSS er </w:t>
      </w:r>
      <w:proofErr w:type="spellStart"/>
      <w:r w:rsidRPr="00A6485D">
        <w:rPr>
          <w:sz w:val="24"/>
          <w:szCs w:val="24"/>
        </w:rPr>
        <w:t>abdominalsmerter</w:t>
      </w:r>
      <w:proofErr w:type="spellEnd"/>
      <w:r w:rsidRPr="00A6485D">
        <w:rPr>
          <w:sz w:val="24"/>
          <w:szCs w:val="24"/>
        </w:rPr>
        <w:t xml:space="preserve">, kvalme, diarre, let til moderat forstørrelse af ovarierne samt ovariecyster. Svær OHSS kan være livstruende. Kliniske tegn og symptomer på svært OHSS er store ovariecyster, akutte </w:t>
      </w:r>
      <w:proofErr w:type="spellStart"/>
      <w:r w:rsidRPr="00A6485D">
        <w:rPr>
          <w:sz w:val="24"/>
          <w:szCs w:val="24"/>
        </w:rPr>
        <w:t>abdominal</w:t>
      </w:r>
      <w:r w:rsidR="001920FF">
        <w:rPr>
          <w:sz w:val="24"/>
          <w:szCs w:val="24"/>
        </w:rPr>
        <w:softHyphen/>
      </w:r>
      <w:r w:rsidRPr="00A6485D">
        <w:rPr>
          <w:sz w:val="24"/>
          <w:szCs w:val="24"/>
        </w:rPr>
        <w:t>smerter</w:t>
      </w:r>
      <w:proofErr w:type="spellEnd"/>
      <w:r w:rsidRPr="00A6485D">
        <w:rPr>
          <w:sz w:val="24"/>
          <w:szCs w:val="24"/>
        </w:rPr>
        <w:t xml:space="preserve">, </w:t>
      </w:r>
      <w:proofErr w:type="spellStart"/>
      <w:r w:rsidRPr="00A6485D">
        <w:rPr>
          <w:sz w:val="24"/>
          <w:szCs w:val="24"/>
        </w:rPr>
        <w:t>ascites</w:t>
      </w:r>
      <w:proofErr w:type="spellEnd"/>
      <w:r w:rsidRPr="00A6485D">
        <w:rPr>
          <w:sz w:val="24"/>
          <w:szCs w:val="24"/>
        </w:rPr>
        <w:t xml:space="preserve">, </w:t>
      </w:r>
      <w:proofErr w:type="spellStart"/>
      <w:r w:rsidRPr="00A6485D">
        <w:rPr>
          <w:sz w:val="24"/>
          <w:szCs w:val="24"/>
        </w:rPr>
        <w:t>pleuraeffusion</w:t>
      </w:r>
      <w:proofErr w:type="spellEnd"/>
      <w:r w:rsidRPr="00A6485D">
        <w:rPr>
          <w:sz w:val="24"/>
          <w:szCs w:val="24"/>
        </w:rPr>
        <w:t xml:space="preserve">, </w:t>
      </w:r>
      <w:proofErr w:type="spellStart"/>
      <w:r w:rsidRPr="00A6485D">
        <w:rPr>
          <w:sz w:val="24"/>
          <w:szCs w:val="24"/>
        </w:rPr>
        <w:t>hydrothorax</w:t>
      </w:r>
      <w:proofErr w:type="spellEnd"/>
      <w:r w:rsidRPr="00A6485D">
        <w:rPr>
          <w:sz w:val="24"/>
          <w:szCs w:val="24"/>
        </w:rPr>
        <w:t xml:space="preserve">, dyspnø, </w:t>
      </w:r>
      <w:proofErr w:type="spellStart"/>
      <w:r w:rsidRPr="00A6485D">
        <w:rPr>
          <w:sz w:val="24"/>
          <w:szCs w:val="24"/>
        </w:rPr>
        <w:t>oliguri</w:t>
      </w:r>
      <w:proofErr w:type="spellEnd"/>
      <w:r w:rsidRPr="00A6485D">
        <w:rPr>
          <w:sz w:val="24"/>
          <w:szCs w:val="24"/>
        </w:rPr>
        <w:t xml:space="preserve">, hæmatologiske abnormiteter og vægtøgning. I sjældne tilfælde kan der opstå venøs eller arteriel </w:t>
      </w:r>
      <w:proofErr w:type="spellStart"/>
      <w:r w:rsidRPr="00A6485D">
        <w:rPr>
          <w:sz w:val="24"/>
          <w:szCs w:val="24"/>
        </w:rPr>
        <w:t>tromboemboli</w:t>
      </w:r>
      <w:proofErr w:type="spellEnd"/>
      <w:r w:rsidRPr="00A6485D">
        <w:rPr>
          <w:sz w:val="24"/>
          <w:szCs w:val="24"/>
        </w:rPr>
        <w:t xml:space="preserve"> i forbindelse med OHSS. Midlertidige unormale resultater af leverfunktionstest, der tyder på </w:t>
      </w:r>
      <w:r w:rsidRPr="00A6485D">
        <w:rPr>
          <w:sz w:val="24"/>
          <w:szCs w:val="24"/>
        </w:rPr>
        <w:lastRenderedPageBreak/>
        <w:t>nedsat leverfunktion med eller uden morfologiske ændringer i leverbiopsien, er også rapporteret i forbindelse med OHSS.</w:t>
      </w:r>
    </w:p>
    <w:p w14:paraId="2BC0B88C" w14:textId="77777777" w:rsidR="00FD0642" w:rsidRDefault="00FD0642" w:rsidP="00EE7FAC">
      <w:pPr>
        <w:ind w:left="851"/>
        <w:rPr>
          <w:sz w:val="24"/>
          <w:szCs w:val="24"/>
        </w:rPr>
      </w:pPr>
    </w:p>
    <w:p w14:paraId="76BAA35F" w14:textId="722CD3F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OHSS kan forårsages af administration af humant </w:t>
      </w:r>
      <w:proofErr w:type="spellStart"/>
      <w:r w:rsidRPr="00A6485D">
        <w:rPr>
          <w:sz w:val="24"/>
          <w:szCs w:val="24"/>
        </w:rPr>
        <w:t>choriongonadotropin</w:t>
      </w:r>
      <w:proofErr w:type="spellEnd"/>
      <w:r w:rsidRPr="00A6485D">
        <w:rPr>
          <w:sz w:val="24"/>
          <w:szCs w:val="24"/>
        </w:rPr>
        <w:t xml:space="preserve"> (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) og af graviditet (endogent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). Tidligt OHSS opstår normalt inden for 10 dage efter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-administration og kan være forbundet med for højt ovarierespons på </w:t>
      </w:r>
      <w:proofErr w:type="spellStart"/>
      <w:r w:rsidRPr="00A6485D">
        <w:rPr>
          <w:sz w:val="24"/>
          <w:szCs w:val="24"/>
        </w:rPr>
        <w:t>gonadotropin</w:t>
      </w:r>
      <w:r w:rsidR="006371C2">
        <w:rPr>
          <w:sz w:val="24"/>
          <w:szCs w:val="24"/>
        </w:rPr>
        <w:softHyphen/>
      </w:r>
      <w:r w:rsidRPr="00A6485D">
        <w:rPr>
          <w:sz w:val="24"/>
          <w:szCs w:val="24"/>
        </w:rPr>
        <w:t>stimulation</w:t>
      </w:r>
      <w:proofErr w:type="spellEnd"/>
      <w:r w:rsidRPr="00A6485D">
        <w:rPr>
          <w:sz w:val="24"/>
          <w:szCs w:val="24"/>
        </w:rPr>
        <w:t xml:space="preserve">. Sent OHSS opstår senere end 10 dage efter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-administration som følge af hormonelle ændringer i forbindelse med graviditet. På grund af risikoen for at udvikle OHSS skal patienterne følges i mindst 2 uger efter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>-administration.</w:t>
      </w:r>
    </w:p>
    <w:p w14:paraId="63A25CC3" w14:textId="77777777" w:rsidR="00FD0642" w:rsidRDefault="00FD0642" w:rsidP="00EE7FAC">
      <w:pPr>
        <w:ind w:left="851"/>
        <w:rPr>
          <w:sz w:val="24"/>
          <w:szCs w:val="24"/>
        </w:rPr>
      </w:pPr>
    </w:p>
    <w:p w14:paraId="711A71B0" w14:textId="76397718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Kvinder med kendte risikofaktorer for højt ovarierespons kan være særligt tilbøjelige til at udvikle OHSS under eller efter behandling med </w:t>
      </w:r>
      <w:proofErr w:type="spellStart"/>
      <w:r w:rsidR="00FD0642" w:rsidRPr="00A6485D">
        <w:rPr>
          <w:sz w:val="24"/>
          <w:szCs w:val="24"/>
        </w:rPr>
        <w:t>Gonasi</w:t>
      </w:r>
      <w:proofErr w:type="spellEnd"/>
      <w:r w:rsidR="00FD0642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>. Tæt observation for tidlige tegn og symptomer på OHSS anbefales hos kvinder i den første ovariestimulationscyklus, for hvem risikofaktorer kun er delvist kendte.</w:t>
      </w:r>
    </w:p>
    <w:p w14:paraId="6D2E942B" w14:textId="77777777" w:rsidR="00FD0642" w:rsidRDefault="00FD0642" w:rsidP="00EE7FAC">
      <w:pPr>
        <w:ind w:left="851"/>
        <w:rPr>
          <w:sz w:val="24"/>
          <w:szCs w:val="24"/>
        </w:rPr>
      </w:pPr>
    </w:p>
    <w:p w14:paraId="1E8868A5" w14:textId="159AC2C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For at nedbringe risikoen for OHSS skal der foretages vurderinger ved ultralydsscanning af den </w:t>
      </w:r>
      <w:proofErr w:type="spellStart"/>
      <w:r w:rsidRPr="00A6485D">
        <w:rPr>
          <w:sz w:val="24"/>
          <w:szCs w:val="24"/>
        </w:rPr>
        <w:t>follikulære</w:t>
      </w:r>
      <w:proofErr w:type="spellEnd"/>
      <w:r w:rsidRPr="00A6485D">
        <w:rPr>
          <w:sz w:val="24"/>
          <w:szCs w:val="24"/>
        </w:rPr>
        <w:t xml:space="preserve"> udvikling før behandling og efterfølgende med regelmæssige intervaller under behandlingen. Samtidig bestemmelse af </w:t>
      </w:r>
      <w:proofErr w:type="spellStart"/>
      <w:r w:rsidRPr="00A6485D">
        <w:rPr>
          <w:sz w:val="24"/>
          <w:szCs w:val="24"/>
        </w:rPr>
        <w:t>østradiol</w:t>
      </w:r>
      <w:proofErr w:type="spellEnd"/>
      <w:r w:rsidRPr="00A6485D">
        <w:rPr>
          <w:sz w:val="24"/>
          <w:szCs w:val="24"/>
        </w:rPr>
        <w:t xml:space="preserve"> i serum kan være nyttig. Der er en øget risiko for OHSS ved ART, hvis man observerer 18 eller flere follikler på 11 mm i diameter eller derover. Ved 30 eller flere follikler i alt tilrådes det at stoppe administrationen af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. </w:t>
      </w:r>
    </w:p>
    <w:p w14:paraId="5C90D4B5" w14:textId="77777777" w:rsidR="00FD0642" w:rsidRDefault="00FD0642" w:rsidP="00EE7FAC">
      <w:pPr>
        <w:ind w:left="851"/>
        <w:rPr>
          <w:sz w:val="24"/>
          <w:szCs w:val="24"/>
        </w:rPr>
      </w:pPr>
    </w:p>
    <w:p w14:paraId="72235795" w14:textId="7E2E91C0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Det er vigtigt at overholde det anbefalede dosis- og behandlingsregime for </w:t>
      </w:r>
      <w:proofErr w:type="spellStart"/>
      <w:r w:rsidR="006371C2">
        <w:rPr>
          <w:sz w:val="24"/>
          <w:szCs w:val="24"/>
        </w:rPr>
        <w:t>Gonasi</w:t>
      </w:r>
      <w:proofErr w:type="spellEnd"/>
      <w:r w:rsidR="006371C2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og overvåge ovarieresponsen nøje for at nedbringe risikoen for OHSS. Hvis der udvikles OHSS, bør relevant standardbehandling af OHSS implementeres og følges. </w:t>
      </w:r>
    </w:p>
    <w:p w14:paraId="2E101F6F" w14:textId="77777777" w:rsidR="00FD0642" w:rsidRDefault="00FD0642" w:rsidP="00EE7FAC">
      <w:pPr>
        <w:ind w:left="851"/>
        <w:rPr>
          <w:sz w:val="24"/>
          <w:szCs w:val="24"/>
          <w:u w:val="single"/>
        </w:rPr>
      </w:pPr>
    </w:p>
    <w:p w14:paraId="50E3E092" w14:textId="3B3CFF04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Ovarietorsion</w:t>
      </w:r>
    </w:p>
    <w:p w14:paraId="512B1B2D" w14:textId="076EE36D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Ovarietorsion er blevet rapporteret efter behandling med </w:t>
      </w:r>
      <w:proofErr w:type="spellStart"/>
      <w:r w:rsidRPr="00A6485D">
        <w:rPr>
          <w:sz w:val="24"/>
          <w:szCs w:val="24"/>
        </w:rPr>
        <w:t>gonadotropiner</w:t>
      </w:r>
      <w:proofErr w:type="spellEnd"/>
      <w:r w:rsidRPr="00A6485D">
        <w:rPr>
          <w:sz w:val="24"/>
          <w:szCs w:val="24"/>
        </w:rPr>
        <w:t xml:space="preserve">, herunder </w:t>
      </w:r>
      <w:proofErr w:type="spellStart"/>
      <w:r w:rsidR="00FD0642" w:rsidRPr="00A6485D">
        <w:rPr>
          <w:sz w:val="24"/>
          <w:szCs w:val="24"/>
        </w:rPr>
        <w:t>Gonasi</w:t>
      </w:r>
      <w:proofErr w:type="spellEnd"/>
      <w:r w:rsidR="00FD0642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. Ovarietorsion kan være relateret til andre tilstande, som for eksempel OHSS, graviditet, tidligere operation i abdomen, ovarietorsion i anamnesen og tidligere eller eksisterende ovariecyster. Skader på ovarierne forårsaget af den nedsatte blodforsyning kan begrænses ved tidlig diagnosticering og omgående </w:t>
      </w:r>
      <w:proofErr w:type="spellStart"/>
      <w:r w:rsidRPr="00A6485D">
        <w:rPr>
          <w:sz w:val="24"/>
          <w:szCs w:val="24"/>
        </w:rPr>
        <w:t>detorsion</w:t>
      </w:r>
      <w:proofErr w:type="spellEnd"/>
      <w:r w:rsidRPr="00A6485D">
        <w:rPr>
          <w:sz w:val="24"/>
          <w:szCs w:val="24"/>
        </w:rPr>
        <w:t>.</w:t>
      </w:r>
    </w:p>
    <w:p w14:paraId="59B90CB0" w14:textId="77777777" w:rsidR="004B3565" w:rsidRDefault="004B3565" w:rsidP="00EE7FAC">
      <w:pPr>
        <w:ind w:left="851"/>
        <w:rPr>
          <w:sz w:val="24"/>
          <w:szCs w:val="24"/>
          <w:u w:val="single"/>
        </w:rPr>
      </w:pPr>
    </w:p>
    <w:p w14:paraId="7DBE7AE4" w14:textId="10C4673B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Sporbarhed</w:t>
      </w:r>
    </w:p>
    <w:p w14:paraId="0F7D6C1A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For at forbedre sporbarheden af biologiske lægemidler skal det administrerede produkts navn og batchnummer tydeligt registreres.</w:t>
      </w:r>
    </w:p>
    <w:p w14:paraId="59A8CAE1" w14:textId="77777777" w:rsidR="00FE25BB" w:rsidRPr="00A6485D" w:rsidRDefault="00FE25BB" w:rsidP="00EE7FAC">
      <w:pPr>
        <w:ind w:left="851"/>
        <w:rPr>
          <w:sz w:val="24"/>
          <w:szCs w:val="24"/>
          <w:lang w:bidi="en-US"/>
        </w:rPr>
      </w:pPr>
    </w:p>
    <w:p w14:paraId="3B7C04BD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Yderligere oplysninger</w:t>
      </w:r>
    </w:p>
    <w:p w14:paraId="1FCE88D3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Dette lægemiddel indeholder mindre end 1 mmol (23 mg) natrium pr. </w:t>
      </w:r>
      <w:proofErr w:type="spellStart"/>
      <w:r w:rsidRPr="00A6485D">
        <w:rPr>
          <w:sz w:val="24"/>
          <w:szCs w:val="24"/>
        </w:rPr>
        <w:t>rekonstitueret</w:t>
      </w:r>
      <w:proofErr w:type="spellEnd"/>
      <w:r w:rsidRPr="00A6485D">
        <w:rPr>
          <w:sz w:val="24"/>
          <w:szCs w:val="24"/>
        </w:rPr>
        <w:t xml:space="preserve"> opløsning, dvs. det er i det væsentlige natriumfrit.</w:t>
      </w:r>
    </w:p>
    <w:p w14:paraId="2812B343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73D5E6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4.5</w:t>
      </w:r>
      <w:r w:rsidRPr="00A6485D">
        <w:rPr>
          <w:b/>
          <w:sz w:val="24"/>
          <w:szCs w:val="24"/>
        </w:rPr>
        <w:tab/>
        <w:t>Interaktion med andre lægemidler og andre former for interaktion</w:t>
      </w:r>
    </w:p>
    <w:p w14:paraId="4A9841E0" w14:textId="50442049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Der er ikke udført specifikke interaktionsstudier med </w:t>
      </w:r>
      <w:proofErr w:type="spellStart"/>
      <w:r w:rsidR="006371C2">
        <w:rPr>
          <w:sz w:val="24"/>
          <w:szCs w:val="24"/>
        </w:rPr>
        <w:t>Gonasi</w:t>
      </w:r>
      <w:proofErr w:type="spellEnd"/>
      <w:r w:rsidR="006371C2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>. Dog er der ikke blevet rapporteret om klinisk signifikante interaktioner med andre lægemidler.</w:t>
      </w:r>
    </w:p>
    <w:p w14:paraId="4F0F6494" w14:textId="77777777" w:rsidR="004B3565" w:rsidRDefault="004B3565" w:rsidP="00EE7FAC">
      <w:pPr>
        <w:ind w:left="851"/>
        <w:rPr>
          <w:sz w:val="24"/>
          <w:szCs w:val="24"/>
        </w:rPr>
      </w:pPr>
    </w:p>
    <w:p w14:paraId="4E240A16" w14:textId="2B289601" w:rsidR="00FE25BB" w:rsidRPr="00A6485D" w:rsidRDefault="00FE25BB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 kan krydsreagere i </w:t>
      </w:r>
      <w:proofErr w:type="spellStart"/>
      <w:r w:rsidRPr="00A6485D">
        <w:rPr>
          <w:sz w:val="24"/>
          <w:szCs w:val="24"/>
        </w:rPr>
        <w:t>radioimmunoanalysen</w:t>
      </w:r>
      <w:proofErr w:type="spellEnd"/>
      <w:r w:rsidRPr="00A6485D">
        <w:rPr>
          <w:sz w:val="24"/>
          <w:szCs w:val="24"/>
        </w:rPr>
        <w:t xml:space="preserve"> af </w:t>
      </w:r>
      <w:proofErr w:type="spellStart"/>
      <w:r w:rsidRPr="00A6485D">
        <w:rPr>
          <w:sz w:val="24"/>
          <w:szCs w:val="24"/>
        </w:rPr>
        <w:t>gonadotropiner</w:t>
      </w:r>
      <w:proofErr w:type="spellEnd"/>
      <w:r w:rsidRPr="00A6485D">
        <w:rPr>
          <w:sz w:val="24"/>
          <w:szCs w:val="24"/>
        </w:rPr>
        <w:t xml:space="preserve">, navnlig </w:t>
      </w:r>
      <w:proofErr w:type="spellStart"/>
      <w:r w:rsidRPr="00A6485D">
        <w:rPr>
          <w:sz w:val="24"/>
          <w:szCs w:val="24"/>
        </w:rPr>
        <w:t>luteiniserende</w:t>
      </w:r>
      <w:proofErr w:type="spellEnd"/>
      <w:r w:rsidRPr="00A6485D">
        <w:rPr>
          <w:sz w:val="24"/>
          <w:szCs w:val="24"/>
        </w:rPr>
        <w:t xml:space="preserve"> hormon. Læger bør gøre laboratoriet opmærksom på patienter, der behandles med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, hvis der ønskes </w:t>
      </w:r>
      <w:proofErr w:type="spellStart"/>
      <w:r w:rsidRPr="00A6485D">
        <w:rPr>
          <w:sz w:val="24"/>
          <w:szCs w:val="24"/>
        </w:rPr>
        <w:t>gonadotropinniveauer</w:t>
      </w:r>
      <w:proofErr w:type="spellEnd"/>
      <w:r w:rsidRPr="00A6485D">
        <w:rPr>
          <w:sz w:val="24"/>
          <w:szCs w:val="24"/>
        </w:rPr>
        <w:t>.</w:t>
      </w:r>
    </w:p>
    <w:p w14:paraId="33E59119" w14:textId="77777777" w:rsidR="004B3565" w:rsidRDefault="004B3565" w:rsidP="00EE7FAC">
      <w:pPr>
        <w:ind w:left="851"/>
        <w:rPr>
          <w:sz w:val="24"/>
          <w:szCs w:val="24"/>
        </w:rPr>
      </w:pPr>
    </w:p>
    <w:p w14:paraId="57A3D46B" w14:textId="4D618AF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En graviditetstest kan give et falsk positivt resultat i op til 10 dage efter administration af </w:t>
      </w:r>
      <w:proofErr w:type="spellStart"/>
      <w:r w:rsidR="004B3565" w:rsidRPr="00A6485D">
        <w:rPr>
          <w:sz w:val="24"/>
          <w:szCs w:val="24"/>
        </w:rPr>
        <w:t>Gonasi</w:t>
      </w:r>
      <w:proofErr w:type="spellEnd"/>
      <w:r w:rsidR="004B3565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>.</w:t>
      </w:r>
    </w:p>
    <w:p w14:paraId="3CADB131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2BE681" w14:textId="7E8AC87B" w:rsidR="004B3565" w:rsidRDefault="0035184D" w:rsidP="0035184D">
      <w:pPr>
        <w:ind w:left="851" w:hanging="851"/>
        <w:rPr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1741FAA6" w14:textId="77777777" w:rsidR="0035184D" w:rsidRDefault="0035184D" w:rsidP="00EE7FAC">
      <w:pPr>
        <w:ind w:left="851"/>
        <w:rPr>
          <w:sz w:val="24"/>
          <w:szCs w:val="24"/>
          <w:u w:val="single"/>
        </w:rPr>
      </w:pPr>
    </w:p>
    <w:p w14:paraId="4B6651D3" w14:textId="1E78B199" w:rsidR="00FE25BB" w:rsidRPr="004B3565" w:rsidRDefault="00FE25BB" w:rsidP="00EE7FAC">
      <w:pPr>
        <w:ind w:left="851"/>
        <w:rPr>
          <w:sz w:val="24"/>
          <w:szCs w:val="24"/>
          <w:u w:val="single"/>
        </w:rPr>
      </w:pPr>
      <w:r w:rsidRPr="004B3565">
        <w:rPr>
          <w:sz w:val="24"/>
          <w:szCs w:val="24"/>
          <w:u w:val="single"/>
        </w:rPr>
        <w:t>Graviditet</w:t>
      </w:r>
    </w:p>
    <w:p w14:paraId="2F5DDF33" w14:textId="44F5049E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Der er ingen indikation for brug af </w:t>
      </w:r>
      <w:proofErr w:type="spellStart"/>
      <w:r w:rsidR="004B3565" w:rsidRPr="00A6485D">
        <w:rPr>
          <w:sz w:val="24"/>
          <w:szCs w:val="24"/>
        </w:rPr>
        <w:t>Gonasi</w:t>
      </w:r>
      <w:proofErr w:type="spellEnd"/>
      <w:r w:rsidR="004B3565" w:rsidRPr="00A6485D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under graviditet. Der foreligger ingen kliniske data om anvendelse af </w:t>
      </w:r>
      <w:proofErr w:type="spellStart"/>
      <w:r w:rsidR="004B3565" w:rsidRPr="00A6485D">
        <w:rPr>
          <w:sz w:val="24"/>
          <w:szCs w:val="24"/>
        </w:rPr>
        <w:t>Gonasi</w:t>
      </w:r>
      <w:proofErr w:type="spellEnd"/>
      <w:r w:rsidR="004B3565" w:rsidRPr="00A6485D">
        <w:rPr>
          <w:sz w:val="24"/>
          <w:szCs w:val="24"/>
        </w:rPr>
        <w:t xml:space="preserve"> Set </w:t>
      </w:r>
      <w:r w:rsidRPr="00A6485D">
        <w:rPr>
          <w:sz w:val="24"/>
          <w:szCs w:val="24"/>
        </w:rPr>
        <w:t>til gravide. Den potentielle risiko for mennesker er ukendt.</w:t>
      </w:r>
    </w:p>
    <w:p w14:paraId="593E0445" w14:textId="77777777" w:rsidR="004B3565" w:rsidRDefault="004B3565" w:rsidP="00EE7FAC">
      <w:pPr>
        <w:ind w:left="851"/>
        <w:rPr>
          <w:sz w:val="24"/>
          <w:szCs w:val="24"/>
        </w:rPr>
      </w:pPr>
    </w:p>
    <w:p w14:paraId="3F486F4F" w14:textId="45368FF8" w:rsidR="00FE25BB" w:rsidRPr="004B3565" w:rsidRDefault="00FE25BB" w:rsidP="00EE7FAC">
      <w:pPr>
        <w:ind w:left="851"/>
        <w:rPr>
          <w:sz w:val="24"/>
          <w:szCs w:val="24"/>
          <w:u w:val="single"/>
        </w:rPr>
      </w:pPr>
      <w:r w:rsidRPr="004B3565">
        <w:rPr>
          <w:sz w:val="24"/>
          <w:szCs w:val="24"/>
          <w:u w:val="single"/>
        </w:rPr>
        <w:t xml:space="preserve">Amning </w:t>
      </w:r>
    </w:p>
    <w:p w14:paraId="58E303FD" w14:textId="68CA388B" w:rsidR="00FE25BB" w:rsidRPr="00A6485D" w:rsidRDefault="004B3565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er ikke indiceret under amning. Der foreligger ingen data om udskillelse af humant </w:t>
      </w:r>
      <w:proofErr w:type="spellStart"/>
      <w:r w:rsidR="00FE25BB" w:rsidRPr="00A6485D">
        <w:rPr>
          <w:sz w:val="24"/>
          <w:szCs w:val="24"/>
        </w:rPr>
        <w:t>choriongonadotropin</w:t>
      </w:r>
      <w:proofErr w:type="spellEnd"/>
      <w:r w:rsidR="00FE25BB" w:rsidRPr="00A6485D">
        <w:rPr>
          <w:sz w:val="24"/>
          <w:szCs w:val="24"/>
        </w:rPr>
        <w:t xml:space="preserve"> i brystmælk.</w:t>
      </w:r>
    </w:p>
    <w:p w14:paraId="3B108211" w14:textId="77777777" w:rsidR="004B3565" w:rsidRDefault="004B3565" w:rsidP="00EE7FAC">
      <w:pPr>
        <w:ind w:left="851"/>
        <w:rPr>
          <w:sz w:val="24"/>
          <w:szCs w:val="24"/>
        </w:rPr>
      </w:pPr>
    </w:p>
    <w:p w14:paraId="181CD608" w14:textId="3B36A97A" w:rsidR="00FE25BB" w:rsidRPr="004B3565" w:rsidRDefault="00FE25BB" w:rsidP="00EE7FAC">
      <w:pPr>
        <w:ind w:left="851"/>
        <w:rPr>
          <w:sz w:val="24"/>
          <w:szCs w:val="24"/>
          <w:u w:val="single"/>
        </w:rPr>
      </w:pPr>
      <w:r w:rsidRPr="004B3565">
        <w:rPr>
          <w:sz w:val="24"/>
          <w:szCs w:val="24"/>
          <w:u w:val="single"/>
        </w:rPr>
        <w:t xml:space="preserve">Fertilitet </w:t>
      </w:r>
    </w:p>
    <w:p w14:paraId="254BB192" w14:textId="54C88F0E" w:rsidR="00FE25BB" w:rsidRPr="00A6485D" w:rsidRDefault="004B3565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er indiceret til brug ved </w:t>
      </w:r>
      <w:proofErr w:type="spellStart"/>
      <w:r w:rsidR="00FE25BB" w:rsidRPr="00A6485D">
        <w:rPr>
          <w:sz w:val="24"/>
          <w:szCs w:val="24"/>
        </w:rPr>
        <w:t>infertilitet</w:t>
      </w:r>
      <w:proofErr w:type="spellEnd"/>
      <w:r w:rsidR="00FE25BB" w:rsidRPr="00A6485D">
        <w:rPr>
          <w:sz w:val="24"/>
          <w:szCs w:val="24"/>
        </w:rPr>
        <w:t xml:space="preserve"> (se pkt. 4.1).</w:t>
      </w:r>
    </w:p>
    <w:p w14:paraId="55CCDDA4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362E03" w14:textId="2EDD07F0" w:rsidR="004B3565" w:rsidRDefault="0035184D" w:rsidP="0035184D">
      <w:pPr>
        <w:ind w:left="851" w:hanging="851"/>
        <w:rPr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  <w:r>
        <w:rPr>
          <w:sz w:val="24"/>
          <w:szCs w:val="24"/>
        </w:rPr>
        <w:t xml:space="preserve"> </w:t>
      </w:r>
      <w:r w:rsidR="004B3565">
        <w:rPr>
          <w:sz w:val="24"/>
          <w:szCs w:val="24"/>
        </w:rPr>
        <w:t>Ikke mærkning.</w:t>
      </w:r>
    </w:p>
    <w:p w14:paraId="7D07C5E8" w14:textId="77777777" w:rsidR="001920FF" w:rsidRDefault="001920FF" w:rsidP="00FA56C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421B2214" w14:textId="0D57D15E" w:rsidR="00FE25BB" w:rsidRPr="00A6485D" w:rsidRDefault="004B3565" w:rsidP="00FA56C5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3CC55E48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BED455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4.8</w:t>
      </w:r>
      <w:r w:rsidRPr="00A6485D">
        <w:rPr>
          <w:b/>
          <w:sz w:val="24"/>
          <w:szCs w:val="24"/>
        </w:rPr>
        <w:tab/>
        <w:t>Bivirkninger</w:t>
      </w:r>
    </w:p>
    <w:p w14:paraId="3CC4EE34" w14:textId="726BEF35" w:rsidR="00FE25BB" w:rsidRPr="00A6485D" w:rsidRDefault="00FA56C5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Gonasi</w:t>
      </w:r>
      <w:proofErr w:type="spellEnd"/>
      <w:r w:rsidRPr="00A6485D"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kan forårsage reaktioner på injektionsstedet. Disse er normalt milde og forbigående. Den mest alvorlige bivirkning er </w:t>
      </w:r>
      <w:proofErr w:type="spellStart"/>
      <w:r w:rsidR="00FE25BB" w:rsidRPr="00A6485D">
        <w:rPr>
          <w:sz w:val="24"/>
          <w:szCs w:val="24"/>
        </w:rPr>
        <w:t>ovarielt</w:t>
      </w:r>
      <w:proofErr w:type="spellEnd"/>
      <w:r w:rsidR="00FE25BB" w:rsidRPr="00A6485D">
        <w:rPr>
          <w:sz w:val="24"/>
          <w:szCs w:val="24"/>
        </w:rPr>
        <w:t xml:space="preserve"> </w:t>
      </w:r>
      <w:proofErr w:type="spellStart"/>
      <w:r w:rsidR="00FE25BB" w:rsidRPr="00A6485D">
        <w:rPr>
          <w:sz w:val="24"/>
          <w:szCs w:val="24"/>
        </w:rPr>
        <w:t>hyperstimulationssyndrom</w:t>
      </w:r>
      <w:proofErr w:type="spellEnd"/>
      <w:r w:rsidR="00FE25BB" w:rsidRPr="00A6485D">
        <w:rPr>
          <w:sz w:val="24"/>
          <w:szCs w:val="24"/>
        </w:rPr>
        <w:t xml:space="preserve"> (OHSS), som i de fleste tilfælde kan håndteres med succes, hvis det straks diagnosticeres og behandles (se pkt. 4.4).</w:t>
      </w:r>
    </w:p>
    <w:p w14:paraId="631F205B" w14:textId="77777777" w:rsidR="00FA56C5" w:rsidRDefault="00FA56C5" w:rsidP="00EE7FAC">
      <w:pPr>
        <w:ind w:left="851"/>
        <w:rPr>
          <w:sz w:val="24"/>
          <w:szCs w:val="24"/>
        </w:rPr>
      </w:pPr>
    </w:p>
    <w:p w14:paraId="69F321D8" w14:textId="31C4B9F8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Bivirkningerne er anført herunder med hyppigheder i henhold til </w:t>
      </w:r>
      <w:proofErr w:type="spellStart"/>
      <w:r w:rsidRPr="00A6485D">
        <w:rPr>
          <w:sz w:val="24"/>
          <w:szCs w:val="24"/>
        </w:rPr>
        <w:t>MedDRA</w:t>
      </w:r>
      <w:proofErr w:type="spellEnd"/>
      <w:r w:rsidRPr="00A6485D">
        <w:rPr>
          <w:sz w:val="24"/>
          <w:szCs w:val="24"/>
        </w:rPr>
        <w:t xml:space="preserve">-konventionen og systemorganklasser i henhold til </w:t>
      </w:r>
      <w:proofErr w:type="spellStart"/>
      <w:r w:rsidRPr="00A6485D">
        <w:rPr>
          <w:sz w:val="24"/>
          <w:szCs w:val="24"/>
        </w:rPr>
        <w:t>MedDRA</w:t>
      </w:r>
      <w:proofErr w:type="spellEnd"/>
      <w:r w:rsidRPr="00A6485D">
        <w:rPr>
          <w:sz w:val="24"/>
          <w:szCs w:val="24"/>
        </w:rPr>
        <w:t xml:space="preserve">-databasen. </w:t>
      </w:r>
    </w:p>
    <w:p w14:paraId="117A0764" w14:textId="77777777" w:rsidR="00FA56C5" w:rsidRDefault="00FA56C5" w:rsidP="00EE7FAC">
      <w:pPr>
        <w:ind w:left="851"/>
        <w:rPr>
          <w:sz w:val="24"/>
          <w:szCs w:val="24"/>
        </w:rPr>
      </w:pPr>
    </w:p>
    <w:p w14:paraId="2F665D52" w14:textId="3C2924EA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Inden for hver systemorganklasse er bivirkningerne ordnet efter hyppighed. De hyppigste reaktioner er angivet først ved hjælp af følgende konvention:</w:t>
      </w:r>
    </w:p>
    <w:p w14:paraId="1C0601CA" w14:textId="77777777" w:rsidR="00FA56C5" w:rsidRDefault="00FA56C5" w:rsidP="00EE7FAC">
      <w:pPr>
        <w:ind w:left="851"/>
        <w:rPr>
          <w:sz w:val="24"/>
          <w:szCs w:val="24"/>
        </w:rPr>
      </w:pPr>
    </w:p>
    <w:p w14:paraId="0516E451" w14:textId="149A77DA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Meget almindelig (</w:t>
      </w:r>
      <w:r w:rsidRPr="00A6485D">
        <w:rPr>
          <w:sz w:val="24"/>
          <w:szCs w:val="24"/>
        </w:rPr>
        <w:sym w:font="Symbol" w:char="F0B3"/>
      </w:r>
      <w:r w:rsidRPr="00A6485D">
        <w:rPr>
          <w:sz w:val="24"/>
          <w:szCs w:val="24"/>
        </w:rPr>
        <w:t xml:space="preserve"> 1/10); almindelig (</w:t>
      </w:r>
      <w:r w:rsidRPr="00A6485D">
        <w:rPr>
          <w:sz w:val="24"/>
          <w:szCs w:val="24"/>
        </w:rPr>
        <w:sym w:font="Symbol" w:char="F0B3"/>
      </w:r>
      <w:r w:rsidRPr="00A6485D">
        <w:rPr>
          <w:sz w:val="24"/>
          <w:szCs w:val="24"/>
        </w:rPr>
        <w:t xml:space="preserve">1/100 til </w:t>
      </w:r>
      <w:r w:rsidR="00FA56C5">
        <w:rPr>
          <w:sz w:val="24"/>
          <w:szCs w:val="24"/>
        </w:rPr>
        <w:t>&lt;</w:t>
      </w:r>
      <w:r w:rsidRPr="00A6485D">
        <w:rPr>
          <w:sz w:val="24"/>
          <w:szCs w:val="24"/>
        </w:rPr>
        <w:t>1/10); ikke almindelig (</w:t>
      </w:r>
      <w:r w:rsidRPr="00A6485D">
        <w:rPr>
          <w:sz w:val="24"/>
          <w:szCs w:val="24"/>
        </w:rPr>
        <w:sym w:font="Symbol" w:char="F0B3"/>
      </w:r>
      <w:r w:rsidRPr="00A6485D">
        <w:rPr>
          <w:sz w:val="24"/>
          <w:szCs w:val="24"/>
        </w:rPr>
        <w:t xml:space="preserve">1/1.000 til </w:t>
      </w:r>
      <w:r w:rsidR="00FA56C5">
        <w:rPr>
          <w:sz w:val="24"/>
          <w:szCs w:val="24"/>
        </w:rPr>
        <w:t>&lt;</w:t>
      </w:r>
      <w:r w:rsidRPr="00A6485D">
        <w:rPr>
          <w:sz w:val="24"/>
          <w:szCs w:val="24"/>
        </w:rPr>
        <w:t>1/100); sjælden (</w:t>
      </w:r>
      <w:r w:rsidRPr="00A6485D">
        <w:rPr>
          <w:sz w:val="24"/>
          <w:szCs w:val="24"/>
        </w:rPr>
        <w:sym w:font="Symbol" w:char="F0B3"/>
      </w:r>
      <w:r w:rsidRPr="00A6485D">
        <w:rPr>
          <w:sz w:val="24"/>
          <w:szCs w:val="24"/>
        </w:rPr>
        <w:t xml:space="preserve">1/10.000 til </w:t>
      </w:r>
      <w:r w:rsidR="00FA56C5">
        <w:rPr>
          <w:sz w:val="24"/>
          <w:szCs w:val="24"/>
        </w:rPr>
        <w:t>&lt;</w:t>
      </w:r>
      <w:r w:rsidRPr="00A6485D">
        <w:rPr>
          <w:sz w:val="24"/>
          <w:szCs w:val="24"/>
        </w:rPr>
        <w:t>1/1.000); meget sjælden (</w:t>
      </w:r>
      <w:r w:rsidRPr="00A6485D">
        <w:rPr>
          <w:sz w:val="24"/>
          <w:szCs w:val="24"/>
        </w:rPr>
        <w:sym w:font="Symbol" w:char="F0A3"/>
      </w:r>
      <w:r w:rsidRPr="00A6485D">
        <w:rPr>
          <w:sz w:val="24"/>
          <w:szCs w:val="24"/>
        </w:rPr>
        <w:t>1/10.000), ikke kendt (kan ikke estimeres ud fra forhåndenværende data).</w:t>
      </w:r>
    </w:p>
    <w:p w14:paraId="5A419C84" w14:textId="77777777" w:rsidR="00FE25BB" w:rsidRPr="00A6485D" w:rsidRDefault="00FE25BB" w:rsidP="00EE7FAC">
      <w:pPr>
        <w:ind w:left="851"/>
        <w:rPr>
          <w:sz w:val="24"/>
          <w:szCs w:val="24"/>
          <w:lang w:bidi="en-US"/>
        </w:rPr>
      </w:pPr>
    </w:p>
    <w:p w14:paraId="221E4A6C" w14:textId="77777777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Immunsystemet</w:t>
      </w:r>
    </w:p>
    <w:p w14:paraId="7F19DC3C" w14:textId="77777777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Almindelig</w:t>
      </w:r>
      <w:r w:rsidRPr="00A6485D">
        <w:rPr>
          <w:sz w:val="24"/>
          <w:szCs w:val="24"/>
        </w:rPr>
        <w:tab/>
        <w:t>Lokaliseret overfølsomhedsreaktion</w:t>
      </w:r>
    </w:p>
    <w:p w14:paraId="1E22E32F" w14:textId="2F3A9FB2" w:rsidR="00FE25BB" w:rsidRPr="00A6485D" w:rsidRDefault="00FE25BB" w:rsidP="00FA56C5">
      <w:pPr>
        <w:tabs>
          <w:tab w:val="left" w:pos="2835"/>
        </w:tabs>
        <w:ind w:left="2831" w:hanging="1980"/>
        <w:rPr>
          <w:sz w:val="24"/>
          <w:szCs w:val="24"/>
        </w:rPr>
      </w:pPr>
      <w:r w:rsidRPr="00A6485D">
        <w:rPr>
          <w:sz w:val="24"/>
          <w:szCs w:val="24"/>
        </w:rPr>
        <w:t>Sjælden</w:t>
      </w:r>
      <w:r w:rsidRPr="00A6485D">
        <w:rPr>
          <w:sz w:val="24"/>
          <w:szCs w:val="24"/>
        </w:rPr>
        <w:tab/>
      </w:r>
      <w:r w:rsidR="00FA56C5">
        <w:rPr>
          <w:sz w:val="24"/>
          <w:szCs w:val="24"/>
        </w:rPr>
        <w:tab/>
      </w:r>
      <w:r w:rsidRPr="00A6485D">
        <w:rPr>
          <w:sz w:val="24"/>
          <w:szCs w:val="24"/>
        </w:rPr>
        <w:t xml:space="preserve">Generaliseret udslæt eller feber, generel overfølsomhedsreaktion, </w:t>
      </w:r>
      <w:proofErr w:type="spellStart"/>
      <w:r w:rsidRPr="00A6485D">
        <w:rPr>
          <w:sz w:val="24"/>
          <w:szCs w:val="24"/>
        </w:rPr>
        <w:t>anafylaktisk</w:t>
      </w:r>
      <w:proofErr w:type="spellEnd"/>
      <w:r w:rsidRPr="00A6485D">
        <w:rPr>
          <w:sz w:val="24"/>
          <w:szCs w:val="24"/>
        </w:rPr>
        <w:t xml:space="preserve"> reaktion</w:t>
      </w:r>
    </w:p>
    <w:p w14:paraId="394A6F8B" w14:textId="77777777" w:rsidR="00FA56C5" w:rsidRDefault="00FA56C5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3B723F71" w14:textId="04F4AAD5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Mave-tarm-kanalen</w:t>
      </w:r>
    </w:p>
    <w:p w14:paraId="28F8A2D3" w14:textId="42ACE43A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proofErr w:type="gramStart"/>
      <w:r w:rsidRPr="00A6485D">
        <w:rPr>
          <w:sz w:val="24"/>
          <w:szCs w:val="24"/>
        </w:rPr>
        <w:t>Almindelig</w:t>
      </w:r>
      <w:proofErr w:type="gramEnd"/>
      <w:r w:rsidRPr="00A6485D">
        <w:rPr>
          <w:sz w:val="24"/>
          <w:szCs w:val="24"/>
        </w:rPr>
        <w:tab/>
        <w:t>Mavesmerter, kvalme, opkastning og diarré</w:t>
      </w:r>
    </w:p>
    <w:p w14:paraId="658B4B25" w14:textId="52C4174E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almindelig</w:t>
      </w:r>
      <w:r w:rsidRPr="00A6485D">
        <w:rPr>
          <w:sz w:val="24"/>
          <w:szCs w:val="24"/>
        </w:rPr>
        <w:tab/>
      </w:r>
      <w:proofErr w:type="spellStart"/>
      <w:r w:rsidRPr="00A6485D">
        <w:rPr>
          <w:sz w:val="24"/>
          <w:szCs w:val="24"/>
        </w:rPr>
        <w:t>Ascites</w:t>
      </w:r>
      <w:proofErr w:type="spellEnd"/>
    </w:p>
    <w:p w14:paraId="330A5A65" w14:textId="77777777" w:rsidR="00FA56C5" w:rsidRDefault="00FA56C5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2BCECA1F" w14:textId="77A5E9E1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Almene symptomer og reaktioner på administrationsstedet</w:t>
      </w:r>
    </w:p>
    <w:p w14:paraId="372CCE85" w14:textId="77777777" w:rsidR="00FE25BB" w:rsidRPr="00A6485D" w:rsidRDefault="00FE25BB" w:rsidP="00FA56C5">
      <w:pPr>
        <w:tabs>
          <w:tab w:val="left" w:pos="2835"/>
        </w:tabs>
        <w:ind w:left="2608" w:hanging="1757"/>
        <w:rPr>
          <w:sz w:val="24"/>
          <w:szCs w:val="24"/>
        </w:rPr>
      </w:pPr>
      <w:r w:rsidRPr="00A6485D">
        <w:rPr>
          <w:sz w:val="24"/>
          <w:szCs w:val="24"/>
        </w:rPr>
        <w:t>Almindelig</w:t>
      </w:r>
      <w:r w:rsidRPr="00A6485D">
        <w:rPr>
          <w:sz w:val="24"/>
          <w:szCs w:val="24"/>
        </w:rPr>
        <w:tab/>
        <w:t>Blå mærker, smerter, rødme, hævelse og kløe på injektionsstedet, ødem</w:t>
      </w:r>
    </w:p>
    <w:p w14:paraId="4CFB9431" w14:textId="77777777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lang w:bidi="en-US"/>
        </w:rPr>
      </w:pPr>
    </w:p>
    <w:p w14:paraId="6A70E767" w14:textId="47BEDC2F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almindelig</w:t>
      </w:r>
      <w:r w:rsidRPr="00A6485D">
        <w:rPr>
          <w:sz w:val="24"/>
          <w:szCs w:val="24"/>
        </w:rPr>
        <w:tab/>
        <w:t>Træthed</w:t>
      </w:r>
    </w:p>
    <w:p w14:paraId="54444526" w14:textId="60976A48" w:rsidR="006371C2" w:rsidRDefault="006371C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BD53D39" w14:textId="77777777" w:rsidR="00FA56C5" w:rsidRDefault="00FA56C5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086A3ED3" w14:textId="467A1354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Nervesystemet</w:t>
      </w:r>
    </w:p>
    <w:p w14:paraId="6EF8E769" w14:textId="0011D08B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Almindelig </w:t>
      </w:r>
      <w:r w:rsidRPr="00A6485D">
        <w:rPr>
          <w:sz w:val="24"/>
          <w:szCs w:val="24"/>
        </w:rPr>
        <w:tab/>
        <w:t>Hovedpine</w:t>
      </w:r>
    </w:p>
    <w:p w14:paraId="3D14F75B" w14:textId="77777777" w:rsidR="00FA56C5" w:rsidRDefault="00FA56C5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5DD2A147" w14:textId="5A1D9CCB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Psykiske forstyrrelser</w:t>
      </w:r>
    </w:p>
    <w:p w14:paraId="7481FDA0" w14:textId="768A3160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Almindelig</w:t>
      </w:r>
      <w:r w:rsidRPr="00A6485D">
        <w:rPr>
          <w:sz w:val="24"/>
          <w:szCs w:val="24"/>
        </w:rPr>
        <w:tab/>
        <w:t>Humørsvingninger</w:t>
      </w:r>
    </w:p>
    <w:p w14:paraId="39EBE55A" w14:textId="2E953327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almindelig</w:t>
      </w:r>
      <w:r w:rsidRPr="00A6485D">
        <w:rPr>
          <w:sz w:val="24"/>
          <w:szCs w:val="24"/>
        </w:rPr>
        <w:tab/>
        <w:t>Uro</w:t>
      </w:r>
    </w:p>
    <w:p w14:paraId="19B9D33B" w14:textId="77777777" w:rsidR="00FA56C5" w:rsidRDefault="00FA56C5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29CA7BD9" w14:textId="68622F34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Det reproduktive system og mammae</w:t>
      </w:r>
    </w:p>
    <w:p w14:paraId="57FDF89D" w14:textId="66C3BE8E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Almindelig</w:t>
      </w:r>
      <w:r w:rsidRPr="00A6485D">
        <w:rPr>
          <w:sz w:val="24"/>
          <w:szCs w:val="24"/>
        </w:rPr>
        <w:tab/>
        <w:t>Mildt eller moderat OHSS, smertefulde bryster, ovariecyster</w:t>
      </w:r>
    </w:p>
    <w:p w14:paraId="4537957F" w14:textId="7E722A6B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almindelig</w:t>
      </w:r>
      <w:r w:rsidRPr="00A6485D">
        <w:rPr>
          <w:sz w:val="24"/>
          <w:szCs w:val="24"/>
        </w:rPr>
        <w:tab/>
        <w:t>Svært OHSS</w:t>
      </w:r>
    </w:p>
    <w:p w14:paraId="006F09A6" w14:textId="2AE4863C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Sjælden</w:t>
      </w:r>
      <w:r w:rsidRPr="00A6485D">
        <w:rPr>
          <w:sz w:val="24"/>
          <w:szCs w:val="24"/>
        </w:rPr>
        <w:tab/>
        <w:t>Ruptur af ovariecyste</w:t>
      </w:r>
    </w:p>
    <w:p w14:paraId="0B34B41A" w14:textId="77777777" w:rsidR="00A90C63" w:rsidRDefault="00A90C63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3ED1D6FC" w14:textId="1BFE70A9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 xml:space="preserve">Luftveje, thorax og </w:t>
      </w:r>
      <w:proofErr w:type="spellStart"/>
      <w:r w:rsidRPr="00A6485D">
        <w:rPr>
          <w:sz w:val="24"/>
          <w:szCs w:val="24"/>
          <w:u w:val="single"/>
        </w:rPr>
        <w:t>mediastinum</w:t>
      </w:r>
      <w:proofErr w:type="spellEnd"/>
    </w:p>
    <w:p w14:paraId="13314570" w14:textId="7BC228B5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almindelig</w:t>
      </w:r>
      <w:r w:rsidRPr="00A6485D">
        <w:rPr>
          <w:sz w:val="24"/>
          <w:szCs w:val="24"/>
        </w:rPr>
        <w:tab/>
      </w:r>
      <w:proofErr w:type="spellStart"/>
      <w:r w:rsidRPr="00A6485D">
        <w:rPr>
          <w:sz w:val="24"/>
          <w:szCs w:val="24"/>
        </w:rPr>
        <w:t>Pleuraeffusion</w:t>
      </w:r>
      <w:proofErr w:type="spellEnd"/>
      <w:r w:rsidRPr="00A6485D">
        <w:rPr>
          <w:sz w:val="24"/>
          <w:szCs w:val="24"/>
        </w:rPr>
        <w:t xml:space="preserve"> associeret med svært OHSS</w:t>
      </w:r>
    </w:p>
    <w:p w14:paraId="686E7702" w14:textId="77777777" w:rsidR="00A90C63" w:rsidRDefault="00A90C63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644187FE" w14:textId="7FEDFF77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Hud og subkutane væv</w:t>
      </w:r>
    </w:p>
    <w:p w14:paraId="410AFEDA" w14:textId="476F5E4D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Sjælden</w:t>
      </w:r>
      <w:r w:rsidRPr="00A6485D">
        <w:rPr>
          <w:sz w:val="24"/>
          <w:szCs w:val="24"/>
        </w:rPr>
        <w:tab/>
      </w:r>
      <w:proofErr w:type="spellStart"/>
      <w:r w:rsidRPr="00A6485D">
        <w:rPr>
          <w:sz w:val="24"/>
          <w:szCs w:val="24"/>
        </w:rPr>
        <w:t>Angioødem</w:t>
      </w:r>
      <w:proofErr w:type="spellEnd"/>
    </w:p>
    <w:p w14:paraId="3A12331B" w14:textId="77777777" w:rsidR="00A90C63" w:rsidRDefault="00A90C63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5DDFDA65" w14:textId="70D86E73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Undersøgelser</w:t>
      </w:r>
    </w:p>
    <w:p w14:paraId="6FCA2F6D" w14:textId="16818BD6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almindelig</w:t>
      </w:r>
      <w:r w:rsidRPr="00A6485D">
        <w:rPr>
          <w:sz w:val="24"/>
          <w:szCs w:val="24"/>
        </w:rPr>
        <w:tab/>
        <w:t>Vægtøgning forbundet med svært OHSS</w:t>
      </w:r>
    </w:p>
    <w:p w14:paraId="046F0E0E" w14:textId="77777777" w:rsidR="00A90C63" w:rsidRDefault="00A90C63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</w:p>
    <w:p w14:paraId="3A8A6787" w14:textId="673F5A10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  <w:u w:val="single"/>
        </w:rPr>
      </w:pPr>
      <w:proofErr w:type="spellStart"/>
      <w:r w:rsidRPr="00A6485D">
        <w:rPr>
          <w:sz w:val="24"/>
          <w:szCs w:val="24"/>
          <w:u w:val="single"/>
        </w:rPr>
        <w:t>Vaskulære</w:t>
      </w:r>
      <w:proofErr w:type="spellEnd"/>
      <w:r w:rsidRPr="00A6485D">
        <w:rPr>
          <w:sz w:val="24"/>
          <w:szCs w:val="24"/>
          <w:u w:val="single"/>
        </w:rPr>
        <w:t xml:space="preserve"> sygdomme</w:t>
      </w:r>
    </w:p>
    <w:p w14:paraId="6AB2747E" w14:textId="27E57C3C" w:rsidR="00FE25BB" w:rsidRPr="00A6485D" w:rsidRDefault="00FE25BB" w:rsidP="00FA56C5">
      <w:pPr>
        <w:tabs>
          <w:tab w:val="left" w:pos="2835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Sjælden</w:t>
      </w:r>
      <w:r w:rsidRPr="00A6485D">
        <w:rPr>
          <w:sz w:val="24"/>
          <w:szCs w:val="24"/>
        </w:rPr>
        <w:tab/>
      </w:r>
      <w:proofErr w:type="spellStart"/>
      <w:r w:rsidRPr="00A6485D">
        <w:rPr>
          <w:sz w:val="24"/>
          <w:szCs w:val="24"/>
        </w:rPr>
        <w:t>Tromboemboli</w:t>
      </w:r>
      <w:proofErr w:type="spellEnd"/>
      <w:r w:rsidRPr="00A6485D">
        <w:rPr>
          <w:sz w:val="24"/>
          <w:szCs w:val="24"/>
        </w:rPr>
        <w:t xml:space="preserve"> associeret med OHSS</w:t>
      </w:r>
    </w:p>
    <w:p w14:paraId="0A30588F" w14:textId="77777777" w:rsidR="00A90C63" w:rsidRDefault="00A90C63" w:rsidP="00EE7FAC">
      <w:pPr>
        <w:ind w:left="851"/>
        <w:rPr>
          <w:sz w:val="24"/>
          <w:szCs w:val="24"/>
          <w:u w:val="single"/>
        </w:rPr>
      </w:pPr>
    </w:p>
    <w:p w14:paraId="5B2BE66E" w14:textId="337AD454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>Indberetning af formodede bivirkninger</w:t>
      </w:r>
    </w:p>
    <w:p w14:paraId="3E33EFF0" w14:textId="2068001F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A6485D">
        <w:rPr>
          <w:sz w:val="24"/>
          <w:szCs w:val="24"/>
        </w:rPr>
        <w:t>risk</w:t>
      </w:r>
      <w:proofErr w:type="spellEnd"/>
      <w:r w:rsidRPr="00A6485D">
        <w:rPr>
          <w:sz w:val="24"/>
          <w:szCs w:val="24"/>
        </w:rPr>
        <w:t>-forholdet for lægemidlet. Sundhedspersoner anmodes om at indberette alle formodede bivirkninger via</w:t>
      </w:r>
      <w:r w:rsidR="006834F8">
        <w:rPr>
          <w:sz w:val="24"/>
          <w:szCs w:val="24"/>
        </w:rPr>
        <w:t>:</w:t>
      </w:r>
      <w:r w:rsidRPr="00A6485D">
        <w:rPr>
          <w:sz w:val="24"/>
          <w:szCs w:val="24"/>
        </w:rPr>
        <w:t xml:space="preserve"> </w:t>
      </w:r>
      <w:r w:rsidRPr="00A6485D">
        <w:rPr>
          <w:sz w:val="24"/>
          <w:szCs w:val="24"/>
        </w:rPr>
        <w:br/>
      </w:r>
      <w:r w:rsidRPr="00A6485D">
        <w:rPr>
          <w:sz w:val="24"/>
          <w:szCs w:val="24"/>
        </w:rPr>
        <w:br/>
        <w:t>Lægemiddelstyrelsen</w:t>
      </w:r>
      <w:r w:rsidRPr="00A6485D">
        <w:rPr>
          <w:sz w:val="24"/>
          <w:szCs w:val="24"/>
        </w:rPr>
        <w:br/>
        <w:t>Axel Heides Gade 1</w:t>
      </w:r>
      <w:r w:rsidRPr="00A6485D">
        <w:rPr>
          <w:sz w:val="24"/>
          <w:szCs w:val="24"/>
        </w:rPr>
        <w:br/>
        <w:t>DK-2300 København S</w:t>
      </w:r>
      <w:r w:rsidRPr="00A6485D">
        <w:rPr>
          <w:sz w:val="24"/>
          <w:szCs w:val="24"/>
        </w:rPr>
        <w:br/>
        <w:t>Websted: </w:t>
      </w:r>
      <w:hyperlink r:id="rId8" w:history="1">
        <w:r w:rsidRPr="00A6485D">
          <w:rPr>
            <w:sz w:val="24"/>
            <w:szCs w:val="24"/>
          </w:rPr>
          <w:t>www.meldenbivirkning.dk</w:t>
        </w:r>
      </w:hyperlink>
    </w:p>
    <w:p w14:paraId="32F87E00" w14:textId="77777777" w:rsidR="009260DE" w:rsidRPr="00A6485D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0206A191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4.9</w:t>
      </w:r>
      <w:r w:rsidRPr="00A6485D">
        <w:rPr>
          <w:b/>
          <w:sz w:val="24"/>
          <w:szCs w:val="24"/>
        </w:rPr>
        <w:tab/>
        <w:t>Overdosering</w:t>
      </w:r>
    </w:p>
    <w:p w14:paraId="41BCBCA2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Toksiciteten af humant </w:t>
      </w:r>
      <w:proofErr w:type="spellStart"/>
      <w:r w:rsidRPr="00A6485D">
        <w:rPr>
          <w:sz w:val="24"/>
          <w:szCs w:val="24"/>
        </w:rPr>
        <w:t>choriongonadotropt</w:t>
      </w:r>
      <w:proofErr w:type="spellEnd"/>
      <w:r w:rsidRPr="00A6485D">
        <w:rPr>
          <w:sz w:val="24"/>
          <w:szCs w:val="24"/>
        </w:rPr>
        <w:t xml:space="preserve"> hormon er meget lav. En for høj dosis kan dog føre til </w:t>
      </w:r>
      <w:proofErr w:type="spellStart"/>
      <w:r w:rsidRPr="00A6485D">
        <w:rPr>
          <w:sz w:val="24"/>
          <w:szCs w:val="24"/>
        </w:rPr>
        <w:t>hyperstimulering</w:t>
      </w:r>
      <w:proofErr w:type="spellEnd"/>
      <w:r w:rsidRPr="00A6485D">
        <w:rPr>
          <w:sz w:val="24"/>
          <w:szCs w:val="24"/>
        </w:rPr>
        <w:t xml:space="preserve"> af ovarierne (se OHSS, pkt. 4.4).</w:t>
      </w:r>
    </w:p>
    <w:p w14:paraId="737F4F79" w14:textId="77777777" w:rsidR="00A90C63" w:rsidRDefault="00A90C63" w:rsidP="00EE7FAC">
      <w:pPr>
        <w:ind w:left="851"/>
        <w:rPr>
          <w:sz w:val="24"/>
          <w:szCs w:val="24"/>
        </w:rPr>
      </w:pPr>
    </w:p>
    <w:p w14:paraId="009D704B" w14:textId="29DBE22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Håndtering:</w:t>
      </w:r>
    </w:p>
    <w:p w14:paraId="32E98DC4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I tilfælde af overdosering skal kvinder evalueres af en kliniker for symptomer, der tyder på OHSS (se pkt. 4.4). Kvinder med mild eller moderat OHSS kan kræve overvågning af væskeinput og -output. </w:t>
      </w:r>
      <w:proofErr w:type="spellStart"/>
      <w:r w:rsidRPr="00A6485D">
        <w:rPr>
          <w:sz w:val="24"/>
          <w:szCs w:val="24"/>
        </w:rPr>
        <w:t>Paracentese</w:t>
      </w:r>
      <w:proofErr w:type="spellEnd"/>
      <w:r w:rsidRPr="00A6485D">
        <w:rPr>
          <w:sz w:val="24"/>
          <w:szCs w:val="24"/>
        </w:rPr>
        <w:t xml:space="preserve"> af </w:t>
      </w:r>
      <w:proofErr w:type="spellStart"/>
      <w:r w:rsidRPr="00A6485D">
        <w:rPr>
          <w:sz w:val="24"/>
          <w:szCs w:val="24"/>
        </w:rPr>
        <w:t>ascitesvæske</w:t>
      </w:r>
      <w:proofErr w:type="spellEnd"/>
      <w:r w:rsidRPr="00A6485D">
        <w:rPr>
          <w:sz w:val="24"/>
          <w:szCs w:val="24"/>
        </w:rPr>
        <w:t xml:space="preserve"> kan være nødvendig. Hos kvinder med svært OHSS bør væskeinput og -output monitoreres. Endvidere skal </w:t>
      </w:r>
      <w:proofErr w:type="spellStart"/>
      <w:r w:rsidRPr="00A6485D">
        <w:rPr>
          <w:sz w:val="24"/>
          <w:szCs w:val="24"/>
        </w:rPr>
        <w:t>tromboprofylakse</w:t>
      </w:r>
      <w:proofErr w:type="spellEnd"/>
      <w:r w:rsidRPr="00A6485D">
        <w:rPr>
          <w:sz w:val="24"/>
          <w:szCs w:val="24"/>
        </w:rPr>
        <w:t xml:space="preserve"> med </w:t>
      </w:r>
      <w:proofErr w:type="spellStart"/>
      <w:r w:rsidRPr="00A6485D">
        <w:rPr>
          <w:sz w:val="24"/>
          <w:szCs w:val="24"/>
        </w:rPr>
        <w:t>heparin</w:t>
      </w:r>
      <w:proofErr w:type="spellEnd"/>
      <w:r w:rsidRPr="00A6485D">
        <w:rPr>
          <w:sz w:val="24"/>
          <w:szCs w:val="24"/>
        </w:rPr>
        <w:t xml:space="preserve"> med lav molekylvægt (LMWH) overvejes. Hæmatokrit er en nyttig indikator for graden af </w:t>
      </w:r>
      <w:proofErr w:type="spellStart"/>
      <w:r w:rsidRPr="00A6485D">
        <w:rPr>
          <w:sz w:val="24"/>
          <w:szCs w:val="24"/>
        </w:rPr>
        <w:t>intravaskulær</w:t>
      </w:r>
      <w:proofErr w:type="spellEnd"/>
      <w:r w:rsidRPr="00A6485D">
        <w:rPr>
          <w:sz w:val="24"/>
          <w:szCs w:val="24"/>
        </w:rPr>
        <w:t xml:space="preserve"> volumenudtømning. Vitale parametre skal monitoreres, og hospitalsindlæggelse bør overvejes for kvinder, der ikke er i stand til at opnå tilfredsstillende smertekontrol eller opretholde tilstrækkeligt væskeindtag på grund af kvalme, eller som har kritisk OHSS.</w:t>
      </w:r>
    </w:p>
    <w:p w14:paraId="2DC64B2C" w14:textId="2E9A9138" w:rsidR="006371C2" w:rsidRDefault="006371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C1DF31" w14:textId="77777777" w:rsidR="009260DE" w:rsidRPr="00A6485D" w:rsidRDefault="009260DE" w:rsidP="00EE7FAC">
      <w:pPr>
        <w:ind w:left="851"/>
        <w:rPr>
          <w:sz w:val="24"/>
          <w:szCs w:val="24"/>
        </w:rPr>
      </w:pPr>
    </w:p>
    <w:p w14:paraId="2B3E9E78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4.10</w:t>
      </w:r>
      <w:r w:rsidRPr="00A6485D">
        <w:rPr>
          <w:b/>
          <w:sz w:val="24"/>
          <w:szCs w:val="24"/>
        </w:rPr>
        <w:tab/>
        <w:t>Udlevering</w:t>
      </w:r>
    </w:p>
    <w:p w14:paraId="77C06587" w14:textId="77777777" w:rsidR="00A6485D" w:rsidRPr="00A6485D" w:rsidRDefault="00A6485D" w:rsidP="00A6485D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NBS – kun til sygehuse og efter ordination af speciallæger i gynækologi/obstetrik</w:t>
      </w:r>
    </w:p>
    <w:p w14:paraId="226BC60C" w14:textId="7618D156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23BE2A" w14:textId="77777777" w:rsidR="00A90C63" w:rsidRPr="00A6485D" w:rsidRDefault="00A90C63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272043" w14:textId="77777777" w:rsidR="0035184D" w:rsidRPr="00C84483" w:rsidRDefault="0035184D" w:rsidP="0035184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490D5739" w14:textId="77777777" w:rsidR="0035184D" w:rsidRPr="00C84483" w:rsidRDefault="0035184D" w:rsidP="0035184D">
      <w:pPr>
        <w:tabs>
          <w:tab w:val="left" w:pos="851"/>
        </w:tabs>
        <w:ind w:left="851"/>
        <w:rPr>
          <w:sz w:val="24"/>
          <w:szCs w:val="24"/>
        </w:rPr>
      </w:pPr>
    </w:p>
    <w:p w14:paraId="1FD7F7FB" w14:textId="77777777" w:rsidR="0035184D" w:rsidRPr="00C84483" w:rsidRDefault="0035184D" w:rsidP="0035184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08C6B704" w14:textId="04B3D1A1" w:rsidR="0035184D" w:rsidRPr="00A6485D" w:rsidRDefault="0035184D" w:rsidP="0035184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K</w:t>
      </w:r>
      <w:r w:rsidRPr="00A6485D">
        <w:rPr>
          <w:sz w:val="24"/>
          <w:szCs w:val="24"/>
        </w:rPr>
        <w:t xml:space="preserve">ønshormoner og </w:t>
      </w:r>
      <w:proofErr w:type="spellStart"/>
      <w:r w:rsidRPr="00A6485D">
        <w:rPr>
          <w:sz w:val="24"/>
          <w:szCs w:val="24"/>
        </w:rPr>
        <w:t>modulatorer</w:t>
      </w:r>
      <w:proofErr w:type="spellEnd"/>
      <w:r w:rsidRPr="00A6485D">
        <w:rPr>
          <w:sz w:val="24"/>
          <w:szCs w:val="24"/>
        </w:rPr>
        <w:t xml:space="preserve"> af genitalsystemet, </w:t>
      </w:r>
      <w:proofErr w:type="spellStart"/>
      <w:r w:rsidRPr="00A6485D">
        <w:rPr>
          <w:sz w:val="24"/>
          <w:szCs w:val="24"/>
        </w:rPr>
        <w:t>gonadotropiner</w:t>
      </w:r>
      <w:proofErr w:type="spellEnd"/>
      <w:r>
        <w:rPr>
          <w:sz w:val="24"/>
          <w:szCs w:val="24"/>
        </w:rPr>
        <w:t xml:space="preserve">, </w:t>
      </w:r>
      <w:r w:rsidRPr="00A6485D">
        <w:rPr>
          <w:sz w:val="24"/>
          <w:szCs w:val="24"/>
        </w:rPr>
        <w:t>ATC-kode: G03GA01</w:t>
      </w:r>
      <w:r>
        <w:rPr>
          <w:sz w:val="24"/>
          <w:szCs w:val="24"/>
        </w:rPr>
        <w:t xml:space="preserve">. </w:t>
      </w:r>
    </w:p>
    <w:p w14:paraId="0C9257CC" w14:textId="1458D110" w:rsidR="0035184D" w:rsidRDefault="0035184D" w:rsidP="003E260F">
      <w:pPr>
        <w:ind w:left="851"/>
        <w:rPr>
          <w:sz w:val="24"/>
          <w:szCs w:val="24"/>
        </w:rPr>
      </w:pPr>
    </w:p>
    <w:p w14:paraId="3A252381" w14:textId="6774F2C5" w:rsidR="003E260F" w:rsidRDefault="003E260F" w:rsidP="003E260F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Gonasi</w:t>
      </w:r>
      <w:proofErr w:type="spellEnd"/>
      <w:r>
        <w:rPr>
          <w:sz w:val="24"/>
          <w:szCs w:val="24"/>
        </w:rPr>
        <w:t xml:space="preserve"> Set er et præparat af højoprenset humant </w:t>
      </w:r>
      <w:proofErr w:type="spellStart"/>
      <w:r>
        <w:rPr>
          <w:sz w:val="24"/>
          <w:szCs w:val="24"/>
        </w:rPr>
        <w:t>choriongonadotropin</w:t>
      </w:r>
      <w:proofErr w:type="spellEnd"/>
      <w:r>
        <w:rPr>
          <w:sz w:val="24"/>
          <w:szCs w:val="24"/>
        </w:rPr>
        <w:t xml:space="preserve"> opnået fra urin af gravide kvinder.</w:t>
      </w:r>
    </w:p>
    <w:p w14:paraId="686057F0" w14:textId="77777777" w:rsidR="00550851" w:rsidRDefault="00550851" w:rsidP="00EE7FAC">
      <w:pPr>
        <w:ind w:left="851"/>
        <w:rPr>
          <w:sz w:val="24"/>
          <w:szCs w:val="24"/>
        </w:rPr>
      </w:pPr>
    </w:p>
    <w:p w14:paraId="649A1749" w14:textId="42A5A965" w:rsidR="00FE25BB" w:rsidRPr="00A6485D" w:rsidRDefault="00550851" w:rsidP="00EE7F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Gonasi</w:t>
      </w:r>
      <w:proofErr w:type="spellEnd"/>
      <w:r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stimulerer </w:t>
      </w:r>
      <w:proofErr w:type="spellStart"/>
      <w:r w:rsidR="00FE25BB" w:rsidRPr="00A6485D">
        <w:rPr>
          <w:sz w:val="24"/>
          <w:szCs w:val="24"/>
        </w:rPr>
        <w:t>steroidogenese</w:t>
      </w:r>
      <w:proofErr w:type="spellEnd"/>
      <w:r w:rsidR="00FE25BB" w:rsidRPr="00A6485D">
        <w:rPr>
          <w:sz w:val="24"/>
          <w:szCs w:val="24"/>
        </w:rPr>
        <w:t xml:space="preserve"> i </w:t>
      </w:r>
      <w:proofErr w:type="spellStart"/>
      <w:r w:rsidR="00FE25BB" w:rsidRPr="00A6485D">
        <w:rPr>
          <w:sz w:val="24"/>
          <w:szCs w:val="24"/>
        </w:rPr>
        <w:t>gonaderne</w:t>
      </w:r>
      <w:proofErr w:type="spellEnd"/>
      <w:r w:rsidR="00FE25BB" w:rsidRPr="00A6485D">
        <w:rPr>
          <w:sz w:val="24"/>
          <w:szCs w:val="24"/>
        </w:rPr>
        <w:t>, en biologisk effekt svarende til LH (</w:t>
      </w:r>
      <w:proofErr w:type="spellStart"/>
      <w:r w:rsidR="00FE25BB" w:rsidRPr="00A6485D">
        <w:rPr>
          <w:sz w:val="24"/>
          <w:szCs w:val="24"/>
        </w:rPr>
        <w:t>luteiniserende</w:t>
      </w:r>
      <w:proofErr w:type="spellEnd"/>
      <w:r w:rsidR="00FE25BB" w:rsidRPr="00A6485D">
        <w:rPr>
          <w:sz w:val="24"/>
          <w:szCs w:val="24"/>
        </w:rPr>
        <w:t xml:space="preserve"> hormon). </w:t>
      </w:r>
      <w:proofErr w:type="spellStart"/>
      <w:r>
        <w:rPr>
          <w:sz w:val="24"/>
          <w:szCs w:val="24"/>
        </w:rPr>
        <w:t>Gonasi</w:t>
      </w:r>
      <w:proofErr w:type="spellEnd"/>
      <w:r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fremmer produktionen af østrogener og progesteron efter ægløsning.</w:t>
      </w:r>
    </w:p>
    <w:p w14:paraId="3AC596A7" w14:textId="77777777" w:rsidR="00550851" w:rsidRDefault="00550851" w:rsidP="00EE7FAC">
      <w:pPr>
        <w:ind w:left="851"/>
        <w:rPr>
          <w:sz w:val="24"/>
          <w:szCs w:val="24"/>
        </w:rPr>
      </w:pPr>
    </w:p>
    <w:p w14:paraId="067C4535" w14:textId="7A9C506F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I </w:t>
      </w:r>
      <w:proofErr w:type="gramStart"/>
      <w:r w:rsidRPr="00A6485D">
        <w:rPr>
          <w:sz w:val="24"/>
          <w:szCs w:val="24"/>
        </w:rPr>
        <w:t>et komparativ klinisk studie</w:t>
      </w:r>
      <w:proofErr w:type="gramEnd"/>
      <w:r w:rsidRPr="00A6485D">
        <w:rPr>
          <w:sz w:val="24"/>
          <w:szCs w:val="24"/>
        </w:rPr>
        <w:t xml:space="preserve"> med deltagelse af 147 infertile kvinder i alderen 18-39 år med BMI mellem 18 og 30 kg/m2, basalt FSH &lt;10 </w:t>
      </w:r>
      <w:proofErr w:type="spellStart"/>
      <w:r w:rsidRPr="00A6485D">
        <w:rPr>
          <w:sz w:val="24"/>
          <w:szCs w:val="24"/>
        </w:rPr>
        <w:t>mIE</w:t>
      </w:r>
      <w:proofErr w:type="spellEnd"/>
      <w:r w:rsidRPr="00A6485D">
        <w:rPr>
          <w:sz w:val="24"/>
          <w:szCs w:val="24"/>
        </w:rPr>
        <w:t>/ml, regelmæssige menstruations</w:t>
      </w:r>
      <w:r w:rsidR="006371C2">
        <w:rPr>
          <w:sz w:val="24"/>
          <w:szCs w:val="24"/>
        </w:rPr>
        <w:softHyphen/>
      </w:r>
      <w:r w:rsidRPr="00A6485D">
        <w:rPr>
          <w:sz w:val="24"/>
          <w:szCs w:val="24"/>
        </w:rPr>
        <w:t xml:space="preserve">cyklusser og begge æggestokke til stede, som undergik kontrolleret ovariestimulation med en standardmæssig lang </w:t>
      </w:r>
      <w:proofErr w:type="spellStart"/>
      <w:r w:rsidRPr="00A6485D">
        <w:rPr>
          <w:sz w:val="24"/>
          <w:szCs w:val="24"/>
        </w:rPr>
        <w:t>GnRH</w:t>
      </w:r>
      <w:proofErr w:type="spellEnd"/>
      <w:r w:rsidRPr="00A6485D">
        <w:rPr>
          <w:sz w:val="24"/>
          <w:szCs w:val="24"/>
        </w:rPr>
        <w:t xml:space="preserve">-agonistprotokol, var administration af en dosis på 10.000 IE af </w:t>
      </w:r>
      <w:proofErr w:type="spellStart"/>
      <w:r w:rsidR="00550851">
        <w:rPr>
          <w:sz w:val="24"/>
          <w:szCs w:val="24"/>
        </w:rPr>
        <w:t>Gonasi</w:t>
      </w:r>
      <w:proofErr w:type="spellEnd"/>
      <w:r w:rsidR="00550851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lige så effektiv som 250 </w:t>
      </w:r>
      <w:r w:rsidRPr="00A6485D">
        <w:rPr>
          <w:sz w:val="24"/>
          <w:szCs w:val="24"/>
        </w:rPr>
        <w:sym w:font="Symbol" w:char="F06D"/>
      </w:r>
      <w:r w:rsidRPr="00A6485D">
        <w:rPr>
          <w:sz w:val="24"/>
          <w:szCs w:val="24"/>
        </w:rPr>
        <w:t xml:space="preserve">g </w:t>
      </w:r>
      <w:proofErr w:type="spellStart"/>
      <w:r w:rsidRPr="00A6485D">
        <w:rPr>
          <w:sz w:val="24"/>
          <w:szCs w:val="24"/>
        </w:rPr>
        <w:t>rekombinant</w:t>
      </w:r>
      <w:proofErr w:type="spellEnd"/>
      <w:r w:rsidRPr="00A6485D">
        <w:rPr>
          <w:sz w:val="24"/>
          <w:szCs w:val="24"/>
        </w:rPr>
        <w:t xml:space="preserve">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 til induktion af afsluttende </w:t>
      </w:r>
      <w:proofErr w:type="spellStart"/>
      <w:r w:rsidRPr="00A6485D">
        <w:rPr>
          <w:sz w:val="24"/>
          <w:szCs w:val="24"/>
        </w:rPr>
        <w:t>follikulær</w:t>
      </w:r>
      <w:proofErr w:type="spellEnd"/>
      <w:r w:rsidRPr="00A6485D">
        <w:rPr>
          <w:sz w:val="24"/>
          <w:szCs w:val="24"/>
        </w:rPr>
        <w:t xml:space="preserve"> modning og tidlig </w:t>
      </w:r>
      <w:proofErr w:type="spellStart"/>
      <w:r w:rsidRPr="00A6485D">
        <w:rPr>
          <w:sz w:val="24"/>
          <w:szCs w:val="24"/>
        </w:rPr>
        <w:t>luteinisering</w:t>
      </w:r>
      <w:proofErr w:type="spellEnd"/>
      <w:r w:rsidRPr="00A6485D">
        <w:rPr>
          <w:sz w:val="24"/>
          <w:szCs w:val="24"/>
        </w:rPr>
        <w:t xml:space="preserve">. Antallet af aspirerede </w:t>
      </w:r>
      <w:proofErr w:type="spellStart"/>
      <w:r w:rsidRPr="00A6485D">
        <w:rPr>
          <w:sz w:val="24"/>
          <w:szCs w:val="24"/>
        </w:rPr>
        <w:t>oocytter</w:t>
      </w:r>
      <w:proofErr w:type="spellEnd"/>
      <w:r w:rsidRPr="00A6485D">
        <w:rPr>
          <w:sz w:val="24"/>
          <w:szCs w:val="24"/>
        </w:rPr>
        <w:t xml:space="preserve"> var ikke ringere ved anvendelse af HP-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 i sammenligning med r-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>: det gennemsnitlige antal var 13,3 (6,8) i HP-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>-gruppen og 12,5 (5,8) i r-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>-gruppen (p = 0,49) ved 95 % CI (-1,34; 2,77).</w:t>
      </w:r>
    </w:p>
    <w:p w14:paraId="02D5F780" w14:textId="77777777" w:rsidR="00550851" w:rsidRDefault="00550851" w:rsidP="00EE7FAC">
      <w:pPr>
        <w:ind w:left="851"/>
        <w:rPr>
          <w:sz w:val="24"/>
          <w:szCs w:val="24"/>
        </w:rPr>
      </w:pPr>
    </w:p>
    <w:p w14:paraId="6877B521" w14:textId="4931494D" w:rsidR="00FE25BB" w:rsidRPr="00A6485D" w:rsidRDefault="00FE25BB" w:rsidP="00EE7FAC">
      <w:pPr>
        <w:ind w:left="851"/>
        <w:rPr>
          <w:sz w:val="24"/>
          <w:szCs w:val="24"/>
        </w:rPr>
      </w:pP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 er af human oprindelse. Derfor forventes ingen antistofdannelse.</w:t>
      </w:r>
    </w:p>
    <w:p w14:paraId="2046C81E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77F546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5.2</w:t>
      </w:r>
      <w:r w:rsidRPr="00A6485D">
        <w:rPr>
          <w:b/>
          <w:sz w:val="24"/>
          <w:szCs w:val="24"/>
        </w:rPr>
        <w:tab/>
      </w:r>
      <w:proofErr w:type="spellStart"/>
      <w:r w:rsidRPr="00A6485D">
        <w:rPr>
          <w:b/>
          <w:sz w:val="24"/>
          <w:szCs w:val="24"/>
        </w:rPr>
        <w:t>Farmakokinetiske</w:t>
      </w:r>
      <w:proofErr w:type="spellEnd"/>
      <w:r w:rsidRPr="00A6485D">
        <w:rPr>
          <w:b/>
          <w:sz w:val="24"/>
          <w:szCs w:val="24"/>
        </w:rPr>
        <w:t xml:space="preserve"> egenskaber</w:t>
      </w:r>
    </w:p>
    <w:p w14:paraId="0F527C6F" w14:textId="1A3A6D22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 </w:t>
      </w:r>
      <w:proofErr w:type="spellStart"/>
      <w:r w:rsidRPr="00A6485D">
        <w:rPr>
          <w:sz w:val="24"/>
          <w:szCs w:val="24"/>
        </w:rPr>
        <w:t>farmakokinetiske</w:t>
      </w:r>
      <w:proofErr w:type="spellEnd"/>
      <w:r w:rsidRPr="00A6485D">
        <w:rPr>
          <w:sz w:val="24"/>
          <w:szCs w:val="24"/>
        </w:rPr>
        <w:t xml:space="preserve"> egenskaber af </w:t>
      </w:r>
      <w:proofErr w:type="spellStart"/>
      <w:r w:rsidR="00550851">
        <w:rPr>
          <w:sz w:val="24"/>
          <w:szCs w:val="24"/>
        </w:rPr>
        <w:t>Gonasi</w:t>
      </w:r>
      <w:proofErr w:type="spellEnd"/>
      <w:r w:rsidR="00550851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efter subkutan administration viser stor </w:t>
      </w:r>
      <w:proofErr w:type="spellStart"/>
      <w:r w:rsidRPr="00A6485D">
        <w:rPr>
          <w:sz w:val="24"/>
          <w:szCs w:val="24"/>
        </w:rPr>
        <w:t>interindividuel</w:t>
      </w:r>
      <w:proofErr w:type="spellEnd"/>
      <w:r w:rsidRPr="00A6485D">
        <w:rPr>
          <w:sz w:val="24"/>
          <w:szCs w:val="24"/>
        </w:rPr>
        <w:t xml:space="preserve"> variation. Efter en enkelt subkutan injektion på 10.000 IE nås det maksimale serumniveau af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 ca. 16 timer efter injektionen. </w:t>
      </w:r>
      <w:proofErr w:type="spellStart"/>
      <w:r w:rsidRPr="00A6485D">
        <w:rPr>
          <w:sz w:val="24"/>
          <w:szCs w:val="24"/>
        </w:rPr>
        <w:t>hCG-peakkoncentrationer</w:t>
      </w:r>
      <w:proofErr w:type="spellEnd"/>
      <w:r w:rsidRPr="00A6485D">
        <w:rPr>
          <w:sz w:val="24"/>
          <w:szCs w:val="24"/>
        </w:rPr>
        <w:t xml:space="preserve"> (</w:t>
      </w:r>
      <w:proofErr w:type="spellStart"/>
      <w:r w:rsidRPr="00A6485D">
        <w:rPr>
          <w:sz w:val="24"/>
          <w:szCs w:val="24"/>
        </w:rPr>
        <w:t>C</w:t>
      </w:r>
      <w:r w:rsidRPr="00550851">
        <w:rPr>
          <w:sz w:val="24"/>
          <w:szCs w:val="24"/>
          <w:vertAlign w:val="subscript"/>
        </w:rPr>
        <w:t>max</w:t>
      </w:r>
      <w:proofErr w:type="spellEnd"/>
      <w:r w:rsidRPr="00A6485D">
        <w:rPr>
          <w:sz w:val="24"/>
          <w:szCs w:val="24"/>
        </w:rPr>
        <w:t>) nåede 338 ±100 IE/l med en AUC</w:t>
      </w:r>
      <w:r w:rsidRPr="00A6485D">
        <w:rPr>
          <w:sz w:val="24"/>
          <w:szCs w:val="24"/>
          <w:vertAlign w:val="subscript"/>
        </w:rPr>
        <w:t>0-t</w:t>
      </w:r>
      <w:r w:rsidRPr="00A6485D">
        <w:rPr>
          <w:sz w:val="24"/>
          <w:szCs w:val="24"/>
        </w:rPr>
        <w:t xml:space="preserve"> på 22.989 ± 4.802 </w:t>
      </w:r>
      <w:proofErr w:type="spellStart"/>
      <w:r w:rsidRPr="00A6485D">
        <w:rPr>
          <w:sz w:val="24"/>
          <w:szCs w:val="24"/>
        </w:rPr>
        <w:t>IExh</w:t>
      </w:r>
      <w:proofErr w:type="spellEnd"/>
      <w:r w:rsidRPr="00A6485D">
        <w:rPr>
          <w:sz w:val="24"/>
          <w:szCs w:val="24"/>
        </w:rPr>
        <w:t xml:space="preserve">/l. Herefter falder serumniveauet med en halveringstid på ca. 37 timer.  Udskillelse af </w:t>
      </w:r>
      <w:proofErr w:type="spellStart"/>
      <w:r w:rsidRPr="00A6485D">
        <w:rPr>
          <w:sz w:val="24"/>
          <w:szCs w:val="24"/>
        </w:rPr>
        <w:t>hCG</w:t>
      </w:r>
      <w:proofErr w:type="spellEnd"/>
      <w:r w:rsidRPr="00A6485D">
        <w:rPr>
          <w:sz w:val="24"/>
          <w:szCs w:val="24"/>
        </w:rPr>
        <w:t xml:space="preserve"> efter administration er overvejende </w:t>
      </w:r>
      <w:proofErr w:type="spellStart"/>
      <w:r w:rsidRPr="00A6485D">
        <w:rPr>
          <w:sz w:val="24"/>
          <w:szCs w:val="24"/>
        </w:rPr>
        <w:t>renal</w:t>
      </w:r>
      <w:proofErr w:type="spellEnd"/>
      <w:r w:rsidRPr="00A6485D">
        <w:rPr>
          <w:sz w:val="24"/>
          <w:szCs w:val="24"/>
        </w:rPr>
        <w:t>.</w:t>
      </w:r>
    </w:p>
    <w:p w14:paraId="0255DFAA" w14:textId="77777777" w:rsidR="00DA3404" w:rsidRDefault="00DA3404" w:rsidP="00EE7FAC">
      <w:pPr>
        <w:ind w:left="851"/>
        <w:rPr>
          <w:sz w:val="24"/>
          <w:szCs w:val="24"/>
        </w:rPr>
      </w:pPr>
    </w:p>
    <w:p w14:paraId="6A7C5596" w14:textId="4BB88F14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Der er ikke blevet udført </w:t>
      </w:r>
      <w:proofErr w:type="spellStart"/>
      <w:r w:rsidRPr="00A6485D">
        <w:rPr>
          <w:sz w:val="24"/>
          <w:szCs w:val="24"/>
        </w:rPr>
        <w:t>farmakokinetiske</w:t>
      </w:r>
      <w:proofErr w:type="spellEnd"/>
      <w:r w:rsidRPr="00A6485D">
        <w:rPr>
          <w:sz w:val="24"/>
          <w:szCs w:val="24"/>
        </w:rPr>
        <w:t xml:space="preserve"> studier af patienter med nedsat lever- eller nyrefunktion.</w:t>
      </w:r>
    </w:p>
    <w:p w14:paraId="28866100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C2C6D7" w14:textId="77777777" w:rsidR="0035184D" w:rsidRPr="00C84483" w:rsidRDefault="0035184D" w:rsidP="0035184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648A7C26" w14:textId="37C42AE5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Der er ikke udført prækliniske studier med </w:t>
      </w:r>
      <w:proofErr w:type="spellStart"/>
      <w:r w:rsidR="006371C2">
        <w:rPr>
          <w:sz w:val="24"/>
          <w:szCs w:val="24"/>
        </w:rPr>
        <w:t>Gonasi</w:t>
      </w:r>
      <w:proofErr w:type="spellEnd"/>
      <w:r w:rsidR="006371C2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>.</w:t>
      </w:r>
    </w:p>
    <w:p w14:paraId="3FD0B28A" w14:textId="77777777" w:rsidR="00DA3404" w:rsidRDefault="00DA3404" w:rsidP="00EE7FAC">
      <w:pPr>
        <w:ind w:left="851"/>
        <w:rPr>
          <w:sz w:val="24"/>
          <w:szCs w:val="24"/>
        </w:rPr>
      </w:pPr>
    </w:p>
    <w:p w14:paraId="2FC9BCCF" w14:textId="337237BA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Der findes ingen andre prækliniske data af relevans for den ordinerende læge end dem, der allerede er nævnt i andre af produktresumeets punkter.</w:t>
      </w:r>
    </w:p>
    <w:p w14:paraId="4357734B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EED313" w14:textId="7BAE51AE" w:rsidR="006371C2" w:rsidRDefault="006371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806CC8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2436AD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6.</w:t>
      </w:r>
      <w:r w:rsidRPr="00A6485D">
        <w:rPr>
          <w:b/>
          <w:sz w:val="24"/>
          <w:szCs w:val="24"/>
        </w:rPr>
        <w:tab/>
        <w:t>FARMACEUTISKE OPLYSNINGER</w:t>
      </w:r>
    </w:p>
    <w:p w14:paraId="25525C39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A8B439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6.1</w:t>
      </w:r>
      <w:r w:rsidRPr="00A6485D">
        <w:rPr>
          <w:b/>
          <w:sz w:val="24"/>
          <w:szCs w:val="24"/>
        </w:rPr>
        <w:tab/>
        <w:t>Hjælpestoffer</w:t>
      </w:r>
    </w:p>
    <w:p w14:paraId="63A2265A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Hjælpestoffer i:</w:t>
      </w:r>
    </w:p>
    <w:p w14:paraId="5EA633F8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Hætteglas med pulver: </w:t>
      </w:r>
      <w:proofErr w:type="spellStart"/>
      <w:r w:rsidRPr="00A6485D">
        <w:rPr>
          <w:sz w:val="24"/>
          <w:szCs w:val="24"/>
        </w:rPr>
        <w:t>lactosemonohydrat</w:t>
      </w:r>
      <w:proofErr w:type="spellEnd"/>
    </w:p>
    <w:p w14:paraId="292492CD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Fyldt injektionssprøjte med solvens: </w:t>
      </w:r>
      <w:proofErr w:type="spellStart"/>
      <w:r w:rsidRPr="00A6485D">
        <w:rPr>
          <w:sz w:val="24"/>
          <w:szCs w:val="24"/>
        </w:rPr>
        <w:t>natriumchlorid</w:t>
      </w:r>
      <w:proofErr w:type="spellEnd"/>
      <w:r w:rsidRPr="00A6485D">
        <w:rPr>
          <w:sz w:val="24"/>
          <w:szCs w:val="24"/>
        </w:rPr>
        <w:t>, vand til injektionsvæsker</w:t>
      </w:r>
    </w:p>
    <w:p w14:paraId="37D34C20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1C41B0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6.2</w:t>
      </w:r>
      <w:r w:rsidRPr="00A6485D">
        <w:rPr>
          <w:b/>
          <w:sz w:val="24"/>
          <w:szCs w:val="24"/>
        </w:rPr>
        <w:tab/>
        <w:t>Uforligeligheder</w:t>
      </w:r>
    </w:p>
    <w:p w14:paraId="15FEEFAE" w14:textId="0F90229F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Da der ikke foreligger studier af eventuelle uforligeligheder, må </w:t>
      </w:r>
      <w:proofErr w:type="spellStart"/>
      <w:r w:rsidR="006371C2">
        <w:rPr>
          <w:sz w:val="24"/>
          <w:szCs w:val="24"/>
        </w:rPr>
        <w:t>Gonasi</w:t>
      </w:r>
      <w:proofErr w:type="spellEnd"/>
      <w:r w:rsidR="006371C2">
        <w:rPr>
          <w:sz w:val="24"/>
          <w:szCs w:val="24"/>
        </w:rPr>
        <w:t xml:space="preserve"> Set</w:t>
      </w:r>
      <w:r w:rsidRPr="00A6485D">
        <w:rPr>
          <w:sz w:val="24"/>
          <w:szCs w:val="24"/>
        </w:rPr>
        <w:t xml:space="preserve"> ikke blandes med andre lægemidler.  Dette er navnlig vigtigt ved lægemidler, der stimulerer ægløsning (for eksempel </w:t>
      </w:r>
      <w:proofErr w:type="spellStart"/>
      <w:r w:rsidRPr="00A6485D">
        <w:rPr>
          <w:sz w:val="24"/>
          <w:szCs w:val="24"/>
        </w:rPr>
        <w:t>hMG</w:t>
      </w:r>
      <w:proofErr w:type="spellEnd"/>
      <w:r w:rsidRPr="00A6485D">
        <w:rPr>
          <w:sz w:val="24"/>
          <w:szCs w:val="24"/>
        </w:rPr>
        <w:t>), eller som indeholder kortison, navnlig i høje doser.</w:t>
      </w:r>
    </w:p>
    <w:p w14:paraId="7DF50BFA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D96B88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6.3</w:t>
      </w:r>
      <w:r w:rsidRPr="00A6485D">
        <w:rPr>
          <w:b/>
          <w:sz w:val="24"/>
          <w:szCs w:val="24"/>
        </w:rPr>
        <w:tab/>
        <w:t>Opbevaringstid</w:t>
      </w:r>
    </w:p>
    <w:p w14:paraId="7B2EFAAB" w14:textId="445E2C0D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3 år </w:t>
      </w:r>
    </w:p>
    <w:p w14:paraId="2CBAF104" w14:textId="77777777" w:rsidR="00DA3404" w:rsidRDefault="00DA3404" w:rsidP="00EE7FAC">
      <w:pPr>
        <w:ind w:left="851"/>
        <w:rPr>
          <w:sz w:val="24"/>
          <w:szCs w:val="24"/>
        </w:rPr>
      </w:pPr>
    </w:p>
    <w:p w14:paraId="54537EE9" w14:textId="6BCCD958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Efter </w:t>
      </w:r>
      <w:proofErr w:type="spellStart"/>
      <w:r w:rsidRPr="00A6485D">
        <w:rPr>
          <w:sz w:val="24"/>
          <w:szCs w:val="24"/>
        </w:rPr>
        <w:t>rekonstitution</w:t>
      </w:r>
      <w:proofErr w:type="spellEnd"/>
      <w:r w:rsidRPr="00A6485D">
        <w:rPr>
          <w:sz w:val="24"/>
          <w:szCs w:val="24"/>
        </w:rPr>
        <w:t xml:space="preserve"> skal produktet anvendes med det samme. </w:t>
      </w:r>
    </w:p>
    <w:p w14:paraId="06AF9CC4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1DC760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6.4</w:t>
      </w:r>
      <w:r w:rsidRPr="00A6485D">
        <w:rPr>
          <w:b/>
          <w:sz w:val="24"/>
          <w:szCs w:val="24"/>
        </w:rPr>
        <w:tab/>
        <w:t>Særlige opbevaringsforhold</w:t>
      </w:r>
    </w:p>
    <w:p w14:paraId="242DAFBB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Må ikke opbevares ved temperaturer over 25 °C.</w:t>
      </w:r>
    </w:p>
    <w:p w14:paraId="5F599392" w14:textId="77777777" w:rsidR="00DA3404" w:rsidRDefault="00DA3404" w:rsidP="00EE7FAC">
      <w:pPr>
        <w:ind w:left="851"/>
        <w:rPr>
          <w:sz w:val="24"/>
          <w:szCs w:val="24"/>
        </w:rPr>
      </w:pPr>
    </w:p>
    <w:p w14:paraId="07BB5F5F" w14:textId="1ABCFD99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Opbevar hætteglasset og den fyldte injektionssprøjte med solvens i den originale pakning for at beskytte lægemidlet mod lys.</w:t>
      </w:r>
    </w:p>
    <w:p w14:paraId="6EAFB4CE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884BBA" w14:textId="77777777" w:rsidR="0035184D" w:rsidRPr="00C84483" w:rsidRDefault="0035184D" w:rsidP="0035184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43D7F7E8" w14:textId="77777777" w:rsidR="003E260F" w:rsidRDefault="003E260F" w:rsidP="003E260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Én enkeltpakning indeholder: </w:t>
      </w:r>
    </w:p>
    <w:p w14:paraId="4F4E4BA2" w14:textId="77777777" w:rsidR="003E260F" w:rsidRDefault="003E260F" w:rsidP="003E260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Plastbakke inklusive pulver i hætteglas (glas af type I), forseglet med gummilukning holdt på plads af en afrivningskapsel. </w:t>
      </w:r>
    </w:p>
    <w:p w14:paraId="4F2E8DC4" w14:textId="77777777" w:rsidR="00DA3404" w:rsidRDefault="00DA3404" w:rsidP="00EE7FAC">
      <w:pPr>
        <w:ind w:left="851"/>
        <w:rPr>
          <w:sz w:val="24"/>
          <w:szCs w:val="24"/>
        </w:rPr>
      </w:pPr>
    </w:p>
    <w:p w14:paraId="5E421C21" w14:textId="0A7F42B3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1 ml solvens i en fyldt injektionssprøjte (glas af type I), 1 lang kanyle til </w:t>
      </w:r>
      <w:proofErr w:type="spellStart"/>
      <w:r w:rsidRPr="00A6485D">
        <w:rPr>
          <w:sz w:val="24"/>
          <w:szCs w:val="24"/>
        </w:rPr>
        <w:t>rekonstitution</w:t>
      </w:r>
      <w:proofErr w:type="spellEnd"/>
      <w:r w:rsidRPr="00A6485D">
        <w:rPr>
          <w:sz w:val="24"/>
          <w:szCs w:val="24"/>
        </w:rPr>
        <w:t xml:space="preserve"> og intramuskulær injektion og 1 kort kanyle til subkutan injektion. </w:t>
      </w:r>
    </w:p>
    <w:p w14:paraId="7A24E5CE" w14:textId="77777777" w:rsidR="00DA3404" w:rsidRDefault="00DA3404" w:rsidP="00EE7FAC">
      <w:pPr>
        <w:ind w:left="851"/>
        <w:rPr>
          <w:sz w:val="24"/>
          <w:szCs w:val="24"/>
        </w:rPr>
      </w:pPr>
    </w:p>
    <w:p w14:paraId="0CD948C5" w14:textId="77777777" w:rsidR="003E260F" w:rsidRDefault="003E260F" w:rsidP="003E260F">
      <w:pPr>
        <w:ind w:left="851"/>
        <w:rPr>
          <w:sz w:val="24"/>
          <w:szCs w:val="24"/>
        </w:rPr>
      </w:pPr>
      <w:r>
        <w:rPr>
          <w:sz w:val="24"/>
          <w:szCs w:val="24"/>
        </w:rPr>
        <w:t>Flerstykspakning med 10 plastbakker, som beskrevet ovenover.</w:t>
      </w:r>
    </w:p>
    <w:p w14:paraId="78D40766" w14:textId="77777777" w:rsidR="00DA3404" w:rsidRDefault="00DA3404" w:rsidP="00EE7FAC">
      <w:pPr>
        <w:ind w:left="851"/>
        <w:rPr>
          <w:sz w:val="24"/>
          <w:szCs w:val="24"/>
        </w:rPr>
      </w:pPr>
    </w:p>
    <w:p w14:paraId="499E4E95" w14:textId="7490FA02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alle pakningsstørrelser er nødvendigvis markedsført.</w:t>
      </w:r>
    </w:p>
    <w:p w14:paraId="7987953C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18ED52" w14:textId="77777777" w:rsidR="0035184D" w:rsidRPr="00C84483" w:rsidRDefault="0035184D" w:rsidP="0035184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39A94812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Opløsningen skal tilberedes umiddelbart inden den injiceres.</w:t>
      </w:r>
    </w:p>
    <w:p w14:paraId="2F6B2AA2" w14:textId="77777777" w:rsidR="00E90838" w:rsidRDefault="00E90838" w:rsidP="00EE7FAC">
      <w:pPr>
        <w:ind w:left="851"/>
        <w:rPr>
          <w:sz w:val="24"/>
          <w:szCs w:val="24"/>
        </w:rPr>
      </w:pPr>
    </w:p>
    <w:p w14:paraId="2E3EB188" w14:textId="7F6A6329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Hver hætteglas er kun til engangsbrug. Lægemidlet skal </w:t>
      </w:r>
      <w:proofErr w:type="spellStart"/>
      <w:r w:rsidRPr="00A6485D">
        <w:rPr>
          <w:sz w:val="24"/>
          <w:szCs w:val="24"/>
        </w:rPr>
        <w:t>rekonstitueres</w:t>
      </w:r>
      <w:proofErr w:type="spellEnd"/>
      <w:r w:rsidRPr="00A6485D">
        <w:rPr>
          <w:sz w:val="24"/>
          <w:szCs w:val="24"/>
        </w:rPr>
        <w:t xml:space="preserve"> under aseptiske forhold.</w:t>
      </w:r>
    </w:p>
    <w:p w14:paraId="29B2302A" w14:textId="77777777" w:rsidR="00E90838" w:rsidRDefault="00E90838" w:rsidP="00EE7FAC">
      <w:pPr>
        <w:ind w:left="851"/>
        <w:rPr>
          <w:sz w:val="24"/>
          <w:szCs w:val="24"/>
        </w:rPr>
      </w:pPr>
    </w:p>
    <w:p w14:paraId="362D83D3" w14:textId="3D4F63BD" w:rsidR="00FE25BB" w:rsidRPr="00A6485D" w:rsidRDefault="00E90838" w:rsidP="00EE7F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Gonasi</w:t>
      </w:r>
      <w:proofErr w:type="spellEnd"/>
      <w:r>
        <w:rPr>
          <w:sz w:val="24"/>
          <w:szCs w:val="24"/>
        </w:rPr>
        <w:t xml:space="preserve"> Set</w:t>
      </w:r>
      <w:r w:rsidR="00FE25BB" w:rsidRPr="00A6485D">
        <w:rPr>
          <w:sz w:val="24"/>
          <w:szCs w:val="24"/>
        </w:rPr>
        <w:t xml:space="preserve"> må kun </w:t>
      </w:r>
      <w:proofErr w:type="spellStart"/>
      <w:r w:rsidR="00FE25BB" w:rsidRPr="00A6485D">
        <w:rPr>
          <w:sz w:val="24"/>
          <w:szCs w:val="24"/>
        </w:rPr>
        <w:t>rekonstitueres</w:t>
      </w:r>
      <w:proofErr w:type="spellEnd"/>
      <w:r w:rsidR="00FE25BB" w:rsidRPr="00A6485D">
        <w:rPr>
          <w:sz w:val="24"/>
          <w:szCs w:val="24"/>
        </w:rPr>
        <w:t xml:space="preserve"> med den solvens, der følger med i pakningen.</w:t>
      </w:r>
    </w:p>
    <w:p w14:paraId="5FE3D3E5" w14:textId="77777777" w:rsidR="00E90838" w:rsidRDefault="00E90838" w:rsidP="00EE7FAC">
      <w:pPr>
        <w:ind w:left="851"/>
        <w:rPr>
          <w:sz w:val="24"/>
          <w:szCs w:val="24"/>
        </w:rPr>
      </w:pPr>
    </w:p>
    <w:p w14:paraId="0B271231" w14:textId="33EE8151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Brug en ren overflade, og vask hænder, før opløsningen </w:t>
      </w:r>
      <w:proofErr w:type="spellStart"/>
      <w:r w:rsidRPr="00A6485D">
        <w:rPr>
          <w:sz w:val="24"/>
          <w:szCs w:val="24"/>
        </w:rPr>
        <w:t>rekonstitueres</w:t>
      </w:r>
      <w:proofErr w:type="spellEnd"/>
      <w:r w:rsidRPr="00A6485D">
        <w:rPr>
          <w:sz w:val="24"/>
          <w:szCs w:val="24"/>
        </w:rPr>
        <w:t>.</w:t>
      </w:r>
    </w:p>
    <w:p w14:paraId="6739F78E" w14:textId="77777777" w:rsidR="00E90838" w:rsidRDefault="00E90838" w:rsidP="00EE7FAC">
      <w:pPr>
        <w:ind w:left="851"/>
        <w:rPr>
          <w:sz w:val="24"/>
          <w:szCs w:val="24"/>
        </w:rPr>
      </w:pPr>
    </w:p>
    <w:p w14:paraId="74F1A1C9" w14:textId="4244DF5E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Placer alle de følgende genstande på den rene overflade:</w:t>
      </w:r>
    </w:p>
    <w:p w14:paraId="74D8A0DD" w14:textId="77777777" w:rsidR="00FE25BB" w:rsidRPr="00E90838" w:rsidRDefault="00FE25BB" w:rsidP="00E90838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>2 spritservietter (medfølger ikke i pakningen)</w:t>
      </w:r>
    </w:p>
    <w:p w14:paraId="35A04070" w14:textId="751345D1" w:rsidR="00FE25BB" w:rsidRPr="00E90838" w:rsidRDefault="00FE25BB" w:rsidP="00E90838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 xml:space="preserve">1 hætteglas indeholdende </w:t>
      </w:r>
      <w:proofErr w:type="spellStart"/>
      <w:r w:rsidR="00E90838" w:rsidRPr="00E90838">
        <w:rPr>
          <w:sz w:val="24"/>
          <w:szCs w:val="24"/>
        </w:rPr>
        <w:t>Gonasi</w:t>
      </w:r>
      <w:proofErr w:type="spellEnd"/>
      <w:r w:rsidR="00E90838" w:rsidRPr="00E90838">
        <w:rPr>
          <w:sz w:val="24"/>
          <w:szCs w:val="24"/>
        </w:rPr>
        <w:t xml:space="preserve"> Set</w:t>
      </w:r>
      <w:r w:rsidRPr="00E90838">
        <w:rPr>
          <w:sz w:val="24"/>
          <w:szCs w:val="24"/>
        </w:rPr>
        <w:t xml:space="preserve"> pulver</w:t>
      </w:r>
    </w:p>
    <w:p w14:paraId="5FD4CFCB" w14:textId="77777777" w:rsidR="00FE25BB" w:rsidRPr="00E90838" w:rsidRDefault="00FE25BB" w:rsidP="00E90838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>1 fyldt injektionssprøjte med solvens</w:t>
      </w:r>
    </w:p>
    <w:p w14:paraId="0234870D" w14:textId="77777777" w:rsidR="00FE25BB" w:rsidRPr="00E90838" w:rsidRDefault="00FE25BB" w:rsidP="00E90838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 xml:space="preserve">1 lang kanyle til </w:t>
      </w:r>
      <w:proofErr w:type="spellStart"/>
      <w:r w:rsidRPr="00E90838">
        <w:rPr>
          <w:sz w:val="24"/>
          <w:szCs w:val="24"/>
        </w:rPr>
        <w:t>rekonstitution</w:t>
      </w:r>
      <w:proofErr w:type="spellEnd"/>
      <w:r w:rsidRPr="00E90838">
        <w:rPr>
          <w:sz w:val="24"/>
          <w:szCs w:val="24"/>
        </w:rPr>
        <w:t xml:space="preserve"> og intramuskulær injektion </w:t>
      </w:r>
    </w:p>
    <w:p w14:paraId="342DAB35" w14:textId="77777777" w:rsidR="00FE25BB" w:rsidRPr="00E90838" w:rsidRDefault="00FE25BB" w:rsidP="00E90838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lastRenderedPageBreak/>
        <w:t xml:space="preserve">1 kort kanyle til subkutan injektion. </w:t>
      </w:r>
    </w:p>
    <w:p w14:paraId="570DCD8C" w14:textId="77777777" w:rsidR="00FE25BB" w:rsidRPr="00A6485D" w:rsidRDefault="00FE25BB" w:rsidP="00EE7FAC">
      <w:pPr>
        <w:ind w:left="851"/>
        <w:rPr>
          <w:sz w:val="24"/>
          <w:szCs w:val="24"/>
          <w:lang w:bidi="en-US"/>
        </w:rPr>
      </w:pPr>
    </w:p>
    <w:p w14:paraId="479354AB" w14:textId="77777777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proofErr w:type="spellStart"/>
      <w:r w:rsidRPr="00A6485D">
        <w:rPr>
          <w:sz w:val="24"/>
          <w:szCs w:val="24"/>
          <w:u w:val="single"/>
        </w:rPr>
        <w:t>Rekonstitution</w:t>
      </w:r>
      <w:proofErr w:type="spellEnd"/>
      <w:r w:rsidRPr="00A6485D">
        <w:rPr>
          <w:sz w:val="24"/>
          <w:szCs w:val="24"/>
          <w:u w:val="single"/>
        </w:rPr>
        <w:t xml:space="preserve"> af </w:t>
      </w:r>
      <w:proofErr w:type="spellStart"/>
      <w:r w:rsidRPr="00A6485D">
        <w:rPr>
          <w:sz w:val="24"/>
          <w:szCs w:val="24"/>
          <w:u w:val="single"/>
        </w:rPr>
        <w:t>injektionsvæsken</w:t>
      </w:r>
      <w:proofErr w:type="spellEnd"/>
    </w:p>
    <w:p w14:paraId="7A23F1AB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Forberedelse af opløsningen til injektion:</w:t>
      </w:r>
    </w:p>
    <w:p w14:paraId="74183E22" w14:textId="77777777" w:rsidR="00E90838" w:rsidRDefault="00E90838" w:rsidP="00EE7FAC">
      <w:pPr>
        <w:ind w:left="851"/>
        <w:rPr>
          <w:sz w:val="24"/>
          <w:szCs w:val="24"/>
        </w:rPr>
      </w:pPr>
    </w:p>
    <w:p w14:paraId="4FFB2D3F" w14:textId="5111EC08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Fjern kun hætten fra den fyldte injektionssprøjte. Sæt kanylen til </w:t>
      </w:r>
      <w:proofErr w:type="spellStart"/>
      <w:r w:rsidRPr="00A6485D">
        <w:rPr>
          <w:sz w:val="24"/>
          <w:szCs w:val="24"/>
        </w:rPr>
        <w:t>rekonstituering</w:t>
      </w:r>
      <w:proofErr w:type="spellEnd"/>
      <w:r w:rsidRPr="00A6485D">
        <w:rPr>
          <w:sz w:val="24"/>
          <w:szCs w:val="24"/>
        </w:rPr>
        <w:t xml:space="preserve"> (den lange kanyle) på sprøjten, og kontrollér at kanylen er sat korrekt på sprøjten</w:t>
      </w:r>
      <w:r w:rsidR="00577769">
        <w:rPr>
          <w:sz w:val="24"/>
          <w:szCs w:val="24"/>
        </w:rPr>
        <w:t xml:space="preserve"> </w:t>
      </w:r>
      <w:r w:rsidRPr="00A6485D">
        <w:rPr>
          <w:sz w:val="24"/>
          <w:szCs w:val="24"/>
        </w:rPr>
        <w:t>for at undgå lækage af opløsningen.</w:t>
      </w:r>
    </w:p>
    <w:p w14:paraId="6C1CA179" w14:textId="77777777" w:rsidR="00E90838" w:rsidRDefault="00E90838" w:rsidP="00EE7FAC">
      <w:pPr>
        <w:ind w:left="851"/>
        <w:rPr>
          <w:sz w:val="24"/>
          <w:szCs w:val="24"/>
        </w:rPr>
      </w:pPr>
    </w:p>
    <w:p w14:paraId="7203BB1A" w14:textId="61148AC5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Hvis opløsningen løber ud, skal du prøve at sætte kanylen bedre fast ved at dreje den let.</w:t>
      </w:r>
    </w:p>
    <w:p w14:paraId="142DBFE5" w14:textId="61F14D09" w:rsidR="00FE25BB" w:rsidRPr="00E90838" w:rsidRDefault="00FE25BB" w:rsidP="00E90838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 xml:space="preserve">Fjern den farvede plastiklåg-overtrækskapsel fra hætteglasset med </w:t>
      </w:r>
      <w:proofErr w:type="spellStart"/>
      <w:r w:rsidR="006371C2">
        <w:rPr>
          <w:sz w:val="24"/>
          <w:szCs w:val="24"/>
        </w:rPr>
        <w:t>Gonasi</w:t>
      </w:r>
      <w:proofErr w:type="spellEnd"/>
      <w:r w:rsidR="006371C2">
        <w:rPr>
          <w:sz w:val="24"/>
          <w:szCs w:val="24"/>
        </w:rPr>
        <w:t xml:space="preserve"> Set</w:t>
      </w:r>
      <w:r w:rsidRPr="00E90838">
        <w:rPr>
          <w:sz w:val="24"/>
          <w:szCs w:val="24"/>
        </w:rPr>
        <w:t>-pulver, og desinficer gummiområdet på hætten med en spritserviet.</w:t>
      </w:r>
    </w:p>
    <w:p w14:paraId="3A2779F3" w14:textId="7C489933" w:rsidR="00FE25BB" w:rsidRPr="00E90838" w:rsidRDefault="00FE25BB" w:rsidP="00E90838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>Tag sprøjten, og sprøjt langsomt solvensen ned i hætteglasset med pulver gennem gummiproppen.</w:t>
      </w:r>
    </w:p>
    <w:p w14:paraId="177E3D3D" w14:textId="6CEDDEE0" w:rsidR="00FE25BB" w:rsidRPr="00E90838" w:rsidRDefault="00FE25BB" w:rsidP="00E90838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90838">
        <w:rPr>
          <w:sz w:val="24"/>
          <w:szCs w:val="24"/>
        </w:rPr>
        <w:t xml:space="preserve">Rul hætteglasset forsigtigt mellem hænderne </w:t>
      </w:r>
      <w:r w:rsidRPr="00E90838">
        <w:rPr>
          <w:b/>
          <w:bCs/>
          <w:sz w:val="24"/>
          <w:szCs w:val="24"/>
        </w:rPr>
        <w:t>UDEN AT OMRYSTE DET</w:t>
      </w:r>
      <w:r w:rsidRPr="00E90838">
        <w:rPr>
          <w:sz w:val="24"/>
          <w:szCs w:val="24"/>
        </w:rPr>
        <w:t>, indtil pulveret er helt opløst. Sørg for at undgå, at der dannes skum i hætteglasset.</w:t>
      </w:r>
    </w:p>
    <w:p w14:paraId="61001E75" w14:textId="30B5F21E" w:rsidR="00FE25BB" w:rsidRPr="00E90838" w:rsidRDefault="00FE25BB" w:rsidP="00E90838">
      <w:pPr>
        <w:pStyle w:val="Listeafsnit"/>
        <w:numPr>
          <w:ilvl w:val="0"/>
          <w:numId w:val="10"/>
        </w:numPr>
        <w:ind w:left="1276" w:hanging="425"/>
        <w:rPr>
          <w:b/>
          <w:bCs/>
          <w:sz w:val="24"/>
          <w:szCs w:val="24"/>
        </w:rPr>
      </w:pPr>
      <w:r w:rsidRPr="00E90838">
        <w:rPr>
          <w:sz w:val="24"/>
          <w:szCs w:val="24"/>
        </w:rPr>
        <w:t>Når pulveret er opløst (hvilket normalt sker straks), trækkes opløsningen langsomt op i sprøjten.</w:t>
      </w:r>
      <w:r w:rsidRPr="00E90838">
        <w:rPr>
          <w:b/>
          <w:sz w:val="24"/>
          <w:szCs w:val="24"/>
        </w:rPr>
        <w:t xml:space="preserve"> </w:t>
      </w:r>
    </w:p>
    <w:p w14:paraId="5C9D4B6A" w14:textId="77777777" w:rsidR="00FE25BB" w:rsidRPr="002131C7" w:rsidRDefault="00FE25BB" w:rsidP="002131C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2131C7">
        <w:rPr>
          <w:sz w:val="24"/>
          <w:szCs w:val="24"/>
        </w:rPr>
        <w:t xml:space="preserve">Lad kanylen blive siddende i hætteglasset, og vend det på hovedet. </w:t>
      </w:r>
    </w:p>
    <w:p w14:paraId="19630457" w14:textId="77777777" w:rsidR="00FE25BB" w:rsidRPr="002131C7" w:rsidRDefault="00FE25BB" w:rsidP="002131C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2131C7">
        <w:rPr>
          <w:sz w:val="24"/>
          <w:szCs w:val="24"/>
        </w:rPr>
        <w:t>Sørg for, at kanylespidsen befinder sig under væskeniveauet.</w:t>
      </w:r>
    </w:p>
    <w:p w14:paraId="06AA477D" w14:textId="77777777" w:rsidR="00FE25BB" w:rsidRPr="002131C7" w:rsidRDefault="00FE25BB" w:rsidP="002131C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2131C7">
        <w:rPr>
          <w:sz w:val="24"/>
          <w:szCs w:val="24"/>
        </w:rPr>
        <w:t>Træk forsigtigt stemplet tilbage for at trække opløsningen op i sprøjten.</w:t>
      </w:r>
    </w:p>
    <w:p w14:paraId="4D853DA2" w14:textId="77777777" w:rsidR="00FE25BB" w:rsidRPr="002131C7" w:rsidRDefault="00FE25BB" w:rsidP="002131C7">
      <w:pPr>
        <w:pStyle w:val="Listeafsnit"/>
        <w:numPr>
          <w:ilvl w:val="0"/>
          <w:numId w:val="11"/>
        </w:numPr>
        <w:rPr>
          <w:sz w:val="24"/>
          <w:szCs w:val="24"/>
        </w:rPr>
      </w:pPr>
      <w:r w:rsidRPr="002131C7">
        <w:rPr>
          <w:sz w:val="24"/>
          <w:szCs w:val="24"/>
        </w:rPr>
        <w:t xml:space="preserve">Kontrollér, at den </w:t>
      </w:r>
      <w:proofErr w:type="spellStart"/>
      <w:r w:rsidRPr="002131C7">
        <w:rPr>
          <w:sz w:val="24"/>
          <w:szCs w:val="24"/>
        </w:rPr>
        <w:t>rekonstituerede</w:t>
      </w:r>
      <w:proofErr w:type="spellEnd"/>
      <w:r w:rsidRPr="002131C7">
        <w:rPr>
          <w:sz w:val="24"/>
          <w:szCs w:val="24"/>
        </w:rPr>
        <w:t xml:space="preserve"> opløsning er klar og farveløs.</w:t>
      </w:r>
    </w:p>
    <w:p w14:paraId="0B9A44AD" w14:textId="77777777" w:rsidR="00FE25BB" w:rsidRPr="00A6485D" w:rsidRDefault="00FE25BB" w:rsidP="00EE7FAC">
      <w:pPr>
        <w:ind w:left="851"/>
        <w:rPr>
          <w:sz w:val="24"/>
          <w:szCs w:val="24"/>
          <w:highlight w:val="yellow"/>
          <w:u w:val="single"/>
          <w:lang w:val="de-CH" w:bidi="en-US"/>
        </w:rPr>
      </w:pPr>
    </w:p>
    <w:p w14:paraId="384945A3" w14:textId="77777777" w:rsidR="00FE25BB" w:rsidRPr="00A6485D" w:rsidRDefault="00FE25BB" w:rsidP="00EE7FAC">
      <w:pPr>
        <w:ind w:left="851"/>
        <w:rPr>
          <w:sz w:val="24"/>
          <w:szCs w:val="24"/>
          <w:u w:val="single"/>
        </w:rPr>
      </w:pPr>
      <w:r w:rsidRPr="00A6485D">
        <w:rPr>
          <w:sz w:val="24"/>
          <w:szCs w:val="24"/>
          <w:u w:val="single"/>
        </w:rPr>
        <w:t xml:space="preserve">Forberedelse af højere doser </w:t>
      </w:r>
    </w:p>
    <w:p w14:paraId="6E015F2B" w14:textId="4BAB4D68" w:rsidR="00FE25BB" w:rsidRPr="002131C7" w:rsidRDefault="00FE25BB" w:rsidP="002131C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2131C7">
        <w:rPr>
          <w:sz w:val="24"/>
          <w:szCs w:val="24"/>
        </w:rPr>
        <w:t xml:space="preserve">En højere dosis på 10.000 IE kan opnås ved at bruge to hætteglas med pulver. Ved afslutningen af trin 4 herover trækkes det </w:t>
      </w:r>
      <w:proofErr w:type="spellStart"/>
      <w:r w:rsidRPr="002131C7">
        <w:rPr>
          <w:sz w:val="24"/>
          <w:szCs w:val="24"/>
        </w:rPr>
        <w:t>rekonstituerede</w:t>
      </w:r>
      <w:proofErr w:type="spellEnd"/>
      <w:r w:rsidRPr="002131C7">
        <w:rPr>
          <w:sz w:val="24"/>
          <w:szCs w:val="24"/>
        </w:rPr>
        <w:t xml:space="preserve"> indhold i det første hætteglas op i sprøjten og sprøjtes derefter langsomt ind i det andet hætteglas med pulver.  Gentag trin 2-4 for det andet hætteglas.</w:t>
      </w:r>
    </w:p>
    <w:p w14:paraId="45ACF679" w14:textId="77777777" w:rsidR="00FE25BB" w:rsidRPr="002131C7" w:rsidRDefault="00FE25BB" w:rsidP="002131C7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2131C7">
        <w:rPr>
          <w:sz w:val="24"/>
          <w:szCs w:val="24"/>
        </w:rPr>
        <w:t xml:space="preserve">Hvis der anvendes flere hætteglas med pulver, vil mængden af humant </w:t>
      </w:r>
      <w:proofErr w:type="spellStart"/>
      <w:r w:rsidRPr="002131C7">
        <w:rPr>
          <w:sz w:val="24"/>
          <w:szCs w:val="24"/>
        </w:rPr>
        <w:t>choriongonadotropin</w:t>
      </w:r>
      <w:proofErr w:type="spellEnd"/>
      <w:r w:rsidRPr="002131C7">
        <w:rPr>
          <w:sz w:val="24"/>
          <w:szCs w:val="24"/>
        </w:rPr>
        <w:t xml:space="preserve"> indeholdt i 1 ml </w:t>
      </w:r>
      <w:proofErr w:type="spellStart"/>
      <w:r w:rsidRPr="002131C7">
        <w:rPr>
          <w:sz w:val="24"/>
          <w:szCs w:val="24"/>
        </w:rPr>
        <w:t>rekonstitueret</w:t>
      </w:r>
      <w:proofErr w:type="spellEnd"/>
      <w:r w:rsidRPr="002131C7">
        <w:rPr>
          <w:sz w:val="24"/>
          <w:szCs w:val="24"/>
        </w:rPr>
        <w:t xml:space="preserve"> opløsning være som følger:</w:t>
      </w:r>
    </w:p>
    <w:p w14:paraId="7DDD8701" w14:textId="77777777" w:rsidR="00FE25BB" w:rsidRPr="00A6485D" w:rsidRDefault="00FE25BB" w:rsidP="00A6485D">
      <w:pPr>
        <w:rPr>
          <w:sz w:val="24"/>
          <w:szCs w:val="24"/>
        </w:rPr>
      </w:pPr>
    </w:p>
    <w:tbl>
      <w:tblPr>
        <w:tblW w:w="3752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5026"/>
      </w:tblGrid>
      <w:tr w:rsidR="00FE25BB" w:rsidRPr="002131C7" w14:paraId="1C1D0787" w14:textId="77777777" w:rsidTr="002131C7">
        <w:trPr>
          <w:trHeight w:val="59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E65A" w14:textId="05C567F3" w:rsidR="00FE25BB" w:rsidRPr="002131C7" w:rsidRDefault="00FE25BB" w:rsidP="002131C7">
            <w:pPr>
              <w:rPr>
                <w:b/>
                <w:bCs/>
                <w:sz w:val="24"/>
                <w:szCs w:val="24"/>
              </w:rPr>
            </w:pPr>
            <w:r w:rsidRPr="002131C7">
              <w:rPr>
                <w:b/>
                <w:sz w:val="24"/>
                <w:szCs w:val="24"/>
              </w:rPr>
              <w:br w:type="page"/>
            </w:r>
            <w:proofErr w:type="spellStart"/>
            <w:r w:rsidRPr="002131C7">
              <w:rPr>
                <w:b/>
                <w:sz w:val="24"/>
                <w:szCs w:val="24"/>
              </w:rPr>
              <w:t>G</w:t>
            </w:r>
            <w:r w:rsidR="002131C7">
              <w:rPr>
                <w:b/>
                <w:sz w:val="24"/>
                <w:szCs w:val="24"/>
              </w:rPr>
              <w:t>onasi</w:t>
            </w:r>
            <w:proofErr w:type="spellEnd"/>
            <w:r w:rsidR="002131C7">
              <w:rPr>
                <w:b/>
                <w:sz w:val="24"/>
                <w:szCs w:val="24"/>
              </w:rPr>
              <w:t xml:space="preserve"> Set</w:t>
            </w:r>
            <w:r w:rsidRPr="002131C7">
              <w:rPr>
                <w:b/>
                <w:sz w:val="24"/>
                <w:szCs w:val="24"/>
              </w:rPr>
              <w:t xml:space="preserve"> 5.000 IE</w:t>
            </w:r>
            <w:r w:rsidR="0094233B">
              <w:rPr>
                <w:b/>
                <w:sz w:val="24"/>
                <w:szCs w:val="24"/>
              </w:rPr>
              <w:t>,</w:t>
            </w:r>
            <w:r w:rsidR="002131C7">
              <w:rPr>
                <w:b/>
                <w:sz w:val="24"/>
                <w:szCs w:val="24"/>
              </w:rPr>
              <w:t xml:space="preserve"> </w:t>
            </w:r>
            <w:r w:rsidRPr="002131C7">
              <w:rPr>
                <w:b/>
                <w:sz w:val="24"/>
                <w:szCs w:val="24"/>
              </w:rPr>
              <w:t xml:space="preserve">pulver og solvens til injektionsvæske, opløsning </w:t>
            </w:r>
          </w:p>
        </w:tc>
      </w:tr>
      <w:tr w:rsidR="00FE25BB" w:rsidRPr="00A6485D" w14:paraId="1EF6DCC0" w14:textId="77777777" w:rsidTr="002131C7">
        <w:trPr>
          <w:trHeight w:val="314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9133" w14:textId="77777777" w:rsidR="00FE25BB" w:rsidRPr="00A6485D" w:rsidRDefault="00FE25BB" w:rsidP="00A6485D">
            <w:pPr>
              <w:rPr>
                <w:bCs/>
                <w:sz w:val="24"/>
                <w:szCs w:val="24"/>
              </w:rPr>
            </w:pPr>
            <w:r w:rsidRPr="00A6485D">
              <w:rPr>
                <w:sz w:val="24"/>
                <w:szCs w:val="24"/>
              </w:rPr>
              <w:t>Antal anvendte hætteglas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0C20" w14:textId="7EEC2FEE" w:rsidR="00FE25BB" w:rsidRPr="00A6485D" w:rsidRDefault="00FE25BB" w:rsidP="00A6485D">
            <w:pPr>
              <w:rPr>
                <w:bCs/>
                <w:sz w:val="24"/>
                <w:szCs w:val="24"/>
              </w:rPr>
            </w:pPr>
            <w:r w:rsidRPr="00A6485D">
              <w:rPr>
                <w:sz w:val="24"/>
                <w:szCs w:val="24"/>
              </w:rPr>
              <w:t xml:space="preserve">Samlet mængde humant </w:t>
            </w:r>
            <w:proofErr w:type="spellStart"/>
            <w:r w:rsidRPr="00A6485D">
              <w:rPr>
                <w:sz w:val="24"/>
                <w:szCs w:val="24"/>
              </w:rPr>
              <w:t>choriongonadotropin</w:t>
            </w:r>
            <w:proofErr w:type="spellEnd"/>
            <w:r w:rsidRPr="00A6485D">
              <w:rPr>
                <w:sz w:val="24"/>
                <w:szCs w:val="24"/>
              </w:rPr>
              <w:t xml:space="preserve"> i 1</w:t>
            </w:r>
            <w:r w:rsidR="00577769">
              <w:rPr>
                <w:sz w:val="24"/>
                <w:szCs w:val="24"/>
              </w:rPr>
              <w:t> </w:t>
            </w:r>
            <w:bookmarkStart w:id="2" w:name="_GoBack"/>
            <w:bookmarkEnd w:id="2"/>
            <w:r w:rsidRPr="00A6485D">
              <w:rPr>
                <w:sz w:val="24"/>
                <w:szCs w:val="24"/>
              </w:rPr>
              <w:t>ml opløsning</w:t>
            </w:r>
          </w:p>
        </w:tc>
      </w:tr>
      <w:tr w:rsidR="00FE25BB" w:rsidRPr="00A6485D" w14:paraId="6328B7A4" w14:textId="77777777" w:rsidTr="002131C7">
        <w:trPr>
          <w:trHeight w:val="317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345" w14:textId="77777777" w:rsidR="00FE25BB" w:rsidRPr="00A6485D" w:rsidRDefault="00FE25BB" w:rsidP="00A6485D">
            <w:pPr>
              <w:rPr>
                <w:bCs/>
                <w:sz w:val="24"/>
                <w:szCs w:val="24"/>
              </w:rPr>
            </w:pPr>
            <w:r w:rsidRPr="00A6485D">
              <w:rPr>
                <w:sz w:val="24"/>
                <w:szCs w:val="24"/>
              </w:rPr>
              <w:t>1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DFE2" w14:textId="77777777" w:rsidR="00FE25BB" w:rsidRPr="00A6485D" w:rsidRDefault="00FE25BB" w:rsidP="00A6485D">
            <w:pPr>
              <w:rPr>
                <w:bCs/>
                <w:sz w:val="24"/>
                <w:szCs w:val="24"/>
              </w:rPr>
            </w:pPr>
            <w:r w:rsidRPr="00A6485D">
              <w:rPr>
                <w:sz w:val="24"/>
                <w:szCs w:val="24"/>
              </w:rPr>
              <w:t>5.000 IE</w:t>
            </w:r>
          </w:p>
        </w:tc>
      </w:tr>
      <w:tr w:rsidR="00FE25BB" w:rsidRPr="00A6485D" w14:paraId="678A6162" w14:textId="77777777" w:rsidTr="002131C7">
        <w:trPr>
          <w:trHeight w:val="299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06EA" w14:textId="77777777" w:rsidR="00FE25BB" w:rsidRPr="00A6485D" w:rsidRDefault="00FE25BB" w:rsidP="00A6485D">
            <w:pPr>
              <w:rPr>
                <w:bCs/>
                <w:sz w:val="24"/>
                <w:szCs w:val="24"/>
              </w:rPr>
            </w:pPr>
            <w:r w:rsidRPr="00A6485D">
              <w:rPr>
                <w:sz w:val="24"/>
                <w:szCs w:val="24"/>
              </w:rPr>
              <w:t>2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0DE7" w14:textId="77777777" w:rsidR="00FE25BB" w:rsidRPr="00A6485D" w:rsidRDefault="00FE25BB" w:rsidP="00A6485D">
            <w:pPr>
              <w:rPr>
                <w:bCs/>
                <w:sz w:val="24"/>
                <w:szCs w:val="24"/>
              </w:rPr>
            </w:pPr>
            <w:r w:rsidRPr="00A6485D">
              <w:rPr>
                <w:sz w:val="24"/>
                <w:szCs w:val="24"/>
              </w:rPr>
              <w:t>10.000 IE</w:t>
            </w:r>
          </w:p>
        </w:tc>
      </w:tr>
    </w:tbl>
    <w:p w14:paraId="42C6E037" w14:textId="77777777" w:rsidR="00FE25BB" w:rsidRPr="00A6485D" w:rsidRDefault="00FE25BB" w:rsidP="00EE7FAC">
      <w:pPr>
        <w:ind w:left="851"/>
        <w:rPr>
          <w:sz w:val="24"/>
          <w:szCs w:val="24"/>
          <w:lang w:val="en-US"/>
        </w:rPr>
      </w:pPr>
    </w:p>
    <w:p w14:paraId="6294823C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Opløsningen skal være klar og farveløs.</w:t>
      </w:r>
    </w:p>
    <w:p w14:paraId="24C87191" w14:textId="77777777" w:rsidR="002131C7" w:rsidRDefault="002131C7" w:rsidP="00EE7FAC">
      <w:pPr>
        <w:ind w:left="851"/>
        <w:rPr>
          <w:sz w:val="24"/>
          <w:szCs w:val="24"/>
        </w:rPr>
      </w:pPr>
    </w:p>
    <w:p w14:paraId="765512FB" w14:textId="2604E4C0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Bortskaf alle brugte genstande.</w:t>
      </w:r>
    </w:p>
    <w:p w14:paraId="43C99E62" w14:textId="77777777" w:rsidR="002131C7" w:rsidRDefault="002131C7" w:rsidP="00EE7FAC">
      <w:pPr>
        <w:ind w:left="851"/>
        <w:rPr>
          <w:sz w:val="24"/>
          <w:szCs w:val="24"/>
        </w:rPr>
      </w:pPr>
    </w:p>
    <w:p w14:paraId="38C6298F" w14:textId="38B99D05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Ikke anvendt lægemiddel samt affald heraf skal bortskaffes i henhold til lokale retningslinjer (når injektionen er afsluttet, skal alle kanyler og tomme sprøjter bortskaffes i en passende beholder).</w:t>
      </w:r>
    </w:p>
    <w:p w14:paraId="5A3B8046" w14:textId="01318E9A" w:rsidR="0094233B" w:rsidRDefault="009423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385BB2" w14:textId="77777777" w:rsidR="009260DE" w:rsidRPr="00A6485D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7B4D0AD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7.</w:t>
      </w:r>
      <w:r w:rsidRPr="00A6485D">
        <w:rPr>
          <w:b/>
          <w:sz w:val="24"/>
          <w:szCs w:val="24"/>
        </w:rPr>
        <w:tab/>
        <w:t>INDEHAVER AF MARKEDSFØRINGSTILLADELSEN</w:t>
      </w:r>
    </w:p>
    <w:p w14:paraId="7031F186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IBSA </w:t>
      </w:r>
      <w:proofErr w:type="spellStart"/>
      <w:r w:rsidRPr="00A6485D">
        <w:rPr>
          <w:sz w:val="24"/>
          <w:szCs w:val="24"/>
        </w:rPr>
        <w:t>Farmaceutici</w:t>
      </w:r>
      <w:proofErr w:type="spellEnd"/>
      <w:r w:rsidRPr="00A6485D">
        <w:rPr>
          <w:sz w:val="24"/>
          <w:szCs w:val="24"/>
        </w:rPr>
        <w:t xml:space="preserve"> Italia </w:t>
      </w:r>
      <w:proofErr w:type="spellStart"/>
      <w:r w:rsidRPr="00A6485D">
        <w:rPr>
          <w:sz w:val="24"/>
          <w:szCs w:val="24"/>
        </w:rPr>
        <w:t>s.r.l</w:t>
      </w:r>
      <w:proofErr w:type="spellEnd"/>
      <w:r w:rsidRPr="00A6485D">
        <w:rPr>
          <w:sz w:val="24"/>
          <w:szCs w:val="24"/>
        </w:rPr>
        <w:t>.</w:t>
      </w:r>
    </w:p>
    <w:p w14:paraId="470B90E0" w14:textId="77777777" w:rsidR="00FE25BB" w:rsidRPr="00A6485D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 xml:space="preserve">Via </w:t>
      </w:r>
      <w:proofErr w:type="spellStart"/>
      <w:r w:rsidRPr="00A6485D">
        <w:rPr>
          <w:sz w:val="24"/>
          <w:szCs w:val="24"/>
        </w:rPr>
        <w:t>Martiri</w:t>
      </w:r>
      <w:proofErr w:type="spellEnd"/>
      <w:r w:rsidRPr="00A6485D">
        <w:rPr>
          <w:sz w:val="24"/>
          <w:szCs w:val="24"/>
        </w:rPr>
        <w:t xml:space="preserve"> di </w:t>
      </w:r>
      <w:proofErr w:type="spellStart"/>
      <w:r w:rsidRPr="00A6485D">
        <w:rPr>
          <w:sz w:val="24"/>
          <w:szCs w:val="24"/>
        </w:rPr>
        <w:t>Cefalonia</w:t>
      </w:r>
      <w:proofErr w:type="spellEnd"/>
      <w:r w:rsidRPr="00A6485D">
        <w:rPr>
          <w:sz w:val="24"/>
          <w:szCs w:val="24"/>
        </w:rPr>
        <w:t>, 2</w:t>
      </w:r>
    </w:p>
    <w:p w14:paraId="47BCA6CB" w14:textId="77777777" w:rsidR="00E41696" w:rsidRDefault="00FE25BB" w:rsidP="00EE7FAC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26900</w:t>
      </w:r>
      <w:r w:rsidR="00E41696">
        <w:rPr>
          <w:sz w:val="24"/>
          <w:szCs w:val="24"/>
        </w:rPr>
        <w:t xml:space="preserve"> </w:t>
      </w:r>
      <w:proofErr w:type="spellStart"/>
      <w:r w:rsidRPr="00A6485D">
        <w:rPr>
          <w:sz w:val="24"/>
          <w:szCs w:val="24"/>
        </w:rPr>
        <w:t>Lodi</w:t>
      </w:r>
      <w:proofErr w:type="spellEnd"/>
      <w:r w:rsidRPr="00A6485D">
        <w:rPr>
          <w:sz w:val="24"/>
          <w:szCs w:val="24"/>
        </w:rPr>
        <w:t xml:space="preserve"> </w:t>
      </w:r>
    </w:p>
    <w:p w14:paraId="2EB64F1F" w14:textId="5A07D030" w:rsidR="009260DE" w:rsidRPr="00A6485D" w:rsidRDefault="00FE25BB" w:rsidP="00E41696">
      <w:pPr>
        <w:ind w:left="851"/>
        <w:rPr>
          <w:sz w:val="24"/>
          <w:szCs w:val="24"/>
        </w:rPr>
      </w:pPr>
      <w:r w:rsidRPr="00A6485D">
        <w:rPr>
          <w:sz w:val="24"/>
          <w:szCs w:val="24"/>
        </w:rPr>
        <w:t>Italien</w:t>
      </w:r>
    </w:p>
    <w:p w14:paraId="23061CAC" w14:textId="77777777" w:rsidR="009260DE" w:rsidRPr="00A6485D" w:rsidRDefault="009260DE" w:rsidP="00EE7FAC">
      <w:pPr>
        <w:rPr>
          <w:sz w:val="24"/>
          <w:szCs w:val="24"/>
        </w:rPr>
      </w:pPr>
    </w:p>
    <w:p w14:paraId="6385F1E3" w14:textId="77777777" w:rsidR="0035184D" w:rsidRPr="00C84483" w:rsidRDefault="0035184D" w:rsidP="0035184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196AC890" w14:textId="29BDE3DE" w:rsidR="009260DE" w:rsidRPr="00A6485D" w:rsidRDefault="009564F0" w:rsidP="009260DE">
      <w:pPr>
        <w:tabs>
          <w:tab w:val="left" w:pos="851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63540</w:t>
      </w:r>
    </w:p>
    <w:p w14:paraId="309CEC1E" w14:textId="77777777" w:rsidR="009260DE" w:rsidRPr="00A6485D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F1B1065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9.</w:t>
      </w:r>
      <w:r w:rsidRPr="00A6485D">
        <w:rPr>
          <w:b/>
          <w:sz w:val="24"/>
          <w:szCs w:val="24"/>
        </w:rPr>
        <w:tab/>
        <w:t>DATO FOR FØRSTE MARKEDSFØRINGSTILLADELSE</w:t>
      </w:r>
    </w:p>
    <w:p w14:paraId="1C50AFD6" w14:textId="5AB6E08D" w:rsidR="009260DE" w:rsidRPr="00A6485D" w:rsidRDefault="009564F0" w:rsidP="009260DE">
      <w:pPr>
        <w:tabs>
          <w:tab w:val="left" w:pos="851"/>
        </w:tabs>
        <w:ind w:left="851"/>
        <w:rPr>
          <w:sz w:val="24"/>
          <w:szCs w:val="24"/>
        </w:rPr>
      </w:pPr>
      <w:r w:rsidRPr="00A6485D">
        <w:rPr>
          <w:sz w:val="24"/>
          <w:szCs w:val="24"/>
        </w:rPr>
        <w:t>22. december 2021</w:t>
      </w:r>
    </w:p>
    <w:p w14:paraId="5E76609C" w14:textId="77777777" w:rsidR="009260DE" w:rsidRPr="00A6485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651F87" w14:textId="77777777" w:rsidR="009260DE" w:rsidRPr="00A6485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6485D">
        <w:rPr>
          <w:b/>
          <w:sz w:val="24"/>
          <w:szCs w:val="24"/>
        </w:rPr>
        <w:t>10.</w:t>
      </w:r>
      <w:r w:rsidRPr="00A6485D">
        <w:rPr>
          <w:b/>
          <w:sz w:val="24"/>
          <w:szCs w:val="24"/>
        </w:rPr>
        <w:tab/>
        <w:t>DATO FOR ÆNDRING AF TEKSTEN</w:t>
      </w:r>
    </w:p>
    <w:p w14:paraId="08777C9A" w14:textId="002F6247" w:rsidR="009260DE" w:rsidRPr="00A6485D" w:rsidRDefault="0035184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27. januar 2025</w:t>
      </w:r>
    </w:p>
    <w:sectPr w:rsidR="009260DE" w:rsidRPr="00A6485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EE9E5" w14:textId="77777777" w:rsidR="00DB496A" w:rsidRDefault="00DB496A">
      <w:r>
        <w:separator/>
      </w:r>
    </w:p>
  </w:endnote>
  <w:endnote w:type="continuationSeparator" w:id="0">
    <w:p w14:paraId="477ADD4D" w14:textId="77777777" w:rsidR="00DB496A" w:rsidRDefault="00DB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0C6E" w14:textId="77777777" w:rsidR="000259B9" w:rsidRDefault="000259B9">
    <w:pPr>
      <w:pStyle w:val="Sidefod"/>
      <w:pBdr>
        <w:bottom w:val="single" w:sz="6" w:space="1" w:color="auto"/>
      </w:pBdr>
    </w:pPr>
  </w:p>
  <w:p w14:paraId="5424BF5C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0CE1FBD" w14:textId="7506272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577E5">
      <w:rPr>
        <w:i/>
        <w:noProof/>
        <w:sz w:val="18"/>
        <w:szCs w:val="18"/>
      </w:rPr>
      <w:t>Gonasi Set, pulver og solvens til injektionsvæske, opløsning 5000 IE.docx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23BDA" w14:textId="77777777" w:rsidR="00DB496A" w:rsidRDefault="00DB496A">
      <w:r>
        <w:separator/>
      </w:r>
    </w:p>
  </w:footnote>
  <w:footnote w:type="continuationSeparator" w:id="0">
    <w:p w14:paraId="79384C4C" w14:textId="77777777" w:rsidR="00DB496A" w:rsidRDefault="00DB4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4EF"/>
    <w:multiLevelType w:val="hybridMultilevel"/>
    <w:tmpl w:val="8404154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DA539C"/>
    <w:multiLevelType w:val="hybridMultilevel"/>
    <w:tmpl w:val="B64ACF0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16B3610"/>
    <w:multiLevelType w:val="hybridMultilevel"/>
    <w:tmpl w:val="8850DC3C"/>
    <w:lvl w:ilvl="0" w:tplc="0406000F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A651ED"/>
    <w:multiLevelType w:val="hybridMultilevel"/>
    <w:tmpl w:val="6B6A26E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FD7D13"/>
    <w:multiLevelType w:val="hybridMultilevel"/>
    <w:tmpl w:val="3BAED64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5DA2D42"/>
    <w:multiLevelType w:val="hybridMultilevel"/>
    <w:tmpl w:val="17B4C3B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9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2BA6F36"/>
    <w:multiLevelType w:val="hybridMultilevel"/>
    <w:tmpl w:val="AAB2F8F4"/>
    <w:lvl w:ilvl="0" w:tplc="67EEA7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6A"/>
    <w:rsid w:val="000259B9"/>
    <w:rsid w:val="00035758"/>
    <w:rsid w:val="00041491"/>
    <w:rsid w:val="00050D16"/>
    <w:rsid w:val="000730CA"/>
    <w:rsid w:val="00074F2A"/>
    <w:rsid w:val="000A1CA8"/>
    <w:rsid w:val="000A466B"/>
    <w:rsid w:val="000B058C"/>
    <w:rsid w:val="000E4EE6"/>
    <w:rsid w:val="001454E2"/>
    <w:rsid w:val="00166059"/>
    <w:rsid w:val="001920FF"/>
    <w:rsid w:val="00206CE8"/>
    <w:rsid w:val="002131C7"/>
    <w:rsid w:val="0021526C"/>
    <w:rsid w:val="00283A2B"/>
    <w:rsid w:val="002B30AD"/>
    <w:rsid w:val="002C2C01"/>
    <w:rsid w:val="0035184D"/>
    <w:rsid w:val="003A29AE"/>
    <w:rsid w:val="003A32D7"/>
    <w:rsid w:val="003B4074"/>
    <w:rsid w:val="003C769A"/>
    <w:rsid w:val="003E260F"/>
    <w:rsid w:val="003E6E86"/>
    <w:rsid w:val="003F1838"/>
    <w:rsid w:val="004432F1"/>
    <w:rsid w:val="0045746C"/>
    <w:rsid w:val="0049104B"/>
    <w:rsid w:val="004B3565"/>
    <w:rsid w:val="004E3B12"/>
    <w:rsid w:val="00532310"/>
    <w:rsid w:val="00550851"/>
    <w:rsid w:val="00565F0F"/>
    <w:rsid w:val="00577769"/>
    <w:rsid w:val="00594A86"/>
    <w:rsid w:val="00596D86"/>
    <w:rsid w:val="006371C2"/>
    <w:rsid w:val="00637F5A"/>
    <w:rsid w:val="006560B1"/>
    <w:rsid w:val="006756DD"/>
    <w:rsid w:val="006834F8"/>
    <w:rsid w:val="006F2FC2"/>
    <w:rsid w:val="00737275"/>
    <w:rsid w:val="00740EEC"/>
    <w:rsid w:val="0078011A"/>
    <w:rsid w:val="00782AF4"/>
    <w:rsid w:val="00790EE7"/>
    <w:rsid w:val="007B6649"/>
    <w:rsid w:val="0082576E"/>
    <w:rsid w:val="00860333"/>
    <w:rsid w:val="00907F75"/>
    <w:rsid w:val="009260DE"/>
    <w:rsid w:val="0093258A"/>
    <w:rsid w:val="0094233B"/>
    <w:rsid w:val="009564F0"/>
    <w:rsid w:val="009C7BA3"/>
    <w:rsid w:val="009D1F5A"/>
    <w:rsid w:val="00A10294"/>
    <w:rsid w:val="00A6485D"/>
    <w:rsid w:val="00A90C63"/>
    <w:rsid w:val="00B003BF"/>
    <w:rsid w:val="00B373D7"/>
    <w:rsid w:val="00B516D3"/>
    <w:rsid w:val="00C36276"/>
    <w:rsid w:val="00C42586"/>
    <w:rsid w:val="00C577E5"/>
    <w:rsid w:val="00C60CCD"/>
    <w:rsid w:val="00C84483"/>
    <w:rsid w:val="00C95551"/>
    <w:rsid w:val="00CB20D7"/>
    <w:rsid w:val="00CB6199"/>
    <w:rsid w:val="00D020B0"/>
    <w:rsid w:val="00D11748"/>
    <w:rsid w:val="00D366CF"/>
    <w:rsid w:val="00DA3404"/>
    <w:rsid w:val="00DB496A"/>
    <w:rsid w:val="00E108AA"/>
    <w:rsid w:val="00E3749A"/>
    <w:rsid w:val="00E41696"/>
    <w:rsid w:val="00E7437F"/>
    <w:rsid w:val="00E865B8"/>
    <w:rsid w:val="00E90838"/>
    <w:rsid w:val="00EC0B9B"/>
    <w:rsid w:val="00ED5E9F"/>
    <w:rsid w:val="00EE7FAC"/>
    <w:rsid w:val="00F66D4F"/>
    <w:rsid w:val="00FA56C5"/>
    <w:rsid w:val="00FB6D01"/>
    <w:rsid w:val="00FD0642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A69DB"/>
  <w15:chartTrackingRefBased/>
  <w15:docId w15:val="{7CF61B1B-FBB5-4F6C-A610-5399C464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9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egemiddelstyrelsen.dk/da/bivirkninger/bivirkninger-ved-medicin/meld-en-bivirkn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2633</Words>
  <Characters>17087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2024052116, var. 10, pkt. 2, 5.1 og 6.5</dc:description>
  <cp:lastModifiedBy>Gitte Jørgensen</cp:lastModifiedBy>
  <cp:revision>10</cp:revision>
  <cp:lastPrinted>2012-08-22T08:53:00Z</cp:lastPrinted>
  <dcterms:created xsi:type="dcterms:W3CDTF">2025-01-27T07:40:00Z</dcterms:created>
  <dcterms:modified xsi:type="dcterms:W3CDTF">2025-01-27T08:06:00Z</dcterms:modified>
</cp:coreProperties>
</file>