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93CB0" w14:textId="77777777" w:rsidR="009260DE" w:rsidRPr="00F541D5" w:rsidRDefault="0021526C" w:rsidP="009260DE">
      <w:pPr>
        <w:rPr>
          <w:sz w:val="24"/>
          <w:szCs w:val="24"/>
        </w:rPr>
      </w:pPr>
      <w:bookmarkStart w:id="0" w:name="_GoBack"/>
      <w:bookmarkEnd w:id="0"/>
      <w:r w:rsidRPr="00F541D5">
        <w:rPr>
          <w:noProof/>
          <w:sz w:val="24"/>
          <w:szCs w:val="24"/>
          <w:lang w:eastAsia="da-DK"/>
        </w:rPr>
        <w:drawing>
          <wp:anchor distT="0" distB="0" distL="114300" distR="114300" simplePos="0" relativeHeight="251658240" behindDoc="0" locked="0" layoutInCell="1" allowOverlap="1" wp14:anchorId="3B700EEA" wp14:editId="54F8F33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541D5">
        <w:rPr>
          <w:sz w:val="24"/>
          <w:szCs w:val="24"/>
        </w:rPr>
        <w:br w:type="textWrapping" w:clear="all"/>
      </w:r>
    </w:p>
    <w:p w14:paraId="672E4B86" w14:textId="2B3784A8" w:rsidR="009260DE" w:rsidRPr="00F541D5" w:rsidRDefault="009260DE" w:rsidP="009260DE">
      <w:pPr>
        <w:pStyle w:val="Titel"/>
        <w:tabs>
          <w:tab w:val="right" w:pos="9356"/>
        </w:tabs>
        <w:jc w:val="left"/>
        <w:rPr>
          <w:b w:val="0"/>
          <w:szCs w:val="24"/>
          <w:lang w:eastAsia="en-US"/>
        </w:rPr>
      </w:pPr>
      <w:r w:rsidRPr="00F541D5">
        <w:rPr>
          <w:b w:val="0"/>
          <w:szCs w:val="24"/>
          <w:lang w:eastAsia="en-US"/>
        </w:rPr>
        <w:tab/>
      </w:r>
      <w:r w:rsidR="00F9554A">
        <w:rPr>
          <w:szCs w:val="24"/>
        </w:rPr>
        <w:t>11. september 2025</w:t>
      </w:r>
    </w:p>
    <w:p w14:paraId="76143323" w14:textId="77777777" w:rsidR="009260DE" w:rsidRPr="00F541D5" w:rsidRDefault="009260DE" w:rsidP="009260DE">
      <w:pPr>
        <w:pStyle w:val="Titel"/>
        <w:tabs>
          <w:tab w:val="left" w:pos="8222"/>
        </w:tabs>
        <w:jc w:val="left"/>
        <w:rPr>
          <w:b w:val="0"/>
          <w:szCs w:val="24"/>
        </w:rPr>
      </w:pPr>
    </w:p>
    <w:p w14:paraId="7FFAAF49" w14:textId="77777777" w:rsidR="009260DE" w:rsidRPr="00F541D5" w:rsidRDefault="009260DE" w:rsidP="009260DE">
      <w:pPr>
        <w:pStyle w:val="Titel"/>
        <w:jc w:val="left"/>
        <w:rPr>
          <w:b w:val="0"/>
          <w:szCs w:val="24"/>
        </w:rPr>
      </w:pPr>
    </w:p>
    <w:p w14:paraId="4F23812C" w14:textId="77777777" w:rsidR="009260DE" w:rsidRPr="00F541D5" w:rsidRDefault="009260DE" w:rsidP="009260DE">
      <w:pPr>
        <w:pStyle w:val="Titel"/>
        <w:jc w:val="left"/>
        <w:rPr>
          <w:b w:val="0"/>
          <w:szCs w:val="24"/>
        </w:rPr>
      </w:pPr>
    </w:p>
    <w:p w14:paraId="201F665A" w14:textId="77777777" w:rsidR="009260DE" w:rsidRPr="00F541D5" w:rsidRDefault="009260DE" w:rsidP="009260DE">
      <w:pPr>
        <w:jc w:val="center"/>
        <w:rPr>
          <w:b/>
          <w:sz w:val="24"/>
          <w:szCs w:val="24"/>
        </w:rPr>
      </w:pPr>
      <w:r w:rsidRPr="00F541D5">
        <w:rPr>
          <w:b/>
          <w:sz w:val="24"/>
          <w:szCs w:val="24"/>
        </w:rPr>
        <w:t>PRODUKTRESUMÉ</w:t>
      </w:r>
    </w:p>
    <w:p w14:paraId="6FA65DB7" w14:textId="77777777" w:rsidR="009260DE" w:rsidRPr="00F541D5" w:rsidRDefault="009260DE" w:rsidP="009260DE">
      <w:pPr>
        <w:jc w:val="center"/>
        <w:rPr>
          <w:b/>
          <w:sz w:val="24"/>
          <w:szCs w:val="24"/>
        </w:rPr>
      </w:pPr>
    </w:p>
    <w:p w14:paraId="5C661935" w14:textId="77777777" w:rsidR="009260DE" w:rsidRPr="00F541D5" w:rsidRDefault="009260DE" w:rsidP="009260DE">
      <w:pPr>
        <w:jc w:val="center"/>
        <w:rPr>
          <w:b/>
          <w:sz w:val="24"/>
          <w:szCs w:val="24"/>
        </w:rPr>
      </w:pPr>
      <w:r w:rsidRPr="00F541D5">
        <w:rPr>
          <w:b/>
          <w:sz w:val="24"/>
          <w:szCs w:val="24"/>
        </w:rPr>
        <w:t>for</w:t>
      </w:r>
    </w:p>
    <w:p w14:paraId="53E1FD77" w14:textId="77777777" w:rsidR="000B058C" w:rsidRPr="00F541D5" w:rsidRDefault="000B058C" w:rsidP="009260DE">
      <w:pPr>
        <w:jc w:val="center"/>
        <w:rPr>
          <w:b/>
          <w:sz w:val="24"/>
          <w:szCs w:val="24"/>
        </w:rPr>
      </w:pPr>
    </w:p>
    <w:p w14:paraId="1FC597B2" w14:textId="6BB06A0F" w:rsidR="009260DE" w:rsidRPr="00F541D5" w:rsidRDefault="00A30FFC" w:rsidP="009260DE">
      <w:pPr>
        <w:jc w:val="center"/>
        <w:rPr>
          <w:b/>
          <w:sz w:val="24"/>
          <w:szCs w:val="24"/>
        </w:rPr>
      </w:pPr>
      <w:proofErr w:type="spellStart"/>
      <w:r w:rsidRPr="00F541D5">
        <w:rPr>
          <w:b/>
          <w:sz w:val="24"/>
          <w:szCs w:val="24"/>
        </w:rPr>
        <w:t>Granisym</w:t>
      </w:r>
      <w:proofErr w:type="spellEnd"/>
      <w:r w:rsidRPr="00F541D5">
        <w:rPr>
          <w:b/>
          <w:sz w:val="24"/>
          <w:szCs w:val="24"/>
        </w:rPr>
        <w:t>, filmovertrukne tabletter</w:t>
      </w:r>
    </w:p>
    <w:p w14:paraId="7A595CDB" w14:textId="77777777" w:rsidR="009260DE" w:rsidRPr="00F541D5" w:rsidRDefault="009260DE" w:rsidP="009260DE">
      <w:pPr>
        <w:jc w:val="both"/>
        <w:rPr>
          <w:sz w:val="24"/>
          <w:szCs w:val="24"/>
        </w:rPr>
      </w:pPr>
    </w:p>
    <w:p w14:paraId="514C2B8D" w14:textId="77777777" w:rsidR="009260DE" w:rsidRPr="00F541D5" w:rsidRDefault="009260DE" w:rsidP="009260DE">
      <w:pPr>
        <w:jc w:val="both"/>
        <w:rPr>
          <w:sz w:val="24"/>
          <w:szCs w:val="24"/>
        </w:rPr>
      </w:pPr>
    </w:p>
    <w:p w14:paraId="722FB2EF" w14:textId="77777777" w:rsidR="009260DE" w:rsidRPr="00F541D5" w:rsidRDefault="009260DE" w:rsidP="009260DE">
      <w:pPr>
        <w:tabs>
          <w:tab w:val="left" w:pos="851"/>
        </w:tabs>
        <w:ind w:left="851" w:hanging="851"/>
        <w:rPr>
          <w:b/>
          <w:sz w:val="24"/>
          <w:szCs w:val="24"/>
        </w:rPr>
      </w:pPr>
      <w:r w:rsidRPr="00F541D5">
        <w:rPr>
          <w:b/>
          <w:sz w:val="24"/>
          <w:szCs w:val="24"/>
        </w:rPr>
        <w:t>0.</w:t>
      </w:r>
      <w:r w:rsidRPr="00F541D5">
        <w:rPr>
          <w:b/>
          <w:sz w:val="24"/>
          <w:szCs w:val="24"/>
        </w:rPr>
        <w:tab/>
        <w:t>D.SP.NR.</w:t>
      </w:r>
    </w:p>
    <w:p w14:paraId="2AF07E8D" w14:textId="3A2F7C3C" w:rsidR="009260DE" w:rsidRPr="00F541D5" w:rsidRDefault="00A30FFC" w:rsidP="009260DE">
      <w:pPr>
        <w:tabs>
          <w:tab w:val="left" w:pos="851"/>
        </w:tabs>
        <w:ind w:left="851"/>
        <w:rPr>
          <w:sz w:val="24"/>
          <w:szCs w:val="24"/>
        </w:rPr>
      </w:pPr>
      <w:r w:rsidRPr="00F541D5">
        <w:rPr>
          <w:sz w:val="24"/>
          <w:szCs w:val="24"/>
        </w:rPr>
        <w:t>34052</w:t>
      </w:r>
    </w:p>
    <w:p w14:paraId="6733A749" w14:textId="77777777" w:rsidR="009260DE" w:rsidRPr="00F541D5" w:rsidRDefault="009260DE" w:rsidP="009260DE">
      <w:pPr>
        <w:tabs>
          <w:tab w:val="left" w:pos="851"/>
        </w:tabs>
        <w:ind w:left="851"/>
        <w:rPr>
          <w:sz w:val="24"/>
          <w:szCs w:val="24"/>
        </w:rPr>
      </w:pPr>
    </w:p>
    <w:p w14:paraId="43A580F9" w14:textId="77777777" w:rsidR="009260DE" w:rsidRPr="00F541D5" w:rsidRDefault="009260DE" w:rsidP="009260DE">
      <w:pPr>
        <w:tabs>
          <w:tab w:val="left" w:pos="851"/>
        </w:tabs>
        <w:ind w:left="851" w:hanging="851"/>
        <w:rPr>
          <w:b/>
          <w:sz w:val="24"/>
          <w:szCs w:val="24"/>
        </w:rPr>
      </w:pPr>
      <w:r w:rsidRPr="00F541D5">
        <w:rPr>
          <w:b/>
          <w:sz w:val="24"/>
          <w:szCs w:val="24"/>
        </w:rPr>
        <w:t>1.</w:t>
      </w:r>
      <w:r w:rsidRPr="00F541D5">
        <w:rPr>
          <w:b/>
          <w:sz w:val="24"/>
          <w:szCs w:val="24"/>
        </w:rPr>
        <w:tab/>
        <w:t>LÆGEMIDLETS NAVN</w:t>
      </w:r>
    </w:p>
    <w:p w14:paraId="3F51A80C" w14:textId="50C81ECF" w:rsidR="009260DE" w:rsidRPr="00F541D5" w:rsidRDefault="00A30FFC" w:rsidP="009260DE">
      <w:pPr>
        <w:tabs>
          <w:tab w:val="left" w:pos="851"/>
        </w:tabs>
        <w:ind w:left="851"/>
        <w:rPr>
          <w:sz w:val="24"/>
          <w:szCs w:val="24"/>
        </w:rPr>
      </w:pPr>
      <w:proofErr w:type="spellStart"/>
      <w:r w:rsidRPr="00F541D5">
        <w:rPr>
          <w:sz w:val="24"/>
          <w:szCs w:val="24"/>
        </w:rPr>
        <w:t>Granisym</w:t>
      </w:r>
      <w:proofErr w:type="spellEnd"/>
    </w:p>
    <w:p w14:paraId="3AA8BB29" w14:textId="77777777" w:rsidR="009260DE" w:rsidRPr="00F541D5" w:rsidRDefault="009260DE" w:rsidP="009260DE">
      <w:pPr>
        <w:tabs>
          <w:tab w:val="left" w:pos="851"/>
        </w:tabs>
        <w:ind w:left="851"/>
        <w:rPr>
          <w:sz w:val="24"/>
          <w:szCs w:val="24"/>
        </w:rPr>
      </w:pPr>
    </w:p>
    <w:p w14:paraId="7620F5D3" w14:textId="77777777" w:rsidR="009260DE" w:rsidRPr="00F541D5" w:rsidRDefault="009260DE" w:rsidP="009260DE">
      <w:pPr>
        <w:tabs>
          <w:tab w:val="left" w:pos="851"/>
        </w:tabs>
        <w:ind w:left="851" w:hanging="851"/>
        <w:rPr>
          <w:b/>
          <w:sz w:val="24"/>
          <w:szCs w:val="24"/>
        </w:rPr>
      </w:pPr>
      <w:r w:rsidRPr="00F541D5">
        <w:rPr>
          <w:b/>
          <w:sz w:val="24"/>
          <w:szCs w:val="24"/>
        </w:rPr>
        <w:t>2.</w:t>
      </w:r>
      <w:r w:rsidRPr="00F541D5">
        <w:rPr>
          <w:b/>
          <w:sz w:val="24"/>
          <w:szCs w:val="24"/>
        </w:rPr>
        <w:tab/>
        <w:t>KVALITATIV OG KVANTITATIV SAMMENSÆTNING</w:t>
      </w:r>
    </w:p>
    <w:p w14:paraId="46386294" w14:textId="794A5E00" w:rsidR="00A425DC" w:rsidRPr="00F541D5" w:rsidRDefault="00A425DC" w:rsidP="005956A7">
      <w:pPr>
        <w:ind w:left="851"/>
        <w:rPr>
          <w:sz w:val="24"/>
          <w:szCs w:val="24"/>
          <w:lang w:eastAsia="da-DK"/>
        </w:rPr>
      </w:pPr>
      <w:r w:rsidRPr="00F541D5">
        <w:rPr>
          <w:sz w:val="24"/>
          <w:szCs w:val="24"/>
        </w:rPr>
        <w:t xml:space="preserve">1 mg tablet: Hver tablet indeholder 1 mg </w:t>
      </w:r>
      <w:proofErr w:type="spellStart"/>
      <w:r w:rsidRPr="00F541D5">
        <w:rPr>
          <w:sz w:val="24"/>
          <w:szCs w:val="24"/>
        </w:rPr>
        <w:t>granisetronhydrochlorid</w:t>
      </w:r>
      <w:proofErr w:type="spellEnd"/>
      <w:r w:rsidRPr="00F541D5">
        <w:rPr>
          <w:sz w:val="24"/>
          <w:szCs w:val="24"/>
        </w:rPr>
        <w:t xml:space="preserve"> svarende til 1 mg </w:t>
      </w:r>
      <w:proofErr w:type="spellStart"/>
      <w:r w:rsidRPr="00F541D5">
        <w:rPr>
          <w:sz w:val="24"/>
          <w:szCs w:val="24"/>
        </w:rPr>
        <w:t>granisetron</w:t>
      </w:r>
      <w:proofErr w:type="spellEnd"/>
    </w:p>
    <w:p w14:paraId="7C2AA4C0" w14:textId="77777777" w:rsidR="00A425DC" w:rsidRPr="00F541D5" w:rsidRDefault="00A425DC" w:rsidP="005956A7">
      <w:pPr>
        <w:ind w:left="851"/>
        <w:rPr>
          <w:sz w:val="24"/>
          <w:szCs w:val="24"/>
        </w:rPr>
      </w:pPr>
      <w:r w:rsidRPr="00F541D5">
        <w:rPr>
          <w:sz w:val="24"/>
          <w:szCs w:val="24"/>
        </w:rPr>
        <w:t xml:space="preserve">2 mg tablet: Hver tablet indeholder 2 mg </w:t>
      </w:r>
      <w:proofErr w:type="spellStart"/>
      <w:r w:rsidRPr="00F541D5">
        <w:rPr>
          <w:sz w:val="24"/>
          <w:szCs w:val="24"/>
        </w:rPr>
        <w:t>granisetronhydrochlorid</w:t>
      </w:r>
      <w:proofErr w:type="spellEnd"/>
      <w:r w:rsidRPr="00F541D5">
        <w:rPr>
          <w:sz w:val="24"/>
          <w:szCs w:val="24"/>
        </w:rPr>
        <w:t xml:space="preserve"> svarende til 2 mg </w:t>
      </w:r>
      <w:proofErr w:type="spellStart"/>
      <w:r w:rsidRPr="00F541D5">
        <w:rPr>
          <w:sz w:val="24"/>
          <w:szCs w:val="24"/>
        </w:rPr>
        <w:t>granisetron</w:t>
      </w:r>
      <w:proofErr w:type="spellEnd"/>
    </w:p>
    <w:p w14:paraId="0AFF438D" w14:textId="77777777" w:rsidR="00A425DC" w:rsidRPr="00F541D5" w:rsidRDefault="00A425DC" w:rsidP="005956A7">
      <w:pPr>
        <w:ind w:left="851"/>
        <w:rPr>
          <w:sz w:val="24"/>
          <w:szCs w:val="24"/>
        </w:rPr>
      </w:pPr>
    </w:p>
    <w:p w14:paraId="7DCF3DFA" w14:textId="35051438" w:rsidR="00A425DC" w:rsidRPr="00F541D5" w:rsidRDefault="00A425DC" w:rsidP="005956A7">
      <w:pPr>
        <w:ind w:left="851"/>
        <w:rPr>
          <w:sz w:val="24"/>
          <w:szCs w:val="24"/>
        </w:rPr>
      </w:pPr>
      <w:r w:rsidRPr="00F541D5">
        <w:rPr>
          <w:sz w:val="24"/>
          <w:szCs w:val="24"/>
        </w:rPr>
        <w:t>Hjælpestof, som behandleren skal være opmærksom på:</w:t>
      </w:r>
    </w:p>
    <w:p w14:paraId="1289A426" w14:textId="1EE589AE" w:rsidR="00A425DC" w:rsidRPr="00F541D5" w:rsidRDefault="00A425DC" w:rsidP="005956A7">
      <w:pPr>
        <w:ind w:left="851"/>
        <w:rPr>
          <w:sz w:val="24"/>
          <w:szCs w:val="24"/>
        </w:rPr>
      </w:pPr>
      <w:r w:rsidRPr="00F541D5">
        <w:rPr>
          <w:sz w:val="24"/>
          <w:szCs w:val="24"/>
        </w:rPr>
        <w:t xml:space="preserve">Hver 1 mg tablet indeholder 69,38 mg </w:t>
      </w:r>
      <w:proofErr w:type="spellStart"/>
      <w:r w:rsidRPr="00F541D5">
        <w:rPr>
          <w:sz w:val="24"/>
          <w:szCs w:val="24"/>
        </w:rPr>
        <w:t>lactosemonohydrat</w:t>
      </w:r>
      <w:proofErr w:type="spellEnd"/>
      <w:r w:rsidRPr="00F541D5">
        <w:rPr>
          <w:sz w:val="24"/>
          <w:szCs w:val="24"/>
        </w:rPr>
        <w:t>.</w:t>
      </w:r>
    </w:p>
    <w:p w14:paraId="456AF0E3" w14:textId="77777777" w:rsidR="00A425DC" w:rsidRPr="00F541D5" w:rsidRDefault="00A425DC" w:rsidP="005956A7">
      <w:pPr>
        <w:ind w:left="851"/>
        <w:rPr>
          <w:sz w:val="24"/>
          <w:szCs w:val="24"/>
        </w:rPr>
      </w:pPr>
      <w:r w:rsidRPr="00F541D5">
        <w:rPr>
          <w:sz w:val="24"/>
          <w:szCs w:val="24"/>
        </w:rPr>
        <w:t xml:space="preserve">Hver 2 mg tablet indeholder 138,76 mg </w:t>
      </w:r>
      <w:proofErr w:type="spellStart"/>
      <w:r w:rsidRPr="00F541D5">
        <w:rPr>
          <w:sz w:val="24"/>
          <w:szCs w:val="24"/>
        </w:rPr>
        <w:t>lactosemonohydrat</w:t>
      </w:r>
      <w:proofErr w:type="spellEnd"/>
      <w:r w:rsidRPr="00F541D5">
        <w:rPr>
          <w:sz w:val="24"/>
          <w:szCs w:val="24"/>
        </w:rPr>
        <w:t>.</w:t>
      </w:r>
    </w:p>
    <w:p w14:paraId="32A81F50" w14:textId="77777777" w:rsidR="00A425DC" w:rsidRPr="00F541D5" w:rsidRDefault="00A425DC" w:rsidP="005956A7">
      <w:pPr>
        <w:ind w:left="851"/>
        <w:rPr>
          <w:sz w:val="24"/>
          <w:szCs w:val="24"/>
        </w:rPr>
      </w:pPr>
    </w:p>
    <w:p w14:paraId="76C61AA6" w14:textId="66DF89D0" w:rsidR="00A425DC" w:rsidRPr="00F541D5" w:rsidRDefault="00A425DC" w:rsidP="005956A7">
      <w:pPr>
        <w:ind w:left="851"/>
        <w:rPr>
          <w:sz w:val="24"/>
          <w:szCs w:val="24"/>
        </w:rPr>
      </w:pPr>
      <w:r w:rsidRPr="00F541D5">
        <w:rPr>
          <w:sz w:val="24"/>
          <w:szCs w:val="24"/>
        </w:rPr>
        <w:t>Alle hjælpestoffer er anført under pkt. 6.1.</w:t>
      </w:r>
    </w:p>
    <w:p w14:paraId="762BADD2" w14:textId="77777777" w:rsidR="009260DE" w:rsidRPr="00F541D5" w:rsidRDefault="009260DE" w:rsidP="009260DE">
      <w:pPr>
        <w:tabs>
          <w:tab w:val="left" w:pos="851"/>
        </w:tabs>
        <w:ind w:left="851"/>
        <w:rPr>
          <w:sz w:val="24"/>
          <w:szCs w:val="24"/>
        </w:rPr>
      </w:pPr>
    </w:p>
    <w:p w14:paraId="04B855EB" w14:textId="77777777" w:rsidR="009260DE" w:rsidRPr="00F541D5" w:rsidRDefault="009260DE" w:rsidP="009260DE">
      <w:pPr>
        <w:tabs>
          <w:tab w:val="left" w:pos="851"/>
        </w:tabs>
        <w:ind w:left="851" w:hanging="851"/>
        <w:rPr>
          <w:b/>
          <w:sz w:val="24"/>
          <w:szCs w:val="24"/>
        </w:rPr>
      </w:pPr>
      <w:r w:rsidRPr="00F541D5">
        <w:rPr>
          <w:b/>
          <w:sz w:val="24"/>
          <w:szCs w:val="24"/>
        </w:rPr>
        <w:t>3.</w:t>
      </w:r>
      <w:r w:rsidRPr="00F541D5">
        <w:rPr>
          <w:b/>
          <w:sz w:val="24"/>
          <w:szCs w:val="24"/>
        </w:rPr>
        <w:tab/>
        <w:t>LÆGEMIDDELFORM</w:t>
      </w:r>
    </w:p>
    <w:p w14:paraId="48B93FF6" w14:textId="28B6D3D8" w:rsidR="00A425DC" w:rsidRPr="00F541D5" w:rsidRDefault="00A425DC" w:rsidP="005956A7">
      <w:pPr>
        <w:ind w:left="851"/>
        <w:rPr>
          <w:sz w:val="24"/>
          <w:szCs w:val="24"/>
          <w:lang w:eastAsia="da-DK"/>
        </w:rPr>
      </w:pPr>
      <w:r w:rsidRPr="00F541D5">
        <w:rPr>
          <w:sz w:val="24"/>
          <w:szCs w:val="24"/>
        </w:rPr>
        <w:t>Filmovertrukne tabletter</w:t>
      </w:r>
    </w:p>
    <w:p w14:paraId="05D7AC58" w14:textId="77777777" w:rsidR="00A425DC" w:rsidRPr="00F541D5" w:rsidRDefault="00A425DC" w:rsidP="005956A7">
      <w:pPr>
        <w:ind w:left="851"/>
        <w:rPr>
          <w:sz w:val="24"/>
          <w:szCs w:val="24"/>
        </w:rPr>
      </w:pPr>
    </w:p>
    <w:p w14:paraId="3DFB55A1" w14:textId="08E9D2CC" w:rsidR="00A425DC" w:rsidRPr="00F541D5" w:rsidRDefault="00A425DC" w:rsidP="005956A7">
      <w:pPr>
        <w:ind w:left="851"/>
        <w:rPr>
          <w:sz w:val="24"/>
          <w:szCs w:val="24"/>
        </w:rPr>
      </w:pPr>
      <w:r w:rsidRPr="00F541D5">
        <w:rPr>
          <w:sz w:val="24"/>
          <w:szCs w:val="24"/>
        </w:rPr>
        <w:t xml:space="preserve">1 mg tabletter: Hvide til </w:t>
      </w:r>
      <w:proofErr w:type="spellStart"/>
      <w:r w:rsidRPr="00F541D5">
        <w:rPr>
          <w:sz w:val="24"/>
          <w:szCs w:val="24"/>
        </w:rPr>
        <w:t>off</w:t>
      </w:r>
      <w:proofErr w:type="spellEnd"/>
      <w:r w:rsidRPr="00F541D5">
        <w:rPr>
          <w:sz w:val="24"/>
          <w:szCs w:val="24"/>
        </w:rPr>
        <w:t xml:space="preserve">-hvide, trekantede, </w:t>
      </w:r>
      <w:proofErr w:type="spellStart"/>
      <w:r w:rsidRPr="00F541D5">
        <w:rPr>
          <w:sz w:val="24"/>
          <w:szCs w:val="24"/>
        </w:rPr>
        <w:t>bikonvekse</w:t>
      </w:r>
      <w:proofErr w:type="spellEnd"/>
      <w:r w:rsidRPr="00F541D5">
        <w:rPr>
          <w:sz w:val="24"/>
          <w:szCs w:val="24"/>
        </w:rPr>
        <w:t xml:space="preserve"> filmovertrukne tabletter præget med “G1” på den ene side og glat på den anden side, med en længde på ca. 7,40 mm og en bredde på ca. 7,10 mm.</w:t>
      </w:r>
    </w:p>
    <w:p w14:paraId="6E10DB06" w14:textId="77777777" w:rsidR="00A425DC" w:rsidRPr="00F541D5" w:rsidRDefault="00A425DC" w:rsidP="005956A7">
      <w:pPr>
        <w:ind w:left="851"/>
        <w:rPr>
          <w:bCs/>
          <w:sz w:val="24"/>
          <w:szCs w:val="24"/>
        </w:rPr>
      </w:pPr>
    </w:p>
    <w:p w14:paraId="41901E6A" w14:textId="1A8AD548" w:rsidR="00A425DC" w:rsidRPr="00F541D5" w:rsidRDefault="00A425DC" w:rsidP="005956A7">
      <w:pPr>
        <w:ind w:left="851"/>
        <w:rPr>
          <w:sz w:val="24"/>
          <w:szCs w:val="24"/>
        </w:rPr>
      </w:pPr>
      <w:r w:rsidRPr="00F541D5">
        <w:rPr>
          <w:bCs/>
          <w:sz w:val="24"/>
          <w:szCs w:val="24"/>
        </w:rPr>
        <w:t xml:space="preserve">2 mg tabletter: </w:t>
      </w:r>
      <w:r w:rsidRPr="00F541D5">
        <w:rPr>
          <w:sz w:val="24"/>
          <w:szCs w:val="24"/>
        </w:rPr>
        <w:t xml:space="preserve">Hvide til </w:t>
      </w:r>
      <w:proofErr w:type="spellStart"/>
      <w:r w:rsidRPr="00F541D5">
        <w:rPr>
          <w:sz w:val="24"/>
          <w:szCs w:val="24"/>
        </w:rPr>
        <w:t>off</w:t>
      </w:r>
      <w:proofErr w:type="spellEnd"/>
      <w:r w:rsidRPr="00F541D5">
        <w:rPr>
          <w:sz w:val="24"/>
          <w:szCs w:val="24"/>
        </w:rPr>
        <w:t xml:space="preserve">-hvide, trekantede, </w:t>
      </w:r>
      <w:proofErr w:type="spellStart"/>
      <w:r w:rsidRPr="00F541D5">
        <w:rPr>
          <w:sz w:val="24"/>
          <w:szCs w:val="24"/>
        </w:rPr>
        <w:t>bikonvekse</w:t>
      </w:r>
      <w:proofErr w:type="spellEnd"/>
      <w:r w:rsidRPr="00F541D5">
        <w:rPr>
          <w:sz w:val="24"/>
          <w:szCs w:val="24"/>
        </w:rPr>
        <w:t xml:space="preserve"> filmovertrukne tabletter præget med “G2” på den ene side og glat på den anden side, med en længde på ca. 8,80 mm </w:t>
      </w:r>
    </w:p>
    <w:p w14:paraId="50EBA32C" w14:textId="77777777" w:rsidR="00A425DC" w:rsidRPr="00F541D5" w:rsidRDefault="00A425DC" w:rsidP="005956A7">
      <w:pPr>
        <w:ind w:left="851"/>
        <w:rPr>
          <w:sz w:val="24"/>
          <w:szCs w:val="24"/>
        </w:rPr>
      </w:pPr>
      <w:r w:rsidRPr="00F541D5">
        <w:rPr>
          <w:sz w:val="24"/>
          <w:szCs w:val="24"/>
        </w:rPr>
        <w:t>og en bredde på ca. 8,43 mm.</w:t>
      </w:r>
    </w:p>
    <w:p w14:paraId="4BF8B618" w14:textId="77777777" w:rsidR="009260DE" w:rsidRPr="00F541D5" w:rsidRDefault="009260DE" w:rsidP="009260DE">
      <w:pPr>
        <w:tabs>
          <w:tab w:val="left" w:pos="851"/>
        </w:tabs>
        <w:ind w:left="851"/>
        <w:rPr>
          <w:sz w:val="24"/>
          <w:szCs w:val="24"/>
        </w:rPr>
      </w:pPr>
    </w:p>
    <w:p w14:paraId="1F6E92CF" w14:textId="77777777" w:rsidR="009260DE" w:rsidRPr="00F541D5" w:rsidRDefault="009260DE" w:rsidP="009260DE">
      <w:pPr>
        <w:tabs>
          <w:tab w:val="left" w:pos="851"/>
        </w:tabs>
        <w:ind w:left="851"/>
        <w:rPr>
          <w:sz w:val="24"/>
          <w:szCs w:val="24"/>
        </w:rPr>
      </w:pPr>
    </w:p>
    <w:p w14:paraId="7002CBBD" w14:textId="77777777" w:rsidR="009260DE" w:rsidRPr="00F541D5" w:rsidRDefault="009260DE" w:rsidP="009260DE">
      <w:pPr>
        <w:tabs>
          <w:tab w:val="left" w:pos="851"/>
        </w:tabs>
        <w:ind w:left="851" w:hanging="851"/>
        <w:rPr>
          <w:b/>
          <w:sz w:val="24"/>
          <w:szCs w:val="24"/>
        </w:rPr>
      </w:pPr>
      <w:r w:rsidRPr="00F541D5">
        <w:rPr>
          <w:b/>
          <w:sz w:val="24"/>
          <w:szCs w:val="24"/>
        </w:rPr>
        <w:t>4.</w:t>
      </w:r>
      <w:r w:rsidRPr="00F541D5">
        <w:rPr>
          <w:b/>
          <w:sz w:val="24"/>
          <w:szCs w:val="24"/>
        </w:rPr>
        <w:tab/>
        <w:t>KLINISKE OPLYSNINGER</w:t>
      </w:r>
    </w:p>
    <w:p w14:paraId="364F08DF" w14:textId="77777777" w:rsidR="009260DE" w:rsidRPr="00F541D5" w:rsidRDefault="009260DE" w:rsidP="009260DE">
      <w:pPr>
        <w:tabs>
          <w:tab w:val="left" w:pos="851"/>
        </w:tabs>
        <w:ind w:left="851"/>
        <w:rPr>
          <w:b/>
          <w:sz w:val="24"/>
          <w:szCs w:val="24"/>
        </w:rPr>
      </w:pPr>
    </w:p>
    <w:p w14:paraId="11142C8E" w14:textId="77777777" w:rsidR="009260DE" w:rsidRPr="00F541D5" w:rsidRDefault="009260DE" w:rsidP="009260DE">
      <w:pPr>
        <w:tabs>
          <w:tab w:val="left" w:pos="851"/>
        </w:tabs>
        <w:ind w:left="851" w:hanging="851"/>
        <w:rPr>
          <w:b/>
          <w:sz w:val="24"/>
          <w:szCs w:val="24"/>
          <w:u w:val="single"/>
        </w:rPr>
      </w:pPr>
      <w:r w:rsidRPr="00F541D5">
        <w:rPr>
          <w:b/>
          <w:sz w:val="24"/>
          <w:szCs w:val="24"/>
        </w:rPr>
        <w:t>4.1</w:t>
      </w:r>
      <w:r w:rsidRPr="00F541D5">
        <w:rPr>
          <w:b/>
          <w:sz w:val="24"/>
          <w:szCs w:val="24"/>
        </w:rPr>
        <w:tab/>
        <w:t>Terapeutiske indikationer</w:t>
      </w:r>
    </w:p>
    <w:p w14:paraId="79FC9545" w14:textId="0D48A0F9" w:rsidR="00A425DC" w:rsidRPr="00F541D5" w:rsidRDefault="00A425DC" w:rsidP="005956A7">
      <w:pPr>
        <w:ind w:left="851"/>
        <w:rPr>
          <w:sz w:val="24"/>
          <w:szCs w:val="24"/>
          <w:lang w:eastAsia="da-DK"/>
        </w:rPr>
      </w:pPr>
      <w:proofErr w:type="spellStart"/>
      <w:r w:rsidRPr="00F541D5">
        <w:rPr>
          <w:bCs/>
          <w:sz w:val="24"/>
          <w:szCs w:val="24"/>
        </w:rPr>
        <w:t>Granisym</w:t>
      </w:r>
      <w:proofErr w:type="spellEnd"/>
      <w:r w:rsidRPr="00F541D5">
        <w:rPr>
          <w:sz w:val="24"/>
          <w:szCs w:val="24"/>
        </w:rPr>
        <w:t xml:space="preserve"> tabletter anvendes til forebyggelse af akut kvalme og opkastning i forbindelse med kemoterapi og stråleterapi.</w:t>
      </w:r>
    </w:p>
    <w:p w14:paraId="69F767EF" w14:textId="77777777" w:rsidR="00A425DC" w:rsidRPr="00F541D5" w:rsidRDefault="00A425DC" w:rsidP="005956A7">
      <w:pPr>
        <w:ind w:left="851"/>
        <w:rPr>
          <w:sz w:val="24"/>
          <w:szCs w:val="24"/>
        </w:rPr>
      </w:pPr>
    </w:p>
    <w:p w14:paraId="535B1D01" w14:textId="77777777" w:rsidR="00A425DC" w:rsidRPr="00F541D5" w:rsidRDefault="00A425DC" w:rsidP="005956A7">
      <w:pPr>
        <w:ind w:left="851"/>
        <w:rPr>
          <w:sz w:val="24"/>
          <w:szCs w:val="24"/>
        </w:rPr>
      </w:pPr>
      <w:proofErr w:type="spellStart"/>
      <w:r w:rsidRPr="00F541D5">
        <w:rPr>
          <w:bCs/>
          <w:sz w:val="24"/>
          <w:szCs w:val="24"/>
        </w:rPr>
        <w:t>Granisym</w:t>
      </w:r>
      <w:proofErr w:type="spellEnd"/>
      <w:r w:rsidRPr="00F541D5">
        <w:rPr>
          <w:sz w:val="24"/>
          <w:szCs w:val="24"/>
        </w:rPr>
        <w:t xml:space="preserve"> tabletter er indiceret hos voksne til forebyggelse af forsinket kvalme og opkastning i forbindelse med kemoterapi og stråleterapi.</w:t>
      </w:r>
    </w:p>
    <w:p w14:paraId="23550E7A" w14:textId="77777777" w:rsidR="009260DE" w:rsidRPr="00F541D5" w:rsidRDefault="009260DE" w:rsidP="009260DE">
      <w:pPr>
        <w:tabs>
          <w:tab w:val="left" w:pos="851"/>
        </w:tabs>
        <w:ind w:left="851"/>
        <w:rPr>
          <w:sz w:val="24"/>
          <w:szCs w:val="24"/>
        </w:rPr>
      </w:pPr>
    </w:p>
    <w:p w14:paraId="11192B0D" w14:textId="77777777" w:rsidR="009260DE" w:rsidRPr="00F541D5" w:rsidRDefault="009260DE" w:rsidP="009260DE">
      <w:pPr>
        <w:tabs>
          <w:tab w:val="left" w:pos="851"/>
        </w:tabs>
        <w:ind w:left="851" w:hanging="851"/>
        <w:rPr>
          <w:b/>
          <w:sz w:val="24"/>
          <w:szCs w:val="24"/>
        </w:rPr>
      </w:pPr>
      <w:r w:rsidRPr="00F541D5">
        <w:rPr>
          <w:b/>
          <w:sz w:val="24"/>
          <w:szCs w:val="24"/>
        </w:rPr>
        <w:t>4.2</w:t>
      </w:r>
      <w:r w:rsidRPr="00F541D5">
        <w:rPr>
          <w:b/>
          <w:sz w:val="24"/>
          <w:szCs w:val="24"/>
        </w:rPr>
        <w:tab/>
        <w:t xml:space="preserve">Dosering og </w:t>
      </w:r>
      <w:r w:rsidR="002C1EC0" w:rsidRPr="00F541D5">
        <w:rPr>
          <w:b/>
          <w:sz w:val="24"/>
          <w:szCs w:val="24"/>
        </w:rPr>
        <w:t>administration</w:t>
      </w:r>
    </w:p>
    <w:p w14:paraId="2FD9E5E5" w14:textId="77777777" w:rsidR="00F541D5" w:rsidRDefault="00F541D5" w:rsidP="005956A7">
      <w:pPr>
        <w:ind w:left="851"/>
        <w:rPr>
          <w:sz w:val="24"/>
          <w:szCs w:val="24"/>
        </w:rPr>
      </w:pPr>
    </w:p>
    <w:p w14:paraId="242FD7E4" w14:textId="5B24DA5C" w:rsidR="00A425DC" w:rsidRPr="00F541D5" w:rsidRDefault="00A425DC" w:rsidP="005956A7">
      <w:pPr>
        <w:ind w:left="851"/>
        <w:rPr>
          <w:sz w:val="24"/>
          <w:szCs w:val="24"/>
          <w:u w:val="single"/>
          <w:lang w:eastAsia="da-DK"/>
        </w:rPr>
      </w:pPr>
      <w:r w:rsidRPr="00F541D5">
        <w:rPr>
          <w:sz w:val="24"/>
          <w:szCs w:val="24"/>
          <w:u w:val="single"/>
        </w:rPr>
        <w:t>Dosering</w:t>
      </w:r>
    </w:p>
    <w:p w14:paraId="5A7A06CA" w14:textId="05AEB8F5" w:rsidR="00A425DC" w:rsidRPr="00F541D5" w:rsidRDefault="00A425DC" w:rsidP="005956A7">
      <w:pPr>
        <w:ind w:left="851"/>
        <w:rPr>
          <w:sz w:val="24"/>
          <w:szCs w:val="24"/>
        </w:rPr>
      </w:pPr>
      <w:r w:rsidRPr="00F541D5">
        <w:rPr>
          <w:sz w:val="24"/>
          <w:szCs w:val="24"/>
        </w:rPr>
        <w:t xml:space="preserve">1 mg to gange daglig eller 2 mg en gang daglig i op til en uge efter stråleterapi eller kemoterapi. Den første dosis </w:t>
      </w:r>
      <w:proofErr w:type="spellStart"/>
      <w:r w:rsidRPr="00F541D5">
        <w:rPr>
          <w:sz w:val="24"/>
          <w:szCs w:val="24"/>
        </w:rPr>
        <w:t>Granisym</w:t>
      </w:r>
      <w:proofErr w:type="spellEnd"/>
      <w:r w:rsidRPr="00F541D5">
        <w:rPr>
          <w:sz w:val="24"/>
          <w:szCs w:val="24"/>
        </w:rPr>
        <w:t xml:space="preserve"> skal administreres inden for 1 time, før behandlingen påbegyndes. </w:t>
      </w:r>
      <w:proofErr w:type="spellStart"/>
      <w:r w:rsidRPr="00F541D5">
        <w:rPr>
          <w:sz w:val="24"/>
          <w:szCs w:val="24"/>
        </w:rPr>
        <w:t>Dexamethason</w:t>
      </w:r>
      <w:proofErr w:type="spellEnd"/>
      <w:r w:rsidRPr="00F541D5">
        <w:rPr>
          <w:sz w:val="24"/>
          <w:szCs w:val="24"/>
        </w:rPr>
        <w:t xml:space="preserve"> er blevet anvendt samtidigt i doser på op til 20</w:t>
      </w:r>
      <w:r w:rsidR="00811B8F">
        <w:rPr>
          <w:sz w:val="24"/>
          <w:szCs w:val="24"/>
        </w:rPr>
        <w:t> </w:t>
      </w:r>
      <w:r w:rsidRPr="00F541D5">
        <w:rPr>
          <w:sz w:val="24"/>
          <w:szCs w:val="24"/>
        </w:rPr>
        <w:t xml:space="preserve">mg oralt en gang daglig. </w:t>
      </w:r>
    </w:p>
    <w:p w14:paraId="16635FBB" w14:textId="77777777" w:rsidR="00A425DC" w:rsidRPr="00F541D5" w:rsidRDefault="00A425DC" w:rsidP="005956A7">
      <w:pPr>
        <w:ind w:left="851"/>
        <w:rPr>
          <w:sz w:val="24"/>
          <w:szCs w:val="24"/>
        </w:rPr>
      </w:pPr>
    </w:p>
    <w:p w14:paraId="7D5C556F" w14:textId="268FE893" w:rsidR="00A425DC" w:rsidRPr="00F541D5" w:rsidRDefault="00A425DC" w:rsidP="005956A7">
      <w:pPr>
        <w:ind w:left="851"/>
        <w:rPr>
          <w:iCs/>
          <w:sz w:val="24"/>
          <w:szCs w:val="24"/>
          <w:u w:val="single"/>
        </w:rPr>
      </w:pPr>
      <w:r w:rsidRPr="00F541D5">
        <w:rPr>
          <w:iCs/>
          <w:sz w:val="24"/>
          <w:szCs w:val="24"/>
          <w:u w:val="single"/>
        </w:rPr>
        <w:t>Pædiatrisk population</w:t>
      </w:r>
    </w:p>
    <w:p w14:paraId="5A466E9F" w14:textId="77777777" w:rsidR="00A425DC" w:rsidRPr="00F541D5" w:rsidRDefault="00A425DC" w:rsidP="005956A7">
      <w:pPr>
        <w:ind w:left="851"/>
        <w:rPr>
          <w:sz w:val="24"/>
          <w:szCs w:val="24"/>
        </w:rPr>
      </w:pPr>
      <w:r w:rsidRPr="00F541D5">
        <w:rPr>
          <w:sz w:val="24"/>
          <w:szCs w:val="24"/>
        </w:rPr>
        <w:t xml:space="preserve">Sikkerheden og virkningen af </w:t>
      </w:r>
      <w:proofErr w:type="spellStart"/>
      <w:r w:rsidRPr="00F541D5">
        <w:rPr>
          <w:sz w:val="24"/>
          <w:szCs w:val="24"/>
        </w:rPr>
        <w:t>granisetron</w:t>
      </w:r>
      <w:proofErr w:type="spellEnd"/>
      <w:r w:rsidRPr="00F541D5">
        <w:rPr>
          <w:sz w:val="24"/>
          <w:szCs w:val="24"/>
        </w:rPr>
        <w:t xml:space="preserve"> tabletter hos børn er ikke klarlagt. Der foreligger ingen data.</w:t>
      </w:r>
    </w:p>
    <w:p w14:paraId="5B0EA7CC" w14:textId="77777777" w:rsidR="00A425DC" w:rsidRPr="00F541D5" w:rsidRDefault="00A425DC" w:rsidP="005956A7">
      <w:pPr>
        <w:ind w:left="851"/>
        <w:rPr>
          <w:sz w:val="24"/>
          <w:szCs w:val="24"/>
        </w:rPr>
      </w:pPr>
    </w:p>
    <w:p w14:paraId="5C481560" w14:textId="77777777" w:rsidR="00A425DC" w:rsidRPr="00F541D5" w:rsidRDefault="00A425DC" w:rsidP="005956A7">
      <w:pPr>
        <w:ind w:left="851"/>
        <w:rPr>
          <w:sz w:val="24"/>
          <w:szCs w:val="24"/>
          <w:u w:val="single"/>
        </w:rPr>
      </w:pPr>
      <w:r w:rsidRPr="00F541D5">
        <w:rPr>
          <w:sz w:val="24"/>
          <w:szCs w:val="24"/>
          <w:u w:val="single"/>
        </w:rPr>
        <w:t>Særlige populationer</w:t>
      </w:r>
    </w:p>
    <w:p w14:paraId="5468DCAA" w14:textId="77777777" w:rsidR="00A425DC" w:rsidRPr="00F541D5" w:rsidRDefault="00A425DC" w:rsidP="005956A7">
      <w:pPr>
        <w:ind w:left="851"/>
        <w:rPr>
          <w:sz w:val="24"/>
          <w:szCs w:val="24"/>
        </w:rPr>
      </w:pPr>
    </w:p>
    <w:p w14:paraId="55E648F6" w14:textId="77777777" w:rsidR="00A425DC" w:rsidRPr="00F541D5" w:rsidRDefault="00A425DC" w:rsidP="005956A7">
      <w:pPr>
        <w:ind w:left="851"/>
        <w:rPr>
          <w:i/>
          <w:sz w:val="24"/>
          <w:szCs w:val="24"/>
        </w:rPr>
      </w:pPr>
      <w:r w:rsidRPr="00F541D5">
        <w:rPr>
          <w:i/>
          <w:sz w:val="24"/>
          <w:szCs w:val="24"/>
        </w:rPr>
        <w:t>Ældre og nedsat nyrefunktion</w:t>
      </w:r>
    </w:p>
    <w:p w14:paraId="7E89F216" w14:textId="77777777" w:rsidR="00A425DC" w:rsidRPr="00F541D5" w:rsidRDefault="00A425DC" w:rsidP="005956A7">
      <w:pPr>
        <w:ind w:left="851"/>
        <w:rPr>
          <w:sz w:val="24"/>
          <w:szCs w:val="24"/>
        </w:rPr>
      </w:pPr>
      <w:r w:rsidRPr="00F541D5">
        <w:rPr>
          <w:sz w:val="24"/>
          <w:szCs w:val="24"/>
        </w:rPr>
        <w:t>Speciel forsigtighed er ikke påkrævet ved anvendelse til ældre patienter eller til patienter med nedsat nyrefunktion.</w:t>
      </w:r>
    </w:p>
    <w:p w14:paraId="0D192557" w14:textId="77777777" w:rsidR="00A425DC" w:rsidRPr="00F541D5" w:rsidRDefault="00A425DC" w:rsidP="005956A7">
      <w:pPr>
        <w:ind w:left="851"/>
        <w:rPr>
          <w:sz w:val="24"/>
          <w:szCs w:val="24"/>
        </w:rPr>
      </w:pPr>
    </w:p>
    <w:p w14:paraId="18BA2B16" w14:textId="77777777" w:rsidR="00A425DC" w:rsidRPr="00F541D5" w:rsidRDefault="00A425DC" w:rsidP="005956A7">
      <w:pPr>
        <w:ind w:left="851"/>
        <w:rPr>
          <w:i/>
          <w:sz w:val="24"/>
          <w:szCs w:val="24"/>
        </w:rPr>
      </w:pPr>
      <w:r w:rsidRPr="00F541D5">
        <w:rPr>
          <w:i/>
          <w:sz w:val="24"/>
          <w:szCs w:val="24"/>
        </w:rPr>
        <w:t>Nedsat leverfunktion</w:t>
      </w:r>
    </w:p>
    <w:p w14:paraId="3913B279" w14:textId="77777777" w:rsidR="00A425DC" w:rsidRPr="00F541D5" w:rsidRDefault="00A425DC" w:rsidP="005956A7">
      <w:pPr>
        <w:ind w:left="851"/>
        <w:rPr>
          <w:sz w:val="24"/>
          <w:szCs w:val="24"/>
        </w:rPr>
      </w:pPr>
      <w:r w:rsidRPr="00F541D5">
        <w:rPr>
          <w:sz w:val="24"/>
          <w:szCs w:val="24"/>
        </w:rPr>
        <w:t xml:space="preserve">Til dato er der ikke evidens for en øget hyppighed af bivirkninger hos patienter med leversygdomme. Dosisjustering er ikke nødvendig, men på baggrund af </w:t>
      </w:r>
      <w:proofErr w:type="spellStart"/>
      <w:r w:rsidRPr="00F541D5">
        <w:rPr>
          <w:sz w:val="24"/>
          <w:szCs w:val="24"/>
        </w:rPr>
        <w:t>granisetrons</w:t>
      </w:r>
      <w:proofErr w:type="spellEnd"/>
      <w:r w:rsidRPr="00F541D5">
        <w:rPr>
          <w:sz w:val="24"/>
          <w:szCs w:val="24"/>
        </w:rPr>
        <w:t xml:space="preserve"> kinetik bør det anvendes med en vis forsigtighed hos denne patientgruppe (se pkt. 5.2).</w:t>
      </w:r>
    </w:p>
    <w:p w14:paraId="43B2B0BC" w14:textId="77777777" w:rsidR="00A425DC" w:rsidRPr="00F541D5" w:rsidRDefault="00A425DC" w:rsidP="005956A7">
      <w:pPr>
        <w:ind w:left="851"/>
        <w:rPr>
          <w:sz w:val="24"/>
          <w:szCs w:val="24"/>
        </w:rPr>
      </w:pPr>
    </w:p>
    <w:p w14:paraId="393301E6" w14:textId="77777777" w:rsidR="00A425DC" w:rsidRPr="00F541D5" w:rsidRDefault="00A425DC" w:rsidP="005956A7">
      <w:pPr>
        <w:ind w:left="851"/>
        <w:rPr>
          <w:bCs/>
          <w:sz w:val="24"/>
          <w:szCs w:val="24"/>
          <w:u w:val="single"/>
        </w:rPr>
      </w:pPr>
      <w:r w:rsidRPr="00F541D5">
        <w:rPr>
          <w:bCs/>
          <w:sz w:val="24"/>
          <w:szCs w:val="24"/>
          <w:u w:val="single"/>
        </w:rPr>
        <w:t>Administration</w:t>
      </w:r>
    </w:p>
    <w:p w14:paraId="52DB9630" w14:textId="5555604D" w:rsidR="00A425DC" w:rsidRPr="00F541D5" w:rsidRDefault="00A425DC" w:rsidP="005956A7">
      <w:pPr>
        <w:ind w:left="851"/>
        <w:rPr>
          <w:b/>
          <w:bCs/>
          <w:sz w:val="24"/>
          <w:szCs w:val="24"/>
        </w:rPr>
      </w:pPr>
      <w:r w:rsidRPr="00F541D5">
        <w:rPr>
          <w:sz w:val="24"/>
          <w:szCs w:val="24"/>
        </w:rPr>
        <w:t>De filmovertrukne tabletter skal sluges hele sammen med vand for at undgå beskadigelse af filmovertrækket.</w:t>
      </w:r>
    </w:p>
    <w:p w14:paraId="328C8733" w14:textId="77777777" w:rsidR="009260DE" w:rsidRPr="00F541D5" w:rsidRDefault="009260DE" w:rsidP="009260DE">
      <w:pPr>
        <w:tabs>
          <w:tab w:val="left" w:pos="851"/>
        </w:tabs>
        <w:ind w:left="851"/>
        <w:rPr>
          <w:sz w:val="24"/>
          <w:szCs w:val="24"/>
        </w:rPr>
      </w:pPr>
    </w:p>
    <w:p w14:paraId="542B88EA" w14:textId="77777777" w:rsidR="009260DE" w:rsidRPr="00F541D5" w:rsidRDefault="009260DE" w:rsidP="009260DE">
      <w:pPr>
        <w:tabs>
          <w:tab w:val="left" w:pos="851"/>
        </w:tabs>
        <w:ind w:left="851" w:hanging="851"/>
        <w:rPr>
          <w:b/>
          <w:sz w:val="24"/>
          <w:szCs w:val="24"/>
        </w:rPr>
      </w:pPr>
      <w:r w:rsidRPr="00F541D5">
        <w:rPr>
          <w:b/>
          <w:sz w:val="24"/>
          <w:szCs w:val="24"/>
        </w:rPr>
        <w:t>4.3</w:t>
      </w:r>
      <w:r w:rsidRPr="00F541D5">
        <w:rPr>
          <w:b/>
          <w:sz w:val="24"/>
          <w:szCs w:val="24"/>
        </w:rPr>
        <w:tab/>
        <w:t>Kontraindikationer</w:t>
      </w:r>
    </w:p>
    <w:p w14:paraId="0952EEE5" w14:textId="79DA0FC3" w:rsidR="00A425DC" w:rsidRPr="00F541D5" w:rsidRDefault="00A425DC" w:rsidP="005956A7">
      <w:pPr>
        <w:ind w:left="851"/>
        <w:rPr>
          <w:sz w:val="24"/>
          <w:szCs w:val="24"/>
          <w:lang w:eastAsia="da-DK"/>
        </w:rPr>
      </w:pPr>
      <w:r w:rsidRPr="00F541D5">
        <w:rPr>
          <w:sz w:val="24"/>
          <w:szCs w:val="24"/>
        </w:rPr>
        <w:t>Overfølsomhed overfor det aktive stof eller overfor et eller flere af hjælpestofferne anført i pkt. 6.1.</w:t>
      </w:r>
    </w:p>
    <w:p w14:paraId="4DE95256" w14:textId="77777777" w:rsidR="009260DE" w:rsidRPr="00F541D5" w:rsidRDefault="009260DE" w:rsidP="009260DE">
      <w:pPr>
        <w:tabs>
          <w:tab w:val="left" w:pos="851"/>
        </w:tabs>
        <w:ind w:left="851"/>
        <w:rPr>
          <w:sz w:val="24"/>
          <w:szCs w:val="24"/>
        </w:rPr>
      </w:pPr>
    </w:p>
    <w:p w14:paraId="0B087939" w14:textId="77777777" w:rsidR="009260DE" w:rsidRPr="00F541D5" w:rsidRDefault="009260DE" w:rsidP="009260DE">
      <w:pPr>
        <w:tabs>
          <w:tab w:val="left" w:pos="851"/>
        </w:tabs>
        <w:ind w:left="851" w:hanging="851"/>
        <w:rPr>
          <w:b/>
          <w:sz w:val="24"/>
          <w:szCs w:val="24"/>
        </w:rPr>
      </w:pPr>
      <w:r w:rsidRPr="00F541D5">
        <w:rPr>
          <w:b/>
          <w:sz w:val="24"/>
          <w:szCs w:val="24"/>
        </w:rPr>
        <w:t>4.4</w:t>
      </w:r>
      <w:r w:rsidRPr="00F541D5">
        <w:rPr>
          <w:b/>
          <w:sz w:val="24"/>
          <w:szCs w:val="24"/>
        </w:rPr>
        <w:tab/>
        <w:t>Særlige advarsler og forsigtighedsregler vedrørende brugen</w:t>
      </w:r>
    </w:p>
    <w:p w14:paraId="28A587DB" w14:textId="3D9BAD2B" w:rsidR="00A425DC" w:rsidRPr="00F541D5" w:rsidRDefault="00A425DC" w:rsidP="005956A7">
      <w:pPr>
        <w:ind w:left="851"/>
        <w:rPr>
          <w:sz w:val="24"/>
          <w:szCs w:val="24"/>
          <w:lang w:eastAsia="da-DK"/>
        </w:rPr>
      </w:pPr>
      <w:r w:rsidRPr="00F541D5">
        <w:rPr>
          <w:sz w:val="24"/>
          <w:szCs w:val="24"/>
        </w:rPr>
        <w:t xml:space="preserve">Da </w:t>
      </w:r>
      <w:proofErr w:type="spellStart"/>
      <w:r w:rsidRPr="00F541D5">
        <w:rPr>
          <w:sz w:val="24"/>
          <w:szCs w:val="24"/>
        </w:rPr>
        <w:t>granisetron</w:t>
      </w:r>
      <w:proofErr w:type="spellEnd"/>
      <w:r w:rsidRPr="00F541D5">
        <w:rPr>
          <w:sz w:val="24"/>
          <w:szCs w:val="24"/>
        </w:rPr>
        <w:t xml:space="preserve"> kan reducere den nedre </w:t>
      </w:r>
      <w:proofErr w:type="spellStart"/>
      <w:r w:rsidRPr="00F541D5">
        <w:rPr>
          <w:sz w:val="24"/>
          <w:szCs w:val="24"/>
        </w:rPr>
        <w:t>tarmmotilitet</w:t>
      </w:r>
      <w:proofErr w:type="spellEnd"/>
      <w:r w:rsidRPr="00F541D5">
        <w:rPr>
          <w:sz w:val="24"/>
          <w:szCs w:val="24"/>
        </w:rPr>
        <w:t xml:space="preserve">, skal patienter med tegn på (sub)-akut </w:t>
      </w:r>
      <w:proofErr w:type="spellStart"/>
      <w:r w:rsidRPr="00F541D5">
        <w:rPr>
          <w:sz w:val="24"/>
          <w:szCs w:val="24"/>
        </w:rPr>
        <w:t>interstinal</w:t>
      </w:r>
      <w:proofErr w:type="spellEnd"/>
      <w:r w:rsidRPr="00F541D5">
        <w:rPr>
          <w:sz w:val="24"/>
          <w:szCs w:val="24"/>
        </w:rPr>
        <w:t xml:space="preserve"> obstruktion overvåges nøje efter indgivelse af </w:t>
      </w:r>
      <w:proofErr w:type="spellStart"/>
      <w:r w:rsidRPr="00F541D5">
        <w:rPr>
          <w:sz w:val="24"/>
          <w:szCs w:val="24"/>
        </w:rPr>
        <w:t>granisetron</w:t>
      </w:r>
      <w:proofErr w:type="spellEnd"/>
      <w:r w:rsidRPr="00F541D5">
        <w:rPr>
          <w:sz w:val="24"/>
          <w:szCs w:val="24"/>
        </w:rPr>
        <w:t>.</w:t>
      </w:r>
    </w:p>
    <w:p w14:paraId="7159B7BF" w14:textId="77777777" w:rsidR="00A425DC" w:rsidRPr="00F541D5" w:rsidRDefault="00A425DC" w:rsidP="005956A7">
      <w:pPr>
        <w:ind w:left="851"/>
        <w:rPr>
          <w:sz w:val="24"/>
          <w:szCs w:val="24"/>
        </w:rPr>
      </w:pPr>
    </w:p>
    <w:p w14:paraId="19EB01E7" w14:textId="77777777" w:rsidR="00A425DC" w:rsidRPr="00F541D5" w:rsidRDefault="00A425DC" w:rsidP="005956A7">
      <w:pPr>
        <w:ind w:left="851"/>
        <w:rPr>
          <w:sz w:val="24"/>
          <w:szCs w:val="24"/>
        </w:rPr>
      </w:pPr>
      <w:r w:rsidRPr="00F541D5">
        <w:rPr>
          <w:sz w:val="24"/>
          <w:szCs w:val="24"/>
        </w:rPr>
        <w:t>Som for andre 5-HT</w:t>
      </w:r>
      <w:r w:rsidRPr="00F541D5">
        <w:rPr>
          <w:sz w:val="24"/>
          <w:szCs w:val="24"/>
          <w:vertAlign w:val="subscript"/>
        </w:rPr>
        <w:t>3</w:t>
      </w:r>
      <w:r w:rsidRPr="00F541D5">
        <w:rPr>
          <w:sz w:val="24"/>
          <w:szCs w:val="24"/>
        </w:rPr>
        <w:t xml:space="preserve"> antagonister er der rapporteret om EKG-ændringer, herunder forlængelse af QT-intervallet for </w:t>
      </w:r>
      <w:proofErr w:type="spellStart"/>
      <w:r w:rsidRPr="00F541D5">
        <w:rPr>
          <w:sz w:val="24"/>
          <w:szCs w:val="24"/>
        </w:rPr>
        <w:t>granisetron</w:t>
      </w:r>
      <w:proofErr w:type="spellEnd"/>
      <w:r w:rsidRPr="00F541D5">
        <w:rPr>
          <w:sz w:val="24"/>
          <w:szCs w:val="24"/>
        </w:rPr>
        <w:t xml:space="preserve">. For patienter med præ-eksisterende </w:t>
      </w:r>
      <w:proofErr w:type="spellStart"/>
      <w:r w:rsidRPr="00F541D5">
        <w:rPr>
          <w:sz w:val="24"/>
          <w:szCs w:val="24"/>
        </w:rPr>
        <w:t>arytmier</w:t>
      </w:r>
      <w:proofErr w:type="spellEnd"/>
      <w:r w:rsidRPr="00F541D5">
        <w:rPr>
          <w:sz w:val="24"/>
          <w:szCs w:val="24"/>
        </w:rPr>
        <w:t xml:space="preserve"> eller ledningsforstyrrelser kan dette have kliniske konsekvenser. Der skal derfor udvises forsigtighed hos patienter med hjertesygdomme og hos patienter, som får </w:t>
      </w:r>
      <w:proofErr w:type="spellStart"/>
      <w:r w:rsidRPr="00F541D5">
        <w:rPr>
          <w:sz w:val="24"/>
          <w:szCs w:val="24"/>
        </w:rPr>
        <w:t>kardiotoksisk</w:t>
      </w:r>
      <w:proofErr w:type="spellEnd"/>
      <w:r w:rsidRPr="00F541D5">
        <w:rPr>
          <w:sz w:val="24"/>
          <w:szCs w:val="24"/>
        </w:rPr>
        <w:t xml:space="preserve"> kemoterapi og/eller har ledsagende elektrolytforstyrrelser (se pkt. 4.5).</w:t>
      </w:r>
    </w:p>
    <w:p w14:paraId="67B4BF2D" w14:textId="77777777" w:rsidR="00A425DC" w:rsidRPr="00F541D5" w:rsidRDefault="00A425DC" w:rsidP="005956A7">
      <w:pPr>
        <w:ind w:left="851"/>
        <w:rPr>
          <w:sz w:val="24"/>
          <w:szCs w:val="24"/>
        </w:rPr>
      </w:pPr>
    </w:p>
    <w:p w14:paraId="1C170D66" w14:textId="77777777" w:rsidR="00A425DC" w:rsidRPr="00F541D5" w:rsidRDefault="00A425DC" w:rsidP="005956A7">
      <w:pPr>
        <w:ind w:left="851"/>
        <w:rPr>
          <w:sz w:val="24"/>
          <w:szCs w:val="24"/>
        </w:rPr>
      </w:pPr>
      <w:r w:rsidRPr="00F541D5">
        <w:rPr>
          <w:sz w:val="24"/>
          <w:szCs w:val="24"/>
        </w:rPr>
        <w:t>Der er rapporteret om krydsallergi blandt 5-HT</w:t>
      </w:r>
      <w:r w:rsidRPr="00F541D5">
        <w:rPr>
          <w:sz w:val="24"/>
          <w:szCs w:val="24"/>
          <w:vertAlign w:val="subscript"/>
        </w:rPr>
        <w:t>3</w:t>
      </w:r>
      <w:r w:rsidRPr="00F541D5">
        <w:rPr>
          <w:sz w:val="24"/>
          <w:szCs w:val="24"/>
        </w:rPr>
        <w:t xml:space="preserve"> antagonister (f.eks. </w:t>
      </w:r>
      <w:proofErr w:type="spellStart"/>
      <w:r w:rsidRPr="00F541D5">
        <w:rPr>
          <w:sz w:val="24"/>
          <w:szCs w:val="24"/>
        </w:rPr>
        <w:t>dolasteron</w:t>
      </w:r>
      <w:proofErr w:type="spellEnd"/>
      <w:r w:rsidRPr="00F541D5">
        <w:rPr>
          <w:sz w:val="24"/>
          <w:szCs w:val="24"/>
        </w:rPr>
        <w:t xml:space="preserve">, </w:t>
      </w:r>
      <w:proofErr w:type="spellStart"/>
      <w:r w:rsidRPr="00F541D5">
        <w:rPr>
          <w:sz w:val="24"/>
          <w:szCs w:val="24"/>
        </w:rPr>
        <w:t>ondansetron</w:t>
      </w:r>
      <w:proofErr w:type="spellEnd"/>
      <w:r w:rsidRPr="00F541D5">
        <w:rPr>
          <w:sz w:val="24"/>
          <w:szCs w:val="24"/>
        </w:rPr>
        <w:t>).</w:t>
      </w:r>
    </w:p>
    <w:p w14:paraId="3B69B2AF" w14:textId="77777777" w:rsidR="00A425DC" w:rsidRPr="00F541D5" w:rsidRDefault="00A425DC" w:rsidP="005956A7">
      <w:pPr>
        <w:ind w:left="851"/>
        <w:rPr>
          <w:sz w:val="24"/>
          <w:szCs w:val="24"/>
          <w:u w:val="single"/>
        </w:rPr>
      </w:pPr>
    </w:p>
    <w:p w14:paraId="60F8B8FE" w14:textId="77777777" w:rsidR="00A425DC" w:rsidRPr="00F541D5" w:rsidRDefault="00A425DC" w:rsidP="005956A7">
      <w:pPr>
        <w:ind w:left="851"/>
        <w:rPr>
          <w:sz w:val="24"/>
          <w:szCs w:val="24"/>
        </w:rPr>
      </w:pPr>
      <w:r w:rsidRPr="00F541D5">
        <w:rPr>
          <w:sz w:val="24"/>
          <w:szCs w:val="24"/>
        </w:rPr>
        <w:t>Der har været indberetninger om serotoninsyndrom ved anvendelse af 5-HT</w:t>
      </w:r>
      <w:r w:rsidRPr="00F541D5">
        <w:rPr>
          <w:sz w:val="24"/>
          <w:szCs w:val="24"/>
          <w:vertAlign w:val="subscript"/>
        </w:rPr>
        <w:t>3</w:t>
      </w:r>
      <w:r w:rsidRPr="00F541D5">
        <w:rPr>
          <w:sz w:val="24"/>
          <w:szCs w:val="24"/>
        </w:rPr>
        <w:t xml:space="preserve"> antagonister enten alene, eller hovedsagelig i kombination med andre </w:t>
      </w:r>
      <w:proofErr w:type="spellStart"/>
      <w:r w:rsidRPr="00F541D5">
        <w:rPr>
          <w:sz w:val="24"/>
          <w:szCs w:val="24"/>
        </w:rPr>
        <w:t>serotonerge</w:t>
      </w:r>
      <w:proofErr w:type="spellEnd"/>
      <w:r w:rsidRPr="00F541D5">
        <w:rPr>
          <w:sz w:val="24"/>
          <w:szCs w:val="24"/>
        </w:rPr>
        <w:t xml:space="preserve"> lægemidler (herunder selektive </w:t>
      </w:r>
      <w:proofErr w:type="spellStart"/>
      <w:r w:rsidRPr="00F541D5">
        <w:rPr>
          <w:sz w:val="24"/>
          <w:szCs w:val="24"/>
        </w:rPr>
        <w:t>serotoningenoptagshæmmere</w:t>
      </w:r>
      <w:proofErr w:type="spellEnd"/>
      <w:r w:rsidRPr="00F541D5">
        <w:rPr>
          <w:sz w:val="24"/>
          <w:szCs w:val="24"/>
        </w:rPr>
        <w:t xml:space="preserve"> (SSRI), og serotonin-</w:t>
      </w:r>
      <w:proofErr w:type="spellStart"/>
      <w:r w:rsidRPr="00F541D5">
        <w:rPr>
          <w:sz w:val="24"/>
          <w:szCs w:val="24"/>
        </w:rPr>
        <w:lastRenderedPageBreak/>
        <w:t>noradrenalingenoptagshæmmere</w:t>
      </w:r>
      <w:proofErr w:type="spellEnd"/>
      <w:r w:rsidRPr="00F541D5">
        <w:rPr>
          <w:sz w:val="24"/>
          <w:szCs w:val="24"/>
        </w:rPr>
        <w:t xml:space="preserve"> (SNRI)). Det tilrådes at iagttage patienterne nøje for serotoninsyndrom-lignende symptomer.</w:t>
      </w:r>
    </w:p>
    <w:p w14:paraId="40DDC4CF" w14:textId="77777777" w:rsidR="00A425DC" w:rsidRPr="00F541D5" w:rsidRDefault="00A425DC" w:rsidP="005956A7">
      <w:pPr>
        <w:ind w:left="851"/>
        <w:rPr>
          <w:sz w:val="24"/>
          <w:szCs w:val="24"/>
        </w:rPr>
      </w:pPr>
    </w:p>
    <w:p w14:paraId="16D41F8E" w14:textId="77777777" w:rsidR="00A425DC" w:rsidRPr="00F541D5" w:rsidRDefault="00A425DC" w:rsidP="005956A7">
      <w:pPr>
        <w:ind w:left="851"/>
        <w:rPr>
          <w:sz w:val="24"/>
          <w:szCs w:val="24"/>
          <w:u w:val="single"/>
        </w:rPr>
      </w:pPr>
      <w:r w:rsidRPr="00F541D5">
        <w:rPr>
          <w:sz w:val="24"/>
          <w:szCs w:val="24"/>
          <w:u w:val="single"/>
        </w:rPr>
        <w:t>Pædiatrisk population</w:t>
      </w:r>
    </w:p>
    <w:p w14:paraId="62CB42B5" w14:textId="184F11E1" w:rsidR="00A425DC" w:rsidRPr="00F541D5" w:rsidRDefault="00A425DC" w:rsidP="005956A7">
      <w:pPr>
        <w:ind w:left="851"/>
        <w:rPr>
          <w:sz w:val="24"/>
          <w:szCs w:val="24"/>
        </w:rPr>
      </w:pPr>
      <w:r w:rsidRPr="00F541D5">
        <w:rPr>
          <w:sz w:val="24"/>
          <w:szCs w:val="24"/>
        </w:rPr>
        <w:t>Der er utilstrækkelig klinisk erfaring til at kunne anbefale administration af brug af disse tabletter til børn.</w:t>
      </w:r>
    </w:p>
    <w:p w14:paraId="2ACAF578" w14:textId="77777777" w:rsidR="00A425DC" w:rsidRPr="00F541D5" w:rsidRDefault="00A425DC" w:rsidP="005956A7">
      <w:pPr>
        <w:ind w:left="851"/>
        <w:rPr>
          <w:sz w:val="24"/>
          <w:szCs w:val="24"/>
        </w:rPr>
      </w:pPr>
    </w:p>
    <w:p w14:paraId="4737BCA8" w14:textId="2C6DB49D" w:rsidR="00A425DC" w:rsidRPr="00F541D5" w:rsidRDefault="00A425DC" w:rsidP="005956A7">
      <w:pPr>
        <w:ind w:left="851"/>
        <w:rPr>
          <w:sz w:val="24"/>
          <w:szCs w:val="24"/>
        </w:rPr>
      </w:pPr>
      <w:r w:rsidRPr="00F541D5">
        <w:rPr>
          <w:sz w:val="24"/>
          <w:szCs w:val="24"/>
          <w:u w:val="single"/>
        </w:rPr>
        <w:t>Hjælpestoffer</w:t>
      </w:r>
    </w:p>
    <w:p w14:paraId="404D5E7C" w14:textId="07B6B6A4" w:rsidR="00A425DC" w:rsidRPr="00F541D5" w:rsidRDefault="00A425DC" w:rsidP="005956A7">
      <w:pPr>
        <w:ind w:left="851"/>
        <w:rPr>
          <w:sz w:val="24"/>
          <w:szCs w:val="24"/>
        </w:rPr>
      </w:pPr>
      <w:proofErr w:type="spellStart"/>
      <w:r w:rsidRPr="00F541D5">
        <w:rPr>
          <w:sz w:val="24"/>
          <w:szCs w:val="24"/>
        </w:rPr>
        <w:t>Lactose</w:t>
      </w:r>
      <w:proofErr w:type="spellEnd"/>
      <w:r w:rsidRPr="00F541D5">
        <w:rPr>
          <w:sz w:val="24"/>
          <w:szCs w:val="24"/>
        </w:rPr>
        <w:t xml:space="preserve">: Bør ikke anvendes til patienter med hereditær </w:t>
      </w:r>
      <w:proofErr w:type="spellStart"/>
      <w:r w:rsidRPr="00F541D5">
        <w:rPr>
          <w:sz w:val="24"/>
          <w:szCs w:val="24"/>
        </w:rPr>
        <w:t>galactoseintolerans</w:t>
      </w:r>
      <w:proofErr w:type="spellEnd"/>
      <w:r w:rsidRPr="00F541D5">
        <w:rPr>
          <w:sz w:val="24"/>
          <w:szCs w:val="24"/>
        </w:rPr>
        <w:t xml:space="preserve">, total </w:t>
      </w:r>
      <w:proofErr w:type="spellStart"/>
      <w:r w:rsidRPr="00F541D5">
        <w:rPr>
          <w:sz w:val="24"/>
          <w:szCs w:val="24"/>
        </w:rPr>
        <w:t>lactasemangel</w:t>
      </w:r>
      <w:proofErr w:type="spellEnd"/>
      <w:r w:rsidRPr="00F541D5">
        <w:rPr>
          <w:sz w:val="24"/>
          <w:szCs w:val="24"/>
        </w:rPr>
        <w:t xml:space="preserve"> eller </w:t>
      </w:r>
      <w:proofErr w:type="spellStart"/>
      <w:r w:rsidRPr="00F541D5">
        <w:rPr>
          <w:sz w:val="24"/>
          <w:szCs w:val="24"/>
        </w:rPr>
        <w:t>glucose</w:t>
      </w:r>
      <w:proofErr w:type="spellEnd"/>
      <w:r w:rsidRPr="00F541D5">
        <w:rPr>
          <w:sz w:val="24"/>
          <w:szCs w:val="24"/>
        </w:rPr>
        <w:t>/</w:t>
      </w:r>
      <w:proofErr w:type="spellStart"/>
      <w:r w:rsidRPr="00F541D5">
        <w:rPr>
          <w:sz w:val="24"/>
          <w:szCs w:val="24"/>
        </w:rPr>
        <w:t>galactosemalabsorption</w:t>
      </w:r>
      <w:proofErr w:type="spellEnd"/>
      <w:r w:rsidRPr="00F541D5">
        <w:rPr>
          <w:sz w:val="24"/>
          <w:szCs w:val="24"/>
        </w:rPr>
        <w:t>.</w:t>
      </w:r>
    </w:p>
    <w:p w14:paraId="732E92A3" w14:textId="77777777" w:rsidR="00A425DC" w:rsidRPr="00F541D5" w:rsidRDefault="00A425DC" w:rsidP="005956A7">
      <w:pPr>
        <w:ind w:left="851"/>
        <w:rPr>
          <w:sz w:val="24"/>
          <w:szCs w:val="24"/>
        </w:rPr>
      </w:pPr>
    </w:p>
    <w:p w14:paraId="5CBC5E04" w14:textId="07896F9F" w:rsidR="00A425DC" w:rsidRPr="00F541D5" w:rsidRDefault="00A425DC" w:rsidP="005956A7">
      <w:pPr>
        <w:ind w:left="851"/>
        <w:rPr>
          <w:sz w:val="24"/>
          <w:szCs w:val="24"/>
        </w:rPr>
      </w:pPr>
      <w:r w:rsidRPr="00F541D5">
        <w:rPr>
          <w:sz w:val="24"/>
          <w:szCs w:val="24"/>
        </w:rPr>
        <w:t>Natrium: Dette lægemiddel indeholder mindre end 1 mmol (23 mg) natrium pr. tablet, dvs. den er i det væsentlige natrium-fri.</w:t>
      </w:r>
    </w:p>
    <w:p w14:paraId="4C099797" w14:textId="77777777" w:rsidR="009260DE" w:rsidRPr="00F541D5" w:rsidRDefault="009260DE" w:rsidP="009260DE">
      <w:pPr>
        <w:tabs>
          <w:tab w:val="left" w:pos="851"/>
        </w:tabs>
        <w:ind w:left="851"/>
        <w:rPr>
          <w:sz w:val="24"/>
          <w:szCs w:val="24"/>
        </w:rPr>
      </w:pPr>
    </w:p>
    <w:p w14:paraId="27095180" w14:textId="77777777" w:rsidR="009260DE" w:rsidRPr="00F541D5" w:rsidRDefault="009260DE" w:rsidP="009260DE">
      <w:pPr>
        <w:tabs>
          <w:tab w:val="left" w:pos="851"/>
        </w:tabs>
        <w:ind w:left="851" w:hanging="851"/>
        <w:rPr>
          <w:b/>
          <w:sz w:val="24"/>
          <w:szCs w:val="24"/>
        </w:rPr>
      </w:pPr>
      <w:r w:rsidRPr="00F541D5">
        <w:rPr>
          <w:b/>
          <w:sz w:val="24"/>
          <w:szCs w:val="24"/>
        </w:rPr>
        <w:t>4.5</w:t>
      </w:r>
      <w:r w:rsidRPr="00F541D5">
        <w:rPr>
          <w:b/>
          <w:sz w:val="24"/>
          <w:szCs w:val="24"/>
        </w:rPr>
        <w:tab/>
        <w:t>Interaktion med andre lægemidler og andre former for interaktion</w:t>
      </w:r>
    </w:p>
    <w:p w14:paraId="2C263193" w14:textId="3E8BE986" w:rsidR="00A425DC" w:rsidRPr="00F541D5" w:rsidRDefault="00A425DC" w:rsidP="005956A7">
      <w:pPr>
        <w:ind w:left="851"/>
        <w:rPr>
          <w:sz w:val="24"/>
          <w:szCs w:val="24"/>
          <w:lang w:eastAsia="da-DK"/>
        </w:rPr>
      </w:pPr>
      <w:r w:rsidRPr="00F541D5">
        <w:rPr>
          <w:sz w:val="24"/>
          <w:szCs w:val="24"/>
        </w:rPr>
        <w:t>Som for andre 5-HT</w:t>
      </w:r>
      <w:r w:rsidRPr="00F541D5">
        <w:rPr>
          <w:sz w:val="24"/>
          <w:szCs w:val="24"/>
          <w:vertAlign w:val="subscript"/>
        </w:rPr>
        <w:t>3</w:t>
      </w:r>
      <w:r w:rsidRPr="00F541D5">
        <w:rPr>
          <w:sz w:val="24"/>
          <w:szCs w:val="24"/>
        </w:rPr>
        <w:t xml:space="preserve"> antagonister er der rapporteret EKG-ændringer, herunder forlængelse af QT-intervallet, for </w:t>
      </w:r>
      <w:proofErr w:type="spellStart"/>
      <w:r w:rsidRPr="00F541D5">
        <w:rPr>
          <w:sz w:val="24"/>
          <w:szCs w:val="24"/>
        </w:rPr>
        <w:t>granisetron</w:t>
      </w:r>
      <w:proofErr w:type="spellEnd"/>
      <w:r w:rsidRPr="00F541D5">
        <w:rPr>
          <w:sz w:val="24"/>
          <w:szCs w:val="24"/>
        </w:rPr>
        <w:t xml:space="preserve">. For patienter, som samtidigt behandles med lægemidler, der kan forlænge QT-intervallet og/eller er </w:t>
      </w:r>
      <w:proofErr w:type="spellStart"/>
      <w:r w:rsidRPr="00F541D5">
        <w:rPr>
          <w:sz w:val="24"/>
          <w:szCs w:val="24"/>
        </w:rPr>
        <w:t>arytmogene</w:t>
      </w:r>
      <w:proofErr w:type="spellEnd"/>
      <w:r w:rsidRPr="00F541D5">
        <w:rPr>
          <w:sz w:val="24"/>
          <w:szCs w:val="24"/>
        </w:rPr>
        <w:t>, kan dette have kliniske konsekvenser (se pkt. 4.4).</w:t>
      </w:r>
    </w:p>
    <w:p w14:paraId="5048AAB8" w14:textId="77777777" w:rsidR="00A425DC" w:rsidRPr="00F541D5" w:rsidRDefault="00A425DC" w:rsidP="005956A7">
      <w:pPr>
        <w:ind w:left="851"/>
        <w:rPr>
          <w:sz w:val="24"/>
          <w:szCs w:val="24"/>
        </w:rPr>
      </w:pPr>
    </w:p>
    <w:p w14:paraId="0ECA3847" w14:textId="188A8D74" w:rsidR="00A425DC" w:rsidRPr="00F541D5" w:rsidRDefault="00A425DC" w:rsidP="005956A7">
      <w:pPr>
        <w:ind w:left="851"/>
        <w:rPr>
          <w:sz w:val="24"/>
          <w:szCs w:val="24"/>
        </w:rPr>
      </w:pPr>
      <w:r w:rsidRPr="00F541D5">
        <w:rPr>
          <w:sz w:val="24"/>
          <w:szCs w:val="24"/>
        </w:rPr>
        <w:t xml:space="preserve">Studier med raske forsøgspersoner antyder ikke evidens for interaktion mellem </w:t>
      </w:r>
      <w:proofErr w:type="spellStart"/>
      <w:r w:rsidRPr="00F541D5">
        <w:rPr>
          <w:sz w:val="24"/>
          <w:szCs w:val="24"/>
        </w:rPr>
        <w:t>granisetron</w:t>
      </w:r>
      <w:proofErr w:type="spellEnd"/>
      <w:r w:rsidRPr="00F541D5">
        <w:rPr>
          <w:sz w:val="24"/>
          <w:szCs w:val="24"/>
        </w:rPr>
        <w:t xml:space="preserve"> og benzodiazepiner (</w:t>
      </w:r>
      <w:proofErr w:type="spellStart"/>
      <w:r w:rsidRPr="00F541D5">
        <w:rPr>
          <w:sz w:val="24"/>
          <w:szCs w:val="24"/>
        </w:rPr>
        <w:t>lorazepam</w:t>
      </w:r>
      <w:proofErr w:type="spellEnd"/>
      <w:r w:rsidRPr="00F541D5">
        <w:rPr>
          <w:sz w:val="24"/>
          <w:szCs w:val="24"/>
        </w:rPr>
        <w:t xml:space="preserve">), </w:t>
      </w:r>
      <w:proofErr w:type="spellStart"/>
      <w:r w:rsidRPr="00F541D5">
        <w:rPr>
          <w:sz w:val="24"/>
          <w:szCs w:val="24"/>
        </w:rPr>
        <w:t>neuroleptika</w:t>
      </w:r>
      <w:proofErr w:type="spellEnd"/>
      <w:r w:rsidRPr="00F541D5">
        <w:rPr>
          <w:sz w:val="24"/>
          <w:szCs w:val="24"/>
        </w:rPr>
        <w:t xml:space="preserve"> (</w:t>
      </w:r>
      <w:proofErr w:type="spellStart"/>
      <w:r w:rsidRPr="00F541D5">
        <w:rPr>
          <w:sz w:val="24"/>
          <w:szCs w:val="24"/>
        </w:rPr>
        <w:t>haloperidol</w:t>
      </w:r>
      <w:proofErr w:type="spellEnd"/>
      <w:r w:rsidRPr="00F541D5">
        <w:rPr>
          <w:sz w:val="24"/>
          <w:szCs w:val="24"/>
        </w:rPr>
        <w:t>) eller lægemidler mod mavesår (</w:t>
      </w:r>
      <w:proofErr w:type="spellStart"/>
      <w:r w:rsidRPr="00F541D5">
        <w:rPr>
          <w:sz w:val="24"/>
          <w:szCs w:val="24"/>
        </w:rPr>
        <w:t>cimetidin</w:t>
      </w:r>
      <w:proofErr w:type="spellEnd"/>
      <w:r w:rsidRPr="00F541D5">
        <w:rPr>
          <w:sz w:val="24"/>
          <w:szCs w:val="24"/>
        </w:rPr>
        <w:t xml:space="preserve">). Desuden har </w:t>
      </w:r>
      <w:proofErr w:type="spellStart"/>
      <w:r w:rsidRPr="00F541D5">
        <w:rPr>
          <w:sz w:val="24"/>
          <w:szCs w:val="24"/>
        </w:rPr>
        <w:t>granisetron</w:t>
      </w:r>
      <w:proofErr w:type="spellEnd"/>
      <w:r w:rsidRPr="00F541D5">
        <w:rPr>
          <w:sz w:val="24"/>
          <w:szCs w:val="24"/>
        </w:rPr>
        <w:t xml:space="preserve"> ikke vist tydelige interaktioner med </w:t>
      </w:r>
      <w:proofErr w:type="spellStart"/>
      <w:r w:rsidRPr="00F541D5">
        <w:rPr>
          <w:sz w:val="24"/>
          <w:szCs w:val="24"/>
        </w:rPr>
        <w:t>emetogene</w:t>
      </w:r>
      <w:proofErr w:type="spellEnd"/>
      <w:r w:rsidRPr="00F541D5">
        <w:rPr>
          <w:sz w:val="24"/>
          <w:szCs w:val="24"/>
        </w:rPr>
        <w:t xml:space="preserve"> cancerkemoterapier.</w:t>
      </w:r>
    </w:p>
    <w:p w14:paraId="7EDDB0B0" w14:textId="77777777" w:rsidR="00A425DC" w:rsidRPr="00F541D5" w:rsidRDefault="00A425DC" w:rsidP="005956A7">
      <w:pPr>
        <w:ind w:left="851"/>
        <w:rPr>
          <w:sz w:val="24"/>
          <w:szCs w:val="24"/>
        </w:rPr>
      </w:pPr>
    </w:p>
    <w:p w14:paraId="19D05949" w14:textId="16615177" w:rsidR="00A425DC" w:rsidRPr="00F541D5" w:rsidRDefault="00A425DC" w:rsidP="005956A7">
      <w:pPr>
        <w:ind w:left="851"/>
        <w:rPr>
          <w:sz w:val="24"/>
          <w:szCs w:val="24"/>
        </w:rPr>
      </w:pPr>
      <w:r w:rsidRPr="00F541D5">
        <w:rPr>
          <w:sz w:val="24"/>
          <w:szCs w:val="24"/>
        </w:rPr>
        <w:t>Der er ikke udført specifikke interaktionsstudier hos bedøvede patienter.</w:t>
      </w:r>
    </w:p>
    <w:p w14:paraId="68FDF70C" w14:textId="77777777" w:rsidR="00A425DC" w:rsidRPr="00F541D5" w:rsidRDefault="00A425DC" w:rsidP="005956A7">
      <w:pPr>
        <w:ind w:left="851"/>
        <w:rPr>
          <w:sz w:val="24"/>
          <w:szCs w:val="24"/>
        </w:rPr>
      </w:pPr>
    </w:p>
    <w:p w14:paraId="71FB63AB" w14:textId="2E7F1028" w:rsidR="00A425DC" w:rsidRPr="00F541D5" w:rsidRDefault="00A425DC" w:rsidP="005956A7">
      <w:pPr>
        <w:ind w:left="851"/>
        <w:rPr>
          <w:spacing w:val="-3"/>
          <w:sz w:val="24"/>
          <w:szCs w:val="24"/>
          <w:u w:val="single"/>
        </w:rPr>
      </w:pPr>
      <w:proofErr w:type="spellStart"/>
      <w:r w:rsidRPr="00F541D5">
        <w:rPr>
          <w:spacing w:val="-3"/>
          <w:sz w:val="24"/>
          <w:szCs w:val="24"/>
          <w:u w:val="single"/>
        </w:rPr>
        <w:t>Serotonerge</w:t>
      </w:r>
      <w:proofErr w:type="spellEnd"/>
      <w:r w:rsidRPr="00F541D5">
        <w:rPr>
          <w:spacing w:val="-3"/>
          <w:sz w:val="24"/>
          <w:szCs w:val="24"/>
          <w:u w:val="single"/>
        </w:rPr>
        <w:t xml:space="preserve"> lægemidler</w:t>
      </w:r>
      <w:r w:rsidRPr="00F541D5">
        <w:rPr>
          <w:sz w:val="24"/>
          <w:szCs w:val="24"/>
          <w:u w:val="single"/>
        </w:rPr>
        <w:t xml:space="preserve"> (f.eks. SSRI og SNRI): </w:t>
      </w:r>
    </w:p>
    <w:p w14:paraId="542B8EEE" w14:textId="5B9BA4C6" w:rsidR="00A425DC" w:rsidRPr="00F541D5" w:rsidRDefault="00A425DC" w:rsidP="005956A7">
      <w:pPr>
        <w:ind w:left="851"/>
        <w:rPr>
          <w:sz w:val="24"/>
          <w:szCs w:val="24"/>
        </w:rPr>
      </w:pPr>
      <w:r w:rsidRPr="00F541D5">
        <w:rPr>
          <w:spacing w:val="-3"/>
          <w:sz w:val="24"/>
          <w:szCs w:val="24"/>
        </w:rPr>
        <w:t>Der har været indberetninger om serotoninsyndrom</w:t>
      </w:r>
      <w:r w:rsidRPr="00F541D5">
        <w:rPr>
          <w:sz w:val="24"/>
          <w:szCs w:val="24"/>
        </w:rPr>
        <w:t xml:space="preserve"> efter samtidig anvendelse af 5-HT</w:t>
      </w:r>
      <w:r w:rsidRPr="00F541D5">
        <w:rPr>
          <w:sz w:val="24"/>
          <w:szCs w:val="24"/>
          <w:vertAlign w:val="subscript"/>
        </w:rPr>
        <w:t>3</w:t>
      </w:r>
      <w:r w:rsidRPr="00F541D5">
        <w:rPr>
          <w:sz w:val="24"/>
          <w:szCs w:val="24"/>
        </w:rPr>
        <w:t xml:space="preserve"> antagonister og andre </w:t>
      </w:r>
      <w:proofErr w:type="spellStart"/>
      <w:r w:rsidRPr="00F541D5">
        <w:rPr>
          <w:sz w:val="24"/>
          <w:szCs w:val="24"/>
        </w:rPr>
        <w:t>serotonerge</w:t>
      </w:r>
      <w:proofErr w:type="spellEnd"/>
      <w:r w:rsidRPr="00F541D5">
        <w:rPr>
          <w:sz w:val="24"/>
          <w:szCs w:val="24"/>
        </w:rPr>
        <w:t xml:space="preserve"> lægemidler (herunder SSRI og SNRI) (se pkt. 4.4).</w:t>
      </w:r>
    </w:p>
    <w:p w14:paraId="2AD415C2" w14:textId="77777777" w:rsidR="009260DE" w:rsidRPr="00F541D5" w:rsidRDefault="009260DE" w:rsidP="009260DE">
      <w:pPr>
        <w:tabs>
          <w:tab w:val="left" w:pos="851"/>
        </w:tabs>
        <w:ind w:left="851"/>
        <w:rPr>
          <w:sz w:val="24"/>
          <w:szCs w:val="24"/>
        </w:rPr>
      </w:pPr>
    </w:p>
    <w:p w14:paraId="25536CB9" w14:textId="77777777" w:rsidR="009260DE" w:rsidRPr="00F541D5" w:rsidRDefault="009260DE" w:rsidP="009260DE">
      <w:pPr>
        <w:tabs>
          <w:tab w:val="left" w:pos="851"/>
        </w:tabs>
        <w:ind w:left="851" w:hanging="851"/>
        <w:rPr>
          <w:b/>
          <w:sz w:val="24"/>
          <w:szCs w:val="24"/>
        </w:rPr>
      </w:pPr>
      <w:r w:rsidRPr="00F541D5">
        <w:rPr>
          <w:b/>
          <w:sz w:val="24"/>
          <w:szCs w:val="24"/>
        </w:rPr>
        <w:t>4.6</w:t>
      </w:r>
      <w:r w:rsidRPr="00F541D5">
        <w:rPr>
          <w:b/>
          <w:sz w:val="24"/>
          <w:szCs w:val="24"/>
        </w:rPr>
        <w:tab/>
      </w:r>
      <w:r w:rsidR="0071241E" w:rsidRPr="00F541D5">
        <w:rPr>
          <w:b/>
          <w:sz w:val="24"/>
          <w:szCs w:val="24"/>
        </w:rPr>
        <w:t>Fertilitet, g</w:t>
      </w:r>
      <w:r w:rsidRPr="00F541D5">
        <w:rPr>
          <w:b/>
          <w:sz w:val="24"/>
          <w:szCs w:val="24"/>
        </w:rPr>
        <w:t>raviditet og amning</w:t>
      </w:r>
    </w:p>
    <w:p w14:paraId="3A714AEC" w14:textId="77777777" w:rsidR="00F541D5" w:rsidRDefault="00F541D5" w:rsidP="005956A7">
      <w:pPr>
        <w:ind w:left="851"/>
        <w:rPr>
          <w:sz w:val="24"/>
          <w:szCs w:val="24"/>
        </w:rPr>
      </w:pPr>
    </w:p>
    <w:p w14:paraId="39296549" w14:textId="475C4935" w:rsidR="00A425DC" w:rsidRPr="00F541D5" w:rsidRDefault="00A425DC" w:rsidP="005956A7">
      <w:pPr>
        <w:ind w:left="851"/>
        <w:rPr>
          <w:sz w:val="24"/>
          <w:szCs w:val="24"/>
          <w:u w:val="single"/>
          <w:lang w:eastAsia="da-DK"/>
        </w:rPr>
      </w:pPr>
      <w:r w:rsidRPr="00F541D5">
        <w:rPr>
          <w:sz w:val="24"/>
          <w:szCs w:val="24"/>
          <w:u w:val="single"/>
        </w:rPr>
        <w:t>Graviditet</w:t>
      </w:r>
    </w:p>
    <w:p w14:paraId="041F6F4D" w14:textId="1AFA4495" w:rsidR="00A425DC" w:rsidRPr="00F541D5" w:rsidRDefault="00A425DC" w:rsidP="005956A7">
      <w:pPr>
        <w:ind w:left="851"/>
        <w:rPr>
          <w:sz w:val="24"/>
          <w:szCs w:val="24"/>
        </w:rPr>
      </w:pPr>
      <w:r w:rsidRPr="00F541D5">
        <w:rPr>
          <w:sz w:val="24"/>
          <w:szCs w:val="24"/>
        </w:rPr>
        <w:t xml:space="preserve">Der foreligger ingen data om anvendelse af </w:t>
      </w:r>
      <w:proofErr w:type="spellStart"/>
      <w:r w:rsidRPr="00F541D5">
        <w:rPr>
          <w:sz w:val="24"/>
          <w:szCs w:val="24"/>
        </w:rPr>
        <w:t>granisetron</w:t>
      </w:r>
      <w:proofErr w:type="spellEnd"/>
      <w:r w:rsidRPr="00F541D5">
        <w:rPr>
          <w:sz w:val="24"/>
          <w:szCs w:val="24"/>
        </w:rPr>
        <w:t xml:space="preserve"> til gravide kvinder. Dyrestudier indicerer ikke nogen direkte eller indirekte skadelige med hensyn til reproduktions</w:t>
      </w:r>
      <w:r w:rsidR="00811B8F">
        <w:rPr>
          <w:sz w:val="24"/>
          <w:szCs w:val="24"/>
        </w:rPr>
        <w:softHyphen/>
      </w:r>
      <w:r w:rsidRPr="00F541D5">
        <w:rPr>
          <w:sz w:val="24"/>
          <w:szCs w:val="24"/>
        </w:rPr>
        <w:t xml:space="preserve">toksicitet (se pkt. 5.3). Som en forsigtighedsforanstaltning er det at foretrække at undgå brugen af </w:t>
      </w:r>
      <w:proofErr w:type="spellStart"/>
      <w:r w:rsidRPr="00F541D5">
        <w:rPr>
          <w:sz w:val="24"/>
          <w:szCs w:val="24"/>
        </w:rPr>
        <w:t>granisetron</w:t>
      </w:r>
      <w:proofErr w:type="spellEnd"/>
      <w:r w:rsidRPr="00F541D5">
        <w:rPr>
          <w:sz w:val="24"/>
          <w:szCs w:val="24"/>
        </w:rPr>
        <w:t xml:space="preserve"> under graviditet.</w:t>
      </w:r>
    </w:p>
    <w:p w14:paraId="44FD7EEA" w14:textId="77777777" w:rsidR="00A425DC" w:rsidRPr="00F541D5" w:rsidRDefault="00A425DC" w:rsidP="005956A7">
      <w:pPr>
        <w:ind w:left="851"/>
        <w:rPr>
          <w:sz w:val="24"/>
          <w:szCs w:val="24"/>
        </w:rPr>
      </w:pPr>
    </w:p>
    <w:p w14:paraId="4BFABBB6" w14:textId="77777777" w:rsidR="00A425DC" w:rsidRPr="00F541D5" w:rsidRDefault="00A425DC" w:rsidP="005956A7">
      <w:pPr>
        <w:ind w:left="851"/>
        <w:rPr>
          <w:sz w:val="24"/>
          <w:szCs w:val="24"/>
        </w:rPr>
      </w:pPr>
      <w:r w:rsidRPr="00F541D5">
        <w:rPr>
          <w:rStyle w:val="Strk"/>
          <w:b w:val="0"/>
          <w:sz w:val="24"/>
          <w:szCs w:val="24"/>
          <w:u w:val="single"/>
        </w:rPr>
        <w:t>Amning</w:t>
      </w:r>
      <w:r w:rsidRPr="00F541D5">
        <w:rPr>
          <w:b/>
          <w:sz w:val="24"/>
          <w:szCs w:val="24"/>
        </w:rPr>
        <w:br/>
      </w:r>
      <w:r w:rsidRPr="00F541D5">
        <w:rPr>
          <w:sz w:val="24"/>
          <w:szCs w:val="24"/>
        </w:rPr>
        <w:t xml:space="preserve">Det vides ikke, om </w:t>
      </w:r>
      <w:proofErr w:type="spellStart"/>
      <w:r w:rsidRPr="00F541D5">
        <w:rPr>
          <w:sz w:val="24"/>
          <w:szCs w:val="24"/>
        </w:rPr>
        <w:t>granisetron</w:t>
      </w:r>
      <w:proofErr w:type="spellEnd"/>
      <w:r w:rsidRPr="00F541D5">
        <w:rPr>
          <w:sz w:val="24"/>
          <w:szCs w:val="24"/>
        </w:rPr>
        <w:t xml:space="preserve"> eller dets metabolitter udskilles i human mælk. Som en forsigtighedsforanstaltning bør amning frarådes under behandling med </w:t>
      </w:r>
      <w:proofErr w:type="spellStart"/>
      <w:r w:rsidRPr="00F541D5">
        <w:rPr>
          <w:sz w:val="24"/>
          <w:szCs w:val="24"/>
        </w:rPr>
        <w:t>Granisym</w:t>
      </w:r>
      <w:proofErr w:type="spellEnd"/>
      <w:r w:rsidRPr="00F541D5">
        <w:rPr>
          <w:sz w:val="24"/>
          <w:szCs w:val="24"/>
        </w:rPr>
        <w:t>.</w:t>
      </w:r>
    </w:p>
    <w:p w14:paraId="6D0013C0" w14:textId="77777777" w:rsidR="00A425DC" w:rsidRPr="00F541D5" w:rsidRDefault="00A425DC" w:rsidP="005956A7">
      <w:pPr>
        <w:ind w:left="851"/>
        <w:rPr>
          <w:sz w:val="24"/>
          <w:szCs w:val="24"/>
        </w:rPr>
      </w:pPr>
    </w:p>
    <w:p w14:paraId="37029666" w14:textId="77777777" w:rsidR="00A425DC" w:rsidRPr="00F9554A" w:rsidRDefault="00A425DC" w:rsidP="005956A7">
      <w:pPr>
        <w:ind w:left="851"/>
        <w:rPr>
          <w:sz w:val="24"/>
          <w:szCs w:val="24"/>
          <w:u w:val="single"/>
        </w:rPr>
      </w:pPr>
      <w:r w:rsidRPr="00F9554A">
        <w:rPr>
          <w:sz w:val="24"/>
          <w:szCs w:val="24"/>
          <w:u w:val="single"/>
        </w:rPr>
        <w:t>Fertilitet</w:t>
      </w:r>
    </w:p>
    <w:p w14:paraId="7950A563" w14:textId="77777777" w:rsidR="00A425DC" w:rsidRPr="00F541D5" w:rsidRDefault="00A425DC" w:rsidP="005956A7">
      <w:pPr>
        <w:ind w:left="851"/>
        <w:rPr>
          <w:sz w:val="24"/>
          <w:szCs w:val="24"/>
        </w:rPr>
      </w:pPr>
      <w:proofErr w:type="spellStart"/>
      <w:r w:rsidRPr="00F541D5">
        <w:rPr>
          <w:sz w:val="24"/>
          <w:szCs w:val="24"/>
        </w:rPr>
        <w:t>Granisetron</w:t>
      </w:r>
      <w:proofErr w:type="spellEnd"/>
      <w:r w:rsidRPr="00F541D5">
        <w:rPr>
          <w:sz w:val="24"/>
          <w:szCs w:val="24"/>
        </w:rPr>
        <w:t xml:space="preserve"> havde ingen skadelig virkning på forplantningsevne eller fertilitet hos rotter.</w:t>
      </w:r>
    </w:p>
    <w:p w14:paraId="768C6008" w14:textId="77777777" w:rsidR="009260DE" w:rsidRPr="00F541D5" w:rsidRDefault="009260DE" w:rsidP="009260DE">
      <w:pPr>
        <w:tabs>
          <w:tab w:val="left" w:pos="851"/>
        </w:tabs>
        <w:ind w:left="851"/>
        <w:rPr>
          <w:sz w:val="24"/>
          <w:szCs w:val="24"/>
        </w:rPr>
      </w:pPr>
    </w:p>
    <w:p w14:paraId="024CFDFC" w14:textId="77777777" w:rsidR="009260DE" w:rsidRPr="00F541D5" w:rsidRDefault="009260DE" w:rsidP="009260DE">
      <w:pPr>
        <w:tabs>
          <w:tab w:val="left" w:pos="851"/>
        </w:tabs>
        <w:ind w:left="851" w:hanging="851"/>
        <w:rPr>
          <w:b/>
          <w:sz w:val="24"/>
          <w:szCs w:val="24"/>
        </w:rPr>
      </w:pPr>
      <w:r w:rsidRPr="00F541D5">
        <w:rPr>
          <w:b/>
          <w:sz w:val="24"/>
          <w:szCs w:val="24"/>
        </w:rPr>
        <w:t>4.7</w:t>
      </w:r>
      <w:r w:rsidRPr="00F541D5">
        <w:rPr>
          <w:b/>
          <w:sz w:val="24"/>
          <w:szCs w:val="24"/>
        </w:rPr>
        <w:tab/>
        <w:t xml:space="preserve">Virkning på evnen til at føre motorkøretøj </w:t>
      </w:r>
      <w:r w:rsidR="0071241E" w:rsidRPr="00F541D5">
        <w:rPr>
          <w:b/>
          <w:sz w:val="24"/>
          <w:szCs w:val="24"/>
        </w:rPr>
        <w:t>og</w:t>
      </w:r>
      <w:r w:rsidRPr="00F541D5">
        <w:rPr>
          <w:b/>
          <w:sz w:val="24"/>
          <w:szCs w:val="24"/>
        </w:rPr>
        <w:t xml:space="preserve"> betjene maskiner</w:t>
      </w:r>
    </w:p>
    <w:p w14:paraId="254F375D" w14:textId="77777777" w:rsidR="00A425DC" w:rsidRPr="00F541D5" w:rsidRDefault="00A425DC" w:rsidP="005956A7">
      <w:pPr>
        <w:ind w:left="851"/>
        <w:rPr>
          <w:sz w:val="24"/>
          <w:szCs w:val="24"/>
          <w:lang w:eastAsia="da-DK"/>
        </w:rPr>
      </w:pPr>
      <w:r w:rsidRPr="00F541D5">
        <w:rPr>
          <w:sz w:val="24"/>
          <w:szCs w:val="24"/>
        </w:rPr>
        <w:t xml:space="preserve">Ikke mærkning. </w:t>
      </w:r>
    </w:p>
    <w:p w14:paraId="6B0BA8C0" w14:textId="7B0707B5" w:rsidR="00A425DC" w:rsidRPr="00F541D5" w:rsidRDefault="00A425DC" w:rsidP="005956A7">
      <w:pPr>
        <w:ind w:left="851"/>
        <w:rPr>
          <w:sz w:val="24"/>
          <w:szCs w:val="24"/>
        </w:rPr>
      </w:pPr>
      <w:proofErr w:type="spellStart"/>
      <w:r w:rsidRPr="00F541D5">
        <w:rPr>
          <w:sz w:val="24"/>
          <w:szCs w:val="24"/>
        </w:rPr>
        <w:t>Granisym</w:t>
      </w:r>
      <w:proofErr w:type="spellEnd"/>
      <w:r w:rsidRPr="00F541D5">
        <w:rPr>
          <w:sz w:val="24"/>
          <w:szCs w:val="24"/>
        </w:rPr>
        <w:t xml:space="preserve"> påvirker ikke eller i ubetydelig grad evnen til at føre motorkøretøj eller betjene maskiner.</w:t>
      </w:r>
    </w:p>
    <w:p w14:paraId="5FCA7490" w14:textId="77777777" w:rsidR="009260DE" w:rsidRPr="00F541D5" w:rsidRDefault="009260DE" w:rsidP="009260DE">
      <w:pPr>
        <w:tabs>
          <w:tab w:val="left" w:pos="851"/>
        </w:tabs>
        <w:ind w:left="851"/>
        <w:rPr>
          <w:sz w:val="24"/>
          <w:szCs w:val="24"/>
        </w:rPr>
      </w:pPr>
    </w:p>
    <w:p w14:paraId="74E6A2DC" w14:textId="77777777" w:rsidR="009260DE" w:rsidRPr="00F541D5" w:rsidRDefault="009260DE" w:rsidP="009260DE">
      <w:pPr>
        <w:tabs>
          <w:tab w:val="left" w:pos="851"/>
        </w:tabs>
        <w:ind w:left="851" w:hanging="851"/>
        <w:rPr>
          <w:b/>
          <w:sz w:val="24"/>
          <w:szCs w:val="24"/>
        </w:rPr>
      </w:pPr>
      <w:r w:rsidRPr="00F541D5">
        <w:rPr>
          <w:b/>
          <w:sz w:val="24"/>
          <w:szCs w:val="24"/>
        </w:rPr>
        <w:t>4.8</w:t>
      </w:r>
      <w:r w:rsidRPr="00F541D5">
        <w:rPr>
          <w:b/>
          <w:sz w:val="24"/>
          <w:szCs w:val="24"/>
        </w:rPr>
        <w:tab/>
        <w:t>Bivirkninger</w:t>
      </w:r>
    </w:p>
    <w:p w14:paraId="61DB9D43" w14:textId="77777777" w:rsidR="00F541D5" w:rsidRDefault="00F541D5" w:rsidP="005956A7">
      <w:pPr>
        <w:ind w:left="851"/>
        <w:rPr>
          <w:sz w:val="24"/>
          <w:szCs w:val="24"/>
        </w:rPr>
      </w:pPr>
    </w:p>
    <w:p w14:paraId="6B9011D9" w14:textId="27542351" w:rsidR="00A425DC" w:rsidRPr="00F541D5" w:rsidRDefault="00A425DC" w:rsidP="005956A7">
      <w:pPr>
        <w:ind w:left="851"/>
        <w:rPr>
          <w:sz w:val="24"/>
          <w:szCs w:val="24"/>
          <w:u w:val="single"/>
          <w:lang w:eastAsia="da-DK"/>
        </w:rPr>
      </w:pPr>
      <w:r w:rsidRPr="00F541D5">
        <w:rPr>
          <w:sz w:val="24"/>
          <w:szCs w:val="24"/>
          <w:u w:val="single"/>
        </w:rPr>
        <w:t>Resumé af sikkerhedsprofilen</w:t>
      </w:r>
    </w:p>
    <w:p w14:paraId="11099F88" w14:textId="77777777" w:rsidR="00A425DC" w:rsidRPr="00F541D5" w:rsidRDefault="00A425DC" w:rsidP="005956A7">
      <w:pPr>
        <w:ind w:left="851"/>
        <w:rPr>
          <w:sz w:val="24"/>
          <w:szCs w:val="24"/>
        </w:rPr>
      </w:pPr>
      <w:r w:rsidRPr="00F541D5">
        <w:rPr>
          <w:sz w:val="24"/>
          <w:szCs w:val="24"/>
        </w:rPr>
        <w:t xml:space="preserve">De hyppigst rapporterede bivirkninger for </w:t>
      </w:r>
      <w:proofErr w:type="spellStart"/>
      <w:r w:rsidRPr="00F541D5">
        <w:rPr>
          <w:sz w:val="24"/>
          <w:szCs w:val="24"/>
        </w:rPr>
        <w:t>granisetron</w:t>
      </w:r>
      <w:proofErr w:type="spellEnd"/>
      <w:r w:rsidRPr="00F541D5">
        <w:rPr>
          <w:sz w:val="24"/>
          <w:szCs w:val="24"/>
        </w:rPr>
        <w:t xml:space="preserve"> er hovedpine og obstipation, som kan være forbigående. Ændringer i EKG, herunder forlængelse af QT-interval er blevet rapporteret for </w:t>
      </w:r>
      <w:proofErr w:type="spellStart"/>
      <w:r w:rsidRPr="00F541D5">
        <w:rPr>
          <w:sz w:val="24"/>
          <w:szCs w:val="24"/>
        </w:rPr>
        <w:t>granisetron</w:t>
      </w:r>
      <w:proofErr w:type="spellEnd"/>
      <w:r w:rsidRPr="00F541D5">
        <w:rPr>
          <w:sz w:val="24"/>
          <w:szCs w:val="24"/>
        </w:rPr>
        <w:t xml:space="preserve"> (se pkt. 4.4 og 4.5).</w:t>
      </w:r>
    </w:p>
    <w:p w14:paraId="3939D4E3" w14:textId="77777777" w:rsidR="00A425DC" w:rsidRPr="00F541D5" w:rsidRDefault="00A425DC" w:rsidP="005956A7">
      <w:pPr>
        <w:ind w:left="851"/>
        <w:rPr>
          <w:sz w:val="24"/>
          <w:szCs w:val="24"/>
        </w:rPr>
      </w:pPr>
    </w:p>
    <w:p w14:paraId="7AA8CFF1" w14:textId="77777777" w:rsidR="00A425DC" w:rsidRPr="00F541D5" w:rsidRDefault="00A425DC" w:rsidP="005956A7">
      <w:pPr>
        <w:ind w:left="851"/>
        <w:rPr>
          <w:sz w:val="24"/>
          <w:szCs w:val="24"/>
          <w:u w:val="single"/>
        </w:rPr>
      </w:pPr>
      <w:r w:rsidRPr="00F541D5">
        <w:rPr>
          <w:sz w:val="24"/>
          <w:szCs w:val="24"/>
          <w:u w:val="single"/>
        </w:rPr>
        <w:t>Tabel over bivirkninger</w:t>
      </w:r>
    </w:p>
    <w:p w14:paraId="393E5BB2" w14:textId="77777777" w:rsidR="00A425DC" w:rsidRPr="00F541D5" w:rsidRDefault="00A425DC" w:rsidP="005956A7">
      <w:pPr>
        <w:ind w:left="851"/>
        <w:rPr>
          <w:sz w:val="24"/>
          <w:szCs w:val="24"/>
        </w:rPr>
      </w:pPr>
      <w:r w:rsidRPr="00F541D5">
        <w:rPr>
          <w:sz w:val="24"/>
          <w:szCs w:val="24"/>
        </w:rPr>
        <w:t xml:space="preserve">Nedenstående tabel over bivirkninger bygger på data fra kliniske forsøg og post-marketing data for </w:t>
      </w:r>
      <w:proofErr w:type="spellStart"/>
      <w:r w:rsidRPr="00F541D5">
        <w:rPr>
          <w:sz w:val="24"/>
          <w:szCs w:val="24"/>
        </w:rPr>
        <w:t>granisetron</w:t>
      </w:r>
      <w:proofErr w:type="spellEnd"/>
      <w:r w:rsidRPr="00F541D5">
        <w:rPr>
          <w:sz w:val="24"/>
          <w:szCs w:val="24"/>
        </w:rPr>
        <w:t xml:space="preserve"> og andre 5-HT</w:t>
      </w:r>
      <w:r w:rsidRPr="00F541D5">
        <w:rPr>
          <w:sz w:val="24"/>
          <w:szCs w:val="24"/>
          <w:vertAlign w:val="subscript"/>
        </w:rPr>
        <w:t>3</w:t>
      </w:r>
      <w:r w:rsidRPr="00F541D5">
        <w:rPr>
          <w:sz w:val="24"/>
          <w:szCs w:val="24"/>
        </w:rPr>
        <w:t xml:space="preserve"> antagonister.</w:t>
      </w:r>
    </w:p>
    <w:p w14:paraId="28507AFB" w14:textId="77777777" w:rsidR="00A425DC" w:rsidRPr="00F541D5" w:rsidRDefault="00A425DC" w:rsidP="005956A7">
      <w:pPr>
        <w:ind w:left="851"/>
        <w:rPr>
          <w:sz w:val="24"/>
          <w:szCs w:val="24"/>
        </w:rPr>
      </w:pPr>
    </w:p>
    <w:p w14:paraId="328AB551" w14:textId="77777777" w:rsidR="00A425DC" w:rsidRPr="00F541D5" w:rsidRDefault="00A425DC" w:rsidP="005956A7">
      <w:pPr>
        <w:ind w:left="851"/>
        <w:rPr>
          <w:sz w:val="24"/>
          <w:szCs w:val="24"/>
        </w:rPr>
      </w:pPr>
      <w:r w:rsidRPr="00F541D5">
        <w:rPr>
          <w:sz w:val="24"/>
          <w:szCs w:val="24"/>
        </w:rPr>
        <w:t>Kategorier for hyppighed er som følger:</w:t>
      </w:r>
    </w:p>
    <w:p w14:paraId="0E5ABEDE" w14:textId="77777777" w:rsidR="00A425DC" w:rsidRPr="00F541D5" w:rsidRDefault="00A425DC" w:rsidP="005956A7">
      <w:pPr>
        <w:ind w:left="851"/>
        <w:rPr>
          <w:sz w:val="24"/>
          <w:szCs w:val="24"/>
        </w:rPr>
      </w:pPr>
      <w:r w:rsidRPr="00F541D5">
        <w:rPr>
          <w:sz w:val="24"/>
          <w:szCs w:val="24"/>
        </w:rPr>
        <w:t>Meget almindelig: ≥1/10;</w:t>
      </w:r>
    </w:p>
    <w:p w14:paraId="4A590757" w14:textId="77777777" w:rsidR="00A425DC" w:rsidRPr="00F541D5" w:rsidRDefault="00A425DC" w:rsidP="005956A7">
      <w:pPr>
        <w:ind w:left="851"/>
        <w:rPr>
          <w:sz w:val="24"/>
          <w:szCs w:val="24"/>
        </w:rPr>
      </w:pPr>
      <w:r w:rsidRPr="00F541D5">
        <w:rPr>
          <w:sz w:val="24"/>
          <w:szCs w:val="24"/>
        </w:rPr>
        <w:t>Almindelig: ≥1/100 til &lt;1/10;</w:t>
      </w:r>
    </w:p>
    <w:p w14:paraId="547B7364" w14:textId="77777777" w:rsidR="00A425DC" w:rsidRPr="00F541D5" w:rsidRDefault="00A425DC" w:rsidP="005956A7">
      <w:pPr>
        <w:ind w:left="851"/>
        <w:rPr>
          <w:sz w:val="24"/>
          <w:szCs w:val="24"/>
        </w:rPr>
      </w:pPr>
      <w:r w:rsidRPr="00F541D5">
        <w:rPr>
          <w:sz w:val="24"/>
          <w:szCs w:val="24"/>
        </w:rPr>
        <w:t>Ikke almindelig: ≥1/1000 til &lt;1/100;</w:t>
      </w:r>
    </w:p>
    <w:p w14:paraId="1F06948D" w14:textId="77777777" w:rsidR="00A425DC" w:rsidRPr="00F541D5" w:rsidRDefault="00A425DC" w:rsidP="005956A7">
      <w:pPr>
        <w:ind w:left="851"/>
        <w:rPr>
          <w:sz w:val="24"/>
          <w:szCs w:val="24"/>
        </w:rPr>
      </w:pPr>
      <w:r w:rsidRPr="00F541D5">
        <w:rPr>
          <w:sz w:val="24"/>
          <w:szCs w:val="24"/>
        </w:rPr>
        <w:t>Sjælden: ≥1/10.000 til &lt;1/1000;</w:t>
      </w:r>
    </w:p>
    <w:p w14:paraId="5A7DBB2A" w14:textId="77777777" w:rsidR="00A425DC" w:rsidRPr="00F541D5" w:rsidRDefault="00A425DC" w:rsidP="005956A7">
      <w:pPr>
        <w:ind w:left="851"/>
        <w:rPr>
          <w:sz w:val="24"/>
          <w:szCs w:val="24"/>
        </w:rPr>
      </w:pPr>
      <w:r w:rsidRPr="00F541D5">
        <w:rPr>
          <w:sz w:val="24"/>
          <w:szCs w:val="24"/>
        </w:rPr>
        <w:t>Meget sjælden: &lt;1/10.000</w:t>
      </w:r>
    </w:p>
    <w:p w14:paraId="24822136" w14:textId="77777777" w:rsidR="00A425DC" w:rsidRPr="00F541D5" w:rsidRDefault="00A425DC" w:rsidP="00A425DC">
      <w:pPr>
        <w:tabs>
          <w:tab w:val="left" w:pos="851"/>
          <w:tab w:val="left" w:pos="1701"/>
          <w:tab w:val="left" w:pos="2552"/>
          <w:tab w:val="left" w:pos="3403"/>
          <w:tab w:val="left" w:pos="4254"/>
          <w:tab w:val="left" w:pos="5105"/>
          <w:tab w:val="left" w:pos="5955"/>
          <w:tab w:val="left" w:pos="6806"/>
          <w:tab w:val="left" w:pos="7657"/>
          <w:tab w:val="left" w:pos="8508"/>
        </w:tabs>
        <w:ind w:left="851"/>
        <w:rPr>
          <w:sz w:val="24"/>
          <w:szCs w:val="24"/>
        </w:rPr>
      </w:pPr>
    </w:p>
    <w:tbl>
      <w:tblPr>
        <w:tblStyle w:val="Tabel-Gitter"/>
        <w:tblW w:w="5000" w:type="pct"/>
        <w:tblInd w:w="0" w:type="dxa"/>
        <w:tblLook w:val="04A0" w:firstRow="1" w:lastRow="0" w:firstColumn="1" w:lastColumn="0" w:noHBand="0" w:noVBand="1"/>
      </w:tblPr>
      <w:tblGrid>
        <w:gridCol w:w="2659"/>
        <w:gridCol w:w="2070"/>
        <w:gridCol w:w="4899"/>
      </w:tblGrid>
      <w:tr w:rsidR="00A425DC" w:rsidRPr="00F541D5" w14:paraId="342FFFAF" w14:textId="77777777" w:rsidTr="005956A7">
        <w:trPr>
          <w:tblHeader/>
        </w:trPr>
        <w:tc>
          <w:tcPr>
            <w:tcW w:w="1381" w:type="pct"/>
            <w:tcBorders>
              <w:top w:val="single" w:sz="4" w:space="0" w:color="auto"/>
              <w:left w:val="single" w:sz="4" w:space="0" w:color="auto"/>
              <w:bottom w:val="single" w:sz="4" w:space="0" w:color="auto"/>
              <w:right w:val="single" w:sz="4" w:space="0" w:color="auto"/>
            </w:tcBorders>
            <w:hideMark/>
          </w:tcPr>
          <w:p w14:paraId="2F40DE20" w14:textId="77777777" w:rsidR="00A425DC" w:rsidRPr="00F541D5" w:rsidRDefault="00A425DC">
            <w:pPr>
              <w:spacing w:before="60" w:after="60"/>
              <w:jc w:val="left"/>
              <w:rPr>
                <w:rFonts w:ascii="Times New Roman" w:hAnsi="Times New Roman" w:cs="Times New Roman"/>
                <w:b/>
                <w:bCs/>
                <w:sz w:val="24"/>
                <w:szCs w:val="24"/>
                <w:lang w:val="da-DK"/>
              </w:rPr>
            </w:pPr>
            <w:r w:rsidRPr="00F541D5">
              <w:rPr>
                <w:rFonts w:ascii="Times New Roman" w:hAnsi="Times New Roman" w:cs="Times New Roman"/>
                <w:b/>
                <w:bCs/>
                <w:sz w:val="24"/>
                <w:szCs w:val="24"/>
                <w:lang w:val="da-DK"/>
              </w:rPr>
              <w:t>Systemorganklasse</w:t>
            </w:r>
          </w:p>
        </w:tc>
        <w:tc>
          <w:tcPr>
            <w:tcW w:w="1075" w:type="pct"/>
            <w:tcBorders>
              <w:top w:val="single" w:sz="4" w:space="0" w:color="auto"/>
              <w:left w:val="single" w:sz="4" w:space="0" w:color="auto"/>
              <w:bottom w:val="single" w:sz="4" w:space="0" w:color="auto"/>
              <w:right w:val="single" w:sz="4" w:space="0" w:color="auto"/>
            </w:tcBorders>
            <w:hideMark/>
          </w:tcPr>
          <w:p w14:paraId="66962C5E" w14:textId="77777777" w:rsidR="00A425DC" w:rsidRPr="00F541D5" w:rsidRDefault="00A425DC">
            <w:pPr>
              <w:spacing w:before="60" w:after="60"/>
              <w:jc w:val="left"/>
              <w:rPr>
                <w:rFonts w:ascii="Times New Roman" w:hAnsi="Times New Roman" w:cs="Times New Roman"/>
                <w:b/>
                <w:bCs/>
                <w:sz w:val="24"/>
                <w:szCs w:val="24"/>
                <w:lang w:val="da-DK"/>
              </w:rPr>
            </w:pPr>
            <w:r w:rsidRPr="00F541D5">
              <w:rPr>
                <w:rFonts w:ascii="Times New Roman" w:hAnsi="Times New Roman" w:cs="Times New Roman"/>
                <w:b/>
                <w:bCs/>
                <w:sz w:val="24"/>
                <w:szCs w:val="24"/>
                <w:lang w:val="da-DK"/>
              </w:rPr>
              <w:t>Hyppighed</w:t>
            </w:r>
          </w:p>
        </w:tc>
        <w:tc>
          <w:tcPr>
            <w:tcW w:w="2544" w:type="pct"/>
            <w:tcBorders>
              <w:top w:val="single" w:sz="4" w:space="0" w:color="auto"/>
              <w:left w:val="single" w:sz="4" w:space="0" w:color="auto"/>
              <w:bottom w:val="single" w:sz="4" w:space="0" w:color="auto"/>
              <w:right w:val="single" w:sz="4" w:space="0" w:color="auto"/>
            </w:tcBorders>
            <w:hideMark/>
          </w:tcPr>
          <w:p w14:paraId="2A30FB93" w14:textId="77777777" w:rsidR="00A425DC" w:rsidRPr="00F541D5" w:rsidRDefault="00A425DC">
            <w:pPr>
              <w:spacing w:before="60" w:after="60"/>
              <w:jc w:val="left"/>
              <w:rPr>
                <w:rFonts w:ascii="Times New Roman" w:hAnsi="Times New Roman" w:cs="Times New Roman"/>
                <w:b/>
                <w:bCs/>
                <w:sz w:val="24"/>
                <w:szCs w:val="24"/>
                <w:lang w:val="da-DK"/>
              </w:rPr>
            </w:pPr>
            <w:r w:rsidRPr="00F541D5">
              <w:rPr>
                <w:rFonts w:ascii="Times New Roman" w:hAnsi="Times New Roman" w:cs="Times New Roman"/>
                <w:b/>
                <w:bCs/>
                <w:sz w:val="24"/>
                <w:szCs w:val="24"/>
                <w:lang w:val="da-DK"/>
              </w:rPr>
              <w:t>Bivirkninger</w:t>
            </w:r>
          </w:p>
        </w:tc>
      </w:tr>
      <w:tr w:rsidR="00A425DC" w:rsidRPr="00F541D5" w14:paraId="500096D7" w14:textId="77777777" w:rsidTr="005956A7">
        <w:tc>
          <w:tcPr>
            <w:tcW w:w="1381" w:type="pct"/>
            <w:tcBorders>
              <w:top w:val="single" w:sz="4" w:space="0" w:color="auto"/>
              <w:left w:val="single" w:sz="4" w:space="0" w:color="auto"/>
              <w:bottom w:val="single" w:sz="4" w:space="0" w:color="auto"/>
              <w:right w:val="single" w:sz="4" w:space="0" w:color="auto"/>
            </w:tcBorders>
            <w:hideMark/>
          </w:tcPr>
          <w:p w14:paraId="3070A8C7" w14:textId="77777777" w:rsidR="00A425DC" w:rsidRPr="00F541D5" w:rsidRDefault="00A425DC">
            <w:pPr>
              <w:spacing w:before="60" w:after="60"/>
              <w:jc w:val="left"/>
              <w:rPr>
                <w:rFonts w:ascii="Times New Roman" w:hAnsi="Times New Roman" w:cs="Times New Roman"/>
                <w:bCs/>
                <w:sz w:val="24"/>
                <w:szCs w:val="24"/>
                <w:lang w:val="da-DK"/>
              </w:rPr>
            </w:pPr>
            <w:r w:rsidRPr="00F541D5">
              <w:rPr>
                <w:rFonts w:ascii="Times New Roman" w:hAnsi="Times New Roman" w:cs="Times New Roman"/>
                <w:bCs/>
                <w:sz w:val="24"/>
                <w:szCs w:val="24"/>
                <w:lang w:val="da-DK"/>
              </w:rPr>
              <w:t>Immunsystemet</w:t>
            </w:r>
          </w:p>
        </w:tc>
        <w:tc>
          <w:tcPr>
            <w:tcW w:w="1075" w:type="pct"/>
            <w:tcBorders>
              <w:top w:val="single" w:sz="4" w:space="0" w:color="auto"/>
              <w:left w:val="single" w:sz="4" w:space="0" w:color="auto"/>
              <w:bottom w:val="single" w:sz="4" w:space="0" w:color="auto"/>
              <w:right w:val="single" w:sz="4" w:space="0" w:color="auto"/>
            </w:tcBorders>
            <w:hideMark/>
          </w:tcPr>
          <w:p w14:paraId="6D07A9B7"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Ikke almindelig</w:t>
            </w:r>
          </w:p>
        </w:tc>
        <w:tc>
          <w:tcPr>
            <w:tcW w:w="2544" w:type="pct"/>
            <w:tcBorders>
              <w:top w:val="single" w:sz="4" w:space="0" w:color="auto"/>
              <w:left w:val="single" w:sz="4" w:space="0" w:color="auto"/>
              <w:bottom w:val="single" w:sz="4" w:space="0" w:color="auto"/>
              <w:right w:val="single" w:sz="4" w:space="0" w:color="auto"/>
            </w:tcBorders>
            <w:hideMark/>
          </w:tcPr>
          <w:p w14:paraId="5A06C000"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 xml:space="preserve">Overfølsomhedsreaktioner, f.eks. anafylaksi, </w:t>
            </w:r>
            <w:proofErr w:type="spellStart"/>
            <w:r w:rsidRPr="00F541D5">
              <w:rPr>
                <w:rFonts w:ascii="Times New Roman" w:hAnsi="Times New Roman" w:cs="Times New Roman"/>
                <w:sz w:val="24"/>
                <w:szCs w:val="24"/>
                <w:lang w:val="da-DK"/>
              </w:rPr>
              <w:t>urticaria</w:t>
            </w:r>
            <w:proofErr w:type="spellEnd"/>
          </w:p>
        </w:tc>
      </w:tr>
      <w:tr w:rsidR="00A425DC" w:rsidRPr="00F541D5" w14:paraId="73F5C176" w14:textId="77777777" w:rsidTr="005956A7">
        <w:tc>
          <w:tcPr>
            <w:tcW w:w="1381" w:type="pct"/>
            <w:tcBorders>
              <w:top w:val="single" w:sz="4" w:space="0" w:color="auto"/>
              <w:left w:val="single" w:sz="4" w:space="0" w:color="auto"/>
              <w:bottom w:val="single" w:sz="4" w:space="0" w:color="auto"/>
              <w:right w:val="single" w:sz="4" w:space="0" w:color="auto"/>
            </w:tcBorders>
            <w:hideMark/>
          </w:tcPr>
          <w:p w14:paraId="41A7A3F3"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noProof/>
                <w:sz w:val="24"/>
                <w:szCs w:val="24"/>
                <w:lang w:val="da-DK"/>
              </w:rPr>
              <w:t>Psykiske forstyrrelser</w:t>
            </w:r>
          </w:p>
        </w:tc>
        <w:tc>
          <w:tcPr>
            <w:tcW w:w="1075" w:type="pct"/>
            <w:tcBorders>
              <w:top w:val="single" w:sz="4" w:space="0" w:color="auto"/>
              <w:left w:val="single" w:sz="4" w:space="0" w:color="auto"/>
              <w:bottom w:val="single" w:sz="4" w:space="0" w:color="auto"/>
              <w:right w:val="single" w:sz="4" w:space="0" w:color="auto"/>
            </w:tcBorders>
            <w:hideMark/>
          </w:tcPr>
          <w:p w14:paraId="5749860E"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Almindelig</w:t>
            </w:r>
          </w:p>
        </w:tc>
        <w:tc>
          <w:tcPr>
            <w:tcW w:w="2544" w:type="pct"/>
            <w:tcBorders>
              <w:top w:val="single" w:sz="4" w:space="0" w:color="auto"/>
              <w:left w:val="single" w:sz="4" w:space="0" w:color="auto"/>
              <w:bottom w:val="single" w:sz="4" w:space="0" w:color="auto"/>
              <w:right w:val="single" w:sz="4" w:space="0" w:color="auto"/>
            </w:tcBorders>
            <w:hideMark/>
          </w:tcPr>
          <w:p w14:paraId="3AA8ACB0"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Insomni</w:t>
            </w:r>
          </w:p>
        </w:tc>
      </w:tr>
      <w:tr w:rsidR="00A425DC" w:rsidRPr="00F541D5" w14:paraId="5300D8A8" w14:textId="77777777" w:rsidTr="005956A7">
        <w:tc>
          <w:tcPr>
            <w:tcW w:w="1381" w:type="pct"/>
            <w:vMerge w:val="restart"/>
            <w:tcBorders>
              <w:top w:val="single" w:sz="4" w:space="0" w:color="auto"/>
              <w:left w:val="single" w:sz="4" w:space="0" w:color="auto"/>
              <w:bottom w:val="single" w:sz="4" w:space="0" w:color="auto"/>
              <w:right w:val="single" w:sz="4" w:space="0" w:color="auto"/>
            </w:tcBorders>
            <w:hideMark/>
          </w:tcPr>
          <w:p w14:paraId="360BD0CA" w14:textId="77777777" w:rsidR="00A425DC" w:rsidRPr="00F541D5" w:rsidRDefault="00A425DC">
            <w:pPr>
              <w:spacing w:before="60" w:after="60"/>
              <w:jc w:val="left"/>
              <w:rPr>
                <w:rFonts w:ascii="Times New Roman" w:hAnsi="Times New Roman" w:cs="Times New Roman"/>
                <w:bCs/>
                <w:sz w:val="24"/>
                <w:szCs w:val="24"/>
                <w:lang w:val="da-DK"/>
              </w:rPr>
            </w:pPr>
            <w:r w:rsidRPr="00F541D5">
              <w:rPr>
                <w:rFonts w:ascii="Times New Roman" w:hAnsi="Times New Roman" w:cs="Times New Roman"/>
                <w:bCs/>
                <w:sz w:val="24"/>
                <w:szCs w:val="24"/>
                <w:lang w:val="da-DK"/>
              </w:rPr>
              <w:t>Nervesystemet</w:t>
            </w:r>
          </w:p>
        </w:tc>
        <w:tc>
          <w:tcPr>
            <w:tcW w:w="1075" w:type="pct"/>
            <w:tcBorders>
              <w:top w:val="single" w:sz="4" w:space="0" w:color="auto"/>
              <w:left w:val="single" w:sz="4" w:space="0" w:color="auto"/>
              <w:bottom w:val="single" w:sz="4" w:space="0" w:color="auto"/>
              <w:right w:val="single" w:sz="4" w:space="0" w:color="auto"/>
            </w:tcBorders>
            <w:hideMark/>
          </w:tcPr>
          <w:p w14:paraId="7E55B836"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Meget almindelig</w:t>
            </w:r>
          </w:p>
        </w:tc>
        <w:tc>
          <w:tcPr>
            <w:tcW w:w="2544" w:type="pct"/>
            <w:tcBorders>
              <w:top w:val="single" w:sz="4" w:space="0" w:color="auto"/>
              <w:left w:val="single" w:sz="4" w:space="0" w:color="auto"/>
              <w:bottom w:val="single" w:sz="4" w:space="0" w:color="auto"/>
              <w:right w:val="single" w:sz="4" w:space="0" w:color="auto"/>
            </w:tcBorders>
            <w:hideMark/>
          </w:tcPr>
          <w:p w14:paraId="3988DFDC" w14:textId="77777777" w:rsidR="00A425DC" w:rsidRPr="00F541D5" w:rsidRDefault="00A425DC">
            <w:pPr>
              <w:tabs>
                <w:tab w:val="left" w:pos="0"/>
                <w:tab w:val="left" w:pos="851"/>
                <w:tab w:val="left" w:pos="1701"/>
                <w:tab w:val="left" w:pos="2552"/>
                <w:tab w:val="left" w:pos="3403"/>
                <w:tab w:val="left" w:pos="4254"/>
                <w:tab w:val="left" w:pos="5105"/>
                <w:tab w:val="left" w:pos="5955"/>
                <w:tab w:val="left" w:pos="6806"/>
                <w:tab w:val="left" w:pos="7657"/>
                <w:tab w:val="left" w:pos="8508"/>
              </w:tabs>
              <w:rPr>
                <w:rFonts w:ascii="Times New Roman" w:hAnsi="Times New Roman" w:cs="Times New Roman"/>
                <w:sz w:val="24"/>
                <w:szCs w:val="24"/>
                <w:lang w:val="da-DK"/>
              </w:rPr>
            </w:pPr>
            <w:r w:rsidRPr="00F541D5">
              <w:rPr>
                <w:rFonts w:ascii="Times New Roman" w:hAnsi="Times New Roman" w:cs="Times New Roman"/>
                <w:sz w:val="24"/>
                <w:szCs w:val="24"/>
                <w:lang w:val="da-DK"/>
              </w:rPr>
              <w:t>Hovedpine</w:t>
            </w:r>
          </w:p>
        </w:tc>
      </w:tr>
      <w:tr w:rsidR="00A425DC" w:rsidRPr="00F541D5" w14:paraId="54283615" w14:textId="77777777" w:rsidTr="005956A7">
        <w:tc>
          <w:tcPr>
            <w:tcW w:w="1381" w:type="pct"/>
            <w:vMerge/>
            <w:tcBorders>
              <w:top w:val="single" w:sz="4" w:space="0" w:color="auto"/>
              <w:left w:val="single" w:sz="4" w:space="0" w:color="auto"/>
              <w:bottom w:val="single" w:sz="4" w:space="0" w:color="auto"/>
              <w:right w:val="single" w:sz="4" w:space="0" w:color="auto"/>
            </w:tcBorders>
            <w:vAlign w:val="center"/>
            <w:hideMark/>
          </w:tcPr>
          <w:p w14:paraId="628487C9" w14:textId="77777777" w:rsidR="00A425DC" w:rsidRPr="00F541D5" w:rsidRDefault="00A425DC">
            <w:pPr>
              <w:rPr>
                <w:rFonts w:ascii="Times New Roman" w:eastAsia="Times New Roman" w:hAnsi="Times New Roman" w:cs="Times New Roman"/>
                <w:bCs/>
                <w:sz w:val="24"/>
                <w:szCs w:val="24"/>
                <w:lang w:val="da-DK"/>
              </w:rPr>
            </w:pPr>
          </w:p>
        </w:tc>
        <w:tc>
          <w:tcPr>
            <w:tcW w:w="1075" w:type="pct"/>
            <w:tcBorders>
              <w:top w:val="single" w:sz="4" w:space="0" w:color="auto"/>
              <w:left w:val="single" w:sz="4" w:space="0" w:color="auto"/>
              <w:bottom w:val="single" w:sz="4" w:space="0" w:color="auto"/>
              <w:right w:val="single" w:sz="4" w:space="0" w:color="auto"/>
            </w:tcBorders>
            <w:hideMark/>
          </w:tcPr>
          <w:p w14:paraId="115A134C"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Ikke almindelig</w:t>
            </w:r>
          </w:p>
        </w:tc>
        <w:tc>
          <w:tcPr>
            <w:tcW w:w="2544" w:type="pct"/>
            <w:tcBorders>
              <w:top w:val="single" w:sz="4" w:space="0" w:color="auto"/>
              <w:left w:val="single" w:sz="4" w:space="0" w:color="auto"/>
              <w:bottom w:val="single" w:sz="4" w:space="0" w:color="auto"/>
              <w:right w:val="single" w:sz="4" w:space="0" w:color="auto"/>
            </w:tcBorders>
            <w:hideMark/>
          </w:tcPr>
          <w:p w14:paraId="47A305F4"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Ekstrapyramidale forstyrrelser, serotoninsyndrom (se også pkt. 4.4 og 4.5)</w:t>
            </w:r>
          </w:p>
        </w:tc>
      </w:tr>
      <w:tr w:rsidR="00A425DC" w:rsidRPr="00F541D5" w14:paraId="5CBEC88C" w14:textId="77777777" w:rsidTr="005956A7">
        <w:tc>
          <w:tcPr>
            <w:tcW w:w="1381" w:type="pct"/>
            <w:tcBorders>
              <w:top w:val="single" w:sz="4" w:space="0" w:color="auto"/>
              <w:left w:val="single" w:sz="4" w:space="0" w:color="auto"/>
              <w:bottom w:val="single" w:sz="4" w:space="0" w:color="auto"/>
              <w:right w:val="single" w:sz="4" w:space="0" w:color="auto"/>
            </w:tcBorders>
            <w:hideMark/>
          </w:tcPr>
          <w:p w14:paraId="25AFB8AB"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Hjerte</w:t>
            </w:r>
          </w:p>
        </w:tc>
        <w:tc>
          <w:tcPr>
            <w:tcW w:w="1075" w:type="pct"/>
            <w:tcBorders>
              <w:top w:val="single" w:sz="4" w:space="0" w:color="auto"/>
              <w:left w:val="single" w:sz="4" w:space="0" w:color="auto"/>
              <w:bottom w:val="single" w:sz="4" w:space="0" w:color="auto"/>
              <w:right w:val="single" w:sz="4" w:space="0" w:color="auto"/>
            </w:tcBorders>
            <w:hideMark/>
          </w:tcPr>
          <w:p w14:paraId="614C4752"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Ikke almindelige</w:t>
            </w:r>
          </w:p>
        </w:tc>
        <w:tc>
          <w:tcPr>
            <w:tcW w:w="2544" w:type="pct"/>
            <w:tcBorders>
              <w:top w:val="single" w:sz="4" w:space="0" w:color="auto"/>
              <w:left w:val="single" w:sz="4" w:space="0" w:color="auto"/>
              <w:bottom w:val="single" w:sz="4" w:space="0" w:color="auto"/>
              <w:right w:val="single" w:sz="4" w:space="0" w:color="auto"/>
            </w:tcBorders>
            <w:hideMark/>
          </w:tcPr>
          <w:p w14:paraId="4658EE67"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QT-forlængelse</w:t>
            </w:r>
          </w:p>
        </w:tc>
      </w:tr>
      <w:tr w:rsidR="00A425DC" w:rsidRPr="00F541D5" w14:paraId="062A5357" w14:textId="77777777" w:rsidTr="005956A7">
        <w:tc>
          <w:tcPr>
            <w:tcW w:w="1381" w:type="pct"/>
            <w:vMerge w:val="restart"/>
            <w:tcBorders>
              <w:top w:val="single" w:sz="4" w:space="0" w:color="auto"/>
              <w:left w:val="single" w:sz="4" w:space="0" w:color="auto"/>
              <w:bottom w:val="single" w:sz="4" w:space="0" w:color="auto"/>
              <w:right w:val="single" w:sz="4" w:space="0" w:color="auto"/>
            </w:tcBorders>
            <w:hideMark/>
          </w:tcPr>
          <w:p w14:paraId="1E20889D"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noProof/>
                <w:sz w:val="24"/>
                <w:szCs w:val="24"/>
                <w:lang w:val="da-DK"/>
              </w:rPr>
              <w:t xml:space="preserve">Mave-tarm-kanalen   </w:t>
            </w:r>
          </w:p>
        </w:tc>
        <w:tc>
          <w:tcPr>
            <w:tcW w:w="1075" w:type="pct"/>
            <w:tcBorders>
              <w:top w:val="single" w:sz="4" w:space="0" w:color="auto"/>
              <w:left w:val="single" w:sz="4" w:space="0" w:color="auto"/>
              <w:bottom w:val="single" w:sz="4" w:space="0" w:color="auto"/>
              <w:right w:val="single" w:sz="4" w:space="0" w:color="auto"/>
            </w:tcBorders>
            <w:hideMark/>
          </w:tcPr>
          <w:p w14:paraId="6125BC22"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Meget almindelig</w:t>
            </w:r>
          </w:p>
        </w:tc>
        <w:tc>
          <w:tcPr>
            <w:tcW w:w="2544" w:type="pct"/>
            <w:tcBorders>
              <w:top w:val="single" w:sz="4" w:space="0" w:color="auto"/>
              <w:left w:val="single" w:sz="4" w:space="0" w:color="auto"/>
              <w:bottom w:val="single" w:sz="4" w:space="0" w:color="auto"/>
              <w:right w:val="single" w:sz="4" w:space="0" w:color="auto"/>
            </w:tcBorders>
            <w:hideMark/>
          </w:tcPr>
          <w:p w14:paraId="7FAF6107"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Obstipation</w:t>
            </w:r>
          </w:p>
        </w:tc>
      </w:tr>
      <w:tr w:rsidR="00A425DC" w:rsidRPr="00F541D5" w14:paraId="7F9E5C10" w14:textId="77777777" w:rsidTr="005956A7">
        <w:tc>
          <w:tcPr>
            <w:tcW w:w="1381" w:type="pct"/>
            <w:vMerge/>
            <w:tcBorders>
              <w:top w:val="single" w:sz="4" w:space="0" w:color="auto"/>
              <w:left w:val="single" w:sz="4" w:space="0" w:color="auto"/>
              <w:bottom w:val="single" w:sz="4" w:space="0" w:color="auto"/>
              <w:right w:val="single" w:sz="4" w:space="0" w:color="auto"/>
            </w:tcBorders>
            <w:vAlign w:val="center"/>
            <w:hideMark/>
          </w:tcPr>
          <w:p w14:paraId="20CBE595" w14:textId="77777777" w:rsidR="00A425DC" w:rsidRPr="00F541D5" w:rsidRDefault="00A425DC">
            <w:pPr>
              <w:rPr>
                <w:rFonts w:ascii="Times New Roman" w:eastAsia="Times New Roman" w:hAnsi="Times New Roman" w:cs="Times New Roman"/>
                <w:sz w:val="24"/>
                <w:szCs w:val="24"/>
                <w:lang w:val="da-DK"/>
              </w:rPr>
            </w:pPr>
          </w:p>
        </w:tc>
        <w:tc>
          <w:tcPr>
            <w:tcW w:w="1075" w:type="pct"/>
            <w:tcBorders>
              <w:top w:val="single" w:sz="4" w:space="0" w:color="auto"/>
              <w:left w:val="single" w:sz="4" w:space="0" w:color="auto"/>
              <w:bottom w:val="single" w:sz="4" w:space="0" w:color="auto"/>
              <w:right w:val="single" w:sz="4" w:space="0" w:color="auto"/>
            </w:tcBorders>
            <w:hideMark/>
          </w:tcPr>
          <w:p w14:paraId="493348B7"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Almindelig</w:t>
            </w:r>
          </w:p>
        </w:tc>
        <w:tc>
          <w:tcPr>
            <w:tcW w:w="2544" w:type="pct"/>
            <w:tcBorders>
              <w:top w:val="single" w:sz="4" w:space="0" w:color="auto"/>
              <w:left w:val="single" w:sz="4" w:space="0" w:color="auto"/>
              <w:bottom w:val="single" w:sz="4" w:space="0" w:color="auto"/>
              <w:right w:val="single" w:sz="4" w:space="0" w:color="auto"/>
            </w:tcBorders>
            <w:hideMark/>
          </w:tcPr>
          <w:p w14:paraId="4F79682D"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Diarré</w:t>
            </w:r>
          </w:p>
        </w:tc>
      </w:tr>
      <w:tr w:rsidR="00A425DC" w:rsidRPr="00F541D5" w14:paraId="290F2A6E" w14:textId="77777777" w:rsidTr="005956A7">
        <w:tc>
          <w:tcPr>
            <w:tcW w:w="1381" w:type="pct"/>
            <w:tcBorders>
              <w:top w:val="single" w:sz="4" w:space="0" w:color="auto"/>
              <w:left w:val="single" w:sz="4" w:space="0" w:color="auto"/>
              <w:bottom w:val="single" w:sz="4" w:space="0" w:color="auto"/>
              <w:right w:val="single" w:sz="4" w:space="0" w:color="auto"/>
            </w:tcBorders>
            <w:hideMark/>
          </w:tcPr>
          <w:p w14:paraId="793ECA38"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noProof/>
                <w:sz w:val="24"/>
                <w:szCs w:val="24"/>
                <w:lang w:val="da-DK"/>
              </w:rPr>
              <w:t>Lever og galdeveje</w:t>
            </w:r>
          </w:p>
        </w:tc>
        <w:tc>
          <w:tcPr>
            <w:tcW w:w="1075" w:type="pct"/>
            <w:tcBorders>
              <w:top w:val="single" w:sz="4" w:space="0" w:color="auto"/>
              <w:left w:val="single" w:sz="4" w:space="0" w:color="auto"/>
              <w:bottom w:val="single" w:sz="4" w:space="0" w:color="auto"/>
              <w:right w:val="single" w:sz="4" w:space="0" w:color="auto"/>
            </w:tcBorders>
            <w:hideMark/>
          </w:tcPr>
          <w:p w14:paraId="78E0C2A6"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Almindelig</w:t>
            </w:r>
          </w:p>
        </w:tc>
        <w:tc>
          <w:tcPr>
            <w:tcW w:w="2544" w:type="pct"/>
            <w:tcBorders>
              <w:top w:val="single" w:sz="4" w:space="0" w:color="auto"/>
              <w:left w:val="single" w:sz="4" w:space="0" w:color="auto"/>
              <w:bottom w:val="single" w:sz="4" w:space="0" w:color="auto"/>
              <w:right w:val="single" w:sz="4" w:space="0" w:color="auto"/>
            </w:tcBorders>
            <w:hideMark/>
          </w:tcPr>
          <w:p w14:paraId="61984154"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 xml:space="preserve">Forhøjede </w:t>
            </w:r>
            <w:proofErr w:type="spellStart"/>
            <w:r w:rsidRPr="00F541D5">
              <w:rPr>
                <w:rFonts w:ascii="Times New Roman" w:hAnsi="Times New Roman" w:cs="Times New Roman"/>
                <w:sz w:val="24"/>
                <w:szCs w:val="24"/>
                <w:lang w:val="da-DK"/>
              </w:rPr>
              <w:t>leveraminotransferaser</w:t>
            </w:r>
            <w:proofErr w:type="spellEnd"/>
            <w:r w:rsidRPr="00F541D5">
              <w:rPr>
                <w:rFonts w:ascii="Times New Roman" w:hAnsi="Times New Roman" w:cs="Times New Roman"/>
                <w:sz w:val="24"/>
                <w:szCs w:val="24"/>
                <w:lang w:val="da-DK"/>
              </w:rPr>
              <w:t>*</w:t>
            </w:r>
          </w:p>
        </w:tc>
      </w:tr>
      <w:tr w:rsidR="00A425DC" w:rsidRPr="00F541D5" w14:paraId="20A43E2A" w14:textId="77777777" w:rsidTr="005956A7">
        <w:tc>
          <w:tcPr>
            <w:tcW w:w="1381" w:type="pct"/>
            <w:tcBorders>
              <w:top w:val="single" w:sz="4" w:space="0" w:color="auto"/>
              <w:left w:val="single" w:sz="4" w:space="0" w:color="auto"/>
              <w:bottom w:val="single" w:sz="4" w:space="0" w:color="auto"/>
              <w:right w:val="single" w:sz="4" w:space="0" w:color="auto"/>
            </w:tcBorders>
            <w:hideMark/>
          </w:tcPr>
          <w:p w14:paraId="45DB7B8D"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noProof/>
                <w:sz w:val="24"/>
                <w:szCs w:val="24"/>
                <w:lang w:val="da-DK"/>
              </w:rPr>
              <w:t>Hud og subkutane væv</w:t>
            </w:r>
          </w:p>
        </w:tc>
        <w:tc>
          <w:tcPr>
            <w:tcW w:w="1075" w:type="pct"/>
            <w:tcBorders>
              <w:top w:val="single" w:sz="4" w:space="0" w:color="auto"/>
              <w:left w:val="single" w:sz="4" w:space="0" w:color="auto"/>
              <w:bottom w:val="single" w:sz="4" w:space="0" w:color="auto"/>
              <w:right w:val="single" w:sz="4" w:space="0" w:color="auto"/>
            </w:tcBorders>
            <w:hideMark/>
          </w:tcPr>
          <w:p w14:paraId="101FB5E7"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Ikke almindelig</w:t>
            </w:r>
          </w:p>
        </w:tc>
        <w:tc>
          <w:tcPr>
            <w:tcW w:w="2544" w:type="pct"/>
            <w:tcBorders>
              <w:top w:val="single" w:sz="4" w:space="0" w:color="auto"/>
              <w:left w:val="single" w:sz="4" w:space="0" w:color="auto"/>
              <w:bottom w:val="single" w:sz="4" w:space="0" w:color="auto"/>
              <w:right w:val="single" w:sz="4" w:space="0" w:color="auto"/>
            </w:tcBorders>
            <w:hideMark/>
          </w:tcPr>
          <w:p w14:paraId="2B92250D" w14:textId="77777777" w:rsidR="00A425DC" w:rsidRPr="00F541D5" w:rsidRDefault="00A425DC">
            <w:pPr>
              <w:spacing w:before="60" w:after="60"/>
              <w:jc w:val="left"/>
              <w:rPr>
                <w:rFonts w:ascii="Times New Roman" w:hAnsi="Times New Roman" w:cs="Times New Roman"/>
                <w:sz w:val="24"/>
                <w:szCs w:val="24"/>
                <w:lang w:val="da-DK"/>
              </w:rPr>
            </w:pPr>
            <w:r w:rsidRPr="00F541D5">
              <w:rPr>
                <w:rFonts w:ascii="Times New Roman" w:hAnsi="Times New Roman" w:cs="Times New Roman"/>
                <w:sz w:val="24"/>
                <w:szCs w:val="24"/>
                <w:lang w:val="da-DK"/>
              </w:rPr>
              <w:t>Udslæt</w:t>
            </w:r>
          </w:p>
        </w:tc>
      </w:tr>
    </w:tbl>
    <w:p w14:paraId="57F18DF3" w14:textId="77777777" w:rsidR="00A425DC" w:rsidRPr="00F541D5" w:rsidRDefault="00A425DC" w:rsidP="00A425DC">
      <w:pPr>
        <w:jc w:val="both"/>
        <w:rPr>
          <w:b/>
          <w:sz w:val="24"/>
          <w:szCs w:val="24"/>
          <w:lang w:eastAsia="da-DK"/>
        </w:rPr>
      </w:pPr>
      <w:r w:rsidRPr="00F541D5">
        <w:rPr>
          <w:sz w:val="24"/>
          <w:szCs w:val="24"/>
          <w:vertAlign w:val="superscript"/>
        </w:rPr>
        <w:t>*</w:t>
      </w:r>
      <w:r w:rsidRPr="00F541D5">
        <w:rPr>
          <w:sz w:val="24"/>
          <w:szCs w:val="24"/>
        </w:rPr>
        <w:t xml:space="preserve">Forekom med tilsvarende hyppighed hos patienter som fik </w:t>
      </w:r>
      <w:proofErr w:type="spellStart"/>
      <w:r w:rsidRPr="00F541D5">
        <w:rPr>
          <w:sz w:val="24"/>
          <w:szCs w:val="24"/>
        </w:rPr>
        <w:t>komparatorbehandling</w:t>
      </w:r>
      <w:proofErr w:type="spellEnd"/>
      <w:r w:rsidRPr="00F541D5">
        <w:rPr>
          <w:sz w:val="24"/>
          <w:szCs w:val="24"/>
        </w:rPr>
        <w:t>.</w:t>
      </w:r>
    </w:p>
    <w:p w14:paraId="618D7108" w14:textId="77777777" w:rsidR="00A425DC" w:rsidRPr="00F541D5" w:rsidRDefault="00A425DC" w:rsidP="005956A7">
      <w:pPr>
        <w:ind w:left="851"/>
        <w:rPr>
          <w:sz w:val="24"/>
          <w:szCs w:val="24"/>
        </w:rPr>
      </w:pPr>
    </w:p>
    <w:p w14:paraId="0A363C37" w14:textId="57BFB3CC" w:rsidR="00A425DC" w:rsidRPr="00F541D5" w:rsidRDefault="00A425DC" w:rsidP="005956A7">
      <w:pPr>
        <w:ind w:left="851"/>
        <w:rPr>
          <w:sz w:val="24"/>
          <w:szCs w:val="24"/>
          <w:u w:val="single"/>
        </w:rPr>
      </w:pPr>
      <w:r w:rsidRPr="00F541D5">
        <w:rPr>
          <w:sz w:val="24"/>
          <w:szCs w:val="24"/>
          <w:u w:val="single"/>
        </w:rPr>
        <w:t>Beskrivelse af udvalgte bivirkninger</w:t>
      </w:r>
    </w:p>
    <w:p w14:paraId="5DB0CA91" w14:textId="70617B7D" w:rsidR="00A425DC" w:rsidRPr="00F541D5" w:rsidRDefault="00A425DC" w:rsidP="005956A7">
      <w:pPr>
        <w:ind w:left="851"/>
        <w:rPr>
          <w:sz w:val="24"/>
          <w:szCs w:val="24"/>
        </w:rPr>
      </w:pPr>
      <w:r w:rsidRPr="00F541D5">
        <w:rPr>
          <w:sz w:val="24"/>
          <w:szCs w:val="24"/>
        </w:rPr>
        <w:t>Som for andre 5-HT</w:t>
      </w:r>
      <w:r w:rsidRPr="00F541D5">
        <w:rPr>
          <w:sz w:val="24"/>
          <w:szCs w:val="24"/>
          <w:vertAlign w:val="subscript"/>
        </w:rPr>
        <w:t>3</w:t>
      </w:r>
      <w:r w:rsidRPr="00F541D5">
        <w:rPr>
          <w:sz w:val="24"/>
          <w:szCs w:val="24"/>
        </w:rPr>
        <w:t xml:space="preserve"> antagonister er ændringer i EKG, herunder forlængelse af QT-intervallet, blevet rapporteret for </w:t>
      </w:r>
      <w:proofErr w:type="spellStart"/>
      <w:r w:rsidRPr="00F541D5">
        <w:rPr>
          <w:sz w:val="24"/>
          <w:szCs w:val="24"/>
        </w:rPr>
        <w:t>granisetron</w:t>
      </w:r>
      <w:proofErr w:type="spellEnd"/>
      <w:r w:rsidRPr="00F541D5">
        <w:rPr>
          <w:sz w:val="24"/>
          <w:szCs w:val="24"/>
        </w:rPr>
        <w:t xml:space="preserve"> (se pkt. 4.4 og 4.5).</w:t>
      </w:r>
    </w:p>
    <w:p w14:paraId="62580C8B" w14:textId="77777777" w:rsidR="00A425DC" w:rsidRPr="00F541D5" w:rsidRDefault="00A425DC" w:rsidP="005956A7">
      <w:pPr>
        <w:ind w:left="851"/>
        <w:rPr>
          <w:sz w:val="24"/>
          <w:szCs w:val="24"/>
        </w:rPr>
      </w:pPr>
    </w:p>
    <w:p w14:paraId="66E6119A" w14:textId="66CB5734" w:rsidR="00A425DC" w:rsidRPr="00F541D5" w:rsidRDefault="00A425DC" w:rsidP="005956A7">
      <w:pPr>
        <w:ind w:left="851"/>
        <w:rPr>
          <w:sz w:val="24"/>
          <w:szCs w:val="24"/>
        </w:rPr>
      </w:pPr>
      <w:r w:rsidRPr="00F541D5">
        <w:rPr>
          <w:sz w:val="24"/>
          <w:szCs w:val="24"/>
        </w:rPr>
        <w:t>Som for andre 5-HT</w:t>
      </w:r>
      <w:r w:rsidRPr="00F541D5">
        <w:rPr>
          <w:sz w:val="24"/>
          <w:szCs w:val="24"/>
          <w:vertAlign w:val="subscript"/>
        </w:rPr>
        <w:t>3</w:t>
      </w:r>
      <w:r w:rsidRPr="00F541D5">
        <w:rPr>
          <w:sz w:val="24"/>
          <w:szCs w:val="24"/>
        </w:rPr>
        <w:t xml:space="preserve"> antagonister er der rapporteret tilfælde af serotoninsyndrom (inklusive ændret mental status, autonom dysfunktion og </w:t>
      </w:r>
      <w:proofErr w:type="spellStart"/>
      <w:r w:rsidRPr="00F541D5">
        <w:rPr>
          <w:sz w:val="24"/>
          <w:szCs w:val="24"/>
        </w:rPr>
        <w:t>neuromuskulære</w:t>
      </w:r>
      <w:proofErr w:type="spellEnd"/>
      <w:r w:rsidRPr="00F541D5">
        <w:rPr>
          <w:sz w:val="24"/>
          <w:szCs w:val="24"/>
        </w:rPr>
        <w:t xml:space="preserve"> </w:t>
      </w:r>
      <w:proofErr w:type="spellStart"/>
      <w:r w:rsidRPr="00F541D5">
        <w:rPr>
          <w:sz w:val="24"/>
          <w:szCs w:val="24"/>
        </w:rPr>
        <w:t>abnormaliteter</w:t>
      </w:r>
      <w:proofErr w:type="spellEnd"/>
      <w:r w:rsidRPr="00F541D5">
        <w:rPr>
          <w:sz w:val="24"/>
          <w:szCs w:val="24"/>
        </w:rPr>
        <w:t xml:space="preserve">) efter samtidig brug af </w:t>
      </w:r>
      <w:proofErr w:type="spellStart"/>
      <w:r w:rsidRPr="00F541D5">
        <w:rPr>
          <w:sz w:val="24"/>
          <w:szCs w:val="24"/>
        </w:rPr>
        <w:t>granisetron</w:t>
      </w:r>
      <w:proofErr w:type="spellEnd"/>
      <w:r w:rsidRPr="00F541D5">
        <w:rPr>
          <w:sz w:val="24"/>
          <w:szCs w:val="24"/>
        </w:rPr>
        <w:t xml:space="preserve"> og andre </w:t>
      </w:r>
      <w:proofErr w:type="spellStart"/>
      <w:r w:rsidRPr="00F541D5">
        <w:rPr>
          <w:sz w:val="24"/>
          <w:szCs w:val="24"/>
        </w:rPr>
        <w:t>serotonerge</w:t>
      </w:r>
      <w:proofErr w:type="spellEnd"/>
      <w:r w:rsidRPr="00F541D5">
        <w:rPr>
          <w:sz w:val="24"/>
          <w:szCs w:val="24"/>
        </w:rPr>
        <w:t xml:space="preserve"> lægemidler (se pkt. 4.4 og 4.5).</w:t>
      </w:r>
    </w:p>
    <w:p w14:paraId="233E2A5F" w14:textId="77777777" w:rsidR="00A425DC" w:rsidRPr="00F541D5" w:rsidRDefault="00A425DC" w:rsidP="005956A7">
      <w:pPr>
        <w:ind w:left="851"/>
        <w:rPr>
          <w:sz w:val="24"/>
          <w:szCs w:val="24"/>
        </w:rPr>
      </w:pPr>
    </w:p>
    <w:p w14:paraId="22EC47CB" w14:textId="77777777" w:rsidR="00A425DC" w:rsidRPr="00F541D5" w:rsidRDefault="00A425DC" w:rsidP="005956A7">
      <w:pPr>
        <w:ind w:left="851"/>
        <w:rPr>
          <w:sz w:val="24"/>
          <w:szCs w:val="24"/>
          <w:u w:val="single"/>
        </w:rPr>
      </w:pPr>
      <w:r w:rsidRPr="00F541D5">
        <w:rPr>
          <w:sz w:val="24"/>
          <w:szCs w:val="24"/>
          <w:u w:val="single"/>
        </w:rPr>
        <w:t>Indberetning af formodede bivirkninger</w:t>
      </w:r>
    </w:p>
    <w:p w14:paraId="5D8B02F2" w14:textId="059AC346" w:rsidR="00A425DC" w:rsidRPr="00F541D5" w:rsidRDefault="00A425DC" w:rsidP="005956A7">
      <w:pPr>
        <w:ind w:left="851"/>
        <w:rPr>
          <w:sz w:val="24"/>
          <w:szCs w:val="24"/>
        </w:rPr>
      </w:pPr>
      <w:r w:rsidRPr="00F541D5">
        <w:rPr>
          <w:sz w:val="24"/>
          <w:szCs w:val="24"/>
        </w:rPr>
        <w:t>Når lægemidlet er godkendt, er indberetning af formodede bivirkninger vigtig. Det muliggør løbende overvågning af benefit/</w:t>
      </w:r>
      <w:proofErr w:type="spellStart"/>
      <w:r w:rsidRPr="00F541D5">
        <w:rPr>
          <w:sz w:val="24"/>
          <w:szCs w:val="24"/>
        </w:rPr>
        <w:t>risk</w:t>
      </w:r>
      <w:proofErr w:type="spellEnd"/>
      <w:r w:rsidRPr="00F541D5">
        <w:rPr>
          <w:sz w:val="24"/>
          <w:szCs w:val="24"/>
        </w:rPr>
        <w:t xml:space="preserve">-forholdet for lægemidlet. </w:t>
      </w:r>
      <w:r w:rsidR="00F541D5">
        <w:rPr>
          <w:sz w:val="24"/>
          <w:szCs w:val="24"/>
        </w:rPr>
        <w:t>S</w:t>
      </w:r>
      <w:r w:rsidRPr="00F541D5">
        <w:rPr>
          <w:sz w:val="24"/>
          <w:szCs w:val="24"/>
        </w:rPr>
        <w:t>undhedsperson</w:t>
      </w:r>
      <w:r w:rsidR="00F541D5">
        <w:rPr>
          <w:sz w:val="24"/>
          <w:szCs w:val="24"/>
        </w:rPr>
        <w:t xml:space="preserve">er </w:t>
      </w:r>
      <w:r w:rsidRPr="00F541D5">
        <w:rPr>
          <w:sz w:val="24"/>
          <w:szCs w:val="24"/>
        </w:rPr>
        <w:t>anmodes om at indberette alle formodede bivirkninger via:</w:t>
      </w:r>
    </w:p>
    <w:p w14:paraId="38FCF3B4" w14:textId="77777777" w:rsidR="00A425DC" w:rsidRPr="00F541D5" w:rsidRDefault="00A425DC" w:rsidP="005956A7">
      <w:pPr>
        <w:ind w:left="851"/>
        <w:rPr>
          <w:sz w:val="24"/>
          <w:szCs w:val="24"/>
        </w:rPr>
      </w:pPr>
    </w:p>
    <w:p w14:paraId="5B1E088C" w14:textId="77777777" w:rsidR="00A425DC" w:rsidRPr="00F541D5" w:rsidRDefault="00A425DC" w:rsidP="005956A7">
      <w:pPr>
        <w:ind w:left="851"/>
        <w:rPr>
          <w:sz w:val="24"/>
          <w:szCs w:val="24"/>
        </w:rPr>
      </w:pPr>
      <w:r w:rsidRPr="00F541D5">
        <w:rPr>
          <w:sz w:val="24"/>
          <w:szCs w:val="24"/>
        </w:rPr>
        <w:t>Lægemiddelstyrelsen</w:t>
      </w:r>
    </w:p>
    <w:p w14:paraId="2A3AB9A1" w14:textId="77777777" w:rsidR="00A425DC" w:rsidRPr="00F541D5" w:rsidRDefault="00A425DC" w:rsidP="005956A7">
      <w:pPr>
        <w:ind w:left="851"/>
        <w:rPr>
          <w:sz w:val="24"/>
          <w:szCs w:val="24"/>
        </w:rPr>
      </w:pPr>
      <w:r w:rsidRPr="00F541D5">
        <w:rPr>
          <w:sz w:val="24"/>
          <w:szCs w:val="24"/>
        </w:rPr>
        <w:t>Axel Heides Gade 1</w:t>
      </w:r>
    </w:p>
    <w:p w14:paraId="29F01601" w14:textId="77777777" w:rsidR="00A425DC" w:rsidRPr="00F541D5" w:rsidRDefault="00A425DC" w:rsidP="005956A7">
      <w:pPr>
        <w:ind w:left="851"/>
        <w:rPr>
          <w:sz w:val="24"/>
          <w:szCs w:val="24"/>
        </w:rPr>
      </w:pPr>
      <w:r w:rsidRPr="00F541D5">
        <w:rPr>
          <w:sz w:val="24"/>
          <w:szCs w:val="24"/>
        </w:rPr>
        <w:t>DK-2300 København S</w:t>
      </w:r>
    </w:p>
    <w:p w14:paraId="7A88E6E5" w14:textId="77777777" w:rsidR="00A425DC" w:rsidRPr="00F541D5" w:rsidRDefault="00A425DC" w:rsidP="005956A7">
      <w:pPr>
        <w:ind w:left="851"/>
        <w:rPr>
          <w:sz w:val="24"/>
          <w:szCs w:val="24"/>
        </w:rPr>
      </w:pPr>
      <w:r w:rsidRPr="00F541D5">
        <w:rPr>
          <w:sz w:val="24"/>
          <w:szCs w:val="24"/>
        </w:rPr>
        <w:t xml:space="preserve">Websted: </w:t>
      </w:r>
      <w:hyperlink r:id="rId8" w:history="1">
        <w:r w:rsidRPr="00F541D5">
          <w:rPr>
            <w:rStyle w:val="Hyperlink"/>
            <w:sz w:val="24"/>
            <w:szCs w:val="24"/>
          </w:rPr>
          <w:t>www.meldenbivirkning.dk</w:t>
        </w:r>
      </w:hyperlink>
      <w:r w:rsidRPr="00F541D5">
        <w:rPr>
          <w:sz w:val="24"/>
          <w:szCs w:val="24"/>
        </w:rPr>
        <w:t xml:space="preserve"> </w:t>
      </w:r>
    </w:p>
    <w:p w14:paraId="36335630" w14:textId="77777777" w:rsidR="009260DE" w:rsidRPr="00F541D5" w:rsidRDefault="009260DE" w:rsidP="005956A7">
      <w:pPr>
        <w:ind w:left="851"/>
        <w:rPr>
          <w:sz w:val="24"/>
          <w:szCs w:val="24"/>
        </w:rPr>
      </w:pPr>
    </w:p>
    <w:p w14:paraId="6A7E4B72" w14:textId="77777777" w:rsidR="009260DE" w:rsidRPr="00F541D5" w:rsidRDefault="009260DE" w:rsidP="009260DE">
      <w:pPr>
        <w:tabs>
          <w:tab w:val="left" w:pos="851"/>
        </w:tabs>
        <w:ind w:left="851" w:hanging="851"/>
        <w:rPr>
          <w:b/>
          <w:sz w:val="24"/>
          <w:szCs w:val="24"/>
        </w:rPr>
      </w:pPr>
      <w:r w:rsidRPr="00F541D5">
        <w:rPr>
          <w:b/>
          <w:sz w:val="24"/>
          <w:szCs w:val="24"/>
        </w:rPr>
        <w:t>4.9</w:t>
      </w:r>
      <w:r w:rsidRPr="00F541D5">
        <w:rPr>
          <w:b/>
          <w:sz w:val="24"/>
          <w:szCs w:val="24"/>
        </w:rPr>
        <w:tab/>
        <w:t>Overdosering</w:t>
      </w:r>
    </w:p>
    <w:p w14:paraId="3A9B1ADD" w14:textId="21DD5C34" w:rsidR="00A425DC" w:rsidRPr="00F541D5" w:rsidRDefault="00A425DC" w:rsidP="005956A7">
      <w:pPr>
        <w:ind w:left="851"/>
        <w:rPr>
          <w:sz w:val="24"/>
          <w:szCs w:val="24"/>
          <w:lang w:eastAsia="da-DK"/>
        </w:rPr>
      </w:pPr>
      <w:r w:rsidRPr="00F541D5">
        <w:rPr>
          <w:sz w:val="24"/>
          <w:szCs w:val="24"/>
        </w:rPr>
        <w:t xml:space="preserve">Der er ingen specifik </w:t>
      </w:r>
      <w:proofErr w:type="spellStart"/>
      <w:r w:rsidRPr="00F541D5">
        <w:rPr>
          <w:sz w:val="24"/>
          <w:szCs w:val="24"/>
        </w:rPr>
        <w:t>antidot</w:t>
      </w:r>
      <w:proofErr w:type="spellEnd"/>
      <w:r w:rsidRPr="00F541D5">
        <w:rPr>
          <w:sz w:val="24"/>
          <w:szCs w:val="24"/>
        </w:rPr>
        <w:t xml:space="preserve"> for </w:t>
      </w:r>
      <w:proofErr w:type="spellStart"/>
      <w:r w:rsidRPr="00F541D5">
        <w:rPr>
          <w:sz w:val="24"/>
          <w:szCs w:val="24"/>
        </w:rPr>
        <w:t>granisetron</w:t>
      </w:r>
      <w:proofErr w:type="spellEnd"/>
      <w:r w:rsidRPr="00F541D5">
        <w:rPr>
          <w:sz w:val="24"/>
          <w:szCs w:val="24"/>
        </w:rPr>
        <w:t xml:space="preserve">. I tilfælde af overdosering med tabletterne bør symptomatisk behandling gives. Efter doser på op til 38,5 mg </w:t>
      </w:r>
      <w:proofErr w:type="spellStart"/>
      <w:r w:rsidRPr="00F541D5">
        <w:rPr>
          <w:sz w:val="24"/>
          <w:szCs w:val="24"/>
        </w:rPr>
        <w:t>granisetron</w:t>
      </w:r>
      <w:proofErr w:type="spellEnd"/>
      <w:r w:rsidRPr="00F541D5">
        <w:rPr>
          <w:sz w:val="24"/>
          <w:szCs w:val="24"/>
        </w:rPr>
        <w:t xml:space="preserve">, administreret som enkelt injektion, er let hovedpine blevet rapporteret som eneste </w:t>
      </w:r>
      <w:proofErr w:type="spellStart"/>
      <w:r w:rsidRPr="00F541D5">
        <w:rPr>
          <w:sz w:val="24"/>
          <w:szCs w:val="24"/>
        </w:rPr>
        <w:t>sequelae</w:t>
      </w:r>
      <w:proofErr w:type="spellEnd"/>
      <w:r w:rsidRPr="00F541D5">
        <w:rPr>
          <w:sz w:val="24"/>
          <w:szCs w:val="24"/>
        </w:rPr>
        <w:t>.</w:t>
      </w:r>
    </w:p>
    <w:p w14:paraId="3C087F73" w14:textId="77777777" w:rsidR="009260DE" w:rsidRPr="00F541D5" w:rsidRDefault="009260DE" w:rsidP="009260DE">
      <w:pPr>
        <w:tabs>
          <w:tab w:val="left" w:pos="851"/>
        </w:tabs>
        <w:ind w:left="851"/>
        <w:rPr>
          <w:sz w:val="24"/>
          <w:szCs w:val="24"/>
        </w:rPr>
      </w:pPr>
    </w:p>
    <w:p w14:paraId="2D0E37DE" w14:textId="77777777" w:rsidR="009260DE" w:rsidRPr="00F541D5" w:rsidRDefault="009260DE" w:rsidP="009260DE">
      <w:pPr>
        <w:tabs>
          <w:tab w:val="left" w:pos="851"/>
        </w:tabs>
        <w:ind w:left="851" w:hanging="851"/>
        <w:rPr>
          <w:b/>
          <w:sz w:val="24"/>
          <w:szCs w:val="24"/>
        </w:rPr>
      </w:pPr>
      <w:r w:rsidRPr="00F541D5">
        <w:rPr>
          <w:b/>
          <w:sz w:val="24"/>
          <w:szCs w:val="24"/>
        </w:rPr>
        <w:t>4.10</w:t>
      </w:r>
      <w:r w:rsidRPr="00F541D5">
        <w:rPr>
          <w:b/>
          <w:sz w:val="24"/>
          <w:szCs w:val="24"/>
        </w:rPr>
        <w:tab/>
        <w:t>Udlevering</w:t>
      </w:r>
    </w:p>
    <w:p w14:paraId="1582185E" w14:textId="374F392A" w:rsidR="009260DE" w:rsidRPr="00F541D5" w:rsidRDefault="00A425DC" w:rsidP="009260DE">
      <w:pPr>
        <w:tabs>
          <w:tab w:val="left" w:pos="851"/>
        </w:tabs>
        <w:ind w:left="851"/>
        <w:rPr>
          <w:sz w:val="24"/>
          <w:szCs w:val="24"/>
        </w:rPr>
      </w:pPr>
      <w:r w:rsidRPr="00F541D5">
        <w:rPr>
          <w:sz w:val="24"/>
          <w:szCs w:val="24"/>
        </w:rPr>
        <w:t>A</w:t>
      </w:r>
    </w:p>
    <w:p w14:paraId="3AED8406" w14:textId="77777777" w:rsidR="009260DE" w:rsidRPr="00F541D5" w:rsidRDefault="009260DE" w:rsidP="009260DE">
      <w:pPr>
        <w:tabs>
          <w:tab w:val="left" w:pos="851"/>
        </w:tabs>
        <w:ind w:left="851"/>
        <w:rPr>
          <w:sz w:val="24"/>
          <w:szCs w:val="24"/>
        </w:rPr>
      </w:pPr>
    </w:p>
    <w:p w14:paraId="44EEA4A9" w14:textId="77777777" w:rsidR="009260DE" w:rsidRPr="00F541D5" w:rsidRDefault="009260DE" w:rsidP="009260DE">
      <w:pPr>
        <w:tabs>
          <w:tab w:val="left" w:pos="851"/>
        </w:tabs>
        <w:ind w:left="851"/>
        <w:rPr>
          <w:sz w:val="24"/>
          <w:szCs w:val="24"/>
        </w:rPr>
      </w:pPr>
    </w:p>
    <w:p w14:paraId="122FB001" w14:textId="77777777" w:rsidR="009260DE" w:rsidRPr="00F541D5" w:rsidRDefault="009260DE" w:rsidP="009260DE">
      <w:pPr>
        <w:tabs>
          <w:tab w:val="left" w:pos="851"/>
        </w:tabs>
        <w:ind w:left="851" w:hanging="851"/>
        <w:rPr>
          <w:b/>
          <w:sz w:val="24"/>
          <w:szCs w:val="24"/>
        </w:rPr>
      </w:pPr>
      <w:r w:rsidRPr="00F541D5">
        <w:rPr>
          <w:b/>
          <w:sz w:val="24"/>
          <w:szCs w:val="24"/>
        </w:rPr>
        <w:t>5.</w:t>
      </w:r>
      <w:r w:rsidRPr="00F541D5">
        <w:rPr>
          <w:b/>
          <w:sz w:val="24"/>
          <w:szCs w:val="24"/>
        </w:rPr>
        <w:tab/>
        <w:t>FARMAKOLOGISKE EGENSKABER</w:t>
      </w:r>
    </w:p>
    <w:p w14:paraId="4A7FCA37" w14:textId="77777777" w:rsidR="009260DE" w:rsidRPr="00F541D5" w:rsidRDefault="009260DE" w:rsidP="009260DE">
      <w:pPr>
        <w:tabs>
          <w:tab w:val="left" w:pos="851"/>
        </w:tabs>
        <w:ind w:left="851"/>
        <w:rPr>
          <w:sz w:val="24"/>
          <w:szCs w:val="24"/>
        </w:rPr>
      </w:pPr>
    </w:p>
    <w:p w14:paraId="237D6E22" w14:textId="77777777" w:rsidR="009260DE" w:rsidRPr="00F541D5" w:rsidRDefault="009260DE" w:rsidP="009260DE">
      <w:pPr>
        <w:tabs>
          <w:tab w:val="num" w:pos="851"/>
        </w:tabs>
        <w:ind w:left="851" w:hanging="851"/>
        <w:rPr>
          <w:b/>
          <w:sz w:val="24"/>
          <w:szCs w:val="24"/>
        </w:rPr>
      </w:pPr>
      <w:r w:rsidRPr="00F541D5">
        <w:rPr>
          <w:b/>
          <w:sz w:val="24"/>
          <w:szCs w:val="24"/>
        </w:rPr>
        <w:t>5.1</w:t>
      </w:r>
      <w:r w:rsidRPr="00F541D5">
        <w:rPr>
          <w:b/>
          <w:sz w:val="24"/>
          <w:szCs w:val="24"/>
        </w:rPr>
        <w:tab/>
      </w:r>
      <w:proofErr w:type="spellStart"/>
      <w:r w:rsidRPr="00F541D5">
        <w:rPr>
          <w:b/>
          <w:sz w:val="24"/>
          <w:szCs w:val="24"/>
        </w:rPr>
        <w:t>Farmakodynamiske</w:t>
      </w:r>
      <w:proofErr w:type="spellEnd"/>
      <w:r w:rsidRPr="00F541D5">
        <w:rPr>
          <w:b/>
          <w:sz w:val="24"/>
          <w:szCs w:val="24"/>
        </w:rPr>
        <w:t xml:space="preserve"> egenskaber</w:t>
      </w:r>
    </w:p>
    <w:p w14:paraId="2B1C6C7E" w14:textId="1D41F83F" w:rsidR="00A425DC" w:rsidRPr="00F541D5" w:rsidRDefault="00A425DC" w:rsidP="005956A7">
      <w:pPr>
        <w:ind w:left="851"/>
        <w:rPr>
          <w:b/>
          <w:sz w:val="24"/>
          <w:szCs w:val="24"/>
          <w:lang w:eastAsia="da-DK"/>
        </w:rPr>
      </w:pPr>
      <w:r w:rsidRPr="00F541D5">
        <w:rPr>
          <w:sz w:val="24"/>
          <w:szCs w:val="24"/>
          <w:lang w:val="it-IT"/>
        </w:rPr>
        <w:t>Farmakoterapeutisk klassifikation: Serotonin-(5-HT</w:t>
      </w:r>
      <w:r w:rsidRPr="00F541D5">
        <w:rPr>
          <w:sz w:val="24"/>
          <w:szCs w:val="24"/>
          <w:vertAlign w:val="subscript"/>
          <w:lang w:val="it-IT"/>
        </w:rPr>
        <w:t>3</w:t>
      </w:r>
      <w:r w:rsidRPr="00F541D5">
        <w:rPr>
          <w:sz w:val="24"/>
          <w:szCs w:val="24"/>
          <w:lang w:val="it-IT"/>
        </w:rPr>
        <w:t>)-antagonister, ATC-kode: A04AA02</w:t>
      </w:r>
    </w:p>
    <w:p w14:paraId="210EB5D1" w14:textId="3FF56CEF" w:rsidR="009260DE" w:rsidRPr="00F541D5" w:rsidRDefault="009260DE" w:rsidP="005956A7">
      <w:pPr>
        <w:ind w:left="851"/>
        <w:rPr>
          <w:sz w:val="24"/>
          <w:szCs w:val="24"/>
        </w:rPr>
      </w:pPr>
    </w:p>
    <w:p w14:paraId="6C15EBD9" w14:textId="77777777" w:rsidR="00A425DC" w:rsidRPr="00F541D5" w:rsidRDefault="00A425DC" w:rsidP="005956A7">
      <w:pPr>
        <w:ind w:left="851"/>
        <w:rPr>
          <w:sz w:val="24"/>
          <w:szCs w:val="24"/>
          <w:u w:val="single"/>
          <w:lang w:eastAsia="da-DK"/>
        </w:rPr>
      </w:pPr>
      <w:r w:rsidRPr="00F541D5">
        <w:rPr>
          <w:sz w:val="24"/>
          <w:szCs w:val="24"/>
          <w:u w:val="single"/>
        </w:rPr>
        <w:t>Neurologiske mekanismer, serotonin-medieret kvalme og opkastning</w:t>
      </w:r>
    </w:p>
    <w:p w14:paraId="2005D979" w14:textId="77777777" w:rsidR="00A425DC" w:rsidRPr="00F541D5" w:rsidRDefault="00A425DC" w:rsidP="005956A7">
      <w:pPr>
        <w:ind w:left="851"/>
        <w:rPr>
          <w:sz w:val="24"/>
          <w:szCs w:val="24"/>
        </w:rPr>
      </w:pPr>
      <w:r w:rsidRPr="00F541D5">
        <w:rPr>
          <w:sz w:val="24"/>
          <w:szCs w:val="24"/>
        </w:rPr>
        <w:t>Serotonin er den neurotransmitter, som primært er ansvarlig for kvalme efter kemo- eller strålebehandling. 5-HT</w:t>
      </w:r>
      <w:r w:rsidRPr="00F541D5">
        <w:rPr>
          <w:sz w:val="24"/>
          <w:szCs w:val="24"/>
          <w:vertAlign w:val="subscript"/>
        </w:rPr>
        <w:t>3</w:t>
      </w:r>
      <w:r w:rsidRPr="00F541D5">
        <w:rPr>
          <w:sz w:val="24"/>
          <w:szCs w:val="24"/>
        </w:rPr>
        <w:t xml:space="preserve"> receptorerne er lokaliseret tre steder: </w:t>
      </w:r>
      <w:proofErr w:type="spellStart"/>
      <w:r w:rsidRPr="00F541D5">
        <w:rPr>
          <w:sz w:val="24"/>
          <w:szCs w:val="24"/>
        </w:rPr>
        <w:t>Vagale</w:t>
      </w:r>
      <w:proofErr w:type="spellEnd"/>
      <w:r w:rsidRPr="00F541D5">
        <w:rPr>
          <w:sz w:val="24"/>
          <w:szCs w:val="24"/>
        </w:rPr>
        <w:t xml:space="preserve"> nerveterminaler i mave-tarm-kanalen, kemoreceptor-trigger-zonen lokaliseret i </w:t>
      </w:r>
      <w:proofErr w:type="spellStart"/>
      <w:r w:rsidRPr="00F541D5">
        <w:rPr>
          <w:iCs/>
          <w:sz w:val="24"/>
          <w:szCs w:val="24"/>
        </w:rPr>
        <w:t>area</w:t>
      </w:r>
      <w:proofErr w:type="spellEnd"/>
      <w:r w:rsidRPr="00F541D5">
        <w:rPr>
          <w:iCs/>
          <w:sz w:val="24"/>
          <w:szCs w:val="24"/>
        </w:rPr>
        <w:t xml:space="preserve"> </w:t>
      </w:r>
      <w:proofErr w:type="spellStart"/>
      <w:r w:rsidRPr="00F541D5">
        <w:rPr>
          <w:iCs/>
          <w:sz w:val="24"/>
          <w:szCs w:val="24"/>
        </w:rPr>
        <w:t>postrema</w:t>
      </w:r>
      <w:proofErr w:type="spellEnd"/>
      <w:r w:rsidRPr="00F541D5">
        <w:rPr>
          <w:sz w:val="24"/>
          <w:szCs w:val="24"/>
        </w:rPr>
        <w:t xml:space="preserve"> samt </w:t>
      </w:r>
      <w:proofErr w:type="spellStart"/>
      <w:r w:rsidRPr="00F541D5">
        <w:rPr>
          <w:sz w:val="24"/>
          <w:szCs w:val="24"/>
        </w:rPr>
        <w:t>nucleus</w:t>
      </w:r>
      <w:proofErr w:type="spellEnd"/>
      <w:r w:rsidRPr="00F541D5">
        <w:rPr>
          <w:sz w:val="24"/>
          <w:szCs w:val="24"/>
        </w:rPr>
        <w:t xml:space="preserve"> </w:t>
      </w:r>
      <w:proofErr w:type="spellStart"/>
      <w:r w:rsidRPr="00F541D5">
        <w:rPr>
          <w:sz w:val="24"/>
          <w:szCs w:val="24"/>
        </w:rPr>
        <w:t>tractus</w:t>
      </w:r>
      <w:proofErr w:type="spellEnd"/>
      <w:r w:rsidRPr="00F541D5">
        <w:rPr>
          <w:sz w:val="24"/>
          <w:szCs w:val="24"/>
        </w:rPr>
        <w:t xml:space="preserve"> </w:t>
      </w:r>
      <w:proofErr w:type="spellStart"/>
      <w:r w:rsidRPr="00F541D5">
        <w:rPr>
          <w:sz w:val="24"/>
          <w:szCs w:val="24"/>
        </w:rPr>
        <w:t>solidarius</w:t>
      </w:r>
      <w:proofErr w:type="spellEnd"/>
      <w:r w:rsidRPr="00F541D5">
        <w:rPr>
          <w:sz w:val="24"/>
          <w:szCs w:val="24"/>
        </w:rPr>
        <w:t xml:space="preserve"> i opkastningscentret i hjernestammen. Kemoreceptor-trigger-zonen er lokaliseret i den </w:t>
      </w:r>
      <w:proofErr w:type="spellStart"/>
      <w:r w:rsidRPr="00F541D5">
        <w:rPr>
          <w:sz w:val="24"/>
          <w:szCs w:val="24"/>
        </w:rPr>
        <w:t>kaudale</w:t>
      </w:r>
      <w:proofErr w:type="spellEnd"/>
      <w:r w:rsidRPr="00F541D5">
        <w:rPr>
          <w:sz w:val="24"/>
          <w:szCs w:val="24"/>
        </w:rPr>
        <w:t xml:space="preserve"> ende af den fjerde ventrikel (</w:t>
      </w:r>
      <w:proofErr w:type="spellStart"/>
      <w:r w:rsidRPr="00F541D5">
        <w:rPr>
          <w:i/>
          <w:sz w:val="24"/>
          <w:szCs w:val="24"/>
        </w:rPr>
        <w:t>area</w:t>
      </w:r>
      <w:proofErr w:type="spellEnd"/>
      <w:r w:rsidRPr="00F541D5">
        <w:rPr>
          <w:i/>
          <w:sz w:val="24"/>
          <w:szCs w:val="24"/>
        </w:rPr>
        <w:t xml:space="preserve"> </w:t>
      </w:r>
      <w:proofErr w:type="spellStart"/>
      <w:r w:rsidRPr="00F541D5">
        <w:rPr>
          <w:i/>
          <w:sz w:val="24"/>
          <w:szCs w:val="24"/>
        </w:rPr>
        <w:t>postrema</w:t>
      </w:r>
      <w:proofErr w:type="spellEnd"/>
      <w:r w:rsidRPr="00F541D5">
        <w:rPr>
          <w:sz w:val="24"/>
          <w:szCs w:val="24"/>
        </w:rPr>
        <w:t xml:space="preserve">). Denne struktur mangler en effektiv blod-hjernebarriere og vil opfange </w:t>
      </w:r>
      <w:proofErr w:type="spellStart"/>
      <w:r w:rsidRPr="00F541D5">
        <w:rPr>
          <w:sz w:val="24"/>
          <w:szCs w:val="24"/>
        </w:rPr>
        <w:t>emetika</w:t>
      </w:r>
      <w:proofErr w:type="spellEnd"/>
      <w:r w:rsidRPr="00F541D5">
        <w:rPr>
          <w:sz w:val="24"/>
          <w:szCs w:val="24"/>
        </w:rPr>
        <w:t xml:space="preserve"> både i det systemiske kredsløb og i cerebrospinalvæsken. Opkastningscentret er lokaliseret i hjernestammens </w:t>
      </w:r>
      <w:proofErr w:type="spellStart"/>
      <w:r w:rsidRPr="00F541D5">
        <w:rPr>
          <w:sz w:val="24"/>
          <w:szCs w:val="24"/>
        </w:rPr>
        <w:t>medullære</w:t>
      </w:r>
      <w:proofErr w:type="spellEnd"/>
      <w:r w:rsidRPr="00F541D5">
        <w:rPr>
          <w:sz w:val="24"/>
          <w:szCs w:val="24"/>
        </w:rPr>
        <w:t xml:space="preserve"> strukturer. Det modtager væsentlige input fra kemoreceptor-trigger-zonen og et </w:t>
      </w:r>
      <w:proofErr w:type="spellStart"/>
      <w:r w:rsidRPr="00F541D5">
        <w:rPr>
          <w:sz w:val="24"/>
          <w:szCs w:val="24"/>
        </w:rPr>
        <w:t>vagalt</w:t>
      </w:r>
      <w:proofErr w:type="spellEnd"/>
      <w:r w:rsidRPr="00F541D5">
        <w:rPr>
          <w:sz w:val="24"/>
          <w:szCs w:val="24"/>
        </w:rPr>
        <w:t xml:space="preserve"> og sympatisk input fra tarmene.</w:t>
      </w:r>
    </w:p>
    <w:p w14:paraId="1B74B154" w14:textId="77777777" w:rsidR="00A425DC" w:rsidRPr="00F541D5" w:rsidRDefault="00A425DC" w:rsidP="005956A7">
      <w:pPr>
        <w:ind w:left="851"/>
        <w:rPr>
          <w:sz w:val="24"/>
          <w:szCs w:val="24"/>
        </w:rPr>
      </w:pPr>
    </w:p>
    <w:p w14:paraId="66C3AA19" w14:textId="44270976" w:rsidR="00A425DC" w:rsidRPr="00F541D5" w:rsidRDefault="00A425DC" w:rsidP="005956A7">
      <w:pPr>
        <w:ind w:left="851"/>
        <w:rPr>
          <w:sz w:val="24"/>
          <w:szCs w:val="24"/>
        </w:rPr>
      </w:pPr>
      <w:r w:rsidRPr="00F541D5">
        <w:rPr>
          <w:sz w:val="24"/>
          <w:szCs w:val="24"/>
        </w:rPr>
        <w:t xml:space="preserve">Efter eksponering for stråling eller </w:t>
      </w:r>
      <w:proofErr w:type="spellStart"/>
      <w:r w:rsidRPr="00F541D5">
        <w:rPr>
          <w:sz w:val="24"/>
          <w:szCs w:val="24"/>
        </w:rPr>
        <w:t>cytotoksiske</w:t>
      </w:r>
      <w:proofErr w:type="spellEnd"/>
      <w:r w:rsidRPr="00F541D5">
        <w:rPr>
          <w:sz w:val="24"/>
          <w:szCs w:val="24"/>
        </w:rPr>
        <w:t xml:space="preserve"> stoffer, frigives serotonin (5-HT) fra de </w:t>
      </w:r>
      <w:proofErr w:type="spellStart"/>
      <w:r w:rsidRPr="00F541D5">
        <w:rPr>
          <w:sz w:val="24"/>
          <w:szCs w:val="24"/>
        </w:rPr>
        <w:t>enterokromaffine</w:t>
      </w:r>
      <w:proofErr w:type="spellEnd"/>
      <w:r w:rsidRPr="00F541D5">
        <w:rPr>
          <w:sz w:val="24"/>
          <w:szCs w:val="24"/>
        </w:rPr>
        <w:t xml:space="preserve"> celler i tyndtarmens slimhinde, nærliggende til de </w:t>
      </w:r>
      <w:proofErr w:type="spellStart"/>
      <w:r w:rsidRPr="00F541D5">
        <w:rPr>
          <w:sz w:val="24"/>
          <w:szCs w:val="24"/>
        </w:rPr>
        <w:t>vagale</w:t>
      </w:r>
      <w:proofErr w:type="spellEnd"/>
      <w:r w:rsidRPr="00F541D5">
        <w:rPr>
          <w:sz w:val="24"/>
          <w:szCs w:val="24"/>
        </w:rPr>
        <w:t xml:space="preserve"> </w:t>
      </w:r>
      <w:proofErr w:type="spellStart"/>
      <w:r w:rsidRPr="00F541D5">
        <w:rPr>
          <w:sz w:val="24"/>
          <w:szCs w:val="24"/>
        </w:rPr>
        <w:t>afferente</w:t>
      </w:r>
      <w:proofErr w:type="spellEnd"/>
      <w:r w:rsidRPr="00F541D5">
        <w:rPr>
          <w:sz w:val="24"/>
          <w:szCs w:val="24"/>
        </w:rPr>
        <w:t xml:space="preserve"> neuroner, hvorpå 5-HT</w:t>
      </w:r>
      <w:r w:rsidRPr="00F541D5">
        <w:rPr>
          <w:sz w:val="24"/>
          <w:szCs w:val="24"/>
          <w:vertAlign w:val="subscript"/>
        </w:rPr>
        <w:t>3</w:t>
      </w:r>
      <w:r w:rsidRPr="00F541D5">
        <w:rPr>
          <w:sz w:val="24"/>
          <w:szCs w:val="24"/>
        </w:rPr>
        <w:t xml:space="preserve">-receptorerne er lokaliseret. Den frigivne serotonin aktiverer </w:t>
      </w:r>
      <w:proofErr w:type="spellStart"/>
      <w:r w:rsidRPr="00F541D5">
        <w:rPr>
          <w:sz w:val="24"/>
          <w:szCs w:val="24"/>
        </w:rPr>
        <w:t>vagale</w:t>
      </w:r>
      <w:proofErr w:type="spellEnd"/>
      <w:r w:rsidRPr="00F541D5">
        <w:rPr>
          <w:sz w:val="24"/>
          <w:szCs w:val="24"/>
        </w:rPr>
        <w:t xml:space="preserve"> neuroner via 5-HT</w:t>
      </w:r>
      <w:r w:rsidRPr="00F541D5">
        <w:rPr>
          <w:sz w:val="24"/>
          <w:szCs w:val="24"/>
          <w:vertAlign w:val="subscript"/>
        </w:rPr>
        <w:t>3</w:t>
      </w:r>
      <w:r w:rsidRPr="00F541D5">
        <w:rPr>
          <w:sz w:val="24"/>
          <w:szCs w:val="24"/>
        </w:rPr>
        <w:t xml:space="preserve">-receptorerne, hvilket i sidste ende udløser et svært </w:t>
      </w:r>
      <w:proofErr w:type="spellStart"/>
      <w:r w:rsidRPr="00F541D5">
        <w:rPr>
          <w:sz w:val="24"/>
          <w:szCs w:val="24"/>
        </w:rPr>
        <w:t>emetisk</w:t>
      </w:r>
      <w:proofErr w:type="spellEnd"/>
      <w:r w:rsidRPr="00F541D5">
        <w:rPr>
          <w:sz w:val="24"/>
          <w:szCs w:val="24"/>
        </w:rPr>
        <w:t xml:space="preserve"> respons, medieret via </w:t>
      </w:r>
      <w:proofErr w:type="spellStart"/>
      <w:r w:rsidRPr="00F541D5">
        <w:rPr>
          <w:sz w:val="24"/>
          <w:szCs w:val="24"/>
        </w:rPr>
        <w:t>kemoreceptore</w:t>
      </w:r>
      <w:proofErr w:type="spellEnd"/>
      <w:r w:rsidRPr="00F541D5">
        <w:rPr>
          <w:sz w:val="24"/>
          <w:szCs w:val="24"/>
        </w:rPr>
        <w:t xml:space="preserve">-trigger-zonen i </w:t>
      </w:r>
      <w:proofErr w:type="spellStart"/>
      <w:r w:rsidRPr="00F541D5">
        <w:rPr>
          <w:i/>
          <w:sz w:val="24"/>
          <w:szCs w:val="24"/>
        </w:rPr>
        <w:t>area</w:t>
      </w:r>
      <w:proofErr w:type="spellEnd"/>
      <w:r w:rsidRPr="00F541D5">
        <w:rPr>
          <w:i/>
          <w:sz w:val="24"/>
          <w:szCs w:val="24"/>
        </w:rPr>
        <w:t xml:space="preserve"> </w:t>
      </w:r>
      <w:proofErr w:type="spellStart"/>
      <w:r w:rsidRPr="00F541D5">
        <w:rPr>
          <w:i/>
          <w:sz w:val="24"/>
          <w:szCs w:val="24"/>
        </w:rPr>
        <w:t>postrema</w:t>
      </w:r>
      <w:proofErr w:type="spellEnd"/>
      <w:r w:rsidRPr="00F541D5">
        <w:rPr>
          <w:i/>
          <w:sz w:val="24"/>
          <w:szCs w:val="24"/>
        </w:rPr>
        <w:t>.</w:t>
      </w:r>
    </w:p>
    <w:p w14:paraId="7B615EF7" w14:textId="77777777" w:rsidR="00A425DC" w:rsidRPr="00F541D5" w:rsidRDefault="00A425DC" w:rsidP="005956A7">
      <w:pPr>
        <w:ind w:left="851"/>
        <w:rPr>
          <w:sz w:val="24"/>
          <w:szCs w:val="24"/>
        </w:rPr>
      </w:pPr>
    </w:p>
    <w:p w14:paraId="61851A6C" w14:textId="28A2D427" w:rsidR="00A425DC" w:rsidRPr="00F541D5" w:rsidRDefault="00A425DC" w:rsidP="005956A7">
      <w:pPr>
        <w:ind w:left="851"/>
        <w:rPr>
          <w:sz w:val="24"/>
          <w:szCs w:val="24"/>
          <w:u w:val="single"/>
        </w:rPr>
      </w:pPr>
      <w:r w:rsidRPr="00F541D5">
        <w:rPr>
          <w:sz w:val="24"/>
          <w:szCs w:val="24"/>
          <w:u w:val="single"/>
        </w:rPr>
        <w:t>Virkningsmekanisme</w:t>
      </w:r>
    </w:p>
    <w:p w14:paraId="4A538244" w14:textId="09B19F4F" w:rsidR="00A425DC" w:rsidRPr="00F541D5" w:rsidRDefault="00A425DC" w:rsidP="005956A7">
      <w:pPr>
        <w:ind w:left="851"/>
        <w:rPr>
          <w:spacing w:val="-3"/>
          <w:sz w:val="24"/>
          <w:szCs w:val="24"/>
        </w:rPr>
      </w:pPr>
      <w:proofErr w:type="spellStart"/>
      <w:r w:rsidRPr="00F541D5">
        <w:rPr>
          <w:sz w:val="24"/>
          <w:szCs w:val="24"/>
        </w:rPr>
        <w:t>Granisetron</w:t>
      </w:r>
      <w:proofErr w:type="spellEnd"/>
      <w:r w:rsidRPr="00F541D5">
        <w:rPr>
          <w:spacing w:val="-3"/>
          <w:sz w:val="24"/>
          <w:szCs w:val="24"/>
        </w:rPr>
        <w:t xml:space="preserve"> er en potent </w:t>
      </w:r>
      <w:proofErr w:type="spellStart"/>
      <w:r w:rsidRPr="00F541D5">
        <w:rPr>
          <w:spacing w:val="-3"/>
          <w:sz w:val="24"/>
          <w:szCs w:val="24"/>
        </w:rPr>
        <w:t>antiemetisk</w:t>
      </w:r>
      <w:proofErr w:type="spellEnd"/>
      <w:r w:rsidRPr="00F541D5">
        <w:rPr>
          <w:spacing w:val="-3"/>
          <w:sz w:val="24"/>
          <w:szCs w:val="24"/>
        </w:rPr>
        <w:t xml:space="preserve"> og meget selektiv 5-hydroxytryptamin (5-HT)</w:t>
      </w:r>
      <w:r w:rsidRPr="00F541D5">
        <w:rPr>
          <w:spacing w:val="-3"/>
          <w:sz w:val="24"/>
          <w:szCs w:val="24"/>
          <w:vertAlign w:val="subscript"/>
        </w:rPr>
        <w:t>3</w:t>
      </w:r>
      <w:r w:rsidRPr="00F541D5">
        <w:rPr>
          <w:spacing w:val="-3"/>
          <w:sz w:val="24"/>
          <w:szCs w:val="24"/>
        </w:rPr>
        <w:t xml:space="preserve"> receptor antagonist. Farmakologiske studier har vist, at </w:t>
      </w:r>
      <w:proofErr w:type="spellStart"/>
      <w:r w:rsidRPr="00F541D5">
        <w:rPr>
          <w:spacing w:val="-3"/>
          <w:sz w:val="24"/>
          <w:szCs w:val="24"/>
        </w:rPr>
        <w:t>granisetron</w:t>
      </w:r>
      <w:proofErr w:type="spellEnd"/>
      <w:r w:rsidRPr="00F541D5">
        <w:rPr>
          <w:spacing w:val="-3"/>
          <w:sz w:val="24"/>
          <w:szCs w:val="24"/>
        </w:rPr>
        <w:t xml:space="preserve"> er effektiv mod kvalme og opkastning som følge af </w:t>
      </w:r>
      <w:proofErr w:type="spellStart"/>
      <w:r w:rsidRPr="00F541D5">
        <w:rPr>
          <w:spacing w:val="-3"/>
          <w:sz w:val="24"/>
          <w:szCs w:val="24"/>
        </w:rPr>
        <w:t>cytostatisk</w:t>
      </w:r>
      <w:proofErr w:type="spellEnd"/>
      <w:r w:rsidRPr="00F541D5">
        <w:rPr>
          <w:spacing w:val="-3"/>
          <w:sz w:val="24"/>
          <w:szCs w:val="24"/>
        </w:rPr>
        <w:t xml:space="preserve"> behandling. Bindingsstudier har vist, at </w:t>
      </w:r>
      <w:proofErr w:type="spellStart"/>
      <w:r w:rsidRPr="00F541D5">
        <w:rPr>
          <w:spacing w:val="-3"/>
          <w:sz w:val="24"/>
          <w:szCs w:val="24"/>
        </w:rPr>
        <w:t>granisetron</w:t>
      </w:r>
      <w:proofErr w:type="spellEnd"/>
      <w:r w:rsidRPr="00F541D5">
        <w:rPr>
          <w:spacing w:val="-3"/>
          <w:sz w:val="24"/>
          <w:szCs w:val="24"/>
        </w:rPr>
        <w:t xml:space="preserve"> kun har ubetydelig affinitet for andre receptorer, herunder 5-HT og dopamin D</w:t>
      </w:r>
      <w:r w:rsidRPr="00F541D5">
        <w:rPr>
          <w:spacing w:val="-3"/>
          <w:sz w:val="24"/>
          <w:szCs w:val="24"/>
          <w:vertAlign w:val="subscript"/>
        </w:rPr>
        <w:t>2</w:t>
      </w:r>
      <w:r w:rsidRPr="00F541D5">
        <w:rPr>
          <w:spacing w:val="-3"/>
          <w:sz w:val="24"/>
          <w:szCs w:val="24"/>
        </w:rPr>
        <w:t xml:space="preserve"> bindings- pladser.</w:t>
      </w:r>
    </w:p>
    <w:p w14:paraId="00B94D2A" w14:textId="77777777" w:rsidR="00A425DC" w:rsidRPr="00F541D5" w:rsidRDefault="00A425DC" w:rsidP="005956A7">
      <w:pPr>
        <w:ind w:left="851"/>
        <w:rPr>
          <w:spacing w:val="-3"/>
          <w:sz w:val="24"/>
          <w:szCs w:val="24"/>
        </w:rPr>
      </w:pPr>
    </w:p>
    <w:p w14:paraId="5FD1EB4B" w14:textId="77777777" w:rsidR="00A425DC" w:rsidRPr="00F541D5" w:rsidRDefault="00A425DC" w:rsidP="005956A7">
      <w:pPr>
        <w:ind w:left="851"/>
        <w:rPr>
          <w:sz w:val="24"/>
          <w:szCs w:val="24"/>
          <w:u w:val="single"/>
        </w:rPr>
      </w:pPr>
      <w:r w:rsidRPr="00F541D5">
        <w:rPr>
          <w:sz w:val="24"/>
          <w:szCs w:val="24"/>
          <w:u w:val="single"/>
        </w:rPr>
        <w:t>Kemoterapi- og strålebehandlingsinduceret kvalme og opkastning</w:t>
      </w:r>
    </w:p>
    <w:p w14:paraId="133C8E71" w14:textId="77777777" w:rsidR="00A425DC" w:rsidRPr="00F541D5" w:rsidRDefault="00A425DC" w:rsidP="005956A7">
      <w:pPr>
        <w:ind w:left="851"/>
        <w:rPr>
          <w:sz w:val="24"/>
          <w:szCs w:val="24"/>
        </w:rPr>
      </w:pPr>
      <w:r w:rsidRPr="00F541D5">
        <w:rPr>
          <w:sz w:val="24"/>
          <w:szCs w:val="24"/>
        </w:rPr>
        <w:t xml:space="preserve">Oralt administreret </w:t>
      </w:r>
      <w:proofErr w:type="spellStart"/>
      <w:r w:rsidRPr="00F541D5">
        <w:rPr>
          <w:sz w:val="24"/>
          <w:szCs w:val="24"/>
        </w:rPr>
        <w:t>granisetron</w:t>
      </w:r>
      <w:proofErr w:type="spellEnd"/>
      <w:r w:rsidRPr="00F541D5">
        <w:rPr>
          <w:sz w:val="24"/>
          <w:szCs w:val="24"/>
        </w:rPr>
        <w:t xml:space="preserve"> har vist sig at forebygge kvalme og opkastning i forbindelse med cancerkemoterapi hos voksne.</w:t>
      </w:r>
    </w:p>
    <w:p w14:paraId="15313D1A" w14:textId="77777777" w:rsidR="00A425DC" w:rsidRPr="00F541D5" w:rsidRDefault="00A425DC" w:rsidP="005956A7">
      <w:pPr>
        <w:ind w:left="851"/>
        <w:rPr>
          <w:sz w:val="24"/>
          <w:szCs w:val="24"/>
        </w:rPr>
      </w:pPr>
    </w:p>
    <w:p w14:paraId="1D01BCD4" w14:textId="77777777" w:rsidR="00A425DC" w:rsidRPr="00F541D5" w:rsidRDefault="00A425DC" w:rsidP="005956A7">
      <w:pPr>
        <w:ind w:left="851"/>
        <w:rPr>
          <w:sz w:val="24"/>
          <w:szCs w:val="24"/>
          <w:u w:val="single"/>
        </w:rPr>
      </w:pPr>
      <w:r w:rsidRPr="00F541D5">
        <w:rPr>
          <w:sz w:val="24"/>
          <w:szCs w:val="24"/>
          <w:u w:val="single"/>
        </w:rPr>
        <w:t>Postoperativ kvalme og opkastning</w:t>
      </w:r>
    </w:p>
    <w:p w14:paraId="66B5D533" w14:textId="77777777" w:rsidR="00A425DC" w:rsidRPr="00F541D5" w:rsidRDefault="00A425DC" w:rsidP="005956A7">
      <w:pPr>
        <w:ind w:left="851"/>
        <w:rPr>
          <w:sz w:val="24"/>
          <w:szCs w:val="24"/>
        </w:rPr>
      </w:pPr>
      <w:r w:rsidRPr="00F541D5">
        <w:rPr>
          <w:sz w:val="24"/>
          <w:szCs w:val="24"/>
        </w:rPr>
        <w:t xml:space="preserve">Oralt administreret </w:t>
      </w:r>
      <w:proofErr w:type="spellStart"/>
      <w:r w:rsidRPr="00F541D5">
        <w:rPr>
          <w:sz w:val="24"/>
          <w:szCs w:val="24"/>
        </w:rPr>
        <w:t>granisetron</w:t>
      </w:r>
      <w:proofErr w:type="spellEnd"/>
      <w:r w:rsidRPr="00F541D5">
        <w:rPr>
          <w:sz w:val="24"/>
          <w:szCs w:val="24"/>
        </w:rPr>
        <w:t xml:space="preserve"> har vist sig at være effektiv ved forebyggelse og behandling af postoperativ kvalme og opkastning hos voksne.</w:t>
      </w:r>
    </w:p>
    <w:p w14:paraId="68C0EA9A" w14:textId="77777777" w:rsidR="00A425DC" w:rsidRPr="00F541D5" w:rsidRDefault="00A425DC" w:rsidP="005956A7">
      <w:pPr>
        <w:ind w:left="851"/>
        <w:rPr>
          <w:sz w:val="24"/>
          <w:szCs w:val="24"/>
        </w:rPr>
      </w:pPr>
    </w:p>
    <w:p w14:paraId="4BF5176C" w14:textId="77777777" w:rsidR="00A425DC" w:rsidRPr="00F541D5" w:rsidRDefault="00A425DC" w:rsidP="005956A7">
      <w:pPr>
        <w:ind w:left="851"/>
        <w:rPr>
          <w:sz w:val="24"/>
          <w:szCs w:val="24"/>
          <w:u w:val="single"/>
        </w:rPr>
      </w:pPr>
      <w:proofErr w:type="spellStart"/>
      <w:r w:rsidRPr="00F541D5">
        <w:rPr>
          <w:sz w:val="24"/>
          <w:szCs w:val="24"/>
          <w:u w:val="single"/>
        </w:rPr>
        <w:t>Granisetrons</w:t>
      </w:r>
      <w:proofErr w:type="spellEnd"/>
      <w:r w:rsidRPr="00F541D5">
        <w:rPr>
          <w:sz w:val="24"/>
          <w:szCs w:val="24"/>
          <w:u w:val="single"/>
        </w:rPr>
        <w:t xml:space="preserve"> farmakologiske egenskaber</w:t>
      </w:r>
    </w:p>
    <w:p w14:paraId="14905F48" w14:textId="77777777" w:rsidR="00A425DC" w:rsidRPr="00F541D5" w:rsidRDefault="00A425DC" w:rsidP="005956A7">
      <w:pPr>
        <w:ind w:left="851"/>
        <w:rPr>
          <w:sz w:val="24"/>
          <w:szCs w:val="24"/>
        </w:rPr>
      </w:pPr>
      <w:r w:rsidRPr="00F541D5">
        <w:rPr>
          <w:sz w:val="24"/>
          <w:szCs w:val="24"/>
        </w:rPr>
        <w:t xml:space="preserve">Der er rapporter om interaktion med </w:t>
      </w:r>
      <w:proofErr w:type="spellStart"/>
      <w:r w:rsidRPr="00F541D5">
        <w:rPr>
          <w:sz w:val="24"/>
          <w:szCs w:val="24"/>
        </w:rPr>
        <w:t>neurotrope</w:t>
      </w:r>
      <w:proofErr w:type="spellEnd"/>
      <w:r w:rsidRPr="00F541D5">
        <w:rPr>
          <w:sz w:val="24"/>
          <w:szCs w:val="24"/>
        </w:rPr>
        <w:t xml:space="preserve"> og andre aktive stoffer på grund af </w:t>
      </w:r>
      <w:proofErr w:type="spellStart"/>
      <w:r w:rsidRPr="00F541D5">
        <w:rPr>
          <w:sz w:val="24"/>
          <w:szCs w:val="24"/>
        </w:rPr>
        <w:t>granisetrons</w:t>
      </w:r>
      <w:proofErr w:type="spellEnd"/>
      <w:r w:rsidRPr="00F541D5">
        <w:rPr>
          <w:sz w:val="24"/>
          <w:szCs w:val="24"/>
        </w:rPr>
        <w:t xml:space="preserve"> CYP-aktivitet (se pkt. 4.5).</w:t>
      </w:r>
    </w:p>
    <w:p w14:paraId="01A406DB" w14:textId="77777777" w:rsidR="00A425DC" w:rsidRPr="00F541D5" w:rsidRDefault="00A425DC" w:rsidP="005956A7">
      <w:pPr>
        <w:ind w:left="851"/>
        <w:rPr>
          <w:i/>
          <w:sz w:val="24"/>
          <w:szCs w:val="24"/>
        </w:rPr>
      </w:pPr>
    </w:p>
    <w:p w14:paraId="0CA7ADCB" w14:textId="77777777" w:rsidR="00A425DC" w:rsidRPr="00F541D5" w:rsidRDefault="00A425DC" w:rsidP="005956A7">
      <w:pPr>
        <w:ind w:left="851"/>
        <w:rPr>
          <w:sz w:val="24"/>
          <w:szCs w:val="24"/>
        </w:rPr>
      </w:pPr>
      <w:r w:rsidRPr="00F541D5">
        <w:rPr>
          <w:i/>
          <w:sz w:val="24"/>
          <w:szCs w:val="24"/>
        </w:rPr>
        <w:t xml:space="preserve">In </w:t>
      </w:r>
      <w:proofErr w:type="spellStart"/>
      <w:r w:rsidRPr="00F541D5">
        <w:rPr>
          <w:i/>
          <w:sz w:val="24"/>
          <w:szCs w:val="24"/>
        </w:rPr>
        <w:t>vitro</w:t>
      </w:r>
      <w:proofErr w:type="spellEnd"/>
      <w:r w:rsidRPr="00F541D5">
        <w:rPr>
          <w:sz w:val="24"/>
          <w:szCs w:val="24"/>
        </w:rPr>
        <w:t xml:space="preserve"> studier har vist, at CYP3A4 (involveret i </w:t>
      </w:r>
      <w:proofErr w:type="spellStart"/>
      <w:r w:rsidRPr="00F541D5">
        <w:rPr>
          <w:sz w:val="24"/>
          <w:szCs w:val="24"/>
        </w:rPr>
        <w:t>metaboliseringen</w:t>
      </w:r>
      <w:proofErr w:type="spellEnd"/>
      <w:r w:rsidRPr="00F541D5">
        <w:rPr>
          <w:sz w:val="24"/>
          <w:szCs w:val="24"/>
        </w:rPr>
        <w:t xml:space="preserve"> af nogle af de vigtigste narkotiske stoffer) ikke bliver påvirket af </w:t>
      </w:r>
      <w:proofErr w:type="spellStart"/>
      <w:r w:rsidRPr="00F541D5">
        <w:rPr>
          <w:sz w:val="24"/>
          <w:szCs w:val="24"/>
        </w:rPr>
        <w:t>granisetron</w:t>
      </w:r>
      <w:proofErr w:type="spellEnd"/>
      <w:r w:rsidRPr="00F541D5">
        <w:rPr>
          <w:sz w:val="24"/>
          <w:szCs w:val="24"/>
        </w:rPr>
        <w:t xml:space="preserve">. På trods af at </w:t>
      </w:r>
      <w:proofErr w:type="spellStart"/>
      <w:r w:rsidRPr="00F541D5">
        <w:rPr>
          <w:sz w:val="24"/>
          <w:szCs w:val="24"/>
        </w:rPr>
        <w:t>ketaconazol</w:t>
      </w:r>
      <w:proofErr w:type="spellEnd"/>
      <w:r w:rsidRPr="00F541D5">
        <w:rPr>
          <w:sz w:val="24"/>
          <w:szCs w:val="24"/>
        </w:rPr>
        <w:t xml:space="preserve"> er vist at hæmme </w:t>
      </w:r>
      <w:proofErr w:type="spellStart"/>
      <w:r w:rsidRPr="00F541D5">
        <w:rPr>
          <w:sz w:val="24"/>
          <w:szCs w:val="24"/>
        </w:rPr>
        <w:t>ringxidation</w:t>
      </w:r>
      <w:proofErr w:type="spellEnd"/>
      <w:r w:rsidRPr="00F541D5">
        <w:rPr>
          <w:sz w:val="24"/>
          <w:szCs w:val="24"/>
        </w:rPr>
        <w:t xml:space="preserve"> af </w:t>
      </w:r>
      <w:proofErr w:type="spellStart"/>
      <w:r w:rsidRPr="00F541D5">
        <w:rPr>
          <w:sz w:val="24"/>
          <w:szCs w:val="24"/>
        </w:rPr>
        <w:t>granisetron</w:t>
      </w:r>
      <w:proofErr w:type="spellEnd"/>
      <w:r w:rsidRPr="00F541D5">
        <w:rPr>
          <w:sz w:val="24"/>
          <w:szCs w:val="24"/>
        </w:rPr>
        <w:t xml:space="preserve"> </w:t>
      </w:r>
      <w:r w:rsidRPr="00F541D5">
        <w:rPr>
          <w:i/>
          <w:sz w:val="24"/>
          <w:szCs w:val="24"/>
        </w:rPr>
        <w:t xml:space="preserve">in </w:t>
      </w:r>
      <w:proofErr w:type="spellStart"/>
      <w:r w:rsidRPr="00F541D5">
        <w:rPr>
          <w:i/>
          <w:sz w:val="24"/>
          <w:szCs w:val="24"/>
        </w:rPr>
        <w:t>vitro</w:t>
      </w:r>
      <w:proofErr w:type="spellEnd"/>
      <w:r w:rsidRPr="00F541D5">
        <w:rPr>
          <w:sz w:val="24"/>
          <w:szCs w:val="24"/>
        </w:rPr>
        <w:t>, anses dette ikke som klinisk relevant.</w:t>
      </w:r>
    </w:p>
    <w:p w14:paraId="17C2FB00" w14:textId="77777777" w:rsidR="00A425DC" w:rsidRPr="00F541D5" w:rsidRDefault="00A425DC" w:rsidP="005956A7">
      <w:pPr>
        <w:ind w:left="851"/>
        <w:rPr>
          <w:sz w:val="24"/>
          <w:szCs w:val="24"/>
        </w:rPr>
      </w:pPr>
    </w:p>
    <w:p w14:paraId="2E23DB19" w14:textId="7E394395" w:rsidR="00A425DC" w:rsidRPr="00F541D5" w:rsidRDefault="00A425DC" w:rsidP="005956A7">
      <w:pPr>
        <w:ind w:left="851"/>
        <w:rPr>
          <w:sz w:val="24"/>
          <w:szCs w:val="24"/>
        </w:rPr>
      </w:pPr>
      <w:r w:rsidRPr="00F541D5">
        <w:rPr>
          <w:sz w:val="24"/>
          <w:szCs w:val="24"/>
        </w:rPr>
        <w:t>På trods af at QT-forlængelse er blevet observeret med 5-HT</w:t>
      </w:r>
      <w:r w:rsidRPr="00F541D5">
        <w:rPr>
          <w:sz w:val="24"/>
          <w:szCs w:val="24"/>
          <w:vertAlign w:val="subscript"/>
        </w:rPr>
        <w:t>3</w:t>
      </w:r>
      <w:r w:rsidRPr="00F541D5">
        <w:rPr>
          <w:sz w:val="24"/>
          <w:szCs w:val="24"/>
        </w:rPr>
        <w:t xml:space="preserve">-receptorantagonister (se pkt. 4.4), er denne effekt af en sådan forekomst og størrelsesorden, at den ikke er klinisk signifikant hos raske personer. Ikke desto mindre anbefales monitorering af både EKG og kliniske </w:t>
      </w:r>
      <w:proofErr w:type="spellStart"/>
      <w:r w:rsidRPr="00F541D5">
        <w:rPr>
          <w:sz w:val="24"/>
          <w:szCs w:val="24"/>
        </w:rPr>
        <w:t>abnormaliteter</w:t>
      </w:r>
      <w:proofErr w:type="spellEnd"/>
      <w:r w:rsidRPr="00F541D5">
        <w:rPr>
          <w:sz w:val="24"/>
          <w:szCs w:val="24"/>
        </w:rPr>
        <w:t>, når patienter sideløbende behandles med lægemidler, som er kendt for at forlænge QT-intervallet (se pkt. 4.5).</w:t>
      </w:r>
    </w:p>
    <w:p w14:paraId="4560F1C1" w14:textId="77777777" w:rsidR="00A425DC" w:rsidRPr="00F541D5" w:rsidRDefault="00A425DC" w:rsidP="009260DE">
      <w:pPr>
        <w:tabs>
          <w:tab w:val="left" w:pos="851"/>
        </w:tabs>
        <w:ind w:left="851"/>
        <w:rPr>
          <w:sz w:val="24"/>
          <w:szCs w:val="24"/>
        </w:rPr>
      </w:pPr>
    </w:p>
    <w:p w14:paraId="4C61CD12" w14:textId="77777777" w:rsidR="009260DE" w:rsidRPr="00F541D5" w:rsidRDefault="009260DE" w:rsidP="009260DE">
      <w:pPr>
        <w:tabs>
          <w:tab w:val="left" w:pos="851"/>
        </w:tabs>
        <w:ind w:left="851" w:hanging="851"/>
        <w:rPr>
          <w:b/>
          <w:sz w:val="24"/>
          <w:szCs w:val="24"/>
        </w:rPr>
      </w:pPr>
      <w:r w:rsidRPr="00F541D5">
        <w:rPr>
          <w:b/>
          <w:sz w:val="24"/>
          <w:szCs w:val="24"/>
        </w:rPr>
        <w:t>5.2</w:t>
      </w:r>
      <w:r w:rsidRPr="00F541D5">
        <w:rPr>
          <w:b/>
          <w:sz w:val="24"/>
          <w:szCs w:val="24"/>
        </w:rPr>
        <w:tab/>
      </w:r>
      <w:proofErr w:type="spellStart"/>
      <w:r w:rsidRPr="00F541D5">
        <w:rPr>
          <w:b/>
          <w:sz w:val="24"/>
          <w:szCs w:val="24"/>
        </w:rPr>
        <w:t>Farmakokinetiske</w:t>
      </w:r>
      <w:proofErr w:type="spellEnd"/>
      <w:r w:rsidRPr="00F541D5">
        <w:rPr>
          <w:b/>
          <w:sz w:val="24"/>
          <w:szCs w:val="24"/>
        </w:rPr>
        <w:t xml:space="preserve"> egenskaber</w:t>
      </w:r>
    </w:p>
    <w:p w14:paraId="6632B97A" w14:textId="75E29992" w:rsidR="00A425DC" w:rsidRPr="00F541D5" w:rsidRDefault="00A425DC" w:rsidP="005956A7">
      <w:pPr>
        <w:ind w:left="851"/>
        <w:rPr>
          <w:sz w:val="24"/>
          <w:szCs w:val="24"/>
          <w:lang w:eastAsia="da-DK"/>
        </w:rPr>
      </w:pPr>
      <w:r w:rsidRPr="00F541D5">
        <w:rPr>
          <w:sz w:val="24"/>
          <w:szCs w:val="24"/>
        </w:rPr>
        <w:t xml:space="preserve">Farmakokinetikken af </w:t>
      </w:r>
      <w:proofErr w:type="spellStart"/>
      <w:r w:rsidRPr="00F541D5">
        <w:rPr>
          <w:sz w:val="24"/>
          <w:szCs w:val="24"/>
        </w:rPr>
        <w:t>granisetron</w:t>
      </w:r>
      <w:proofErr w:type="spellEnd"/>
      <w:r w:rsidRPr="00F541D5">
        <w:rPr>
          <w:sz w:val="24"/>
          <w:szCs w:val="24"/>
        </w:rPr>
        <w:t xml:space="preserve"> efter oral administration er lineær op til 2,5 gange den anbefalede dosis hos voksne. Fra det omfattende dosisbestemmelsesprogram er det tydeligt, at den </w:t>
      </w:r>
      <w:proofErr w:type="spellStart"/>
      <w:r w:rsidRPr="00F541D5">
        <w:rPr>
          <w:sz w:val="24"/>
          <w:szCs w:val="24"/>
        </w:rPr>
        <w:t>antiemetiske</w:t>
      </w:r>
      <w:proofErr w:type="spellEnd"/>
      <w:r w:rsidRPr="00F541D5">
        <w:rPr>
          <w:sz w:val="24"/>
          <w:szCs w:val="24"/>
        </w:rPr>
        <w:t xml:space="preserve"> virkning ikke korrelerer entydigt med hverken de administrerede doser eller plasmakoncentrationen af </w:t>
      </w:r>
      <w:proofErr w:type="spellStart"/>
      <w:r w:rsidRPr="00F541D5">
        <w:rPr>
          <w:sz w:val="24"/>
          <w:szCs w:val="24"/>
        </w:rPr>
        <w:t>granisetron</w:t>
      </w:r>
      <w:proofErr w:type="spellEnd"/>
      <w:r w:rsidRPr="00F541D5">
        <w:rPr>
          <w:sz w:val="24"/>
          <w:szCs w:val="24"/>
        </w:rPr>
        <w:t>.</w:t>
      </w:r>
    </w:p>
    <w:p w14:paraId="43026745" w14:textId="77777777" w:rsidR="00A425DC" w:rsidRPr="00F541D5" w:rsidRDefault="00A425DC" w:rsidP="005956A7">
      <w:pPr>
        <w:ind w:left="851"/>
        <w:rPr>
          <w:sz w:val="24"/>
          <w:szCs w:val="24"/>
        </w:rPr>
      </w:pPr>
    </w:p>
    <w:p w14:paraId="4E4095C3" w14:textId="112A6C5B" w:rsidR="00A425DC" w:rsidRPr="00F541D5" w:rsidRDefault="00A425DC" w:rsidP="005956A7">
      <w:pPr>
        <w:ind w:left="851"/>
        <w:rPr>
          <w:sz w:val="24"/>
          <w:szCs w:val="24"/>
        </w:rPr>
      </w:pPr>
      <w:r w:rsidRPr="00F541D5">
        <w:rPr>
          <w:sz w:val="24"/>
          <w:szCs w:val="24"/>
        </w:rPr>
        <w:t xml:space="preserve">En firedobling af den initiale profylaktiske dosis </w:t>
      </w:r>
      <w:proofErr w:type="spellStart"/>
      <w:r w:rsidRPr="00F541D5">
        <w:rPr>
          <w:sz w:val="24"/>
          <w:szCs w:val="24"/>
        </w:rPr>
        <w:t>granisetron</w:t>
      </w:r>
      <w:proofErr w:type="spellEnd"/>
      <w:r w:rsidRPr="00F541D5">
        <w:rPr>
          <w:sz w:val="24"/>
          <w:szCs w:val="24"/>
        </w:rPr>
        <w:t xml:space="preserve"> viste ingen forskel hverken med hensyn til andelen af patienter, som responderede på behandlingen, eller på varigheden af symptomkontrollen.</w:t>
      </w:r>
    </w:p>
    <w:p w14:paraId="1EBE2F8F" w14:textId="77777777" w:rsidR="00A425DC" w:rsidRPr="00F541D5" w:rsidRDefault="00A425DC" w:rsidP="005956A7">
      <w:pPr>
        <w:ind w:left="851"/>
        <w:rPr>
          <w:sz w:val="24"/>
          <w:szCs w:val="24"/>
        </w:rPr>
      </w:pPr>
    </w:p>
    <w:p w14:paraId="01335300" w14:textId="77777777" w:rsidR="00A425DC" w:rsidRPr="00F541D5" w:rsidRDefault="00A425DC" w:rsidP="005956A7">
      <w:pPr>
        <w:ind w:left="851"/>
        <w:rPr>
          <w:sz w:val="24"/>
          <w:szCs w:val="24"/>
        </w:rPr>
      </w:pPr>
      <w:r w:rsidRPr="00F541D5">
        <w:rPr>
          <w:sz w:val="24"/>
          <w:szCs w:val="24"/>
          <w:u w:val="single"/>
        </w:rPr>
        <w:t>Absorption</w:t>
      </w:r>
    </w:p>
    <w:p w14:paraId="2903D682" w14:textId="77777777" w:rsidR="00A425DC" w:rsidRPr="00F541D5" w:rsidRDefault="00A425DC" w:rsidP="005956A7">
      <w:pPr>
        <w:ind w:left="851"/>
        <w:rPr>
          <w:sz w:val="24"/>
          <w:szCs w:val="24"/>
        </w:rPr>
      </w:pPr>
      <w:proofErr w:type="spellStart"/>
      <w:r w:rsidRPr="00F541D5">
        <w:rPr>
          <w:sz w:val="24"/>
          <w:szCs w:val="24"/>
        </w:rPr>
        <w:t>Granisetron</w:t>
      </w:r>
      <w:proofErr w:type="spellEnd"/>
      <w:r w:rsidRPr="00F541D5">
        <w:rPr>
          <w:sz w:val="24"/>
          <w:szCs w:val="24"/>
        </w:rPr>
        <w:t xml:space="preserve"> absorberes hurtigt og fuldstændigt, men den orale biotilgængelighed reduceres til 60 % på grund af </w:t>
      </w:r>
      <w:proofErr w:type="spellStart"/>
      <w:r w:rsidRPr="00F541D5">
        <w:rPr>
          <w:sz w:val="24"/>
          <w:szCs w:val="24"/>
        </w:rPr>
        <w:t>first-pass</w:t>
      </w:r>
      <w:proofErr w:type="spellEnd"/>
      <w:r w:rsidRPr="00F541D5">
        <w:rPr>
          <w:sz w:val="24"/>
          <w:szCs w:val="24"/>
        </w:rPr>
        <w:t xml:space="preserve"> metabolismen. Den orale biotilgængelighed påvirkes generelt ikke af samtidig fødeindtagelse.</w:t>
      </w:r>
    </w:p>
    <w:p w14:paraId="1348F2DA" w14:textId="77777777" w:rsidR="00A425DC" w:rsidRPr="00F541D5" w:rsidRDefault="00A425DC" w:rsidP="005956A7">
      <w:pPr>
        <w:ind w:left="851"/>
        <w:rPr>
          <w:sz w:val="24"/>
          <w:szCs w:val="24"/>
        </w:rPr>
      </w:pPr>
    </w:p>
    <w:p w14:paraId="709947F5" w14:textId="77777777" w:rsidR="00A425DC" w:rsidRPr="00F541D5" w:rsidRDefault="00A425DC" w:rsidP="005956A7">
      <w:pPr>
        <w:ind w:left="851"/>
        <w:rPr>
          <w:sz w:val="24"/>
          <w:szCs w:val="24"/>
        </w:rPr>
      </w:pPr>
      <w:r w:rsidRPr="00F541D5">
        <w:rPr>
          <w:sz w:val="24"/>
          <w:szCs w:val="24"/>
          <w:u w:val="single"/>
        </w:rPr>
        <w:t>Fordeling</w:t>
      </w:r>
    </w:p>
    <w:p w14:paraId="436A7163" w14:textId="77777777" w:rsidR="00A425DC" w:rsidRPr="00F541D5" w:rsidRDefault="00A425DC" w:rsidP="005956A7">
      <w:pPr>
        <w:ind w:left="851"/>
        <w:rPr>
          <w:sz w:val="24"/>
          <w:szCs w:val="24"/>
        </w:rPr>
      </w:pPr>
      <w:proofErr w:type="spellStart"/>
      <w:r w:rsidRPr="00F541D5">
        <w:rPr>
          <w:sz w:val="24"/>
          <w:szCs w:val="24"/>
        </w:rPr>
        <w:t>Granisetron</w:t>
      </w:r>
      <w:proofErr w:type="spellEnd"/>
      <w:r w:rsidRPr="00F541D5">
        <w:rPr>
          <w:sz w:val="24"/>
          <w:szCs w:val="24"/>
        </w:rPr>
        <w:t xml:space="preserve"> fordeles med en gennemsnitlig fordelingsvolumen på 3 l/kg, plasma proteinbindingen er ca. 65 %.</w:t>
      </w:r>
    </w:p>
    <w:p w14:paraId="658CAA12" w14:textId="77777777" w:rsidR="00A425DC" w:rsidRPr="00F541D5" w:rsidRDefault="00A425DC" w:rsidP="005956A7">
      <w:pPr>
        <w:ind w:left="851"/>
        <w:rPr>
          <w:sz w:val="24"/>
          <w:szCs w:val="24"/>
        </w:rPr>
      </w:pPr>
    </w:p>
    <w:p w14:paraId="60655CD6" w14:textId="238B8B58" w:rsidR="00A425DC" w:rsidRPr="00F541D5" w:rsidRDefault="00A425DC" w:rsidP="005956A7">
      <w:pPr>
        <w:ind w:left="851"/>
        <w:rPr>
          <w:sz w:val="24"/>
          <w:szCs w:val="24"/>
        </w:rPr>
      </w:pPr>
      <w:r w:rsidRPr="00F541D5">
        <w:rPr>
          <w:sz w:val="24"/>
          <w:szCs w:val="24"/>
          <w:u w:val="single"/>
        </w:rPr>
        <w:t>Biotransformation</w:t>
      </w:r>
    </w:p>
    <w:p w14:paraId="2BA777F4" w14:textId="3B6D6FDB" w:rsidR="00A425DC" w:rsidRPr="00F541D5" w:rsidRDefault="00A425DC" w:rsidP="005956A7">
      <w:pPr>
        <w:ind w:left="851"/>
        <w:rPr>
          <w:sz w:val="24"/>
          <w:szCs w:val="24"/>
        </w:rPr>
      </w:pPr>
      <w:proofErr w:type="spellStart"/>
      <w:r w:rsidRPr="00F541D5">
        <w:rPr>
          <w:sz w:val="24"/>
          <w:szCs w:val="24"/>
        </w:rPr>
        <w:t>Granisetron</w:t>
      </w:r>
      <w:proofErr w:type="spellEnd"/>
      <w:r w:rsidRPr="00F541D5">
        <w:rPr>
          <w:sz w:val="24"/>
          <w:szCs w:val="24"/>
        </w:rPr>
        <w:t xml:space="preserve"> bliver primært </w:t>
      </w:r>
      <w:proofErr w:type="spellStart"/>
      <w:r w:rsidRPr="00F541D5">
        <w:rPr>
          <w:sz w:val="24"/>
          <w:szCs w:val="24"/>
        </w:rPr>
        <w:t>metaboliseret</w:t>
      </w:r>
      <w:proofErr w:type="spellEnd"/>
      <w:r w:rsidRPr="00F541D5">
        <w:rPr>
          <w:sz w:val="24"/>
          <w:szCs w:val="24"/>
        </w:rPr>
        <w:t xml:space="preserve"> i leveren ved oxidation efterfulgt af </w:t>
      </w:r>
      <w:proofErr w:type="spellStart"/>
      <w:r w:rsidRPr="00F541D5">
        <w:rPr>
          <w:sz w:val="24"/>
          <w:szCs w:val="24"/>
        </w:rPr>
        <w:t>konjugering</w:t>
      </w:r>
      <w:proofErr w:type="spellEnd"/>
      <w:r w:rsidRPr="00F541D5">
        <w:rPr>
          <w:sz w:val="24"/>
          <w:szCs w:val="24"/>
        </w:rPr>
        <w:t xml:space="preserve">. Hovedmetabolitterne er 7-OH-granisetron og dens sulfat og </w:t>
      </w:r>
      <w:proofErr w:type="spellStart"/>
      <w:r w:rsidRPr="00F541D5">
        <w:rPr>
          <w:sz w:val="24"/>
          <w:szCs w:val="24"/>
        </w:rPr>
        <w:t>glukuronidkonjugater</w:t>
      </w:r>
      <w:proofErr w:type="spellEnd"/>
      <w:r w:rsidRPr="00F541D5">
        <w:rPr>
          <w:sz w:val="24"/>
          <w:szCs w:val="24"/>
        </w:rPr>
        <w:t xml:space="preserve">. Selvom der er blevet observeret </w:t>
      </w:r>
      <w:proofErr w:type="spellStart"/>
      <w:r w:rsidRPr="00F541D5">
        <w:rPr>
          <w:sz w:val="24"/>
          <w:szCs w:val="24"/>
        </w:rPr>
        <w:t>antiemetiske</w:t>
      </w:r>
      <w:proofErr w:type="spellEnd"/>
      <w:r w:rsidRPr="00F541D5">
        <w:rPr>
          <w:sz w:val="24"/>
          <w:szCs w:val="24"/>
        </w:rPr>
        <w:t xml:space="preserve"> egenskaber for 7-OH-granisetron og </w:t>
      </w:r>
      <w:proofErr w:type="spellStart"/>
      <w:r w:rsidRPr="00F541D5">
        <w:rPr>
          <w:sz w:val="24"/>
          <w:szCs w:val="24"/>
        </w:rPr>
        <w:t>indazolin</w:t>
      </w:r>
      <w:proofErr w:type="spellEnd"/>
      <w:r w:rsidRPr="00F541D5">
        <w:rPr>
          <w:sz w:val="24"/>
          <w:szCs w:val="24"/>
        </w:rPr>
        <w:t xml:space="preserve"> N-</w:t>
      </w:r>
      <w:proofErr w:type="spellStart"/>
      <w:r w:rsidRPr="00F541D5">
        <w:rPr>
          <w:sz w:val="24"/>
          <w:szCs w:val="24"/>
        </w:rPr>
        <w:t>desmethyl</w:t>
      </w:r>
      <w:proofErr w:type="spellEnd"/>
      <w:r w:rsidRPr="00F541D5">
        <w:rPr>
          <w:sz w:val="24"/>
          <w:szCs w:val="24"/>
        </w:rPr>
        <w:t xml:space="preserve"> </w:t>
      </w:r>
      <w:proofErr w:type="spellStart"/>
      <w:r w:rsidRPr="00F541D5">
        <w:rPr>
          <w:sz w:val="24"/>
          <w:szCs w:val="24"/>
        </w:rPr>
        <w:t>granisetron</w:t>
      </w:r>
      <w:proofErr w:type="spellEnd"/>
      <w:r w:rsidRPr="00F541D5">
        <w:rPr>
          <w:sz w:val="24"/>
          <w:szCs w:val="24"/>
        </w:rPr>
        <w:t xml:space="preserve">, er det dog usandsynligt, at disse bidrager signifikant til den farmakologiske virkning af </w:t>
      </w:r>
      <w:proofErr w:type="spellStart"/>
      <w:r w:rsidRPr="00F541D5">
        <w:rPr>
          <w:sz w:val="24"/>
          <w:szCs w:val="24"/>
        </w:rPr>
        <w:t>granisetron</w:t>
      </w:r>
      <w:proofErr w:type="spellEnd"/>
      <w:r w:rsidRPr="00F541D5">
        <w:rPr>
          <w:sz w:val="24"/>
          <w:szCs w:val="24"/>
        </w:rPr>
        <w:t xml:space="preserve"> hos mennesker.</w:t>
      </w:r>
    </w:p>
    <w:p w14:paraId="52B188EE" w14:textId="706909EF" w:rsidR="00A425DC" w:rsidRPr="00F541D5" w:rsidRDefault="00A425DC" w:rsidP="005956A7">
      <w:pPr>
        <w:ind w:left="851"/>
        <w:rPr>
          <w:sz w:val="24"/>
          <w:szCs w:val="24"/>
        </w:rPr>
      </w:pPr>
      <w:r w:rsidRPr="00F541D5">
        <w:rPr>
          <w:i/>
          <w:sz w:val="24"/>
          <w:szCs w:val="24"/>
        </w:rPr>
        <w:t xml:space="preserve">In </w:t>
      </w:r>
      <w:proofErr w:type="spellStart"/>
      <w:r w:rsidRPr="00F541D5">
        <w:rPr>
          <w:i/>
          <w:sz w:val="24"/>
          <w:szCs w:val="24"/>
        </w:rPr>
        <w:t>vitro</w:t>
      </w:r>
      <w:proofErr w:type="spellEnd"/>
      <w:r w:rsidRPr="00F541D5">
        <w:rPr>
          <w:sz w:val="24"/>
          <w:szCs w:val="24"/>
        </w:rPr>
        <w:t xml:space="preserve"> studier med </w:t>
      </w:r>
      <w:proofErr w:type="spellStart"/>
      <w:r w:rsidRPr="00F541D5">
        <w:rPr>
          <w:sz w:val="24"/>
          <w:szCs w:val="24"/>
        </w:rPr>
        <w:t>levermikrosomer</w:t>
      </w:r>
      <w:proofErr w:type="spellEnd"/>
      <w:r w:rsidRPr="00F541D5">
        <w:rPr>
          <w:sz w:val="24"/>
          <w:szCs w:val="24"/>
        </w:rPr>
        <w:t xml:space="preserve"> viser, at </w:t>
      </w:r>
      <w:proofErr w:type="spellStart"/>
      <w:r w:rsidRPr="00F541D5">
        <w:rPr>
          <w:sz w:val="24"/>
          <w:szCs w:val="24"/>
        </w:rPr>
        <w:t>granisetrons</w:t>
      </w:r>
      <w:proofErr w:type="spellEnd"/>
      <w:r w:rsidRPr="00F541D5">
        <w:rPr>
          <w:sz w:val="24"/>
          <w:szCs w:val="24"/>
        </w:rPr>
        <w:t xml:space="preserve"> primære </w:t>
      </w:r>
      <w:proofErr w:type="spellStart"/>
      <w:r w:rsidRPr="00F541D5">
        <w:rPr>
          <w:sz w:val="24"/>
          <w:szCs w:val="24"/>
        </w:rPr>
        <w:t>metaboliseringsvej</w:t>
      </w:r>
      <w:proofErr w:type="spellEnd"/>
      <w:r w:rsidRPr="00F541D5">
        <w:rPr>
          <w:sz w:val="24"/>
          <w:szCs w:val="24"/>
        </w:rPr>
        <w:t xml:space="preserve"> hæmmes af </w:t>
      </w:r>
      <w:proofErr w:type="spellStart"/>
      <w:r w:rsidRPr="00F541D5">
        <w:rPr>
          <w:sz w:val="24"/>
          <w:szCs w:val="24"/>
        </w:rPr>
        <w:t>ketoconazol</w:t>
      </w:r>
      <w:proofErr w:type="spellEnd"/>
      <w:r w:rsidRPr="00F541D5">
        <w:rPr>
          <w:sz w:val="24"/>
          <w:szCs w:val="24"/>
        </w:rPr>
        <w:t>, hvilket tyder på en metabolisme medieret af CYP3A-subfamilien (se pkt. 4.5).</w:t>
      </w:r>
    </w:p>
    <w:p w14:paraId="7FDF02A0" w14:textId="77777777" w:rsidR="00A425DC" w:rsidRPr="00F541D5" w:rsidRDefault="00A425DC" w:rsidP="005956A7">
      <w:pPr>
        <w:ind w:left="851"/>
        <w:rPr>
          <w:sz w:val="24"/>
          <w:szCs w:val="24"/>
        </w:rPr>
      </w:pPr>
    </w:p>
    <w:p w14:paraId="2974B11B" w14:textId="08AF0CD0" w:rsidR="00A425DC" w:rsidRPr="00F541D5" w:rsidRDefault="00A425DC" w:rsidP="005956A7">
      <w:pPr>
        <w:ind w:left="851"/>
        <w:rPr>
          <w:sz w:val="24"/>
          <w:szCs w:val="24"/>
        </w:rPr>
      </w:pPr>
      <w:r w:rsidRPr="00F541D5">
        <w:rPr>
          <w:sz w:val="24"/>
          <w:szCs w:val="24"/>
          <w:u w:val="single"/>
        </w:rPr>
        <w:t>Elimination</w:t>
      </w:r>
    </w:p>
    <w:p w14:paraId="7CBB31BF" w14:textId="25DBA073" w:rsidR="00A425DC" w:rsidRPr="00F541D5" w:rsidRDefault="00A425DC" w:rsidP="005956A7">
      <w:pPr>
        <w:ind w:left="851"/>
        <w:rPr>
          <w:sz w:val="24"/>
          <w:szCs w:val="24"/>
        </w:rPr>
      </w:pPr>
      <w:proofErr w:type="spellStart"/>
      <w:r w:rsidRPr="00F541D5">
        <w:rPr>
          <w:sz w:val="24"/>
          <w:szCs w:val="24"/>
        </w:rPr>
        <w:t>Clearance</w:t>
      </w:r>
      <w:proofErr w:type="spellEnd"/>
      <w:r w:rsidRPr="00F541D5">
        <w:rPr>
          <w:sz w:val="24"/>
          <w:szCs w:val="24"/>
        </w:rPr>
        <w:t xml:space="preserve"> af </w:t>
      </w:r>
      <w:proofErr w:type="spellStart"/>
      <w:r w:rsidRPr="00F541D5">
        <w:rPr>
          <w:sz w:val="24"/>
          <w:szCs w:val="24"/>
        </w:rPr>
        <w:t>granisetron</w:t>
      </w:r>
      <w:proofErr w:type="spellEnd"/>
      <w:r w:rsidRPr="00F541D5">
        <w:rPr>
          <w:sz w:val="24"/>
          <w:szCs w:val="24"/>
        </w:rPr>
        <w:t xml:space="preserve"> sker hovedsageligt via </w:t>
      </w:r>
      <w:proofErr w:type="spellStart"/>
      <w:r w:rsidRPr="00F541D5">
        <w:rPr>
          <w:sz w:val="24"/>
          <w:szCs w:val="24"/>
        </w:rPr>
        <w:t>levermetabolisering</w:t>
      </w:r>
      <w:proofErr w:type="spellEnd"/>
      <w:r w:rsidRPr="00F541D5">
        <w:rPr>
          <w:sz w:val="24"/>
          <w:szCs w:val="24"/>
        </w:rPr>
        <w:t xml:space="preserve">. Urinudskillelsen af uændret </w:t>
      </w:r>
      <w:proofErr w:type="spellStart"/>
      <w:r w:rsidRPr="00F541D5">
        <w:rPr>
          <w:sz w:val="24"/>
          <w:szCs w:val="24"/>
        </w:rPr>
        <w:t>granisetron</w:t>
      </w:r>
      <w:proofErr w:type="spellEnd"/>
      <w:r w:rsidRPr="00F541D5">
        <w:rPr>
          <w:sz w:val="24"/>
          <w:szCs w:val="24"/>
        </w:rPr>
        <w:t xml:space="preserve"> udgør i gennemsnit 12 % af dosis, mens udskillelsen af metabolitter udgør cirka 47 % af dosis. Resten udskilles med fæces som metabolitter. Hos patienter er den gennemsnitlige plasmahalveringstid efter oral og intravenøse administration omkring 9</w:t>
      </w:r>
      <w:r w:rsidR="00811B8F">
        <w:rPr>
          <w:sz w:val="24"/>
          <w:szCs w:val="24"/>
        </w:rPr>
        <w:t> </w:t>
      </w:r>
      <w:r w:rsidRPr="00F541D5">
        <w:rPr>
          <w:sz w:val="24"/>
          <w:szCs w:val="24"/>
        </w:rPr>
        <w:t>timer, med stor inter-individuel variation.</w:t>
      </w:r>
    </w:p>
    <w:p w14:paraId="34705D88" w14:textId="0E25B6BD" w:rsidR="00811B8F" w:rsidRDefault="00811B8F">
      <w:pPr>
        <w:rPr>
          <w:sz w:val="24"/>
          <w:szCs w:val="24"/>
          <w:u w:val="single"/>
        </w:rPr>
      </w:pPr>
      <w:r>
        <w:rPr>
          <w:sz w:val="24"/>
          <w:szCs w:val="24"/>
          <w:u w:val="single"/>
        </w:rPr>
        <w:br w:type="page"/>
      </w:r>
    </w:p>
    <w:p w14:paraId="57E02363" w14:textId="77777777" w:rsidR="00A425DC" w:rsidRPr="00F541D5" w:rsidRDefault="00A425DC" w:rsidP="005956A7">
      <w:pPr>
        <w:ind w:left="851"/>
        <w:rPr>
          <w:sz w:val="24"/>
          <w:szCs w:val="24"/>
          <w:u w:val="single"/>
        </w:rPr>
      </w:pPr>
    </w:p>
    <w:p w14:paraId="55C0E8AC" w14:textId="77777777" w:rsidR="00A425DC" w:rsidRPr="00F541D5" w:rsidRDefault="00A425DC" w:rsidP="005956A7">
      <w:pPr>
        <w:ind w:left="851"/>
        <w:rPr>
          <w:sz w:val="24"/>
          <w:szCs w:val="24"/>
          <w:u w:val="single"/>
        </w:rPr>
      </w:pPr>
      <w:r w:rsidRPr="00F541D5">
        <w:rPr>
          <w:sz w:val="24"/>
          <w:szCs w:val="24"/>
          <w:u w:val="single"/>
        </w:rPr>
        <w:t>Farmakokinetik hos særlige populationer</w:t>
      </w:r>
    </w:p>
    <w:p w14:paraId="64AAE626" w14:textId="77777777" w:rsidR="00A425DC" w:rsidRPr="00F541D5" w:rsidRDefault="00A425DC" w:rsidP="005956A7">
      <w:pPr>
        <w:ind w:left="851"/>
        <w:rPr>
          <w:i/>
          <w:sz w:val="24"/>
          <w:szCs w:val="24"/>
        </w:rPr>
      </w:pPr>
    </w:p>
    <w:p w14:paraId="0B4C2D94" w14:textId="77777777" w:rsidR="00A425DC" w:rsidRPr="00F541D5" w:rsidRDefault="00A425DC" w:rsidP="005956A7">
      <w:pPr>
        <w:ind w:left="851"/>
        <w:rPr>
          <w:i/>
          <w:sz w:val="24"/>
          <w:szCs w:val="24"/>
        </w:rPr>
      </w:pPr>
      <w:r w:rsidRPr="00F541D5">
        <w:rPr>
          <w:i/>
          <w:sz w:val="24"/>
          <w:szCs w:val="24"/>
        </w:rPr>
        <w:t>Nyreinsufficiens</w:t>
      </w:r>
    </w:p>
    <w:p w14:paraId="047D3E37" w14:textId="77777777" w:rsidR="00A425DC" w:rsidRPr="00F541D5" w:rsidRDefault="00A425DC" w:rsidP="005956A7">
      <w:pPr>
        <w:ind w:left="851"/>
        <w:rPr>
          <w:sz w:val="24"/>
          <w:szCs w:val="24"/>
        </w:rPr>
      </w:pPr>
      <w:r w:rsidRPr="00F541D5">
        <w:rPr>
          <w:sz w:val="24"/>
          <w:szCs w:val="24"/>
        </w:rPr>
        <w:t xml:space="preserve">Hos patienter med alvorlig nyreinsufficiens er data, at de </w:t>
      </w:r>
      <w:proofErr w:type="spellStart"/>
      <w:r w:rsidRPr="00F541D5">
        <w:rPr>
          <w:sz w:val="24"/>
          <w:szCs w:val="24"/>
        </w:rPr>
        <w:t>farmakokinetiske</w:t>
      </w:r>
      <w:proofErr w:type="spellEnd"/>
      <w:r w:rsidRPr="00F541D5">
        <w:rPr>
          <w:sz w:val="24"/>
          <w:szCs w:val="24"/>
        </w:rPr>
        <w:t xml:space="preserve"> parametre efter en intravenøs engangsdosis generelt er sammenlignelige med tilsvarende parametre hos normale forsøgspersoner.</w:t>
      </w:r>
    </w:p>
    <w:p w14:paraId="53C88757" w14:textId="77777777" w:rsidR="00A425DC" w:rsidRPr="00F541D5" w:rsidRDefault="00A425DC" w:rsidP="005956A7">
      <w:pPr>
        <w:ind w:left="851"/>
        <w:rPr>
          <w:sz w:val="24"/>
          <w:szCs w:val="24"/>
        </w:rPr>
      </w:pPr>
    </w:p>
    <w:p w14:paraId="4EFCF9C2" w14:textId="77777777" w:rsidR="00A425DC" w:rsidRPr="00F541D5" w:rsidRDefault="00A425DC" w:rsidP="005956A7">
      <w:pPr>
        <w:ind w:left="851"/>
        <w:rPr>
          <w:i/>
          <w:sz w:val="24"/>
          <w:szCs w:val="24"/>
        </w:rPr>
      </w:pPr>
      <w:r w:rsidRPr="00F541D5">
        <w:rPr>
          <w:i/>
          <w:sz w:val="24"/>
          <w:szCs w:val="24"/>
        </w:rPr>
        <w:t>Nedsat leverfunktion</w:t>
      </w:r>
    </w:p>
    <w:p w14:paraId="5A06698E" w14:textId="77777777" w:rsidR="00A425DC" w:rsidRPr="00F541D5" w:rsidRDefault="00A425DC" w:rsidP="005956A7">
      <w:pPr>
        <w:ind w:left="851"/>
        <w:rPr>
          <w:sz w:val="24"/>
          <w:szCs w:val="24"/>
        </w:rPr>
      </w:pPr>
      <w:r w:rsidRPr="00F541D5">
        <w:rPr>
          <w:sz w:val="24"/>
          <w:szCs w:val="24"/>
        </w:rPr>
        <w:t xml:space="preserve">Hos patienter med nedsat leverfunktion som følge af neoplastisk leverforandring var den totale </w:t>
      </w:r>
      <w:proofErr w:type="spellStart"/>
      <w:r w:rsidRPr="00F541D5">
        <w:rPr>
          <w:sz w:val="24"/>
          <w:szCs w:val="24"/>
        </w:rPr>
        <w:t>plasmaclearance</w:t>
      </w:r>
      <w:proofErr w:type="spellEnd"/>
      <w:r w:rsidRPr="00F541D5">
        <w:rPr>
          <w:sz w:val="24"/>
          <w:szCs w:val="24"/>
        </w:rPr>
        <w:t xml:space="preserve"> af en intravenøs dosis næsten halveret sammenlignet med patienter uden leverpåvirkning. Til trods for disse ændringer er dosisjustering ikke nødvendig (se pkt. 4.2).</w:t>
      </w:r>
    </w:p>
    <w:p w14:paraId="430C63DF" w14:textId="77777777" w:rsidR="00A425DC" w:rsidRPr="00F541D5" w:rsidRDefault="00A425DC" w:rsidP="005956A7">
      <w:pPr>
        <w:ind w:left="851"/>
        <w:rPr>
          <w:sz w:val="24"/>
          <w:szCs w:val="24"/>
        </w:rPr>
      </w:pPr>
    </w:p>
    <w:p w14:paraId="4D604272" w14:textId="77777777" w:rsidR="00A425DC" w:rsidRPr="00F541D5" w:rsidRDefault="00A425DC" w:rsidP="005956A7">
      <w:pPr>
        <w:ind w:left="851"/>
        <w:rPr>
          <w:i/>
          <w:sz w:val="24"/>
          <w:szCs w:val="24"/>
        </w:rPr>
      </w:pPr>
      <w:r w:rsidRPr="00F541D5">
        <w:rPr>
          <w:i/>
          <w:sz w:val="24"/>
          <w:szCs w:val="24"/>
        </w:rPr>
        <w:t>Pædiatrisk population</w:t>
      </w:r>
    </w:p>
    <w:p w14:paraId="00E1E07E" w14:textId="77777777" w:rsidR="00A425DC" w:rsidRPr="00F541D5" w:rsidRDefault="00A425DC" w:rsidP="005956A7">
      <w:pPr>
        <w:ind w:left="851"/>
        <w:rPr>
          <w:sz w:val="24"/>
          <w:szCs w:val="24"/>
        </w:rPr>
      </w:pPr>
      <w:r w:rsidRPr="00F541D5">
        <w:rPr>
          <w:sz w:val="24"/>
          <w:szCs w:val="24"/>
        </w:rPr>
        <w:t>Disse tabletter anbefales ikke til børn.</w:t>
      </w:r>
    </w:p>
    <w:p w14:paraId="746DE36A" w14:textId="77777777" w:rsidR="00A425DC" w:rsidRPr="00F541D5" w:rsidRDefault="00A425DC" w:rsidP="005956A7">
      <w:pPr>
        <w:ind w:left="851"/>
        <w:rPr>
          <w:sz w:val="24"/>
          <w:szCs w:val="24"/>
        </w:rPr>
      </w:pPr>
    </w:p>
    <w:p w14:paraId="36BA48B4" w14:textId="77777777" w:rsidR="00A425DC" w:rsidRPr="00F541D5" w:rsidRDefault="00A425DC" w:rsidP="005956A7">
      <w:pPr>
        <w:ind w:left="851"/>
        <w:rPr>
          <w:i/>
          <w:sz w:val="24"/>
          <w:szCs w:val="24"/>
        </w:rPr>
      </w:pPr>
      <w:r w:rsidRPr="00F541D5">
        <w:rPr>
          <w:i/>
          <w:sz w:val="24"/>
          <w:szCs w:val="24"/>
        </w:rPr>
        <w:t>Ældre patienter</w:t>
      </w:r>
    </w:p>
    <w:p w14:paraId="2383F5B0" w14:textId="77777777" w:rsidR="00A425DC" w:rsidRPr="00F541D5" w:rsidRDefault="00A425DC" w:rsidP="005956A7">
      <w:pPr>
        <w:ind w:left="851"/>
        <w:rPr>
          <w:sz w:val="24"/>
          <w:szCs w:val="24"/>
        </w:rPr>
      </w:pPr>
      <w:r w:rsidRPr="00F541D5">
        <w:rPr>
          <w:sz w:val="24"/>
          <w:szCs w:val="24"/>
        </w:rPr>
        <w:t xml:space="preserve">Efter administration af en intravenøs engangsdosis til ældre personer lå de </w:t>
      </w:r>
      <w:proofErr w:type="spellStart"/>
      <w:r w:rsidRPr="00F541D5">
        <w:rPr>
          <w:sz w:val="24"/>
          <w:szCs w:val="24"/>
        </w:rPr>
        <w:t>farmakokinetiske</w:t>
      </w:r>
      <w:proofErr w:type="spellEnd"/>
      <w:r w:rsidRPr="00F541D5">
        <w:rPr>
          <w:sz w:val="24"/>
          <w:szCs w:val="24"/>
        </w:rPr>
        <w:t xml:space="preserve"> parametre inden for samme intervaller som hos ikke ældre personer.</w:t>
      </w:r>
    </w:p>
    <w:p w14:paraId="5E672F03" w14:textId="77777777" w:rsidR="009260DE" w:rsidRPr="00F541D5" w:rsidRDefault="009260DE" w:rsidP="009260DE">
      <w:pPr>
        <w:tabs>
          <w:tab w:val="left" w:pos="851"/>
        </w:tabs>
        <w:ind w:left="851"/>
        <w:rPr>
          <w:sz w:val="24"/>
          <w:szCs w:val="24"/>
        </w:rPr>
      </w:pPr>
    </w:p>
    <w:p w14:paraId="378375A9" w14:textId="77777777" w:rsidR="009260DE" w:rsidRPr="00F541D5" w:rsidRDefault="009260DE" w:rsidP="009260DE">
      <w:pPr>
        <w:tabs>
          <w:tab w:val="left" w:pos="851"/>
        </w:tabs>
        <w:ind w:left="851" w:hanging="851"/>
        <w:rPr>
          <w:b/>
          <w:sz w:val="24"/>
          <w:szCs w:val="24"/>
        </w:rPr>
      </w:pPr>
      <w:r w:rsidRPr="00F541D5">
        <w:rPr>
          <w:b/>
          <w:sz w:val="24"/>
          <w:szCs w:val="24"/>
        </w:rPr>
        <w:t>5.3</w:t>
      </w:r>
      <w:r w:rsidRPr="00F541D5">
        <w:rPr>
          <w:b/>
          <w:sz w:val="24"/>
          <w:szCs w:val="24"/>
        </w:rPr>
        <w:tab/>
      </w:r>
      <w:r w:rsidR="00BD7931" w:rsidRPr="00F541D5">
        <w:rPr>
          <w:b/>
          <w:sz w:val="24"/>
          <w:szCs w:val="24"/>
        </w:rPr>
        <w:t>Non-</w:t>
      </w:r>
      <w:r w:rsidRPr="00F541D5">
        <w:rPr>
          <w:b/>
          <w:sz w:val="24"/>
          <w:szCs w:val="24"/>
        </w:rPr>
        <w:t>kliniske sikkerhedsdata</w:t>
      </w:r>
    </w:p>
    <w:p w14:paraId="0D1AA9C6" w14:textId="3E8B4C1F" w:rsidR="00A425DC" w:rsidRPr="00F541D5" w:rsidRDefault="00A425DC" w:rsidP="005956A7">
      <w:pPr>
        <w:ind w:left="851"/>
        <w:rPr>
          <w:sz w:val="24"/>
          <w:szCs w:val="24"/>
          <w:lang w:eastAsia="da-DK"/>
        </w:rPr>
      </w:pPr>
      <w:r w:rsidRPr="00F541D5">
        <w:rPr>
          <w:sz w:val="24"/>
          <w:szCs w:val="24"/>
        </w:rPr>
        <w:t>Prækliniske data afslører ingen særlige risici for mennesker baseret på konventionelle studier af sikkerhedsfarmakologi, toksicitet efter gentagne doser, reproduktionstoksicitet og genotoksicitet.</w:t>
      </w:r>
    </w:p>
    <w:p w14:paraId="52EFC0BC" w14:textId="00F422D3" w:rsidR="00A425DC" w:rsidRPr="00F541D5" w:rsidRDefault="00A425DC" w:rsidP="005956A7">
      <w:pPr>
        <w:ind w:left="851"/>
        <w:rPr>
          <w:sz w:val="24"/>
          <w:szCs w:val="24"/>
        </w:rPr>
      </w:pPr>
      <w:proofErr w:type="spellStart"/>
      <w:r w:rsidRPr="00F541D5">
        <w:rPr>
          <w:sz w:val="24"/>
          <w:szCs w:val="24"/>
        </w:rPr>
        <w:t>Karcinogenicitetsstudier</w:t>
      </w:r>
      <w:proofErr w:type="spellEnd"/>
      <w:r w:rsidRPr="00F541D5">
        <w:rPr>
          <w:sz w:val="24"/>
          <w:szCs w:val="24"/>
        </w:rPr>
        <w:t xml:space="preserve"> viser ingen særlig risiko for mennesker ved anvendelse af den anbefalede humane dosis. Dog kan risikoen for </w:t>
      </w:r>
      <w:proofErr w:type="spellStart"/>
      <w:r w:rsidRPr="00F541D5">
        <w:rPr>
          <w:sz w:val="24"/>
          <w:szCs w:val="24"/>
        </w:rPr>
        <w:t>karcinogenicitret</w:t>
      </w:r>
      <w:proofErr w:type="spellEnd"/>
      <w:r w:rsidRPr="00F541D5">
        <w:rPr>
          <w:sz w:val="24"/>
          <w:szCs w:val="24"/>
        </w:rPr>
        <w:t xml:space="preserve"> ikke udelukkes ved administration af højere doser og i en længere periode.</w:t>
      </w:r>
    </w:p>
    <w:p w14:paraId="52C1C1CA" w14:textId="30E898CC" w:rsidR="00A425DC" w:rsidRPr="00F541D5" w:rsidRDefault="00A425DC" w:rsidP="005956A7">
      <w:pPr>
        <w:ind w:left="851"/>
        <w:rPr>
          <w:sz w:val="24"/>
          <w:szCs w:val="24"/>
        </w:rPr>
      </w:pPr>
    </w:p>
    <w:p w14:paraId="6E3445E3" w14:textId="663AA106" w:rsidR="00A425DC" w:rsidRPr="00F541D5" w:rsidRDefault="00A425DC" w:rsidP="005956A7">
      <w:pPr>
        <w:ind w:left="851"/>
        <w:rPr>
          <w:sz w:val="24"/>
          <w:szCs w:val="24"/>
        </w:rPr>
      </w:pPr>
      <w:r w:rsidRPr="00F541D5">
        <w:rPr>
          <w:sz w:val="24"/>
          <w:szCs w:val="24"/>
        </w:rPr>
        <w:t xml:space="preserve">Et forsøg med klonede humane hjerte ionkanaler har vist, at </w:t>
      </w:r>
      <w:proofErr w:type="spellStart"/>
      <w:r w:rsidRPr="00F541D5">
        <w:rPr>
          <w:sz w:val="24"/>
          <w:szCs w:val="24"/>
        </w:rPr>
        <w:t>granisetron</w:t>
      </w:r>
      <w:proofErr w:type="spellEnd"/>
      <w:r w:rsidRPr="00F541D5">
        <w:rPr>
          <w:sz w:val="24"/>
          <w:szCs w:val="24"/>
        </w:rPr>
        <w:t xml:space="preserve"> kan påvirke hjertets </w:t>
      </w:r>
      <w:proofErr w:type="spellStart"/>
      <w:r w:rsidRPr="00F541D5">
        <w:rPr>
          <w:sz w:val="24"/>
          <w:szCs w:val="24"/>
        </w:rPr>
        <w:t>repolarisering</w:t>
      </w:r>
      <w:proofErr w:type="spellEnd"/>
      <w:r w:rsidRPr="00F541D5">
        <w:rPr>
          <w:sz w:val="24"/>
          <w:szCs w:val="24"/>
        </w:rPr>
        <w:t xml:space="preserve"> via blokering af </w:t>
      </w:r>
      <w:proofErr w:type="gramStart"/>
      <w:r w:rsidRPr="00F541D5">
        <w:rPr>
          <w:sz w:val="24"/>
          <w:szCs w:val="24"/>
        </w:rPr>
        <w:t>HERG kalium</w:t>
      </w:r>
      <w:proofErr w:type="gramEnd"/>
      <w:r w:rsidRPr="00F541D5">
        <w:rPr>
          <w:sz w:val="24"/>
          <w:szCs w:val="24"/>
        </w:rPr>
        <w:t xml:space="preserve"> kanaler. </w:t>
      </w:r>
      <w:proofErr w:type="spellStart"/>
      <w:r w:rsidRPr="00F541D5">
        <w:rPr>
          <w:sz w:val="24"/>
          <w:szCs w:val="24"/>
        </w:rPr>
        <w:t>Granisetron</w:t>
      </w:r>
      <w:proofErr w:type="spellEnd"/>
      <w:r w:rsidRPr="00F541D5">
        <w:rPr>
          <w:sz w:val="24"/>
          <w:szCs w:val="24"/>
        </w:rPr>
        <w:t xml:space="preserve"> har vist sig at blokere både natrium og kalium kanaler, som potentielt påvirker både depolariseringen og </w:t>
      </w:r>
      <w:proofErr w:type="spellStart"/>
      <w:r w:rsidRPr="00F541D5">
        <w:rPr>
          <w:sz w:val="24"/>
          <w:szCs w:val="24"/>
        </w:rPr>
        <w:t>repolariseringen</w:t>
      </w:r>
      <w:proofErr w:type="spellEnd"/>
      <w:r w:rsidRPr="00F541D5">
        <w:rPr>
          <w:sz w:val="24"/>
          <w:szCs w:val="24"/>
        </w:rPr>
        <w:t xml:space="preserve"> gennem forlængelse af PR, QRS og </w:t>
      </w:r>
      <w:proofErr w:type="gramStart"/>
      <w:r w:rsidRPr="00F541D5">
        <w:rPr>
          <w:sz w:val="24"/>
          <w:szCs w:val="24"/>
        </w:rPr>
        <w:t>QT intervallerne</w:t>
      </w:r>
      <w:proofErr w:type="gramEnd"/>
      <w:r w:rsidRPr="00F541D5">
        <w:rPr>
          <w:sz w:val="24"/>
          <w:szCs w:val="24"/>
        </w:rPr>
        <w:t xml:space="preserve">. Disse data kan forklare de molekylære mekanismer hvorfor nogle af </w:t>
      </w:r>
      <w:proofErr w:type="gramStart"/>
      <w:r w:rsidRPr="00F541D5">
        <w:rPr>
          <w:sz w:val="24"/>
          <w:szCs w:val="24"/>
        </w:rPr>
        <w:t>EKG ændringer</w:t>
      </w:r>
      <w:proofErr w:type="gramEnd"/>
      <w:r w:rsidRPr="00F541D5">
        <w:rPr>
          <w:sz w:val="24"/>
          <w:szCs w:val="24"/>
        </w:rPr>
        <w:t xml:space="preserve"> (specielt QT og QRS forlængelser) forbundet med denne klasse af lægemidler sker.</w:t>
      </w:r>
    </w:p>
    <w:p w14:paraId="6669F7B2" w14:textId="7240637E" w:rsidR="00A425DC" w:rsidRPr="00F541D5" w:rsidRDefault="00A425DC" w:rsidP="005956A7">
      <w:pPr>
        <w:ind w:left="851"/>
        <w:rPr>
          <w:sz w:val="24"/>
          <w:szCs w:val="24"/>
        </w:rPr>
      </w:pPr>
      <w:r w:rsidRPr="00F541D5">
        <w:rPr>
          <w:sz w:val="24"/>
          <w:szCs w:val="24"/>
        </w:rPr>
        <w:t xml:space="preserve">Der er dog ingen ændring af hjertefrekvens, blodtryk eller </w:t>
      </w:r>
      <w:proofErr w:type="gramStart"/>
      <w:r w:rsidRPr="00F541D5">
        <w:rPr>
          <w:sz w:val="24"/>
          <w:szCs w:val="24"/>
        </w:rPr>
        <w:t>EKG spor</w:t>
      </w:r>
      <w:proofErr w:type="gramEnd"/>
      <w:r w:rsidRPr="00F541D5">
        <w:rPr>
          <w:sz w:val="24"/>
          <w:szCs w:val="24"/>
        </w:rPr>
        <w:t>. Hvis disse ændringer opstår, er de generelt uden klinisk signifikans.</w:t>
      </w:r>
    </w:p>
    <w:p w14:paraId="0E238909" w14:textId="77777777" w:rsidR="009260DE" w:rsidRPr="00F541D5" w:rsidRDefault="009260DE" w:rsidP="009260DE">
      <w:pPr>
        <w:tabs>
          <w:tab w:val="left" w:pos="851"/>
        </w:tabs>
        <w:ind w:left="851"/>
        <w:rPr>
          <w:sz w:val="24"/>
          <w:szCs w:val="24"/>
        </w:rPr>
      </w:pPr>
    </w:p>
    <w:p w14:paraId="044CE60E" w14:textId="77777777" w:rsidR="009260DE" w:rsidRPr="00F541D5" w:rsidRDefault="009260DE" w:rsidP="009260DE">
      <w:pPr>
        <w:tabs>
          <w:tab w:val="left" w:pos="851"/>
        </w:tabs>
        <w:ind w:left="851"/>
        <w:rPr>
          <w:sz w:val="24"/>
          <w:szCs w:val="24"/>
        </w:rPr>
      </w:pPr>
    </w:p>
    <w:p w14:paraId="15225B04" w14:textId="77777777" w:rsidR="009260DE" w:rsidRPr="00F541D5" w:rsidRDefault="009260DE" w:rsidP="009260DE">
      <w:pPr>
        <w:tabs>
          <w:tab w:val="left" w:pos="851"/>
        </w:tabs>
        <w:ind w:left="851" w:hanging="851"/>
        <w:rPr>
          <w:b/>
          <w:sz w:val="24"/>
          <w:szCs w:val="24"/>
        </w:rPr>
      </w:pPr>
      <w:r w:rsidRPr="00F541D5">
        <w:rPr>
          <w:b/>
          <w:sz w:val="24"/>
          <w:szCs w:val="24"/>
        </w:rPr>
        <w:t>6.</w:t>
      </w:r>
      <w:r w:rsidRPr="00F541D5">
        <w:rPr>
          <w:b/>
          <w:sz w:val="24"/>
          <w:szCs w:val="24"/>
        </w:rPr>
        <w:tab/>
        <w:t>FARMACEUTISKE OPLYSNINGER</w:t>
      </w:r>
    </w:p>
    <w:p w14:paraId="620A5735" w14:textId="77777777" w:rsidR="009260DE" w:rsidRPr="00F541D5" w:rsidRDefault="009260DE" w:rsidP="009260DE">
      <w:pPr>
        <w:tabs>
          <w:tab w:val="left" w:pos="851"/>
        </w:tabs>
        <w:ind w:left="851"/>
        <w:rPr>
          <w:sz w:val="24"/>
          <w:szCs w:val="24"/>
        </w:rPr>
      </w:pPr>
    </w:p>
    <w:p w14:paraId="41C07348" w14:textId="77777777" w:rsidR="009260DE" w:rsidRPr="00F541D5" w:rsidRDefault="009260DE" w:rsidP="009260DE">
      <w:pPr>
        <w:tabs>
          <w:tab w:val="left" w:pos="851"/>
        </w:tabs>
        <w:ind w:left="851" w:hanging="851"/>
        <w:rPr>
          <w:b/>
          <w:sz w:val="24"/>
          <w:szCs w:val="24"/>
        </w:rPr>
      </w:pPr>
      <w:r w:rsidRPr="00F541D5">
        <w:rPr>
          <w:b/>
          <w:sz w:val="24"/>
          <w:szCs w:val="24"/>
        </w:rPr>
        <w:t>6.1</w:t>
      </w:r>
      <w:r w:rsidRPr="00F541D5">
        <w:rPr>
          <w:b/>
          <w:sz w:val="24"/>
          <w:szCs w:val="24"/>
        </w:rPr>
        <w:tab/>
        <w:t>Hjælpestoffer</w:t>
      </w:r>
    </w:p>
    <w:p w14:paraId="751E96E1" w14:textId="77777777" w:rsidR="00F541D5" w:rsidRDefault="00F541D5" w:rsidP="005956A7">
      <w:pPr>
        <w:ind w:left="851"/>
        <w:rPr>
          <w:sz w:val="24"/>
          <w:szCs w:val="24"/>
          <w:u w:val="single"/>
        </w:rPr>
      </w:pPr>
    </w:p>
    <w:p w14:paraId="77A756A1" w14:textId="06DD5BFC" w:rsidR="00A425DC" w:rsidRPr="00F541D5" w:rsidRDefault="00A425DC" w:rsidP="005956A7">
      <w:pPr>
        <w:ind w:left="851"/>
        <w:rPr>
          <w:sz w:val="24"/>
          <w:szCs w:val="24"/>
          <w:u w:val="single"/>
          <w:lang w:eastAsia="da-DK"/>
        </w:rPr>
      </w:pPr>
      <w:r w:rsidRPr="00F541D5">
        <w:rPr>
          <w:sz w:val="24"/>
          <w:szCs w:val="24"/>
          <w:u w:val="single"/>
        </w:rPr>
        <w:t>Tabletkerne:</w:t>
      </w:r>
    </w:p>
    <w:p w14:paraId="69B34583" w14:textId="560B8EF4" w:rsidR="00A425DC" w:rsidRPr="00F541D5" w:rsidRDefault="00A425DC" w:rsidP="005956A7">
      <w:pPr>
        <w:ind w:left="851"/>
        <w:rPr>
          <w:spacing w:val="-3"/>
          <w:sz w:val="24"/>
          <w:szCs w:val="24"/>
        </w:rPr>
      </w:pPr>
      <w:proofErr w:type="spellStart"/>
      <w:r w:rsidRPr="00F541D5">
        <w:rPr>
          <w:spacing w:val="-3"/>
          <w:sz w:val="24"/>
          <w:szCs w:val="24"/>
        </w:rPr>
        <w:t>Lactosemonohydrat</w:t>
      </w:r>
      <w:proofErr w:type="spellEnd"/>
    </w:p>
    <w:p w14:paraId="1D7EA981" w14:textId="39A73876" w:rsidR="00A425DC" w:rsidRPr="00F541D5" w:rsidRDefault="00A425DC" w:rsidP="005956A7">
      <w:pPr>
        <w:ind w:left="851"/>
        <w:rPr>
          <w:sz w:val="24"/>
          <w:szCs w:val="24"/>
        </w:rPr>
      </w:pPr>
      <w:r w:rsidRPr="00F541D5">
        <w:rPr>
          <w:spacing w:val="-3"/>
          <w:sz w:val="24"/>
          <w:szCs w:val="24"/>
        </w:rPr>
        <w:t>M</w:t>
      </w:r>
      <w:r w:rsidRPr="00F541D5">
        <w:rPr>
          <w:sz w:val="24"/>
          <w:szCs w:val="24"/>
        </w:rPr>
        <w:t xml:space="preserve">ikrokrystallinsk cellulose </w:t>
      </w:r>
    </w:p>
    <w:p w14:paraId="1F397775" w14:textId="22758B83" w:rsidR="00A425DC" w:rsidRPr="00F541D5" w:rsidRDefault="00A425DC" w:rsidP="005956A7">
      <w:pPr>
        <w:ind w:left="851"/>
        <w:rPr>
          <w:sz w:val="24"/>
          <w:szCs w:val="24"/>
        </w:rPr>
      </w:pPr>
      <w:proofErr w:type="spellStart"/>
      <w:r w:rsidRPr="00F541D5">
        <w:rPr>
          <w:sz w:val="24"/>
          <w:szCs w:val="24"/>
        </w:rPr>
        <w:t>Natriumstivelsesglycolat</w:t>
      </w:r>
      <w:proofErr w:type="spellEnd"/>
      <w:r w:rsidRPr="00F541D5">
        <w:rPr>
          <w:sz w:val="24"/>
          <w:szCs w:val="24"/>
        </w:rPr>
        <w:t xml:space="preserve"> </w:t>
      </w:r>
    </w:p>
    <w:p w14:paraId="7AA882D1" w14:textId="6CBCECA6" w:rsidR="00A425DC" w:rsidRPr="00F541D5" w:rsidRDefault="00A425DC" w:rsidP="005956A7">
      <w:pPr>
        <w:ind w:left="851"/>
        <w:rPr>
          <w:sz w:val="24"/>
          <w:szCs w:val="24"/>
        </w:rPr>
      </w:pPr>
      <w:proofErr w:type="spellStart"/>
      <w:r w:rsidRPr="00F541D5">
        <w:rPr>
          <w:sz w:val="24"/>
          <w:szCs w:val="24"/>
        </w:rPr>
        <w:t>Hypromellose</w:t>
      </w:r>
      <w:proofErr w:type="spellEnd"/>
    </w:p>
    <w:p w14:paraId="2DAF786C" w14:textId="18DF9C9D" w:rsidR="00A425DC" w:rsidRPr="00F541D5" w:rsidRDefault="00A425DC" w:rsidP="005956A7">
      <w:pPr>
        <w:ind w:left="851"/>
        <w:rPr>
          <w:sz w:val="24"/>
          <w:szCs w:val="24"/>
        </w:rPr>
      </w:pPr>
      <w:proofErr w:type="spellStart"/>
      <w:r w:rsidRPr="00F541D5">
        <w:rPr>
          <w:sz w:val="24"/>
          <w:szCs w:val="24"/>
        </w:rPr>
        <w:t>Magnesiumstearat</w:t>
      </w:r>
      <w:proofErr w:type="spellEnd"/>
      <w:r w:rsidRPr="00F541D5">
        <w:rPr>
          <w:sz w:val="24"/>
          <w:szCs w:val="24"/>
        </w:rPr>
        <w:t xml:space="preserve"> </w:t>
      </w:r>
    </w:p>
    <w:p w14:paraId="3FABA1AC" w14:textId="75A72641" w:rsidR="00811B8F" w:rsidRDefault="00811B8F">
      <w:pPr>
        <w:rPr>
          <w:sz w:val="24"/>
          <w:szCs w:val="24"/>
        </w:rPr>
      </w:pPr>
      <w:r>
        <w:rPr>
          <w:sz w:val="24"/>
          <w:szCs w:val="24"/>
        </w:rPr>
        <w:br w:type="page"/>
      </w:r>
    </w:p>
    <w:p w14:paraId="28737A95" w14:textId="77777777" w:rsidR="00A425DC" w:rsidRPr="00F541D5" w:rsidRDefault="00A425DC" w:rsidP="005956A7">
      <w:pPr>
        <w:ind w:left="851"/>
        <w:rPr>
          <w:sz w:val="24"/>
          <w:szCs w:val="24"/>
        </w:rPr>
      </w:pPr>
    </w:p>
    <w:p w14:paraId="3666268A" w14:textId="2E369497" w:rsidR="00A425DC" w:rsidRPr="00F541D5" w:rsidRDefault="00A425DC" w:rsidP="005956A7">
      <w:pPr>
        <w:ind w:left="851"/>
        <w:rPr>
          <w:sz w:val="24"/>
          <w:szCs w:val="24"/>
          <w:u w:val="single"/>
        </w:rPr>
      </w:pPr>
      <w:r w:rsidRPr="00F541D5">
        <w:rPr>
          <w:sz w:val="24"/>
          <w:szCs w:val="24"/>
          <w:u w:val="single"/>
        </w:rPr>
        <w:t>Filmovertræk:</w:t>
      </w:r>
    </w:p>
    <w:p w14:paraId="07E15AEC" w14:textId="75ABC825" w:rsidR="00A425DC" w:rsidRPr="00F541D5" w:rsidRDefault="00A425DC" w:rsidP="005956A7">
      <w:pPr>
        <w:ind w:left="851"/>
        <w:rPr>
          <w:sz w:val="24"/>
          <w:szCs w:val="24"/>
        </w:rPr>
      </w:pPr>
      <w:r w:rsidRPr="00F541D5">
        <w:rPr>
          <w:sz w:val="24"/>
          <w:szCs w:val="24"/>
        </w:rPr>
        <w:t>Titandioxid (E171)</w:t>
      </w:r>
    </w:p>
    <w:p w14:paraId="6B69BA97" w14:textId="1EC77625" w:rsidR="00A425DC" w:rsidRPr="00F541D5" w:rsidRDefault="00A425DC" w:rsidP="005956A7">
      <w:pPr>
        <w:ind w:left="851"/>
        <w:rPr>
          <w:sz w:val="24"/>
          <w:szCs w:val="24"/>
        </w:rPr>
      </w:pPr>
      <w:proofErr w:type="spellStart"/>
      <w:r w:rsidRPr="00F541D5">
        <w:rPr>
          <w:sz w:val="24"/>
          <w:szCs w:val="24"/>
        </w:rPr>
        <w:t>Hypromellose</w:t>
      </w:r>
      <w:proofErr w:type="spellEnd"/>
      <w:r w:rsidRPr="00F541D5">
        <w:rPr>
          <w:sz w:val="24"/>
          <w:szCs w:val="24"/>
        </w:rPr>
        <w:t xml:space="preserve"> (E464)</w:t>
      </w:r>
    </w:p>
    <w:p w14:paraId="52282F29" w14:textId="5F710C55" w:rsidR="00A425DC" w:rsidRPr="00F541D5" w:rsidRDefault="00A425DC" w:rsidP="005956A7">
      <w:pPr>
        <w:ind w:left="851"/>
        <w:rPr>
          <w:sz w:val="24"/>
          <w:szCs w:val="24"/>
        </w:rPr>
      </w:pPr>
      <w:proofErr w:type="spellStart"/>
      <w:r w:rsidRPr="00F541D5">
        <w:rPr>
          <w:sz w:val="24"/>
          <w:szCs w:val="24"/>
        </w:rPr>
        <w:t>Macrogol</w:t>
      </w:r>
      <w:proofErr w:type="spellEnd"/>
      <w:r w:rsidRPr="00F541D5">
        <w:rPr>
          <w:sz w:val="24"/>
          <w:szCs w:val="24"/>
        </w:rPr>
        <w:t xml:space="preserve"> (E1521)</w:t>
      </w:r>
    </w:p>
    <w:p w14:paraId="6AA61EEB" w14:textId="1F542570" w:rsidR="00A425DC" w:rsidRPr="00F541D5" w:rsidRDefault="00A425DC" w:rsidP="005956A7">
      <w:pPr>
        <w:ind w:left="851"/>
        <w:rPr>
          <w:sz w:val="24"/>
          <w:szCs w:val="24"/>
        </w:rPr>
      </w:pPr>
      <w:proofErr w:type="spellStart"/>
      <w:r w:rsidRPr="00F541D5">
        <w:rPr>
          <w:sz w:val="24"/>
          <w:szCs w:val="24"/>
        </w:rPr>
        <w:t>Polysorbat</w:t>
      </w:r>
      <w:proofErr w:type="spellEnd"/>
      <w:r w:rsidRPr="00F541D5">
        <w:rPr>
          <w:sz w:val="24"/>
          <w:szCs w:val="24"/>
        </w:rPr>
        <w:t xml:space="preserve"> 80 (E433)</w:t>
      </w:r>
    </w:p>
    <w:p w14:paraId="75953A79" w14:textId="77777777" w:rsidR="009260DE" w:rsidRPr="00F541D5" w:rsidRDefault="009260DE" w:rsidP="009260DE">
      <w:pPr>
        <w:tabs>
          <w:tab w:val="left" w:pos="851"/>
        </w:tabs>
        <w:ind w:left="851"/>
        <w:rPr>
          <w:sz w:val="24"/>
          <w:szCs w:val="24"/>
        </w:rPr>
      </w:pPr>
    </w:p>
    <w:p w14:paraId="78F11DC1" w14:textId="77777777" w:rsidR="009260DE" w:rsidRPr="00F541D5" w:rsidRDefault="009260DE" w:rsidP="009260DE">
      <w:pPr>
        <w:tabs>
          <w:tab w:val="left" w:pos="851"/>
        </w:tabs>
        <w:ind w:left="851" w:hanging="851"/>
        <w:rPr>
          <w:b/>
          <w:sz w:val="24"/>
          <w:szCs w:val="24"/>
        </w:rPr>
      </w:pPr>
      <w:r w:rsidRPr="00F541D5">
        <w:rPr>
          <w:b/>
          <w:sz w:val="24"/>
          <w:szCs w:val="24"/>
        </w:rPr>
        <w:t>6.2</w:t>
      </w:r>
      <w:r w:rsidRPr="00F541D5">
        <w:rPr>
          <w:b/>
          <w:sz w:val="24"/>
          <w:szCs w:val="24"/>
        </w:rPr>
        <w:tab/>
        <w:t>Uforligeligheder</w:t>
      </w:r>
    </w:p>
    <w:p w14:paraId="6253B68B" w14:textId="7A2CF614" w:rsidR="00A425DC" w:rsidRPr="00F541D5" w:rsidRDefault="00A425DC" w:rsidP="005956A7">
      <w:pPr>
        <w:ind w:left="851"/>
        <w:rPr>
          <w:sz w:val="24"/>
          <w:szCs w:val="24"/>
          <w:lang w:eastAsia="da-DK"/>
        </w:rPr>
      </w:pPr>
      <w:r w:rsidRPr="00F541D5">
        <w:rPr>
          <w:sz w:val="24"/>
          <w:szCs w:val="24"/>
        </w:rPr>
        <w:t>Ikke relevant.</w:t>
      </w:r>
    </w:p>
    <w:p w14:paraId="4A1218D5" w14:textId="77777777" w:rsidR="009260DE" w:rsidRPr="00F541D5" w:rsidRDefault="009260DE" w:rsidP="009260DE">
      <w:pPr>
        <w:tabs>
          <w:tab w:val="left" w:pos="851"/>
        </w:tabs>
        <w:ind w:left="851"/>
        <w:rPr>
          <w:sz w:val="24"/>
          <w:szCs w:val="24"/>
        </w:rPr>
      </w:pPr>
    </w:p>
    <w:p w14:paraId="334F7BA5" w14:textId="77777777" w:rsidR="009260DE" w:rsidRPr="00F541D5" w:rsidRDefault="009260DE" w:rsidP="009260DE">
      <w:pPr>
        <w:tabs>
          <w:tab w:val="left" w:pos="851"/>
        </w:tabs>
        <w:ind w:left="851" w:hanging="851"/>
        <w:rPr>
          <w:b/>
          <w:sz w:val="24"/>
          <w:szCs w:val="24"/>
        </w:rPr>
      </w:pPr>
      <w:r w:rsidRPr="00F541D5">
        <w:rPr>
          <w:b/>
          <w:sz w:val="24"/>
          <w:szCs w:val="24"/>
        </w:rPr>
        <w:t>6.3</w:t>
      </w:r>
      <w:r w:rsidRPr="00F541D5">
        <w:rPr>
          <w:b/>
          <w:sz w:val="24"/>
          <w:szCs w:val="24"/>
        </w:rPr>
        <w:tab/>
        <w:t>Opbevaringstid</w:t>
      </w:r>
    </w:p>
    <w:p w14:paraId="2BAEE08F" w14:textId="77777777" w:rsidR="00A425DC" w:rsidRPr="00F541D5" w:rsidRDefault="00A425DC" w:rsidP="005956A7">
      <w:pPr>
        <w:ind w:left="851"/>
        <w:rPr>
          <w:sz w:val="24"/>
          <w:szCs w:val="24"/>
          <w:lang w:eastAsia="da-DK"/>
        </w:rPr>
      </w:pPr>
      <w:r w:rsidRPr="00F541D5">
        <w:rPr>
          <w:sz w:val="24"/>
          <w:szCs w:val="24"/>
        </w:rPr>
        <w:t>30 måneder</w:t>
      </w:r>
    </w:p>
    <w:p w14:paraId="47B18623" w14:textId="77777777" w:rsidR="009260DE" w:rsidRPr="00F541D5" w:rsidRDefault="009260DE" w:rsidP="009260DE">
      <w:pPr>
        <w:tabs>
          <w:tab w:val="left" w:pos="851"/>
        </w:tabs>
        <w:ind w:left="851"/>
        <w:rPr>
          <w:sz w:val="24"/>
          <w:szCs w:val="24"/>
        </w:rPr>
      </w:pPr>
    </w:p>
    <w:p w14:paraId="0073D971" w14:textId="77777777" w:rsidR="009260DE" w:rsidRPr="00F541D5" w:rsidRDefault="009260DE" w:rsidP="009260DE">
      <w:pPr>
        <w:tabs>
          <w:tab w:val="left" w:pos="851"/>
        </w:tabs>
        <w:ind w:left="851" w:hanging="851"/>
        <w:rPr>
          <w:b/>
          <w:sz w:val="24"/>
          <w:szCs w:val="24"/>
        </w:rPr>
      </w:pPr>
      <w:r w:rsidRPr="00F541D5">
        <w:rPr>
          <w:b/>
          <w:sz w:val="24"/>
          <w:szCs w:val="24"/>
        </w:rPr>
        <w:t>6.4</w:t>
      </w:r>
      <w:r w:rsidRPr="00F541D5">
        <w:rPr>
          <w:b/>
          <w:sz w:val="24"/>
          <w:szCs w:val="24"/>
        </w:rPr>
        <w:tab/>
        <w:t>Særlige opbevaringsforhold</w:t>
      </w:r>
    </w:p>
    <w:p w14:paraId="55AB9C2F" w14:textId="77777777" w:rsidR="00A425DC" w:rsidRPr="00F541D5" w:rsidRDefault="00A425DC" w:rsidP="00A425DC">
      <w:pPr>
        <w:ind w:left="851"/>
        <w:rPr>
          <w:sz w:val="24"/>
          <w:szCs w:val="24"/>
          <w:lang w:eastAsia="da-DK"/>
        </w:rPr>
      </w:pPr>
      <w:r w:rsidRPr="00F541D5">
        <w:rPr>
          <w:noProof/>
          <w:sz w:val="24"/>
          <w:szCs w:val="24"/>
        </w:rPr>
        <w:t xml:space="preserve">Dette lægemiddel kræver ingen særlige forholdsregler vedrørende opbevaringen. </w:t>
      </w:r>
    </w:p>
    <w:p w14:paraId="219484D1" w14:textId="77777777" w:rsidR="009260DE" w:rsidRPr="00F541D5" w:rsidRDefault="009260DE" w:rsidP="009260DE">
      <w:pPr>
        <w:tabs>
          <w:tab w:val="left" w:pos="851"/>
        </w:tabs>
        <w:ind w:left="851"/>
        <w:rPr>
          <w:sz w:val="24"/>
          <w:szCs w:val="24"/>
        </w:rPr>
      </w:pPr>
    </w:p>
    <w:p w14:paraId="59B80B15" w14:textId="77777777" w:rsidR="009260DE" w:rsidRPr="00F541D5" w:rsidRDefault="009260DE" w:rsidP="009260DE">
      <w:pPr>
        <w:tabs>
          <w:tab w:val="left" w:pos="851"/>
        </w:tabs>
        <w:ind w:left="851" w:hanging="851"/>
        <w:rPr>
          <w:b/>
          <w:sz w:val="24"/>
          <w:szCs w:val="24"/>
        </w:rPr>
      </w:pPr>
      <w:r w:rsidRPr="00F541D5">
        <w:rPr>
          <w:b/>
          <w:sz w:val="24"/>
          <w:szCs w:val="24"/>
        </w:rPr>
        <w:t>6.5</w:t>
      </w:r>
      <w:r w:rsidRPr="00F541D5">
        <w:rPr>
          <w:b/>
          <w:sz w:val="24"/>
          <w:szCs w:val="24"/>
        </w:rPr>
        <w:tab/>
        <w:t>Emballagetype og pakningsstørrelser</w:t>
      </w:r>
    </w:p>
    <w:p w14:paraId="4DC558DC" w14:textId="77777777" w:rsidR="00A425DC" w:rsidRPr="00F541D5" w:rsidRDefault="00A425DC" w:rsidP="005956A7">
      <w:pPr>
        <w:ind w:left="851"/>
        <w:rPr>
          <w:sz w:val="24"/>
          <w:szCs w:val="24"/>
          <w:lang w:eastAsia="da-DK"/>
        </w:rPr>
      </w:pPr>
      <w:r w:rsidRPr="00F541D5">
        <w:rPr>
          <w:sz w:val="24"/>
          <w:szCs w:val="24"/>
        </w:rPr>
        <w:t xml:space="preserve">1 mg filmovertrukne tabletter er pakket i </w:t>
      </w:r>
      <w:proofErr w:type="spellStart"/>
      <w:r w:rsidRPr="00F541D5">
        <w:rPr>
          <w:sz w:val="24"/>
          <w:szCs w:val="24"/>
        </w:rPr>
        <w:t>Alu</w:t>
      </w:r>
      <w:proofErr w:type="spellEnd"/>
      <w:r w:rsidRPr="00F541D5">
        <w:rPr>
          <w:sz w:val="24"/>
          <w:szCs w:val="24"/>
        </w:rPr>
        <w:t xml:space="preserve">-PVC-blisterpakninger, som indeholder </w:t>
      </w:r>
      <w:bookmarkStart w:id="1" w:name="_Hlk208395797"/>
      <w:r w:rsidRPr="00F541D5">
        <w:rPr>
          <w:sz w:val="24"/>
          <w:szCs w:val="24"/>
        </w:rPr>
        <w:t>5 eller 10 filmovertrukne tabletter.</w:t>
      </w:r>
    </w:p>
    <w:bookmarkEnd w:id="1"/>
    <w:p w14:paraId="26EED35B" w14:textId="77777777" w:rsidR="00A425DC" w:rsidRPr="00F541D5" w:rsidRDefault="00A425DC" w:rsidP="005956A7">
      <w:pPr>
        <w:ind w:left="851"/>
        <w:rPr>
          <w:sz w:val="24"/>
          <w:szCs w:val="24"/>
        </w:rPr>
      </w:pPr>
    </w:p>
    <w:p w14:paraId="332EFEF6" w14:textId="77777777" w:rsidR="00A425DC" w:rsidRPr="00F541D5" w:rsidRDefault="00A425DC" w:rsidP="005956A7">
      <w:pPr>
        <w:ind w:left="851"/>
        <w:rPr>
          <w:sz w:val="24"/>
          <w:szCs w:val="24"/>
        </w:rPr>
      </w:pPr>
      <w:r w:rsidRPr="00F541D5">
        <w:rPr>
          <w:sz w:val="24"/>
          <w:szCs w:val="24"/>
        </w:rPr>
        <w:t xml:space="preserve">2 mg filmovertrukne tabletter er pakket i </w:t>
      </w:r>
      <w:proofErr w:type="spellStart"/>
      <w:r w:rsidRPr="00F541D5">
        <w:rPr>
          <w:sz w:val="24"/>
          <w:szCs w:val="24"/>
        </w:rPr>
        <w:t>Alu</w:t>
      </w:r>
      <w:proofErr w:type="spellEnd"/>
      <w:r w:rsidRPr="00F541D5">
        <w:rPr>
          <w:sz w:val="24"/>
          <w:szCs w:val="24"/>
        </w:rPr>
        <w:t xml:space="preserve">-PVC-blisterpakninger, som </w:t>
      </w:r>
      <w:bookmarkStart w:id="2" w:name="_Hlk208396031"/>
      <w:r w:rsidRPr="00F541D5">
        <w:rPr>
          <w:sz w:val="24"/>
          <w:szCs w:val="24"/>
        </w:rPr>
        <w:t xml:space="preserve">indeholder 1, 5 eller 10 filmovertrukne tabletter. </w:t>
      </w:r>
      <w:bookmarkEnd w:id="2"/>
    </w:p>
    <w:p w14:paraId="5A2B07F1" w14:textId="77777777" w:rsidR="009260DE" w:rsidRPr="00F541D5" w:rsidRDefault="009260DE" w:rsidP="009260DE">
      <w:pPr>
        <w:tabs>
          <w:tab w:val="left" w:pos="851"/>
        </w:tabs>
        <w:ind w:left="851"/>
        <w:rPr>
          <w:sz w:val="24"/>
          <w:szCs w:val="24"/>
        </w:rPr>
      </w:pPr>
    </w:p>
    <w:p w14:paraId="3FDC8277" w14:textId="77777777" w:rsidR="009260DE" w:rsidRPr="00F541D5" w:rsidRDefault="009260DE" w:rsidP="009260DE">
      <w:pPr>
        <w:tabs>
          <w:tab w:val="left" w:pos="851"/>
        </w:tabs>
        <w:ind w:left="851" w:hanging="851"/>
        <w:rPr>
          <w:b/>
          <w:sz w:val="24"/>
          <w:szCs w:val="24"/>
        </w:rPr>
      </w:pPr>
      <w:r w:rsidRPr="00F541D5">
        <w:rPr>
          <w:b/>
          <w:sz w:val="24"/>
          <w:szCs w:val="24"/>
        </w:rPr>
        <w:t>6.6</w:t>
      </w:r>
      <w:r w:rsidRPr="00F541D5">
        <w:rPr>
          <w:b/>
          <w:sz w:val="24"/>
          <w:szCs w:val="24"/>
        </w:rPr>
        <w:tab/>
        <w:t xml:space="preserve">Regler for </w:t>
      </w:r>
      <w:r w:rsidR="00BD7931" w:rsidRPr="00F541D5">
        <w:rPr>
          <w:b/>
          <w:sz w:val="24"/>
          <w:szCs w:val="24"/>
        </w:rPr>
        <w:t>bortskaffelse</w:t>
      </w:r>
      <w:r w:rsidRPr="00F541D5">
        <w:rPr>
          <w:b/>
          <w:sz w:val="24"/>
          <w:szCs w:val="24"/>
        </w:rPr>
        <w:t xml:space="preserve"> og anden håndtering</w:t>
      </w:r>
    </w:p>
    <w:p w14:paraId="54B2162F" w14:textId="29E9468B" w:rsidR="00A425DC" w:rsidRPr="00F541D5" w:rsidRDefault="00A425DC" w:rsidP="005956A7">
      <w:pPr>
        <w:ind w:left="851"/>
        <w:rPr>
          <w:sz w:val="24"/>
          <w:szCs w:val="24"/>
          <w:lang w:eastAsia="da-DK"/>
        </w:rPr>
      </w:pPr>
      <w:r w:rsidRPr="00F541D5">
        <w:rPr>
          <w:sz w:val="24"/>
          <w:szCs w:val="24"/>
        </w:rPr>
        <w:t xml:space="preserve">Ingen særlige forholdsregler ved bortskaffelse. </w:t>
      </w:r>
    </w:p>
    <w:p w14:paraId="711D2B47" w14:textId="77777777" w:rsidR="009260DE" w:rsidRPr="00F541D5" w:rsidRDefault="009260DE" w:rsidP="000730CA">
      <w:pPr>
        <w:tabs>
          <w:tab w:val="left" w:pos="851"/>
        </w:tabs>
        <w:ind w:left="851"/>
        <w:rPr>
          <w:sz w:val="24"/>
          <w:szCs w:val="24"/>
        </w:rPr>
      </w:pPr>
    </w:p>
    <w:p w14:paraId="071237C3" w14:textId="77777777" w:rsidR="009260DE" w:rsidRPr="00F541D5" w:rsidRDefault="009260DE" w:rsidP="009260DE">
      <w:pPr>
        <w:tabs>
          <w:tab w:val="left" w:pos="851"/>
        </w:tabs>
        <w:ind w:left="851" w:hanging="851"/>
        <w:rPr>
          <w:b/>
          <w:sz w:val="24"/>
          <w:szCs w:val="24"/>
        </w:rPr>
      </w:pPr>
      <w:r w:rsidRPr="00F541D5">
        <w:rPr>
          <w:b/>
          <w:sz w:val="24"/>
          <w:szCs w:val="24"/>
        </w:rPr>
        <w:t>7.</w:t>
      </w:r>
      <w:r w:rsidRPr="00F541D5">
        <w:rPr>
          <w:b/>
          <w:sz w:val="24"/>
          <w:szCs w:val="24"/>
        </w:rPr>
        <w:tab/>
        <w:t>INDEHAVER AF MARKEDSFØRINGSTILLADELSEN</w:t>
      </w:r>
    </w:p>
    <w:p w14:paraId="03FCF422" w14:textId="7543FDE9" w:rsidR="00A425DC" w:rsidRPr="00F541D5" w:rsidRDefault="00A425DC" w:rsidP="005956A7">
      <w:pPr>
        <w:ind w:left="851"/>
        <w:rPr>
          <w:sz w:val="24"/>
          <w:szCs w:val="24"/>
          <w:lang w:val="de-DE" w:eastAsia="da-DK"/>
        </w:rPr>
      </w:pPr>
      <w:r w:rsidRPr="00F541D5">
        <w:rPr>
          <w:sz w:val="24"/>
          <w:szCs w:val="24"/>
          <w:lang w:val="de-DE"/>
        </w:rPr>
        <w:t>Stada Arzneimittel AG</w:t>
      </w:r>
    </w:p>
    <w:p w14:paraId="1A2E7D64" w14:textId="4C70D56B" w:rsidR="00A425DC" w:rsidRPr="00F541D5" w:rsidRDefault="00A425DC" w:rsidP="005956A7">
      <w:pPr>
        <w:ind w:left="851"/>
        <w:rPr>
          <w:sz w:val="24"/>
          <w:szCs w:val="24"/>
          <w:lang w:val="de-DE"/>
        </w:rPr>
      </w:pPr>
      <w:proofErr w:type="spellStart"/>
      <w:r w:rsidRPr="00F541D5">
        <w:rPr>
          <w:sz w:val="24"/>
          <w:szCs w:val="24"/>
          <w:lang w:val="de-DE"/>
        </w:rPr>
        <w:t>Stadastrasse</w:t>
      </w:r>
      <w:proofErr w:type="spellEnd"/>
      <w:r w:rsidRPr="00F541D5">
        <w:rPr>
          <w:sz w:val="24"/>
          <w:szCs w:val="24"/>
          <w:lang w:val="de-DE"/>
        </w:rPr>
        <w:t xml:space="preserve"> 2-18</w:t>
      </w:r>
    </w:p>
    <w:p w14:paraId="048D3249" w14:textId="1FB85ACA" w:rsidR="00A425DC" w:rsidRPr="00F541D5" w:rsidRDefault="00A425DC" w:rsidP="005956A7">
      <w:pPr>
        <w:ind w:left="851"/>
        <w:rPr>
          <w:sz w:val="24"/>
          <w:szCs w:val="24"/>
          <w:lang w:val="de-DE"/>
        </w:rPr>
      </w:pPr>
      <w:r w:rsidRPr="00F541D5">
        <w:rPr>
          <w:sz w:val="24"/>
          <w:szCs w:val="24"/>
          <w:lang w:val="de-DE"/>
        </w:rPr>
        <w:t>61118 Bad Vilbel</w:t>
      </w:r>
    </w:p>
    <w:p w14:paraId="37CEBC8A" w14:textId="7E7FC6F4" w:rsidR="00A425DC" w:rsidRPr="00F541D5" w:rsidRDefault="00A425DC" w:rsidP="005956A7">
      <w:pPr>
        <w:ind w:left="851"/>
        <w:rPr>
          <w:sz w:val="24"/>
          <w:szCs w:val="24"/>
          <w:lang w:val="de-DE"/>
        </w:rPr>
      </w:pPr>
      <w:proofErr w:type="spellStart"/>
      <w:r w:rsidRPr="00F541D5">
        <w:rPr>
          <w:sz w:val="24"/>
          <w:szCs w:val="24"/>
          <w:lang w:val="de-DE"/>
        </w:rPr>
        <w:t>Tyskland</w:t>
      </w:r>
      <w:proofErr w:type="spellEnd"/>
    </w:p>
    <w:p w14:paraId="38A33E5C" w14:textId="77777777" w:rsidR="009260DE" w:rsidRPr="00F541D5" w:rsidRDefault="009260DE" w:rsidP="005956A7">
      <w:pPr>
        <w:ind w:left="851"/>
        <w:rPr>
          <w:sz w:val="24"/>
          <w:szCs w:val="24"/>
        </w:rPr>
      </w:pPr>
    </w:p>
    <w:p w14:paraId="699C2E0E" w14:textId="77777777" w:rsidR="00641C65" w:rsidRPr="00F541D5" w:rsidRDefault="00641C65" w:rsidP="005956A7">
      <w:pPr>
        <w:ind w:left="851"/>
        <w:rPr>
          <w:sz w:val="24"/>
          <w:szCs w:val="24"/>
        </w:rPr>
      </w:pPr>
      <w:r w:rsidRPr="00F541D5">
        <w:rPr>
          <w:b/>
          <w:sz w:val="24"/>
          <w:szCs w:val="24"/>
        </w:rPr>
        <w:t>Repræsentant</w:t>
      </w:r>
    </w:p>
    <w:p w14:paraId="3590376B" w14:textId="2D9DC667" w:rsidR="00A425DC" w:rsidRPr="00F541D5" w:rsidRDefault="00A425DC" w:rsidP="005956A7">
      <w:pPr>
        <w:ind w:left="851"/>
        <w:rPr>
          <w:sz w:val="24"/>
          <w:szCs w:val="24"/>
          <w:lang w:eastAsia="da-DK"/>
        </w:rPr>
      </w:pPr>
      <w:r w:rsidRPr="00F541D5">
        <w:rPr>
          <w:sz w:val="24"/>
          <w:szCs w:val="24"/>
        </w:rPr>
        <w:t>STADA Nordic</w:t>
      </w:r>
      <w:r w:rsidR="00F9554A">
        <w:rPr>
          <w:sz w:val="24"/>
          <w:szCs w:val="24"/>
        </w:rPr>
        <w:t xml:space="preserve"> ApS</w:t>
      </w:r>
    </w:p>
    <w:p w14:paraId="78AAD2FE" w14:textId="387F3CAF" w:rsidR="00A425DC" w:rsidRPr="00F541D5" w:rsidRDefault="00A425DC" w:rsidP="005956A7">
      <w:pPr>
        <w:ind w:left="851"/>
        <w:rPr>
          <w:sz w:val="24"/>
          <w:szCs w:val="24"/>
        </w:rPr>
      </w:pPr>
      <w:r w:rsidRPr="00F541D5">
        <w:rPr>
          <w:sz w:val="24"/>
          <w:szCs w:val="24"/>
        </w:rPr>
        <w:t>Marielundvej 46 A</w:t>
      </w:r>
    </w:p>
    <w:p w14:paraId="4C6D5348" w14:textId="0447CDCF" w:rsidR="00A425DC" w:rsidRPr="00F541D5" w:rsidRDefault="00A425DC" w:rsidP="005956A7">
      <w:pPr>
        <w:ind w:left="851"/>
        <w:rPr>
          <w:sz w:val="24"/>
          <w:szCs w:val="24"/>
        </w:rPr>
      </w:pPr>
      <w:r w:rsidRPr="00F541D5">
        <w:rPr>
          <w:sz w:val="24"/>
          <w:szCs w:val="24"/>
        </w:rPr>
        <w:t>2730 Herlev</w:t>
      </w:r>
    </w:p>
    <w:p w14:paraId="357EE27C" w14:textId="77777777" w:rsidR="00641C65" w:rsidRPr="00F541D5" w:rsidRDefault="00641C65" w:rsidP="009260DE">
      <w:pPr>
        <w:tabs>
          <w:tab w:val="left" w:pos="851"/>
        </w:tabs>
        <w:ind w:left="851"/>
        <w:rPr>
          <w:sz w:val="24"/>
          <w:szCs w:val="24"/>
        </w:rPr>
      </w:pPr>
    </w:p>
    <w:p w14:paraId="5FC36EE2" w14:textId="77777777" w:rsidR="009260DE" w:rsidRPr="00F541D5" w:rsidRDefault="009260DE" w:rsidP="009260DE">
      <w:pPr>
        <w:tabs>
          <w:tab w:val="left" w:pos="851"/>
        </w:tabs>
        <w:ind w:left="851" w:hanging="851"/>
        <w:rPr>
          <w:b/>
          <w:sz w:val="24"/>
          <w:szCs w:val="24"/>
        </w:rPr>
      </w:pPr>
      <w:r w:rsidRPr="00F541D5">
        <w:rPr>
          <w:b/>
          <w:sz w:val="24"/>
          <w:szCs w:val="24"/>
        </w:rPr>
        <w:t>8.</w:t>
      </w:r>
      <w:r w:rsidRPr="00F541D5">
        <w:rPr>
          <w:b/>
          <w:sz w:val="24"/>
          <w:szCs w:val="24"/>
        </w:rPr>
        <w:tab/>
        <w:t>MARKEDSFØRINGSTILLADELSESNUMMER (</w:t>
      </w:r>
      <w:r w:rsidR="00BF6243" w:rsidRPr="00F541D5">
        <w:rPr>
          <w:b/>
          <w:sz w:val="24"/>
          <w:szCs w:val="24"/>
        </w:rPr>
        <w:t>-</w:t>
      </w:r>
      <w:r w:rsidRPr="00F541D5">
        <w:rPr>
          <w:b/>
          <w:sz w:val="24"/>
          <w:szCs w:val="24"/>
        </w:rPr>
        <w:t>NUMRE)</w:t>
      </w:r>
    </w:p>
    <w:p w14:paraId="25CB1B7C" w14:textId="51AF3592" w:rsidR="00A425DC" w:rsidRPr="00F541D5" w:rsidRDefault="00A425DC" w:rsidP="005956A7">
      <w:pPr>
        <w:ind w:left="851"/>
        <w:rPr>
          <w:sz w:val="24"/>
          <w:szCs w:val="24"/>
          <w:lang w:eastAsia="da-DK"/>
        </w:rPr>
      </w:pPr>
      <w:r w:rsidRPr="00F541D5">
        <w:rPr>
          <w:sz w:val="24"/>
          <w:szCs w:val="24"/>
        </w:rPr>
        <w:t>1 mg: 71906</w:t>
      </w:r>
    </w:p>
    <w:p w14:paraId="7BEA2A67" w14:textId="49A704CB" w:rsidR="00A425DC" w:rsidRPr="00F541D5" w:rsidRDefault="00A425DC" w:rsidP="005956A7">
      <w:pPr>
        <w:ind w:left="851"/>
        <w:rPr>
          <w:sz w:val="24"/>
          <w:szCs w:val="24"/>
        </w:rPr>
      </w:pPr>
      <w:r w:rsidRPr="00F541D5">
        <w:rPr>
          <w:sz w:val="24"/>
          <w:szCs w:val="24"/>
        </w:rPr>
        <w:t>2 mg: 71907</w:t>
      </w:r>
    </w:p>
    <w:p w14:paraId="7956160A" w14:textId="77777777" w:rsidR="009260DE" w:rsidRPr="00F541D5" w:rsidRDefault="009260DE" w:rsidP="009260DE">
      <w:pPr>
        <w:tabs>
          <w:tab w:val="left" w:pos="851"/>
        </w:tabs>
        <w:ind w:left="851"/>
        <w:jc w:val="both"/>
        <w:rPr>
          <w:sz w:val="24"/>
          <w:szCs w:val="24"/>
        </w:rPr>
      </w:pPr>
    </w:p>
    <w:p w14:paraId="769889AC" w14:textId="77777777" w:rsidR="009260DE" w:rsidRPr="00F541D5" w:rsidRDefault="009260DE" w:rsidP="009260DE">
      <w:pPr>
        <w:tabs>
          <w:tab w:val="left" w:pos="851"/>
        </w:tabs>
        <w:ind w:left="851" w:hanging="851"/>
        <w:rPr>
          <w:b/>
          <w:sz w:val="24"/>
          <w:szCs w:val="24"/>
        </w:rPr>
      </w:pPr>
      <w:r w:rsidRPr="00F541D5">
        <w:rPr>
          <w:b/>
          <w:sz w:val="24"/>
          <w:szCs w:val="24"/>
        </w:rPr>
        <w:t>9.</w:t>
      </w:r>
      <w:r w:rsidRPr="00F541D5">
        <w:rPr>
          <w:b/>
          <w:sz w:val="24"/>
          <w:szCs w:val="24"/>
        </w:rPr>
        <w:tab/>
        <w:t>DATO FOR FØRSTE MARKEDSFØRINGSTILLADELSE</w:t>
      </w:r>
    </w:p>
    <w:p w14:paraId="54E6780E" w14:textId="4EF18556" w:rsidR="009260DE" w:rsidRPr="00F541D5" w:rsidRDefault="00F9554A" w:rsidP="009260DE">
      <w:pPr>
        <w:tabs>
          <w:tab w:val="left" w:pos="851"/>
        </w:tabs>
        <w:ind w:left="851"/>
        <w:rPr>
          <w:sz w:val="24"/>
          <w:szCs w:val="24"/>
        </w:rPr>
      </w:pPr>
      <w:r>
        <w:rPr>
          <w:sz w:val="24"/>
          <w:szCs w:val="24"/>
        </w:rPr>
        <w:t>11. september 2025</w:t>
      </w:r>
    </w:p>
    <w:p w14:paraId="28989292" w14:textId="77777777" w:rsidR="009260DE" w:rsidRPr="00F541D5" w:rsidRDefault="009260DE" w:rsidP="009260DE">
      <w:pPr>
        <w:tabs>
          <w:tab w:val="left" w:pos="851"/>
        </w:tabs>
        <w:ind w:left="851"/>
        <w:rPr>
          <w:sz w:val="24"/>
          <w:szCs w:val="24"/>
        </w:rPr>
      </w:pPr>
    </w:p>
    <w:p w14:paraId="003BAA95" w14:textId="77777777" w:rsidR="009260DE" w:rsidRPr="00F541D5" w:rsidRDefault="009260DE" w:rsidP="009260DE">
      <w:pPr>
        <w:tabs>
          <w:tab w:val="left" w:pos="851"/>
        </w:tabs>
        <w:ind w:left="851" w:hanging="851"/>
        <w:rPr>
          <w:b/>
          <w:sz w:val="24"/>
          <w:szCs w:val="24"/>
        </w:rPr>
      </w:pPr>
      <w:r w:rsidRPr="00F541D5">
        <w:rPr>
          <w:b/>
          <w:sz w:val="24"/>
          <w:szCs w:val="24"/>
        </w:rPr>
        <w:t>10.</w:t>
      </w:r>
      <w:r w:rsidRPr="00F541D5">
        <w:rPr>
          <w:b/>
          <w:sz w:val="24"/>
          <w:szCs w:val="24"/>
        </w:rPr>
        <w:tab/>
        <w:t>DATO FOR ÆNDRING AF TEKSTEN</w:t>
      </w:r>
    </w:p>
    <w:p w14:paraId="0C0BCACF" w14:textId="0D2202D5" w:rsidR="009260DE" w:rsidRPr="00F541D5" w:rsidRDefault="00A425DC" w:rsidP="009260DE">
      <w:pPr>
        <w:tabs>
          <w:tab w:val="left" w:pos="851"/>
        </w:tabs>
        <w:ind w:left="851"/>
        <w:rPr>
          <w:sz w:val="24"/>
          <w:szCs w:val="24"/>
        </w:rPr>
      </w:pPr>
      <w:r w:rsidRPr="00F541D5">
        <w:rPr>
          <w:sz w:val="24"/>
          <w:szCs w:val="24"/>
        </w:rPr>
        <w:t>-</w:t>
      </w:r>
    </w:p>
    <w:sectPr w:rsidR="009260DE" w:rsidRPr="00F541D5"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898EC" w14:textId="77777777" w:rsidR="00B42899" w:rsidRDefault="00B42899">
      <w:r>
        <w:separator/>
      </w:r>
    </w:p>
  </w:endnote>
  <w:endnote w:type="continuationSeparator" w:id="0">
    <w:p w14:paraId="325EDA2C" w14:textId="77777777" w:rsidR="00B42899" w:rsidRDefault="00B4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01B60" w14:textId="77777777" w:rsidR="000259B9" w:rsidRDefault="000259B9">
    <w:pPr>
      <w:pStyle w:val="Sidefod"/>
      <w:pBdr>
        <w:bottom w:val="single" w:sz="6" w:space="1" w:color="auto"/>
      </w:pBdr>
    </w:pPr>
  </w:p>
  <w:p w14:paraId="7E16D78F" w14:textId="77777777" w:rsidR="000259B9" w:rsidRDefault="000259B9" w:rsidP="00C42586">
    <w:pPr>
      <w:pStyle w:val="Sidefod"/>
      <w:tabs>
        <w:tab w:val="clear" w:pos="4819"/>
        <w:tab w:val="left" w:pos="8505"/>
      </w:tabs>
      <w:rPr>
        <w:i/>
        <w:sz w:val="18"/>
        <w:szCs w:val="18"/>
      </w:rPr>
    </w:pPr>
  </w:p>
  <w:p w14:paraId="4D58972A" w14:textId="39EB9DF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106461">
      <w:rPr>
        <w:i/>
        <w:noProof/>
        <w:sz w:val="18"/>
        <w:szCs w:val="18"/>
      </w:rPr>
      <w:t>Granisym, filmovertrukne tabletter 1 mg og 2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5CB06" w14:textId="77777777" w:rsidR="00B42899" w:rsidRDefault="00B42899">
      <w:r>
        <w:separator/>
      </w:r>
    </w:p>
  </w:footnote>
  <w:footnote w:type="continuationSeparator" w:id="0">
    <w:p w14:paraId="1CA02CEB" w14:textId="77777777" w:rsidR="00B42899" w:rsidRDefault="00B42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99"/>
    <w:rsid w:val="000259B9"/>
    <w:rsid w:val="00041491"/>
    <w:rsid w:val="00050D16"/>
    <w:rsid w:val="000730CA"/>
    <w:rsid w:val="00074F2A"/>
    <w:rsid w:val="000A1CA8"/>
    <w:rsid w:val="000A466B"/>
    <w:rsid w:val="000B058C"/>
    <w:rsid w:val="000D68B0"/>
    <w:rsid w:val="000E4EE6"/>
    <w:rsid w:val="00106461"/>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56A7"/>
    <w:rsid w:val="00596D86"/>
    <w:rsid w:val="00637F5A"/>
    <w:rsid w:val="00641C65"/>
    <w:rsid w:val="006560B1"/>
    <w:rsid w:val="006756DD"/>
    <w:rsid w:val="0071241E"/>
    <w:rsid w:val="00737275"/>
    <w:rsid w:val="00740EEC"/>
    <w:rsid w:val="0078011A"/>
    <w:rsid w:val="00782AF4"/>
    <w:rsid w:val="00790EE7"/>
    <w:rsid w:val="007B6649"/>
    <w:rsid w:val="00811B8F"/>
    <w:rsid w:val="0082576E"/>
    <w:rsid w:val="0089346F"/>
    <w:rsid w:val="00907F75"/>
    <w:rsid w:val="009260DE"/>
    <w:rsid w:val="0093258A"/>
    <w:rsid w:val="009927A7"/>
    <w:rsid w:val="009C7BA3"/>
    <w:rsid w:val="009D1F5A"/>
    <w:rsid w:val="00A10294"/>
    <w:rsid w:val="00A22D55"/>
    <w:rsid w:val="00A30FFC"/>
    <w:rsid w:val="00A425DC"/>
    <w:rsid w:val="00B003BF"/>
    <w:rsid w:val="00B373D7"/>
    <w:rsid w:val="00B42899"/>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541D5"/>
    <w:rsid w:val="00F66D4F"/>
    <w:rsid w:val="00F9554A"/>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0EAF3"/>
  <w15:chartTrackingRefBased/>
  <w15:docId w15:val="{190B1BF4-DBC8-4D85-B68B-2E11B381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NormalWeb">
    <w:name w:val="Normal (Web)"/>
    <w:basedOn w:val="Normal"/>
    <w:semiHidden/>
    <w:unhideWhenUsed/>
    <w:rsid w:val="00A425DC"/>
    <w:pPr>
      <w:spacing w:before="100" w:beforeAutospacing="1" w:after="100" w:afterAutospacing="1"/>
    </w:pPr>
    <w:rPr>
      <w:rFonts w:ascii="Arial Unicode MS" w:eastAsia="Arial Unicode MS" w:hAnsi="Arial Unicode MS" w:cs="Arial Unicode MS"/>
      <w:sz w:val="24"/>
      <w:szCs w:val="24"/>
      <w:lang w:eastAsia="da-DK"/>
    </w:rPr>
  </w:style>
  <w:style w:type="character" w:styleId="Strk">
    <w:name w:val="Strong"/>
    <w:basedOn w:val="Standardskrifttypeiafsnit"/>
    <w:qFormat/>
    <w:rsid w:val="00A425DC"/>
    <w:rPr>
      <w:b/>
      <w:bCs/>
    </w:rPr>
  </w:style>
  <w:style w:type="character" w:styleId="Hyperlink">
    <w:name w:val="Hyperlink"/>
    <w:uiPriority w:val="99"/>
    <w:semiHidden/>
    <w:unhideWhenUsed/>
    <w:rsid w:val="00A425DC"/>
    <w:rPr>
      <w:color w:val="0563C1"/>
      <w:u w:val="single"/>
    </w:rPr>
  </w:style>
  <w:style w:type="table" w:styleId="Tabel-Gitter">
    <w:name w:val="Table Grid"/>
    <w:basedOn w:val="Tabel-Normal"/>
    <w:uiPriority w:val="59"/>
    <w:rsid w:val="00A425DC"/>
    <w:pPr>
      <w:jc w:val="both"/>
    </w:pPr>
    <w:rPr>
      <w:rFonts w:ascii="Arial" w:eastAsiaTheme="minorHAnsi" w:hAnsi="Arial" w:cs="Arial"/>
      <w:kern w:val="2"/>
      <w:sz w:val="22"/>
      <w:szCs w:val="22"/>
      <w:lang w:val="de-DE"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0337">
      <w:bodyDiv w:val="1"/>
      <w:marLeft w:val="0"/>
      <w:marRight w:val="0"/>
      <w:marTop w:val="0"/>
      <w:marBottom w:val="0"/>
      <w:divBdr>
        <w:top w:val="none" w:sz="0" w:space="0" w:color="auto"/>
        <w:left w:val="none" w:sz="0" w:space="0" w:color="auto"/>
        <w:bottom w:val="none" w:sz="0" w:space="0" w:color="auto"/>
        <w:right w:val="none" w:sz="0" w:space="0" w:color="auto"/>
      </w:divBdr>
    </w:div>
    <w:div w:id="9393652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0754221">
      <w:bodyDiv w:val="1"/>
      <w:marLeft w:val="0"/>
      <w:marRight w:val="0"/>
      <w:marTop w:val="0"/>
      <w:marBottom w:val="0"/>
      <w:divBdr>
        <w:top w:val="none" w:sz="0" w:space="0" w:color="auto"/>
        <w:left w:val="none" w:sz="0" w:space="0" w:color="auto"/>
        <w:bottom w:val="none" w:sz="0" w:space="0" w:color="auto"/>
        <w:right w:val="none" w:sz="0" w:space="0" w:color="auto"/>
      </w:divBdr>
    </w:div>
    <w:div w:id="236983772">
      <w:bodyDiv w:val="1"/>
      <w:marLeft w:val="0"/>
      <w:marRight w:val="0"/>
      <w:marTop w:val="0"/>
      <w:marBottom w:val="0"/>
      <w:divBdr>
        <w:top w:val="none" w:sz="0" w:space="0" w:color="auto"/>
        <w:left w:val="none" w:sz="0" w:space="0" w:color="auto"/>
        <w:bottom w:val="none" w:sz="0" w:space="0" w:color="auto"/>
        <w:right w:val="none" w:sz="0" w:space="0" w:color="auto"/>
      </w:divBdr>
    </w:div>
    <w:div w:id="395206816">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784276804">
      <w:bodyDiv w:val="1"/>
      <w:marLeft w:val="0"/>
      <w:marRight w:val="0"/>
      <w:marTop w:val="0"/>
      <w:marBottom w:val="0"/>
      <w:divBdr>
        <w:top w:val="none" w:sz="0" w:space="0" w:color="auto"/>
        <w:left w:val="none" w:sz="0" w:space="0" w:color="auto"/>
        <w:bottom w:val="none" w:sz="0" w:space="0" w:color="auto"/>
        <w:right w:val="none" w:sz="0" w:space="0" w:color="auto"/>
      </w:divBdr>
    </w:div>
    <w:div w:id="811167819">
      <w:bodyDiv w:val="1"/>
      <w:marLeft w:val="0"/>
      <w:marRight w:val="0"/>
      <w:marTop w:val="0"/>
      <w:marBottom w:val="0"/>
      <w:divBdr>
        <w:top w:val="none" w:sz="0" w:space="0" w:color="auto"/>
        <w:left w:val="none" w:sz="0" w:space="0" w:color="auto"/>
        <w:bottom w:val="none" w:sz="0" w:space="0" w:color="auto"/>
        <w:right w:val="none" w:sz="0" w:space="0" w:color="auto"/>
      </w:divBdr>
    </w:div>
    <w:div w:id="882600406">
      <w:bodyDiv w:val="1"/>
      <w:marLeft w:val="0"/>
      <w:marRight w:val="0"/>
      <w:marTop w:val="0"/>
      <w:marBottom w:val="0"/>
      <w:divBdr>
        <w:top w:val="none" w:sz="0" w:space="0" w:color="auto"/>
        <w:left w:val="none" w:sz="0" w:space="0" w:color="auto"/>
        <w:bottom w:val="none" w:sz="0" w:space="0" w:color="auto"/>
        <w:right w:val="none" w:sz="0" w:space="0" w:color="auto"/>
      </w:divBdr>
    </w:div>
    <w:div w:id="909465403">
      <w:bodyDiv w:val="1"/>
      <w:marLeft w:val="0"/>
      <w:marRight w:val="0"/>
      <w:marTop w:val="0"/>
      <w:marBottom w:val="0"/>
      <w:divBdr>
        <w:top w:val="none" w:sz="0" w:space="0" w:color="auto"/>
        <w:left w:val="none" w:sz="0" w:space="0" w:color="auto"/>
        <w:bottom w:val="none" w:sz="0" w:space="0" w:color="auto"/>
        <w:right w:val="none" w:sz="0" w:space="0" w:color="auto"/>
      </w:divBdr>
    </w:div>
    <w:div w:id="912618632">
      <w:bodyDiv w:val="1"/>
      <w:marLeft w:val="0"/>
      <w:marRight w:val="0"/>
      <w:marTop w:val="0"/>
      <w:marBottom w:val="0"/>
      <w:divBdr>
        <w:top w:val="none" w:sz="0" w:space="0" w:color="auto"/>
        <w:left w:val="none" w:sz="0" w:space="0" w:color="auto"/>
        <w:bottom w:val="none" w:sz="0" w:space="0" w:color="auto"/>
        <w:right w:val="none" w:sz="0" w:space="0" w:color="auto"/>
      </w:divBdr>
    </w:div>
    <w:div w:id="944002296">
      <w:bodyDiv w:val="1"/>
      <w:marLeft w:val="0"/>
      <w:marRight w:val="0"/>
      <w:marTop w:val="0"/>
      <w:marBottom w:val="0"/>
      <w:divBdr>
        <w:top w:val="none" w:sz="0" w:space="0" w:color="auto"/>
        <w:left w:val="none" w:sz="0" w:space="0" w:color="auto"/>
        <w:bottom w:val="none" w:sz="0" w:space="0" w:color="auto"/>
        <w:right w:val="none" w:sz="0" w:space="0" w:color="auto"/>
      </w:divBdr>
    </w:div>
    <w:div w:id="984049444">
      <w:bodyDiv w:val="1"/>
      <w:marLeft w:val="0"/>
      <w:marRight w:val="0"/>
      <w:marTop w:val="0"/>
      <w:marBottom w:val="0"/>
      <w:divBdr>
        <w:top w:val="none" w:sz="0" w:space="0" w:color="auto"/>
        <w:left w:val="none" w:sz="0" w:space="0" w:color="auto"/>
        <w:bottom w:val="none" w:sz="0" w:space="0" w:color="auto"/>
        <w:right w:val="none" w:sz="0" w:space="0" w:color="auto"/>
      </w:divBdr>
    </w:div>
    <w:div w:id="987628553">
      <w:bodyDiv w:val="1"/>
      <w:marLeft w:val="0"/>
      <w:marRight w:val="0"/>
      <w:marTop w:val="0"/>
      <w:marBottom w:val="0"/>
      <w:divBdr>
        <w:top w:val="none" w:sz="0" w:space="0" w:color="auto"/>
        <w:left w:val="none" w:sz="0" w:space="0" w:color="auto"/>
        <w:bottom w:val="none" w:sz="0" w:space="0" w:color="auto"/>
        <w:right w:val="none" w:sz="0" w:space="0" w:color="auto"/>
      </w:divBdr>
    </w:div>
    <w:div w:id="1060440126">
      <w:bodyDiv w:val="1"/>
      <w:marLeft w:val="0"/>
      <w:marRight w:val="0"/>
      <w:marTop w:val="0"/>
      <w:marBottom w:val="0"/>
      <w:divBdr>
        <w:top w:val="none" w:sz="0" w:space="0" w:color="auto"/>
        <w:left w:val="none" w:sz="0" w:space="0" w:color="auto"/>
        <w:bottom w:val="none" w:sz="0" w:space="0" w:color="auto"/>
        <w:right w:val="none" w:sz="0" w:space="0" w:color="auto"/>
      </w:divBdr>
    </w:div>
    <w:div w:id="1188371919">
      <w:bodyDiv w:val="1"/>
      <w:marLeft w:val="0"/>
      <w:marRight w:val="0"/>
      <w:marTop w:val="0"/>
      <w:marBottom w:val="0"/>
      <w:divBdr>
        <w:top w:val="none" w:sz="0" w:space="0" w:color="auto"/>
        <w:left w:val="none" w:sz="0" w:space="0" w:color="auto"/>
        <w:bottom w:val="none" w:sz="0" w:space="0" w:color="auto"/>
        <w:right w:val="none" w:sz="0" w:space="0" w:color="auto"/>
      </w:divBdr>
    </w:div>
    <w:div w:id="1360661828">
      <w:bodyDiv w:val="1"/>
      <w:marLeft w:val="0"/>
      <w:marRight w:val="0"/>
      <w:marTop w:val="0"/>
      <w:marBottom w:val="0"/>
      <w:divBdr>
        <w:top w:val="none" w:sz="0" w:space="0" w:color="auto"/>
        <w:left w:val="none" w:sz="0" w:space="0" w:color="auto"/>
        <w:bottom w:val="none" w:sz="0" w:space="0" w:color="auto"/>
        <w:right w:val="none" w:sz="0" w:space="0" w:color="auto"/>
      </w:divBdr>
    </w:div>
    <w:div w:id="1454978546">
      <w:bodyDiv w:val="1"/>
      <w:marLeft w:val="0"/>
      <w:marRight w:val="0"/>
      <w:marTop w:val="0"/>
      <w:marBottom w:val="0"/>
      <w:divBdr>
        <w:top w:val="none" w:sz="0" w:space="0" w:color="auto"/>
        <w:left w:val="none" w:sz="0" w:space="0" w:color="auto"/>
        <w:bottom w:val="none" w:sz="0" w:space="0" w:color="auto"/>
        <w:right w:val="none" w:sz="0" w:space="0" w:color="auto"/>
      </w:divBdr>
    </w:div>
    <w:div w:id="1520047142">
      <w:bodyDiv w:val="1"/>
      <w:marLeft w:val="0"/>
      <w:marRight w:val="0"/>
      <w:marTop w:val="0"/>
      <w:marBottom w:val="0"/>
      <w:divBdr>
        <w:top w:val="none" w:sz="0" w:space="0" w:color="auto"/>
        <w:left w:val="none" w:sz="0" w:space="0" w:color="auto"/>
        <w:bottom w:val="none" w:sz="0" w:space="0" w:color="auto"/>
        <w:right w:val="none" w:sz="0" w:space="0" w:color="auto"/>
      </w:divBdr>
    </w:div>
    <w:div w:id="1538279200">
      <w:bodyDiv w:val="1"/>
      <w:marLeft w:val="0"/>
      <w:marRight w:val="0"/>
      <w:marTop w:val="0"/>
      <w:marBottom w:val="0"/>
      <w:divBdr>
        <w:top w:val="none" w:sz="0" w:space="0" w:color="auto"/>
        <w:left w:val="none" w:sz="0" w:space="0" w:color="auto"/>
        <w:bottom w:val="none" w:sz="0" w:space="0" w:color="auto"/>
        <w:right w:val="none" w:sz="0" w:space="0" w:color="auto"/>
      </w:divBdr>
    </w:div>
    <w:div w:id="1579558532">
      <w:bodyDiv w:val="1"/>
      <w:marLeft w:val="0"/>
      <w:marRight w:val="0"/>
      <w:marTop w:val="0"/>
      <w:marBottom w:val="0"/>
      <w:divBdr>
        <w:top w:val="none" w:sz="0" w:space="0" w:color="auto"/>
        <w:left w:val="none" w:sz="0" w:space="0" w:color="auto"/>
        <w:bottom w:val="none" w:sz="0" w:space="0" w:color="auto"/>
        <w:right w:val="none" w:sz="0" w:space="0" w:color="auto"/>
      </w:divBdr>
    </w:div>
    <w:div w:id="1669476476">
      <w:bodyDiv w:val="1"/>
      <w:marLeft w:val="0"/>
      <w:marRight w:val="0"/>
      <w:marTop w:val="0"/>
      <w:marBottom w:val="0"/>
      <w:divBdr>
        <w:top w:val="none" w:sz="0" w:space="0" w:color="auto"/>
        <w:left w:val="none" w:sz="0" w:space="0" w:color="auto"/>
        <w:bottom w:val="none" w:sz="0" w:space="0" w:color="auto"/>
        <w:right w:val="none" w:sz="0" w:space="0" w:color="auto"/>
      </w:divBdr>
    </w:div>
    <w:div w:id="1732462050">
      <w:bodyDiv w:val="1"/>
      <w:marLeft w:val="0"/>
      <w:marRight w:val="0"/>
      <w:marTop w:val="0"/>
      <w:marBottom w:val="0"/>
      <w:divBdr>
        <w:top w:val="none" w:sz="0" w:space="0" w:color="auto"/>
        <w:left w:val="none" w:sz="0" w:space="0" w:color="auto"/>
        <w:bottom w:val="none" w:sz="0" w:space="0" w:color="auto"/>
        <w:right w:val="none" w:sz="0" w:space="0" w:color="auto"/>
      </w:divBdr>
    </w:div>
    <w:div w:id="20977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46</TotalTime>
  <Pages>8</Pages>
  <Words>2052</Words>
  <Characters>14020</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2024054398, MT</dc:description>
  <cp:lastModifiedBy>Gitte Jørgensen</cp:lastModifiedBy>
  <cp:revision>8</cp:revision>
  <cp:lastPrinted>2012-08-22T08:53:00Z</cp:lastPrinted>
  <dcterms:created xsi:type="dcterms:W3CDTF">2025-09-11T06:25:00Z</dcterms:created>
  <dcterms:modified xsi:type="dcterms:W3CDTF">2025-09-11T09:12:00Z</dcterms:modified>
</cp:coreProperties>
</file>