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3ECC" w:rsidRPr="00955972" w:rsidRDefault="00383ECC" w:rsidP="00383ECC">
      <w:r>
        <w:rPr>
          <w:noProof/>
          <w:lang w:eastAsia="da-DK"/>
        </w:rPr>
        <w:drawing>
          <wp:inline distT="0" distB="0" distL="0" distR="0" wp14:anchorId="6E871AE3" wp14:editId="501F6715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ECC" w:rsidRDefault="00383ECC" w:rsidP="00383ECC">
      <w:pPr>
        <w:pStyle w:val="Titel"/>
        <w:tabs>
          <w:tab w:val="left" w:pos="8222"/>
        </w:tabs>
        <w:jc w:val="left"/>
        <w:rPr>
          <w:b w:val="0"/>
        </w:rPr>
      </w:pPr>
    </w:p>
    <w:p w:rsidR="00383ECC" w:rsidRPr="001916E3" w:rsidRDefault="00980B05" w:rsidP="00383ECC">
      <w:pPr>
        <w:pStyle w:val="Titel"/>
        <w:jc w:val="right"/>
      </w:pPr>
      <w:r>
        <w:t>23. september 2024</w:t>
      </w:r>
    </w:p>
    <w:p w:rsidR="00383ECC" w:rsidRDefault="00383ECC" w:rsidP="00383ECC">
      <w:pPr>
        <w:pStyle w:val="Titel"/>
        <w:jc w:val="left"/>
        <w:rPr>
          <w:b w:val="0"/>
        </w:rPr>
      </w:pPr>
    </w:p>
    <w:p w:rsidR="00C56049" w:rsidRDefault="00C56049" w:rsidP="00383ECC">
      <w:pPr>
        <w:pStyle w:val="Titel"/>
        <w:jc w:val="left"/>
        <w:rPr>
          <w:b w:val="0"/>
        </w:rPr>
      </w:pPr>
    </w:p>
    <w:p w:rsidR="00DD7542" w:rsidRDefault="00DD7542" w:rsidP="00383ECC">
      <w:pPr>
        <w:pStyle w:val="Titel"/>
        <w:jc w:val="left"/>
        <w:rPr>
          <w:b w:val="0"/>
        </w:rPr>
      </w:pPr>
    </w:p>
    <w:p w:rsidR="00383ECC" w:rsidRPr="00EC0B9B" w:rsidRDefault="00383ECC" w:rsidP="00383ECC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383ECC" w:rsidRPr="00EC0B9B" w:rsidRDefault="00383ECC" w:rsidP="00383ECC">
      <w:pPr>
        <w:jc w:val="center"/>
        <w:rPr>
          <w:b/>
          <w:sz w:val="24"/>
          <w:szCs w:val="24"/>
        </w:rPr>
      </w:pPr>
    </w:p>
    <w:p w:rsidR="00383ECC" w:rsidRPr="00EC0B9B" w:rsidRDefault="00383ECC" w:rsidP="00383ECC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383ECC" w:rsidRPr="00EC0B9B" w:rsidRDefault="00383ECC" w:rsidP="00383ECC">
      <w:pPr>
        <w:jc w:val="center"/>
        <w:rPr>
          <w:b/>
          <w:sz w:val="24"/>
          <w:szCs w:val="24"/>
        </w:rPr>
      </w:pPr>
    </w:p>
    <w:p w:rsidR="00383ECC" w:rsidRPr="0049104B" w:rsidRDefault="00383ECC" w:rsidP="00383ECC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Granon</w:t>
      </w:r>
      <w:proofErr w:type="spellEnd"/>
      <w:r>
        <w:rPr>
          <w:b/>
          <w:sz w:val="24"/>
          <w:szCs w:val="24"/>
        </w:rPr>
        <w:t>, brusetabletter</w:t>
      </w:r>
    </w:p>
    <w:p w:rsidR="00383ECC" w:rsidRPr="00EC0B9B" w:rsidRDefault="00383ECC" w:rsidP="00383ECC">
      <w:pPr>
        <w:jc w:val="both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jc w:val="both"/>
        <w:rPr>
          <w:sz w:val="24"/>
          <w:szCs w:val="24"/>
        </w:rPr>
      </w:pPr>
    </w:p>
    <w:p w:rsidR="00486BA0" w:rsidRPr="00C84483" w:rsidRDefault="00486BA0" w:rsidP="00486BA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  <w:t>28280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1.</w:t>
      </w:r>
      <w:r w:rsidRPr="009062D8">
        <w:rPr>
          <w:b/>
          <w:sz w:val="24"/>
          <w:szCs w:val="24"/>
        </w:rPr>
        <w:tab/>
        <w:t>LÆGEMIDLETS NAVN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</w:r>
      <w:proofErr w:type="spellStart"/>
      <w:r w:rsidRPr="009062D8">
        <w:rPr>
          <w:sz w:val="24"/>
          <w:szCs w:val="24"/>
        </w:rPr>
        <w:t>Granon</w:t>
      </w:r>
      <w:proofErr w:type="spellEnd"/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</w: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2.</w:t>
      </w:r>
      <w:r w:rsidRPr="009062D8">
        <w:rPr>
          <w:b/>
          <w:sz w:val="24"/>
          <w:szCs w:val="24"/>
        </w:rPr>
        <w:tab/>
        <w:t>KVALITATIV OG KVANTITATIV SAMMENSÆTNING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 xml:space="preserve">En brusetablet indeholder 200 mg eller 600 mg </w:t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>.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</w:p>
    <w:p w:rsidR="00383ECC" w:rsidRPr="009062D8" w:rsidRDefault="00383ECC" w:rsidP="00DD7542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 xml:space="preserve">Hjælpestoffer, som behandleren skal være opmærksom på: </w:t>
      </w:r>
    </w:p>
    <w:p w:rsidR="00383ECC" w:rsidRPr="009062D8" w:rsidRDefault="00383ECC" w:rsidP="00DD7542">
      <w:pPr>
        <w:ind w:left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200 mg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  <w:proofErr w:type="spellStart"/>
      <w:r w:rsidRPr="009062D8">
        <w:rPr>
          <w:sz w:val="24"/>
          <w:szCs w:val="24"/>
        </w:rPr>
        <w:t>Lactose</w:t>
      </w:r>
      <w:proofErr w:type="spellEnd"/>
      <w:r w:rsidRPr="009062D8">
        <w:rPr>
          <w:sz w:val="24"/>
          <w:szCs w:val="24"/>
        </w:rPr>
        <w:t xml:space="preserve"> (75 mg), sorbitol (maksimum 25 mg) og natrium (99 mg).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</w:p>
    <w:p w:rsidR="00383ECC" w:rsidRPr="009062D8" w:rsidRDefault="00383ECC" w:rsidP="00DD7542">
      <w:pPr>
        <w:ind w:left="851"/>
        <w:rPr>
          <w:sz w:val="24"/>
          <w:szCs w:val="24"/>
        </w:rPr>
      </w:pPr>
      <w:r w:rsidRPr="009062D8">
        <w:rPr>
          <w:b/>
          <w:sz w:val="24"/>
          <w:szCs w:val="24"/>
        </w:rPr>
        <w:t>600 mg</w:t>
      </w:r>
      <w:r w:rsidRPr="009062D8">
        <w:rPr>
          <w:sz w:val="24"/>
          <w:szCs w:val="24"/>
        </w:rPr>
        <w:t xml:space="preserve"> 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  <w:proofErr w:type="spellStart"/>
      <w:r w:rsidRPr="009062D8">
        <w:rPr>
          <w:sz w:val="24"/>
          <w:szCs w:val="24"/>
        </w:rPr>
        <w:t>Lactose</w:t>
      </w:r>
      <w:proofErr w:type="spellEnd"/>
      <w:r w:rsidRPr="009062D8">
        <w:rPr>
          <w:sz w:val="24"/>
          <w:szCs w:val="24"/>
        </w:rPr>
        <w:t xml:space="preserve"> (70 mg), sorbitol (maksimum 40 mg) og natrium (139 mg).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</w:p>
    <w:p w:rsidR="00383ECC" w:rsidRPr="009062D8" w:rsidRDefault="00383ECC" w:rsidP="00DD7542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>Alle hjælpestoffer er anført under pkt. 6.1.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3.</w:t>
      </w:r>
      <w:r w:rsidRPr="009062D8">
        <w:rPr>
          <w:b/>
          <w:sz w:val="24"/>
          <w:szCs w:val="24"/>
        </w:rPr>
        <w:tab/>
        <w:t>LÆGEMIDDELFORM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  <w:t>Brusetabletter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Default="00383ECC" w:rsidP="00383ECC">
      <w:pPr>
        <w:tabs>
          <w:tab w:val="left" w:pos="1985"/>
        </w:tabs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  <w:t xml:space="preserve">200 mg: </w:t>
      </w:r>
      <w:r>
        <w:rPr>
          <w:sz w:val="24"/>
          <w:szCs w:val="24"/>
        </w:rPr>
        <w:tab/>
      </w:r>
      <w:r w:rsidRPr="009062D8">
        <w:rPr>
          <w:sz w:val="24"/>
          <w:szCs w:val="24"/>
        </w:rPr>
        <w:t>Hvide runde brusetabletter med en glat overflade.</w:t>
      </w:r>
    </w:p>
    <w:p w:rsidR="00383ECC" w:rsidRPr="009062D8" w:rsidRDefault="00383ECC" w:rsidP="00383ECC">
      <w:pPr>
        <w:tabs>
          <w:tab w:val="left" w:pos="1985"/>
        </w:tabs>
        <w:ind w:left="2608" w:hanging="1757"/>
        <w:rPr>
          <w:sz w:val="24"/>
          <w:szCs w:val="24"/>
        </w:rPr>
      </w:pPr>
      <w:r w:rsidRPr="009062D8">
        <w:rPr>
          <w:sz w:val="24"/>
          <w:szCs w:val="24"/>
        </w:rPr>
        <w:t xml:space="preserve">600 mg: </w:t>
      </w:r>
      <w:r>
        <w:rPr>
          <w:sz w:val="24"/>
          <w:szCs w:val="24"/>
        </w:rPr>
        <w:tab/>
      </w:r>
      <w:r w:rsidRPr="009062D8">
        <w:rPr>
          <w:sz w:val="24"/>
          <w:szCs w:val="24"/>
        </w:rPr>
        <w:t>Hvide runde brusetabletter med en glat overflade og delekærv på den ene side.</w:t>
      </w:r>
    </w:p>
    <w:p w:rsidR="00383ECC" w:rsidRPr="009062D8" w:rsidRDefault="00383ECC" w:rsidP="00383ECC">
      <w:pPr>
        <w:pStyle w:val="Brdtekst"/>
        <w:tabs>
          <w:tab w:val="left" w:pos="1985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9062D8">
        <w:rPr>
          <w:sz w:val="24"/>
          <w:szCs w:val="24"/>
        </w:rPr>
        <w:t>Tabletten kan deles i to lige store doser.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4.</w:t>
      </w:r>
      <w:r w:rsidRPr="009062D8">
        <w:rPr>
          <w:b/>
          <w:sz w:val="24"/>
          <w:szCs w:val="24"/>
        </w:rPr>
        <w:tab/>
        <w:t>KLINISKE OPLYSNINGER</w:t>
      </w: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b/>
          <w:sz w:val="24"/>
          <w:szCs w:val="24"/>
          <w:u w:val="single"/>
        </w:rPr>
      </w:pPr>
      <w:r w:rsidRPr="009062D8">
        <w:rPr>
          <w:b/>
          <w:sz w:val="24"/>
          <w:szCs w:val="24"/>
        </w:rPr>
        <w:t>4.1</w:t>
      </w:r>
      <w:r w:rsidRPr="009062D8">
        <w:rPr>
          <w:b/>
          <w:sz w:val="24"/>
          <w:szCs w:val="24"/>
        </w:rPr>
        <w:tab/>
        <w:t>Terapeutiske indikationer</w:t>
      </w:r>
    </w:p>
    <w:p w:rsidR="00383ECC" w:rsidRDefault="00383ECC" w:rsidP="00383ECC">
      <w:pPr>
        <w:ind w:left="851"/>
        <w:rPr>
          <w:sz w:val="24"/>
          <w:szCs w:val="24"/>
        </w:rPr>
      </w:pPr>
    </w:p>
    <w:p w:rsidR="00383ECC" w:rsidRPr="009062D8" w:rsidRDefault="00383ECC" w:rsidP="00383ECC">
      <w:pPr>
        <w:ind w:left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 xml:space="preserve">200 mg 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  <w:proofErr w:type="spellStart"/>
      <w:r w:rsidRPr="009062D8">
        <w:rPr>
          <w:sz w:val="24"/>
          <w:szCs w:val="24"/>
        </w:rPr>
        <w:t>Sekretolytisk</w:t>
      </w:r>
      <w:proofErr w:type="spellEnd"/>
      <w:r w:rsidRPr="009062D8">
        <w:rPr>
          <w:sz w:val="24"/>
          <w:szCs w:val="24"/>
        </w:rPr>
        <w:t xml:space="preserve"> behandling ved akutte og kroniske </w:t>
      </w:r>
      <w:proofErr w:type="spellStart"/>
      <w:r w:rsidRPr="009062D8">
        <w:rPr>
          <w:sz w:val="24"/>
          <w:szCs w:val="24"/>
        </w:rPr>
        <w:t>bronkopulmonære</w:t>
      </w:r>
      <w:proofErr w:type="spellEnd"/>
      <w:r w:rsidRPr="009062D8">
        <w:rPr>
          <w:sz w:val="24"/>
          <w:szCs w:val="24"/>
        </w:rPr>
        <w:t xml:space="preserve"> sygdomme forbundet med unormal slimsekretion og nedsat slimtransport hos voksne, unge og børn fra 6 år.</w:t>
      </w:r>
    </w:p>
    <w:p w:rsidR="00383ECC" w:rsidRDefault="00383ECC" w:rsidP="00383EC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</w:p>
    <w:p w:rsidR="00383ECC" w:rsidRPr="009062D8" w:rsidRDefault="00383ECC" w:rsidP="00383ECC">
      <w:pPr>
        <w:ind w:left="851"/>
        <w:rPr>
          <w:sz w:val="24"/>
          <w:szCs w:val="24"/>
        </w:rPr>
      </w:pPr>
    </w:p>
    <w:p w:rsidR="00383ECC" w:rsidRPr="009062D8" w:rsidRDefault="00383ECC" w:rsidP="00383ECC">
      <w:pPr>
        <w:ind w:left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 xml:space="preserve">600 mg 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  <w:proofErr w:type="spellStart"/>
      <w:r w:rsidRPr="009062D8">
        <w:rPr>
          <w:sz w:val="24"/>
          <w:szCs w:val="24"/>
        </w:rPr>
        <w:t>Sekretolytisk</w:t>
      </w:r>
      <w:proofErr w:type="spellEnd"/>
      <w:r w:rsidRPr="009062D8">
        <w:rPr>
          <w:sz w:val="24"/>
          <w:szCs w:val="24"/>
        </w:rPr>
        <w:t xml:space="preserve"> behandling ved akutte og kroniske </w:t>
      </w:r>
      <w:proofErr w:type="spellStart"/>
      <w:r w:rsidRPr="009062D8">
        <w:rPr>
          <w:sz w:val="24"/>
          <w:szCs w:val="24"/>
        </w:rPr>
        <w:t>bronkopulmonære</w:t>
      </w:r>
      <w:proofErr w:type="spellEnd"/>
      <w:r w:rsidRPr="009062D8">
        <w:rPr>
          <w:sz w:val="24"/>
          <w:szCs w:val="24"/>
        </w:rPr>
        <w:t xml:space="preserve"> sygdomme forbundet med unormal slimsekretion og nedsat slimtransport hos voksne.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486BA0" w:rsidRPr="00C84483" w:rsidRDefault="00486BA0" w:rsidP="00486BA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sz w:val="24"/>
          <w:szCs w:val="24"/>
          <w:u w:val="single"/>
        </w:rPr>
      </w:pPr>
      <w:r w:rsidRPr="009062D8">
        <w:rPr>
          <w:sz w:val="24"/>
          <w:szCs w:val="24"/>
        </w:rPr>
        <w:tab/>
      </w:r>
      <w:r w:rsidRPr="009062D8">
        <w:rPr>
          <w:sz w:val="24"/>
          <w:szCs w:val="24"/>
          <w:u w:val="single"/>
        </w:rPr>
        <w:t>Dosering</w:t>
      </w:r>
    </w:p>
    <w:p w:rsidR="00383ECC" w:rsidRPr="009062D8" w:rsidRDefault="00383ECC" w:rsidP="00383ECC">
      <w:pPr>
        <w:ind w:left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200 mg</w:t>
      </w:r>
    </w:p>
    <w:p w:rsidR="00383ECC" w:rsidRPr="009062D8" w:rsidRDefault="00383ECC" w:rsidP="00383ECC">
      <w:pPr>
        <w:ind w:left="851"/>
        <w:rPr>
          <w:i/>
          <w:sz w:val="24"/>
          <w:szCs w:val="24"/>
        </w:rPr>
      </w:pPr>
      <w:r w:rsidRPr="009062D8">
        <w:rPr>
          <w:i/>
          <w:sz w:val="24"/>
          <w:szCs w:val="24"/>
        </w:rPr>
        <w:t>Voksne: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 xml:space="preserve">1 tablet (200 mg) opløst i vand </w:t>
      </w:r>
      <w:r>
        <w:rPr>
          <w:sz w:val="24"/>
          <w:szCs w:val="24"/>
        </w:rPr>
        <w:t>2-</w:t>
      </w:r>
      <w:r w:rsidRPr="009062D8">
        <w:rPr>
          <w:sz w:val="24"/>
          <w:szCs w:val="24"/>
        </w:rPr>
        <w:t xml:space="preserve">3 gange </w:t>
      </w:r>
      <w:r>
        <w:rPr>
          <w:sz w:val="24"/>
          <w:szCs w:val="24"/>
        </w:rPr>
        <w:t>daglig</w:t>
      </w:r>
      <w:r w:rsidRPr="009062D8">
        <w:rPr>
          <w:sz w:val="24"/>
          <w:szCs w:val="24"/>
        </w:rPr>
        <w:t>.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</w:p>
    <w:p w:rsidR="00383ECC" w:rsidRPr="009062D8" w:rsidRDefault="00383ECC" w:rsidP="00383ECC">
      <w:pPr>
        <w:ind w:left="851"/>
        <w:rPr>
          <w:i/>
          <w:sz w:val="24"/>
          <w:szCs w:val="24"/>
        </w:rPr>
      </w:pPr>
      <w:r w:rsidRPr="009062D8">
        <w:rPr>
          <w:i/>
          <w:sz w:val="24"/>
          <w:szCs w:val="24"/>
        </w:rPr>
        <w:t>Pædiatrisk population</w:t>
      </w:r>
    </w:p>
    <w:p w:rsidR="00383ECC" w:rsidRPr="009062D8" w:rsidRDefault="00383ECC" w:rsidP="00383ECC">
      <w:pPr>
        <w:ind w:left="851"/>
        <w:rPr>
          <w:i/>
          <w:sz w:val="24"/>
          <w:szCs w:val="24"/>
        </w:rPr>
      </w:pPr>
    </w:p>
    <w:p w:rsidR="00383ECC" w:rsidRPr="009062D8" w:rsidRDefault="00383ECC" w:rsidP="00383ECC">
      <w:pPr>
        <w:ind w:left="851"/>
        <w:rPr>
          <w:i/>
          <w:sz w:val="24"/>
          <w:szCs w:val="24"/>
        </w:rPr>
      </w:pPr>
      <w:r w:rsidRPr="009062D8">
        <w:rPr>
          <w:i/>
          <w:sz w:val="24"/>
          <w:szCs w:val="24"/>
        </w:rPr>
        <w:t>Børn over 6 år: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 xml:space="preserve">1 tablet (200 mg) opløst i vand 2 gange </w:t>
      </w:r>
      <w:r>
        <w:rPr>
          <w:sz w:val="24"/>
          <w:szCs w:val="24"/>
        </w:rPr>
        <w:t>daglig</w:t>
      </w:r>
      <w:r w:rsidRPr="009062D8">
        <w:rPr>
          <w:sz w:val="24"/>
          <w:szCs w:val="24"/>
        </w:rPr>
        <w:t>.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</w:p>
    <w:p w:rsidR="00383ECC" w:rsidRPr="009062D8" w:rsidRDefault="00383ECC" w:rsidP="00383ECC">
      <w:pPr>
        <w:ind w:left="851"/>
        <w:rPr>
          <w:i/>
          <w:sz w:val="24"/>
          <w:szCs w:val="24"/>
        </w:rPr>
      </w:pPr>
      <w:r w:rsidRPr="009062D8">
        <w:rPr>
          <w:i/>
          <w:sz w:val="24"/>
          <w:szCs w:val="24"/>
        </w:rPr>
        <w:t>Børn under 6 år: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>Bør ikke anvendes til børn under 6 år.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</w:p>
    <w:p w:rsidR="00383ECC" w:rsidRPr="007D2B12" w:rsidRDefault="00383ECC" w:rsidP="00383ECC">
      <w:pPr>
        <w:ind w:left="851"/>
        <w:rPr>
          <w:b/>
          <w:sz w:val="24"/>
          <w:szCs w:val="24"/>
        </w:rPr>
      </w:pPr>
      <w:r w:rsidRPr="007D2B12">
        <w:rPr>
          <w:b/>
          <w:sz w:val="24"/>
          <w:szCs w:val="24"/>
        </w:rPr>
        <w:t>600 mg</w:t>
      </w:r>
    </w:p>
    <w:p w:rsidR="00383ECC" w:rsidRPr="009062D8" w:rsidRDefault="00383ECC" w:rsidP="00383ECC">
      <w:pPr>
        <w:ind w:left="851"/>
        <w:rPr>
          <w:i/>
          <w:sz w:val="24"/>
          <w:szCs w:val="24"/>
        </w:rPr>
      </w:pPr>
      <w:r w:rsidRPr="009062D8">
        <w:rPr>
          <w:i/>
          <w:sz w:val="24"/>
          <w:szCs w:val="24"/>
        </w:rPr>
        <w:t>Voksne: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 xml:space="preserve">½ tablet (300 mg) to gange </w:t>
      </w:r>
      <w:r>
        <w:rPr>
          <w:sz w:val="24"/>
          <w:szCs w:val="24"/>
        </w:rPr>
        <w:t>daglig</w:t>
      </w:r>
      <w:r w:rsidRPr="009062D8">
        <w:rPr>
          <w:sz w:val="24"/>
          <w:szCs w:val="24"/>
        </w:rPr>
        <w:t xml:space="preserve"> eller 1 tablet (600 mg) én gang </w:t>
      </w:r>
      <w:r>
        <w:rPr>
          <w:sz w:val="24"/>
          <w:szCs w:val="24"/>
        </w:rPr>
        <w:t>daglig</w:t>
      </w:r>
      <w:r w:rsidRPr="009062D8">
        <w:rPr>
          <w:sz w:val="24"/>
          <w:szCs w:val="24"/>
        </w:rPr>
        <w:t>, opløst i vand.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</w:p>
    <w:p w:rsidR="00383ECC" w:rsidRPr="009062D8" w:rsidRDefault="00383ECC" w:rsidP="00383ECC">
      <w:pPr>
        <w:ind w:left="851"/>
        <w:rPr>
          <w:i/>
          <w:sz w:val="24"/>
          <w:szCs w:val="24"/>
        </w:rPr>
      </w:pPr>
      <w:r w:rsidRPr="009062D8">
        <w:rPr>
          <w:i/>
          <w:sz w:val="24"/>
          <w:szCs w:val="24"/>
        </w:rPr>
        <w:t>Pædiatrisk population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  <w:proofErr w:type="spellStart"/>
      <w:r w:rsidRPr="009062D8">
        <w:rPr>
          <w:sz w:val="24"/>
          <w:szCs w:val="24"/>
        </w:rPr>
        <w:t>Granon</w:t>
      </w:r>
      <w:proofErr w:type="spellEnd"/>
      <w:r w:rsidRPr="009062D8">
        <w:rPr>
          <w:sz w:val="24"/>
          <w:szCs w:val="24"/>
        </w:rPr>
        <w:t xml:space="preserve"> 600 mg brusetabletter er kontraindiceret til børn under 2 år (se pkt. 4.3) og bør ikke anvendes til børn og unge.</w:t>
      </w:r>
    </w:p>
    <w:p w:rsidR="00383ECC" w:rsidRPr="009062D8" w:rsidRDefault="00383ECC" w:rsidP="00383ECC">
      <w:pPr>
        <w:ind w:left="851"/>
        <w:rPr>
          <w:sz w:val="24"/>
          <w:szCs w:val="24"/>
          <w:highlight w:val="yellow"/>
        </w:rPr>
      </w:pPr>
    </w:p>
    <w:p w:rsidR="00383ECC" w:rsidRPr="009062D8" w:rsidRDefault="00383ECC" w:rsidP="00383ECC">
      <w:pPr>
        <w:ind w:left="851"/>
        <w:rPr>
          <w:sz w:val="24"/>
          <w:szCs w:val="24"/>
          <w:u w:val="single"/>
        </w:rPr>
      </w:pPr>
      <w:r w:rsidRPr="009062D8">
        <w:rPr>
          <w:sz w:val="24"/>
          <w:szCs w:val="24"/>
          <w:u w:val="single"/>
        </w:rPr>
        <w:t>Administration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>Brusetabletterne opløses i et ½-1 glas vand. Efter opløsning af brusetabletten i vand, er o</w:t>
      </w:r>
      <w:r w:rsidRPr="009062D8">
        <w:rPr>
          <w:noProof/>
          <w:sz w:val="24"/>
          <w:szCs w:val="24"/>
        </w:rPr>
        <w:t>pløsningen en klar, farveløs væske uden partikler.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4.3</w:t>
      </w:r>
      <w:r w:rsidRPr="009062D8">
        <w:rPr>
          <w:b/>
          <w:sz w:val="24"/>
          <w:szCs w:val="24"/>
        </w:rPr>
        <w:tab/>
        <w:t>Kontraindikationer</w:t>
      </w:r>
    </w:p>
    <w:p w:rsidR="00383ECC" w:rsidRPr="009062D8" w:rsidRDefault="00383ECC" w:rsidP="00383ECC">
      <w:pPr>
        <w:pStyle w:val="Brdtekst"/>
        <w:numPr>
          <w:ilvl w:val="0"/>
          <w:numId w:val="6"/>
        </w:numPr>
        <w:spacing w:after="0"/>
        <w:ind w:left="1276" w:hanging="425"/>
        <w:rPr>
          <w:sz w:val="24"/>
          <w:szCs w:val="24"/>
        </w:rPr>
      </w:pPr>
      <w:r w:rsidRPr="009062D8">
        <w:rPr>
          <w:sz w:val="24"/>
          <w:szCs w:val="24"/>
        </w:rPr>
        <w:t xml:space="preserve">Patienter med nylig </w:t>
      </w:r>
      <w:proofErr w:type="spellStart"/>
      <w:r w:rsidRPr="009062D8">
        <w:rPr>
          <w:sz w:val="24"/>
          <w:szCs w:val="24"/>
        </w:rPr>
        <w:t>hæmoptyse</w:t>
      </w:r>
      <w:proofErr w:type="spellEnd"/>
      <w:r w:rsidRPr="009062D8">
        <w:rPr>
          <w:sz w:val="24"/>
          <w:szCs w:val="24"/>
        </w:rPr>
        <w:t>.</w:t>
      </w:r>
    </w:p>
    <w:p w:rsidR="00383ECC" w:rsidRPr="009062D8" w:rsidRDefault="00383ECC" w:rsidP="00383ECC">
      <w:pPr>
        <w:pStyle w:val="Brdtekst"/>
        <w:numPr>
          <w:ilvl w:val="0"/>
          <w:numId w:val="6"/>
        </w:numPr>
        <w:spacing w:after="0"/>
        <w:ind w:left="1276" w:hanging="425"/>
        <w:rPr>
          <w:sz w:val="24"/>
          <w:szCs w:val="24"/>
        </w:rPr>
      </w:pPr>
      <w:r w:rsidRPr="009062D8">
        <w:rPr>
          <w:sz w:val="24"/>
          <w:szCs w:val="24"/>
        </w:rPr>
        <w:t>Overfølsomhed over for det aktive stof eller over for et af eller flere af hjælpestofferne anført i pkt. 6.1.</w:t>
      </w:r>
    </w:p>
    <w:p w:rsidR="00383ECC" w:rsidRPr="009062D8" w:rsidRDefault="00383ECC" w:rsidP="00383ECC">
      <w:pPr>
        <w:pStyle w:val="Brdtekst"/>
        <w:numPr>
          <w:ilvl w:val="0"/>
          <w:numId w:val="6"/>
        </w:numPr>
        <w:spacing w:after="0"/>
        <w:ind w:left="1276" w:hanging="425"/>
        <w:rPr>
          <w:sz w:val="24"/>
          <w:szCs w:val="24"/>
        </w:rPr>
      </w:pPr>
      <w:r w:rsidRPr="009062D8">
        <w:rPr>
          <w:sz w:val="24"/>
          <w:szCs w:val="24"/>
        </w:rPr>
        <w:t>Børn under 2 år.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4.4</w:t>
      </w:r>
      <w:r w:rsidRPr="009062D8">
        <w:rPr>
          <w:b/>
          <w:sz w:val="24"/>
          <w:szCs w:val="24"/>
        </w:rPr>
        <w:tab/>
        <w:t>Særlige advarsler og forsigtighedsregler vedrørende brugen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  <w:t xml:space="preserve">Der er rapporteret om meget sjældne tilfælde af svære hudreaktioner, såsom Steven-Johnsons syndrom og </w:t>
      </w:r>
      <w:proofErr w:type="spellStart"/>
      <w:r w:rsidRPr="009062D8">
        <w:rPr>
          <w:sz w:val="24"/>
          <w:szCs w:val="24"/>
        </w:rPr>
        <w:t>Lyell’s</w:t>
      </w:r>
      <w:proofErr w:type="spellEnd"/>
      <w:r w:rsidRPr="009062D8">
        <w:rPr>
          <w:sz w:val="24"/>
          <w:szCs w:val="24"/>
        </w:rPr>
        <w:t xml:space="preserve"> syndrom i forbindelse med brug af </w:t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 xml:space="preserve">. Såfremt der opleves nye forandringer i hud eller slimhinder, bør lægen omgående kontaktes og behandlingen med </w:t>
      </w:r>
      <w:proofErr w:type="spellStart"/>
      <w:r w:rsidRPr="009062D8">
        <w:rPr>
          <w:sz w:val="24"/>
          <w:szCs w:val="24"/>
        </w:rPr>
        <w:t>Granon</w:t>
      </w:r>
      <w:proofErr w:type="spellEnd"/>
      <w:r w:rsidRPr="009062D8">
        <w:rPr>
          <w:sz w:val="24"/>
          <w:szCs w:val="24"/>
        </w:rPr>
        <w:t xml:space="preserve"> indstilles. 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 xml:space="preserve"> skal anvendes med forsigtighed til patienter med bronkial astma. 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 xml:space="preserve"> skal anvendes med forsigtighed til patienter med tidligere ulcus </w:t>
      </w:r>
      <w:proofErr w:type="spellStart"/>
      <w:r w:rsidRPr="009062D8">
        <w:rPr>
          <w:sz w:val="24"/>
          <w:szCs w:val="24"/>
        </w:rPr>
        <w:t>pepticum</w:t>
      </w:r>
      <w:proofErr w:type="spellEnd"/>
      <w:r w:rsidRPr="009062D8">
        <w:rPr>
          <w:sz w:val="24"/>
          <w:szCs w:val="24"/>
        </w:rPr>
        <w:t>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  <w:t xml:space="preserve">Der skal udvises forsigtighed ved behandling af patienter med </w:t>
      </w:r>
      <w:proofErr w:type="spellStart"/>
      <w:r w:rsidRPr="009062D8">
        <w:rPr>
          <w:sz w:val="24"/>
          <w:szCs w:val="24"/>
        </w:rPr>
        <w:t>intolerans</w:t>
      </w:r>
      <w:proofErr w:type="spellEnd"/>
      <w:r w:rsidRPr="009062D8">
        <w:rPr>
          <w:sz w:val="24"/>
          <w:szCs w:val="24"/>
        </w:rPr>
        <w:t xml:space="preserve"> over for histamin. Længerevarende behandling skal undgås hos disse patienter, da </w:t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 xml:space="preserve"> påvirker </w:t>
      </w:r>
      <w:proofErr w:type="spellStart"/>
      <w:r w:rsidRPr="009062D8">
        <w:rPr>
          <w:sz w:val="24"/>
          <w:szCs w:val="24"/>
        </w:rPr>
        <w:t>metaboliseringen</w:t>
      </w:r>
      <w:proofErr w:type="spellEnd"/>
      <w:r w:rsidRPr="009062D8">
        <w:rPr>
          <w:sz w:val="24"/>
          <w:szCs w:val="24"/>
        </w:rPr>
        <w:t xml:space="preserve"> af histamin og kan medføre symptomer på </w:t>
      </w:r>
      <w:proofErr w:type="spellStart"/>
      <w:r w:rsidRPr="009062D8">
        <w:rPr>
          <w:sz w:val="24"/>
          <w:szCs w:val="24"/>
        </w:rPr>
        <w:t>intolerans</w:t>
      </w:r>
      <w:proofErr w:type="spellEnd"/>
      <w:r w:rsidRPr="009062D8">
        <w:rPr>
          <w:sz w:val="24"/>
          <w:szCs w:val="24"/>
        </w:rPr>
        <w:t xml:space="preserve"> (f.eks. hovedpine, høfeber, kløe).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lastRenderedPageBreak/>
        <w:tab/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 xml:space="preserve"> har en sandsynlig histaminfrigørende virkning med en dertil svarende bivirkningsprofil hos særligt histaminfølsomme personer fra mindre hududslæt til kløe og </w:t>
      </w:r>
      <w:proofErr w:type="spellStart"/>
      <w:r w:rsidRPr="009062D8">
        <w:rPr>
          <w:sz w:val="24"/>
          <w:szCs w:val="24"/>
        </w:rPr>
        <w:t>urticaria</w:t>
      </w:r>
      <w:proofErr w:type="spellEnd"/>
      <w:r w:rsidRPr="009062D8">
        <w:rPr>
          <w:sz w:val="24"/>
          <w:szCs w:val="24"/>
        </w:rPr>
        <w:t xml:space="preserve"> og sjældent </w:t>
      </w:r>
      <w:proofErr w:type="spellStart"/>
      <w:r w:rsidRPr="009062D8">
        <w:rPr>
          <w:sz w:val="24"/>
          <w:szCs w:val="24"/>
        </w:rPr>
        <w:t>bronchospasmer</w:t>
      </w:r>
      <w:proofErr w:type="spellEnd"/>
      <w:r w:rsidRPr="009062D8">
        <w:rPr>
          <w:sz w:val="24"/>
          <w:szCs w:val="24"/>
        </w:rPr>
        <w:t xml:space="preserve">. Der skal udvises forsigtighed ved behandling af patienter, der er særligt følsomme over for histamin, som f.eks. ved </w:t>
      </w:r>
      <w:proofErr w:type="spellStart"/>
      <w:r w:rsidRPr="009062D8">
        <w:rPr>
          <w:sz w:val="24"/>
          <w:szCs w:val="24"/>
        </w:rPr>
        <w:t>atopi</w:t>
      </w:r>
      <w:proofErr w:type="spellEnd"/>
      <w:r w:rsidRPr="009062D8">
        <w:rPr>
          <w:sz w:val="24"/>
          <w:szCs w:val="24"/>
        </w:rPr>
        <w:t xml:space="preserve"> eller astma, ligesom længerevarende behandling hos disse patienter bør undgås. 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5D1237" w:rsidRPr="003E5F42" w:rsidRDefault="005D1237" w:rsidP="005D1237">
      <w:pPr>
        <w:ind w:left="851"/>
        <w:rPr>
          <w:i/>
          <w:sz w:val="24"/>
          <w:szCs w:val="24"/>
        </w:rPr>
      </w:pPr>
      <w:r w:rsidRPr="003E5F42">
        <w:rPr>
          <w:i/>
          <w:sz w:val="24"/>
          <w:szCs w:val="24"/>
        </w:rPr>
        <w:t xml:space="preserve">Indeholder </w:t>
      </w:r>
      <w:proofErr w:type="spellStart"/>
      <w:r w:rsidRPr="003E5F42">
        <w:rPr>
          <w:i/>
          <w:sz w:val="24"/>
          <w:szCs w:val="24"/>
        </w:rPr>
        <w:t>lactose</w:t>
      </w:r>
      <w:proofErr w:type="spellEnd"/>
    </w:p>
    <w:p w:rsidR="005D1237" w:rsidRPr="003E5F42" w:rsidRDefault="005D1237" w:rsidP="005D1237">
      <w:pPr>
        <w:ind w:left="851"/>
        <w:rPr>
          <w:sz w:val="24"/>
          <w:szCs w:val="24"/>
        </w:rPr>
      </w:pPr>
      <w:r w:rsidRPr="003E5F42">
        <w:rPr>
          <w:sz w:val="24"/>
          <w:szCs w:val="24"/>
        </w:rPr>
        <w:t xml:space="preserve">Bør ikke anvendes til patienter med hereditær </w:t>
      </w:r>
      <w:proofErr w:type="spellStart"/>
      <w:r w:rsidRPr="003E5F42">
        <w:rPr>
          <w:sz w:val="24"/>
          <w:szCs w:val="24"/>
        </w:rPr>
        <w:t>galactoseintolerans</w:t>
      </w:r>
      <w:proofErr w:type="spellEnd"/>
      <w:r w:rsidRPr="003E5F42">
        <w:rPr>
          <w:sz w:val="24"/>
          <w:szCs w:val="24"/>
        </w:rPr>
        <w:t xml:space="preserve">, total </w:t>
      </w:r>
      <w:proofErr w:type="spellStart"/>
      <w:r w:rsidRPr="003E5F42">
        <w:rPr>
          <w:sz w:val="24"/>
          <w:szCs w:val="24"/>
        </w:rPr>
        <w:t>lactasemangel</w:t>
      </w:r>
      <w:proofErr w:type="spellEnd"/>
      <w:r w:rsidRPr="003E5F42">
        <w:rPr>
          <w:sz w:val="24"/>
          <w:szCs w:val="24"/>
        </w:rPr>
        <w:t xml:space="preserve"> eller </w:t>
      </w:r>
      <w:proofErr w:type="spellStart"/>
      <w:r w:rsidRPr="003E5F42">
        <w:rPr>
          <w:sz w:val="24"/>
          <w:szCs w:val="24"/>
        </w:rPr>
        <w:t>glucose</w:t>
      </w:r>
      <w:proofErr w:type="spellEnd"/>
      <w:r w:rsidRPr="003E5F42">
        <w:rPr>
          <w:sz w:val="24"/>
          <w:szCs w:val="24"/>
        </w:rPr>
        <w:t>/</w:t>
      </w:r>
      <w:proofErr w:type="spellStart"/>
      <w:r w:rsidRPr="003E5F42">
        <w:rPr>
          <w:sz w:val="24"/>
          <w:szCs w:val="24"/>
        </w:rPr>
        <w:t>galactosemalabsorption</w:t>
      </w:r>
      <w:proofErr w:type="spellEnd"/>
      <w:r w:rsidRPr="003E5F42">
        <w:rPr>
          <w:sz w:val="24"/>
          <w:szCs w:val="24"/>
        </w:rPr>
        <w:t>.</w:t>
      </w:r>
    </w:p>
    <w:p w:rsidR="005D1237" w:rsidRPr="003E5F42" w:rsidRDefault="005D1237" w:rsidP="005D1237">
      <w:pPr>
        <w:ind w:left="851" w:hanging="851"/>
        <w:rPr>
          <w:sz w:val="24"/>
          <w:szCs w:val="24"/>
        </w:rPr>
      </w:pPr>
    </w:p>
    <w:p w:rsidR="005D1237" w:rsidRPr="003E5F42" w:rsidRDefault="005D1237" w:rsidP="005D1237">
      <w:pPr>
        <w:ind w:left="851" w:hanging="851"/>
        <w:rPr>
          <w:i/>
          <w:sz w:val="24"/>
          <w:szCs w:val="24"/>
        </w:rPr>
      </w:pPr>
      <w:r w:rsidRPr="003E5F42">
        <w:rPr>
          <w:i/>
          <w:sz w:val="24"/>
          <w:szCs w:val="24"/>
        </w:rPr>
        <w:tab/>
        <w:t>Indeholder natrium</w:t>
      </w:r>
    </w:p>
    <w:p w:rsidR="005D1237" w:rsidRPr="003E5F42" w:rsidRDefault="005D1237" w:rsidP="005D1237">
      <w:pPr>
        <w:ind w:left="851" w:hanging="851"/>
        <w:rPr>
          <w:sz w:val="24"/>
          <w:szCs w:val="24"/>
        </w:rPr>
      </w:pPr>
      <w:r w:rsidRPr="003E5F42">
        <w:rPr>
          <w:sz w:val="24"/>
          <w:szCs w:val="24"/>
        </w:rPr>
        <w:tab/>
      </w:r>
      <w:proofErr w:type="spellStart"/>
      <w:r w:rsidRPr="003E5F42">
        <w:rPr>
          <w:sz w:val="24"/>
          <w:szCs w:val="24"/>
        </w:rPr>
        <w:t>Granon</w:t>
      </w:r>
      <w:proofErr w:type="spellEnd"/>
      <w:r w:rsidRPr="003E5F42">
        <w:rPr>
          <w:sz w:val="24"/>
          <w:szCs w:val="24"/>
        </w:rPr>
        <w:t xml:space="preserve"> brusetabletter 200 mg: Dette lægemiddel indeholder 99 mg natrium pr. brusetablet, svarende til 4,95% af den WHO anbefalede </w:t>
      </w:r>
      <w:proofErr w:type="gramStart"/>
      <w:r w:rsidRPr="003E5F42">
        <w:rPr>
          <w:sz w:val="24"/>
          <w:szCs w:val="24"/>
        </w:rPr>
        <w:t>maximale</w:t>
      </w:r>
      <w:proofErr w:type="gramEnd"/>
      <w:r w:rsidRPr="003E5F42">
        <w:rPr>
          <w:sz w:val="24"/>
          <w:szCs w:val="24"/>
        </w:rPr>
        <w:t xml:space="preserve"> daglige indtagelse af 2 g natrium for en voksen.</w:t>
      </w:r>
    </w:p>
    <w:p w:rsidR="005D1237" w:rsidRPr="009062D8" w:rsidRDefault="005D1237" w:rsidP="005D1237">
      <w:pPr>
        <w:ind w:left="851" w:hanging="851"/>
        <w:rPr>
          <w:sz w:val="24"/>
          <w:szCs w:val="24"/>
        </w:rPr>
      </w:pPr>
      <w:r w:rsidRPr="003E5F42">
        <w:rPr>
          <w:sz w:val="24"/>
          <w:szCs w:val="24"/>
        </w:rPr>
        <w:tab/>
      </w:r>
      <w:proofErr w:type="spellStart"/>
      <w:r w:rsidRPr="003E5F42">
        <w:rPr>
          <w:sz w:val="24"/>
          <w:szCs w:val="24"/>
        </w:rPr>
        <w:t>Granon</w:t>
      </w:r>
      <w:proofErr w:type="spellEnd"/>
      <w:r w:rsidRPr="003E5F42">
        <w:rPr>
          <w:sz w:val="24"/>
          <w:szCs w:val="24"/>
        </w:rPr>
        <w:t xml:space="preserve"> brusetabletter 600 mg: Dette lægemiddel indeholder 139 mg natrium pr. brusetablet, svarende til 6.95% af den WHO anbefalede </w:t>
      </w:r>
      <w:proofErr w:type="gramStart"/>
      <w:r w:rsidRPr="003E5F42">
        <w:rPr>
          <w:sz w:val="24"/>
          <w:szCs w:val="24"/>
        </w:rPr>
        <w:t>maximale</w:t>
      </w:r>
      <w:proofErr w:type="gramEnd"/>
      <w:r w:rsidRPr="003E5F42">
        <w:rPr>
          <w:sz w:val="24"/>
          <w:szCs w:val="24"/>
        </w:rPr>
        <w:t xml:space="preserve"> daglige indtagelse af 2 g natrium for en voksen. 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4.5</w:t>
      </w:r>
      <w:r w:rsidRPr="009062D8">
        <w:rPr>
          <w:b/>
          <w:sz w:val="24"/>
          <w:szCs w:val="24"/>
        </w:rPr>
        <w:tab/>
        <w:t>Interaktion med andre lægemidler og andre former for interaktion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 xml:space="preserve">Samtidig brug af </w:t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 xml:space="preserve"> og hostestillende midler kan medføre en farlig sekret</w:t>
      </w:r>
      <w:r>
        <w:rPr>
          <w:sz w:val="24"/>
          <w:szCs w:val="24"/>
        </w:rPr>
        <w:softHyphen/>
      </w:r>
      <w:r w:rsidRPr="009062D8">
        <w:rPr>
          <w:sz w:val="24"/>
          <w:szCs w:val="24"/>
        </w:rPr>
        <w:t xml:space="preserve">ophobning på grund af den reducerede hosterefleks. Derfor skal der udføres en særlig omhyggelig diagnosticering ved denne behandlingskombination. Derfor skal denne behandlingskombination nøje overvejes. 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 xml:space="preserve">Absorptionen af visse antibiotika, f.eks. </w:t>
      </w:r>
      <w:proofErr w:type="spellStart"/>
      <w:r w:rsidRPr="009062D8">
        <w:rPr>
          <w:sz w:val="24"/>
          <w:szCs w:val="24"/>
        </w:rPr>
        <w:t>cephalexin</w:t>
      </w:r>
      <w:proofErr w:type="spellEnd"/>
      <w:r w:rsidRPr="009062D8">
        <w:rPr>
          <w:sz w:val="24"/>
          <w:szCs w:val="24"/>
        </w:rPr>
        <w:t xml:space="preserve"> og </w:t>
      </w:r>
      <w:proofErr w:type="spellStart"/>
      <w:r w:rsidRPr="009062D8">
        <w:rPr>
          <w:sz w:val="24"/>
          <w:szCs w:val="24"/>
        </w:rPr>
        <w:t>tetracyclinhydrochlorid</w:t>
      </w:r>
      <w:proofErr w:type="spellEnd"/>
      <w:r w:rsidRPr="009062D8">
        <w:rPr>
          <w:sz w:val="24"/>
          <w:szCs w:val="24"/>
        </w:rPr>
        <w:t xml:space="preserve"> (bortset fra </w:t>
      </w:r>
      <w:proofErr w:type="spellStart"/>
      <w:r w:rsidRPr="009062D8">
        <w:rPr>
          <w:sz w:val="24"/>
          <w:szCs w:val="24"/>
        </w:rPr>
        <w:t>doxycyclin</w:t>
      </w:r>
      <w:proofErr w:type="spellEnd"/>
      <w:r w:rsidRPr="009062D8">
        <w:rPr>
          <w:sz w:val="24"/>
          <w:szCs w:val="24"/>
        </w:rPr>
        <w:t xml:space="preserve">), synes, at reduceres, hvis </w:t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 xml:space="preserve"> indgives samtidig, og bør derfor tages 1-2 timer forskudt fra </w:t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>.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 xml:space="preserve">Absorptionen af </w:t>
      </w:r>
      <w:proofErr w:type="spellStart"/>
      <w:r w:rsidRPr="009062D8">
        <w:rPr>
          <w:sz w:val="24"/>
          <w:szCs w:val="24"/>
        </w:rPr>
        <w:t>amoxicillin</w:t>
      </w:r>
      <w:proofErr w:type="spellEnd"/>
      <w:r w:rsidRPr="009062D8">
        <w:rPr>
          <w:sz w:val="24"/>
          <w:szCs w:val="24"/>
        </w:rPr>
        <w:t xml:space="preserve">, </w:t>
      </w:r>
      <w:proofErr w:type="spellStart"/>
      <w:r w:rsidRPr="009062D8">
        <w:rPr>
          <w:sz w:val="24"/>
          <w:szCs w:val="24"/>
        </w:rPr>
        <w:t>doxycyclin</w:t>
      </w:r>
      <w:proofErr w:type="spellEnd"/>
      <w:r w:rsidRPr="009062D8">
        <w:rPr>
          <w:sz w:val="24"/>
          <w:szCs w:val="24"/>
        </w:rPr>
        <w:t xml:space="preserve">, </w:t>
      </w:r>
      <w:proofErr w:type="spellStart"/>
      <w:r w:rsidRPr="009062D8">
        <w:rPr>
          <w:sz w:val="24"/>
          <w:szCs w:val="24"/>
        </w:rPr>
        <w:t>erythromycin</w:t>
      </w:r>
      <w:proofErr w:type="spellEnd"/>
      <w:r w:rsidRPr="009062D8">
        <w:rPr>
          <w:sz w:val="24"/>
          <w:szCs w:val="24"/>
        </w:rPr>
        <w:t xml:space="preserve"> og </w:t>
      </w:r>
      <w:proofErr w:type="spellStart"/>
      <w:r w:rsidRPr="009062D8">
        <w:rPr>
          <w:sz w:val="24"/>
          <w:szCs w:val="24"/>
        </w:rPr>
        <w:t>bacampicillin</w:t>
      </w:r>
      <w:proofErr w:type="spellEnd"/>
      <w:r w:rsidRPr="009062D8">
        <w:rPr>
          <w:sz w:val="24"/>
          <w:szCs w:val="24"/>
        </w:rPr>
        <w:t xml:space="preserve"> påvirkes ikke af </w:t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>.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</w:p>
    <w:p w:rsidR="00383ECC" w:rsidRPr="009062D8" w:rsidRDefault="00383ECC" w:rsidP="00DD7542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 xml:space="preserve">De til dato rapporterede inaktiveringer af antibiotika på grund af </w:t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 xml:space="preserve"> eller andre slimløsende midler refererer udelukkende til </w:t>
      </w:r>
      <w:r w:rsidRPr="009062D8">
        <w:rPr>
          <w:i/>
          <w:sz w:val="24"/>
          <w:szCs w:val="24"/>
        </w:rPr>
        <w:t xml:space="preserve">in </w:t>
      </w:r>
      <w:proofErr w:type="spellStart"/>
      <w:r w:rsidRPr="009062D8">
        <w:rPr>
          <w:i/>
          <w:sz w:val="24"/>
          <w:szCs w:val="24"/>
        </w:rPr>
        <w:t>vitro</w:t>
      </w:r>
      <w:proofErr w:type="spellEnd"/>
      <w:r w:rsidRPr="009062D8">
        <w:rPr>
          <w:sz w:val="24"/>
          <w:szCs w:val="24"/>
        </w:rPr>
        <w:t xml:space="preserve">-eksperimenter, hvor relevante substanser blev blandet direkte. Af sikkerhedshensyn bør orale antibiotika dog administreres separat og med et tidsinterval på mindst 2 timer. 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  <w:r w:rsidRPr="009062D8">
        <w:rPr>
          <w:i/>
          <w:sz w:val="24"/>
          <w:szCs w:val="24"/>
        </w:rPr>
        <w:t xml:space="preserve">In </w:t>
      </w:r>
      <w:proofErr w:type="spellStart"/>
      <w:r w:rsidRPr="009062D8">
        <w:rPr>
          <w:i/>
          <w:sz w:val="24"/>
          <w:szCs w:val="24"/>
        </w:rPr>
        <w:t>vitro-</w:t>
      </w:r>
      <w:r w:rsidRPr="009062D8">
        <w:rPr>
          <w:sz w:val="24"/>
          <w:szCs w:val="24"/>
        </w:rPr>
        <w:t>inkompatibiliteter</w:t>
      </w:r>
      <w:proofErr w:type="spellEnd"/>
      <w:r w:rsidRPr="009062D8">
        <w:rPr>
          <w:sz w:val="24"/>
          <w:szCs w:val="24"/>
        </w:rPr>
        <w:t xml:space="preserve"> er specielt beskrevet for semisyntetiske penicilliner, </w:t>
      </w:r>
      <w:proofErr w:type="spellStart"/>
      <w:r w:rsidRPr="009062D8">
        <w:rPr>
          <w:sz w:val="24"/>
          <w:szCs w:val="24"/>
        </w:rPr>
        <w:t>tetracykliner</w:t>
      </w:r>
      <w:proofErr w:type="spellEnd"/>
      <w:r w:rsidRPr="009062D8">
        <w:rPr>
          <w:sz w:val="24"/>
          <w:szCs w:val="24"/>
        </w:rPr>
        <w:t xml:space="preserve">, </w:t>
      </w:r>
      <w:proofErr w:type="spellStart"/>
      <w:r w:rsidRPr="009062D8">
        <w:rPr>
          <w:sz w:val="24"/>
          <w:szCs w:val="24"/>
        </w:rPr>
        <w:t>cephalosporiner</w:t>
      </w:r>
      <w:proofErr w:type="spellEnd"/>
      <w:r w:rsidRPr="009062D8">
        <w:rPr>
          <w:sz w:val="24"/>
          <w:szCs w:val="24"/>
        </w:rPr>
        <w:t xml:space="preserve"> og </w:t>
      </w:r>
      <w:proofErr w:type="spellStart"/>
      <w:r w:rsidRPr="009062D8">
        <w:rPr>
          <w:sz w:val="24"/>
          <w:szCs w:val="24"/>
        </w:rPr>
        <w:t>aminoglycosider</w:t>
      </w:r>
      <w:proofErr w:type="spellEnd"/>
      <w:r w:rsidRPr="009062D8">
        <w:rPr>
          <w:sz w:val="24"/>
          <w:szCs w:val="24"/>
        </w:rPr>
        <w:t xml:space="preserve">. Der er ikke rapporteret om uforligeligheder i forbindelse med antibiotika, såsom </w:t>
      </w:r>
      <w:proofErr w:type="spellStart"/>
      <w:r w:rsidRPr="009062D8">
        <w:rPr>
          <w:sz w:val="24"/>
          <w:szCs w:val="24"/>
        </w:rPr>
        <w:t>amoxicillin</w:t>
      </w:r>
      <w:proofErr w:type="spellEnd"/>
      <w:r w:rsidRPr="009062D8">
        <w:rPr>
          <w:sz w:val="24"/>
          <w:szCs w:val="24"/>
        </w:rPr>
        <w:t xml:space="preserve">, </w:t>
      </w:r>
      <w:proofErr w:type="spellStart"/>
      <w:r w:rsidRPr="009062D8">
        <w:rPr>
          <w:sz w:val="24"/>
          <w:szCs w:val="24"/>
        </w:rPr>
        <w:t>doxycyclin</w:t>
      </w:r>
      <w:proofErr w:type="spellEnd"/>
      <w:r w:rsidRPr="009062D8">
        <w:rPr>
          <w:sz w:val="24"/>
          <w:szCs w:val="24"/>
        </w:rPr>
        <w:t xml:space="preserve">, </w:t>
      </w:r>
      <w:proofErr w:type="spellStart"/>
      <w:r w:rsidRPr="009062D8">
        <w:rPr>
          <w:sz w:val="24"/>
          <w:szCs w:val="24"/>
        </w:rPr>
        <w:t>erythromycin</w:t>
      </w:r>
      <w:proofErr w:type="spellEnd"/>
      <w:r w:rsidRPr="009062D8">
        <w:rPr>
          <w:sz w:val="24"/>
          <w:szCs w:val="24"/>
        </w:rPr>
        <w:t xml:space="preserve"> eller </w:t>
      </w:r>
      <w:proofErr w:type="spellStart"/>
      <w:r w:rsidRPr="009062D8">
        <w:rPr>
          <w:sz w:val="24"/>
          <w:szCs w:val="24"/>
        </w:rPr>
        <w:t>thiamphenicol</w:t>
      </w:r>
      <w:proofErr w:type="spellEnd"/>
      <w:r w:rsidRPr="009062D8">
        <w:rPr>
          <w:sz w:val="24"/>
          <w:szCs w:val="24"/>
        </w:rPr>
        <w:t xml:space="preserve"> og </w:t>
      </w:r>
      <w:proofErr w:type="spellStart"/>
      <w:r w:rsidRPr="009062D8">
        <w:rPr>
          <w:sz w:val="24"/>
          <w:szCs w:val="24"/>
        </w:rPr>
        <w:t>cefuroxim</w:t>
      </w:r>
      <w:proofErr w:type="spellEnd"/>
      <w:r w:rsidRPr="009062D8">
        <w:rPr>
          <w:sz w:val="24"/>
          <w:szCs w:val="24"/>
        </w:rPr>
        <w:t>.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</w:p>
    <w:p w:rsidR="00383ECC" w:rsidRPr="009062D8" w:rsidRDefault="00383ECC" w:rsidP="00DD7542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 xml:space="preserve">Der er rapporteret om en forstærkning af den karudvidende og </w:t>
      </w:r>
      <w:proofErr w:type="spellStart"/>
      <w:r w:rsidRPr="009062D8">
        <w:rPr>
          <w:sz w:val="24"/>
          <w:szCs w:val="24"/>
        </w:rPr>
        <w:t>trombocytaggregations</w:t>
      </w:r>
      <w:r w:rsidRPr="009062D8">
        <w:rPr>
          <w:sz w:val="24"/>
          <w:szCs w:val="24"/>
        </w:rPr>
        <w:softHyphen/>
        <w:t>hæmmende</w:t>
      </w:r>
      <w:proofErr w:type="spellEnd"/>
      <w:r w:rsidRPr="009062D8">
        <w:rPr>
          <w:sz w:val="24"/>
          <w:szCs w:val="24"/>
        </w:rPr>
        <w:t xml:space="preserve"> effekt af </w:t>
      </w:r>
      <w:proofErr w:type="spellStart"/>
      <w:r w:rsidRPr="009062D8">
        <w:rPr>
          <w:sz w:val="24"/>
          <w:szCs w:val="24"/>
        </w:rPr>
        <w:t>glyceryltrinitrat</w:t>
      </w:r>
      <w:proofErr w:type="spellEnd"/>
      <w:r w:rsidRPr="009062D8">
        <w:rPr>
          <w:sz w:val="24"/>
          <w:szCs w:val="24"/>
        </w:rPr>
        <w:t xml:space="preserve"> (nitroglycerin) ved samtidig administration af </w:t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 xml:space="preserve">. Den kliniske relevans af disse opdagelser er endnu ikke blevet klarlagt. 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486BA0" w:rsidRPr="00C84483" w:rsidRDefault="00486BA0" w:rsidP="00486BA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</w:p>
    <w:p w:rsidR="00383ECC" w:rsidRPr="009062D8" w:rsidRDefault="00383ECC" w:rsidP="00DD7542">
      <w:pPr>
        <w:ind w:left="851"/>
        <w:rPr>
          <w:i/>
          <w:sz w:val="24"/>
          <w:szCs w:val="24"/>
        </w:rPr>
      </w:pPr>
      <w:r w:rsidRPr="009062D8">
        <w:rPr>
          <w:i/>
          <w:sz w:val="24"/>
          <w:szCs w:val="24"/>
        </w:rPr>
        <w:t>Graviditet og amning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>Da der er utilstrækkelig</w:t>
      </w:r>
      <w:r w:rsidR="000005F6">
        <w:rPr>
          <w:sz w:val="24"/>
          <w:szCs w:val="24"/>
        </w:rPr>
        <w:t>e</w:t>
      </w:r>
      <w:r w:rsidRPr="009062D8">
        <w:rPr>
          <w:sz w:val="24"/>
          <w:szCs w:val="24"/>
        </w:rPr>
        <w:t xml:space="preserve"> data fra anvendelse af </w:t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 xml:space="preserve"> til gravide og ammende kvinder, bør dette lægemiddel ikke anvendes. 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</w:p>
    <w:p w:rsidR="00383ECC" w:rsidRPr="009062D8" w:rsidRDefault="00383ECC" w:rsidP="00DD7542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 xml:space="preserve">Dyreforsøg (kaniner, rotter) indikerer ikke </w:t>
      </w:r>
      <w:proofErr w:type="spellStart"/>
      <w:r w:rsidRPr="009062D8">
        <w:rPr>
          <w:sz w:val="24"/>
          <w:szCs w:val="24"/>
        </w:rPr>
        <w:t>teratogenicitet</w:t>
      </w:r>
      <w:proofErr w:type="spellEnd"/>
      <w:r w:rsidRPr="009062D8">
        <w:rPr>
          <w:sz w:val="24"/>
          <w:szCs w:val="24"/>
        </w:rPr>
        <w:t>.</w:t>
      </w:r>
    </w:p>
    <w:p w:rsidR="00562982" w:rsidRDefault="0056298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6A1969" w:rsidRPr="009062D8" w:rsidRDefault="006A1969" w:rsidP="00383ECC">
      <w:pPr>
        <w:ind w:left="851" w:hanging="851"/>
        <w:rPr>
          <w:sz w:val="24"/>
          <w:szCs w:val="24"/>
        </w:rPr>
      </w:pPr>
    </w:p>
    <w:p w:rsidR="00486BA0" w:rsidRPr="00C84483" w:rsidRDefault="00486BA0" w:rsidP="00486BA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>Ikke mærkning.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  <w:proofErr w:type="spellStart"/>
      <w:r w:rsidRPr="009062D8">
        <w:rPr>
          <w:sz w:val="24"/>
          <w:szCs w:val="24"/>
        </w:rPr>
        <w:t>Granon</w:t>
      </w:r>
      <w:proofErr w:type="spellEnd"/>
      <w:r w:rsidRPr="009062D8">
        <w:rPr>
          <w:sz w:val="24"/>
          <w:szCs w:val="24"/>
        </w:rPr>
        <w:t xml:space="preserve"> påvirker ikke eller kun i ubetydelig grad evnen til at føre motorkøretøj eller betjene maskiner.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4.8</w:t>
      </w:r>
      <w:r w:rsidRPr="009062D8">
        <w:rPr>
          <w:b/>
          <w:sz w:val="24"/>
          <w:szCs w:val="24"/>
        </w:rPr>
        <w:tab/>
        <w:t>Bivirkninger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  <w:t xml:space="preserve">Op til 30 % af de behandlede kan forvente </w:t>
      </w:r>
      <w:proofErr w:type="spellStart"/>
      <w:r w:rsidRPr="009062D8">
        <w:rPr>
          <w:sz w:val="24"/>
          <w:szCs w:val="24"/>
        </w:rPr>
        <w:t>gastrointestinale</w:t>
      </w:r>
      <w:proofErr w:type="spellEnd"/>
      <w:r w:rsidRPr="009062D8">
        <w:rPr>
          <w:sz w:val="24"/>
          <w:szCs w:val="24"/>
        </w:rPr>
        <w:t xml:space="preserve"> bivirkninger.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tbl>
      <w:tblPr>
        <w:tblW w:w="4605" w:type="pct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024"/>
      </w:tblGrid>
      <w:tr w:rsidR="00383ECC" w:rsidRPr="009062D8" w:rsidTr="003B4BCE">
        <w:trPr>
          <w:trHeight w:val="283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b/>
                <w:sz w:val="24"/>
                <w:szCs w:val="24"/>
              </w:rPr>
            </w:pPr>
            <w:r w:rsidRPr="009062D8">
              <w:rPr>
                <w:b/>
                <w:sz w:val="24"/>
                <w:szCs w:val="24"/>
              </w:rPr>
              <w:t>Immunsystemet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</w:p>
        </w:tc>
      </w:tr>
      <w:tr w:rsidR="00383ECC" w:rsidRPr="009062D8" w:rsidTr="003B4BCE">
        <w:trPr>
          <w:trHeight w:val="397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  <w:r w:rsidRPr="009062D8">
              <w:rPr>
                <w:sz w:val="24"/>
                <w:szCs w:val="24"/>
              </w:rPr>
              <w:t>Sjælden (≥1/10.000 til &lt;1/1000)</w:t>
            </w:r>
          </w:p>
        </w:tc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  <w:proofErr w:type="spellStart"/>
            <w:r w:rsidRPr="009062D8">
              <w:rPr>
                <w:sz w:val="24"/>
                <w:szCs w:val="24"/>
              </w:rPr>
              <w:t>Angioødem</w:t>
            </w:r>
            <w:proofErr w:type="spellEnd"/>
          </w:p>
        </w:tc>
      </w:tr>
      <w:tr w:rsidR="00383ECC" w:rsidRPr="009062D8" w:rsidTr="003B4BCE">
        <w:trPr>
          <w:trHeight w:val="283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b/>
                <w:sz w:val="24"/>
                <w:szCs w:val="24"/>
              </w:rPr>
            </w:pPr>
            <w:r w:rsidRPr="009062D8">
              <w:rPr>
                <w:b/>
                <w:sz w:val="24"/>
                <w:szCs w:val="24"/>
              </w:rPr>
              <w:t>Mave-tarm-kanalen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</w:p>
        </w:tc>
      </w:tr>
      <w:tr w:rsidR="00383ECC" w:rsidRPr="009062D8" w:rsidTr="003B4BCE">
        <w:trPr>
          <w:trHeight w:val="624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  <w:r w:rsidRPr="009062D8">
              <w:rPr>
                <w:sz w:val="24"/>
                <w:szCs w:val="24"/>
              </w:rPr>
              <w:t>Ikke almindelig (≥1/1000 til &lt;1/100)</w:t>
            </w:r>
          </w:p>
        </w:tc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  <w:r w:rsidRPr="009062D8">
              <w:rPr>
                <w:sz w:val="24"/>
                <w:szCs w:val="24"/>
              </w:rPr>
              <w:t>Mundbetændelse, mavesmerter, diarré, opkastning, halsbrand og kvalme</w:t>
            </w:r>
          </w:p>
        </w:tc>
      </w:tr>
      <w:tr w:rsidR="00383ECC" w:rsidRPr="009062D8" w:rsidTr="003B4BCE">
        <w:trPr>
          <w:trHeight w:val="283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  <w:r w:rsidRPr="009062D8"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9062D8">
              <w:rPr>
                <w:b/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</w:p>
        </w:tc>
      </w:tr>
      <w:tr w:rsidR="00383ECC" w:rsidRPr="009062D8" w:rsidTr="003B4BCE">
        <w:trPr>
          <w:trHeight w:val="850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  <w:r w:rsidRPr="009062D8">
              <w:rPr>
                <w:sz w:val="24"/>
                <w:szCs w:val="24"/>
              </w:rPr>
              <w:t>Sjælden (≥1/10.000 til &lt;1/1000)</w:t>
            </w:r>
          </w:p>
        </w:tc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  <w:r w:rsidRPr="009062D8">
              <w:rPr>
                <w:sz w:val="24"/>
                <w:szCs w:val="24"/>
              </w:rPr>
              <w:t xml:space="preserve">Dyspnø, </w:t>
            </w:r>
            <w:proofErr w:type="spellStart"/>
            <w:r w:rsidRPr="009062D8">
              <w:rPr>
                <w:sz w:val="24"/>
                <w:szCs w:val="24"/>
              </w:rPr>
              <w:t>bronkospasmer</w:t>
            </w:r>
            <w:proofErr w:type="spellEnd"/>
            <w:r w:rsidRPr="009062D8">
              <w:rPr>
                <w:sz w:val="24"/>
                <w:szCs w:val="24"/>
              </w:rPr>
              <w:t xml:space="preserve"> – hovedsageligt hos patienter med </w:t>
            </w:r>
            <w:proofErr w:type="spellStart"/>
            <w:r w:rsidRPr="009062D8">
              <w:rPr>
                <w:sz w:val="24"/>
                <w:szCs w:val="24"/>
              </w:rPr>
              <w:t>hyperreaktivt</w:t>
            </w:r>
            <w:proofErr w:type="spellEnd"/>
            <w:r w:rsidRPr="009062D8">
              <w:rPr>
                <w:sz w:val="24"/>
                <w:szCs w:val="24"/>
              </w:rPr>
              <w:t xml:space="preserve"> bronkialsystem i forbindelse med bronkial astma.</w:t>
            </w:r>
          </w:p>
        </w:tc>
      </w:tr>
      <w:tr w:rsidR="00383ECC" w:rsidRPr="009062D8" w:rsidTr="003B4BCE">
        <w:trPr>
          <w:trHeight w:val="283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b/>
                <w:sz w:val="24"/>
                <w:szCs w:val="24"/>
              </w:rPr>
            </w:pPr>
            <w:r w:rsidRPr="009062D8">
              <w:rPr>
                <w:b/>
                <w:sz w:val="24"/>
                <w:szCs w:val="24"/>
              </w:rPr>
              <w:t>Hud og subkutane væv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</w:p>
        </w:tc>
      </w:tr>
      <w:tr w:rsidR="00383ECC" w:rsidRPr="009062D8" w:rsidTr="003B4BCE">
        <w:trPr>
          <w:trHeight w:val="340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  <w:r w:rsidRPr="009062D8">
              <w:rPr>
                <w:sz w:val="24"/>
                <w:szCs w:val="24"/>
              </w:rPr>
              <w:t>Sjælden (≥1/10.000 til &lt;1/1000)</w:t>
            </w:r>
          </w:p>
        </w:tc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  <w:r w:rsidRPr="009062D8">
              <w:rPr>
                <w:sz w:val="24"/>
                <w:szCs w:val="24"/>
              </w:rPr>
              <w:t>Udslæt, kløe, nældefeber</w:t>
            </w:r>
          </w:p>
        </w:tc>
      </w:tr>
      <w:tr w:rsidR="00383ECC" w:rsidRPr="009062D8" w:rsidTr="003B4BCE">
        <w:trPr>
          <w:trHeight w:val="619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b/>
                <w:sz w:val="24"/>
                <w:szCs w:val="24"/>
              </w:rPr>
            </w:pPr>
            <w:r w:rsidRPr="009062D8">
              <w:rPr>
                <w:b/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283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</w:p>
        </w:tc>
      </w:tr>
      <w:tr w:rsidR="00383ECC" w:rsidRPr="009062D8" w:rsidTr="003B4BCE">
        <w:trPr>
          <w:trHeight w:val="850"/>
        </w:trPr>
        <w:tc>
          <w:tcPr>
            <w:tcW w:w="21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  <w:r w:rsidRPr="009062D8">
              <w:rPr>
                <w:sz w:val="24"/>
                <w:szCs w:val="24"/>
              </w:rPr>
              <w:t>Ikke almindelig (≥1/1000 til &lt;1/100)</w:t>
            </w:r>
          </w:p>
        </w:tc>
        <w:tc>
          <w:tcPr>
            <w:tcW w:w="2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  <w:r w:rsidRPr="009062D8">
              <w:rPr>
                <w:sz w:val="24"/>
                <w:szCs w:val="24"/>
              </w:rPr>
              <w:t xml:space="preserve">Hovedpine, feber, allergiske reaktioner (kløe, nældefeber, hududslæt, </w:t>
            </w:r>
            <w:proofErr w:type="spellStart"/>
            <w:r w:rsidRPr="009062D8">
              <w:rPr>
                <w:sz w:val="24"/>
                <w:szCs w:val="24"/>
              </w:rPr>
              <w:t>bronkospasmer</w:t>
            </w:r>
            <w:proofErr w:type="spellEnd"/>
            <w:r w:rsidRPr="009062D8">
              <w:rPr>
                <w:sz w:val="24"/>
                <w:szCs w:val="24"/>
              </w:rPr>
              <w:t xml:space="preserve">, </w:t>
            </w:r>
            <w:proofErr w:type="spellStart"/>
            <w:r w:rsidRPr="009062D8">
              <w:rPr>
                <w:sz w:val="24"/>
                <w:szCs w:val="24"/>
              </w:rPr>
              <w:t>angioødem</w:t>
            </w:r>
            <w:proofErr w:type="spellEnd"/>
            <w:r w:rsidRPr="009062D8">
              <w:rPr>
                <w:sz w:val="24"/>
                <w:szCs w:val="24"/>
              </w:rPr>
              <w:t xml:space="preserve">, </w:t>
            </w:r>
            <w:proofErr w:type="spellStart"/>
            <w:r w:rsidRPr="009062D8">
              <w:rPr>
                <w:sz w:val="24"/>
                <w:szCs w:val="24"/>
              </w:rPr>
              <w:t>takykardi</w:t>
            </w:r>
            <w:proofErr w:type="spellEnd"/>
            <w:r w:rsidRPr="009062D8">
              <w:rPr>
                <w:sz w:val="24"/>
                <w:szCs w:val="24"/>
              </w:rPr>
              <w:t xml:space="preserve"> og nedsat blodtryk)</w:t>
            </w:r>
          </w:p>
        </w:tc>
      </w:tr>
      <w:tr w:rsidR="00383ECC" w:rsidRPr="009062D8" w:rsidTr="003B4BCE">
        <w:trPr>
          <w:trHeight w:val="397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  <w:r w:rsidRPr="009062D8">
              <w:rPr>
                <w:sz w:val="24"/>
                <w:szCs w:val="24"/>
              </w:rPr>
              <w:t>Meget sjælden (&lt;1/10.000)</w:t>
            </w:r>
          </w:p>
        </w:tc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  <w:proofErr w:type="spellStart"/>
            <w:r w:rsidRPr="009062D8">
              <w:rPr>
                <w:sz w:val="24"/>
                <w:szCs w:val="24"/>
              </w:rPr>
              <w:t>Anafylaktiske</w:t>
            </w:r>
            <w:proofErr w:type="spellEnd"/>
            <w:r w:rsidRPr="009062D8">
              <w:rPr>
                <w:sz w:val="24"/>
                <w:szCs w:val="24"/>
              </w:rPr>
              <w:t xml:space="preserve"> reaktioner inklusive </w:t>
            </w:r>
            <w:proofErr w:type="spellStart"/>
            <w:r w:rsidRPr="009062D8">
              <w:rPr>
                <w:sz w:val="24"/>
                <w:szCs w:val="24"/>
              </w:rPr>
              <w:t>shock</w:t>
            </w:r>
            <w:proofErr w:type="spellEnd"/>
          </w:p>
        </w:tc>
      </w:tr>
      <w:tr w:rsidR="00383ECC" w:rsidRPr="009062D8" w:rsidTr="003B4BCE">
        <w:trPr>
          <w:trHeight w:val="283"/>
        </w:trPr>
        <w:tc>
          <w:tcPr>
            <w:tcW w:w="21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b/>
                <w:sz w:val="24"/>
                <w:szCs w:val="24"/>
              </w:rPr>
            </w:pPr>
            <w:r w:rsidRPr="009062D8">
              <w:rPr>
                <w:b/>
                <w:sz w:val="24"/>
                <w:szCs w:val="24"/>
              </w:rPr>
              <w:t xml:space="preserve">Øre og labyrint  </w:t>
            </w:r>
          </w:p>
        </w:tc>
        <w:tc>
          <w:tcPr>
            <w:tcW w:w="283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</w:p>
        </w:tc>
      </w:tr>
      <w:tr w:rsidR="00383ECC" w:rsidRPr="009062D8" w:rsidTr="003B4BCE">
        <w:trPr>
          <w:trHeight w:val="397"/>
        </w:trPr>
        <w:tc>
          <w:tcPr>
            <w:tcW w:w="21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  <w:r w:rsidRPr="009062D8">
              <w:rPr>
                <w:sz w:val="24"/>
                <w:szCs w:val="24"/>
              </w:rPr>
              <w:t xml:space="preserve">Ikke almindelig (≥1/1000 til &lt;1/100) </w:t>
            </w:r>
          </w:p>
        </w:tc>
        <w:tc>
          <w:tcPr>
            <w:tcW w:w="2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ECC" w:rsidRPr="009062D8" w:rsidRDefault="00383ECC" w:rsidP="003B4BCE">
            <w:pPr>
              <w:rPr>
                <w:sz w:val="24"/>
                <w:szCs w:val="24"/>
              </w:rPr>
            </w:pPr>
            <w:r w:rsidRPr="009062D8">
              <w:rPr>
                <w:sz w:val="24"/>
                <w:szCs w:val="24"/>
              </w:rPr>
              <w:t>Tinnitus</w:t>
            </w:r>
          </w:p>
        </w:tc>
      </w:tr>
    </w:tbl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  <w:t xml:space="preserve">Derudover er der rapporteret om meget sjældne tilfælde af blødninger i forbindelse med administration af </w:t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 xml:space="preserve">, delvist i form af overfølsomhedsreaktioner. Det er blevet bekræftet i forskellige studier, at </w:t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 xml:space="preserve"> reducerer </w:t>
      </w:r>
      <w:proofErr w:type="spellStart"/>
      <w:r w:rsidRPr="009062D8">
        <w:rPr>
          <w:sz w:val="24"/>
          <w:szCs w:val="24"/>
        </w:rPr>
        <w:t>trombocytaggregationen</w:t>
      </w:r>
      <w:proofErr w:type="spellEnd"/>
      <w:r w:rsidRPr="009062D8">
        <w:rPr>
          <w:sz w:val="24"/>
          <w:szCs w:val="24"/>
        </w:rPr>
        <w:t xml:space="preserve">, men det er endnu ikke muligt at vurdere den kliniske relevans af dette fund. </w:t>
      </w:r>
    </w:p>
    <w:p w:rsidR="00383ECC" w:rsidRPr="00DF12A0" w:rsidRDefault="00383ECC" w:rsidP="00383ECC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026C59" w:rsidRPr="003952CE" w:rsidRDefault="00026C59" w:rsidP="00026C59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026C59" w:rsidRPr="003952CE" w:rsidRDefault="00026C59" w:rsidP="00026C59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>-forholdet for lægemidlet.</w:t>
      </w:r>
      <w:r w:rsidR="003C182C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3952CE">
        <w:rPr>
          <w:sz w:val="24"/>
          <w:szCs w:val="24"/>
        </w:rPr>
        <w:t>undhedsperson</w:t>
      </w:r>
      <w:r>
        <w:rPr>
          <w:sz w:val="24"/>
          <w:szCs w:val="24"/>
        </w:rPr>
        <w:t>er</w:t>
      </w:r>
      <w:r w:rsidRPr="003952CE">
        <w:rPr>
          <w:sz w:val="24"/>
          <w:szCs w:val="24"/>
        </w:rPr>
        <w:t xml:space="preserve"> anmodes om at indberette alle formodede bivirkninger via:</w:t>
      </w:r>
    </w:p>
    <w:p w:rsidR="00026C59" w:rsidRPr="003952CE" w:rsidRDefault="00026C59" w:rsidP="00026C59">
      <w:pPr>
        <w:tabs>
          <w:tab w:val="left" w:pos="2440"/>
        </w:tabs>
        <w:ind w:left="851"/>
        <w:rPr>
          <w:sz w:val="24"/>
          <w:szCs w:val="24"/>
        </w:rPr>
      </w:pPr>
    </w:p>
    <w:p w:rsidR="00026C59" w:rsidRPr="003952CE" w:rsidRDefault="00026C59" w:rsidP="00026C59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026C59" w:rsidRPr="003952CE" w:rsidRDefault="00026C59" w:rsidP="00026C59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026C59" w:rsidRPr="003952CE" w:rsidRDefault="00026C59" w:rsidP="00026C59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026C59" w:rsidRPr="000A1DC3" w:rsidRDefault="00026C59" w:rsidP="00026C59">
      <w:pPr>
        <w:ind w:left="851"/>
        <w:rPr>
          <w:sz w:val="24"/>
          <w:szCs w:val="24"/>
        </w:rPr>
      </w:pPr>
      <w:r w:rsidRPr="000A1DC3">
        <w:rPr>
          <w:sz w:val="24"/>
          <w:szCs w:val="24"/>
        </w:rPr>
        <w:t xml:space="preserve">Websted: </w:t>
      </w:r>
      <w:hyperlink r:id="rId8" w:history="1">
        <w:r w:rsidRPr="000A1DC3">
          <w:rPr>
            <w:rStyle w:val="Hyperlink"/>
            <w:sz w:val="24"/>
            <w:szCs w:val="24"/>
          </w:rPr>
          <w:t>www.meldenbivirkning.dk</w:t>
        </w:r>
      </w:hyperlink>
    </w:p>
    <w:p w:rsidR="00383ECC" w:rsidRPr="00026C59" w:rsidRDefault="00383ECC" w:rsidP="00383ECC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</w:p>
    <w:p w:rsidR="00383ECC" w:rsidRPr="00E87734" w:rsidRDefault="00383ECC" w:rsidP="00383ECC">
      <w:pPr>
        <w:ind w:left="851" w:hanging="851"/>
        <w:rPr>
          <w:b/>
          <w:sz w:val="24"/>
          <w:szCs w:val="24"/>
        </w:rPr>
      </w:pPr>
      <w:r w:rsidRPr="00E87734">
        <w:rPr>
          <w:b/>
          <w:sz w:val="24"/>
          <w:szCs w:val="24"/>
        </w:rPr>
        <w:t>4.9</w:t>
      </w:r>
      <w:r w:rsidRPr="00E87734">
        <w:rPr>
          <w:b/>
          <w:sz w:val="24"/>
          <w:szCs w:val="24"/>
        </w:rPr>
        <w:tab/>
        <w:t>Overdosering</w:t>
      </w:r>
    </w:p>
    <w:p w:rsidR="00383ECC" w:rsidRPr="00E87734" w:rsidRDefault="00383ECC" w:rsidP="00562982">
      <w:pPr>
        <w:ind w:left="851"/>
        <w:rPr>
          <w:sz w:val="24"/>
          <w:szCs w:val="24"/>
        </w:rPr>
      </w:pPr>
    </w:p>
    <w:p w:rsidR="00383ECC" w:rsidRPr="00E87734" w:rsidRDefault="00383ECC" w:rsidP="00DD7542">
      <w:pPr>
        <w:ind w:left="851"/>
        <w:rPr>
          <w:i/>
          <w:sz w:val="24"/>
          <w:szCs w:val="24"/>
        </w:rPr>
      </w:pPr>
      <w:r w:rsidRPr="00E87734">
        <w:rPr>
          <w:i/>
          <w:sz w:val="24"/>
          <w:szCs w:val="24"/>
        </w:rPr>
        <w:t>Symptomer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>Kvalme og opkast.</w:t>
      </w:r>
    </w:p>
    <w:p w:rsidR="006A1969" w:rsidRPr="009062D8" w:rsidRDefault="006A1969" w:rsidP="00DD7542">
      <w:pPr>
        <w:ind w:left="851"/>
        <w:rPr>
          <w:sz w:val="24"/>
          <w:szCs w:val="24"/>
        </w:rPr>
      </w:pPr>
    </w:p>
    <w:p w:rsidR="00383ECC" w:rsidRPr="009062D8" w:rsidRDefault="00383ECC" w:rsidP="00DD7542">
      <w:pPr>
        <w:ind w:left="851"/>
        <w:rPr>
          <w:i/>
          <w:sz w:val="24"/>
          <w:szCs w:val="24"/>
        </w:rPr>
      </w:pPr>
      <w:r w:rsidRPr="009062D8">
        <w:rPr>
          <w:i/>
          <w:sz w:val="24"/>
          <w:szCs w:val="24"/>
        </w:rPr>
        <w:t>Behandling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>Symptomatisk.</w:t>
      </w:r>
    </w:p>
    <w:p w:rsidR="00383ECC" w:rsidRPr="009062D8" w:rsidRDefault="00383ECC" w:rsidP="00DD7542">
      <w:pPr>
        <w:ind w:left="851"/>
        <w:rPr>
          <w:sz w:val="24"/>
          <w:szCs w:val="24"/>
        </w:rPr>
      </w:pPr>
    </w:p>
    <w:p w:rsidR="00383ECC" w:rsidRPr="009062D8" w:rsidRDefault="00383ECC" w:rsidP="00DD7542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>Der er rapporteret om et enkelt tilfælde af dødeligt epileptisk anfald og hjerneødem efter massiv intravenøs overdosering.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4.10</w:t>
      </w:r>
      <w:r w:rsidRPr="009062D8">
        <w:rPr>
          <w:b/>
          <w:sz w:val="24"/>
          <w:szCs w:val="24"/>
        </w:rPr>
        <w:tab/>
        <w:t>Udlevering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  <w:t>HF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486BA0" w:rsidRPr="00C84483" w:rsidRDefault="00486BA0" w:rsidP="00486BA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486BA0" w:rsidRPr="00C84483" w:rsidRDefault="00486BA0" w:rsidP="00486BA0">
      <w:pPr>
        <w:tabs>
          <w:tab w:val="left" w:pos="851"/>
        </w:tabs>
        <w:ind w:left="851"/>
        <w:rPr>
          <w:sz w:val="24"/>
          <w:szCs w:val="24"/>
        </w:rPr>
      </w:pPr>
    </w:p>
    <w:p w:rsidR="00486BA0" w:rsidRPr="00C84483" w:rsidRDefault="00486BA0" w:rsidP="00486BA0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DD7542" w:rsidRPr="009062D8" w:rsidRDefault="00DD7542" w:rsidP="00486BA0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r w:rsidRPr="009062D8">
        <w:rPr>
          <w:sz w:val="24"/>
          <w:szCs w:val="24"/>
        </w:rPr>
        <w:t xml:space="preserve">Midler mod hoste og forkølelse, </w:t>
      </w:r>
      <w:proofErr w:type="spellStart"/>
      <w:r w:rsidRPr="009062D8">
        <w:rPr>
          <w:sz w:val="24"/>
          <w:szCs w:val="24"/>
        </w:rPr>
        <w:t>mycolytica</w:t>
      </w:r>
      <w:proofErr w:type="spellEnd"/>
      <w:r>
        <w:rPr>
          <w:sz w:val="24"/>
          <w:szCs w:val="24"/>
        </w:rPr>
        <w:t xml:space="preserve">, </w:t>
      </w:r>
      <w:r w:rsidRPr="009062D8">
        <w:rPr>
          <w:sz w:val="24"/>
          <w:szCs w:val="24"/>
        </w:rPr>
        <w:t>ATC-kode: R05CB01.</w:t>
      </w:r>
    </w:p>
    <w:p w:rsidR="00DD7542" w:rsidRDefault="00DD7542" w:rsidP="00486BA0">
      <w:pPr>
        <w:ind w:left="851"/>
        <w:rPr>
          <w:sz w:val="24"/>
          <w:szCs w:val="24"/>
        </w:rPr>
      </w:pPr>
    </w:p>
    <w:p w:rsidR="00383ECC" w:rsidRPr="009062D8" w:rsidRDefault="00383ECC" w:rsidP="00486BA0">
      <w:pPr>
        <w:ind w:left="851"/>
        <w:rPr>
          <w:sz w:val="24"/>
          <w:szCs w:val="24"/>
        </w:rPr>
      </w:pPr>
      <w:proofErr w:type="spellStart"/>
      <w:r w:rsidRPr="009062D8">
        <w:rPr>
          <w:sz w:val="24"/>
          <w:szCs w:val="24"/>
        </w:rPr>
        <w:t>Ekspektorans</w:t>
      </w:r>
      <w:proofErr w:type="spellEnd"/>
      <w:r w:rsidRPr="009062D8">
        <w:rPr>
          <w:sz w:val="24"/>
          <w:szCs w:val="24"/>
        </w:rPr>
        <w:t xml:space="preserve"> som nedsætter viskositeten af </w:t>
      </w:r>
      <w:proofErr w:type="spellStart"/>
      <w:r w:rsidRPr="009062D8">
        <w:rPr>
          <w:sz w:val="24"/>
          <w:szCs w:val="24"/>
        </w:rPr>
        <w:t>mukøst</w:t>
      </w:r>
      <w:proofErr w:type="spellEnd"/>
      <w:r w:rsidRPr="009062D8">
        <w:rPr>
          <w:sz w:val="24"/>
          <w:szCs w:val="24"/>
        </w:rPr>
        <w:t xml:space="preserve"> og </w:t>
      </w:r>
      <w:proofErr w:type="spellStart"/>
      <w:r w:rsidRPr="009062D8">
        <w:rPr>
          <w:sz w:val="24"/>
          <w:szCs w:val="24"/>
        </w:rPr>
        <w:t>purulent</w:t>
      </w:r>
      <w:proofErr w:type="spellEnd"/>
      <w:r w:rsidRPr="009062D8">
        <w:rPr>
          <w:sz w:val="24"/>
          <w:szCs w:val="24"/>
        </w:rPr>
        <w:t xml:space="preserve"> opspyt. Virkningsmekanismen for den orale form er ikke kendt, men antages at have sammenhæng med en fjernelse af de frie radikaler og en evne til at styrke organismens antioxidant-system, muligvis via en omdannelse af N-</w:t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 xml:space="preserve"> til </w:t>
      </w:r>
      <w:proofErr w:type="spellStart"/>
      <w:r w:rsidRPr="009062D8">
        <w:rPr>
          <w:sz w:val="24"/>
          <w:szCs w:val="24"/>
        </w:rPr>
        <w:t>glutathion</w:t>
      </w:r>
      <w:proofErr w:type="spellEnd"/>
      <w:r w:rsidRPr="009062D8">
        <w:rPr>
          <w:sz w:val="24"/>
          <w:szCs w:val="24"/>
        </w:rPr>
        <w:t>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5.2</w:t>
      </w:r>
      <w:r w:rsidRPr="009062D8">
        <w:rPr>
          <w:b/>
          <w:sz w:val="24"/>
          <w:szCs w:val="24"/>
        </w:rPr>
        <w:tab/>
      </w:r>
      <w:proofErr w:type="spellStart"/>
      <w:r w:rsidRPr="009062D8">
        <w:rPr>
          <w:b/>
          <w:sz w:val="24"/>
          <w:szCs w:val="24"/>
        </w:rPr>
        <w:t>Farmakokinetiske</w:t>
      </w:r>
      <w:proofErr w:type="spellEnd"/>
      <w:r w:rsidRPr="009062D8">
        <w:rPr>
          <w:b/>
          <w:sz w:val="24"/>
          <w:szCs w:val="24"/>
        </w:rPr>
        <w:t xml:space="preserve"> egenskaber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 xml:space="preserve"> absorberes hurtigt efter oral indtagelse. Biotilgængeligheden af </w:t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 xml:space="preserve"> efter oral indtagelse er kun ca. 5 %, især på grund af eks</w:t>
      </w:r>
      <w:r w:rsidRPr="009062D8">
        <w:rPr>
          <w:sz w:val="24"/>
          <w:szCs w:val="24"/>
        </w:rPr>
        <w:softHyphen/>
        <w:t xml:space="preserve">tensiv </w:t>
      </w:r>
      <w:proofErr w:type="spellStart"/>
      <w:r w:rsidRPr="009062D8">
        <w:rPr>
          <w:sz w:val="24"/>
          <w:szCs w:val="24"/>
        </w:rPr>
        <w:t>deacetylering</w:t>
      </w:r>
      <w:proofErr w:type="spellEnd"/>
      <w:r w:rsidRPr="009062D8">
        <w:rPr>
          <w:sz w:val="24"/>
          <w:szCs w:val="24"/>
        </w:rPr>
        <w:t xml:space="preserve"> til </w:t>
      </w:r>
      <w:proofErr w:type="spellStart"/>
      <w:r w:rsidRPr="009062D8">
        <w:rPr>
          <w:sz w:val="24"/>
          <w:szCs w:val="24"/>
        </w:rPr>
        <w:t>cystein</w:t>
      </w:r>
      <w:proofErr w:type="spellEnd"/>
      <w:r w:rsidRPr="009062D8">
        <w:rPr>
          <w:sz w:val="24"/>
          <w:szCs w:val="24"/>
        </w:rPr>
        <w:t xml:space="preserve"> i tarmen. </w:t>
      </w:r>
      <w:proofErr w:type="spellStart"/>
      <w:r w:rsidRPr="009062D8">
        <w:rPr>
          <w:sz w:val="24"/>
          <w:szCs w:val="24"/>
        </w:rPr>
        <w:t>Cystein</w:t>
      </w:r>
      <w:proofErr w:type="spellEnd"/>
      <w:r w:rsidRPr="009062D8">
        <w:rPr>
          <w:sz w:val="24"/>
          <w:szCs w:val="24"/>
        </w:rPr>
        <w:t xml:space="preserve"> indgår i dannelsen af </w:t>
      </w:r>
      <w:proofErr w:type="spellStart"/>
      <w:r w:rsidRPr="009062D8">
        <w:rPr>
          <w:sz w:val="24"/>
          <w:szCs w:val="24"/>
        </w:rPr>
        <w:t>glutathion</w:t>
      </w:r>
      <w:proofErr w:type="spellEnd"/>
      <w:r w:rsidRPr="009062D8">
        <w:rPr>
          <w:sz w:val="24"/>
          <w:szCs w:val="24"/>
        </w:rPr>
        <w:t xml:space="preserve">. Maksimal plasmakoncentration nås efter ½ time. </w:t>
      </w:r>
      <w:proofErr w:type="spellStart"/>
      <w:r w:rsidRPr="009062D8">
        <w:rPr>
          <w:sz w:val="24"/>
          <w:szCs w:val="24"/>
        </w:rPr>
        <w:t>Acetylcystein</w:t>
      </w:r>
      <w:proofErr w:type="spellEnd"/>
      <w:r w:rsidRPr="009062D8">
        <w:rPr>
          <w:sz w:val="24"/>
          <w:szCs w:val="24"/>
        </w:rPr>
        <w:t xml:space="preserve"> transporteres ud i vævene især til nyrer og lever samt til lungerne, hvorfra det evt. kan passere ud i bronkialsekretet. Elimineres langsomt. Udskilles gennem nyrerne hovedsageligt som metabolitter.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486BA0" w:rsidRPr="00C84483" w:rsidRDefault="00486BA0" w:rsidP="00486BA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  <w:t>Ikke relevant.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6.</w:t>
      </w:r>
      <w:r w:rsidRPr="009062D8">
        <w:rPr>
          <w:b/>
          <w:sz w:val="24"/>
          <w:szCs w:val="24"/>
        </w:rPr>
        <w:tab/>
        <w:t>FARMACEUTISKE OPLYSNINGER</w:t>
      </w: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6.1</w:t>
      </w:r>
      <w:r w:rsidRPr="009062D8">
        <w:rPr>
          <w:b/>
          <w:sz w:val="24"/>
          <w:szCs w:val="24"/>
        </w:rPr>
        <w:tab/>
        <w:t>Hjælpestoffer</w:t>
      </w:r>
    </w:p>
    <w:p w:rsidR="00383ECC" w:rsidRPr="00486BA0" w:rsidRDefault="00383ECC" w:rsidP="00383ECC">
      <w:pPr>
        <w:ind w:left="851"/>
        <w:rPr>
          <w:sz w:val="24"/>
          <w:szCs w:val="24"/>
        </w:rPr>
      </w:pPr>
    </w:p>
    <w:p w:rsidR="00383ECC" w:rsidRPr="009062D8" w:rsidRDefault="00383ECC" w:rsidP="00383ECC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200 mg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>Citronsyre, vandfri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 xml:space="preserve">Natriumcitrat, </w:t>
      </w:r>
      <w:proofErr w:type="spellStart"/>
      <w:r w:rsidRPr="009062D8">
        <w:rPr>
          <w:sz w:val="24"/>
          <w:szCs w:val="24"/>
        </w:rPr>
        <w:t>dihydrat</w:t>
      </w:r>
      <w:proofErr w:type="spellEnd"/>
    </w:p>
    <w:p w:rsidR="00383ECC" w:rsidRPr="009062D8" w:rsidRDefault="00383ECC" w:rsidP="00383ECC">
      <w:pPr>
        <w:ind w:left="851"/>
        <w:rPr>
          <w:sz w:val="24"/>
          <w:szCs w:val="24"/>
        </w:rPr>
      </w:pPr>
      <w:proofErr w:type="spellStart"/>
      <w:r w:rsidRPr="009062D8">
        <w:rPr>
          <w:sz w:val="24"/>
          <w:szCs w:val="24"/>
        </w:rPr>
        <w:t>Natriumcyclamat</w:t>
      </w:r>
      <w:proofErr w:type="spellEnd"/>
      <w:r w:rsidRPr="009062D8">
        <w:rPr>
          <w:sz w:val="24"/>
          <w:szCs w:val="24"/>
        </w:rPr>
        <w:t xml:space="preserve"> (E952)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  <w:proofErr w:type="spellStart"/>
      <w:r w:rsidRPr="009062D8">
        <w:rPr>
          <w:sz w:val="24"/>
          <w:szCs w:val="24"/>
        </w:rPr>
        <w:t>Saccharinnatrium</w:t>
      </w:r>
      <w:proofErr w:type="spellEnd"/>
      <w:r w:rsidRPr="009062D8">
        <w:rPr>
          <w:sz w:val="24"/>
          <w:szCs w:val="24"/>
        </w:rPr>
        <w:t xml:space="preserve"> (E954)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  <w:proofErr w:type="spellStart"/>
      <w:r w:rsidRPr="009062D8">
        <w:rPr>
          <w:sz w:val="24"/>
          <w:szCs w:val="24"/>
        </w:rPr>
        <w:t>Mannitol</w:t>
      </w:r>
      <w:proofErr w:type="spellEnd"/>
      <w:r w:rsidRPr="009062D8">
        <w:rPr>
          <w:sz w:val="24"/>
          <w:szCs w:val="24"/>
        </w:rPr>
        <w:t xml:space="preserve"> (E421)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  <w:proofErr w:type="spellStart"/>
      <w:r w:rsidRPr="009062D8">
        <w:rPr>
          <w:sz w:val="24"/>
          <w:szCs w:val="24"/>
        </w:rPr>
        <w:t>Natriumhydrogencarbonat</w:t>
      </w:r>
      <w:proofErr w:type="spellEnd"/>
    </w:p>
    <w:p w:rsidR="00383ECC" w:rsidRPr="00C56049" w:rsidRDefault="00383ECC" w:rsidP="00383ECC">
      <w:pPr>
        <w:ind w:left="851"/>
        <w:rPr>
          <w:sz w:val="24"/>
          <w:szCs w:val="24"/>
        </w:rPr>
      </w:pPr>
      <w:proofErr w:type="spellStart"/>
      <w:r w:rsidRPr="00C56049">
        <w:rPr>
          <w:sz w:val="24"/>
          <w:szCs w:val="24"/>
        </w:rPr>
        <w:t>Natriumcarbonat</w:t>
      </w:r>
      <w:proofErr w:type="spellEnd"/>
      <w:r w:rsidRPr="00C56049">
        <w:rPr>
          <w:sz w:val="24"/>
          <w:szCs w:val="24"/>
        </w:rPr>
        <w:t>, vandfri</w:t>
      </w:r>
    </w:p>
    <w:p w:rsidR="00383ECC" w:rsidRPr="009062D8" w:rsidRDefault="00383ECC" w:rsidP="00383ECC">
      <w:pPr>
        <w:ind w:left="851"/>
        <w:rPr>
          <w:sz w:val="24"/>
          <w:szCs w:val="24"/>
          <w:lang w:val="en-US"/>
        </w:rPr>
      </w:pPr>
      <w:r w:rsidRPr="009062D8">
        <w:rPr>
          <w:sz w:val="24"/>
          <w:szCs w:val="24"/>
          <w:lang w:val="en-US"/>
        </w:rPr>
        <w:t xml:space="preserve">Lactose, </w:t>
      </w:r>
      <w:proofErr w:type="spellStart"/>
      <w:r w:rsidRPr="009062D8">
        <w:rPr>
          <w:sz w:val="24"/>
          <w:szCs w:val="24"/>
          <w:lang w:val="en-US"/>
        </w:rPr>
        <w:t>vandfri</w:t>
      </w:r>
      <w:proofErr w:type="spellEnd"/>
    </w:p>
    <w:p w:rsidR="00383ECC" w:rsidRPr="009062D8" w:rsidRDefault="00383ECC" w:rsidP="00383ECC">
      <w:pPr>
        <w:ind w:left="851"/>
        <w:rPr>
          <w:sz w:val="24"/>
          <w:szCs w:val="24"/>
          <w:lang w:val="en-US"/>
        </w:rPr>
      </w:pPr>
      <w:proofErr w:type="spellStart"/>
      <w:r w:rsidRPr="009062D8">
        <w:rPr>
          <w:sz w:val="24"/>
          <w:szCs w:val="24"/>
          <w:lang w:val="en-US"/>
        </w:rPr>
        <w:t>Citronaroma</w:t>
      </w:r>
      <w:proofErr w:type="spellEnd"/>
    </w:p>
    <w:p w:rsidR="00383ECC" w:rsidRPr="009062D8" w:rsidRDefault="00383ECC" w:rsidP="00383ECC">
      <w:pPr>
        <w:ind w:left="851"/>
        <w:rPr>
          <w:sz w:val="24"/>
          <w:szCs w:val="24"/>
          <w:lang w:val="en-US"/>
        </w:rPr>
      </w:pPr>
    </w:p>
    <w:p w:rsidR="00383ECC" w:rsidRPr="00DF12A0" w:rsidRDefault="00383ECC" w:rsidP="00383ECC">
      <w:pPr>
        <w:ind w:left="851"/>
        <w:rPr>
          <w:sz w:val="24"/>
          <w:szCs w:val="24"/>
          <w:u w:val="single"/>
          <w:lang w:val="en-US"/>
        </w:rPr>
      </w:pPr>
      <w:proofErr w:type="spellStart"/>
      <w:r w:rsidRPr="00DF12A0">
        <w:rPr>
          <w:sz w:val="24"/>
          <w:szCs w:val="24"/>
          <w:u w:val="single"/>
          <w:lang w:val="en-US"/>
        </w:rPr>
        <w:t>Citronaroma</w:t>
      </w:r>
      <w:proofErr w:type="spellEnd"/>
    </w:p>
    <w:p w:rsidR="00383ECC" w:rsidRPr="009062D8" w:rsidRDefault="00383ECC" w:rsidP="00383ECC">
      <w:pPr>
        <w:ind w:left="851"/>
        <w:rPr>
          <w:sz w:val="24"/>
          <w:szCs w:val="24"/>
          <w:lang w:val="en-US"/>
        </w:rPr>
      </w:pPr>
      <w:proofErr w:type="spellStart"/>
      <w:r w:rsidRPr="009062D8">
        <w:rPr>
          <w:sz w:val="24"/>
          <w:szCs w:val="24"/>
          <w:lang w:val="en-US"/>
        </w:rPr>
        <w:t>Citrusolier</w:t>
      </w:r>
      <w:proofErr w:type="spellEnd"/>
    </w:p>
    <w:p w:rsidR="00383ECC" w:rsidRPr="009062D8" w:rsidRDefault="00383ECC" w:rsidP="00383ECC">
      <w:pPr>
        <w:ind w:left="851"/>
        <w:rPr>
          <w:sz w:val="24"/>
          <w:szCs w:val="24"/>
          <w:lang w:val="en-US"/>
        </w:rPr>
      </w:pPr>
      <w:r w:rsidRPr="009062D8">
        <w:rPr>
          <w:sz w:val="24"/>
          <w:szCs w:val="24"/>
          <w:lang w:val="en-US"/>
        </w:rPr>
        <w:t>Mannitol (E421)</w:t>
      </w:r>
    </w:p>
    <w:p w:rsidR="00383ECC" w:rsidRPr="009062D8" w:rsidRDefault="00383ECC" w:rsidP="00383ECC">
      <w:pPr>
        <w:ind w:left="851"/>
        <w:rPr>
          <w:sz w:val="24"/>
          <w:szCs w:val="24"/>
          <w:lang w:val="en-US"/>
        </w:rPr>
      </w:pPr>
      <w:r w:rsidRPr="009062D8">
        <w:rPr>
          <w:sz w:val="24"/>
          <w:szCs w:val="24"/>
          <w:lang w:val="en-US"/>
        </w:rPr>
        <w:t>Maltodextrin</w:t>
      </w:r>
    </w:p>
    <w:p w:rsidR="00383ECC" w:rsidRPr="009062D8" w:rsidRDefault="00383ECC" w:rsidP="00383ECC">
      <w:pPr>
        <w:ind w:left="851"/>
        <w:rPr>
          <w:sz w:val="24"/>
          <w:szCs w:val="24"/>
          <w:lang w:val="en-US"/>
        </w:rPr>
      </w:pPr>
      <w:proofErr w:type="spellStart"/>
      <w:r w:rsidRPr="009062D8">
        <w:rPr>
          <w:sz w:val="24"/>
          <w:szCs w:val="24"/>
          <w:lang w:val="en-US"/>
        </w:rPr>
        <w:t>Gluconolacton</w:t>
      </w:r>
      <w:proofErr w:type="spellEnd"/>
    </w:p>
    <w:p w:rsidR="00383ECC" w:rsidRPr="009062D8" w:rsidRDefault="00383ECC" w:rsidP="00383ECC">
      <w:pPr>
        <w:ind w:left="851"/>
        <w:rPr>
          <w:sz w:val="24"/>
          <w:szCs w:val="24"/>
          <w:lang w:val="en-US"/>
        </w:rPr>
      </w:pPr>
      <w:r w:rsidRPr="009062D8">
        <w:rPr>
          <w:sz w:val="24"/>
          <w:szCs w:val="24"/>
          <w:lang w:val="en-US"/>
        </w:rPr>
        <w:t>Sorbitol (E420)</w:t>
      </w:r>
    </w:p>
    <w:p w:rsidR="00383ECC" w:rsidRPr="009062D8" w:rsidRDefault="00383ECC" w:rsidP="00383ECC">
      <w:pPr>
        <w:ind w:left="851"/>
        <w:rPr>
          <w:sz w:val="24"/>
          <w:szCs w:val="24"/>
          <w:lang w:val="en-US"/>
        </w:rPr>
      </w:pPr>
      <w:r w:rsidRPr="009062D8">
        <w:rPr>
          <w:sz w:val="24"/>
          <w:szCs w:val="24"/>
          <w:lang w:val="en-US"/>
        </w:rPr>
        <w:t xml:space="preserve">Silica, colloid </w:t>
      </w:r>
      <w:proofErr w:type="spellStart"/>
      <w:r w:rsidRPr="009062D8">
        <w:rPr>
          <w:sz w:val="24"/>
          <w:szCs w:val="24"/>
          <w:lang w:val="en-US"/>
        </w:rPr>
        <w:t>vandfri</w:t>
      </w:r>
      <w:proofErr w:type="spellEnd"/>
    </w:p>
    <w:p w:rsidR="00383ECC" w:rsidRPr="009062D8" w:rsidRDefault="00383ECC" w:rsidP="00383ECC">
      <w:pPr>
        <w:ind w:left="851"/>
        <w:rPr>
          <w:sz w:val="24"/>
          <w:szCs w:val="24"/>
          <w:lang w:val="en-US"/>
        </w:rPr>
      </w:pPr>
    </w:p>
    <w:p w:rsidR="00383ECC" w:rsidRPr="009062D8" w:rsidRDefault="00383ECC" w:rsidP="00383ECC">
      <w:pPr>
        <w:ind w:left="851"/>
        <w:rPr>
          <w:b/>
          <w:sz w:val="24"/>
          <w:szCs w:val="24"/>
        </w:rPr>
      </w:pPr>
      <w:r>
        <w:rPr>
          <w:b/>
          <w:sz w:val="24"/>
          <w:szCs w:val="24"/>
        </w:rPr>
        <w:t>600 mg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>Citronsyre, vandfri</w:t>
      </w:r>
    </w:p>
    <w:p w:rsidR="00383ECC" w:rsidRPr="009062D8" w:rsidRDefault="00383ECC" w:rsidP="00383ECC">
      <w:pPr>
        <w:ind w:left="851"/>
        <w:rPr>
          <w:sz w:val="24"/>
          <w:szCs w:val="24"/>
        </w:rPr>
      </w:pPr>
      <w:proofErr w:type="spellStart"/>
      <w:r w:rsidRPr="009062D8">
        <w:rPr>
          <w:sz w:val="24"/>
          <w:szCs w:val="24"/>
        </w:rPr>
        <w:t>Ascorbinsyre</w:t>
      </w:r>
      <w:proofErr w:type="spellEnd"/>
    </w:p>
    <w:p w:rsidR="00383ECC" w:rsidRPr="009062D8" w:rsidRDefault="00383ECC" w:rsidP="00383ECC">
      <w:pPr>
        <w:ind w:left="851"/>
        <w:rPr>
          <w:sz w:val="24"/>
          <w:szCs w:val="24"/>
        </w:rPr>
      </w:pPr>
      <w:r w:rsidRPr="009062D8">
        <w:rPr>
          <w:sz w:val="24"/>
          <w:szCs w:val="24"/>
        </w:rPr>
        <w:t xml:space="preserve">Natriumcitrat, </w:t>
      </w:r>
      <w:proofErr w:type="spellStart"/>
      <w:r w:rsidRPr="009062D8">
        <w:rPr>
          <w:sz w:val="24"/>
          <w:szCs w:val="24"/>
        </w:rPr>
        <w:t>dihydrat</w:t>
      </w:r>
      <w:proofErr w:type="spellEnd"/>
    </w:p>
    <w:p w:rsidR="00383ECC" w:rsidRPr="009062D8" w:rsidRDefault="00383ECC" w:rsidP="00383ECC">
      <w:pPr>
        <w:ind w:left="851"/>
        <w:rPr>
          <w:sz w:val="24"/>
          <w:szCs w:val="24"/>
          <w:lang w:val="en-US"/>
        </w:rPr>
      </w:pPr>
      <w:proofErr w:type="spellStart"/>
      <w:r w:rsidRPr="009062D8">
        <w:rPr>
          <w:sz w:val="24"/>
          <w:szCs w:val="24"/>
          <w:lang w:val="en-US"/>
        </w:rPr>
        <w:t>Natriumcyclamat</w:t>
      </w:r>
      <w:proofErr w:type="spellEnd"/>
      <w:r w:rsidRPr="009062D8">
        <w:rPr>
          <w:sz w:val="24"/>
          <w:szCs w:val="24"/>
          <w:lang w:val="en-US"/>
        </w:rPr>
        <w:t xml:space="preserve"> (E952)</w:t>
      </w:r>
    </w:p>
    <w:p w:rsidR="00383ECC" w:rsidRPr="009062D8" w:rsidRDefault="00383ECC" w:rsidP="00383ECC">
      <w:pPr>
        <w:ind w:left="851"/>
        <w:rPr>
          <w:sz w:val="24"/>
          <w:szCs w:val="24"/>
          <w:lang w:val="en-US"/>
        </w:rPr>
      </w:pPr>
      <w:proofErr w:type="spellStart"/>
      <w:r w:rsidRPr="009062D8">
        <w:rPr>
          <w:sz w:val="24"/>
          <w:szCs w:val="24"/>
          <w:lang w:val="en-US"/>
        </w:rPr>
        <w:t>Saccharinnatrium</w:t>
      </w:r>
      <w:proofErr w:type="spellEnd"/>
      <w:r w:rsidRPr="009062D8">
        <w:rPr>
          <w:sz w:val="24"/>
          <w:szCs w:val="24"/>
          <w:lang w:val="en-US"/>
        </w:rPr>
        <w:t xml:space="preserve"> (E954)</w:t>
      </w:r>
    </w:p>
    <w:p w:rsidR="00383ECC" w:rsidRPr="009062D8" w:rsidRDefault="00383ECC" w:rsidP="00383ECC">
      <w:pPr>
        <w:ind w:left="851"/>
        <w:rPr>
          <w:sz w:val="24"/>
          <w:szCs w:val="24"/>
          <w:lang w:val="en-US"/>
        </w:rPr>
      </w:pPr>
      <w:r w:rsidRPr="009062D8">
        <w:rPr>
          <w:sz w:val="24"/>
          <w:szCs w:val="24"/>
          <w:lang w:val="en-US"/>
        </w:rPr>
        <w:t>Mannitol (E421)</w:t>
      </w:r>
    </w:p>
    <w:p w:rsidR="00383ECC" w:rsidRPr="009062D8" w:rsidRDefault="00383ECC" w:rsidP="00383ECC">
      <w:pPr>
        <w:ind w:left="851"/>
        <w:rPr>
          <w:sz w:val="24"/>
          <w:szCs w:val="24"/>
          <w:lang w:val="en-US"/>
        </w:rPr>
      </w:pPr>
      <w:proofErr w:type="spellStart"/>
      <w:r w:rsidRPr="009062D8">
        <w:rPr>
          <w:sz w:val="24"/>
          <w:szCs w:val="24"/>
          <w:lang w:val="en-US"/>
        </w:rPr>
        <w:t>Natriumhydrogencarbonat</w:t>
      </w:r>
      <w:proofErr w:type="spellEnd"/>
    </w:p>
    <w:p w:rsidR="00383ECC" w:rsidRPr="009062D8" w:rsidRDefault="00383ECC" w:rsidP="00383ECC">
      <w:pPr>
        <w:ind w:left="851"/>
        <w:rPr>
          <w:sz w:val="24"/>
          <w:szCs w:val="24"/>
          <w:lang w:val="en-US"/>
        </w:rPr>
      </w:pPr>
      <w:proofErr w:type="spellStart"/>
      <w:r w:rsidRPr="009062D8">
        <w:rPr>
          <w:sz w:val="24"/>
          <w:szCs w:val="24"/>
          <w:lang w:val="en-US"/>
        </w:rPr>
        <w:t>Natriumcarbonat</w:t>
      </w:r>
      <w:proofErr w:type="spellEnd"/>
      <w:r w:rsidRPr="009062D8">
        <w:rPr>
          <w:sz w:val="24"/>
          <w:szCs w:val="24"/>
          <w:lang w:val="en-US"/>
        </w:rPr>
        <w:t xml:space="preserve">, </w:t>
      </w:r>
      <w:proofErr w:type="spellStart"/>
      <w:r w:rsidRPr="009062D8">
        <w:rPr>
          <w:sz w:val="24"/>
          <w:szCs w:val="24"/>
          <w:lang w:val="en-US"/>
        </w:rPr>
        <w:t>vandfri</w:t>
      </w:r>
      <w:proofErr w:type="spellEnd"/>
    </w:p>
    <w:p w:rsidR="00383ECC" w:rsidRPr="009062D8" w:rsidRDefault="00383ECC" w:rsidP="00383ECC">
      <w:pPr>
        <w:ind w:left="851"/>
        <w:rPr>
          <w:sz w:val="24"/>
          <w:szCs w:val="24"/>
          <w:lang w:val="en-US"/>
        </w:rPr>
      </w:pPr>
      <w:r w:rsidRPr="009062D8">
        <w:rPr>
          <w:sz w:val="24"/>
          <w:szCs w:val="24"/>
          <w:lang w:val="en-US"/>
        </w:rPr>
        <w:t xml:space="preserve">Lactose, </w:t>
      </w:r>
      <w:proofErr w:type="spellStart"/>
      <w:r w:rsidRPr="009062D8">
        <w:rPr>
          <w:sz w:val="24"/>
          <w:szCs w:val="24"/>
          <w:lang w:val="en-US"/>
        </w:rPr>
        <w:t>vandfri</w:t>
      </w:r>
      <w:proofErr w:type="spellEnd"/>
    </w:p>
    <w:p w:rsidR="00383ECC" w:rsidRPr="009062D8" w:rsidRDefault="00383ECC" w:rsidP="00383ECC">
      <w:pPr>
        <w:ind w:left="851"/>
        <w:rPr>
          <w:sz w:val="24"/>
          <w:szCs w:val="24"/>
          <w:lang w:val="en-US"/>
        </w:rPr>
      </w:pPr>
      <w:proofErr w:type="spellStart"/>
      <w:r w:rsidRPr="009062D8">
        <w:rPr>
          <w:sz w:val="24"/>
          <w:szCs w:val="24"/>
          <w:lang w:val="en-US"/>
        </w:rPr>
        <w:t>Citronaroma</w:t>
      </w:r>
      <w:proofErr w:type="spellEnd"/>
    </w:p>
    <w:p w:rsidR="00383ECC" w:rsidRPr="009062D8" w:rsidRDefault="00383ECC" w:rsidP="00383ECC">
      <w:pPr>
        <w:rPr>
          <w:sz w:val="24"/>
          <w:szCs w:val="24"/>
          <w:lang w:val="en-US"/>
        </w:rPr>
      </w:pPr>
    </w:p>
    <w:p w:rsidR="00383ECC" w:rsidRPr="009062D8" w:rsidRDefault="00383ECC" w:rsidP="00383ECC">
      <w:pPr>
        <w:tabs>
          <w:tab w:val="left" w:pos="851"/>
        </w:tabs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6.2</w:t>
      </w:r>
      <w:r>
        <w:rPr>
          <w:b/>
          <w:sz w:val="24"/>
          <w:szCs w:val="24"/>
        </w:rPr>
        <w:tab/>
      </w:r>
      <w:r w:rsidRPr="009062D8">
        <w:rPr>
          <w:b/>
          <w:sz w:val="24"/>
          <w:szCs w:val="24"/>
        </w:rPr>
        <w:t>Uforligeligheder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  <w:t>Ikke relevant.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6.3</w:t>
      </w:r>
      <w:r w:rsidRPr="009062D8">
        <w:rPr>
          <w:b/>
          <w:sz w:val="24"/>
          <w:szCs w:val="24"/>
        </w:rPr>
        <w:tab/>
        <w:t>Opbevaringstid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  <w:t>3 år.</w:t>
      </w:r>
    </w:p>
    <w:p w:rsidR="00980B05" w:rsidRDefault="00980B05" w:rsidP="00980B05">
      <w:pPr>
        <w:ind w:left="851"/>
        <w:rPr>
          <w:sz w:val="24"/>
          <w:szCs w:val="24"/>
        </w:rPr>
      </w:pPr>
      <w:r>
        <w:rPr>
          <w:sz w:val="24"/>
          <w:szCs w:val="24"/>
        </w:rPr>
        <w:t>Holdbarhed efter anbrud: 2 år.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6.4</w:t>
      </w:r>
      <w:r w:rsidRPr="009062D8">
        <w:rPr>
          <w:b/>
          <w:sz w:val="24"/>
          <w:szCs w:val="24"/>
        </w:rPr>
        <w:tab/>
        <w:t>Særlige opbevaringsforhold</w:t>
      </w:r>
    </w:p>
    <w:p w:rsidR="00DD7542" w:rsidRPr="00947A9B" w:rsidRDefault="00DD7542" w:rsidP="00DD7542">
      <w:pPr>
        <w:ind w:left="851" w:hanging="851"/>
        <w:rPr>
          <w:sz w:val="24"/>
          <w:szCs w:val="24"/>
        </w:rPr>
      </w:pPr>
      <w:r w:rsidRPr="00947A9B">
        <w:rPr>
          <w:sz w:val="24"/>
          <w:szCs w:val="24"/>
        </w:rPr>
        <w:tab/>
        <w:t>Må ikke opbevares ved temperaturer over 30 °C.</w:t>
      </w:r>
    </w:p>
    <w:p w:rsidR="00947A9B" w:rsidRDefault="00947A9B" w:rsidP="00947A9B">
      <w:pPr>
        <w:ind w:left="851"/>
        <w:rPr>
          <w:sz w:val="24"/>
          <w:szCs w:val="24"/>
        </w:rPr>
      </w:pPr>
      <w:r w:rsidRPr="00947A9B">
        <w:rPr>
          <w:sz w:val="24"/>
          <w:szCs w:val="24"/>
        </w:rPr>
        <w:t>Opbevares i den originale beholder</w:t>
      </w:r>
      <w:r w:rsidR="004D2670">
        <w:rPr>
          <w:sz w:val="24"/>
          <w:szCs w:val="24"/>
        </w:rPr>
        <w:t>,</w:t>
      </w:r>
      <w:r w:rsidRPr="00947A9B">
        <w:rPr>
          <w:sz w:val="24"/>
          <w:szCs w:val="24"/>
        </w:rPr>
        <w:t xml:space="preserve"> for at beskytte mod fugt.</w:t>
      </w:r>
    </w:p>
    <w:p w:rsidR="00383ECC" w:rsidRPr="00947A9B" w:rsidRDefault="00383ECC" w:rsidP="00383ECC">
      <w:pPr>
        <w:ind w:left="851" w:hanging="851"/>
        <w:rPr>
          <w:sz w:val="24"/>
          <w:szCs w:val="24"/>
        </w:rPr>
      </w:pPr>
    </w:p>
    <w:p w:rsidR="00486BA0" w:rsidRPr="00C84483" w:rsidRDefault="00486BA0" w:rsidP="00486BA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  <w:t xml:space="preserve">200 mg: Polypropylenrør med </w:t>
      </w:r>
      <w:proofErr w:type="spellStart"/>
      <w:r w:rsidRPr="009062D8">
        <w:rPr>
          <w:sz w:val="24"/>
          <w:szCs w:val="24"/>
        </w:rPr>
        <w:t>polyethylenlåg</w:t>
      </w:r>
      <w:proofErr w:type="spellEnd"/>
      <w:r w:rsidRPr="009062D8">
        <w:rPr>
          <w:sz w:val="24"/>
          <w:szCs w:val="24"/>
        </w:rPr>
        <w:t xml:space="preserve"> og tørrekapsel.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  <w:t xml:space="preserve">600 mg: Polypropylenrør med </w:t>
      </w:r>
      <w:proofErr w:type="spellStart"/>
      <w:r w:rsidRPr="009062D8">
        <w:rPr>
          <w:sz w:val="24"/>
          <w:szCs w:val="24"/>
        </w:rPr>
        <w:t>polyethylenlåg</w:t>
      </w:r>
      <w:proofErr w:type="spellEnd"/>
      <w:r w:rsidRPr="009062D8">
        <w:rPr>
          <w:sz w:val="24"/>
          <w:szCs w:val="24"/>
        </w:rPr>
        <w:t xml:space="preserve"> og tørrekapsel.</w:t>
      </w:r>
    </w:p>
    <w:p w:rsidR="00383ECC" w:rsidRPr="001916E3" w:rsidRDefault="00383ECC" w:rsidP="00383ECC">
      <w:pPr>
        <w:ind w:left="851"/>
        <w:rPr>
          <w:sz w:val="24"/>
          <w:szCs w:val="24"/>
        </w:rPr>
      </w:pPr>
    </w:p>
    <w:p w:rsidR="00383ECC" w:rsidRPr="001916E3" w:rsidRDefault="00383ECC" w:rsidP="00383ECC">
      <w:pPr>
        <w:pStyle w:val="Brdtekst"/>
        <w:spacing w:after="0"/>
        <w:ind w:firstLine="851"/>
        <w:rPr>
          <w:sz w:val="24"/>
          <w:szCs w:val="24"/>
        </w:rPr>
      </w:pPr>
      <w:r w:rsidRPr="001916E3">
        <w:rPr>
          <w:sz w:val="24"/>
          <w:szCs w:val="24"/>
        </w:rPr>
        <w:t>Pakningsstørrelser:</w:t>
      </w:r>
    </w:p>
    <w:p w:rsidR="00383ECC" w:rsidRPr="001916E3" w:rsidRDefault="00383ECC" w:rsidP="00383ECC">
      <w:pPr>
        <w:ind w:firstLine="851"/>
        <w:rPr>
          <w:sz w:val="24"/>
          <w:szCs w:val="24"/>
          <w:lang w:val="nb-NO"/>
        </w:rPr>
      </w:pPr>
      <w:r w:rsidRPr="001916E3">
        <w:rPr>
          <w:sz w:val="24"/>
          <w:szCs w:val="24"/>
          <w:lang w:val="nb-NO"/>
        </w:rPr>
        <w:t xml:space="preserve">200 mg: 20, </w:t>
      </w:r>
      <w:r>
        <w:rPr>
          <w:sz w:val="24"/>
          <w:szCs w:val="24"/>
          <w:lang w:val="nb-NO"/>
        </w:rPr>
        <w:t xml:space="preserve">25, </w:t>
      </w:r>
      <w:r w:rsidRPr="001916E3">
        <w:rPr>
          <w:sz w:val="24"/>
          <w:szCs w:val="24"/>
          <w:lang w:val="nb-NO"/>
        </w:rPr>
        <w:t>2</w:t>
      </w:r>
      <w:r>
        <w:rPr>
          <w:sz w:val="24"/>
          <w:szCs w:val="24"/>
          <w:lang w:val="nb-NO"/>
        </w:rPr>
        <w:t>×</w:t>
      </w:r>
      <w:r w:rsidRPr="001916E3">
        <w:rPr>
          <w:sz w:val="24"/>
          <w:szCs w:val="24"/>
          <w:lang w:val="nb-NO"/>
        </w:rPr>
        <w:t>20, 3</w:t>
      </w:r>
      <w:r>
        <w:rPr>
          <w:sz w:val="24"/>
          <w:szCs w:val="24"/>
          <w:lang w:val="nb-NO"/>
        </w:rPr>
        <w:t>×</w:t>
      </w:r>
      <w:r w:rsidRPr="001916E3">
        <w:rPr>
          <w:sz w:val="24"/>
          <w:szCs w:val="24"/>
          <w:lang w:val="nb-NO"/>
        </w:rPr>
        <w:t>20</w:t>
      </w:r>
      <w:r>
        <w:rPr>
          <w:sz w:val="24"/>
          <w:szCs w:val="24"/>
          <w:lang w:val="nb-NO"/>
        </w:rPr>
        <w:t>,</w:t>
      </w:r>
      <w:r w:rsidRPr="001916E3">
        <w:rPr>
          <w:sz w:val="24"/>
          <w:szCs w:val="24"/>
          <w:lang w:val="nb-NO"/>
        </w:rPr>
        <w:t xml:space="preserve"> 5</w:t>
      </w:r>
      <w:r>
        <w:rPr>
          <w:sz w:val="24"/>
          <w:szCs w:val="24"/>
          <w:lang w:val="nb-NO"/>
        </w:rPr>
        <w:t>×</w:t>
      </w:r>
      <w:r w:rsidRPr="001916E3">
        <w:rPr>
          <w:sz w:val="24"/>
          <w:szCs w:val="24"/>
          <w:lang w:val="nb-NO"/>
        </w:rPr>
        <w:t>20</w:t>
      </w:r>
      <w:r>
        <w:rPr>
          <w:sz w:val="24"/>
          <w:szCs w:val="24"/>
          <w:lang w:val="nb-NO"/>
        </w:rPr>
        <w:t>, 2×25 og 4×25</w:t>
      </w:r>
      <w:r w:rsidRPr="001916E3">
        <w:rPr>
          <w:sz w:val="24"/>
          <w:szCs w:val="24"/>
          <w:lang w:val="nb-NO"/>
        </w:rPr>
        <w:t xml:space="preserve"> brusetabletter.</w:t>
      </w:r>
    </w:p>
    <w:p w:rsidR="00383ECC" w:rsidRPr="001916E3" w:rsidRDefault="00383ECC" w:rsidP="00383ECC">
      <w:pPr>
        <w:ind w:firstLine="851"/>
        <w:rPr>
          <w:sz w:val="24"/>
          <w:szCs w:val="24"/>
          <w:lang w:val="nb-NO"/>
        </w:rPr>
      </w:pPr>
      <w:r w:rsidRPr="001916E3">
        <w:rPr>
          <w:sz w:val="24"/>
          <w:szCs w:val="24"/>
          <w:lang w:val="nb-NO"/>
        </w:rPr>
        <w:t xml:space="preserve">600 mg: 10, 20, </w:t>
      </w:r>
      <w:r>
        <w:rPr>
          <w:sz w:val="24"/>
          <w:szCs w:val="24"/>
          <w:lang w:val="nb-NO"/>
        </w:rPr>
        <w:t xml:space="preserve">25, </w:t>
      </w:r>
      <w:r w:rsidRPr="001916E3">
        <w:rPr>
          <w:sz w:val="24"/>
          <w:szCs w:val="24"/>
          <w:lang w:val="nb-NO"/>
        </w:rPr>
        <w:t>5</w:t>
      </w:r>
      <w:r>
        <w:rPr>
          <w:sz w:val="24"/>
          <w:szCs w:val="24"/>
          <w:lang w:val="nb-NO"/>
        </w:rPr>
        <w:t>×</w:t>
      </w:r>
      <w:r w:rsidRPr="001916E3">
        <w:rPr>
          <w:sz w:val="24"/>
          <w:szCs w:val="24"/>
          <w:lang w:val="nb-NO"/>
        </w:rPr>
        <w:t>10</w:t>
      </w:r>
      <w:r>
        <w:rPr>
          <w:sz w:val="24"/>
          <w:szCs w:val="24"/>
          <w:lang w:val="nb-NO"/>
        </w:rPr>
        <w:t>,</w:t>
      </w:r>
      <w:r w:rsidRPr="001916E3">
        <w:rPr>
          <w:sz w:val="24"/>
          <w:szCs w:val="24"/>
          <w:lang w:val="nb-NO"/>
        </w:rPr>
        <w:t xml:space="preserve"> 5</w:t>
      </w:r>
      <w:r>
        <w:rPr>
          <w:sz w:val="24"/>
          <w:szCs w:val="24"/>
          <w:lang w:val="nb-NO"/>
        </w:rPr>
        <w:t>×</w:t>
      </w:r>
      <w:r w:rsidRPr="001916E3">
        <w:rPr>
          <w:sz w:val="24"/>
          <w:szCs w:val="24"/>
          <w:lang w:val="nb-NO"/>
        </w:rPr>
        <w:t>20</w:t>
      </w:r>
      <w:r>
        <w:rPr>
          <w:sz w:val="24"/>
          <w:szCs w:val="24"/>
          <w:lang w:val="nb-NO"/>
        </w:rPr>
        <w:t>, 2×25 og 4×25</w:t>
      </w:r>
      <w:r w:rsidRPr="001916E3">
        <w:rPr>
          <w:sz w:val="24"/>
          <w:szCs w:val="24"/>
          <w:lang w:val="nb-NO"/>
        </w:rPr>
        <w:t xml:space="preserve"> brusetabletter.</w:t>
      </w:r>
    </w:p>
    <w:p w:rsidR="00383ECC" w:rsidRPr="001916E3" w:rsidRDefault="00383ECC" w:rsidP="00383ECC">
      <w:pPr>
        <w:ind w:left="851"/>
        <w:rPr>
          <w:sz w:val="24"/>
          <w:szCs w:val="24"/>
          <w:lang w:val="nb-NO"/>
        </w:rPr>
      </w:pPr>
    </w:p>
    <w:p w:rsidR="00383ECC" w:rsidRPr="001916E3" w:rsidRDefault="00383ECC" w:rsidP="00383ECC">
      <w:pPr>
        <w:ind w:left="851"/>
        <w:rPr>
          <w:sz w:val="24"/>
          <w:szCs w:val="24"/>
          <w:highlight w:val="yellow"/>
        </w:rPr>
      </w:pPr>
      <w:r w:rsidRPr="001916E3">
        <w:rPr>
          <w:sz w:val="24"/>
          <w:szCs w:val="24"/>
        </w:rPr>
        <w:t>Ikke alle pakningsstørrelser er nødvendigvis markedsført.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486BA0" w:rsidRPr="00C84483" w:rsidRDefault="00486BA0" w:rsidP="00486BA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  <w:t>Ikke anvendt lægemiddel samt affald heraf skal bortskaffes i henhold til lokale retningslinjer.</w:t>
      </w:r>
    </w:p>
    <w:p w:rsidR="00383ECC" w:rsidRPr="009062D8" w:rsidRDefault="00383ECC" w:rsidP="00383ECC">
      <w:pPr>
        <w:ind w:left="851" w:hanging="851"/>
        <w:jc w:val="both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7.</w:t>
      </w:r>
      <w:r w:rsidRPr="009062D8">
        <w:rPr>
          <w:b/>
          <w:sz w:val="24"/>
          <w:szCs w:val="24"/>
        </w:rPr>
        <w:tab/>
        <w:t>INDEHAVER AF MARKEDSFØRINGSTILLADELSEN</w:t>
      </w:r>
    </w:p>
    <w:p w:rsidR="003C182C" w:rsidRPr="00A77C81" w:rsidRDefault="00383ECC" w:rsidP="003C182C">
      <w:pPr>
        <w:tabs>
          <w:tab w:val="left" w:pos="0"/>
          <w:tab w:val="left" w:pos="851"/>
          <w:tab w:val="left" w:pos="3065"/>
        </w:tabs>
        <w:ind w:left="850" w:hanging="850"/>
        <w:jc w:val="both"/>
        <w:rPr>
          <w:spacing w:val="-3"/>
        </w:rPr>
      </w:pPr>
      <w:r w:rsidRPr="009062D8">
        <w:rPr>
          <w:sz w:val="24"/>
          <w:szCs w:val="24"/>
        </w:rPr>
        <w:tab/>
      </w:r>
      <w:r w:rsidR="003C182C" w:rsidRPr="00A77C81">
        <w:rPr>
          <w:spacing w:val="-3"/>
        </w:rPr>
        <w:t xml:space="preserve">Orifarm Healthcare A/S </w:t>
      </w:r>
    </w:p>
    <w:p w:rsidR="003C182C" w:rsidRPr="00A77C81" w:rsidRDefault="003C182C" w:rsidP="003C182C">
      <w:pPr>
        <w:tabs>
          <w:tab w:val="left" w:pos="0"/>
          <w:tab w:val="left" w:pos="851"/>
          <w:tab w:val="left" w:pos="3065"/>
        </w:tabs>
        <w:ind w:left="850" w:hanging="850"/>
        <w:jc w:val="both"/>
        <w:rPr>
          <w:spacing w:val="-3"/>
        </w:rPr>
      </w:pPr>
      <w:r w:rsidRPr="00A77C81">
        <w:rPr>
          <w:spacing w:val="-3"/>
        </w:rPr>
        <w:tab/>
        <w:t>Energivej 15</w:t>
      </w:r>
    </w:p>
    <w:p w:rsidR="003C182C" w:rsidRDefault="003C182C" w:rsidP="003C182C">
      <w:pPr>
        <w:tabs>
          <w:tab w:val="left" w:pos="0"/>
          <w:tab w:val="left" w:pos="851"/>
          <w:tab w:val="left" w:pos="3065"/>
        </w:tabs>
        <w:ind w:left="850" w:hanging="850"/>
        <w:jc w:val="both"/>
        <w:rPr>
          <w:spacing w:val="-3"/>
        </w:rPr>
      </w:pPr>
      <w:r w:rsidRPr="00A77C81">
        <w:rPr>
          <w:spacing w:val="-3"/>
        </w:rPr>
        <w:tab/>
      </w:r>
      <w:r w:rsidRPr="00970229">
        <w:rPr>
          <w:spacing w:val="-3"/>
        </w:rPr>
        <w:t>5260 Odense S</w:t>
      </w:r>
    </w:p>
    <w:p w:rsidR="00383ECC" w:rsidRPr="009062D8" w:rsidRDefault="00383ECC" w:rsidP="003C182C">
      <w:pPr>
        <w:ind w:left="851" w:hanging="851"/>
        <w:rPr>
          <w:sz w:val="24"/>
          <w:szCs w:val="24"/>
        </w:rPr>
      </w:pPr>
    </w:p>
    <w:p w:rsidR="00486BA0" w:rsidRPr="00C84483" w:rsidRDefault="00486BA0" w:rsidP="00486BA0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</w:t>
      </w:r>
      <w:r>
        <w:rPr>
          <w:b/>
          <w:sz w:val="24"/>
          <w:szCs w:val="24"/>
        </w:rPr>
        <w:t>-</w:t>
      </w:r>
      <w:r w:rsidRPr="00C84483">
        <w:rPr>
          <w:b/>
          <w:sz w:val="24"/>
          <w:szCs w:val="24"/>
        </w:rPr>
        <w:t>NUMRE)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  <w:t>200 mg: 50407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  <w:t>600 mg: 50408</w:t>
      </w:r>
    </w:p>
    <w:p w:rsidR="00383ECC" w:rsidRPr="009062D8" w:rsidRDefault="00383ECC" w:rsidP="00383ECC">
      <w:pPr>
        <w:ind w:left="851" w:hanging="851"/>
        <w:jc w:val="both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9.</w:t>
      </w:r>
      <w:r w:rsidRPr="009062D8">
        <w:rPr>
          <w:b/>
          <w:sz w:val="24"/>
          <w:szCs w:val="24"/>
        </w:rPr>
        <w:tab/>
        <w:t>DATO FOR FØRSTE MARKEDSFØRINGSTILLADELSE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  <w:r w:rsidRPr="009062D8">
        <w:rPr>
          <w:sz w:val="24"/>
          <w:szCs w:val="24"/>
        </w:rPr>
        <w:tab/>
        <w:t>14. maj 2013</w:t>
      </w:r>
    </w:p>
    <w:p w:rsidR="00383ECC" w:rsidRPr="009062D8" w:rsidRDefault="00383ECC" w:rsidP="00383ECC">
      <w:pPr>
        <w:ind w:left="851" w:hanging="851"/>
        <w:rPr>
          <w:sz w:val="24"/>
          <w:szCs w:val="24"/>
        </w:rPr>
      </w:pPr>
    </w:p>
    <w:p w:rsidR="00383ECC" w:rsidRPr="009062D8" w:rsidRDefault="00383ECC" w:rsidP="00383ECC">
      <w:pPr>
        <w:ind w:left="851" w:hanging="851"/>
        <w:rPr>
          <w:b/>
          <w:sz w:val="24"/>
          <w:szCs w:val="24"/>
        </w:rPr>
      </w:pPr>
      <w:r w:rsidRPr="009062D8">
        <w:rPr>
          <w:b/>
          <w:sz w:val="24"/>
          <w:szCs w:val="24"/>
        </w:rPr>
        <w:t>10.</w:t>
      </w:r>
      <w:r w:rsidRPr="009062D8">
        <w:rPr>
          <w:b/>
          <w:sz w:val="24"/>
          <w:szCs w:val="24"/>
        </w:rPr>
        <w:tab/>
        <w:t>DATO FOR ÆNDRING AF TEKSTEN</w:t>
      </w:r>
    </w:p>
    <w:p w:rsidR="009260DE" w:rsidRPr="00383ECC" w:rsidRDefault="00383ECC" w:rsidP="00026C59">
      <w:pPr>
        <w:ind w:left="851" w:hanging="851"/>
      </w:pPr>
      <w:r w:rsidRPr="009062D8">
        <w:rPr>
          <w:sz w:val="24"/>
          <w:szCs w:val="24"/>
        </w:rPr>
        <w:tab/>
      </w:r>
      <w:r w:rsidR="00980B05">
        <w:rPr>
          <w:sz w:val="24"/>
          <w:szCs w:val="24"/>
        </w:rPr>
        <w:t>23. september 2024</w:t>
      </w:r>
    </w:p>
    <w:sectPr w:rsidR="009260DE" w:rsidRPr="00383ECC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ECC" w:rsidRDefault="00383ECC">
      <w:r>
        <w:separator/>
      </w:r>
    </w:p>
  </w:endnote>
  <w:endnote w:type="continuationSeparator" w:id="0">
    <w:p w:rsidR="00383ECC" w:rsidRDefault="0038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6A196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proofErr w:type="spellStart"/>
    <w:r w:rsidRPr="006A1969">
      <w:rPr>
        <w:i/>
        <w:sz w:val="18"/>
        <w:szCs w:val="18"/>
      </w:rPr>
      <w:t>Granon</w:t>
    </w:r>
    <w:proofErr w:type="spellEnd"/>
    <w:r w:rsidRPr="006A1969">
      <w:rPr>
        <w:i/>
        <w:sz w:val="18"/>
        <w:szCs w:val="18"/>
      </w:rPr>
      <w:t>, brusetabletter 200 mg og 600 mg</w:t>
    </w:r>
    <w:r w:rsidR="000259B9" w:rsidRPr="00B373D7">
      <w:rPr>
        <w:i/>
        <w:sz w:val="18"/>
        <w:szCs w:val="18"/>
      </w:rPr>
      <w:tab/>
      <w:t xml:space="preserve">Side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="00782AF4"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="00782AF4"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="00782AF4"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ECC" w:rsidRDefault="00383ECC">
      <w:r>
        <w:separator/>
      </w:r>
    </w:p>
  </w:footnote>
  <w:footnote w:type="continuationSeparator" w:id="0">
    <w:p w:rsidR="00383ECC" w:rsidRDefault="00383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498F3182"/>
    <w:multiLevelType w:val="hybridMultilevel"/>
    <w:tmpl w:val="07547CB0"/>
    <w:lvl w:ilvl="0" w:tplc="0406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5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CC"/>
    <w:rsid w:val="000005F6"/>
    <w:rsid w:val="00012820"/>
    <w:rsid w:val="000259B9"/>
    <w:rsid w:val="00026C59"/>
    <w:rsid w:val="00041491"/>
    <w:rsid w:val="00050D16"/>
    <w:rsid w:val="00074F2A"/>
    <w:rsid w:val="000A1CA8"/>
    <w:rsid w:val="000A466B"/>
    <w:rsid w:val="000B058C"/>
    <w:rsid w:val="000E4EE6"/>
    <w:rsid w:val="00100080"/>
    <w:rsid w:val="001454E2"/>
    <w:rsid w:val="00206CE8"/>
    <w:rsid w:val="0021526C"/>
    <w:rsid w:val="002432F1"/>
    <w:rsid w:val="00283A2B"/>
    <w:rsid w:val="002B30AD"/>
    <w:rsid w:val="002C2C01"/>
    <w:rsid w:val="00365454"/>
    <w:rsid w:val="00383ECC"/>
    <w:rsid w:val="003A29AE"/>
    <w:rsid w:val="003A32D7"/>
    <w:rsid w:val="003B4074"/>
    <w:rsid w:val="003C182C"/>
    <w:rsid w:val="003C769A"/>
    <w:rsid w:val="003F1838"/>
    <w:rsid w:val="0045746C"/>
    <w:rsid w:val="00486BA0"/>
    <w:rsid w:val="0049104B"/>
    <w:rsid w:val="004D2670"/>
    <w:rsid w:val="004E3B12"/>
    <w:rsid w:val="00532310"/>
    <w:rsid w:val="00560ECC"/>
    <w:rsid w:val="00562982"/>
    <w:rsid w:val="00565F0F"/>
    <w:rsid w:val="00594A86"/>
    <w:rsid w:val="00596D86"/>
    <w:rsid w:val="005D1237"/>
    <w:rsid w:val="00637F5A"/>
    <w:rsid w:val="006560B1"/>
    <w:rsid w:val="006756DD"/>
    <w:rsid w:val="006A1969"/>
    <w:rsid w:val="006D40C3"/>
    <w:rsid w:val="00721267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47A9B"/>
    <w:rsid w:val="00980B05"/>
    <w:rsid w:val="009B70D6"/>
    <w:rsid w:val="009C7BA3"/>
    <w:rsid w:val="009D1F5A"/>
    <w:rsid w:val="009E4A99"/>
    <w:rsid w:val="00A77C81"/>
    <w:rsid w:val="00AF5663"/>
    <w:rsid w:val="00B003BF"/>
    <w:rsid w:val="00B373D7"/>
    <w:rsid w:val="00BC25ED"/>
    <w:rsid w:val="00C36276"/>
    <w:rsid w:val="00C42586"/>
    <w:rsid w:val="00C56049"/>
    <w:rsid w:val="00C60CCD"/>
    <w:rsid w:val="00C84483"/>
    <w:rsid w:val="00C95551"/>
    <w:rsid w:val="00CB20D7"/>
    <w:rsid w:val="00D020B0"/>
    <w:rsid w:val="00D11748"/>
    <w:rsid w:val="00D366CF"/>
    <w:rsid w:val="00DD7542"/>
    <w:rsid w:val="00E108AA"/>
    <w:rsid w:val="00E223CC"/>
    <w:rsid w:val="00E31812"/>
    <w:rsid w:val="00E3749A"/>
    <w:rsid w:val="00E7437F"/>
    <w:rsid w:val="00E865B8"/>
    <w:rsid w:val="00E87734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53539A"/>
  <w15:chartTrackingRefBased/>
  <w15:docId w15:val="{0F2FFF88-B50D-4A5D-A850-92284D5A9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">
    <w:name w:val="Body Text"/>
    <w:basedOn w:val="Normal"/>
    <w:link w:val="BrdtekstTegn"/>
    <w:uiPriority w:val="99"/>
    <w:semiHidden/>
    <w:unhideWhenUsed/>
    <w:rsid w:val="00383EC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383ECC"/>
    <w:rPr>
      <w:sz w:val="23"/>
      <w:lang w:eastAsia="en-US"/>
    </w:rPr>
  </w:style>
  <w:style w:type="character" w:styleId="Hyperlink">
    <w:name w:val="Hyperlink"/>
    <w:basedOn w:val="Standardskrifttypeiafsnit"/>
    <w:uiPriority w:val="99"/>
    <w:unhideWhenUsed/>
    <w:rsid w:val="006A1969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A19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1323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2024041537, var. 13, opbevaringsbetingelse ændret for 600 mg </dc:description>
  <cp:lastModifiedBy>Gitte Jørgensen</cp:lastModifiedBy>
  <cp:revision>6</cp:revision>
  <cp:lastPrinted>2012-08-22T08:53:00Z</cp:lastPrinted>
  <dcterms:created xsi:type="dcterms:W3CDTF">2024-09-23T13:15:00Z</dcterms:created>
  <dcterms:modified xsi:type="dcterms:W3CDTF">2024-09-23T13:20:00Z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