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11B1D"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5457FF9F" wp14:editId="4EF66A6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14A1F92" w14:textId="77777777" w:rsidR="009260DE" w:rsidRPr="00C84483" w:rsidRDefault="009260DE" w:rsidP="009260DE">
      <w:pPr>
        <w:pStyle w:val="Titel"/>
        <w:tabs>
          <w:tab w:val="right" w:pos="9356"/>
        </w:tabs>
        <w:jc w:val="left"/>
        <w:rPr>
          <w:b w:val="0"/>
          <w:szCs w:val="24"/>
          <w:lang w:eastAsia="en-US"/>
        </w:rPr>
      </w:pPr>
    </w:p>
    <w:p w14:paraId="23A9FD6E" w14:textId="0A260789"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821F6">
        <w:rPr>
          <w:szCs w:val="24"/>
        </w:rPr>
        <w:t>13. oktober 2023</w:t>
      </w:r>
    </w:p>
    <w:p w14:paraId="4B6C3330" w14:textId="77777777" w:rsidR="009260DE" w:rsidRPr="00C84483" w:rsidRDefault="009260DE" w:rsidP="009260DE">
      <w:pPr>
        <w:pStyle w:val="Titel"/>
        <w:tabs>
          <w:tab w:val="left" w:pos="8222"/>
        </w:tabs>
        <w:jc w:val="left"/>
        <w:rPr>
          <w:b w:val="0"/>
          <w:szCs w:val="24"/>
        </w:rPr>
      </w:pPr>
      <w:bookmarkStart w:id="0" w:name="_GoBack"/>
      <w:bookmarkEnd w:id="0"/>
    </w:p>
    <w:p w14:paraId="10F48431" w14:textId="42F3F55E" w:rsidR="009260DE" w:rsidRPr="00C84483" w:rsidRDefault="009260DE" w:rsidP="009260DE">
      <w:pPr>
        <w:pStyle w:val="Titel"/>
        <w:jc w:val="left"/>
        <w:rPr>
          <w:b w:val="0"/>
          <w:szCs w:val="24"/>
        </w:rPr>
      </w:pPr>
    </w:p>
    <w:p w14:paraId="0F8017C8" w14:textId="77777777" w:rsidR="009260DE" w:rsidRPr="00C84483" w:rsidRDefault="009260DE" w:rsidP="009260DE">
      <w:pPr>
        <w:pStyle w:val="Titel"/>
        <w:jc w:val="left"/>
        <w:rPr>
          <w:b w:val="0"/>
          <w:szCs w:val="24"/>
        </w:rPr>
      </w:pPr>
    </w:p>
    <w:p w14:paraId="401D0E2D" w14:textId="77777777" w:rsidR="009260DE" w:rsidRPr="00C84483" w:rsidRDefault="009260DE" w:rsidP="009260DE">
      <w:pPr>
        <w:jc w:val="center"/>
        <w:rPr>
          <w:b/>
          <w:sz w:val="24"/>
          <w:szCs w:val="24"/>
        </w:rPr>
      </w:pPr>
      <w:r w:rsidRPr="00C84483">
        <w:rPr>
          <w:b/>
          <w:sz w:val="24"/>
          <w:szCs w:val="24"/>
        </w:rPr>
        <w:t>PRODUKTRESUMÉ</w:t>
      </w:r>
    </w:p>
    <w:p w14:paraId="35B5A8DE" w14:textId="77777777" w:rsidR="009260DE" w:rsidRPr="00C84483" w:rsidRDefault="009260DE" w:rsidP="009260DE">
      <w:pPr>
        <w:jc w:val="center"/>
        <w:rPr>
          <w:b/>
          <w:sz w:val="24"/>
          <w:szCs w:val="24"/>
        </w:rPr>
      </w:pPr>
    </w:p>
    <w:p w14:paraId="151C224B" w14:textId="77777777" w:rsidR="009260DE" w:rsidRDefault="009260DE" w:rsidP="009260DE">
      <w:pPr>
        <w:jc w:val="center"/>
        <w:rPr>
          <w:b/>
          <w:sz w:val="24"/>
          <w:szCs w:val="24"/>
        </w:rPr>
      </w:pPr>
      <w:r w:rsidRPr="00C84483">
        <w:rPr>
          <w:b/>
          <w:sz w:val="24"/>
          <w:szCs w:val="24"/>
        </w:rPr>
        <w:t>for</w:t>
      </w:r>
    </w:p>
    <w:p w14:paraId="735C6252" w14:textId="77777777" w:rsidR="000B058C" w:rsidRPr="00C84483" w:rsidRDefault="000B058C" w:rsidP="009260DE">
      <w:pPr>
        <w:jc w:val="center"/>
        <w:rPr>
          <w:b/>
          <w:sz w:val="24"/>
          <w:szCs w:val="24"/>
        </w:rPr>
      </w:pPr>
    </w:p>
    <w:p w14:paraId="3A34E424" w14:textId="77777777" w:rsidR="009260DE" w:rsidRPr="00C84483" w:rsidRDefault="003F5B6E" w:rsidP="009260DE">
      <w:pPr>
        <w:jc w:val="center"/>
        <w:rPr>
          <w:b/>
          <w:sz w:val="24"/>
          <w:szCs w:val="24"/>
        </w:rPr>
      </w:pPr>
      <w:r>
        <w:rPr>
          <w:b/>
          <w:sz w:val="24"/>
          <w:szCs w:val="24"/>
        </w:rPr>
        <w:t>Gynoflor, vaginaltabletter</w:t>
      </w:r>
    </w:p>
    <w:p w14:paraId="1A2118C4" w14:textId="77777777" w:rsidR="009260DE" w:rsidRPr="00C84483" w:rsidRDefault="009260DE" w:rsidP="009260DE">
      <w:pPr>
        <w:jc w:val="both"/>
        <w:rPr>
          <w:sz w:val="24"/>
          <w:szCs w:val="24"/>
        </w:rPr>
      </w:pPr>
    </w:p>
    <w:p w14:paraId="02BFC8F6" w14:textId="77777777" w:rsidR="009260DE" w:rsidRPr="00C84483" w:rsidRDefault="009260DE" w:rsidP="009260DE">
      <w:pPr>
        <w:jc w:val="both"/>
        <w:rPr>
          <w:sz w:val="24"/>
          <w:szCs w:val="24"/>
        </w:rPr>
      </w:pPr>
    </w:p>
    <w:p w14:paraId="128D29DC"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4C8BA202" w14:textId="77777777" w:rsidR="009260DE" w:rsidRPr="00C84483" w:rsidRDefault="003F5B6E" w:rsidP="009260DE">
      <w:pPr>
        <w:tabs>
          <w:tab w:val="left" w:pos="851"/>
        </w:tabs>
        <w:ind w:left="851"/>
        <w:rPr>
          <w:sz w:val="24"/>
          <w:szCs w:val="24"/>
        </w:rPr>
      </w:pPr>
      <w:r>
        <w:rPr>
          <w:sz w:val="24"/>
          <w:szCs w:val="24"/>
        </w:rPr>
        <w:t>32246</w:t>
      </w:r>
    </w:p>
    <w:p w14:paraId="23D30357" w14:textId="77777777" w:rsidR="009260DE" w:rsidRPr="00C84483" w:rsidRDefault="009260DE" w:rsidP="009260DE">
      <w:pPr>
        <w:tabs>
          <w:tab w:val="left" w:pos="851"/>
        </w:tabs>
        <w:ind w:left="851"/>
        <w:rPr>
          <w:sz w:val="24"/>
          <w:szCs w:val="24"/>
        </w:rPr>
      </w:pPr>
    </w:p>
    <w:p w14:paraId="7133E78F"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F4759AC" w14:textId="77777777" w:rsidR="009260DE" w:rsidRPr="00C84483" w:rsidRDefault="003F5B6E" w:rsidP="009260DE">
      <w:pPr>
        <w:tabs>
          <w:tab w:val="left" w:pos="851"/>
        </w:tabs>
        <w:ind w:left="851"/>
        <w:rPr>
          <w:sz w:val="24"/>
          <w:szCs w:val="24"/>
        </w:rPr>
      </w:pPr>
      <w:r>
        <w:rPr>
          <w:sz w:val="24"/>
          <w:szCs w:val="24"/>
        </w:rPr>
        <w:t>Gynoflor</w:t>
      </w:r>
    </w:p>
    <w:p w14:paraId="1F481E16" w14:textId="77777777" w:rsidR="009260DE" w:rsidRPr="00C84483" w:rsidRDefault="009260DE" w:rsidP="009260DE">
      <w:pPr>
        <w:tabs>
          <w:tab w:val="left" w:pos="851"/>
        </w:tabs>
        <w:ind w:left="851"/>
        <w:rPr>
          <w:sz w:val="24"/>
          <w:szCs w:val="24"/>
        </w:rPr>
      </w:pPr>
    </w:p>
    <w:p w14:paraId="2CB6FC8C"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3035670" w14:textId="77777777" w:rsidR="00124011" w:rsidRPr="00124011" w:rsidRDefault="00124011" w:rsidP="00124011">
      <w:pPr>
        <w:tabs>
          <w:tab w:val="left" w:pos="851"/>
        </w:tabs>
        <w:ind w:left="851"/>
        <w:rPr>
          <w:sz w:val="24"/>
          <w:szCs w:val="24"/>
        </w:rPr>
      </w:pPr>
      <w:r w:rsidRPr="00124011">
        <w:rPr>
          <w:sz w:val="24"/>
          <w:szCs w:val="24"/>
        </w:rPr>
        <w:t>Hver Gynoflor vaginaltablet indeholder:</w:t>
      </w:r>
    </w:p>
    <w:p w14:paraId="3217B66B" w14:textId="77777777" w:rsidR="00124011" w:rsidRPr="00124011" w:rsidRDefault="00124011" w:rsidP="00124011">
      <w:pPr>
        <w:numPr>
          <w:ilvl w:val="0"/>
          <w:numId w:val="6"/>
        </w:numPr>
        <w:tabs>
          <w:tab w:val="left" w:pos="851"/>
        </w:tabs>
        <w:ind w:left="1134" w:hanging="283"/>
        <w:rPr>
          <w:sz w:val="24"/>
          <w:szCs w:val="24"/>
        </w:rPr>
      </w:pPr>
      <w:r w:rsidRPr="00124011">
        <w:rPr>
          <w:sz w:val="24"/>
          <w:szCs w:val="24"/>
        </w:rPr>
        <w:t>Estriol: 0,03 mg</w:t>
      </w:r>
    </w:p>
    <w:p w14:paraId="52BDF566" w14:textId="77777777" w:rsidR="00124011" w:rsidRPr="00124011" w:rsidRDefault="00124011" w:rsidP="00124011">
      <w:pPr>
        <w:numPr>
          <w:ilvl w:val="0"/>
          <w:numId w:val="6"/>
        </w:numPr>
        <w:tabs>
          <w:tab w:val="left" w:pos="851"/>
        </w:tabs>
        <w:ind w:left="1134" w:hanging="283"/>
        <w:rPr>
          <w:sz w:val="24"/>
          <w:szCs w:val="24"/>
        </w:rPr>
      </w:pPr>
      <w:r w:rsidRPr="00124011">
        <w:rPr>
          <w:i/>
          <w:iCs/>
          <w:sz w:val="24"/>
          <w:szCs w:val="24"/>
        </w:rPr>
        <w:t>Lactobacillus acidophilus</w:t>
      </w:r>
      <w:r w:rsidRPr="00124011">
        <w:rPr>
          <w:sz w:val="24"/>
          <w:szCs w:val="24"/>
        </w:rPr>
        <w:t>: 50 mg lyofiliseret (indeholdende mindst 100 millioner levedygtige bakterier)</w:t>
      </w:r>
    </w:p>
    <w:p w14:paraId="5C7C2252" w14:textId="77777777" w:rsidR="00124011" w:rsidRPr="00124011" w:rsidRDefault="00124011" w:rsidP="00124011">
      <w:pPr>
        <w:tabs>
          <w:tab w:val="left" w:pos="851"/>
        </w:tabs>
        <w:ind w:left="851"/>
        <w:rPr>
          <w:sz w:val="24"/>
          <w:szCs w:val="24"/>
        </w:rPr>
      </w:pPr>
    </w:p>
    <w:p w14:paraId="213D7C95" w14:textId="77777777" w:rsidR="00124011" w:rsidRPr="008253BC" w:rsidRDefault="00124011" w:rsidP="00124011">
      <w:pPr>
        <w:tabs>
          <w:tab w:val="left" w:pos="851"/>
        </w:tabs>
        <w:ind w:left="851"/>
        <w:rPr>
          <w:sz w:val="24"/>
          <w:szCs w:val="24"/>
          <w:u w:val="single"/>
        </w:rPr>
      </w:pPr>
      <w:r w:rsidRPr="008253BC">
        <w:rPr>
          <w:sz w:val="24"/>
          <w:szCs w:val="24"/>
          <w:u w:val="single"/>
        </w:rPr>
        <w:t>Hjælpestof, som behandleren skal være opmærksom på</w:t>
      </w:r>
    </w:p>
    <w:p w14:paraId="4EE11CF8" w14:textId="77777777" w:rsidR="00124011" w:rsidRPr="00124011" w:rsidRDefault="00124011" w:rsidP="00124011">
      <w:pPr>
        <w:tabs>
          <w:tab w:val="left" w:pos="851"/>
        </w:tabs>
        <w:ind w:left="851"/>
        <w:rPr>
          <w:sz w:val="24"/>
          <w:szCs w:val="24"/>
        </w:rPr>
      </w:pPr>
      <w:r w:rsidRPr="00124011">
        <w:rPr>
          <w:sz w:val="24"/>
          <w:szCs w:val="24"/>
        </w:rPr>
        <w:t>Hver vaginaltablet indeholder 626 mg lactose.</w:t>
      </w:r>
    </w:p>
    <w:p w14:paraId="2D2142D1" w14:textId="77777777" w:rsidR="00124011" w:rsidRPr="00124011" w:rsidRDefault="00124011" w:rsidP="00124011">
      <w:pPr>
        <w:tabs>
          <w:tab w:val="left" w:pos="851"/>
        </w:tabs>
        <w:ind w:left="851"/>
        <w:rPr>
          <w:sz w:val="24"/>
          <w:szCs w:val="24"/>
        </w:rPr>
      </w:pPr>
    </w:p>
    <w:p w14:paraId="700D14E7" w14:textId="77777777" w:rsidR="00124011" w:rsidRPr="00124011" w:rsidRDefault="00124011" w:rsidP="00124011">
      <w:pPr>
        <w:tabs>
          <w:tab w:val="left" w:pos="851"/>
        </w:tabs>
        <w:ind w:left="851"/>
        <w:rPr>
          <w:sz w:val="24"/>
          <w:szCs w:val="24"/>
        </w:rPr>
      </w:pPr>
      <w:r w:rsidRPr="00124011">
        <w:rPr>
          <w:sz w:val="24"/>
          <w:szCs w:val="24"/>
        </w:rPr>
        <w:t>Alle hjælpestoffer er anført under pkt. 6.1.</w:t>
      </w:r>
    </w:p>
    <w:p w14:paraId="40E7DEF9" w14:textId="77777777" w:rsidR="009260DE" w:rsidRPr="00C84483" w:rsidRDefault="009260DE" w:rsidP="009260DE">
      <w:pPr>
        <w:tabs>
          <w:tab w:val="left" w:pos="851"/>
        </w:tabs>
        <w:ind w:left="851"/>
        <w:rPr>
          <w:sz w:val="24"/>
          <w:szCs w:val="24"/>
        </w:rPr>
      </w:pPr>
    </w:p>
    <w:p w14:paraId="1A61D671"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66C7AAD" w14:textId="77777777" w:rsidR="008253BC" w:rsidRDefault="008253BC" w:rsidP="008253BC">
      <w:pPr>
        <w:tabs>
          <w:tab w:val="left" w:pos="851"/>
        </w:tabs>
        <w:ind w:left="851"/>
        <w:rPr>
          <w:sz w:val="24"/>
          <w:szCs w:val="24"/>
        </w:rPr>
      </w:pPr>
      <w:r w:rsidRPr="008253BC">
        <w:rPr>
          <w:sz w:val="24"/>
          <w:szCs w:val="24"/>
        </w:rPr>
        <w:t>Vaginaltabletter</w:t>
      </w:r>
    </w:p>
    <w:p w14:paraId="7AAB1F94" w14:textId="77777777" w:rsidR="008253BC" w:rsidRPr="008253BC" w:rsidRDefault="008253BC" w:rsidP="008253BC">
      <w:pPr>
        <w:tabs>
          <w:tab w:val="left" w:pos="851"/>
        </w:tabs>
        <w:ind w:left="851"/>
        <w:rPr>
          <w:sz w:val="24"/>
          <w:szCs w:val="24"/>
        </w:rPr>
      </w:pPr>
    </w:p>
    <w:p w14:paraId="11E75DB7" w14:textId="77777777" w:rsidR="008253BC" w:rsidRPr="008253BC" w:rsidRDefault="008253BC" w:rsidP="008253BC">
      <w:pPr>
        <w:tabs>
          <w:tab w:val="left" w:pos="851"/>
        </w:tabs>
        <w:ind w:left="851"/>
        <w:rPr>
          <w:sz w:val="24"/>
          <w:szCs w:val="24"/>
        </w:rPr>
      </w:pPr>
      <w:r w:rsidRPr="008253BC">
        <w:rPr>
          <w:sz w:val="24"/>
          <w:szCs w:val="24"/>
        </w:rPr>
        <w:t>Oval, bikonveks tablet (5,2-6 mm), let beige og plettet.</w:t>
      </w:r>
    </w:p>
    <w:p w14:paraId="7402ED26" w14:textId="77777777" w:rsidR="009260DE" w:rsidRPr="00C84483" w:rsidRDefault="009260DE" w:rsidP="009260DE">
      <w:pPr>
        <w:tabs>
          <w:tab w:val="left" w:pos="851"/>
        </w:tabs>
        <w:ind w:left="851"/>
        <w:rPr>
          <w:sz w:val="24"/>
          <w:szCs w:val="24"/>
        </w:rPr>
      </w:pPr>
    </w:p>
    <w:p w14:paraId="2F50C96F" w14:textId="77777777" w:rsidR="009260DE" w:rsidRPr="00C84483" w:rsidRDefault="009260DE" w:rsidP="009260DE">
      <w:pPr>
        <w:tabs>
          <w:tab w:val="left" w:pos="851"/>
        </w:tabs>
        <w:ind w:left="851"/>
        <w:rPr>
          <w:sz w:val="24"/>
          <w:szCs w:val="24"/>
        </w:rPr>
      </w:pPr>
    </w:p>
    <w:p w14:paraId="494C8044"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6E17B7C" w14:textId="77777777" w:rsidR="009260DE" w:rsidRPr="00C84483" w:rsidRDefault="009260DE" w:rsidP="009260DE">
      <w:pPr>
        <w:tabs>
          <w:tab w:val="left" w:pos="851"/>
        </w:tabs>
        <w:ind w:left="851"/>
        <w:rPr>
          <w:b/>
          <w:sz w:val="24"/>
          <w:szCs w:val="24"/>
        </w:rPr>
      </w:pPr>
    </w:p>
    <w:p w14:paraId="634B0229"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F9ECEFD" w14:textId="77777777" w:rsidR="00A1666D" w:rsidRPr="00A1666D" w:rsidRDefault="00A1666D" w:rsidP="00A1666D">
      <w:pPr>
        <w:numPr>
          <w:ilvl w:val="0"/>
          <w:numId w:val="6"/>
        </w:numPr>
        <w:tabs>
          <w:tab w:val="left" w:pos="851"/>
        </w:tabs>
        <w:ind w:left="1134" w:hanging="283"/>
        <w:rPr>
          <w:sz w:val="24"/>
          <w:szCs w:val="24"/>
        </w:rPr>
      </w:pPr>
      <w:r w:rsidRPr="00A1666D">
        <w:rPr>
          <w:sz w:val="24"/>
          <w:szCs w:val="24"/>
        </w:rPr>
        <w:t>Genoprettelse af lactobacillus-flora hos voksne kvinder efter antiinfektiøs behandling for vaginale infektioner.</w:t>
      </w:r>
    </w:p>
    <w:p w14:paraId="1A778F90" w14:textId="77777777" w:rsidR="00A1666D" w:rsidRPr="00A1666D" w:rsidRDefault="00A1666D" w:rsidP="00A1666D">
      <w:pPr>
        <w:numPr>
          <w:ilvl w:val="0"/>
          <w:numId w:val="6"/>
        </w:numPr>
        <w:tabs>
          <w:tab w:val="left" w:pos="851"/>
        </w:tabs>
        <w:ind w:left="1134" w:hanging="283"/>
        <w:rPr>
          <w:sz w:val="24"/>
          <w:szCs w:val="24"/>
        </w:rPr>
      </w:pPr>
      <w:r w:rsidRPr="00A1666D">
        <w:rPr>
          <w:sz w:val="24"/>
          <w:szCs w:val="24"/>
        </w:rPr>
        <w:t>Behandling af atrofisk vaginitis hos postmenopausale eller perimenopausale kvinder.</w:t>
      </w:r>
    </w:p>
    <w:p w14:paraId="77CB3E02" w14:textId="77777777" w:rsidR="00A1666D" w:rsidRDefault="00A1666D">
      <w:pPr>
        <w:rPr>
          <w:sz w:val="24"/>
          <w:szCs w:val="24"/>
        </w:rPr>
      </w:pPr>
      <w:r>
        <w:rPr>
          <w:sz w:val="24"/>
          <w:szCs w:val="24"/>
        </w:rPr>
        <w:br w:type="page"/>
      </w:r>
    </w:p>
    <w:p w14:paraId="4B16C37E" w14:textId="77777777" w:rsidR="009260DE" w:rsidRPr="00C84483" w:rsidRDefault="009260DE" w:rsidP="00A1666D">
      <w:pPr>
        <w:tabs>
          <w:tab w:val="left" w:pos="851"/>
        </w:tabs>
        <w:ind w:left="1134" w:hanging="283"/>
        <w:rPr>
          <w:sz w:val="24"/>
          <w:szCs w:val="24"/>
        </w:rPr>
      </w:pPr>
    </w:p>
    <w:p w14:paraId="4356A0D9"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6D658A22" w14:textId="77777777" w:rsidR="00A1666D" w:rsidRDefault="00A1666D" w:rsidP="00A1666D">
      <w:pPr>
        <w:tabs>
          <w:tab w:val="left" w:pos="851"/>
        </w:tabs>
        <w:ind w:left="851"/>
        <w:rPr>
          <w:sz w:val="24"/>
          <w:szCs w:val="24"/>
          <w:u w:val="single"/>
        </w:rPr>
      </w:pPr>
    </w:p>
    <w:p w14:paraId="6B712A5E" w14:textId="77777777" w:rsidR="00A1666D" w:rsidRPr="00A1666D" w:rsidRDefault="00A1666D" w:rsidP="00A1666D">
      <w:pPr>
        <w:tabs>
          <w:tab w:val="left" w:pos="851"/>
        </w:tabs>
        <w:ind w:left="851"/>
        <w:rPr>
          <w:sz w:val="24"/>
          <w:szCs w:val="24"/>
          <w:u w:val="single"/>
        </w:rPr>
      </w:pPr>
      <w:r w:rsidRPr="00A1666D">
        <w:rPr>
          <w:sz w:val="24"/>
          <w:szCs w:val="24"/>
          <w:u w:val="single"/>
        </w:rPr>
        <w:t>Dosering</w:t>
      </w:r>
    </w:p>
    <w:p w14:paraId="6F734744" w14:textId="77777777" w:rsidR="00A1666D" w:rsidRPr="00A1666D" w:rsidRDefault="00A1666D" w:rsidP="00A1666D">
      <w:pPr>
        <w:tabs>
          <w:tab w:val="left" w:pos="851"/>
        </w:tabs>
        <w:ind w:left="851"/>
        <w:rPr>
          <w:sz w:val="24"/>
          <w:szCs w:val="24"/>
        </w:rPr>
      </w:pPr>
    </w:p>
    <w:p w14:paraId="3481E3EE" w14:textId="77777777" w:rsidR="00A1666D" w:rsidRPr="00A1666D" w:rsidRDefault="00A1666D" w:rsidP="00A1666D">
      <w:pPr>
        <w:tabs>
          <w:tab w:val="left" w:pos="851"/>
        </w:tabs>
        <w:ind w:left="851"/>
        <w:rPr>
          <w:sz w:val="24"/>
          <w:szCs w:val="24"/>
        </w:rPr>
      </w:pPr>
      <w:r w:rsidRPr="00A23F4F">
        <w:rPr>
          <w:i/>
          <w:sz w:val="24"/>
          <w:szCs w:val="24"/>
        </w:rPr>
        <w:t>Genoprettelse af lactobacillus-flora hos voksne kvinder efter antiinfektiøs behandling for vaginale infektioner</w:t>
      </w:r>
    </w:p>
    <w:p w14:paraId="7611EE69" w14:textId="77777777" w:rsidR="00A1666D" w:rsidRPr="00A1666D" w:rsidRDefault="00A1666D" w:rsidP="00A1666D">
      <w:pPr>
        <w:tabs>
          <w:tab w:val="left" w:pos="851"/>
        </w:tabs>
        <w:ind w:left="851"/>
        <w:rPr>
          <w:sz w:val="24"/>
          <w:szCs w:val="24"/>
        </w:rPr>
      </w:pPr>
      <w:r w:rsidRPr="00A1666D">
        <w:rPr>
          <w:sz w:val="24"/>
          <w:szCs w:val="24"/>
        </w:rPr>
        <w:t xml:space="preserve">Den sædvanlige dosis er: </w:t>
      </w:r>
      <w:r w:rsidR="00A23F4F">
        <w:rPr>
          <w:sz w:val="24"/>
          <w:szCs w:val="24"/>
        </w:rPr>
        <w:t>A</w:t>
      </w:r>
      <w:r w:rsidRPr="00A1666D">
        <w:rPr>
          <w:sz w:val="24"/>
          <w:szCs w:val="24"/>
        </w:rPr>
        <w:t xml:space="preserve">dministration af 1 vaginaltablet daglig i 6 dage. </w:t>
      </w:r>
    </w:p>
    <w:p w14:paraId="28F420E4" w14:textId="77777777" w:rsidR="00A1666D" w:rsidRPr="00A1666D" w:rsidRDefault="00A1666D" w:rsidP="00A1666D">
      <w:pPr>
        <w:tabs>
          <w:tab w:val="left" w:pos="851"/>
        </w:tabs>
        <w:ind w:left="851"/>
        <w:rPr>
          <w:sz w:val="24"/>
          <w:szCs w:val="24"/>
        </w:rPr>
      </w:pPr>
      <w:r w:rsidRPr="00A1666D">
        <w:rPr>
          <w:sz w:val="24"/>
          <w:szCs w:val="24"/>
        </w:rPr>
        <w:t>Behandlingen skal afbrydes under menstruation og genoptages derefter.</w:t>
      </w:r>
    </w:p>
    <w:p w14:paraId="389E904A" w14:textId="77777777" w:rsidR="00A1666D" w:rsidRPr="00A1666D" w:rsidRDefault="00A1666D" w:rsidP="00A1666D">
      <w:pPr>
        <w:tabs>
          <w:tab w:val="left" w:pos="851"/>
        </w:tabs>
        <w:ind w:left="851"/>
        <w:rPr>
          <w:sz w:val="24"/>
          <w:szCs w:val="24"/>
        </w:rPr>
      </w:pPr>
    </w:p>
    <w:p w14:paraId="361228F8" w14:textId="77777777" w:rsidR="00A1666D" w:rsidRPr="00A23F4F" w:rsidRDefault="00A1666D" w:rsidP="00A23F4F">
      <w:pPr>
        <w:tabs>
          <w:tab w:val="left" w:pos="851"/>
        </w:tabs>
        <w:ind w:left="851"/>
        <w:rPr>
          <w:i/>
          <w:sz w:val="24"/>
          <w:szCs w:val="24"/>
        </w:rPr>
      </w:pPr>
      <w:r w:rsidRPr="00A23F4F">
        <w:rPr>
          <w:i/>
          <w:sz w:val="24"/>
          <w:szCs w:val="24"/>
        </w:rPr>
        <w:t>Behandling af atrofisk vaginitis hos postmenopausale eller perimenopausale kvinder</w:t>
      </w:r>
    </w:p>
    <w:p w14:paraId="71BA93DF" w14:textId="77777777" w:rsidR="00A1666D" w:rsidRPr="00A1666D" w:rsidRDefault="00A1666D" w:rsidP="00A1666D">
      <w:pPr>
        <w:tabs>
          <w:tab w:val="left" w:pos="851"/>
        </w:tabs>
        <w:ind w:left="851"/>
        <w:rPr>
          <w:sz w:val="24"/>
          <w:szCs w:val="24"/>
        </w:rPr>
      </w:pPr>
      <w:r w:rsidRPr="00A1666D">
        <w:rPr>
          <w:sz w:val="24"/>
          <w:szCs w:val="24"/>
        </w:rPr>
        <w:t xml:space="preserve">Den sædvanlige dosis er: </w:t>
      </w:r>
      <w:r w:rsidR="00A23F4F">
        <w:rPr>
          <w:sz w:val="24"/>
          <w:szCs w:val="24"/>
        </w:rPr>
        <w:t>A</w:t>
      </w:r>
      <w:r w:rsidRPr="00A1666D">
        <w:rPr>
          <w:sz w:val="24"/>
          <w:szCs w:val="24"/>
        </w:rPr>
        <w:t>dministration af 1 vaginaltablet daglig i 12 dage.</w:t>
      </w:r>
    </w:p>
    <w:p w14:paraId="1DC7D3CA" w14:textId="77777777" w:rsidR="00A1666D" w:rsidRPr="00A1666D" w:rsidRDefault="00A1666D" w:rsidP="00A1666D">
      <w:pPr>
        <w:tabs>
          <w:tab w:val="left" w:pos="851"/>
        </w:tabs>
        <w:ind w:left="851"/>
        <w:rPr>
          <w:sz w:val="24"/>
          <w:szCs w:val="24"/>
        </w:rPr>
      </w:pPr>
      <w:r w:rsidRPr="00A1666D">
        <w:rPr>
          <w:sz w:val="24"/>
          <w:szCs w:val="24"/>
        </w:rPr>
        <w:t>Efterfølgende anbefales en vedligeholdelsesdosis på 1 vaginaltablet to til tre dage om ugen.</w:t>
      </w:r>
    </w:p>
    <w:p w14:paraId="1614B6F0" w14:textId="77777777" w:rsidR="00A1666D" w:rsidRPr="00A1666D" w:rsidRDefault="00A1666D" w:rsidP="00A1666D">
      <w:pPr>
        <w:tabs>
          <w:tab w:val="left" w:pos="851"/>
        </w:tabs>
        <w:ind w:left="851"/>
        <w:rPr>
          <w:sz w:val="24"/>
          <w:szCs w:val="24"/>
        </w:rPr>
      </w:pPr>
    </w:p>
    <w:p w14:paraId="33BAE4C3" w14:textId="77777777" w:rsidR="00A1666D" w:rsidRPr="00A1666D" w:rsidRDefault="00A1666D" w:rsidP="00A1666D">
      <w:pPr>
        <w:tabs>
          <w:tab w:val="left" w:pos="851"/>
        </w:tabs>
        <w:ind w:left="851"/>
        <w:rPr>
          <w:sz w:val="24"/>
          <w:szCs w:val="24"/>
        </w:rPr>
      </w:pPr>
      <w:r w:rsidRPr="00A1666D">
        <w:rPr>
          <w:sz w:val="24"/>
          <w:szCs w:val="24"/>
        </w:rPr>
        <w:t xml:space="preserve">Ved opstart eller fortsættelse af behandling af postmenopausale symptomer skal der anvendes den laveste effektive dosis i så kort tid som muligt (se også pkt. 4.4). </w:t>
      </w:r>
    </w:p>
    <w:p w14:paraId="23E6E2EF" w14:textId="77777777" w:rsidR="00A1666D" w:rsidRPr="00A1666D" w:rsidRDefault="00A1666D" w:rsidP="00A1666D">
      <w:pPr>
        <w:tabs>
          <w:tab w:val="left" w:pos="851"/>
        </w:tabs>
        <w:ind w:left="851"/>
        <w:rPr>
          <w:sz w:val="24"/>
          <w:szCs w:val="24"/>
        </w:rPr>
      </w:pPr>
    </w:p>
    <w:p w14:paraId="6B9CB959" w14:textId="77777777" w:rsidR="00A1666D" w:rsidRPr="00A1666D" w:rsidRDefault="00A1666D" w:rsidP="00A1666D">
      <w:pPr>
        <w:tabs>
          <w:tab w:val="left" w:pos="851"/>
        </w:tabs>
        <w:ind w:left="851"/>
        <w:rPr>
          <w:sz w:val="24"/>
          <w:szCs w:val="24"/>
        </w:rPr>
      </w:pPr>
      <w:r w:rsidRPr="00A1666D">
        <w:rPr>
          <w:sz w:val="24"/>
          <w:szCs w:val="24"/>
        </w:rPr>
        <w:t xml:space="preserve">Ved behandling med vaginalt administreret østrogen, hvor den systemiske eksponering for østrogen forbliver inden for den normale postmenopausale grænse, anbefales det ikke at tilføje et gestagen (se også pkt. 4.4). </w:t>
      </w:r>
    </w:p>
    <w:p w14:paraId="767F72F4" w14:textId="77777777" w:rsidR="00A1666D" w:rsidRPr="00A1666D" w:rsidRDefault="00A1666D" w:rsidP="00A1666D">
      <w:pPr>
        <w:tabs>
          <w:tab w:val="left" w:pos="851"/>
        </w:tabs>
        <w:ind w:left="851"/>
        <w:rPr>
          <w:sz w:val="24"/>
          <w:szCs w:val="24"/>
        </w:rPr>
      </w:pPr>
    </w:p>
    <w:p w14:paraId="126A02F0" w14:textId="77777777" w:rsidR="00A1666D" w:rsidRPr="00A1666D" w:rsidRDefault="00A1666D" w:rsidP="00A1666D">
      <w:pPr>
        <w:tabs>
          <w:tab w:val="left" w:pos="851"/>
        </w:tabs>
        <w:ind w:left="851"/>
        <w:rPr>
          <w:sz w:val="24"/>
          <w:szCs w:val="24"/>
        </w:rPr>
      </w:pPr>
      <w:r w:rsidRPr="00A1666D">
        <w:rPr>
          <w:i/>
          <w:sz w:val="24"/>
          <w:szCs w:val="24"/>
        </w:rPr>
        <w:t>Pædiatrisk population</w:t>
      </w:r>
    </w:p>
    <w:p w14:paraId="07FF7441" w14:textId="77777777" w:rsidR="00A1666D" w:rsidRPr="00A1666D" w:rsidRDefault="00A1666D" w:rsidP="00A1666D">
      <w:pPr>
        <w:tabs>
          <w:tab w:val="left" w:pos="851"/>
        </w:tabs>
        <w:ind w:left="851"/>
        <w:rPr>
          <w:sz w:val="24"/>
          <w:szCs w:val="24"/>
        </w:rPr>
      </w:pPr>
      <w:r w:rsidRPr="00A1666D">
        <w:rPr>
          <w:sz w:val="24"/>
          <w:szCs w:val="24"/>
        </w:rPr>
        <w:t>Gynoflor er ikke indiceret til unge kvinder under 18 år.</w:t>
      </w:r>
    </w:p>
    <w:p w14:paraId="6E1B8487" w14:textId="77777777" w:rsidR="00A1666D" w:rsidRPr="00A1666D" w:rsidRDefault="00A1666D" w:rsidP="00A1666D">
      <w:pPr>
        <w:tabs>
          <w:tab w:val="left" w:pos="851"/>
        </w:tabs>
        <w:ind w:left="851"/>
        <w:rPr>
          <w:sz w:val="24"/>
          <w:szCs w:val="24"/>
        </w:rPr>
      </w:pPr>
    </w:p>
    <w:p w14:paraId="30B8219C" w14:textId="77777777" w:rsidR="00A1666D" w:rsidRPr="00A1666D" w:rsidRDefault="00A1666D" w:rsidP="00A1666D">
      <w:pPr>
        <w:tabs>
          <w:tab w:val="left" w:pos="851"/>
        </w:tabs>
        <w:ind w:left="851"/>
        <w:rPr>
          <w:i/>
          <w:iCs/>
          <w:sz w:val="24"/>
          <w:szCs w:val="24"/>
        </w:rPr>
      </w:pPr>
      <w:r w:rsidRPr="00A1666D">
        <w:rPr>
          <w:i/>
          <w:iCs/>
          <w:sz w:val="24"/>
          <w:szCs w:val="24"/>
        </w:rPr>
        <w:t>Nedsat leverfunktion</w:t>
      </w:r>
    </w:p>
    <w:p w14:paraId="22EE2D2C" w14:textId="77777777" w:rsidR="00A1666D" w:rsidRPr="00A1666D" w:rsidRDefault="00A1666D" w:rsidP="00A1666D">
      <w:pPr>
        <w:tabs>
          <w:tab w:val="left" w:pos="851"/>
        </w:tabs>
        <w:ind w:left="851"/>
        <w:rPr>
          <w:sz w:val="24"/>
          <w:szCs w:val="24"/>
        </w:rPr>
      </w:pPr>
      <w:r w:rsidRPr="00A1666D">
        <w:rPr>
          <w:sz w:val="24"/>
          <w:szCs w:val="24"/>
        </w:rPr>
        <w:t>Gynoflor er kontraindiceret ved akut leversygdom eller leversygdom i anamnesen, så længe levertallene ikke er normaliseret (se pkt. 4.3).</w:t>
      </w:r>
    </w:p>
    <w:p w14:paraId="2647C01C" w14:textId="77777777" w:rsidR="00A1666D" w:rsidRPr="00A1666D" w:rsidRDefault="00A1666D" w:rsidP="00A1666D">
      <w:pPr>
        <w:tabs>
          <w:tab w:val="left" w:pos="851"/>
        </w:tabs>
        <w:ind w:left="851"/>
        <w:rPr>
          <w:sz w:val="24"/>
          <w:szCs w:val="24"/>
        </w:rPr>
      </w:pPr>
    </w:p>
    <w:p w14:paraId="29A1C4D2" w14:textId="77777777" w:rsidR="00A1666D" w:rsidRPr="00A1666D" w:rsidRDefault="00A1666D" w:rsidP="00A1666D">
      <w:pPr>
        <w:tabs>
          <w:tab w:val="left" w:pos="851"/>
        </w:tabs>
        <w:ind w:left="851"/>
        <w:rPr>
          <w:i/>
          <w:iCs/>
          <w:sz w:val="24"/>
          <w:szCs w:val="24"/>
        </w:rPr>
      </w:pPr>
      <w:r w:rsidRPr="00A1666D">
        <w:rPr>
          <w:i/>
          <w:iCs/>
          <w:sz w:val="24"/>
          <w:szCs w:val="24"/>
        </w:rPr>
        <w:t>Ældre (over 65 år)</w:t>
      </w:r>
    </w:p>
    <w:p w14:paraId="3E086D2D" w14:textId="77777777" w:rsidR="00A1666D" w:rsidRPr="00A1666D" w:rsidRDefault="00A1666D" w:rsidP="00A1666D">
      <w:pPr>
        <w:tabs>
          <w:tab w:val="left" w:pos="851"/>
        </w:tabs>
        <w:ind w:left="851"/>
        <w:rPr>
          <w:sz w:val="24"/>
          <w:szCs w:val="24"/>
        </w:rPr>
      </w:pPr>
      <w:r w:rsidRPr="00A1666D">
        <w:rPr>
          <w:sz w:val="24"/>
          <w:szCs w:val="24"/>
        </w:rPr>
        <w:t>Det er ikke nødvendigt at justere dosis hos ældre patienter.</w:t>
      </w:r>
    </w:p>
    <w:p w14:paraId="64513CB9" w14:textId="77777777" w:rsidR="00A1666D" w:rsidRPr="00A1666D" w:rsidRDefault="00A1666D" w:rsidP="00A1666D">
      <w:pPr>
        <w:tabs>
          <w:tab w:val="left" w:pos="851"/>
        </w:tabs>
        <w:ind w:left="851"/>
        <w:rPr>
          <w:sz w:val="24"/>
          <w:szCs w:val="24"/>
        </w:rPr>
      </w:pPr>
    </w:p>
    <w:p w14:paraId="1B937C32" w14:textId="77777777" w:rsidR="00A1666D" w:rsidRPr="00DF3A52" w:rsidRDefault="00A1666D" w:rsidP="00A1666D">
      <w:pPr>
        <w:tabs>
          <w:tab w:val="left" w:pos="851"/>
        </w:tabs>
        <w:ind w:left="851"/>
        <w:rPr>
          <w:i/>
          <w:sz w:val="24"/>
          <w:szCs w:val="24"/>
        </w:rPr>
      </w:pPr>
      <w:r w:rsidRPr="00DF3A52">
        <w:rPr>
          <w:i/>
          <w:sz w:val="24"/>
          <w:szCs w:val="24"/>
        </w:rPr>
        <w:t>Glemte doser</w:t>
      </w:r>
    </w:p>
    <w:p w14:paraId="04104EBA" w14:textId="77777777" w:rsidR="00A1666D" w:rsidRPr="00A1666D" w:rsidRDefault="00A1666D" w:rsidP="00DF3A52">
      <w:pPr>
        <w:numPr>
          <w:ilvl w:val="0"/>
          <w:numId w:val="7"/>
        </w:numPr>
        <w:tabs>
          <w:tab w:val="left" w:pos="851"/>
        </w:tabs>
        <w:ind w:left="1134" w:hanging="283"/>
        <w:rPr>
          <w:sz w:val="24"/>
          <w:szCs w:val="24"/>
        </w:rPr>
      </w:pPr>
      <w:r w:rsidRPr="00A1666D">
        <w:rPr>
          <w:sz w:val="24"/>
          <w:szCs w:val="24"/>
        </w:rPr>
        <w:t>Ved daglig brug</w:t>
      </w:r>
      <w:r w:rsidRPr="00A1666D">
        <w:rPr>
          <w:sz w:val="24"/>
          <w:szCs w:val="24"/>
        </w:rPr>
        <w:br/>
        <w:t xml:space="preserve">Hvis en glemt dosis ikke opdages før næste dag, skal dosen ikke erstattes. Derefter skal den normale doseringsplan genoptages. </w:t>
      </w:r>
    </w:p>
    <w:p w14:paraId="00A8F0C5" w14:textId="77777777" w:rsidR="00A1666D" w:rsidRPr="00A1666D" w:rsidRDefault="00A1666D" w:rsidP="00DF3A52">
      <w:pPr>
        <w:numPr>
          <w:ilvl w:val="0"/>
          <w:numId w:val="7"/>
        </w:numPr>
        <w:tabs>
          <w:tab w:val="left" w:pos="851"/>
        </w:tabs>
        <w:ind w:left="1134" w:hanging="283"/>
        <w:rPr>
          <w:sz w:val="24"/>
          <w:szCs w:val="24"/>
        </w:rPr>
      </w:pPr>
      <w:r w:rsidRPr="00A1666D">
        <w:rPr>
          <w:sz w:val="24"/>
          <w:szCs w:val="24"/>
        </w:rPr>
        <w:t>Ved brug to eller tre gange om ugen</w:t>
      </w:r>
      <w:r w:rsidRPr="00A1666D">
        <w:rPr>
          <w:sz w:val="24"/>
          <w:szCs w:val="24"/>
        </w:rPr>
        <w:br/>
        <w:t xml:space="preserve">Hvis en dosis af lægemidlet bliver glemt på den planlagte dato under vedligeholdelsesbehandlingen, skal den glemte dosis administreres så hurtigt som muligt. </w:t>
      </w:r>
    </w:p>
    <w:p w14:paraId="6C2955B5" w14:textId="77777777" w:rsidR="00A1666D" w:rsidRPr="00A1666D" w:rsidRDefault="00A1666D" w:rsidP="00A1666D">
      <w:pPr>
        <w:tabs>
          <w:tab w:val="left" w:pos="851"/>
        </w:tabs>
        <w:ind w:left="851"/>
        <w:rPr>
          <w:sz w:val="24"/>
          <w:szCs w:val="24"/>
        </w:rPr>
      </w:pPr>
    </w:p>
    <w:p w14:paraId="08C9FE0A" w14:textId="77777777" w:rsidR="00A1666D" w:rsidRPr="00A1666D" w:rsidRDefault="00A1666D" w:rsidP="00A1666D">
      <w:pPr>
        <w:tabs>
          <w:tab w:val="left" w:pos="851"/>
        </w:tabs>
        <w:ind w:left="851"/>
        <w:rPr>
          <w:sz w:val="24"/>
          <w:szCs w:val="24"/>
          <w:u w:val="single"/>
        </w:rPr>
      </w:pPr>
      <w:r w:rsidRPr="00A1666D">
        <w:rPr>
          <w:sz w:val="24"/>
          <w:szCs w:val="24"/>
          <w:u w:val="single"/>
        </w:rPr>
        <w:t>Administration</w:t>
      </w:r>
    </w:p>
    <w:p w14:paraId="48237942" w14:textId="77777777" w:rsidR="00A1666D" w:rsidRPr="00A1666D" w:rsidRDefault="00A1666D" w:rsidP="00A1666D">
      <w:pPr>
        <w:tabs>
          <w:tab w:val="left" w:pos="851"/>
        </w:tabs>
        <w:ind w:left="851"/>
        <w:rPr>
          <w:sz w:val="24"/>
          <w:szCs w:val="24"/>
        </w:rPr>
      </w:pPr>
      <w:r w:rsidRPr="00A1666D">
        <w:rPr>
          <w:sz w:val="24"/>
          <w:szCs w:val="24"/>
        </w:rPr>
        <w:t>Vaginal anvendelse</w:t>
      </w:r>
      <w:r w:rsidR="00DF3A52">
        <w:rPr>
          <w:sz w:val="24"/>
          <w:szCs w:val="24"/>
        </w:rPr>
        <w:t>.</w:t>
      </w:r>
    </w:p>
    <w:p w14:paraId="13EFB897" w14:textId="77777777" w:rsidR="00A1666D" w:rsidRPr="00A1666D" w:rsidRDefault="00A1666D" w:rsidP="00A1666D">
      <w:pPr>
        <w:tabs>
          <w:tab w:val="left" w:pos="851"/>
        </w:tabs>
        <w:ind w:left="851"/>
        <w:rPr>
          <w:sz w:val="24"/>
          <w:szCs w:val="24"/>
        </w:rPr>
      </w:pPr>
      <w:r w:rsidRPr="00A1666D">
        <w:rPr>
          <w:sz w:val="24"/>
          <w:szCs w:val="24"/>
        </w:rPr>
        <w:t xml:space="preserve">Tabletten skal føres dybt ind i vagina, helst om aftenen ved sengetid. </w:t>
      </w:r>
    </w:p>
    <w:p w14:paraId="6E8923A3" w14:textId="77777777" w:rsidR="009260DE" w:rsidRPr="00C84483" w:rsidRDefault="009260DE" w:rsidP="009260DE">
      <w:pPr>
        <w:tabs>
          <w:tab w:val="left" w:pos="851"/>
        </w:tabs>
        <w:ind w:left="851"/>
        <w:rPr>
          <w:sz w:val="24"/>
          <w:szCs w:val="24"/>
        </w:rPr>
      </w:pPr>
    </w:p>
    <w:p w14:paraId="1E29198E"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29C62172" w14:textId="77777777" w:rsidR="00DF3A52" w:rsidRPr="00DF3A52" w:rsidRDefault="00DF3A52" w:rsidP="00DF3A52">
      <w:pPr>
        <w:tabs>
          <w:tab w:val="left" w:pos="1134"/>
        </w:tabs>
        <w:ind w:left="1134" w:hanging="283"/>
        <w:rPr>
          <w:sz w:val="24"/>
          <w:szCs w:val="24"/>
        </w:rPr>
      </w:pPr>
      <w:r w:rsidRPr="00DF3A52">
        <w:rPr>
          <w:sz w:val="24"/>
          <w:szCs w:val="24"/>
        </w:rPr>
        <w:t>-</w:t>
      </w:r>
      <w:r w:rsidRPr="00DF3A52">
        <w:rPr>
          <w:sz w:val="24"/>
          <w:szCs w:val="24"/>
        </w:rPr>
        <w:tab/>
        <w:t>Overfølsomhed over for de aktive stoffer eller over for et eller flere af hjælpestofferne anført i pkt. 6.1.</w:t>
      </w:r>
    </w:p>
    <w:p w14:paraId="30FDE97B" w14:textId="77777777" w:rsidR="00DF3A52" w:rsidRPr="00DF3A52" w:rsidRDefault="00DF3A52" w:rsidP="00DF3A52">
      <w:pPr>
        <w:tabs>
          <w:tab w:val="left" w:pos="1134"/>
        </w:tabs>
        <w:ind w:left="1134" w:hanging="283"/>
        <w:rPr>
          <w:sz w:val="24"/>
          <w:szCs w:val="24"/>
        </w:rPr>
      </w:pPr>
      <w:r w:rsidRPr="00DF3A52">
        <w:rPr>
          <w:sz w:val="24"/>
          <w:szCs w:val="24"/>
        </w:rPr>
        <w:t>-</w:t>
      </w:r>
      <w:r w:rsidRPr="00DF3A52">
        <w:rPr>
          <w:sz w:val="24"/>
          <w:szCs w:val="24"/>
        </w:rPr>
        <w:tab/>
        <w:t>Brystcancer eller anamnese eller mistanke herom.</w:t>
      </w:r>
    </w:p>
    <w:p w14:paraId="17F2F013" w14:textId="77777777" w:rsidR="00DF3A52" w:rsidRPr="00DF3A52" w:rsidRDefault="00DF3A52" w:rsidP="00DF3A52">
      <w:pPr>
        <w:tabs>
          <w:tab w:val="left" w:pos="1134"/>
        </w:tabs>
        <w:ind w:left="1134" w:hanging="283"/>
        <w:rPr>
          <w:sz w:val="24"/>
          <w:szCs w:val="24"/>
        </w:rPr>
      </w:pPr>
      <w:r w:rsidRPr="00DF3A52">
        <w:rPr>
          <w:sz w:val="24"/>
          <w:szCs w:val="24"/>
        </w:rPr>
        <w:t>-</w:t>
      </w:r>
      <w:r w:rsidRPr="00DF3A52">
        <w:rPr>
          <w:sz w:val="24"/>
          <w:szCs w:val="24"/>
        </w:rPr>
        <w:tab/>
        <w:t xml:space="preserve">Østrogenafhængige maligne tumorer (f.eks. endometriecancer) eller mistanke herom. </w:t>
      </w:r>
    </w:p>
    <w:p w14:paraId="5DF0BAF4" w14:textId="77777777" w:rsidR="00DF3A52" w:rsidRPr="00DF3A52" w:rsidRDefault="00DF3A52" w:rsidP="00DF3A52">
      <w:pPr>
        <w:tabs>
          <w:tab w:val="left" w:pos="1134"/>
        </w:tabs>
        <w:ind w:left="1134" w:hanging="283"/>
        <w:rPr>
          <w:sz w:val="24"/>
          <w:szCs w:val="24"/>
        </w:rPr>
      </w:pPr>
      <w:r w:rsidRPr="00DF3A52">
        <w:rPr>
          <w:sz w:val="24"/>
          <w:szCs w:val="24"/>
        </w:rPr>
        <w:t>-</w:t>
      </w:r>
      <w:r w:rsidRPr="00DF3A52">
        <w:rPr>
          <w:sz w:val="24"/>
          <w:szCs w:val="24"/>
        </w:rPr>
        <w:tab/>
        <w:t>Udiagnosticeret genital blødning.</w:t>
      </w:r>
    </w:p>
    <w:p w14:paraId="7741095D" w14:textId="77777777" w:rsidR="00DF3A52" w:rsidRPr="00DF3A52" w:rsidRDefault="00DF3A52" w:rsidP="00DF3A52">
      <w:pPr>
        <w:tabs>
          <w:tab w:val="left" w:pos="1134"/>
        </w:tabs>
        <w:ind w:left="1134" w:hanging="283"/>
        <w:rPr>
          <w:sz w:val="24"/>
          <w:szCs w:val="24"/>
        </w:rPr>
      </w:pPr>
      <w:r w:rsidRPr="00DF3A52">
        <w:rPr>
          <w:sz w:val="24"/>
          <w:szCs w:val="24"/>
        </w:rPr>
        <w:t>-</w:t>
      </w:r>
      <w:r w:rsidRPr="00DF3A52">
        <w:rPr>
          <w:sz w:val="24"/>
          <w:szCs w:val="24"/>
        </w:rPr>
        <w:tab/>
        <w:t>Ubehandlet endometriehyperplasi.</w:t>
      </w:r>
    </w:p>
    <w:p w14:paraId="1511361D" w14:textId="77777777" w:rsidR="00DF3A52" w:rsidRPr="00DF3A52" w:rsidRDefault="00DF3A52" w:rsidP="00DF3A52">
      <w:pPr>
        <w:tabs>
          <w:tab w:val="left" w:pos="1134"/>
        </w:tabs>
        <w:ind w:left="1134" w:hanging="283"/>
        <w:rPr>
          <w:sz w:val="24"/>
          <w:szCs w:val="24"/>
        </w:rPr>
      </w:pPr>
      <w:r w:rsidRPr="00DF3A52">
        <w:rPr>
          <w:sz w:val="24"/>
          <w:szCs w:val="24"/>
        </w:rPr>
        <w:lastRenderedPageBreak/>
        <w:t>-</w:t>
      </w:r>
      <w:r w:rsidRPr="00DF3A52">
        <w:rPr>
          <w:sz w:val="24"/>
          <w:szCs w:val="24"/>
        </w:rPr>
        <w:tab/>
        <w:t>Tidligere eller aktuel venøs tromboemboli (dyb venetrombose, lungeemboli).</w:t>
      </w:r>
    </w:p>
    <w:p w14:paraId="5055BDCB" w14:textId="77777777" w:rsidR="00DF3A52" w:rsidRPr="00DF3A52" w:rsidRDefault="00DF3A52" w:rsidP="00DF3A52">
      <w:pPr>
        <w:tabs>
          <w:tab w:val="left" w:pos="1134"/>
        </w:tabs>
        <w:ind w:left="1134" w:hanging="283"/>
        <w:rPr>
          <w:sz w:val="24"/>
          <w:szCs w:val="24"/>
        </w:rPr>
      </w:pPr>
      <w:r w:rsidRPr="00DF3A52">
        <w:rPr>
          <w:sz w:val="24"/>
          <w:szCs w:val="24"/>
        </w:rPr>
        <w:t>-</w:t>
      </w:r>
      <w:r w:rsidRPr="00DF3A52">
        <w:rPr>
          <w:sz w:val="24"/>
          <w:szCs w:val="24"/>
        </w:rPr>
        <w:tab/>
        <w:t>Aktuelle tromboemboliske forstyrrelser (f.eks. mangel på protein C, protein S eller antitrombin, se pkt. 4.4).</w:t>
      </w:r>
    </w:p>
    <w:p w14:paraId="045EE4A0" w14:textId="77777777" w:rsidR="00DF3A52" w:rsidRPr="00DF3A52" w:rsidRDefault="00DF3A52" w:rsidP="00DF3A52">
      <w:pPr>
        <w:tabs>
          <w:tab w:val="left" w:pos="1134"/>
        </w:tabs>
        <w:ind w:left="1134" w:hanging="283"/>
        <w:rPr>
          <w:sz w:val="24"/>
          <w:szCs w:val="24"/>
        </w:rPr>
      </w:pPr>
      <w:r w:rsidRPr="00DF3A52">
        <w:rPr>
          <w:sz w:val="24"/>
          <w:szCs w:val="24"/>
        </w:rPr>
        <w:t>-</w:t>
      </w:r>
      <w:r w:rsidRPr="00DF3A52">
        <w:rPr>
          <w:sz w:val="24"/>
          <w:szCs w:val="24"/>
        </w:rPr>
        <w:tab/>
        <w:t>Aktiv eller nylig arteriel tromboembolisk sygdom (f.eks. angina, myokardieinfarkt).</w:t>
      </w:r>
    </w:p>
    <w:p w14:paraId="4775735D" w14:textId="77777777" w:rsidR="00DF3A52" w:rsidRPr="00DF3A52" w:rsidRDefault="00DF3A52" w:rsidP="00DF3A52">
      <w:pPr>
        <w:tabs>
          <w:tab w:val="left" w:pos="1134"/>
        </w:tabs>
        <w:ind w:left="1134" w:hanging="283"/>
        <w:rPr>
          <w:sz w:val="24"/>
          <w:szCs w:val="24"/>
        </w:rPr>
      </w:pPr>
      <w:r w:rsidRPr="00DF3A52">
        <w:rPr>
          <w:sz w:val="24"/>
          <w:szCs w:val="24"/>
        </w:rPr>
        <w:t>-</w:t>
      </w:r>
      <w:r w:rsidRPr="00DF3A52">
        <w:rPr>
          <w:sz w:val="24"/>
          <w:szCs w:val="24"/>
        </w:rPr>
        <w:tab/>
        <w:t>Akut leversygdom eller leversygdom i anamnesen, så længe levertallene ikke er normaliseret.</w:t>
      </w:r>
    </w:p>
    <w:p w14:paraId="7FD79B2F" w14:textId="77777777" w:rsidR="00DF3A52" w:rsidRPr="00DF3A52" w:rsidRDefault="00DF3A52" w:rsidP="00DF3A52">
      <w:pPr>
        <w:tabs>
          <w:tab w:val="left" w:pos="1134"/>
        </w:tabs>
        <w:ind w:left="1134" w:hanging="283"/>
        <w:rPr>
          <w:sz w:val="24"/>
          <w:szCs w:val="24"/>
        </w:rPr>
      </w:pPr>
      <w:r w:rsidRPr="00DF3A52">
        <w:rPr>
          <w:sz w:val="24"/>
          <w:szCs w:val="24"/>
        </w:rPr>
        <w:t>-</w:t>
      </w:r>
      <w:r w:rsidRPr="00DF3A52">
        <w:rPr>
          <w:sz w:val="24"/>
          <w:szCs w:val="24"/>
        </w:rPr>
        <w:tab/>
        <w:t>Porfyri.</w:t>
      </w:r>
    </w:p>
    <w:p w14:paraId="0D696991" w14:textId="77777777" w:rsidR="009260DE" w:rsidRPr="00C84483" w:rsidRDefault="009260DE" w:rsidP="009260DE">
      <w:pPr>
        <w:tabs>
          <w:tab w:val="left" w:pos="851"/>
        </w:tabs>
        <w:ind w:left="851"/>
        <w:rPr>
          <w:sz w:val="24"/>
          <w:szCs w:val="24"/>
        </w:rPr>
      </w:pPr>
    </w:p>
    <w:p w14:paraId="20038D29"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34B1B30" w14:textId="77777777" w:rsidR="00DF3A52" w:rsidRPr="00DF3A52" w:rsidRDefault="00DF3A52" w:rsidP="00DF3A52">
      <w:pPr>
        <w:tabs>
          <w:tab w:val="left" w:pos="851"/>
        </w:tabs>
        <w:ind w:left="851"/>
        <w:rPr>
          <w:sz w:val="24"/>
          <w:szCs w:val="24"/>
        </w:rPr>
      </w:pPr>
      <w:r w:rsidRPr="00DF3A52">
        <w:rPr>
          <w:sz w:val="24"/>
          <w:szCs w:val="24"/>
        </w:rPr>
        <w:t xml:space="preserve">Ved behandling af postmenopausale symptomer bør der kun iværksættes lokal østrogenbehandling, hvis symptomerne påvirker livskvaliteten. I alle tilfælde skal der udføres en grundig analyse af risici og fordele mindst en gang om året, og MHT bør kun fortsættes, så længe fordelen opvejer risikoen. </w:t>
      </w:r>
    </w:p>
    <w:p w14:paraId="335ECA3E" w14:textId="77777777" w:rsidR="00DF3A52" w:rsidRPr="00DF3A52" w:rsidRDefault="00DF3A52" w:rsidP="00DF3A52">
      <w:pPr>
        <w:tabs>
          <w:tab w:val="left" w:pos="851"/>
        </w:tabs>
        <w:ind w:left="851"/>
        <w:rPr>
          <w:sz w:val="24"/>
          <w:szCs w:val="24"/>
        </w:rPr>
      </w:pPr>
    </w:p>
    <w:p w14:paraId="56818324" w14:textId="77777777" w:rsidR="00DF3A52" w:rsidRPr="00DF3A52" w:rsidRDefault="00DF3A52" w:rsidP="00DF3A52">
      <w:pPr>
        <w:tabs>
          <w:tab w:val="left" w:pos="851"/>
        </w:tabs>
        <w:ind w:left="851"/>
        <w:rPr>
          <w:sz w:val="24"/>
          <w:szCs w:val="24"/>
        </w:rPr>
      </w:pPr>
      <w:r w:rsidRPr="00DF3A52">
        <w:rPr>
          <w:sz w:val="24"/>
          <w:szCs w:val="24"/>
        </w:rPr>
        <w:t xml:space="preserve">Der er begrænset evidens vedrørende risiciene i forbindelse med MHT ved behandling af præmatur menopause. Som følge af det lave absolutte risikoniveau hos yngre kvinder kan forholdet mellem fordele og risici dog være mere favorabelt hos sådanne kvinder end hos ældre kvinder.  </w:t>
      </w:r>
    </w:p>
    <w:p w14:paraId="4190D505" w14:textId="77777777" w:rsidR="00DF3A52" w:rsidRPr="00DF3A52" w:rsidRDefault="00DF3A52" w:rsidP="00DF3A52">
      <w:pPr>
        <w:tabs>
          <w:tab w:val="left" w:pos="851"/>
        </w:tabs>
        <w:ind w:left="851"/>
        <w:rPr>
          <w:sz w:val="24"/>
          <w:szCs w:val="24"/>
        </w:rPr>
      </w:pPr>
    </w:p>
    <w:p w14:paraId="6C48EB98" w14:textId="77777777" w:rsidR="00DF3A52" w:rsidRPr="00F04B2F" w:rsidRDefault="00DF3A52" w:rsidP="00DF3A52">
      <w:pPr>
        <w:tabs>
          <w:tab w:val="left" w:pos="851"/>
        </w:tabs>
        <w:ind w:left="851"/>
        <w:rPr>
          <w:sz w:val="24"/>
          <w:szCs w:val="24"/>
          <w:u w:val="single"/>
        </w:rPr>
      </w:pPr>
      <w:r w:rsidRPr="00F04B2F">
        <w:rPr>
          <w:sz w:val="24"/>
          <w:szCs w:val="24"/>
          <w:u w:val="single"/>
        </w:rPr>
        <w:t>Lægeundersøgelse/konsultation</w:t>
      </w:r>
    </w:p>
    <w:p w14:paraId="44830AB3" w14:textId="77777777" w:rsidR="00DF3A52" w:rsidRPr="00DF3A52" w:rsidRDefault="00DF3A52" w:rsidP="00DF3A52">
      <w:pPr>
        <w:tabs>
          <w:tab w:val="left" w:pos="851"/>
        </w:tabs>
        <w:ind w:left="851"/>
        <w:rPr>
          <w:sz w:val="24"/>
          <w:szCs w:val="24"/>
        </w:rPr>
      </w:pPr>
      <w:r w:rsidRPr="00DF3A52">
        <w:rPr>
          <w:sz w:val="24"/>
          <w:szCs w:val="24"/>
        </w:rPr>
        <w:t xml:space="preserve">Inden påbegyndelse eller genoptagelse af behandling med estriol skal den komplette personlige og familiære anamnese indhentes. Lægeundersøgelsen (herunder af underliv og bryst) bør baseres på denne anamnese og på kontraindikationerne og advarslerne vedrørende brug. Under behandlingen anbefales det at gennemføre lægeundersøgelser af en hyppighed og karakter, der passer til den enkelte kvinde. Patienten skal informeres om, hvilke brystforandringer de skal rapportere til lægen eller sygeplejersken (se afsnittet ’Brystcancer’). Undersøgelser, herunder mammografi, skal udføres i overensstemmelse med aktuelle retningslinjer for klinisk praksis, tilpasset til den enkelte kvindes kliniske behov. Vaginalinfektioner skal behandles inden påbegyndelse af behandling med Gynoflor 0,03 mg/50 mg vaginaltabletter. </w:t>
      </w:r>
    </w:p>
    <w:p w14:paraId="723E3ED4" w14:textId="77777777" w:rsidR="00DF3A52" w:rsidRPr="00DF3A52" w:rsidRDefault="00DF3A52" w:rsidP="00DF3A52">
      <w:pPr>
        <w:tabs>
          <w:tab w:val="left" w:pos="851"/>
        </w:tabs>
        <w:ind w:left="851"/>
        <w:rPr>
          <w:sz w:val="24"/>
          <w:szCs w:val="24"/>
        </w:rPr>
      </w:pPr>
    </w:p>
    <w:p w14:paraId="58FD47FF" w14:textId="77777777" w:rsidR="00DF3A52" w:rsidRPr="00F04B2F" w:rsidRDefault="00DF3A52" w:rsidP="00DF3A52">
      <w:pPr>
        <w:tabs>
          <w:tab w:val="left" w:pos="851"/>
        </w:tabs>
        <w:ind w:left="851"/>
        <w:rPr>
          <w:iCs/>
          <w:sz w:val="24"/>
          <w:szCs w:val="24"/>
          <w:u w:val="single"/>
        </w:rPr>
      </w:pPr>
      <w:r w:rsidRPr="00F04B2F">
        <w:rPr>
          <w:iCs/>
          <w:sz w:val="24"/>
          <w:szCs w:val="24"/>
          <w:u w:val="single"/>
        </w:rPr>
        <w:t xml:space="preserve">Situationer, der kræver lægeovervågning </w:t>
      </w:r>
    </w:p>
    <w:p w14:paraId="07BFDA95" w14:textId="77777777" w:rsidR="00DF3A52" w:rsidRPr="00DF3A52" w:rsidRDefault="00DF3A52" w:rsidP="00DF3A52">
      <w:pPr>
        <w:tabs>
          <w:tab w:val="left" w:pos="851"/>
        </w:tabs>
        <w:ind w:left="851"/>
        <w:rPr>
          <w:sz w:val="24"/>
          <w:szCs w:val="24"/>
        </w:rPr>
      </w:pPr>
      <w:r w:rsidRPr="00DF3A52">
        <w:rPr>
          <w:sz w:val="24"/>
          <w:szCs w:val="24"/>
        </w:rPr>
        <w:t xml:space="preserve">Hvis et eller flere af følgende forhold er til stede eller har været det og/eller er blevet forværret under graviditet eller tidligere hormonbehandling, skal patienten monitoreres nøje. Der skal tages højde for, at disse tilstande kan vende tilbage eller blive forværret under behandling med Gynoflor 0,03 mg/50 mg vaginaltabletter, især: </w:t>
      </w:r>
    </w:p>
    <w:p w14:paraId="66312A8B" w14:textId="77777777" w:rsidR="00DF3A52" w:rsidRPr="00DF3A52" w:rsidRDefault="00DF3A52" w:rsidP="00853173">
      <w:pPr>
        <w:tabs>
          <w:tab w:val="left" w:pos="1134"/>
        </w:tabs>
        <w:ind w:left="1134" w:hanging="283"/>
        <w:rPr>
          <w:sz w:val="24"/>
          <w:szCs w:val="24"/>
          <w:lang w:val="nb-NO"/>
        </w:rPr>
      </w:pPr>
      <w:r w:rsidRPr="00DF3A52">
        <w:rPr>
          <w:sz w:val="24"/>
          <w:szCs w:val="24"/>
          <w:lang w:val="nb-NO"/>
        </w:rPr>
        <w:t>-</w:t>
      </w:r>
      <w:r w:rsidRPr="00DF3A52">
        <w:rPr>
          <w:sz w:val="24"/>
          <w:szCs w:val="24"/>
          <w:lang w:val="nb-NO"/>
        </w:rPr>
        <w:tab/>
        <w:t>leiomyomer (fibromer i uterus) eller endometriose</w:t>
      </w:r>
    </w:p>
    <w:p w14:paraId="0739FAFB" w14:textId="77777777" w:rsidR="00DF3A52" w:rsidRPr="00DF3A52" w:rsidRDefault="00DF3A52" w:rsidP="00853173">
      <w:pPr>
        <w:tabs>
          <w:tab w:val="left" w:pos="1134"/>
        </w:tabs>
        <w:ind w:left="1134" w:hanging="283"/>
        <w:rPr>
          <w:sz w:val="24"/>
          <w:szCs w:val="24"/>
          <w:lang w:val="nb-NO"/>
        </w:rPr>
      </w:pPr>
      <w:r w:rsidRPr="00DF3A52">
        <w:rPr>
          <w:sz w:val="24"/>
          <w:szCs w:val="24"/>
          <w:lang w:val="nb-NO"/>
        </w:rPr>
        <w:t>-</w:t>
      </w:r>
      <w:r w:rsidRPr="00DF3A52">
        <w:rPr>
          <w:sz w:val="24"/>
          <w:szCs w:val="24"/>
          <w:lang w:val="nb-NO"/>
        </w:rPr>
        <w:tab/>
        <w:t>risikofaktorer for tromboembolisk sygdom (se afsnittet "Venøs tromboembolisk sygdom")</w:t>
      </w:r>
    </w:p>
    <w:p w14:paraId="565E128C" w14:textId="77777777" w:rsidR="00DF3A52" w:rsidRPr="00DF3A52" w:rsidRDefault="00DF3A52" w:rsidP="00853173">
      <w:pPr>
        <w:tabs>
          <w:tab w:val="left" w:pos="1134"/>
        </w:tabs>
        <w:ind w:left="1134" w:hanging="283"/>
        <w:rPr>
          <w:sz w:val="24"/>
          <w:szCs w:val="24"/>
          <w:lang w:val="nb-NO"/>
        </w:rPr>
      </w:pPr>
      <w:r w:rsidRPr="00DF3A52">
        <w:rPr>
          <w:sz w:val="24"/>
          <w:szCs w:val="24"/>
          <w:lang w:val="nb-NO"/>
        </w:rPr>
        <w:t>-</w:t>
      </w:r>
      <w:r w:rsidRPr="00DF3A52">
        <w:rPr>
          <w:sz w:val="24"/>
          <w:szCs w:val="24"/>
          <w:lang w:val="nb-NO"/>
        </w:rPr>
        <w:tab/>
        <w:t>risikofaktorer for østrogenafhængige tumorer, f.eks. brystcancer hos førstegradsslægtninge</w:t>
      </w:r>
    </w:p>
    <w:p w14:paraId="71FA7ADE" w14:textId="77777777" w:rsidR="00DF3A52" w:rsidRPr="00DF3A52" w:rsidRDefault="00DF3A52" w:rsidP="00853173">
      <w:pPr>
        <w:tabs>
          <w:tab w:val="left" w:pos="1134"/>
        </w:tabs>
        <w:ind w:left="1134" w:hanging="283"/>
        <w:rPr>
          <w:sz w:val="24"/>
          <w:szCs w:val="24"/>
          <w:lang w:val="nb-NO"/>
        </w:rPr>
      </w:pPr>
      <w:r w:rsidRPr="00DF3A52">
        <w:rPr>
          <w:sz w:val="24"/>
          <w:szCs w:val="24"/>
          <w:lang w:val="nb-NO"/>
        </w:rPr>
        <w:t>-</w:t>
      </w:r>
      <w:r w:rsidRPr="00DF3A52">
        <w:rPr>
          <w:sz w:val="24"/>
          <w:szCs w:val="24"/>
          <w:lang w:val="nb-NO"/>
        </w:rPr>
        <w:tab/>
        <w:t xml:space="preserve">hypertension </w:t>
      </w:r>
    </w:p>
    <w:p w14:paraId="31489A13" w14:textId="77777777" w:rsidR="00DF3A52" w:rsidRPr="00DF3A52" w:rsidRDefault="00DF3A52" w:rsidP="00853173">
      <w:pPr>
        <w:tabs>
          <w:tab w:val="left" w:pos="1134"/>
        </w:tabs>
        <w:ind w:left="1134" w:hanging="283"/>
        <w:rPr>
          <w:sz w:val="24"/>
          <w:szCs w:val="24"/>
          <w:lang w:val="nb-NO"/>
        </w:rPr>
      </w:pPr>
      <w:r w:rsidRPr="00DF3A52">
        <w:rPr>
          <w:sz w:val="24"/>
          <w:szCs w:val="24"/>
          <w:lang w:val="nb-NO"/>
        </w:rPr>
        <w:t>-</w:t>
      </w:r>
      <w:r w:rsidRPr="00DF3A52">
        <w:rPr>
          <w:sz w:val="24"/>
          <w:szCs w:val="24"/>
          <w:lang w:val="nb-NO"/>
        </w:rPr>
        <w:tab/>
        <w:t xml:space="preserve">leversygdomme (f.eks. leveradenom) </w:t>
      </w:r>
    </w:p>
    <w:p w14:paraId="494B9575" w14:textId="77777777" w:rsidR="00DF3A52" w:rsidRPr="00DF3A52" w:rsidRDefault="00DF3A52" w:rsidP="00853173">
      <w:pPr>
        <w:tabs>
          <w:tab w:val="left" w:pos="1134"/>
        </w:tabs>
        <w:ind w:left="1134" w:hanging="283"/>
        <w:rPr>
          <w:sz w:val="24"/>
          <w:szCs w:val="24"/>
        </w:rPr>
      </w:pPr>
      <w:r w:rsidRPr="00DF3A52">
        <w:rPr>
          <w:sz w:val="24"/>
          <w:szCs w:val="24"/>
        </w:rPr>
        <w:t>-</w:t>
      </w:r>
      <w:r w:rsidRPr="00DF3A52">
        <w:rPr>
          <w:sz w:val="24"/>
          <w:szCs w:val="24"/>
        </w:rPr>
        <w:tab/>
        <w:t xml:space="preserve">diabetes mellitus med eller uden vaskulær involvering </w:t>
      </w:r>
    </w:p>
    <w:p w14:paraId="73B17913" w14:textId="77777777" w:rsidR="00DF3A52" w:rsidRPr="00DF3A52" w:rsidRDefault="00DF3A52" w:rsidP="00853173">
      <w:pPr>
        <w:tabs>
          <w:tab w:val="left" w:pos="1134"/>
        </w:tabs>
        <w:ind w:left="1134" w:hanging="283"/>
        <w:rPr>
          <w:sz w:val="24"/>
          <w:szCs w:val="24"/>
        </w:rPr>
      </w:pPr>
      <w:r w:rsidRPr="00DF3A52">
        <w:rPr>
          <w:sz w:val="24"/>
          <w:szCs w:val="24"/>
        </w:rPr>
        <w:t>-</w:t>
      </w:r>
      <w:r w:rsidRPr="00DF3A52">
        <w:rPr>
          <w:sz w:val="24"/>
          <w:szCs w:val="24"/>
        </w:rPr>
        <w:tab/>
        <w:t xml:space="preserve">cholelithiasis </w:t>
      </w:r>
    </w:p>
    <w:p w14:paraId="7A7ECA5B" w14:textId="77777777" w:rsidR="00DF3A52" w:rsidRPr="00DF3A52" w:rsidRDefault="00DF3A52" w:rsidP="00853173">
      <w:pPr>
        <w:tabs>
          <w:tab w:val="left" w:pos="1134"/>
        </w:tabs>
        <w:ind w:left="1134" w:hanging="283"/>
        <w:rPr>
          <w:sz w:val="24"/>
          <w:szCs w:val="24"/>
        </w:rPr>
      </w:pPr>
      <w:r w:rsidRPr="00DF3A52">
        <w:rPr>
          <w:sz w:val="24"/>
          <w:szCs w:val="24"/>
        </w:rPr>
        <w:t>-</w:t>
      </w:r>
      <w:r w:rsidRPr="00DF3A52">
        <w:rPr>
          <w:sz w:val="24"/>
          <w:szCs w:val="24"/>
        </w:rPr>
        <w:tab/>
        <w:t xml:space="preserve">migræne eller hovedpine (kraftig) </w:t>
      </w:r>
    </w:p>
    <w:p w14:paraId="6D25FA05" w14:textId="77777777" w:rsidR="00DF3A52" w:rsidRPr="00DF3A52" w:rsidRDefault="00DF3A52" w:rsidP="00853173">
      <w:pPr>
        <w:tabs>
          <w:tab w:val="left" w:pos="1134"/>
        </w:tabs>
        <w:ind w:left="1134" w:hanging="283"/>
        <w:rPr>
          <w:sz w:val="24"/>
          <w:szCs w:val="24"/>
        </w:rPr>
      </w:pPr>
      <w:r w:rsidRPr="00DF3A52">
        <w:rPr>
          <w:sz w:val="24"/>
          <w:szCs w:val="24"/>
        </w:rPr>
        <w:t>-</w:t>
      </w:r>
      <w:r w:rsidRPr="00DF3A52">
        <w:rPr>
          <w:sz w:val="24"/>
          <w:szCs w:val="24"/>
        </w:rPr>
        <w:tab/>
        <w:t xml:space="preserve">systemisk lupus erythematosus (SLE) </w:t>
      </w:r>
    </w:p>
    <w:p w14:paraId="64F5807C" w14:textId="77777777" w:rsidR="00DF3A52" w:rsidRPr="00DF3A52" w:rsidRDefault="00DF3A52" w:rsidP="00853173">
      <w:pPr>
        <w:tabs>
          <w:tab w:val="left" w:pos="1134"/>
        </w:tabs>
        <w:ind w:left="1134" w:hanging="283"/>
        <w:rPr>
          <w:sz w:val="24"/>
          <w:szCs w:val="24"/>
        </w:rPr>
      </w:pPr>
      <w:r w:rsidRPr="00DF3A52">
        <w:rPr>
          <w:sz w:val="24"/>
          <w:szCs w:val="24"/>
        </w:rPr>
        <w:t>-</w:t>
      </w:r>
      <w:r w:rsidRPr="00DF3A52">
        <w:rPr>
          <w:sz w:val="24"/>
          <w:szCs w:val="24"/>
        </w:rPr>
        <w:tab/>
        <w:t xml:space="preserve">endometriehyperplasi i anamnesen (se afsnittet "Endometriehyperplasi") </w:t>
      </w:r>
    </w:p>
    <w:p w14:paraId="394EF9D3" w14:textId="77777777" w:rsidR="00DF3A52" w:rsidRPr="00DF3A52" w:rsidRDefault="00DF3A52" w:rsidP="00853173">
      <w:pPr>
        <w:tabs>
          <w:tab w:val="left" w:pos="1134"/>
        </w:tabs>
        <w:ind w:left="1134" w:hanging="283"/>
        <w:rPr>
          <w:sz w:val="24"/>
          <w:szCs w:val="24"/>
        </w:rPr>
      </w:pPr>
      <w:r w:rsidRPr="00DF3A52">
        <w:rPr>
          <w:sz w:val="24"/>
          <w:szCs w:val="24"/>
        </w:rPr>
        <w:t>-</w:t>
      </w:r>
      <w:r w:rsidRPr="00DF3A52">
        <w:rPr>
          <w:sz w:val="24"/>
          <w:szCs w:val="24"/>
        </w:rPr>
        <w:tab/>
        <w:t xml:space="preserve">epilepsi </w:t>
      </w:r>
    </w:p>
    <w:p w14:paraId="25D2F942" w14:textId="77777777" w:rsidR="00DF3A52" w:rsidRPr="00DF3A52" w:rsidRDefault="00DF3A52" w:rsidP="00853173">
      <w:pPr>
        <w:tabs>
          <w:tab w:val="left" w:pos="1134"/>
        </w:tabs>
        <w:ind w:left="1134" w:hanging="283"/>
        <w:rPr>
          <w:sz w:val="24"/>
          <w:szCs w:val="24"/>
        </w:rPr>
      </w:pPr>
      <w:r w:rsidRPr="00DF3A52">
        <w:rPr>
          <w:sz w:val="24"/>
          <w:szCs w:val="24"/>
        </w:rPr>
        <w:t>-</w:t>
      </w:r>
      <w:r w:rsidRPr="00DF3A52">
        <w:rPr>
          <w:sz w:val="24"/>
          <w:szCs w:val="24"/>
        </w:rPr>
        <w:tab/>
        <w:t xml:space="preserve">astma </w:t>
      </w:r>
    </w:p>
    <w:p w14:paraId="29B11825" w14:textId="77777777" w:rsidR="00DF3A52" w:rsidRPr="00DF3A52" w:rsidRDefault="00DF3A52" w:rsidP="00853173">
      <w:pPr>
        <w:tabs>
          <w:tab w:val="left" w:pos="1134"/>
        </w:tabs>
        <w:ind w:left="1134" w:hanging="283"/>
        <w:rPr>
          <w:sz w:val="24"/>
          <w:szCs w:val="24"/>
        </w:rPr>
      </w:pPr>
      <w:r w:rsidRPr="00DF3A52">
        <w:rPr>
          <w:sz w:val="24"/>
          <w:szCs w:val="24"/>
        </w:rPr>
        <w:t>-</w:t>
      </w:r>
      <w:r w:rsidRPr="00DF3A52">
        <w:rPr>
          <w:sz w:val="24"/>
          <w:szCs w:val="24"/>
        </w:rPr>
        <w:tab/>
        <w:t xml:space="preserve">otosklerose </w:t>
      </w:r>
    </w:p>
    <w:p w14:paraId="09F7FBA4" w14:textId="77777777" w:rsidR="00DF3A52" w:rsidRPr="00DF3A52" w:rsidRDefault="00DF3A52" w:rsidP="00DF3A52">
      <w:pPr>
        <w:tabs>
          <w:tab w:val="left" w:pos="851"/>
        </w:tabs>
        <w:ind w:left="851"/>
        <w:rPr>
          <w:sz w:val="24"/>
          <w:szCs w:val="24"/>
        </w:rPr>
      </w:pPr>
    </w:p>
    <w:p w14:paraId="097D7EE6" w14:textId="77777777" w:rsidR="00DF3A52" w:rsidRPr="00853173" w:rsidRDefault="00DF3A52" w:rsidP="00DF3A52">
      <w:pPr>
        <w:tabs>
          <w:tab w:val="left" w:pos="851"/>
        </w:tabs>
        <w:ind w:left="851"/>
        <w:rPr>
          <w:iCs/>
          <w:sz w:val="24"/>
          <w:szCs w:val="24"/>
          <w:u w:val="single"/>
        </w:rPr>
      </w:pPr>
      <w:r w:rsidRPr="00853173">
        <w:rPr>
          <w:iCs/>
          <w:sz w:val="24"/>
          <w:szCs w:val="24"/>
          <w:u w:val="single"/>
        </w:rPr>
        <w:t xml:space="preserve">Årsager til øjeblikke seponering af behandlingen </w:t>
      </w:r>
    </w:p>
    <w:p w14:paraId="2E79F980" w14:textId="77777777" w:rsidR="00DF3A52" w:rsidRPr="00DF3A52" w:rsidRDefault="00DF3A52" w:rsidP="00DF3A52">
      <w:pPr>
        <w:tabs>
          <w:tab w:val="left" w:pos="851"/>
        </w:tabs>
        <w:ind w:left="851"/>
        <w:rPr>
          <w:sz w:val="24"/>
          <w:szCs w:val="24"/>
        </w:rPr>
      </w:pPr>
      <w:r w:rsidRPr="00DF3A52">
        <w:rPr>
          <w:sz w:val="24"/>
          <w:szCs w:val="24"/>
        </w:rPr>
        <w:t xml:space="preserve">Behandlingen skal seponeres, hvis en kontraindikation bliver opdaget, og i følgende situationer: </w:t>
      </w:r>
    </w:p>
    <w:p w14:paraId="186562F8" w14:textId="77777777" w:rsidR="00DF3A52" w:rsidRPr="00DF3A52" w:rsidRDefault="00DF3A52" w:rsidP="00853173">
      <w:pPr>
        <w:tabs>
          <w:tab w:val="left" w:pos="851"/>
          <w:tab w:val="left" w:pos="1134"/>
        </w:tabs>
        <w:ind w:left="851"/>
        <w:rPr>
          <w:sz w:val="24"/>
          <w:szCs w:val="24"/>
        </w:rPr>
      </w:pPr>
      <w:r w:rsidRPr="00DF3A52">
        <w:rPr>
          <w:sz w:val="24"/>
          <w:szCs w:val="24"/>
        </w:rPr>
        <w:t>-</w:t>
      </w:r>
      <w:r w:rsidRPr="00DF3A52">
        <w:rPr>
          <w:sz w:val="24"/>
          <w:szCs w:val="24"/>
        </w:rPr>
        <w:tab/>
        <w:t xml:space="preserve">gulsot eller forværring af leverfunktionen </w:t>
      </w:r>
    </w:p>
    <w:p w14:paraId="049271CE" w14:textId="77777777" w:rsidR="00DF3A52" w:rsidRPr="00DF3A52" w:rsidRDefault="00DF3A52" w:rsidP="00853173">
      <w:pPr>
        <w:tabs>
          <w:tab w:val="left" w:pos="851"/>
          <w:tab w:val="left" w:pos="1134"/>
        </w:tabs>
        <w:ind w:left="851"/>
        <w:rPr>
          <w:sz w:val="24"/>
          <w:szCs w:val="24"/>
        </w:rPr>
      </w:pPr>
      <w:r w:rsidRPr="00DF3A52">
        <w:rPr>
          <w:sz w:val="24"/>
          <w:szCs w:val="24"/>
        </w:rPr>
        <w:t>-</w:t>
      </w:r>
      <w:r w:rsidRPr="00DF3A52">
        <w:rPr>
          <w:sz w:val="24"/>
          <w:szCs w:val="24"/>
        </w:rPr>
        <w:tab/>
        <w:t xml:space="preserve">signifikant blodtryksstigning </w:t>
      </w:r>
    </w:p>
    <w:p w14:paraId="012497AC" w14:textId="77777777" w:rsidR="00DF3A52" w:rsidRPr="00DF3A52" w:rsidRDefault="00DF3A52" w:rsidP="00853173">
      <w:pPr>
        <w:tabs>
          <w:tab w:val="left" w:pos="851"/>
          <w:tab w:val="left" w:pos="1134"/>
        </w:tabs>
        <w:ind w:left="851"/>
        <w:rPr>
          <w:sz w:val="24"/>
          <w:szCs w:val="24"/>
        </w:rPr>
      </w:pPr>
      <w:r w:rsidRPr="00DF3A52">
        <w:rPr>
          <w:sz w:val="24"/>
          <w:szCs w:val="24"/>
        </w:rPr>
        <w:t>-</w:t>
      </w:r>
      <w:r w:rsidRPr="00DF3A52">
        <w:rPr>
          <w:sz w:val="24"/>
          <w:szCs w:val="24"/>
        </w:rPr>
        <w:tab/>
        <w:t xml:space="preserve">indtræden af en ny type migræne </w:t>
      </w:r>
    </w:p>
    <w:p w14:paraId="73DB5EEC" w14:textId="77777777" w:rsidR="00DF3A52" w:rsidRPr="00DF3A52" w:rsidRDefault="00DF3A52" w:rsidP="00853173">
      <w:pPr>
        <w:tabs>
          <w:tab w:val="left" w:pos="851"/>
          <w:tab w:val="left" w:pos="1134"/>
        </w:tabs>
        <w:ind w:left="851"/>
        <w:rPr>
          <w:sz w:val="24"/>
          <w:szCs w:val="24"/>
        </w:rPr>
      </w:pPr>
      <w:r w:rsidRPr="00DF3A52">
        <w:rPr>
          <w:sz w:val="24"/>
          <w:szCs w:val="24"/>
        </w:rPr>
        <w:t>-</w:t>
      </w:r>
      <w:r w:rsidRPr="00DF3A52">
        <w:rPr>
          <w:sz w:val="24"/>
          <w:szCs w:val="24"/>
        </w:rPr>
        <w:tab/>
        <w:t>graviditet</w:t>
      </w:r>
    </w:p>
    <w:p w14:paraId="41D581D7" w14:textId="77777777" w:rsidR="00DF3A52" w:rsidRPr="00DF3A52" w:rsidRDefault="00DF3A52" w:rsidP="00DF3A52">
      <w:pPr>
        <w:tabs>
          <w:tab w:val="left" w:pos="851"/>
        </w:tabs>
        <w:ind w:left="851"/>
        <w:rPr>
          <w:sz w:val="24"/>
          <w:szCs w:val="24"/>
        </w:rPr>
      </w:pPr>
    </w:p>
    <w:p w14:paraId="36E2EF18" w14:textId="77777777" w:rsidR="00DF3A52" w:rsidRPr="00853173" w:rsidRDefault="00DF3A52" w:rsidP="00DF3A52">
      <w:pPr>
        <w:tabs>
          <w:tab w:val="left" w:pos="851"/>
        </w:tabs>
        <w:ind w:left="851"/>
        <w:rPr>
          <w:iCs/>
          <w:sz w:val="24"/>
          <w:szCs w:val="24"/>
          <w:u w:val="single"/>
        </w:rPr>
      </w:pPr>
      <w:r w:rsidRPr="00853173">
        <w:rPr>
          <w:iCs/>
          <w:sz w:val="24"/>
          <w:szCs w:val="24"/>
          <w:u w:val="single"/>
        </w:rPr>
        <w:t xml:space="preserve">Endometriehyperplasi og karcinom </w:t>
      </w:r>
    </w:p>
    <w:p w14:paraId="3AFB4B54" w14:textId="77777777" w:rsidR="00DF3A52" w:rsidRPr="00DF3A52" w:rsidRDefault="00DF3A52" w:rsidP="00DF3A52">
      <w:pPr>
        <w:tabs>
          <w:tab w:val="left" w:pos="851"/>
        </w:tabs>
        <w:ind w:left="851"/>
        <w:rPr>
          <w:sz w:val="24"/>
          <w:szCs w:val="24"/>
        </w:rPr>
      </w:pPr>
      <w:r w:rsidRPr="00DF3A52">
        <w:rPr>
          <w:sz w:val="24"/>
          <w:szCs w:val="24"/>
        </w:rPr>
        <w:t xml:space="preserve">Hos kvinder med intakt uterus er risikoen for endometriehyperplasi og karcinom øget ved administration af systemiske østrogener alene i længere perioder. </w:t>
      </w:r>
    </w:p>
    <w:p w14:paraId="5585A6A9" w14:textId="77777777" w:rsidR="00DF3A52" w:rsidRPr="00DF3A52" w:rsidRDefault="00DF3A52" w:rsidP="00DF3A52">
      <w:pPr>
        <w:tabs>
          <w:tab w:val="left" w:pos="851"/>
        </w:tabs>
        <w:ind w:left="851"/>
        <w:rPr>
          <w:sz w:val="24"/>
          <w:szCs w:val="24"/>
        </w:rPr>
      </w:pPr>
      <w:r w:rsidRPr="00DF3A52">
        <w:rPr>
          <w:sz w:val="24"/>
          <w:szCs w:val="24"/>
        </w:rPr>
        <w:t xml:space="preserve">Ved behandling med vaginalt østrogen, hvor den systemiske eksponering for østrogen forbliver inden for det normale postmenopausale område, anbefales det ikke at tilføje et gestagen. </w:t>
      </w:r>
    </w:p>
    <w:p w14:paraId="035796BC" w14:textId="77777777" w:rsidR="00DF3A52" w:rsidRPr="00DF3A52" w:rsidRDefault="00DF3A52" w:rsidP="00DF3A52">
      <w:pPr>
        <w:tabs>
          <w:tab w:val="left" w:pos="851"/>
        </w:tabs>
        <w:ind w:left="851"/>
        <w:rPr>
          <w:sz w:val="24"/>
          <w:szCs w:val="24"/>
        </w:rPr>
      </w:pPr>
    </w:p>
    <w:p w14:paraId="523E6F01" w14:textId="77777777" w:rsidR="00DF3A52" w:rsidRPr="00DF3A52" w:rsidRDefault="00DF3A52" w:rsidP="00DF3A52">
      <w:pPr>
        <w:tabs>
          <w:tab w:val="left" w:pos="851"/>
        </w:tabs>
        <w:ind w:left="851"/>
        <w:rPr>
          <w:sz w:val="24"/>
          <w:szCs w:val="24"/>
        </w:rPr>
      </w:pPr>
      <w:r w:rsidRPr="00DF3A52">
        <w:rPr>
          <w:sz w:val="24"/>
          <w:szCs w:val="24"/>
        </w:rPr>
        <w:t xml:space="preserve">Den endometrielle sikkerhed ved langvarig (over ét år) eller gentegne brug af vaginalt administreret østrogen er ikke klarlagt. Hvis gentegne brug imidlertid er nødvendig, anbefales det at revurdere behandlingen mindst en gang om året. </w:t>
      </w:r>
    </w:p>
    <w:p w14:paraId="403568DB" w14:textId="77777777" w:rsidR="00DF3A52" w:rsidRPr="00DF3A52" w:rsidRDefault="00DF3A52" w:rsidP="00DF3A52">
      <w:pPr>
        <w:tabs>
          <w:tab w:val="left" w:pos="851"/>
        </w:tabs>
        <w:ind w:left="851"/>
        <w:rPr>
          <w:sz w:val="24"/>
          <w:szCs w:val="24"/>
        </w:rPr>
      </w:pPr>
    </w:p>
    <w:p w14:paraId="5C047E30" w14:textId="77777777" w:rsidR="00DF3A52" w:rsidRPr="00DF3A52" w:rsidRDefault="00DF3A52" w:rsidP="00DF3A52">
      <w:pPr>
        <w:tabs>
          <w:tab w:val="left" w:pos="851"/>
        </w:tabs>
        <w:ind w:left="851"/>
        <w:rPr>
          <w:sz w:val="24"/>
          <w:szCs w:val="24"/>
        </w:rPr>
      </w:pPr>
      <w:r w:rsidRPr="00DF3A52">
        <w:rPr>
          <w:sz w:val="24"/>
          <w:szCs w:val="24"/>
        </w:rPr>
        <w:t xml:space="preserve">Ukontrolleret østrogenstimulation kan medføre præmaligne eller maligne transformationer i residuale endometriose-foci. Derfor bør der udvises forsigtighed ved brug af dette lægemiddel hos kvinder, der har gennemgået hysterektomi på grund af endometriose, især hvis der er residual endometriose. </w:t>
      </w:r>
    </w:p>
    <w:p w14:paraId="3369CF1B" w14:textId="77777777" w:rsidR="00DF3A52" w:rsidRPr="00DF3A52" w:rsidRDefault="00DF3A52" w:rsidP="00DF3A52">
      <w:pPr>
        <w:tabs>
          <w:tab w:val="left" w:pos="851"/>
        </w:tabs>
        <w:ind w:left="851"/>
        <w:rPr>
          <w:sz w:val="24"/>
          <w:szCs w:val="24"/>
        </w:rPr>
      </w:pPr>
    </w:p>
    <w:p w14:paraId="7D3B0636" w14:textId="77777777" w:rsidR="00DF3A52" w:rsidRPr="00DF3A52" w:rsidRDefault="00DF3A52" w:rsidP="00DF3A52">
      <w:pPr>
        <w:tabs>
          <w:tab w:val="left" w:pos="851"/>
        </w:tabs>
        <w:ind w:left="851"/>
        <w:rPr>
          <w:sz w:val="24"/>
          <w:szCs w:val="24"/>
        </w:rPr>
      </w:pPr>
      <w:r w:rsidRPr="00DF3A52">
        <w:rPr>
          <w:sz w:val="24"/>
          <w:szCs w:val="24"/>
        </w:rPr>
        <w:t xml:space="preserve">Hvis der på noget tidspunkt under behandlingen opstår blødning eller pletblødning, skal årsagen undersøges, hvilket kan omfatte endometriebiopsi for at udelukke endometriecancer. </w:t>
      </w:r>
    </w:p>
    <w:p w14:paraId="5C6A49CA" w14:textId="77777777" w:rsidR="00DF3A52" w:rsidRPr="00DF3A52" w:rsidRDefault="00DF3A52" w:rsidP="00DF3A52">
      <w:pPr>
        <w:tabs>
          <w:tab w:val="left" w:pos="851"/>
        </w:tabs>
        <w:ind w:left="851"/>
        <w:rPr>
          <w:sz w:val="24"/>
          <w:szCs w:val="24"/>
        </w:rPr>
      </w:pPr>
    </w:p>
    <w:p w14:paraId="749DB41B" w14:textId="77777777" w:rsidR="00DF3A52" w:rsidRPr="00DF3A52" w:rsidRDefault="00DF3A52" w:rsidP="00DF3A52">
      <w:pPr>
        <w:tabs>
          <w:tab w:val="left" w:pos="851"/>
        </w:tabs>
        <w:ind w:left="851"/>
        <w:rPr>
          <w:i/>
          <w:iCs/>
          <w:sz w:val="24"/>
          <w:szCs w:val="24"/>
        </w:rPr>
      </w:pPr>
      <w:r w:rsidRPr="00DF3A52">
        <w:rPr>
          <w:i/>
          <w:iCs/>
          <w:sz w:val="24"/>
          <w:szCs w:val="24"/>
        </w:rPr>
        <w:t xml:space="preserve">Systemisk menopausal hormonbehandling (MHT) er blevet forbundet med nedenstående risici. Risiciene gælder i mindre omfang for østrogenprodukter til vaginal administration, hvor den systemiske eksponering for østrogen forbliver inden for det postmenopausale normalområde. De bør imidlertid tages i betragtning i tilfælde af langvarig eller gentagen brug af dette produkt. </w:t>
      </w:r>
    </w:p>
    <w:p w14:paraId="611354F6" w14:textId="77777777" w:rsidR="00DF3A52" w:rsidRPr="00DF3A52" w:rsidRDefault="00DF3A52" w:rsidP="00DF3A52">
      <w:pPr>
        <w:tabs>
          <w:tab w:val="left" w:pos="851"/>
        </w:tabs>
        <w:ind w:left="851"/>
        <w:rPr>
          <w:sz w:val="24"/>
          <w:szCs w:val="24"/>
        </w:rPr>
      </w:pPr>
    </w:p>
    <w:p w14:paraId="3DAF4399" w14:textId="77777777" w:rsidR="00DF3A52" w:rsidRPr="00853173" w:rsidRDefault="00DF3A52" w:rsidP="00DF3A52">
      <w:pPr>
        <w:tabs>
          <w:tab w:val="left" w:pos="851"/>
        </w:tabs>
        <w:ind w:left="851"/>
        <w:rPr>
          <w:iCs/>
          <w:sz w:val="24"/>
          <w:szCs w:val="24"/>
          <w:u w:val="single"/>
        </w:rPr>
      </w:pPr>
      <w:r w:rsidRPr="00853173">
        <w:rPr>
          <w:iCs/>
          <w:sz w:val="24"/>
          <w:szCs w:val="24"/>
          <w:u w:val="single"/>
        </w:rPr>
        <w:t xml:space="preserve">Brystcancer </w:t>
      </w:r>
    </w:p>
    <w:p w14:paraId="07C12372" w14:textId="77777777" w:rsidR="00DF3A52" w:rsidRPr="00DF3A52" w:rsidRDefault="00DF3A52" w:rsidP="00DF3A52">
      <w:pPr>
        <w:tabs>
          <w:tab w:val="left" w:pos="851"/>
        </w:tabs>
        <w:ind w:left="851"/>
        <w:rPr>
          <w:sz w:val="24"/>
          <w:szCs w:val="24"/>
        </w:rPr>
      </w:pPr>
      <w:r w:rsidRPr="00DF3A52">
        <w:rPr>
          <w:sz w:val="24"/>
          <w:szCs w:val="24"/>
        </w:rPr>
        <w:t xml:space="preserve">Epidemiologisk evidens fra en stor metaanalyse tyder ikke på en øget risiko for brystcancer hos kvinder uden tidligere brystcancer, der tager vaginalt administreret østrogen i lav dosis. Det er ukendt, om vaginale østrogener i lav dosis stimulerer recidiv af brystcancer. </w:t>
      </w:r>
    </w:p>
    <w:p w14:paraId="17797E3F" w14:textId="77777777" w:rsidR="00DF3A52" w:rsidRPr="00DF3A52" w:rsidRDefault="00DF3A52" w:rsidP="00DF3A52">
      <w:pPr>
        <w:tabs>
          <w:tab w:val="left" w:pos="851"/>
        </w:tabs>
        <w:ind w:left="851"/>
        <w:rPr>
          <w:sz w:val="24"/>
          <w:szCs w:val="24"/>
        </w:rPr>
      </w:pPr>
    </w:p>
    <w:p w14:paraId="2AECE259" w14:textId="77777777" w:rsidR="00DF3A52" w:rsidRPr="00853173" w:rsidRDefault="00DF3A52" w:rsidP="00DF3A52">
      <w:pPr>
        <w:tabs>
          <w:tab w:val="left" w:pos="851"/>
        </w:tabs>
        <w:ind w:left="851"/>
        <w:rPr>
          <w:iCs/>
          <w:sz w:val="24"/>
          <w:szCs w:val="24"/>
          <w:u w:val="single"/>
        </w:rPr>
      </w:pPr>
      <w:r w:rsidRPr="00853173">
        <w:rPr>
          <w:iCs/>
          <w:sz w:val="24"/>
          <w:szCs w:val="24"/>
          <w:u w:val="single"/>
        </w:rPr>
        <w:t xml:space="preserve">Ovariecancer </w:t>
      </w:r>
    </w:p>
    <w:p w14:paraId="5CB4314B" w14:textId="77777777" w:rsidR="00DF3A52" w:rsidRPr="00DF3A52" w:rsidRDefault="00DF3A52" w:rsidP="00DF3A52">
      <w:pPr>
        <w:tabs>
          <w:tab w:val="left" w:pos="851"/>
        </w:tabs>
        <w:ind w:left="851"/>
        <w:rPr>
          <w:sz w:val="24"/>
          <w:szCs w:val="24"/>
        </w:rPr>
      </w:pPr>
      <w:r w:rsidRPr="00DF3A52">
        <w:rPr>
          <w:sz w:val="24"/>
          <w:szCs w:val="24"/>
        </w:rPr>
        <w:t xml:space="preserve">Ovariecancer er meget mere sjælden end brystcancer. Epidemiologisk evidens fra en stor metaanalyse tyder på en let forøget risiko hos kvinder, der tager systemisk MHT med østrogen alene. Risikoen bliver evident inden for 5 års brug og aftager over tid efter seponering. </w:t>
      </w:r>
    </w:p>
    <w:p w14:paraId="07D3F699" w14:textId="77777777" w:rsidR="00DF3A52" w:rsidRPr="00DF3A52" w:rsidRDefault="00DF3A52" w:rsidP="00DF3A52">
      <w:pPr>
        <w:tabs>
          <w:tab w:val="left" w:pos="851"/>
        </w:tabs>
        <w:ind w:left="851"/>
        <w:rPr>
          <w:sz w:val="24"/>
          <w:szCs w:val="24"/>
        </w:rPr>
      </w:pPr>
    </w:p>
    <w:p w14:paraId="69A7F1B8" w14:textId="77777777" w:rsidR="00DF3A52" w:rsidRPr="00853173" w:rsidRDefault="00DF3A52" w:rsidP="00DF3A52">
      <w:pPr>
        <w:tabs>
          <w:tab w:val="left" w:pos="851"/>
        </w:tabs>
        <w:ind w:left="851"/>
        <w:rPr>
          <w:iCs/>
          <w:sz w:val="24"/>
          <w:szCs w:val="24"/>
          <w:u w:val="single"/>
        </w:rPr>
      </w:pPr>
      <w:r w:rsidRPr="00853173">
        <w:rPr>
          <w:iCs/>
          <w:sz w:val="24"/>
          <w:szCs w:val="24"/>
          <w:u w:val="single"/>
        </w:rPr>
        <w:t xml:space="preserve">Venøs tromboemboli </w:t>
      </w:r>
    </w:p>
    <w:p w14:paraId="6AF10B24" w14:textId="77777777" w:rsidR="00DF3A52" w:rsidRPr="00DF3A52" w:rsidRDefault="00DF3A52" w:rsidP="00DF3A52">
      <w:pPr>
        <w:tabs>
          <w:tab w:val="left" w:pos="851"/>
        </w:tabs>
        <w:ind w:left="851"/>
        <w:rPr>
          <w:sz w:val="24"/>
          <w:szCs w:val="24"/>
        </w:rPr>
      </w:pPr>
      <w:r w:rsidRPr="00DF3A52">
        <w:rPr>
          <w:sz w:val="24"/>
          <w:szCs w:val="24"/>
        </w:rPr>
        <w:t xml:space="preserve">Systemisk MHT er forbundet med en 1,3- til 3-foldig stigning i risikoen for at udvikle venøs tromboemboli (VTE), dvs. dyb venetrombose eller lungeemboli. Der er større sandsynlighed for, at en sådan hændelse indtræder i løbet af det første år med MHT end </w:t>
      </w:r>
      <w:r w:rsidRPr="00DF3A52">
        <w:rPr>
          <w:sz w:val="24"/>
          <w:szCs w:val="24"/>
        </w:rPr>
        <w:lastRenderedPageBreak/>
        <w:t>senere (se pkt. 4.8). Disse studier omfattede ikke Gynoflor, og eftersom der mangler data, er det ukendt, om Gynoflor indebærer den samme risiko.</w:t>
      </w:r>
    </w:p>
    <w:p w14:paraId="3C45421D" w14:textId="77777777" w:rsidR="00DF3A52" w:rsidRPr="00DF3A52" w:rsidRDefault="00DF3A52" w:rsidP="00DF3A52">
      <w:pPr>
        <w:tabs>
          <w:tab w:val="left" w:pos="851"/>
        </w:tabs>
        <w:ind w:left="851"/>
        <w:rPr>
          <w:sz w:val="24"/>
          <w:szCs w:val="24"/>
        </w:rPr>
      </w:pPr>
      <w:r w:rsidRPr="00DF3A52">
        <w:rPr>
          <w:sz w:val="24"/>
          <w:szCs w:val="24"/>
        </w:rPr>
        <w:t xml:space="preserve"> </w:t>
      </w:r>
    </w:p>
    <w:p w14:paraId="48062AE0" w14:textId="77777777" w:rsidR="00DF3A52" w:rsidRPr="00DF3A52" w:rsidRDefault="00DF3A52" w:rsidP="00DF3A52">
      <w:pPr>
        <w:tabs>
          <w:tab w:val="left" w:pos="851"/>
        </w:tabs>
        <w:ind w:left="851"/>
        <w:rPr>
          <w:sz w:val="24"/>
          <w:szCs w:val="24"/>
        </w:rPr>
      </w:pPr>
      <w:r w:rsidRPr="00DF3A52">
        <w:rPr>
          <w:sz w:val="24"/>
          <w:szCs w:val="24"/>
        </w:rPr>
        <w:t xml:space="preserve">Patienter med diagnosticerede trombofile tilstande har en øget risiko for VTE, og MHT kan øge denne risiko. Derfor er MHT kontraindiceret hos sådanne patienter (se pkt. 4.3). </w:t>
      </w:r>
    </w:p>
    <w:p w14:paraId="2FA7B322" w14:textId="77777777" w:rsidR="00DF3A52" w:rsidRPr="00DF3A52" w:rsidRDefault="00DF3A52" w:rsidP="00DF3A52">
      <w:pPr>
        <w:tabs>
          <w:tab w:val="left" w:pos="851"/>
        </w:tabs>
        <w:ind w:left="851"/>
        <w:rPr>
          <w:sz w:val="24"/>
          <w:szCs w:val="24"/>
        </w:rPr>
      </w:pPr>
    </w:p>
    <w:p w14:paraId="4F8FFE6F" w14:textId="77777777" w:rsidR="00DF3A52" w:rsidRPr="00DF3A52" w:rsidRDefault="00DF3A52" w:rsidP="00DF3A52">
      <w:pPr>
        <w:tabs>
          <w:tab w:val="left" w:pos="851"/>
        </w:tabs>
        <w:ind w:left="851"/>
        <w:rPr>
          <w:sz w:val="24"/>
          <w:szCs w:val="24"/>
        </w:rPr>
      </w:pPr>
      <w:r w:rsidRPr="00DF3A52">
        <w:rPr>
          <w:sz w:val="24"/>
          <w:szCs w:val="24"/>
        </w:rPr>
        <w:t>Generelt anerkendte risikofaktorer for VTE omfatter brug af østrogener, høj alder, større operation, længerevarende immobilisering, adipositas (BMI &gt; 30 kg/m</w:t>
      </w:r>
      <w:r w:rsidRPr="00DF3A52">
        <w:rPr>
          <w:sz w:val="24"/>
          <w:szCs w:val="24"/>
          <w:vertAlign w:val="superscript"/>
        </w:rPr>
        <w:t>2</w:t>
      </w:r>
      <w:r w:rsidRPr="00DF3A52">
        <w:rPr>
          <w:sz w:val="24"/>
          <w:szCs w:val="24"/>
        </w:rPr>
        <w:t xml:space="preserve">), graviditet/postpartumperioden, systemisk lupus erythematosus (SLE) og cancer. Der er ikke konsensus om, hvorvidt åreknuder spiller en rolle ved VTE. </w:t>
      </w:r>
    </w:p>
    <w:p w14:paraId="6220D56B" w14:textId="77777777" w:rsidR="00DF3A52" w:rsidRPr="00DF3A52" w:rsidRDefault="00DF3A52" w:rsidP="00DF3A52">
      <w:pPr>
        <w:tabs>
          <w:tab w:val="left" w:pos="851"/>
        </w:tabs>
        <w:ind w:left="851"/>
        <w:rPr>
          <w:sz w:val="24"/>
          <w:szCs w:val="24"/>
        </w:rPr>
      </w:pPr>
    </w:p>
    <w:p w14:paraId="20A855B2" w14:textId="77777777" w:rsidR="00DF3A52" w:rsidRPr="00DF3A52" w:rsidRDefault="00DF3A52" w:rsidP="00DF3A52">
      <w:pPr>
        <w:tabs>
          <w:tab w:val="left" w:pos="851"/>
        </w:tabs>
        <w:ind w:left="851"/>
        <w:rPr>
          <w:sz w:val="24"/>
          <w:szCs w:val="24"/>
        </w:rPr>
      </w:pPr>
      <w:r w:rsidRPr="00DF3A52">
        <w:rPr>
          <w:sz w:val="24"/>
          <w:szCs w:val="24"/>
        </w:rPr>
        <w:t xml:space="preserve">Som det altid er tilfældet hos postoperative patienter, skal profylaktiske foranstaltninger til forebyggelse af VTE efter kirurgi overvejes. I tilfælde af længerevarende immobilisering efter elektiv kirurgi bør MHT seponeres 4 til 6 uger forinden. Behandlingen bør ikke genoptages, før kvinden har genvundet fuld mobilitet. </w:t>
      </w:r>
    </w:p>
    <w:p w14:paraId="74EC4FBF" w14:textId="77777777" w:rsidR="00DF3A52" w:rsidRPr="00DF3A52" w:rsidRDefault="00DF3A52" w:rsidP="00DF3A52">
      <w:pPr>
        <w:tabs>
          <w:tab w:val="left" w:pos="851"/>
        </w:tabs>
        <w:ind w:left="851"/>
        <w:rPr>
          <w:sz w:val="24"/>
          <w:szCs w:val="24"/>
        </w:rPr>
      </w:pPr>
    </w:p>
    <w:p w14:paraId="28BC5A88" w14:textId="77777777" w:rsidR="00DF3A52" w:rsidRPr="00DF3A52" w:rsidRDefault="00DF3A52" w:rsidP="00DF3A52">
      <w:pPr>
        <w:tabs>
          <w:tab w:val="left" w:pos="851"/>
        </w:tabs>
        <w:ind w:left="851"/>
        <w:rPr>
          <w:sz w:val="24"/>
          <w:szCs w:val="24"/>
        </w:rPr>
      </w:pPr>
      <w:r w:rsidRPr="00DF3A52">
        <w:rPr>
          <w:sz w:val="24"/>
          <w:szCs w:val="24"/>
        </w:rPr>
        <w:t>Hos kvinder uden VTE i egen anamnese, men med en førstegradsslægtning med trombose i en ung alder i anamnesen, kan der udføres screening efter nøje rådgivning vedrørendes screeningens begrænsninger (ikke alle trombofile forandringer bliver identificeret ved screening). Hvis der bliver identificeret en trombofil forandring, der kulminerer i trombose hos familiemedlemmer, eller hvis forandringen vurderes at være ”svær” (f.eks. mangel på antitrombin, protein S eller protein C eller en kombination af mangler), er MHT kontraindiceret.</w:t>
      </w:r>
    </w:p>
    <w:p w14:paraId="5CE9EEE4" w14:textId="77777777" w:rsidR="00DF3A52" w:rsidRPr="00DF3A52" w:rsidRDefault="00DF3A52" w:rsidP="00DF3A52">
      <w:pPr>
        <w:tabs>
          <w:tab w:val="left" w:pos="851"/>
        </w:tabs>
        <w:ind w:left="851"/>
        <w:rPr>
          <w:sz w:val="24"/>
          <w:szCs w:val="24"/>
        </w:rPr>
      </w:pPr>
      <w:r w:rsidRPr="00DF3A52">
        <w:rPr>
          <w:sz w:val="24"/>
          <w:szCs w:val="24"/>
        </w:rPr>
        <w:t xml:space="preserve"> </w:t>
      </w:r>
    </w:p>
    <w:p w14:paraId="157E98B7" w14:textId="77777777" w:rsidR="00DF3A52" w:rsidRPr="00DF3A52" w:rsidRDefault="00DF3A52" w:rsidP="00DF3A52">
      <w:pPr>
        <w:tabs>
          <w:tab w:val="left" w:pos="851"/>
        </w:tabs>
        <w:ind w:left="851"/>
        <w:rPr>
          <w:sz w:val="24"/>
          <w:szCs w:val="24"/>
        </w:rPr>
      </w:pPr>
      <w:r w:rsidRPr="00DF3A52">
        <w:rPr>
          <w:sz w:val="24"/>
          <w:szCs w:val="24"/>
        </w:rPr>
        <w:t xml:space="preserve">Kvinder, der allerede er i behandling med antikoagulantia, bør evalueres nøje under hensyntagen til benefit-risk-forholdet ved brug af MHT. </w:t>
      </w:r>
    </w:p>
    <w:p w14:paraId="34B56FEF" w14:textId="77777777" w:rsidR="00DF3A52" w:rsidRPr="00DF3A52" w:rsidRDefault="00DF3A52" w:rsidP="00DF3A52">
      <w:pPr>
        <w:tabs>
          <w:tab w:val="left" w:pos="851"/>
        </w:tabs>
        <w:ind w:left="851"/>
        <w:rPr>
          <w:sz w:val="24"/>
          <w:szCs w:val="24"/>
        </w:rPr>
      </w:pPr>
    </w:p>
    <w:p w14:paraId="2F93FA4B" w14:textId="77777777" w:rsidR="00DF3A52" w:rsidRPr="00DF3A52" w:rsidRDefault="00DF3A52" w:rsidP="00DF3A52">
      <w:pPr>
        <w:tabs>
          <w:tab w:val="left" w:pos="851"/>
        </w:tabs>
        <w:ind w:left="851"/>
        <w:rPr>
          <w:sz w:val="24"/>
          <w:szCs w:val="24"/>
        </w:rPr>
      </w:pPr>
      <w:r w:rsidRPr="00DF3A52">
        <w:rPr>
          <w:sz w:val="24"/>
          <w:szCs w:val="24"/>
        </w:rPr>
        <w:t xml:space="preserve">Hvis der opstår VTE efter påbegyndelse af behandling med Gynoflor, skal lægemidlet seponeres. Patienterne skal rådes til straks at kontakte lægen, hvis de bemærker potentielle tromboemboliske symptomer (såsom smertefuld hævelse af benet, pludselige brystsmerter, dyspnø). </w:t>
      </w:r>
    </w:p>
    <w:p w14:paraId="5AF5DA3F" w14:textId="77777777" w:rsidR="00DF3A52" w:rsidRPr="00DF3A52" w:rsidRDefault="00DF3A52" w:rsidP="00DF3A52">
      <w:pPr>
        <w:tabs>
          <w:tab w:val="left" w:pos="851"/>
        </w:tabs>
        <w:ind w:left="851"/>
        <w:rPr>
          <w:sz w:val="24"/>
          <w:szCs w:val="24"/>
        </w:rPr>
      </w:pPr>
    </w:p>
    <w:p w14:paraId="24C29C46" w14:textId="77777777" w:rsidR="00DF3A52" w:rsidRPr="00853173" w:rsidRDefault="00DF3A52" w:rsidP="00DF3A52">
      <w:pPr>
        <w:tabs>
          <w:tab w:val="left" w:pos="851"/>
        </w:tabs>
        <w:ind w:left="851"/>
        <w:rPr>
          <w:iCs/>
          <w:sz w:val="24"/>
          <w:szCs w:val="24"/>
          <w:u w:val="single"/>
        </w:rPr>
      </w:pPr>
      <w:r w:rsidRPr="00853173">
        <w:rPr>
          <w:iCs/>
          <w:sz w:val="24"/>
          <w:szCs w:val="24"/>
          <w:u w:val="single"/>
        </w:rPr>
        <w:t xml:space="preserve">Koronararteriesygdom (CAD) </w:t>
      </w:r>
    </w:p>
    <w:p w14:paraId="58F1E6CB" w14:textId="77777777" w:rsidR="00DF3A52" w:rsidRPr="00DF3A52" w:rsidRDefault="00DF3A52" w:rsidP="00DF3A52">
      <w:pPr>
        <w:tabs>
          <w:tab w:val="left" w:pos="851"/>
        </w:tabs>
        <w:ind w:left="851"/>
        <w:rPr>
          <w:sz w:val="24"/>
          <w:szCs w:val="24"/>
        </w:rPr>
      </w:pPr>
      <w:r w:rsidRPr="00DF3A52">
        <w:rPr>
          <w:sz w:val="24"/>
          <w:szCs w:val="24"/>
        </w:rPr>
        <w:t xml:space="preserve">Randomiserede kontrollerede data viser ingen øget risiko for CAD hos kvinder, der har gennemgået hysterektomi, og som får systemisk behandling med østrogen alene. </w:t>
      </w:r>
    </w:p>
    <w:p w14:paraId="532FF0E2" w14:textId="77777777" w:rsidR="00DF3A52" w:rsidRPr="00DF3A52" w:rsidRDefault="00DF3A52" w:rsidP="00DF3A52">
      <w:pPr>
        <w:tabs>
          <w:tab w:val="left" w:pos="851"/>
        </w:tabs>
        <w:ind w:left="851"/>
        <w:rPr>
          <w:sz w:val="24"/>
          <w:szCs w:val="24"/>
        </w:rPr>
      </w:pPr>
    </w:p>
    <w:p w14:paraId="7138E098" w14:textId="77777777" w:rsidR="00DF3A52" w:rsidRPr="00853173" w:rsidRDefault="00DF3A52" w:rsidP="00DF3A52">
      <w:pPr>
        <w:tabs>
          <w:tab w:val="left" w:pos="851"/>
        </w:tabs>
        <w:ind w:left="851"/>
        <w:rPr>
          <w:iCs/>
          <w:sz w:val="24"/>
          <w:szCs w:val="24"/>
          <w:u w:val="single"/>
        </w:rPr>
      </w:pPr>
      <w:r w:rsidRPr="00853173">
        <w:rPr>
          <w:iCs/>
          <w:sz w:val="24"/>
          <w:szCs w:val="24"/>
          <w:u w:val="single"/>
        </w:rPr>
        <w:t xml:space="preserve">Iskæmisk apopleksi </w:t>
      </w:r>
    </w:p>
    <w:p w14:paraId="2E0D26E6" w14:textId="77777777" w:rsidR="00DF3A52" w:rsidRPr="00DF3A52" w:rsidRDefault="00DF3A52" w:rsidP="00DF3A52">
      <w:pPr>
        <w:tabs>
          <w:tab w:val="left" w:pos="851"/>
        </w:tabs>
        <w:ind w:left="851"/>
        <w:rPr>
          <w:sz w:val="24"/>
          <w:szCs w:val="24"/>
        </w:rPr>
      </w:pPr>
      <w:r w:rsidRPr="00DF3A52">
        <w:rPr>
          <w:sz w:val="24"/>
          <w:szCs w:val="24"/>
        </w:rPr>
        <w:t xml:space="preserve">Systemisk behandling med østrogen alene er forbundet med en stigning på op til 1,5 gange i risikoen for iskæmisk apopleksi. Den relative risiko ændrer sig ikke med alderen eller tiden efter menopausen. Eftersom baseline-risikoen for CVA imidlertid er meget aldersafhængig, stiger den samlede risiko for CVA med alderen hos kvinder, der anvender MHT (se pkt. 4.8). </w:t>
      </w:r>
    </w:p>
    <w:p w14:paraId="499A0CD0" w14:textId="77777777" w:rsidR="00DF3A52" w:rsidRPr="00DF3A52" w:rsidRDefault="00DF3A52" w:rsidP="00DF3A52">
      <w:pPr>
        <w:tabs>
          <w:tab w:val="left" w:pos="851"/>
        </w:tabs>
        <w:ind w:left="851"/>
        <w:rPr>
          <w:sz w:val="24"/>
          <w:szCs w:val="24"/>
        </w:rPr>
      </w:pPr>
    </w:p>
    <w:p w14:paraId="35EA5770" w14:textId="77777777" w:rsidR="00DF3A52" w:rsidRPr="00853173" w:rsidRDefault="00DF3A52" w:rsidP="00DF3A52">
      <w:pPr>
        <w:tabs>
          <w:tab w:val="left" w:pos="851"/>
        </w:tabs>
        <w:ind w:left="851"/>
        <w:rPr>
          <w:iCs/>
          <w:sz w:val="24"/>
          <w:szCs w:val="24"/>
          <w:u w:val="single"/>
        </w:rPr>
      </w:pPr>
      <w:r w:rsidRPr="00853173">
        <w:rPr>
          <w:iCs/>
          <w:sz w:val="24"/>
          <w:szCs w:val="24"/>
          <w:u w:val="single"/>
        </w:rPr>
        <w:t xml:space="preserve">Andre situationer </w:t>
      </w:r>
    </w:p>
    <w:p w14:paraId="7A292F49" w14:textId="77777777" w:rsidR="00DF3A52" w:rsidRPr="00DF3A52" w:rsidRDefault="00DF3A52" w:rsidP="00DF3A52">
      <w:pPr>
        <w:tabs>
          <w:tab w:val="left" w:pos="851"/>
        </w:tabs>
        <w:ind w:left="851"/>
        <w:rPr>
          <w:sz w:val="24"/>
          <w:szCs w:val="24"/>
        </w:rPr>
      </w:pPr>
      <w:r w:rsidRPr="00DF3A52">
        <w:rPr>
          <w:sz w:val="24"/>
          <w:szCs w:val="24"/>
        </w:rPr>
        <w:t>Østrogener kan forårsage væskeretention, og derfor skal patienter med hjerte- eller nyreinsufficiens overvåges nøje. På grund af den lave dosis, mangel af akkumulering og ubetydelige til meget lave påvirkning på systemiske estriolniveauer efter vaginal anvendelse af Gynoflor er specielle forholdsregler eller kontraindikation ikke nødvendigt hos kvinder med nedsat nyrefunktion.</w:t>
      </w:r>
    </w:p>
    <w:p w14:paraId="19080E4A" w14:textId="77777777" w:rsidR="00DF3A52" w:rsidRPr="00DF3A52" w:rsidRDefault="00DF3A52" w:rsidP="00DF3A52">
      <w:pPr>
        <w:tabs>
          <w:tab w:val="left" w:pos="851"/>
        </w:tabs>
        <w:ind w:left="851"/>
        <w:rPr>
          <w:sz w:val="24"/>
          <w:szCs w:val="24"/>
        </w:rPr>
      </w:pPr>
      <w:r w:rsidRPr="00DF3A52">
        <w:rPr>
          <w:sz w:val="24"/>
          <w:szCs w:val="24"/>
        </w:rPr>
        <w:t xml:space="preserve">Kvinder med præeksisterende hypertriglyceridæmi skal følges tæt under hormonsubstitutionsbehandling eller østrogensubstitutionsbehandling, eftersom der er </w:t>
      </w:r>
      <w:r w:rsidRPr="00DF3A52">
        <w:rPr>
          <w:sz w:val="24"/>
          <w:szCs w:val="24"/>
        </w:rPr>
        <w:lastRenderedPageBreak/>
        <w:t>rapporteret om sjældne tilfælde af store stigninger i plasmatriglycerider med pancreatitis til følge i forbindelse med østrogenbehandling i sådanne situationer.</w:t>
      </w:r>
    </w:p>
    <w:p w14:paraId="6518EFA4" w14:textId="77777777" w:rsidR="00DF3A52" w:rsidRPr="00DF3A52" w:rsidRDefault="00DF3A52" w:rsidP="00DF3A52">
      <w:pPr>
        <w:tabs>
          <w:tab w:val="left" w:pos="851"/>
        </w:tabs>
        <w:ind w:left="851"/>
        <w:rPr>
          <w:sz w:val="24"/>
          <w:szCs w:val="24"/>
        </w:rPr>
      </w:pPr>
    </w:p>
    <w:p w14:paraId="08AE60B7" w14:textId="77777777" w:rsidR="00DF3A52" w:rsidRPr="00DF3A52" w:rsidRDefault="00DF3A52" w:rsidP="00DF3A52">
      <w:pPr>
        <w:tabs>
          <w:tab w:val="left" w:pos="851"/>
        </w:tabs>
        <w:ind w:left="851"/>
        <w:rPr>
          <w:sz w:val="24"/>
          <w:szCs w:val="24"/>
        </w:rPr>
      </w:pPr>
      <w:r w:rsidRPr="00DF3A52">
        <w:rPr>
          <w:sz w:val="24"/>
          <w:szCs w:val="24"/>
        </w:rPr>
        <w:t>Eksogene østrogener kan forårsage eller forværre symptomer på hereditært og erhvervet angioødem.</w:t>
      </w:r>
    </w:p>
    <w:p w14:paraId="24C102CE" w14:textId="77777777" w:rsidR="00DF3A52" w:rsidRPr="00DF3A52" w:rsidRDefault="00DF3A52" w:rsidP="00DF3A52">
      <w:pPr>
        <w:tabs>
          <w:tab w:val="left" w:pos="851"/>
        </w:tabs>
        <w:ind w:left="851"/>
        <w:rPr>
          <w:sz w:val="24"/>
          <w:szCs w:val="24"/>
        </w:rPr>
      </w:pPr>
      <w:r w:rsidRPr="00DF3A52">
        <w:rPr>
          <w:sz w:val="24"/>
          <w:szCs w:val="24"/>
        </w:rPr>
        <w:t>Østrogener øger thyroxinbindende globulin (TBG), hvilket medfører en stigning i cirkulerende totalt thyreoideahormon, målt ved proteinbundet iod (PBI), T4-niveauer (ved kolonne- eller radioimmunanalyse) eller T3-niveauer (ved radioimmunanalyse). Optagelsen af T3-resin er nedsat, hvilket afspejler det øgede TBG. Koncentrationerne af frit T4 og T3 forbliver uforandrede. Andre bindingsproteiner kan være forøgede i serum, f.eks. kortikosteroidbindende globulin (CBG) og kønshormonbindende globulin (SHBG), hvilket medfører en stigning i henholdsvis cirkulerende kortikosteroider og kønshormoner. Koncentrationen af frie eller biologisk aktive hormoner forbliver uforandret. Andre plasmaproteiner kan være forøgede (angiotensinogen/reninsubstrat, alfa-I-antitrypsin, ceruloplasmin).</w:t>
      </w:r>
    </w:p>
    <w:p w14:paraId="1B9566C4" w14:textId="77777777" w:rsidR="00DF3A52" w:rsidRPr="00DF3A52" w:rsidRDefault="00DF3A52" w:rsidP="00DF3A52">
      <w:pPr>
        <w:tabs>
          <w:tab w:val="left" w:pos="851"/>
        </w:tabs>
        <w:ind w:left="851"/>
        <w:rPr>
          <w:sz w:val="24"/>
          <w:szCs w:val="24"/>
        </w:rPr>
      </w:pPr>
      <w:r w:rsidRPr="00DF3A52">
        <w:rPr>
          <w:sz w:val="24"/>
          <w:szCs w:val="24"/>
        </w:rPr>
        <w:t>Brug af MHT forbedrer ikke den kognitive funktion. Der er en vis evidens for en øget risiko for sandsynlig demens hos kvinder, der starter med at bruge kontinuerlig kombinations-MHT eller MHT med østrogen alene, efter de er fyldt 65 år.</w:t>
      </w:r>
    </w:p>
    <w:p w14:paraId="4D941D15" w14:textId="77777777" w:rsidR="00DF3A52" w:rsidRPr="00DF3A52" w:rsidRDefault="00DF3A52" w:rsidP="00DF3A52">
      <w:pPr>
        <w:tabs>
          <w:tab w:val="left" w:pos="851"/>
        </w:tabs>
        <w:ind w:left="851"/>
        <w:rPr>
          <w:sz w:val="24"/>
          <w:szCs w:val="24"/>
        </w:rPr>
      </w:pPr>
    </w:p>
    <w:p w14:paraId="462C8B17" w14:textId="77777777" w:rsidR="00DF3A52" w:rsidRPr="00DF3A52" w:rsidRDefault="00DF3A52" w:rsidP="00DF3A52">
      <w:pPr>
        <w:tabs>
          <w:tab w:val="left" w:pos="851"/>
        </w:tabs>
        <w:ind w:left="851"/>
        <w:rPr>
          <w:sz w:val="24"/>
          <w:szCs w:val="24"/>
        </w:rPr>
      </w:pPr>
      <w:r w:rsidRPr="00DF3A52">
        <w:rPr>
          <w:sz w:val="24"/>
          <w:szCs w:val="24"/>
        </w:rPr>
        <w:t>Gynoflor indeholder hjælpestoffer, der ikke bliver fuldstændigt opløst, hvorfor der kan findes spor i undertøjet. Dette har ingen betydning for præparatets virkning.</w:t>
      </w:r>
    </w:p>
    <w:p w14:paraId="35E0D0BD" w14:textId="77777777" w:rsidR="009260DE" w:rsidRPr="00C84483" w:rsidRDefault="009260DE" w:rsidP="009260DE">
      <w:pPr>
        <w:tabs>
          <w:tab w:val="left" w:pos="851"/>
        </w:tabs>
        <w:ind w:left="851"/>
        <w:rPr>
          <w:sz w:val="24"/>
          <w:szCs w:val="24"/>
        </w:rPr>
      </w:pPr>
    </w:p>
    <w:p w14:paraId="0CB4C545"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E009D0B" w14:textId="77777777" w:rsidR="0033063F" w:rsidRPr="0033063F" w:rsidRDefault="0033063F" w:rsidP="0033063F">
      <w:pPr>
        <w:tabs>
          <w:tab w:val="left" w:pos="851"/>
        </w:tabs>
        <w:ind w:left="851"/>
        <w:rPr>
          <w:sz w:val="24"/>
          <w:szCs w:val="24"/>
        </w:rPr>
      </w:pPr>
      <w:r w:rsidRPr="0033063F">
        <w:rPr>
          <w:i/>
          <w:sz w:val="24"/>
          <w:szCs w:val="24"/>
        </w:rPr>
        <w:t>Lactobacillus acidophilus</w:t>
      </w:r>
      <w:r w:rsidRPr="0033063F">
        <w:rPr>
          <w:sz w:val="24"/>
          <w:szCs w:val="24"/>
        </w:rPr>
        <w:t xml:space="preserve"> er følsom over for forskellige antiinfektiva (lokale eller systemiske). Samtidig behandling med sådanne midler kan medføre nedsat virkning af Gynoflor.</w:t>
      </w:r>
    </w:p>
    <w:p w14:paraId="48957295" w14:textId="77777777" w:rsidR="0033063F" w:rsidRPr="0033063F" w:rsidRDefault="0033063F" w:rsidP="0033063F">
      <w:pPr>
        <w:tabs>
          <w:tab w:val="left" w:pos="851"/>
        </w:tabs>
        <w:ind w:left="851"/>
        <w:rPr>
          <w:sz w:val="24"/>
          <w:szCs w:val="24"/>
        </w:rPr>
      </w:pPr>
    </w:p>
    <w:p w14:paraId="285991D3" w14:textId="77777777" w:rsidR="0033063F" w:rsidRPr="0033063F" w:rsidRDefault="0033063F" w:rsidP="0033063F">
      <w:pPr>
        <w:tabs>
          <w:tab w:val="left" w:pos="851"/>
        </w:tabs>
        <w:ind w:left="851"/>
        <w:rPr>
          <w:sz w:val="24"/>
          <w:szCs w:val="24"/>
        </w:rPr>
      </w:pPr>
      <w:r w:rsidRPr="0033063F">
        <w:rPr>
          <w:sz w:val="24"/>
          <w:szCs w:val="24"/>
        </w:rPr>
        <w:t>Som følge af den vaginale administration og minimale systemiske absorption er det usandsynligt, at der vil opstå klinisk relevante lægemiddelinteraktioner ved brug af Gynoflor. Der bør imidlertid tages højde for interaktioner med andre lokalt administrerede vaginalbehandlinger.</w:t>
      </w:r>
    </w:p>
    <w:p w14:paraId="0F3C2160" w14:textId="77777777" w:rsidR="009260DE" w:rsidRPr="00C84483" w:rsidRDefault="009260DE" w:rsidP="009260DE">
      <w:pPr>
        <w:tabs>
          <w:tab w:val="left" w:pos="851"/>
        </w:tabs>
        <w:ind w:left="851"/>
        <w:rPr>
          <w:sz w:val="24"/>
          <w:szCs w:val="24"/>
        </w:rPr>
      </w:pPr>
    </w:p>
    <w:p w14:paraId="10D90B90" w14:textId="51812CE6"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C51EA3">
        <w:rPr>
          <w:b/>
          <w:sz w:val="24"/>
          <w:szCs w:val="24"/>
        </w:rPr>
        <w:t>Fertilitet, g</w:t>
      </w:r>
      <w:r w:rsidRPr="00C84483">
        <w:rPr>
          <w:b/>
          <w:sz w:val="24"/>
          <w:szCs w:val="24"/>
        </w:rPr>
        <w:t>raviditet og amning</w:t>
      </w:r>
    </w:p>
    <w:p w14:paraId="719D42D0" w14:textId="77777777" w:rsidR="0033063F" w:rsidRDefault="0033063F" w:rsidP="0033063F">
      <w:pPr>
        <w:tabs>
          <w:tab w:val="left" w:pos="851"/>
        </w:tabs>
        <w:ind w:left="851"/>
        <w:rPr>
          <w:sz w:val="24"/>
          <w:szCs w:val="24"/>
          <w:u w:val="single"/>
        </w:rPr>
      </w:pPr>
    </w:p>
    <w:p w14:paraId="39192BE9" w14:textId="77777777" w:rsidR="0033063F" w:rsidRPr="0033063F" w:rsidRDefault="0033063F" w:rsidP="0033063F">
      <w:pPr>
        <w:tabs>
          <w:tab w:val="left" w:pos="851"/>
        </w:tabs>
        <w:ind w:left="851"/>
        <w:rPr>
          <w:sz w:val="24"/>
          <w:szCs w:val="24"/>
          <w:u w:val="single"/>
        </w:rPr>
      </w:pPr>
      <w:r w:rsidRPr="0033063F">
        <w:rPr>
          <w:sz w:val="24"/>
          <w:szCs w:val="24"/>
          <w:u w:val="single"/>
        </w:rPr>
        <w:t>Graviditet</w:t>
      </w:r>
    </w:p>
    <w:p w14:paraId="15B65759" w14:textId="77777777" w:rsidR="0033063F" w:rsidRPr="0033063F" w:rsidRDefault="0033063F" w:rsidP="0033063F">
      <w:pPr>
        <w:tabs>
          <w:tab w:val="left" w:pos="851"/>
        </w:tabs>
        <w:ind w:left="851"/>
        <w:rPr>
          <w:sz w:val="24"/>
          <w:szCs w:val="24"/>
        </w:rPr>
      </w:pPr>
      <w:r w:rsidRPr="0033063F">
        <w:rPr>
          <w:sz w:val="24"/>
          <w:szCs w:val="24"/>
        </w:rPr>
        <w:t>Gynoflor er ikke indiceret under graviditet. Hvis en kvinde bliver gravid, mens hun bruger Gynoflor, bør behandlingen seponeres øjeblikkeligt. Resultaterne af de fleste epidemiologiske studier til dato vedrørende utilsigtet føtal eksponering for østrogener indikerer ingen teratogen eller føtotoksisk virkning.</w:t>
      </w:r>
    </w:p>
    <w:p w14:paraId="0F41B2AC" w14:textId="77777777" w:rsidR="0033063F" w:rsidRPr="0033063F" w:rsidRDefault="0033063F" w:rsidP="0033063F">
      <w:pPr>
        <w:tabs>
          <w:tab w:val="left" w:pos="851"/>
        </w:tabs>
        <w:ind w:left="851"/>
        <w:rPr>
          <w:sz w:val="24"/>
          <w:szCs w:val="24"/>
        </w:rPr>
      </w:pPr>
    </w:p>
    <w:p w14:paraId="667032F2" w14:textId="77777777" w:rsidR="0033063F" w:rsidRPr="0033063F" w:rsidRDefault="0033063F" w:rsidP="0033063F">
      <w:pPr>
        <w:tabs>
          <w:tab w:val="left" w:pos="851"/>
        </w:tabs>
        <w:ind w:left="851"/>
        <w:rPr>
          <w:sz w:val="24"/>
          <w:szCs w:val="24"/>
          <w:u w:val="single"/>
        </w:rPr>
      </w:pPr>
      <w:r w:rsidRPr="0033063F">
        <w:rPr>
          <w:sz w:val="24"/>
          <w:szCs w:val="24"/>
          <w:u w:val="single"/>
        </w:rPr>
        <w:t>Amning</w:t>
      </w:r>
    </w:p>
    <w:p w14:paraId="795F4C2C" w14:textId="77777777" w:rsidR="0033063F" w:rsidRPr="0033063F" w:rsidRDefault="0033063F" w:rsidP="0033063F">
      <w:pPr>
        <w:tabs>
          <w:tab w:val="left" w:pos="851"/>
        </w:tabs>
        <w:ind w:left="851"/>
        <w:rPr>
          <w:iCs/>
          <w:sz w:val="24"/>
          <w:szCs w:val="24"/>
        </w:rPr>
      </w:pPr>
      <w:r w:rsidRPr="0033063F">
        <w:rPr>
          <w:iCs/>
          <w:sz w:val="24"/>
          <w:szCs w:val="24"/>
        </w:rPr>
        <w:t xml:space="preserve">Gynoflor er ikke indiceret under amning. Dog vil meget lave doser af vaginalt administreret estriol sandsynligvis ikke påvirke laktationen eller det ammede spædbarn. </w:t>
      </w:r>
    </w:p>
    <w:p w14:paraId="57FA2127" w14:textId="77777777" w:rsidR="0033063F" w:rsidRPr="0033063F" w:rsidRDefault="0033063F" w:rsidP="0033063F">
      <w:pPr>
        <w:tabs>
          <w:tab w:val="left" w:pos="851"/>
        </w:tabs>
        <w:ind w:left="851"/>
        <w:rPr>
          <w:sz w:val="24"/>
          <w:szCs w:val="24"/>
          <w:u w:val="single"/>
        </w:rPr>
      </w:pPr>
    </w:p>
    <w:p w14:paraId="31D6C809" w14:textId="77777777" w:rsidR="0033063F" w:rsidRPr="0033063F" w:rsidRDefault="0033063F" w:rsidP="0033063F">
      <w:pPr>
        <w:tabs>
          <w:tab w:val="left" w:pos="851"/>
        </w:tabs>
        <w:ind w:left="851"/>
        <w:rPr>
          <w:sz w:val="24"/>
          <w:szCs w:val="24"/>
          <w:u w:val="single"/>
        </w:rPr>
      </w:pPr>
      <w:bookmarkStart w:id="1" w:name="_Hlk103773924"/>
      <w:r w:rsidRPr="0033063F">
        <w:rPr>
          <w:sz w:val="24"/>
          <w:szCs w:val="24"/>
          <w:u w:val="single"/>
        </w:rPr>
        <w:t>Fertilitet</w:t>
      </w:r>
    </w:p>
    <w:p w14:paraId="17C4C635" w14:textId="77777777" w:rsidR="0033063F" w:rsidRPr="0033063F" w:rsidRDefault="0033063F" w:rsidP="0033063F">
      <w:pPr>
        <w:tabs>
          <w:tab w:val="left" w:pos="851"/>
        </w:tabs>
        <w:ind w:left="851"/>
        <w:rPr>
          <w:iCs/>
          <w:sz w:val="24"/>
          <w:szCs w:val="24"/>
        </w:rPr>
      </w:pPr>
      <w:r w:rsidRPr="0033063F">
        <w:rPr>
          <w:iCs/>
          <w:sz w:val="24"/>
          <w:szCs w:val="24"/>
        </w:rPr>
        <w:t>Det er påvist, at Gynoflor har ubetydelig til meget lav påvirkning på østrogenniveauet i serum</w:t>
      </w:r>
      <w:r w:rsidRPr="0033063F">
        <w:rPr>
          <w:sz w:val="24"/>
          <w:szCs w:val="24"/>
        </w:rPr>
        <w:t xml:space="preserve"> hos raske postmenopausale kvinder med atrofisk epitel</w:t>
      </w:r>
      <w:r w:rsidRPr="0033063F">
        <w:rPr>
          <w:iCs/>
          <w:sz w:val="24"/>
          <w:szCs w:val="24"/>
        </w:rPr>
        <w:t xml:space="preserve"> (se pkt. 5.2), og at det er usandsynligt, at det vil påvirke kvindelig fertilitet. </w:t>
      </w:r>
      <w:bookmarkEnd w:id="1"/>
    </w:p>
    <w:p w14:paraId="72F496EC" w14:textId="77777777" w:rsidR="00CA2C50" w:rsidRDefault="00CA2C50">
      <w:pPr>
        <w:rPr>
          <w:sz w:val="24"/>
          <w:szCs w:val="24"/>
        </w:rPr>
      </w:pPr>
      <w:r>
        <w:rPr>
          <w:sz w:val="24"/>
          <w:szCs w:val="24"/>
        </w:rPr>
        <w:br w:type="page"/>
      </w:r>
    </w:p>
    <w:p w14:paraId="2C4EDA5D" w14:textId="77777777" w:rsidR="009260DE" w:rsidRPr="00C84483" w:rsidRDefault="009260DE" w:rsidP="009260DE">
      <w:pPr>
        <w:tabs>
          <w:tab w:val="left" w:pos="851"/>
        </w:tabs>
        <w:ind w:left="851"/>
        <w:rPr>
          <w:sz w:val="24"/>
          <w:szCs w:val="24"/>
        </w:rPr>
      </w:pPr>
    </w:p>
    <w:p w14:paraId="681BFAB9" w14:textId="3F8FE684"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994C37">
        <w:rPr>
          <w:b/>
          <w:sz w:val="24"/>
          <w:szCs w:val="24"/>
        </w:rPr>
        <w:t>og</w:t>
      </w:r>
      <w:r w:rsidRPr="00C84483">
        <w:rPr>
          <w:b/>
          <w:sz w:val="24"/>
          <w:szCs w:val="24"/>
        </w:rPr>
        <w:t xml:space="preserve"> betjene maskiner</w:t>
      </w:r>
    </w:p>
    <w:p w14:paraId="146E7C5A" w14:textId="77777777" w:rsidR="0033063F" w:rsidRPr="0033063F" w:rsidRDefault="0033063F" w:rsidP="0033063F">
      <w:pPr>
        <w:tabs>
          <w:tab w:val="left" w:pos="851"/>
        </w:tabs>
        <w:ind w:left="851"/>
        <w:rPr>
          <w:sz w:val="24"/>
          <w:szCs w:val="24"/>
        </w:rPr>
      </w:pPr>
      <w:r w:rsidRPr="0033063F">
        <w:rPr>
          <w:sz w:val="24"/>
          <w:szCs w:val="24"/>
        </w:rPr>
        <w:t>Ikke mærkning.</w:t>
      </w:r>
    </w:p>
    <w:p w14:paraId="6DA546CF" w14:textId="77777777" w:rsidR="0033063F" w:rsidRPr="0033063F" w:rsidRDefault="0033063F" w:rsidP="0033063F">
      <w:pPr>
        <w:tabs>
          <w:tab w:val="left" w:pos="851"/>
        </w:tabs>
        <w:ind w:left="851"/>
        <w:rPr>
          <w:sz w:val="24"/>
          <w:szCs w:val="24"/>
        </w:rPr>
      </w:pPr>
      <w:r w:rsidRPr="0033063F">
        <w:rPr>
          <w:sz w:val="24"/>
          <w:szCs w:val="24"/>
        </w:rPr>
        <w:t>Der er ikke udført studier af Gynoflors indvirkning på evnen til at føre motorkøretøj og betjene maskiner.</w:t>
      </w:r>
    </w:p>
    <w:p w14:paraId="789A634A" w14:textId="77777777" w:rsidR="009260DE" w:rsidRPr="00C84483" w:rsidRDefault="009260DE" w:rsidP="009260DE">
      <w:pPr>
        <w:tabs>
          <w:tab w:val="left" w:pos="851"/>
        </w:tabs>
        <w:ind w:left="851"/>
        <w:rPr>
          <w:sz w:val="24"/>
          <w:szCs w:val="24"/>
        </w:rPr>
      </w:pPr>
    </w:p>
    <w:p w14:paraId="55E003E5"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0E024555" w14:textId="77777777" w:rsidR="00C74584" w:rsidRPr="0081419B" w:rsidRDefault="00C74584" w:rsidP="0081419B">
      <w:pPr>
        <w:ind w:left="851"/>
        <w:rPr>
          <w:sz w:val="24"/>
          <w:szCs w:val="24"/>
        </w:rPr>
      </w:pPr>
    </w:p>
    <w:p w14:paraId="082A78E4" w14:textId="77777777" w:rsidR="00C74584" w:rsidRPr="0081419B" w:rsidRDefault="00C74584" w:rsidP="0081419B">
      <w:pPr>
        <w:pStyle w:val="Corpsdetexte1"/>
        <w:ind w:left="851"/>
        <w:rPr>
          <w:bCs/>
          <w:i w:val="0"/>
          <w:color w:val="auto"/>
          <w:sz w:val="24"/>
          <w:szCs w:val="24"/>
          <w:u w:val="single"/>
        </w:rPr>
      </w:pPr>
      <w:r w:rsidRPr="0081419B">
        <w:rPr>
          <w:bCs/>
          <w:i w:val="0"/>
          <w:color w:val="auto"/>
          <w:sz w:val="24"/>
          <w:szCs w:val="24"/>
          <w:u w:val="single"/>
        </w:rPr>
        <w:t>Tabel over bivirkninger</w:t>
      </w:r>
    </w:p>
    <w:p w14:paraId="3D848EAE" w14:textId="3F3D4179" w:rsidR="00C74584" w:rsidRPr="0081419B" w:rsidRDefault="00C74584" w:rsidP="0081419B">
      <w:pPr>
        <w:pStyle w:val="Corpsdetexte1"/>
        <w:ind w:left="851"/>
        <w:rPr>
          <w:i w:val="0"/>
          <w:iCs/>
          <w:color w:val="auto"/>
          <w:sz w:val="24"/>
          <w:szCs w:val="24"/>
        </w:rPr>
      </w:pPr>
      <w:r w:rsidRPr="0081419B">
        <w:rPr>
          <w:i w:val="0"/>
          <w:iCs/>
          <w:color w:val="auto"/>
          <w:sz w:val="24"/>
          <w:szCs w:val="24"/>
        </w:rPr>
        <w:t xml:space="preserve">Alle </w:t>
      </w:r>
      <w:r w:rsidR="00994C37">
        <w:rPr>
          <w:i w:val="0"/>
          <w:iCs/>
          <w:color w:val="auto"/>
          <w:sz w:val="24"/>
          <w:szCs w:val="24"/>
        </w:rPr>
        <w:t>b</w:t>
      </w:r>
      <w:r w:rsidRPr="0081419B">
        <w:rPr>
          <w:i w:val="0"/>
          <w:iCs/>
          <w:color w:val="auto"/>
          <w:sz w:val="24"/>
          <w:szCs w:val="24"/>
        </w:rPr>
        <w:t>ivirkninger er angivet efter systemorganklasse og hyppighed. Bivirkningernes hyppighed er defineret i henhold til følgende konvention: Meget almindelig (≥ 1/10), almindelig (≥ 1/100 til &lt; 1/10), ikke almindelig (≥ 1/1.000 til &lt; 1/100), sjælden (≥ 1/10.000 til &lt; 1/1.000), meget sjælden (&lt; 1/10.000), ikke kendt (kan ikke estimeres ud fra forhåndenværende data).</w:t>
      </w:r>
    </w:p>
    <w:p w14:paraId="21627378" w14:textId="77777777" w:rsidR="00C74584" w:rsidRPr="0081419B" w:rsidRDefault="00C74584" w:rsidP="0081419B">
      <w:pPr>
        <w:autoSpaceDE w:val="0"/>
        <w:ind w:left="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335"/>
        <w:gridCol w:w="2390"/>
        <w:gridCol w:w="1777"/>
        <w:gridCol w:w="2037"/>
      </w:tblGrid>
      <w:tr w:rsidR="00C74584" w:rsidRPr="0081419B" w14:paraId="69D14463" w14:textId="77777777" w:rsidTr="00C74584">
        <w:tc>
          <w:tcPr>
            <w:tcW w:w="1317" w:type="dxa"/>
            <w:tcBorders>
              <w:top w:val="single" w:sz="4" w:space="0" w:color="auto"/>
              <w:left w:val="single" w:sz="4" w:space="0" w:color="auto"/>
              <w:bottom w:val="single" w:sz="4" w:space="0" w:color="auto"/>
              <w:right w:val="single" w:sz="4" w:space="0" w:color="auto"/>
            </w:tcBorders>
            <w:hideMark/>
          </w:tcPr>
          <w:p w14:paraId="58F4764B" w14:textId="77777777" w:rsidR="00C74584" w:rsidRPr="0081419B" w:rsidRDefault="00C74584">
            <w:pPr>
              <w:rPr>
                <w:b/>
                <w:szCs w:val="22"/>
                <w:lang w:val="en-GB"/>
              </w:rPr>
            </w:pPr>
            <w:r w:rsidRPr="0081419B">
              <w:rPr>
                <w:b/>
                <w:szCs w:val="22"/>
                <w:lang w:val="en-GB"/>
              </w:rPr>
              <w:t>Systemorganklasse</w:t>
            </w:r>
          </w:p>
        </w:tc>
        <w:tc>
          <w:tcPr>
            <w:tcW w:w="1335" w:type="dxa"/>
            <w:tcBorders>
              <w:top w:val="single" w:sz="4" w:space="0" w:color="auto"/>
              <w:left w:val="single" w:sz="4" w:space="0" w:color="auto"/>
              <w:bottom w:val="single" w:sz="4" w:space="0" w:color="auto"/>
              <w:right w:val="single" w:sz="4" w:space="0" w:color="auto"/>
            </w:tcBorders>
            <w:hideMark/>
          </w:tcPr>
          <w:p w14:paraId="356B01D3" w14:textId="77777777" w:rsidR="00C74584" w:rsidRPr="0081419B" w:rsidRDefault="00C74584">
            <w:pPr>
              <w:rPr>
                <w:b/>
                <w:szCs w:val="22"/>
                <w:lang w:val="en-GB"/>
              </w:rPr>
            </w:pPr>
            <w:r w:rsidRPr="0081419B">
              <w:rPr>
                <w:b/>
                <w:szCs w:val="22"/>
                <w:lang w:val="en-GB"/>
              </w:rPr>
              <w:t>Almindelig (≥1/100 til &lt;1/10)</w:t>
            </w:r>
          </w:p>
        </w:tc>
        <w:tc>
          <w:tcPr>
            <w:tcW w:w="2390" w:type="dxa"/>
            <w:tcBorders>
              <w:top w:val="single" w:sz="4" w:space="0" w:color="auto"/>
              <w:left w:val="single" w:sz="4" w:space="0" w:color="auto"/>
              <w:bottom w:val="single" w:sz="4" w:space="0" w:color="auto"/>
              <w:right w:val="single" w:sz="4" w:space="0" w:color="auto"/>
            </w:tcBorders>
            <w:hideMark/>
          </w:tcPr>
          <w:p w14:paraId="6531C8AD" w14:textId="77777777" w:rsidR="00C74584" w:rsidRPr="0081419B" w:rsidRDefault="00C74584">
            <w:pPr>
              <w:rPr>
                <w:b/>
                <w:szCs w:val="22"/>
                <w:lang w:val="en-GB"/>
              </w:rPr>
            </w:pPr>
            <w:r w:rsidRPr="0081419B">
              <w:rPr>
                <w:b/>
                <w:szCs w:val="22"/>
                <w:lang w:val="en-GB"/>
              </w:rPr>
              <w:t>Ikke almindelig (&gt;1/1.000 til &lt;1/100)</w:t>
            </w:r>
          </w:p>
        </w:tc>
        <w:tc>
          <w:tcPr>
            <w:tcW w:w="1777" w:type="dxa"/>
            <w:tcBorders>
              <w:top w:val="single" w:sz="4" w:space="0" w:color="auto"/>
              <w:left w:val="single" w:sz="4" w:space="0" w:color="auto"/>
              <w:bottom w:val="single" w:sz="4" w:space="0" w:color="auto"/>
              <w:right w:val="single" w:sz="4" w:space="0" w:color="auto"/>
            </w:tcBorders>
            <w:hideMark/>
          </w:tcPr>
          <w:p w14:paraId="41EC8A8F" w14:textId="77777777" w:rsidR="00C74584" w:rsidRPr="0081419B" w:rsidRDefault="00C74584">
            <w:pPr>
              <w:rPr>
                <w:b/>
                <w:szCs w:val="22"/>
                <w:lang w:val="en-GB"/>
              </w:rPr>
            </w:pPr>
            <w:r w:rsidRPr="0081419B">
              <w:rPr>
                <w:b/>
                <w:szCs w:val="22"/>
                <w:lang w:val="en-GB"/>
              </w:rPr>
              <w:t>Sjælden (</w:t>
            </w:r>
            <w:r w:rsidRPr="0081419B">
              <w:rPr>
                <w:b/>
                <w:szCs w:val="22"/>
                <w:lang w:val="en-GB"/>
              </w:rPr>
              <w:sym w:font="Symbol" w:char="F0B3"/>
            </w:r>
            <w:r w:rsidRPr="0081419B">
              <w:rPr>
                <w:b/>
                <w:szCs w:val="22"/>
                <w:lang w:val="en-GB"/>
              </w:rPr>
              <w:t>1/10.000 til &lt;1/1.000)</w:t>
            </w:r>
          </w:p>
        </w:tc>
        <w:tc>
          <w:tcPr>
            <w:tcW w:w="2037" w:type="dxa"/>
            <w:tcBorders>
              <w:top w:val="single" w:sz="4" w:space="0" w:color="auto"/>
              <w:left w:val="single" w:sz="4" w:space="0" w:color="auto"/>
              <w:bottom w:val="single" w:sz="4" w:space="0" w:color="auto"/>
              <w:right w:val="single" w:sz="4" w:space="0" w:color="auto"/>
            </w:tcBorders>
            <w:hideMark/>
          </w:tcPr>
          <w:p w14:paraId="2A8C7780" w14:textId="77777777" w:rsidR="00C74584" w:rsidRPr="0081419B" w:rsidRDefault="00C74584">
            <w:pPr>
              <w:rPr>
                <w:b/>
                <w:szCs w:val="22"/>
                <w:lang w:val="en-GB"/>
              </w:rPr>
            </w:pPr>
            <w:r w:rsidRPr="0081419B">
              <w:rPr>
                <w:b/>
                <w:szCs w:val="22"/>
                <w:lang w:val="en-GB"/>
              </w:rPr>
              <w:t>Hyppighed ikke kendt (1)</w:t>
            </w:r>
          </w:p>
        </w:tc>
      </w:tr>
      <w:tr w:rsidR="00C74584" w14:paraId="629C71A6" w14:textId="77777777" w:rsidTr="00C74584">
        <w:tc>
          <w:tcPr>
            <w:tcW w:w="8856" w:type="dxa"/>
            <w:gridSpan w:val="5"/>
            <w:tcBorders>
              <w:top w:val="single" w:sz="4" w:space="0" w:color="auto"/>
              <w:left w:val="single" w:sz="4" w:space="0" w:color="auto"/>
              <w:bottom w:val="single" w:sz="4" w:space="0" w:color="auto"/>
              <w:right w:val="single" w:sz="4" w:space="0" w:color="auto"/>
            </w:tcBorders>
            <w:hideMark/>
          </w:tcPr>
          <w:p w14:paraId="1C397078" w14:textId="77777777" w:rsidR="00C74584" w:rsidRPr="00C74584" w:rsidRDefault="00C74584">
            <w:pPr>
              <w:rPr>
                <w:szCs w:val="22"/>
              </w:rPr>
            </w:pPr>
            <w:r w:rsidRPr="00C74584">
              <w:rPr>
                <w:szCs w:val="22"/>
              </w:rPr>
              <w:t>Det reproduktive system og mammae</w:t>
            </w:r>
          </w:p>
        </w:tc>
      </w:tr>
      <w:tr w:rsidR="00C74584" w14:paraId="76F86D2B" w14:textId="77777777" w:rsidTr="00C74584">
        <w:tc>
          <w:tcPr>
            <w:tcW w:w="1317" w:type="dxa"/>
            <w:tcBorders>
              <w:top w:val="single" w:sz="4" w:space="0" w:color="auto"/>
              <w:left w:val="single" w:sz="4" w:space="0" w:color="auto"/>
              <w:bottom w:val="single" w:sz="4" w:space="0" w:color="auto"/>
              <w:right w:val="single" w:sz="4" w:space="0" w:color="auto"/>
            </w:tcBorders>
          </w:tcPr>
          <w:p w14:paraId="26C0E724" w14:textId="77777777" w:rsidR="00C74584" w:rsidRPr="00C74584" w:rsidRDefault="00C74584">
            <w:pPr>
              <w:rPr>
                <w:szCs w:val="22"/>
              </w:rPr>
            </w:pPr>
          </w:p>
        </w:tc>
        <w:tc>
          <w:tcPr>
            <w:tcW w:w="1335" w:type="dxa"/>
            <w:tcBorders>
              <w:top w:val="single" w:sz="4" w:space="0" w:color="auto"/>
              <w:left w:val="single" w:sz="4" w:space="0" w:color="auto"/>
              <w:bottom w:val="single" w:sz="4" w:space="0" w:color="auto"/>
              <w:right w:val="single" w:sz="4" w:space="0" w:color="auto"/>
            </w:tcBorders>
            <w:hideMark/>
          </w:tcPr>
          <w:p w14:paraId="517010E4" w14:textId="77777777" w:rsidR="00C74584" w:rsidRDefault="00C74584">
            <w:pPr>
              <w:rPr>
                <w:szCs w:val="22"/>
                <w:lang w:val="en-GB"/>
              </w:rPr>
            </w:pPr>
            <w:r>
              <w:rPr>
                <w:szCs w:val="22"/>
                <w:lang w:val="en-GB"/>
              </w:rPr>
              <w:t>Vaginal svie</w:t>
            </w:r>
          </w:p>
          <w:p w14:paraId="5344D93D" w14:textId="77777777" w:rsidR="00C74584" w:rsidRDefault="00C74584">
            <w:pPr>
              <w:rPr>
                <w:szCs w:val="22"/>
                <w:lang w:val="en-GB"/>
              </w:rPr>
            </w:pPr>
            <w:r>
              <w:rPr>
                <w:szCs w:val="22"/>
                <w:lang w:val="en-GB"/>
              </w:rPr>
              <w:t>Vaginalt udflåd</w:t>
            </w:r>
          </w:p>
        </w:tc>
        <w:tc>
          <w:tcPr>
            <w:tcW w:w="2390" w:type="dxa"/>
            <w:tcBorders>
              <w:top w:val="single" w:sz="4" w:space="0" w:color="auto"/>
              <w:left w:val="single" w:sz="4" w:space="0" w:color="auto"/>
              <w:bottom w:val="single" w:sz="4" w:space="0" w:color="auto"/>
              <w:right w:val="single" w:sz="4" w:space="0" w:color="auto"/>
            </w:tcBorders>
            <w:hideMark/>
          </w:tcPr>
          <w:p w14:paraId="134ECDE8" w14:textId="77777777" w:rsidR="00C74584" w:rsidRDefault="00C74584">
            <w:pPr>
              <w:rPr>
                <w:szCs w:val="22"/>
                <w:lang w:val="en-GB"/>
              </w:rPr>
            </w:pPr>
            <w:r>
              <w:rPr>
                <w:szCs w:val="22"/>
                <w:lang w:val="en-GB"/>
              </w:rPr>
              <w:t>Vulvovaginal pruritus</w:t>
            </w:r>
          </w:p>
          <w:p w14:paraId="513E0177" w14:textId="77777777" w:rsidR="00C74584" w:rsidRDefault="00C74584">
            <w:pPr>
              <w:rPr>
                <w:szCs w:val="22"/>
                <w:lang w:val="en-GB"/>
              </w:rPr>
            </w:pPr>
            <w:r>
              <w:rPr>
                <w:szCs w:val="22"/>
                <w:lang w:val="en-GB"/>
              </w:rPr>
              <w:t>Vaginal rødme/irritation</w:t>
            </w:r>
          </w:p>
          <w:p w14:paraId="52CB174F" w14:textId="77777777" w:rsidR="00C74584" w:rsidRDefault="00C74584">
            <w:pPr>
              <w:rPr>
                <w:szCs w:val="22"/>
                <w:lang w:val="en-GB"/>
              </w:rPr>
            </w:pPr>
            <w:r>
              <w:rPr>
                <w:szCs w:val="22"/>
                <w:lang w:val="en-GB"/>
              </w:rPr>
              <w:t>Vulvovaginale gener</w:t>
            </w:r>
          </w:p>
          <w:p w14:paraId="544A0CD0" w14:textId="77777777" w:rsidR="00C74584" w:rsidRDefault="00C74584">
            <w:pPr>
              <w:rPr>
                <w:szCs w:val="22"/>
                <w:lang w:val="en-GB"/>
              </w:rPr>
            </w:pPr>
            <w:r>
              <w:rPr>
                <w:szCs w:val="22"/>
                <w:lang w:val="en-GB"/>
              </w:rPr>
              <w:t>Vaginal laceration</w:t>
            </w:r>
          </w:p>
          <w:p w14:paraId="37DA5C9B" w14:textId="77777777" w:rsidR="00C74584" w:rsidRDefault="00C74584">
            <w:pPr>
              <w:rPr>
                <w:szCs w:val="22"/>
                <w:lang w:val="en-GB"/>
              </w:rPr>
            </w:pPr>
            <w:r>
              <w:rPr>
                <w:szCs w:val="22"/>
                <w:lang w:val="en-GB"/>
              </w:rPr>
              <w:t>Vaginal hæmoragi/blødning</w:t>
            </w:r>
          </w:p>
        </w:tc>
        <w:tc>
          <w:tcPr>
            <w:tcW w:w="1777" w:type="dxa"/>
            <w:tcBorders>
              <w:top w:val="single" w:sz="4" w:space="0" w:color="auto"/>
              <w:left w:val="single" w:sz="4" w:space="0" w:color="auto"/>
              <w:bottom w:val="single" w:sz="4" w:space="0" w:color="auto"/>
              <w:right w:val="single" w:sz="4" w:space="0" w:color="auto"/>
            </w:tcBorders>
            <w:hideMark/>
          </w:tcPr>
          <w:p w14:paraId="4F1F865E" w14:textId="77777777" w:rsidR="00C74584" w:rsidRDefault="00C74584">
            <w:pPr>
              <w:rPr>
                <w:szCs w:val="22"/>
                <w:lang w:val="en-GB"/>
              </w:rPr>
            </w:pPr>
            <w:r>
              <w:rPr>
                <w:szCs w:val="22"/>
                <w:lang w:val="en-GB"/>
              </w:rPr>
              <w:t>Hypermenorré</w:t>
            </w:r>
          </w:p>
          <w:p w14:paraId="077298BF" w14:textId="77777777" w:rsidR="00C74584" w:rsidRDefault="00C74584">
            <w:pPr>
              <w:rPr>
                <w:szCs w:val="22"/>
                <w:lang w:val="en-GB"/>
              </w:rPr>
            </w:pPr>
            <w:r>
              <w:rPr>
                <w:szCs w:val="22"/>
                <w:lang w:val="en-GB"/>
              </w:rPr>
              <w:t>Vulvovaginalt udslæt</w:t>
            </w:r>
          </w:p>
        </w:tc>
        <w:tc>
          <w:tcPr>
            <w:tcW w:w="2037" w:type="dxa"/>
            <w:tcBorders>
              <w:top w:val="single" w:sz="4" w:space="0" w:color="auto"/>
              <w:left w:val="single" w:sz="4" w:space="0" w:color="auto"/>
              <w:bottom w:val="single" w:sz="4" w:space="0" w:color="auto"/>
              <w:right w:val="single" w:sz="4" w:space="0" w:color="auto"/>
            </w:tcBorders>
          </w:tcPr>
          <w:p w14:paraId="525A8DA2" w14:textId="77777777" w:rsidR="00C74584" w:rsidRDefault="00C74584">
            <w:pPr>
              <w:rPr>
                <w:szCs w:val="22"/>
                <w:lang w:val="en-GB"/>
              </w:rPr>
            </w:pPr>
          </w:p>
        </w:tc>
      </w:tr>
      <w:tr w:rsidR="00C74584" w14:paraId="789D3191" w14:textId="77777777" w:rsidTr="00C74584">
        <w:tc>
          <w:tcPr>
            <w:tcW w:w="8856" w:type="dxa"/>
            <w:gridSpan w:val="5"/>
            <w:tcBorders>
              <w:top w:val="single" w:sz="4" w:space="0" w:color="auto"/>
              <w:left w:val="single" w:sz="4" w:space="0" w:color="auto"/>
              <w:bottom w:val="single" w:sz="4" w:space="0" w:color="auto"/>
              <w:right w:val="single" w:sz="4" w:space="0" w:color="auto"/>
            </w:tcBorders>
            <w:hideMark/>
          </w:tcPr>
          <w:p w14:paraId="33810B59" w14:textId="77777777" w:rsidR="00C74584" w:rsidRDefault="00C74584">
            <w:pPr>
              <w:rPr>
                <w:szCs w:val="22"/>
                <w:lang w:val="en-GB"/>
              </w:rPr>
            </w:pPr>
            <w:r>
              <w:rPr>
                <w:szCs w:val="22"/>
                <w:lang w:val="en-GB"/>
              </w:rPr>
              <w:t>Nyrer og urinveje</w:t>
            </w:r>
          </w:p>
        </w:tc>
      </w:tr>
      <w:tr w:rsidR="00C74584" w14:paraId="07C2EB02" w14:textId="77777777" w:rsidTr="00C74584">
        <w:tc>
          <w:tcPr>
            <w:tcW w:w="1317" w:type="dxa"/>
            <w:tcBorders>
              <w:top w:val="single" w:sz="4" w:space="0" w:color="auto"/>
              <w:left w:val="single" w:sz="4" w:space="0" w:color="auto"/>
              <w:bottom w:val="single" w:sz="4" w:space="0" w:color="auto"/>
              <w:right w:val="single" w:sz="4" w:space="0" w:color="auto"/>
            </w:tcBorders>
          </w:tcPr>
          <w:p w14:paraId="41837885" w14:textId="77777777" w:rsidR="00C74584" w:rsidRDefault="00C74584">
            <w:pPr>
              <w:rPr>
                <w:szCs w:val="22"/>
                <w:lang w:val="en-GB"/>
              </w:rPr>
            </w:pPr>
          </w:p>
        </w:tc>
        <w:tc>
          <w:tcPr>
            <w:tcW w:w="1335" w:type="dxa"/>
            <w:tcBorders>
              <w:top w:val="single" w:sz="4" w:space="0" w:color="auto"/>
              <w:left w:val="single" w:sz="4" w:space="0" w:color="auto"/>
              <w:bottom w:val="single" w:sz="4" w:space="0" w:color="auto"/>
              <w:right w:val="single" w:sz="4" w:space="0" w:color="auto"/>
            </w:tcBorders>
          </w:tcPr>
          <w:p w14:paraId="6BB34F12" w14:textId="77777777" w:rsidR="00C74584" w:rsidRDefault="00C74584">
            <w:pPr>
              <w:rPr>
                <w:szCs w:val="22"/>
                <w:lang w:val="en-GB"/>
              </w:rPr>
            </w:pPr>
          </w:p>
        </w:tc>
        <w:tc>
          <w:tcPr>
            <w:tcW w:w="2390" w:type="dxa"/>
            <w:tcBorders>
              <w:top w:val="single" w:sz="4" w:space="0" w:color="auto"/>
              <w:left w:val="single" w:sz="4" w:space="0" w:color="auto"/>
              <w:bottom w:val="single" w:sz="4" w:space="0" w:color="auto"/>
              <w:right w:val="single" w:sz="4" w:space="0" w:color="auto"/>
            </w:tcBorders>
            <w:hideMark/>
          </w:tcPr>
          <w:p w14:paraId="58ED4DB0" w14:textId="77777777" w:rsidR="00C74584" w:rsidRDefault="00C74584">
            <w:pPr>
              <w:rPr>
                <w:szCs w:val="22"/>
                <w:lang w:val="en-GB"/>
              </w:rPr>
            </w:pPr>
            <w:r>
              <w:rPr>
                <w:szCs w:val="22"/>
                <w:lang w:val="en-GB"/>
              </w:rPr>
              <w:t>Urininkontinens</w:t>
            </w:r>
          </w:p>
        </w:tc>
        <w:tc>
          <w:tcPr>
            <w:tcW w:w="1777" w:type="dxa"/>
            <w:tcBorders>
              <w:top w:val="single" w:sz="4" w:space="0" w:color="auto"/>
              <w:left w:val="single" w:sz="4" w:space="0" w:color="auto"/>
              <w:bottom w:val="single" w:sz="4" w:space="0" w:color="auto"/>
              <w:right w:val="single" w:sz="4" w:space="0" w:color="auto"/>
            </w:tcBorders>
          </w:tcPr>
          <w:p w14:paraId="22CA455C" w14:textId="77777777" w:rsidR="00C74584" w:rsidRDefault="00C74584">
            <w:pPr>
              <w:rPr>
                <w:szCs w:val="22"/>
                <w:lang w:val="en-GB"/>
              </w:rPr>
            </w:pPr>
          </w:p>
        </w:tc>
        <w:tc>
          <w:tcPr>
            <w:tcW w:w="2037" w:type="dxa"/>
            <w:tcBorders>
              <w:top w:val="single" w:sz="4" w:space="0" w:color="auto"/>
              <w:left w:val="single" w:sz="4" w:space="0" w:color="auto"/>
              <w:bottom w:val="single" w:sz="4" w:space="0" w:color="auto"/>
              <w:right w:val="single" w:sz="4" w:space="0" w:color="auto"/>
            </w:tcBorders>
          </w:tcPr>
          <w:p w14:paraId="44D3ADE4" w14:textId="77777777" w:rsidR="00C74584" w:rsidRDefault="00C74584">
            <w:pPr>
              <w:rPr>
                <w:szCs w:val="22"/>
                <w:lang w:val="en-GB"/>
              </w:rPr>
            </w:pPr>
          </w:p>
        </w:tc>
      </w:tr>
      <w:tr w:rsidR="00C74584" w14:paraId="320677AD" w14:textId="77777777" w:rsidTr="00C74584">
        <w:tc>
          <w:tcPr>
            <w:tcW w:w="8856" w:type="dxa"/>
            <w:gridSpan w:val="5"/>
            <w:tcBorders>
              <w:top w:val="single" w:sz="4" w:space="0" w:color="auto"/>
              <w:left w:val="single" w:sz="4" w:space="0" w:color="auto"/>
              <w:bottom w:val="single" w:sz="4" w:space="0" w:color="auto"/>
              <w:right w:val="single" w:sz="4" w:space="0" w:color="auto"/>
            </w:tcBorders>
            <w:hideMark/>
          </w:tcPr>
          <w:p w14:paraId="5BBE63C6" w14:textId="77777777" w:rsidR="00C74584" w:rsidRDefault="00C74584">
            <w:pPr>
              <w:rPr>
                <w:szCs w:val="22"/>
                <w:lang w:val="en-GB"/>
              </w:rPr>
            </w:pPr>
            <w:r>
              <w:rPr>
                <w:szCs w:val="22"/>
                <w:lang w:val="en-GB"/>
              </w:rPr>
              <w:t>Infektioner og parasitære sygdomme</w:t>
            </w:r>
          </w:p>
        </w:tc>
      </w:tr>
      <w:tr w:rsidR="00C74584" w14:paraId="20356A12" w14:textId="77777777" w:rsidTr="00C74584">
        <w:tc>
          <w:tcPr>
            <w:tcW w:w="1317" w:type="dxa"/>
            <w:tcBorders>
              <w:top w:val="single" w:sz="4" w:space="0" w:color="auto"/>
              <w:left w:val="single" w:sz="4" w:space="0" w:color="auto"/>
              <w:bottom w:val="single" w:sz="4" w:space="0" w:color="auto"/>
              <w:right w:val="single" w:sz="4" w:space="0" w:color="auto"/>
            </w:tcBorders>
          </w:tcPr>
          <w:p w14:paraId="3D29EC08" w14:textId="77777777" w:rsidR="00C74584" w:rsidRDefault="00C74584">
            <w:pPr>
              <w:rPr>
                <w:szCs w:val="22"/>
                <w:lang w:val="en-GB"/>
              </w:rPr>
            </w:pPr>
          </w:p>
        </w:tc>
        <w:tc>
          <w:tcPr>
            <w:tcW w:w="1335" w:type="dxa"/>
            <w:tcBorders>
              <w:top w:val="single" w:sz="4" w:space="0" w:color="auto"/>
              <w:left w:val="single" w:sz="4" w:space="0" w:color="auto"/>
              <w:bottom w:val="single" w:sz="4" w:space="0" w:color="auto"/>
              <w:right w:val="single" w:sz="4" w:space="0" w:color="auto"/>
            </w:tcBorders>
          </w:tcPr>
          <w:p w14:paraId="0C50D3FD" w14:textId="77777777" w:rsidR="00C74584" w:rsidRDefault="00C74584">
            <w:pPr>
              <w:rPr>
                <w:szCs w:val="22"/>
                <w:lang w:val="en-GB"/>
              </w:rPr>
            </w:pPr>
          </w:p>
        </w:tc>
        <w:tc>
          <w:tcPr>
            <w:tcW w:w="2390" w:type="dxa"/>
            <w:tcBorders>
              <w:top w:val="single" w:sz="4" w:space="0" w:color="auto"/>
              <w:left w:val="single" w:sz="4" w:space="0" w:color="auto"/>
              <w:bottom w:val="single" w:sz="4" w:space="0" w:color="auto"/>
              <w:right w:val="single" w:sz="4" w:space="0" w:color="auto"/>
            </w:tcBorders>
            <w:hideMark/>
          </w:tcPr>
          <w:p w14:paraId="13E145AA" w14:textId="77777777" w:rsidR="00C74584" w:rsidRDefault="00C74584">
            <w:pPr>
              <w:rPr>
                <w:szCs w:val="22"/>
                <w:lang w:val="en-GB"/>
              </w:rPr>
            </w:pPr>
            <w:r>
              <w:rPr>
                <w:szCs w:val="22"/>
                <w:lang w:val="en-GB"/>
              </w:rPr>
              <w:t>Cystitis</w:t>
            </w:r>
          </w:p>
          <w:p w14:paraId="443A3970" w14:textId="77777777" w:rsidR="00C74584" w:rsidRDefault="00C74584">
            <w:pPr>
              <w:rPr>
                <w:szCs w:val="22"/>
                <w:lang w:val="en-GB"/>
              </w:rPr>
            </w:pPr>
            <w:r>
              <w:rPr>
                <w:szCs w:val="22"/>
                <w:lang w:val="en-GB"/>
              </w:rPr>
              <w:t>Vaginitis</w:t>
            </w:r>
          </w:p>
          <w:p w14:paraId="08BA5DC0" w14:textId="77777777" w:rsidR="00C74584" w:rsidRDefault="00C74584">
            <w:pPr>
              <w:rPr>
                <w:szCs w:val="22"/>
                <w:lang w:val="en-GB"/>
              </w:rPr>
            </w:pPr>
            <w:r>
              <w:rPr>
                <w:szCs w:val="22"/>
                <w:lang w:val="en-GB"/>
              </w:rPr>
              <w:t>Bakteriel vaginose</w:t>
            </w:r>
          </w:p>
        </w:tc>
        <w:tc>
          <w:tcPr>
            <w:tcW w:w="1777" w:type="dxa"/>
            <w:tcBorders>
              <w:top w:val="single" w:sz="4" w:space="0" w:color="auto"/>
              <w:left w:val="single" w:sz="4" w:space="0" w:color="auto"/>
              <w:bottom w:val="single" w:sz="4" w:space="0" w:color="auto"/>
              <w:right w:val="single" w:sz="4" w:space="0" w:color="auto"/>
            </w:tcBorders>
          </w:tcPr>
          <w:p w14:paraId="70AB3CFA" w14:textId="77777777" w:rsidR="00C74584" w:rsidRDefault="00C74584">
            <w:pPr>
              <w:rPr>
                <w:szCs w:val="22"/>
                <w:lang w:val="en-GB"/>
              </w:rPr>
            </w:pPr>
          </w:p>
        </w:tc>
        <w:tc>
          <w:tcPr>
            <w:tcW w:w="2037" w:type="dxa"/>
            <w:tcBorders>
              <w:top w:val="single" w:sz="4" w:space="0" w:color="auto"/>
              <w:left w:val="single" w:sz="4" w:space="0" w:color="auto"/>
              <w:bottom w:val="single" w:sz="4" w:space="0" w:color="auto"/>
              <w:right w:val="single" w:sz="4" w:space="0" w:color="auto"/>
            </w:tcBorders>
          </w:tcPr>
          <w:p w14:paraId="744F45CB" w14:textId="77777777" w:rsidR="00C74584" w:rsidRDefault="00C74584">
            <w:pPr>
              <w:rPr>
                <w:szCs w:val="22"/>
                <w:lang w:val="en-GB"/>
              </w:rPr>
            </w:pPr>
          </w:p>
        </w:tc>
      </w:tr>
      <w:tr w:rsidR="00C74584" w14:paraId="0812B218" w14:textId="77777777" w:rsidTr="00C74584">
        <w:tc>
          <w:tcPr>
            <w:tcW w:w="8856" w:type="dxa"/>
            <w:gridSpan w:val="5"/>
            <w:tcBorders>
              <w:top w:val="single" w:sz="4" w:space="0" w:color="auto"/>
              <w:left w:val="single" w:sz="4" w:space="0" w:color="auto"/>
              <w:bottom w:val="single" w:sz="4" w:space="0" w:color="auto"/>
              <w:right w:val="single" w:sz="4" w:space="0" w:color="auto"/>
            </w:tcBorders>
            <w:hideMark/>
          </w:tcPr>
          <w:p w14:paraId="3C32E89D" w14:textId="77777777" w:rsidR="00C74584" w:rsidRPr="00C74584" w:rsidRDefault="00C74584">
            <w:pPr>
              <w:rPr>
                <w:szCs w:val="22"/>
              </w:rPr>
            </w:pPr>
            <w:r w:rsidRPr="00C74584">
              <w:rPr>
                <w:szCs w:val="22"/>
              </w:rPr>
              <w:t>Almene symptomer og reaktioner på administrationsstedet</w:t>
            </w:r>
          </w:p>
        </w:tc>
      </w:tr>
      <w:tr w:rsidR="00C74584" w14:paraId="26201D45" w14:textId="77777777" w:rsidTr="00C74584">
        <w:tc>
          <w:tcPr>
            <w:tcW w:w="1317" w:type="dxa"/>
            <w:tcBorders>
              <w:top w:val="single" w:sz="4" w:space="0" w:color="auto"/>
              <w:left w:val="single" w:sz="4" w:space="0" w:color="auto"/>
              <w:bottom w:val="single" w:sz="4" w:space="0" w:color="auto"/>
              <w:right w:val="single" w:sz="4" w:space="0" w:color="auto"/>
            </w:tcBorders>
          </w:tcPr>
          <w:p w14:paraId="5046FB24" w14:textId="77777777" w:rsidR="00C74584" w:rsidRPr="00C74584" w:rsidRDefault="00C74584">
            <w:pPr>
              <w:rPr>
                <w:szCs w:val="22"/>
              </w:rPr>
            </w:pPr>
          </w:p>
        </w:tc>
        <w:tc>
          <w:tcPr>
            <w:tcW w:w="1335" w:type="dxa"/>
            <w:tcBorders>
              <w:top w:val="single" w:sz="4" w:space="0" w:color="auto"/>
              <w:left w:val="single" w:sz="4" w:space="0" w:color="auto"/>
              <w:bottom w:val="single" w:sz="4" w:space="0" w:color="auto"/>
              <w:right w:val="single" w:sz="4" w:space="0" w:color="auto"/>
            </w:tcBorders>
          </w:tcPr>
          <w:p w14:paraId="4E1D654D" w14:textId="77777777" w:rsidR="00C74584" w:rsidRPr="00C74584" w:rsidRDefault="00C74584">
            <w:pPr>
              <w:rPr>
                <w:szCs w:val="22"/>
              </w:rPr>
            </w:pPr>
          </w:p>
        </w:tc>
        <w:tc>
          <w:tcPr>
            <w:tcW w:w="2390" w:type="dxa"/>
            <w:tcBorders>
              <w:top w:val="single" w:sz="4" w:space="0" w:color="auto"/>
              <w:left w:val="single" w:sz="4" w:space="0" w:color="auto"/>
              <w:bottom w:val="single" w:sz="4" w:space="0" w:color="auto"/>
              <w:right w:val="single" w:sz="4" w:space="0" w:color="auto"/>
            </w:tcBorders>
            <w:hideMark/>
          </w:tcPr>
          <w:p w14:paraId="58C410EA" w14:textId="77777777" w:rsidR="00C74584" w:rsidRDefault="00C74584">
            <w:pPr>
              <w:rPr>
                <w:szCs w:val="22"/>
                <w:lang w:val="en-GB"/>
              </w:rPr>
            </w:pPr>
            <w:r>
              <w:rPr>
                <w:szCs w:val="22"/>
                <w:lang w:val="en-GB"/>
              </w:rPr>
              <w:t>Lokal allergisk reaktion</w:t>
            </w:r>
          </w:p>
        </w:tc>
        <w:tc>
          <w:tcPr>
            <w:tcW w:w="1777" w:type="dxa"/>
            <w:tcBorders>
              <w:top w:val="single" w:sz="4" w:space="0" w:color="auto"/>
              <w:left w:val="single" w:sz="4" w:space="0" w:color="auto"/>
              <w:bottom w:val="single" w:sz="4" w:space="0" w:color="auto"/>
              <w:right w:val="single" w:sz="4" w:space="0" w:color="auto"/>
            </w:tcBorders>
          </w:tcPr>
          <w:p w14:paraId="74C9C7F5" w14:textId="77777777" w:rsidR="00C74584" w:rsidRDefault="00C74584">
            <w:pPr>
              <w:rPr>
                <w:szCs w:val="22"/>
                <w:lang w:val="en-GB"/>
              </w:rPr>
            </w:pPr>
          </w:p>
        </w:tc>
        <w:tc>
          <w:tcPr>
            <w:tcW w:w="2037" w:type="dxa"/>
            <w:tcBorders>
              <w:top w:val="single" w:sz="4" w:space="0" w:color="auto"/>
              <w:left w:val="single" w:sz="4" w:space="0" w:color="auto"/>
              <w:bottom w:val="single" w:sz="4" w:space="0" w:color="auto"/>
              <w:right w:val="single" w:sz="4" w:space="0" w:color="auto"/>
            </w:tcBorders>
            <w:hideMark/>
          </w:tcPr>
          <w:p w14:paraId="7C08F1DE" w14:textId="77777777" w:rsidR="00C74584" w:rsidRDefault="00C74584">
            <w:pPr>
              <w:rPr>
                <w:szCs w:val="22"/>
                <w:lang w:val="en-GB"/>
              </w:rPr>
            </w:pPr>
            <w:r>
              <w:rPr>
                <w:szCs w:val="22"/>
                <w:lang w:val="en-GB"/>
              </w:rPr>
              <w:t>Overfølsomhed</w:t>
            </w:r>
          </w:p>
          <w:p w14:paraId="7E33D931" w14:textId="77777777" w:rsidR="00C74584" w:rsidRDefault="00C74584">
            <w:pPr>
              <w:rPr>
                <w:szCs w:val="22"/>
                <w:lang w:val="en-GB"/>
              </w:rPr>
            </w:pPr>
            <w:r>
              <w:rPr>
                <w:szCs w:val="22"/>
                <w:lang w:val="en-GB"/>
              </w:rPr>
              <w:t>Udslæt</w:t>
            </w:r>
          </w:p>
        </w:tc>
      </w:tr>
      <w:tr w:rsidR="00C74584" w14:paraId="2950A27E" w14:textId="77777777" w:rsidTr="00C74584">
        <w:tc>
          <w:tcPr>
            <w:tcW w:w="8856" w:type="dxa"/>
            <w:gridSpan w:val="5"/>
            <w:tcBorders>
              <w:top w:val="single" w:sz="4" w:space="0" w:color="auto"/>
              <w:left w:val="single" w:sz="4" w:space="0" w:color="auto"/>
              <w:bottom w:val="single" w:sz="4" w:space="0" w:color="auto"/>
              <w:right w:val="single" w:sz="4" w:space="0" w:color="auto"/>
            </w:tcBorders>
            <w:hideMark/>
          </w:tcPr>
          <w:p w14:paraId="390FAC45" w14:textId="77777777" w:rsidR="00C74584" w:rsidRDefault="00C74584">
            <w:pPr>
              <w:rPr>
                <w:szCs w:val="22"/>
                <w:lang w:val="en-GB"/>
              </w:rPr>
            </w:pPr>
            <w:r>
              <w:rPr>
                <w:szCs w:val="22"/>
                <w:lang w:val="en-GB"/>
              </w:rPr>
              <w:t>Mave-tarm-kanalen</w:t>
            </w:r>
          </w:p>
        </w:tc>
      </w:tr>
      <w:tr w:rsidR="00C74584" w14:paraId="00B36068" w14:textId="77777777" w:rsidTr="00C74584">
        <w:tc>
          <w:tcPr>
            <w:tcW w:w="1317" w:type="dxa"/>
            <w:tcBorders>
              <w:top w:val="single" w:sz="4" w:space="0" w:color="auto"/>
              <w:left w:val="single" w:sz="4" w:space="0" w:color="auto"/>
              <w:bottom w:val="single" w:sz="4" w:space="0" w:color="auto"/>
              <w:right w:val="single" w:sz="4" w:space="0" w:color="auto"/>
            </w:tcBorders>
          </w:tcPr>
          <w:p w14:paraId="157683EF" w14:textId="77777777" w:rsidR="00C74584" w:rsidRDefault="00C74584">
            <w:pPr>
              <w:rPr>
                <w:szCs w:val="22"/>
                <w:lang w:val="en-GB"/>
              </w:rPr>
            </w:pPr>
          </w:p>
        </w:tc>
        <w:tc>
          <w:tcPr>
            <w:tcW w:w="1335" w:type="dxa"/>
            <w:tcBorders>
              <w:top w:val="single" w:sz="4" w:space="0" w:color="auto"/>
              <w:left w:val="single" w:sz="4" w:space="0" w:color="auto"/>
              <w:bottom w:val="single" w:sz="4" w:space="0" w:color="auto"/>
              <w:right w:val="single" w:sz="4" w:space="0" w:color="auto"/>
            </w:tcBorders>
          </w:tcPr>
          <w:p w14:paraId="7EB01839" w14:textId="77777777" w:rsidR="00C74584" w:rsidRDefault="00C74584">
            <w:pPr>
              <w:rPr>
                <w:szCs w:val="22"/>
                <w:lang w:val="en-GB"/>
              </w:rPr>
            </w:pPr>
          </w:p>
        </w:tc>
        <w:tc>
          <w:tcPr>
            <w:tcW w:w="2390" w:type="dxa"/>
            <w:tcBorders>
              <w:top w:val="single" w:sz="4" w:space="0" w:color="auto"/>
              <w:left w:val="single" w:sz="4" w:space="0" w:color="auto"/>
              <w:bottom w:val="single" w:sz="4" w:space="0" w:color="auto"/>
              <w:right w:val="single" w:sz="4" w:space="0" w:color="auto"/>
            </w:tcBorders>
            <w:hideMark/>
          </w:tcPr>
          <w:p w14:paraId="449E4FF2" w14:textId="77777777" w:rsidR="00C74584" w:rsidRDefault="00C74584">
            <w:pPr>
              <w:rPr>
                <w:szCs w:val="22"/>
                <w:lang w:val="en-GB"/>
              </w:rPr>
            </w:pPr>
            <w:r>
              <w:rPr>
                <w:szCs w:val="22"/>
                <w:lang w:val="en-GB"/>
              </w:rPr>
              <w:t>Mavesmerter</w:t>
            </w:r>
          </w:p>
          <w:p w14:paraId="086DDFE4" w14:textId="77777777" w:rsidR="00C74584" w:rsidRDefault="00C74584">
            <w:pPr>
              <w:rPr>
                <w:szCs w:val="22"/>
                <w:lang w:val="en-GB"/>
              </w:rPr>
            </w:pPr>
            <w:r>
              <w:rPr>
                <w:szCs w:val="22"/>
                <w:lang w:val="en-GB"/>
              </w:rPr>
              <w:t>Gastralgi</w:t>
            </w:r>
          </w:p>
        </w:tc>
        <w:tc>
          <w:tcPr>
            <w:tcW w:w="1777" w:type="dxa"/>
            <w:tcBorders>
              <w:top w:val="single" w:sz="4" w:space="0" w:color="auto"/>
              <w:left w:val="single" w:sz="4" w:space="0" w:color="auto"/>
              <w:bottom w:val="single" w:sz="4" w:space="0" w:color="auto"/>
              <w:right w:val="single" w:sz="4" w:space="0" w:color="auto"/>
            </w:tcBorders>
            <w:hideMark/>
          </w:tcPr>
          <w:p w14:paraId="7A32F3A8" w14:textId="77777777" w:rsidR="00C74584" w:rsidRDefault="00C74584">
            <w:pPr>
              <w:rPr>
                <w:szCs w:val="22"/>
                <w:lang w:val="en-GB"/>
              </w:rPr>
            </w:pPr>
            <w:r>
              <w:rPr>
                <w:szCs w:val="22"/>
                <w:lang w:val="en-GB"/>
              </w:rPr>
              <w:t>Kvalme</w:t>
            </w:r>
          </w:p>
        </w:tc>
        <w:tc>
          <w:tcPr>
            <w:tcW w:w="2037" w:type="dxa"/>
            <w:tcBorders>
              <w:top w:val="single" w:sz="4" w:space="0" w:color="auto"/>
              <w:left w:val="single" w:sz="4" w:space="0" w:color="auto"/>
              <w:bottom w:val="single" w:sz="4" w:space="0" w:color="auto"/>
              <w:right w:val="single" w:sz="4" w:space="0" w:color="auto"/>
            </w:tcBorders>
          </w:tcPr>
          <w:p w14:paraId="0FBA7F54" w14:textId="77777777" w:rsidR="00C74584" w:rsidRDefault="00C74584">
            <w:pPr>
              <w:rPr>
                <w:szCs w:val="22"/>
                <w:lang w:val="en-GB"/>
              </w:rPr>
            </w:pPr>
          </w:p>
        </w:tc>
      </w:tr>
      <w:tr w:rsidR="00C74584" w14:paraId="437928AC" w14:textId="77777777" w:rsidTr="00C74584">
        <w:tc>
          <w:tcPr>
            <w:tcW w:w="8856" w:type="dxa"/>
            <w:gridSpan w:val="5"/>
            <w:tcBorders>
              <w:top w:val="single" w:sz="4" w:space="0" w:color="auto"/>
              <w:left w:val="single" w:sz="4" w:space="0" w:color="auto"/>
              <w:bottom w:val="single" w:sz="4" w:space="0" w:color="auto"/>
              <w:right w:val="single" w:sz="4" w:space="0" w:color="auto"/>
            </w:tcBorders>
            <w:hideMark/>
          </w:tcPr>
          <w:p w14:paraId="7C8633AB" w14:textId="77777777" w:rsidR="00C74584" w:rsidRDefault="00C74584">
            <w:pPr>
              <w:rPr>
                <w:szCs w:val="22"/>
                <w:lang w:val="en-GB"/>
              </w:rPr>
            </w:pPr>
            <w:r>
              <w:rPr>
                <w:i/>
                <w:szCs w:val="22"/>
                <w:lang w:val="en-GB"/>
              </w:rPr>
              <w:t>Hud og subkutane væv</w:t>
            </w:r>
          </w:p>
        </w:tc>
      </w:tr>
      <w:tr w:rsidR="00C74584" w14:paraId="3060BE86" w14:textId="77777777" w:rsidTr="00C74584">
        <w:tc>
          <w:tcPr>
            <w:tcW w:w="1317" w:type="dxa"/>
            <w:tcBorders>
              <w:top w:val="single" w:sz="4" w:space="0" w:color="auto"/>
              <w:left w:val="single" w:sz="4" w:space="0" w:color="auto"/>
              <w:bottom w:val="single" w:sz="4" w:space="0" w:color="auto"/>
              <w:right w:val="single" w:sz="4" w:space="0" w:color="auto"/>
            </w:tcBorders>
          </w:tcPr>
          <w:p w14:paraId="1A1A361D" w14:textId="77777777" w:rsidR="00C74584" w:rsidRDefault="00C74584">
            <w:pPr>
              <w:rPr>
                <w:szCs w:val="22"/>
                <w:lang w:val="en-GB"/>
              </w:rPr>
            </w:pPr>
          </w:p>
        </w:tc>
        <w:tc>
          <w:tcPr>
            <w:tcW w:w="1335" w:type="dxa"/>
            <w:tcBorders>
              <w:top w:val="single" w:sz="4" w:space="0" w:color="auto"/>
              <w:left w:val="single" w:sz="4" w:space="0" w:color="auto"/>
              <w:bottom w:val="single" w:sz="4" w:space="0" w:color="auto"/>
              <w:right w:val="single" w:sz="4" w:space="0" w:color="auto"/>
            </w:tcBorders>
          </w:tcPr>
          <w:p w14:paraId="7A9AB206" w14:textId="77777777" w:rsidR="00C74584" w:rsidRDefault="00C74584">
            <w:pPr>
              <w:rPr>
                <w:szCs w:val="22"/>
                <w:lang w:val="en-GB"/>
              </w:rPr>
            </w:pPr>
          </w:p>
        </w:tc>
        <w:tc>
          <w:tcPr>
            <w:tcW w:w="2390" w:type="dxa"/>
            <w:tcBorders>
              <w:top w:val="single" w:sz="4" w:space="0" w:color="auto"/>
              <w:left w:val="single" w:sz="4" w:space="0" w:color="auto"/>
              <w:bottom w:val="single" w:sz="4" w:space="0" w:color="auto"/>
              <w:right w:val="single" w:sz="4" w:space="0" w:color="auto"/>
            </w:tcBorders>
            <w:hideMark/>
          </w:tcPr>
          <w:p w14:paraId="1BAC98ED" w14:textId="77777777" w:rsidR="00C74584" w:rsidRDefault="00C74584">
            <w:pPr>
              <w:rPr>
                <w:szCs w:val="22"/>
                <w:lang w:val="en-GB"/>
              </w:rPr>
            </w:pPr>
            <w:r>
              <w:rPr>
                <w:szCs w:val="22"/>
                <w:lang w:val="en-GB"/>
              </w:rPr>
              <w:t>Abnorm hårtekstur</w:t>
            </w:r>
          </w:p>
        </w:tc>
        <w:tc>
          <w:tcPr>
            <w:tcW w:w="1777" w:type="dxa"/>
            <w:tcBorders>
              <w:top w:val="single" w:sz="4" w:space="0" w:color="auto"/>
              <w:left w:val="single" w:sz="4" w:space="0" w:color="auto"/>
              <w:bottom w:val="single" w:sz="4" w:space="0" w:color="auto"/>
              <w:right w:val="single" w:sz="4" w:space="0" w:color="auto"/>
            </w:tcBorders>
          </w:tcPr>
          <w:p w14:paraId="4773829B" w14:textId="77777777" w:rsidR="00C74584" w:rsidRDefault="00C74584">
            <w:pPr>
              <w:rPr>
                <w:szCs w:val="22"/>
                <w:lang w:val="en-GB"/>
              </w:rPr>
            </w:pPr>
          </w:p>
        </w:tc>
        <w:tc>
          <w:tcPr>
            <w:tcW w:w="2037" w:type="dxa"/>
            <w:tcBorders>
              <w:top w:val="single" w:sz="4" w:space="0" w:color="auto"/>
              <w:left w:val="single" w:sz="4" w:space="0" w:color="auto"/>
              <w:bottom w:val="single" w:sz="4" w:space="0" w:color="auto"/>
              <w:right w:val="single" w:sz="4" w:space="0" w:color="auto"/>
            </w:tcBorders>
          </w:tcPr>
          <w:p w14:paraId="35664B3A" w14:textId="77777777" w:rsidR="00C74584" w:rsidRDefault="00C74584">
            <w:pPr>
              <w:rPr>
                <w:szCs w:val="22"/>
                <w:lang w:val="en-GB"/>
              </w:rPr>
            </w:pPr>
          </w:p>
        </w:tc>
      </w:tr>
      <w:tr w:rsidR="00C74584" w14:paraId="7EEC3A6E" w14:textId="77777777" w:rsidTr="00C74584">
        <w:tc>
          <w:tcPr>
            <w:tcW w:w="8856" w:type="dxa"/>
            <w:gridSpan w:val="5"/>
            <w:tcBorders>
              <w:top w:val="single" w:sz="4" w:space="0" w:color="auto"/>
              <w:left w:val="single" w:sz="4" w:space="0" w:color="auto"/>
              <w:bottom w:val="single" w:sz="4" w:space="0" w:color="auto"/>
              <w:right w:val="single" w:sz="4" w:space="0" w:color="auto"/>
            </w:tcBorders>
            <w:hideMark/>
          </w:tcPr>
          <w:p w14:paraId="0A79D4FA" w14:textId="77777777" w:rsidR="00C74584" w:rsidRDefault="00C74584">
            <w:pPr>
              <w:rPr>
                <w:szCs w:val="22"/>
                <w:lang w:val="en-GB"/>
              </w:rPr>
            </w:pPr>
            <w:r>
              <w:rPr>
                <w:szCs w:val="22"/>
                <w:lang w:val="en-GB"/>
              </w:rPr>
              <w:t>Nervesystemet</w:t>
            </w:r>
          </w:p>
        </w:tc>
      </w:tr>
      <w:tr w:rsidR="00C74584" w14:paraId="7784DB2E" w14:textId="77777777" w:rsidTr="00C74584">
        <w:tc>
          <w:tcPr>
            <w:tcW w:w="1317" w:type="dxa"/>
            <w:tcBorders>
              <w:top w:val="single" w:sz="4" w:space="0" w:color="auto"/>
              <w:left w:val="single" w:sz="4" w:space="0" w:color="auto"/>
              <w:bottom w:val="single" w:sz="4" w:space="0" w:color="auto"/>
              <w:right w:val="single" w:sz="4" w:space="0" w:color="auto"/>
            </w:tcBorders>
          </w:tcPr>
          <w:p w14:paraId="478A9655" w14:textId="77777777" w:rsidR="00C74584" w:rsidRDefault="00C74584">
            <w:pPr>
              <w:rPr>
                <w:szCs w:val="22"/>
                <w:lang w:val="en-GB"/>
              </w:rPr>
            </w:pPr>
          </w:p>
        </w:tc>
        <w:tc>
          <w:tcPr>
            <w:tcW w:w="1335" w:type="dxa"/>
            <w:tcBorders>
              <w:top w:val="single" w:sz="4" w:space="0" w:color="auto"/>
              <w:left w:val="single" w:sz="4" w:space="0" w:color="auto"/>
              <w:bottom w:val="single" w:sz="4" w:space="0" w:color="auto"/>
              <w:right w:val="single" w:sz="4" w:space="0" w:color="auto"/>
            </w:tcBorders>
          </w:tcPr>
          <w:p w14:paraId="2AB604D6" w14:textId="77777777" w:rsidR="00C74584" w:rsidRDefault="00C74584">
            <w:pPr>
              <w:rPr>
                <w:szCs w:val="22"/>
                <w:lang w:val="en-GB"/>
              </w:rPr>
            </w:pPr>
          </w:p>
        </w:tc>
        <w:tc>
          <w:tcPr>
            <w:tcW w:w="2390" w:type="dxa"/>
            <w:tcBorders>
              <w:top w:val="single" w:sz="4" w:space="0" w:color="auto"/>
              <w:left w:val="single" w:sz="4" w:space="0" w:color="auto"/>
              <w:bottom w:val="single" w:sz="4" w:space="0" w:color="auto"/>
              <w:right w:val="single" w:sz="4" w:space="0" w:color="auto"/>
            </w:tcBorders>
          </w:tcPr>
          <w:p w14:paraId="23E443EF" w14:textId="77777777" w:rsidR="00C74584" w:rsidRDefault="00C74584">
            <w:pPr>
              <w:rPr>
                <w:szCs w:val="22"/>
                <w:lang w:val="en-GB"/>
              </w:rPr>
            </w:pPr>
          </w:p>
        </w:tc>
        <w:tc>
          <w:tcPr>
            <w:tcW w:w="1777" w:type="dxa"/>
            <w:tcBorders>
              <w:top w:val="single" w:sz="4" w:space="0" w:color="auto"/>
              <w:left w:val="single" w:sz="4" w:space="0" w:color="auto"/>
              <w:bottom w:val="single" w:sz="4" w:space="0" w:color="auto"/>
              <w:right w:val="single" w:sz="4" w:space="0" w:color="auto"/>
            </w:tcBorders>
            <w:hideMark/>
          </w:tcPr>
          <w:p w14:paraId="070EF887" w14:textId="77777777" w:rsidR="00C74584" w:rsidRDefault="00C74584">
            <w:pPr>
              <w:rPr>
                <w:szCs w:val="22"/>
                <w:lang w:val="en-GB"/>
              </w:rPr>
            </w:pPr>
            <w:r>
              <w:rPr>
                <w:szCs w:val="22"/>
                <w:lang w:val="en-GB"/>
              </w:rPr>
              <w:t>Hovedpine</w:t>
            </w:r>
          </w:p>
          <w:p w14:paraId="6460F835" w14:textId="77777777" w:rsidR="00C74584" w:rsidRDefault="00C74584">
            <w:pPr>
              <w:rPr>
                <w:szCs w:val="22"/>
                <w:lang w:val="en-GB"/>
              </w:rPr>
            </w:pPr>
            <w:r>
              <w:rPr>
                <w:szCs w:val="22"/>
                <w:lang w:val="en-GB"/>
              </w:rPr>
              <w:t>Tremor</w:t>
            </w:r>
          </w:p>
        </w:tc>
        <w:tc>
          <w:tcPr>
            <w:tcW w:w="2037" w:type="dxa"/>
            <w:tcBorders>
              <w:top w:val="single" w:sz="4" w:space="0" w:color="auto"/>
              <w:left w:val="single" w:sz="4" w:space="0" w:color="auto"/>
              <w:bottom w:val="single" w:sz="4" w:space="0" w:color="auto"/>
              <w:right w:val="single" w:sz="4" w:space="0" w:color="auto"/>
            </w:tcBorders>
          </w:tcPr>
          <w:p w14:paraId="771EE6B0" w14:textId="77777777" w:rsidR="00C74584" w:rsidRDefault="00C74584">
            <w:pPr>
              <w:rPr>
                <w:szCs w:val="22"/>
                <w:lang w:val="en-GB"/>
              </w:rPr>
            </w:pPr>
          </w:p>
        </w:tc>
      </w:tr>
    </w:tbl>
    <w:p w14:paraId="3ED96D9F" w14:textId="77777777" w:rsidR="00C74584" w:rsidRDefault="00C74584" w:rsidP="00C74584">
      <w:pPr>
        <w:rPr>
          <w:rStyle w:val="Policepardfaut1"/>
          <w:sz w:val="22"/>
          <w:szCs w:val="22"/>
        </w:rPr>
      </w:pPr>
    </w:p>
    <w:p w14:paraId="364F349E" w14:textId="77777777" w:rsidR="00C74584" w:rsidRDefault="00C74584" w:rsidP="00C74584">
      <w:pPr>
        <w:rPr>
          <w:rStyle w:val="Policepardfaut1"/>
          <w:szCs w:val="22"/>
        </w:rPr>
      </w:pPr>
      <w:r>
        <w:rPr>
          <w:rStyle w:val="Policepardfaut1"/>
          <w:szCs w:val="22"/>
        </w:rPr>
        <w:t>(1) Disse bivirkninger er indberettet efter markedsføringen.</w:t>
      </w:r>
    </w:p>
    <w:p w14:paraId="17A272A8" w14:textId="77777777" w:rsidR="00C74584" w:rsidRPr="00C74584" w:rsidRDefault="00C74584" w:rsidP="00C74584">
      <w:pPr>
        <w:ind w:left="851"/>
        <w:rPr>
          <w:rStyle w:val="Policepardfaut1"/>
          <w:sz w:val="24"/>
          <w:szCs w:val="24"/>
        </w:rPr>
      </w:pPr>
    </w:p>
    <w:p w14:paraId="4E156807" w14:textId="77777777" w:rsidR="00C74584" w:rsidRPr="00C74584" w:rsidRDefault="00C74584" w:rsidP="00C74584">
      <w:pPr>
        <w:ind w:left="851"/>
        <w:rPr>
          <w:rStyle w:val="Policepardfaut1"/>
          <w:sz w:val="24"/>
          <w:szCs w:val="24"/>
        </w:rPr>
      </w:pPr>
      <w:r w:rsidRPr="00C74584">
        <w:rPr>
          <w:rStyle w:val="Policepardfaut1"/>
          <w:sz w:val="24"/>
          <w:szCs w:val="24"/>
        </w:rPr>
        <w:t>Der forventes ingen bivirkninger, hvis Gynoflor ved et uheld bliver indtaget oralt.</w:t>
      </w:r>
    </w:p>
    <w:p w14:paraId="2644BBF2" w14:textId="77777777" w:rsidR="0081419B" w:rsidRDefault="0081419B">
      <w:pPr>
        <w:rPr>
          <w:rStyle w:val="Policepardfaut1"/>
          <w:sz w:val="24"/>
          <w:szCs w:val="24"/>
        </w:rPr>
      </w:pPr>
      <w:r>
        <w:rPr>
          <w:rStyle w:val="Policepardfaut1"/>
          <w:sz w:val="24"/>
          <w:szCs w:val="24"/>
        </w:rPr>
        <w:br w:type="page"/>
      </w:r>
    </w:p>
    <w:p w14:paraId="35EAFFDE" w14:textId="77777777" w:rsidR="00C74584" w:rsidRPr="00C74584" w:rsidRDefault="00C74584" w:rsidP="00C74584">
      <w:pPr>
        <w:ind w:left="851"/>
        <w:rPr>
          <w:rStyle w:val="Policepardfaut1"/>
          <w:sz w:val="24"/>
          <w:szCs w:val="24"/>
        </w:rPr>
      </w:pPr>
    </w:p>
    <w:p w14:paraId="1366B008" w14:textId="77777777" w:rsidR="00C74584" w:rsidRPr="0081419B" w:rsidRDefault="00C74584" w:rsidP="00C74584">
      <w:pPr>
        <w:ind w:left="851"/>
        <w:rPr>
          <w:rStyle w:val="Policepardfaut1"/>
          <w:bCs/>
          <w:iCs/>
          <w:sz w:val="24"/>
          <w:szCs w:val="24"/>
          <w:u w:val="single"/>
        </w:rPr>
      </w:pPr>
      <w:r w:rsidRPr="0081419B">
        <w:rPr>
          <w:rStyle w:val="Policepardfaut1"/>
          <w:bCs/>
          <w:iCs/>
          <w:sz w:val="24"/>
          <w:szCs w:val="24"/>
          <w:u w:val="single"/>
        </w:rPr>
        <w:t xml:space="preserve">Virkninger forbundet med systemisk MHT </w:t>
      </w:r>
    </w:p>
    <w:p w14:paraId="657BE837" w14:textId="77777777" w:rsidR="00C74584" w:rsidRPr="00C74584" w:rsidRDefault="00C74584" w:rsidP="00C74584">
      <w:pPr>
        <w:ind w:left="851"/>
        <w:rPr>
          <w:rStyle w:val="Policepardfaut1"/>
          <w:sz w:val="24"/>
          <w:szCs w:val="24"/>
        </w:rPr>
      </w:pPr>
      <w:r w:rsidRPr="00C74584">
        <w:rPr>
          <w:rStyle w:val="Policepardfaut1"/>
          <w:sz w:val="24"/>
          <w:szCs w:val="24"/>
        </w:rPr>
        <w:t xml:space="preserve">Systemisk MHT er blevet forbundet med nedenstående risici. Risiciene gælder i mindre omfang for østrogenprodukter til vaginal administration, hvor den systemiske eksponering for østrogen forbliver inden for det postmenopausale normalområde. </w:t>
      </w:r>
    </w:p>
    <w:p w14:paraId="5D88607E" w14:textId="77777777" w:rsidR="00C74584" w:rsidRPr="00C74584" w:rsidRDefault="00C74584" w:rsidP="00C74584">
      <w:pPr>
        <w:ind w:left="851"/>
        <w:rPr>
          <w:rStyle w:val="Policepardfaut1"/>
          <w:sz w:val="24"/>
          <w:szCs w:val="24"/>
        </w:rPr>
      </w:pPr>
    </w:p>
    <w:p w14:paraId="53EAABCC" w14:textId="77777777" w:rsidR="00C74584" w:rsidRPr="00C74584" w:rsidRDefault="00C74584" w:rsidP="00C74584">
      <w:pPr>
        <w:ind w:left="851"/>
        <w:rPr>
          <w:rStyle w:val="Policepardfaut1"/>
          <w:i/>
          <w:iCs/>
          <w:sz w:val="24"/>
          <w:szCs w:val="24"/>
        </w:rPr>
      </w:pPr>
      <w:r w:rsidRPr="00C74584">
        <w:rPr>
          <w:rStyle w:val="Policepardfaut1"/>
          <w:i/>
          <w:iCs/>
          <w:sz w:val="24"/>
          <w:szCs w:val="24"/>
        </w:rPr>
        <w:t xml:space="preserve">Ovariecancer </w:t>
      </w:r>
    </w:p>
    <w:p w14:paraId="6CCD8BC5" w14:textId="77777777" w:rsidR="00C74584" w:rsidRPr="00C74584" w:rsidRDefault="00C74584" w:rsidP="00C74584">
      <w:pPr>
        <w:ind w:left="851"/>
        <w:rPr>
          <w:rStyle w:val="Policepardfaut1"/>
          <w:sz w:val="24"/>
          <w:szCs w:val="24"/>
        </w:rPr>
      </w:pPr>
      <w:r w:rsidRPr="00C74584">
        <w:rPr>
          <w:rStyle w:val="Policepardfaut1"/>
          <w:sz w:val="24"/>
          <w:szCs w:val="24"/>
        </w:rPr>
        <w:t xml:space="preserve">Brug af systemisk MHT er blevet forbundet med en let forøget risiko for ovariecancer (se pkt. 4.4). I en metaanalyse af 52 epidemiologiske studier er der rapporteret om en øget risiko for ovariecancer hos kvinder i systemisk MHT-behandling sammenlignet med kvinder, der aldrig har brugt MHT (RR 1,43, 95 % CI 1,31-1,56). Hos kvinder i alderen mellem 50 og 54, som har taget MHT i 5 år, er der cirka 1 ekstra tilfælde af ovariecancer pr. 2.000 brugere. Hos kvinder i alderen mellem 50 og 54, som ikke bruger MHT, vil cirka 2 ud af 2.000 kvinder blive diagnosticeret med ovariecancer over en periode på mere end 5 år. </w:t>
      </w:r>
    </w:p>
    <w:p w14:paraId="2477FC87" w14:textId="77777777" w:rsidR="00C74584" w:rsidRPr="00C74584" w:rsidRDefault="00C74584" w:rsidP="00C74584">
      <w:pPr>
        <w:ind w:left="851"/>
        <w:rPr>
          <w:rStyle w:val="Policepardfaut1"/>
          <w:sz w:val="24"/>
          <w:szCs w:val="24"/>
        </w:rPr>
      </w:pPr>
    </w:p>
    <w:p w14:paraId="2A1F998A" w14:textId="77777777" w:rsidR="00C74584" w:rsidRPr="00C74584" w:rsidRDefault="00C74584" w:rsidP="00C74584">
      <w:pPr>
        <w:ind w:left="851"/>
        <w:rPr>
          <w:rStyle w:val="Policepardfaut1"/>
          <w:i/>
          <w:iCs/>
          <w:sz w:val="24"/>
          <w:szCs w:val="24"/>
        </w:rPr>
      </w:pPr>
      <w:r w:rsidRPr="00C74584">
        <w:rPr>
          <w:rStyle w:val="Policepardfaut1"/>
          <w:i/>
          <w:iCs/>
          <w:sz w:val="24"/>
          <w:szCs w:val="24"/>
        </w:rPr>
        <w:t xml:space="preserve">Risiko for venøs tromboemboli </w:t>
      </w:r>
    </w:p>
    <w:p w14:paraId="19521C73" w14:textId="77777777" w:rsidR="00C74584" w:rsidRPr="00C74584" w:rsidRDefault="00C74584" w:rsidP="00C74584">
      <w:pPr>
        <w:ind w:left="851"/>
        <w:rPr>
          <w:rStyle w:val="Policepardfaut1"/>
          <w:sz w:val="24"/>
          <w:szCs w:val="24"/>
        </w:rPr>
      </w:pPr>
      <w:r w:rsidRPr="00C74584">
        <w:rPr>
          <w:rStyle w:val="Policepardfaut1"/>
          <w:sz w:val="24"/>
          <w:szCs w:val="24"/>
        </w:rPr>
        <w:t>Systemisk MHT er forbundet med en 1,3- til 3-foldig stigning i den relative risiko for at udvikle venøs tromboemboli (VTE), dvs. dyb venetrombose eller lungeemboli. Der er størst sandsynlighed for en sådan hændelse i det første år med MHT-brug (se pkt. 4.4). Resultaterne af WHI-studiet er anført nedenfor:</w:t>
      </w:r>
    </w:p>
    <w:p w14:paraId="7E1A2F08" w14:textId="77777777" w:rsidR="00C74584" w:rsidRPr="00C74584" w:rsidRDefault="00C74584" w:rsidP="00C74584">
      <w:pPr>
        <w:ind w:left="851"/>
        <w:rPr>
          <w:rStyle w:val="Policepardfaut1"/>
          <w:sz w:val="24"/>
          <w:szCs w:val="24"/>
        </w:rPr>
      </w:pPr>
      <w:r w:rsidRPr="00C74584">
        <w:rPr>
          <w:rStyle w:val="Policepardfaut1"/>
          <w:sz w:val="24"/>
          <w:szCs w:val="24"/>
        </w:rPr>
        <w:t xml:space="preserve"> </w:t>
      </w:r>
    </w:p>
    <w:p w14:paraId="4D8B3C25" w14:textId="77777777" w:rsidR="00C74584" w:rsidRDefault="00C74584" w:rsidP="0081419B">
      <w:pPr>
        <w:ind w:left="851"/>
        <w:rPr>
          <w:rStyle w:val="Policepardfaut1"/>
          <w:szCs w:val="22"/>
        </w:rPr>
      </w:pPr>
      <w:r>
        <w:rPr>
          <w:rStyle w:val="Policepardfaut1"/>
          <w:szCs w:val="22"/>
        </w:rPr>
        <w:t>WHI-studie - Yderligere risiko for VTE over 5 år med brug</w:t>
      </w:r>
    </w:p>
    <w:p w14:paraId="718F2331" w14:textId="77777777" w:rsidR="00C74584" w:rsidRDefault="00C74584" w:rsidP="00C74584">
      <w:pPr>
        <w:rPr>
          <w:rStyle w:val="Policepardfaut1"/>
          <w:szCs w:val="22"/>
        </w:rPr>
      </w:pPr>
    </w:p>
    <w:tbl>
      <w:tblPr>
        <w:tblW w:w="0" w:type="auto"/>
        <w:tblInd w:w="846" w:type="dxa"/>
        <w:tblLayout w:type="fixed"/>
        <w:tblLook w:val="04A0" w:firstRow="1" w:lastRow="0" w:firstColumn="1" w:lastColumn="0" w:noHBand="0" w:noVBand="1"/>
      </w:tblPr>
      <w:tblGrid>
        <w:gridCol w:w="2132"/>
        <w:gridCol w:w="2132"/>
        <w:gridCol w:w="2132"/>
        <w:gridCol w:w="2132"/>
      </w:tblGrid>
      <w:tr w:rsidR="00C74584" w14:paraId="498CF2BB" w14:textId="77777777" w:rsidTr="0081419B">
        <w:trPr>
          <w:trHeight w:val="516"/>
        </w:trPr>
        <w:tc>
          <w:tcPr>
            <w:tcW w:w="2132" w:type="dxa"/>
            <w:tcBorders>
              <w:top w:val="single" w:sz="4" w:space="0" w:color="auto"/>
              <w:left w:val="single" w:sz="4" w:space="0" w:color="auto"/>
              <w:bottom w:val="single" w:sz="4" w:space="0" w:color="auto"/>
              <w:right w:val="single" w:sz="4" w:space="0" w:color="auto"/>
            </w:tcBorders>
            <w:hideMark/>
          </w:tcPr>
          <w:p w14:paraId="1B460125" w14:textId="77777777" w:rsidR="00C74584" w:rsidRDefault="00C74584">
            <w:pPr>
              <w:rPr>
                <w:rStyle w:val="Policepardfaut1"/>
                <w:szCs w:val="22"/>
                <w:lang w:val="en-GB"/>
              </w:rPr>
            </w:pPr>
            <w:r>
              <w:rPr>
                <w:rStyle w:val="Policepardfaut1"/>
                <w:szCs w:val="22"/>
                <w:lang w:val="en-GB"/>
              </w:rPr>
              <w:t xml:space="preserve">Aldersinterval (år) </w:t>
            </w:r>
          </w:p>
        </w:tc>
        <w:tc>
          <w:tcPr>
            <w:tcW w:w="2132" w:type="dxa"/>
            <w:tcBorders>
              <w:top w:val="single" w:sz="4" w:space="0" w:color="auto"/>
              <w:left w:val="single" w:sz="4" w:space="0" w:color="auto"/>
              <w:bottom w:val="single" w:sz="4" w:space="0" w:color="auto"/>
              <w:right w:val="single" w:sz="4" w:space="0" w:color="auto"/>
            </w:tcBorders>
            <w:hideMark/>
          </w:tcPr>
          <w:p w14:paraId="67A6A31C" w14:textId="77777777" w:rsidR="00C74584" w:rsidRPr="00C74584" w:rsidRDefault="00C74584">
            <w:pPr>
              <w:rPr>
                <w:rStyle w:val="Policepardfaut1"/>
                <w:szCs w:val="22"/>
              </w:rPr>
            </w:pPr>
            <w:r w:rsidRPr="00C74584">
              <w:rPr>
                <w:rStyle w:val="Policepardfaut1"/>
                <w:szCs w:val="22"/>
              </w:rPr>
              <w:t xml:space="preserve">Incidens pr. 1.000 kvinder i placebogruppen over 5 år </w:t>
            </w:r>
          </w:p>
        </w:tc>
        <w:tc>
          <w:tcPr>
            <w:tcW w:w="2132" w:type="dxa"/>
            <w:tcBorders>
              <w:top w:val="single" w:sz="4" w:space="0" w:color="auto"/>
              <w:left w:val="single" w:sz="4" w:space="0" w:color="auto"/>
              <w:bottom w:val="single" w:sz="4" w:space="0" w:color="auto"/>
              <w:right w:val="single" w:sz="4" w:space="0" w:color="auto"/>
            </w:tcBorders>
            <w:hideMark/>
          </w:tcPr>
          <w:p w14:paraId="7ECC4BA0" w14:textId="77777777" w:rsidR="00C74584" w:rsidRDefault="00C74584">
            <w:pPr>
              <w:rPr>
                <w:rStyle w:val="Policepardfaut1"/>
                <w:szCs w:val="22"/>
                <w:lang w:val="en-GB"/>
              </w:rPr>
            </w:pPr>
            <w:r>
              <w:rPr>
                <w:rStyle w:val="Policepardfaut1"/>
                <w:szCs w:val="22"/>
                <w:lang w:val="en-GB"/>
              </w:rPr>
              <w:t xml:space="preserve">Risikoratio og 95% CI </w:t>
            </w:r>
          </w:p>
        </w:tc>
        <w:tc>
          <w:tcPr>
            <w:tcW w:w="2132" w:type="dxa"/>
            <w:tcBorders>
              <w:top w:val="single" w:sz="4" w:space="0" w:color="auto"/>
              <w:left w:val="single" w:sz="4" w:space="0" w:color="auto"/>
              <w:bottom w:val="single" w:sz="4" w:space="0" w:color="auto"/>
              <w:right w:val="single" w:sz="4" w:space="0" w:color="auto"/>
            </w:tcBorders>
            <w:hideMark/>
          </w:tcPr>
          <w:p w14:paraId="7E7E2CE3" w14:textId="77777777" w:rsidR="00C74584" w:rsidRPr="00C74584" w:rsidRDefault="00C74584">
            <w:pPr>
              <w:rPr>
                <w:rStyle w:val="Policepardfaut1"/>
                <w:szCs w:val="22"/>
              </w:rPr>
            </w:pPr>
            <w:r w:rsidRPr="00C74584">
              <w:rPr>
                <w:rStyle w:val="Policepardfaut1"/>
                <w:szCs w:val="22"/>
              </w:rPr>
              <w:t xml:space="preserve">Yderligere tilfælde pr. 1.000 MHT-brugere </w:t>
            </w:r>
          </w:p>
        </w:tc>
      </w:tr>
      <w:tr w:rsidR="00C74584" w14:paraId="0838FB1F" w14:textId="77777777" w:rsidTr="0081419B">
        <w:trPr>
          <w:trHeight w:val="96"/>
        </w:trPr>
        <w:tc>
          <w:tcPr>
            <w:tcW w:w="8528" w:type="dxa"/>
            <w:gridSpan w:val="4"/>
            <w:tcBorders>
              <w:top w:val="single" w:sz="4" w:space="0" w:color="auto"/>
              <w:left w:val="single" w:sz="4" w:space="0" w:color="auto"/>
              <w:bottom w:val="single" w:sz="4" w:space="0" w:color="auto"/>
              <w:right w:val="single" w:sz="4" w:space="0" w:color="auto"/>
            </w:tcBorders>
          </w:tcPr>
          <w:p w14:paraId="3F48C9EC" w14:textId="77777777" w:rsidR="00C74584" w:rsidRDefault="00C74584">
            <w:pPr>
              <w:rPr>
                <w:rStyle w:val="Policepardfaut1"/>
                <w:szCs w:val="22"/>
                <w:lang w:val="en-GB"/>
              </w:rPr>
            </w:pPr>
            <w:r>
              <w:rPr>
                <w:rStyle w:val="Policepardfaut1"/>
                <w:szCs w:val="22"/>
                <w:lang w:val="en-GB"/>
              </w:rPr>
              <w:t xml:space="preserve">Oralt østrogen alene* </w:t>
            </w:r>
          </w:p>
          <w:p w14:paraId="66774257" w14:textId="77777777" w:rsidR="00C74584" w:rsidRDefault="00C74584">
            <w:pPr>
              <w:rPr>
                <w:rStyle w:val="Policepardfaut1"/>
                <w:szCs w:val="22"/>
                <w:lang w:val="en-GB"/>
              </w:rPr>
            </w:pPr>
          </w:p>
        </w:tc>
      </w:tr>
      <w:tr w:rsidR="00C74584" w14:paraId="304C2E7F" w14:textId="77777777" w:rsidTr="0081419B">
        <w:trPr>
          <w:trHeight w:val="96"/>
        </w:trPr>
        <w:tc>
          <w:tcPr>
            <w:tcW w:w="2132" w:type="dxa"/>
            <w:tcBorders>
              <w:top w:val="single" w:sz="4" w:space="0" w:color="auto"/>
              <w:left w:val="single" w:sz="4" w:space="0" w:color="auto"/>
              <w:bottom w:val="single" w:sz="4" w:space="0" w:color="auto"/>
              <w:right w:val="single" w:sz="4" w:space="0" w:color="auto"/>
            </w:tcBorders>
            <w:hideMark/>
          </w:tcPr>
          <w:p w14:paraId="0D067CE0" w14:textId="77777777" w:rsidR="00C74584" w:rsidRDefault="00C74584">
            <w:pPr>
              <w:rPr>
                <w:rStyle w:val="Policepardfaut1"/>
                <w:szCs w:val="22"/>
                <w:lang w:val="en-GB"/>
              </w:rPr>
            </w:pPr>
            <w:r>
              <w:rPr>
                <w:rStyle w:val="Policepardfaut1"/>
                <w:szCs w:val="22"/>
                <w:lang w:val="en-GB"/>
              </w:rPr>
              <w:t xml:space="preserve">50–59 </w:t>
            </w:r>
          </w:p>
        </w:tc>
        <w:tc>
          <w:tcPr>
            <w:tcW w:w="2132" w:type="dxa"/>
            <w:tcBorders>
              <w:top w:val="single" w:sz="4" w:space="0" w:color="auto"/>
              <w:left w:val="single" w:sz="4" w:space="0" w:color="auto"/>
              <w:bottom w:val="single" w:sz="4" w:space="0" w:color="auto"/>
              <w:right w:val="single" w:sz="4" w:space="0" w:color="auto"/>
            </w:tcBorders>
            <w:hideMark/>
          </w:tcPr>
          <w:p w14:paraId="4CF16215" w14:textId="77777777" w:rsidR="00C74584" w:rsidRDefault="00C74584">
            <w:pPr>
              <w:rPr>
                <w:rStyle w:val="Policepardfaut1"/>
                <w:szCs w:val="22"/>
                <w:lang w:val="en-GB"/>
              </w:rPr>
            </w:pPr>
            <w:r>
              <w:rPr>
                <w:rStyle w:val="Policepardfaut1"/>
                <w:szCs w:val="22"/>
                <w:lang w:val="en-GB"/>
              </w:rPr>
              <w:t xml:space="preserve">7 </w:t>
            </w:r>
          </w:p>
        </w:tc>
        <w:tc>
          <w:tcPr>
            <w:tcW w:w="2132" w:type="dxa"/>
            <w:tcBorders>
              <w:top w:val="single" w:sz="4" w:space="0" w:color="auto"/>
              <w:left w:val="single" w:sz="4" w:space="0" w:color="auto"/>
              <w:bottom w:val="single" w:sz="4" w:space="0" w:color="auto"/>
              <w:right w:val="single" w:sz="4" w:space="0" w:color="auto"/>
            </w:tcBorders>
            <w:hideMark/>
          </w:tcPr>
          <w:p w14:paraId="634CAF1F" w14:textId="77777777" w:rsidR="00C74584" w:rsidRDefault="00C74584">
            <w:pPr>
              <w:rPr>
                <w:rStyle w:val="Policepardfaut1"/>
                <w:szCs w:val="22"/>
                <w:lang w:val="en-GB"/>
              </w:rPr>
            </w:pPr>
            <w:r>
              <w:rPr>
                <w:rStyle w:val="Policepardfaut1"/>
                <w:szCs w:val="22"/>
                <w:lang w:val="en-GB"/>
              </w:rPr>
              <w:t xml:space="preserve">1,2 (0,6-2,4) </w:t>
            </w:r>
          </w:p>
        </w:tc>
        <w:tc>
          <w:tcPr>
            <w:tcW w:w="2132" w:type="dxa"/>
            <w:tcBorders>
              <w:top w:val="single" w:sz="4" w:space="0" w:color="auto"/>
              <w:left w:val="single" w:sz="4" w:space="0" w:color="auto"/>
              <w:bottom w:val="single" w:sz="4" w:space="0" w:color="auto"/>
              <w:right w:val="single" w:sz="4" w:space="0" w:color="auto"/>
            </w:tcBorders>
            <w:hideMark/>
          </w:tcPr>
          <w:p w14:paraId="0FE71CE5" w14:textId="77777777" w:rsidR="00C74584" w:rsidRDefault="00C74584">
            <w:pPr>
              <w:rPr>
                <w:rStyle w:val="Policepardfaut1"/>
                <w:szCs w:val="22"/>
                <w:lang w:val="en-GB"/>
              </w:rPr>
            </w:pPr>
            <w:r>
              <w:rPr>
                <w:rStyle w:val="Policepardfaut1"/>
                <w:szCs w:val="22"/>
                <w:lang w:val="en-GB"/>
              </w:rPr>
              <w:t xml:space="preserve">1 (-3 – 10) </w:t>
            </w:r>
          </w:p>
        </w:tc>
      </w:tr>
    </w:tbl>
    <w:p w14:paraId="75A0858A" w14:textId="77777777" w:rsidR="00C74584" w:rsidRDefault="00C74584" w:rsidP="0081419B">
      <w:pPr>
        <w:ind w:left="851"/>
        <w:rPr>
          <w:rStyle w:val="Policepardfaut1"/>
          <w:sz w:val="22"/>
          <w:szCs w:val="22"/>
        </w:rPr>
      </w:pPr>
      <w:r>
        <w:rPr>
          <w:rStyle w:val="Policepardfaut1"/>
          <w:szCs w:val="22"/>
        </w:rPr>
        <w:t>*Studie hos kvinder uden uterus</w:t>
      </w:r>
    </w:p>
    <w:p w14:paraId="2A30034F" w14:textId="77777777" w:rsidR="00C74584" w:rsidRPr="00C74584" w:rsidRDefault="00C74584" w:rsidP="00C74584">
      <w:pPr>
        <w:ind w:left="851"/>
        <w:rPr>
          <w:rStyle w:val="Policepardfaut1"/>
          <w:sz w:val="24"/>
          <w:szCs w:val="24"/>
        </w:rPr>
      </w:pPr>
    </w:p>
    <w:p w14:paraId="0EFBB110" w14:textId="77777777" w:rsidR="00C74584" w:rsidRPr="00C74584" w:rsidRDefault="00C74584" w:rsidP="00C74584">
      <w:pPr>
        <w:ind w:left="851"/>
        <w:rPr>
          <w:rStyle w:val="Policepardfaut1"/>
          <w:i/>
          <w:iCs/>
          <w:sz w:val="24"/>
          <w:szCs w:val="24"/>
        </w:rPr>
      </w:pPr>
      <w:r w:rsidRPr="00C74584">
        <w:rPr>
          <w:rStyle w:val="Policepardfaut1"/>
          <w:i/>
          <w:iCs/>
          <w:sz w:val="24"/>
          <w:szCs w:val="24"/>
        </w:rPr>
        <w:t xml:space="preserve">Risiko for iskæmisk apopleksi </w:t>
      </w:r>
    </w:p>
    <w:p w14:paraId="68C4719A" w14:textId="77777777" w:rsidR="00C74584" w:rsidRPr="00C74584" w:rsidRDefault="00C74584" w:rsidP="00C74584">
      <w:pPr>
        <w:ind w:left="851"/>
        <w:rPr>
          <w:rStyle w:val="Policepardfaut1"/>
          <w:sz w:val="24"/>
          <w:szCs w:val="24"/>
        </w:rPr>
      </w:pPr>
      <w:r w:rsidRPr="00C74584">
        <w:rPr>
          <w:rStyle w:val="Policepardfaut1"/>
          <w:sz w:val="24"/>
          <w:szCs w:val="24"/>
        </w:rPr>
        <w:t xml:space="preserve">Brug af systemisk MHT er forbundet med en op til 1,5-foldig stigning i den relative risiko for iskæmisk apopleksi. Risikoen for hæmoragisk apopleksi stiger ikke under brug af MHT. </w:t>
      </w:r>
    </w:p>
    <w:p w14:paraId="53470307" w14:textId="77777777" w:rsidR="00C74584" w:rsidRPr="00C74584" w:rsidRDefault="00C74584" w:rsidP="00C74584">
      <w:pPr>
        <w:ind w:left="851"/>
        <w:rPr>
          <w:rStyle w:val="Policepardfaut1"/>
          <w:sz w:val="24"/>
          <w:szCs w:val="24"/>
        </w:rPr>
      </w:pPr>
      <w:r w:rsidRPr="00C74584">
        <w:rPr>
          <w:rStyle w:val="Policepardfaut1"/>
          <w:sz w:val="24"/>
          <w:szCs w:val="24"/>
        </w:rPr>
        <w:t xml:space="preserve">Den relative risiko afhænger ikke af alderen eller varigheden af brug, men eftersom baseline-risikoen er meget aldersafhængig, stiger den samlede risiko for apopleksi med alderen hos kvinder, der bruger MHT; se pkt. 4.4. </w:t>
      </w:r>
    </w:p>
    <w:p w14:paraId="664BF477" w14:textId="77777777" w:rsidR="00C74584" w:rsidRPr="00C74584" w:rsidRDefault="00C74584" w:rsidP="00C74584">
      <w:pPr>
        <w:ind w:left="851"/>
        <w:rPr>
          <w:rStyle w:val="Policepardfaut1"/>
          <w:sz w:val="24"/>
          <w:szCs w:val="24"/>
        </w:rPr>
      </w:pPr>
    </w:p>
    <w:p w14:paraId="0AEE59AB" w14:textId="77777777" w:rsidR="00C74584" w:rsidRDefault="00C74584" w:rsidP="0081419B">
      <w:pPr>
        <w:ind w:left="851"/>
        <w:rPr>
          <w:rStyle w:val="Policepardfaut1"/>
          <w:szCs w:val="22"/>
        </w:rPr>
      </w:pPr>
      <w:r>
        <w:rPr>
          <w:rStyle w:val="Policepardfaut1"/>
          <w:szCs w:val="22"/>
        </w:rPr>
        <w:t>Samlede WHI-studier - Yderligere risiko for iskæmisk apopleksi* over 5 år med brug</w:t>
      </w:r>
    </w:p>
    <w:p w14:paraId="74F29FD4" w14:textId="77777777" w:rsidR="00C74584" w:rsidRDefault="00C74584" w:rsidP="00C74584">
      <w:pPr>
        <w:rPr>
          <w:rStyle w:val="Policepardfaut1"/>
          <w:szCs w:val="22"/>
        </w:rPr>
      </w:pPr>
    </w:p>
    <w:tbl>
      <w:tblPr>
        <w:tblW w:w="0" w:type="auto"/>
        <w:tblInd w:w="846" w:type="dxa"/>
        <w:tblLayout w:type="fixed"/>
        <w:tblLook w:val="04A0" w:firstRow="1" w:lastRow="0" w:firstColumn="1" w:lastColumn="0" w:noHBand="0" w:noVBand="1"/>
      </w:tblPr>
      <w:tblGrid>
        <w:gridCol w:w="2132"/>
        <w:gridCol w:w="2132"/>
        <w:gridCol w:w="2132"/>
        <w:gridCol w:w="2132"/>
      </w:tblGrid>
      <w:tr w:rsidR="00C74584" w14:paraId="336022CD" w14:textId="77777777" w:rsidTr="005B1A5B">
        <w:trPr>
          <w:trHeight w:val="515"/>
        </w:trPr>
        <w:tc>
          <w:tcPr>
            <w:tcW w:w="2132" w:type="dxa"/>
            <w:tcBorders>
              <w:top w:val="single" w:sz="4" w:space="0" w:color="auto"/>
              <w:left w:val="single" w:sz="4" w:space="0" w:color="auto"/>
              <w:bottom w:val="single" w:sz="4" w:space="0" w:color="auto"/>
              <w:right w:val="single" w:sz="4" w:space="0" w:color="auto"/>
            </w:tcBorders>
            <w:hideMark/>
          </w:tcPr>
          <w:p w14:paraId="1AEA7663" w14:textId="77777777" w:rsidR="00C74584" w:rsidRDefault="00C74584">
            <w:pPr>
              <w:rPr>
                <w:rStyle w:val="Policepardfaut1"/>
                <w:szCs w:val="22"/>
                <w:lang w:val="en-GB"/>
              </w:rPr>
            </w:pPr>
            <w:r>
              <w:rPr>
                <w:rStyle w:val="Policepardfaut1"/>
                <w:szCs w:val="22"/>
                <w:lang w:val="en-GB"/>
              </w:rPr>
              <w:t xml:space="preserve">Aldersinterval (år) </w:t>
            </w:r>
          </w:p>
        </w:tc>
        <w:tc>
          <w:tcPr>
            <w:tcW w:w="2132" w:type="dxa"/>
            <w:tcBorders>
              <w:top w:val="single" w:sz="4" w:space="0" w:color="auto"/>
              <w:left w:val="single" w:sz="4" w:space="0" w:color="auto"/>
              <w:bottom w:val="single" w:sz="4" w:space="0" w:color="auto"/>
              <w:right w:val="single" w:sz="4" w:space="0" w:color="auto"/>
            </w:tcBorders>
            <w:hideMark/>
          </w:tcPr>
          <w:p w14:paraId="2FCC7CDF" w14:textId="77777777" w:rsidR="00C74584" w:rsidRPr="00C74584" w:rsidRDefault="00C74584">
            <w:pPr>
              <w:rPr>
                <w:rStyle w:val="Policepardfaut1"/>
                <w:szCs w:val="22"/>
              </w:rPr>
            </w:pPr>
            <w:r w:rsidRPr="00C74584">
              <w:rPr>
                <w:rStyle w:val="Policepardfaut1"/>
                <w:szCs w:val="22"/>
              </w:rPr>
              <w:t xml:space="preserve">Incidens pr. 1.000 kvinder i placebogruppen over 5 år </w:t>
            </w:r>
          </w:p>
        </w:tc>
        <w:tc>
          <w:tcPr>
            <w:tcW w:w="2132" w:type="dxa"/>
            <w:tcBorders>
              <w:top w:val="single" w:sz="4" w:space="0" w:color="auto"/>
              <w:left w:val="single" w:sz="4" w:space="0" w:color="auto"/>
              <w:bottom w:val="single" w:sz="4" w:space="0" w:color="auto"/>
              <w:right w:val="single" w:sz="4" w:space="0" w:color="auto"/>
            </w:tcBorders>
            <w:hideMark/>
          </w:tcPr>
          <w:p w14:paraId="52DF46BC" w14:textId="77777777" w:rsidR="00C74584" w:rsidRDefault="00C74584">
            <w:pPr>
              <w:rPr>
                <w:rStyle w:val="Policepardfaut1"/>
                <w:szCs w:val="22"/>
                <w:lang w:val="en-GB"/>
              </w:rPr>
            </w:pPr>
            <w:r>
              <w:rPr>
                <w:rStyle w:val="Policepardfaut1"/>
                <w:szCs w:val="22"/>
                <w:lang w:val="en-GB"/>
              </w:rPr>
              <w:t xml:space="preserve">Risikoratio og 95% CI </w:t>
            </w:r>
          </w:p>
        </w:tc>
        <w:tc>
          <w:tcPr>
            <w:tcW w:w="2132" w:type="dxa"/>
            <w:tcBorders>
              <w:top w:val="single" w:sz="4" w:space="0" w:color="auto"/>
              <w:left w:val="single" w:sz="4" w:space="0" w:color="auto"/>
              <w:bottom w:val="single" w:sz="4" w:space="0" w:color="auto"/>
              <w:right w:val="single" w:sz="4" w:space="0" w:color="auto"/>
            </w:tcBorders>
            <w:hideMark/>
          </w:tcPr>
          <w:p w14:paraId="5AA97E53" w14:textId="77777777" w:rsidR="00C74584" w:rsidRPr="00C74584" w:rsidRDefault="00C74584">
            <w:pPr>
              <w:rPr>
                <w:rStyle w:val="Policepardfaut1"/>
                <w:szCs w:val="22"/>
              </w:rPr>
            </w:pPr>
            <w:r w:rsidRPr="00C74584">
              <w:rPr>
                <w:rStyle w:val="Policepardfaut1"/>
                <w:szCs w:val="22"/>
              </w:rPr>
              <w:t xml:space="preserve">Yderligere tilfælde pr. 1.000 </w:t>
            </w:r>
            <w:r w:rsidRPr="00C74584">
              <w:rPr>
                <w:rStyle w:val="Policepardfaut1"/>
                <w:bCs/>
                <w:szCs w:val="22"/>
              </w:rPr>
              <w:t>MHT-</w:t>
            </w:r>
            <w:r w:rsidRPr="00C74584">
              <w:rPr>
                <w:rStyle w:val="Policepardfaut1"/>
                <w:szCs w:val="22"/>
              </w:rPr>
              <w:t xml:space="preserve">brugere over 5 år </w:t>
            </w:r>
          </w:p>
        </w:tc>
      </w:tr>
      <w:tr w:rsidR="00C74584" w14:paraId="21815ED2" w14:textId="77777777" w:rsidTr="005B1A5B">
        <w:trPr>
          <w:trHeight w:val="96"/>
        </w:trPr>
        <w:tc>
          <w:tcPr>
            <w:tcW w:w="2132" w:type="dxa"/>
            <w:tcBorders>
              <w:top w:val="single" w:sz="4" w:space="0" w:color="auto"/>
              <w:left w:val="single" w:sz="4" w:space="0" w:color="auto"/>
              <w:bottom w:val="single" w:sz="4" w:space="0" w:color="auto"/>
              <w:right w:val="single" w:sz="4" w:space="0" w:color="auto"/>
            </w:tcBorders>
          </w:tcPr>
          <w:p w14:paraId="0A23D47D" w14:textId="77777777" w:rsidR="00C74584" w:rsidRDefault="00C74584">
            <w:pPr>
              <w:rPr>
                <w:rStyle w:val="Policepardfaut1"/>
                <w:szCs w:val="22"/>
                <w:lang w:val="en-GB"/>
              </w:rPr>
            </w:pPr>
            <w:r>
              <w:rPr>
                <w:rStyle w:val="Policepardfaut1"/>
                <w:szCs w:val="22"/>
                <w:lang w:val="en-GB"/>
              </w:rPr>
              <w:t xml:space="preserve">50–59 </w:t>
            </w:r>
          </w:p>
          <w:p w14:paraId="1B9B73DD" w14:textId="77777777" w:rsidR="00C74584" w:rsidRDefault="00C74584">
            <w:pPr>
              <w:rPr>
                <w:rStyle w:val="Policepardfaut1"/>
                <w:szCs w:val="22"/>
                <w:lang w:val="en-GB"/>
              </w:rPr>
            </w:pPr>
          </w:p>
        </w:tc>
        <w:tc>
          <w:tcPr>
            <w:tcW w:w="2132" w:type="dxa"/>
            <w:tcBorders>
              <w:top w:val="single" w:sz="4" w:space="0" w:color="auto"/>
              <w:left w:val="single" w:sz="4" w:space="0" w:color="auto"/>
              <w:bottom w:val="single" w:sz="4" w:space="0" w:color="auto"/>
              <w:right w:val="single" w:sz="4" w:space="0" w:color="auto"/>
            </w:tcBorders>
            <w:hideMark/>
          </w:tcPr>
          <w:p w14:paraId="35B89E75" w14:textId="77777777" w:rsidR="00C74584" w:rsidRDefault="00C74584">
            <w:pPr>
              <w:rPr>
                <w:rStyle w:val="Policepardfaut1"/>
                <w:szCs w:val="22"/>
                <w:lang w:val="en-GB"/>
              </w:rPr>
            </w:pPr>
            <w:r>
              <w:rPr>
                <w:rStyle w:val="Policepardfaut1"/>
                <w:szCs w:val="22"/>
                <w:lang w:val="en-GB"/>
              </w:rPr>
              <w:t xml:space="preserve">8 </w:t>
            </w:r>
          </w:p>
        </w:tc>
        <w:tc>
          <w:tcPr>
            <w:tcW w:w="2132" w:type="dxa"/>
            <w:tcBorders>
              <w:top w:val="single" w:sz="4" w:space="0" w:color="auto"/>
              <w:left w:val="single" w:sz="4" w:space="0" w:color="auto"/>
              <w:bottom w:val="single" w:sz="4" w:space="0" w:color="auto"/>
              <w:right w:val="single" w:sz="4" w:space="0" w:color="auto"/>
            </w:tcBorders>
            <w:hideMark/>
          </w:tcPr>
          <w:p w14:paraId="06A3B8B0" w14:textId="77777777" w:rsidR="00C74584" w:rsidRDefault="00C74584">
            <w:pPr>
              <w:rPr>
                <w:rStyle w:val="Policepardfaut1"/>
                <w:szCs w:val="22"/>
                <w:lang w:val="en-GB"/>
              </w:rPr>
            </w:pPr>
            <w:r>
              <w:rPr>
                <w:rStyle w:val="Policepardfaut1"/>
                <w:szCs w:val="22"/>
                <w:lang w:val="en-GB"/>
              </w:rPr>
              <w:t xml:space="preserve">1,3 (1,1-1,6) </w:t>
            </w:r>
          </w:p>
        </w:tc>
        <w:tc>
          <w:tcPr>
            <w:tcW w:w="2132" w:type="dxa"/>
            <w:tcBorders>
              <w:top w:val="single" w:sz="4" w:space="0" w:color="auto"/>
              <w:left w:val="single" w:sz="4" w:space="0" w:color="auto"/>
              <w:bottom w:val="single" w:sz="4" w:space="0" w:color="auto"/>
              <w:right w:val="single" w:sz="4" w:space="0" w:color="auto"/>
            </w:tcBorders>
            <w:hideMark/>
          </w:tcPr>
          <w:p w14:paraId="51F0E4AB" w14:textId="77777777" w:rsidR="00C74584" w:rsidRDefault="00C74584">
            <w:pPr>
              <w:rPr>
                <w:rStyle w:val="Policepardfaut1"/>
                <w:szCs w:val="22"/>
                <w:lang w:val="en-GB"/>
              </w:rPr>
            </w:pPr>
            <w:r>
              <w:rPr>
                <w:rStyle w:val="Policepardfaut1"/>
                <w:szCs w:val="22"/>
                <w:lang w:val="en-GB"/>
              </w:rPr>
              <w:t xml:space="preserve">3 (1-5) </w:t>
            </w:r>
          </w:p>
        </w:tc>
      </w:tr>
    </w:tbl>
    <w:p w14:paraId="7B1F6AF0" w14:textId="77777777" w:rsidR="00C74584" w:rsidRDefault="00C74584" w:rsidP="005B1A5B">
      <w:pPr>
        <w:ind w:left="851"/>
        <w:rPr>
          <w:iCs/>
          <w:noProof/>
          <w:sz w:val="22"/>
          <w:szCs w:val="22"/>
        </w:rPr>
      </w:pPr>
      <w:r>
        <w:rPr>
          <w:rStyle w:val="Policepardfaut1"/>
          <w:szCs w:val="22"/>
        </w:rPr>
        <w:t>*Der blev ikke differentieret mellem iskæmisk og hæmoragisk apopleksi.</w:t>
      </w:r>
    </w:p>
    <w:p w14:paraId="7F56726B" w14:textId="77777777" w:rsidR="005B1A5B" w:rsidRDefault="005B1A5B">
      <w:pPr>
        <w:rPr>
          <w:noProof/>
          <w:sz w:val="24"/>
          <w:szCs w:val="24"/>
        </w:rPr>
      </w:pPr>
      <w:r>
        <w:rPr>
          <w:noProof/>
          <w:sz w:val="24"/>
          <w:szCs w:val="24"/>
        </w:rPr>
        <w:br w:type="page"/>
      </w:r>
    </w:p>
    <w:p w14:paraId="32706F2E" w14:textId="77777777" w:rsidR="00C74584" w:rsidRPr="005B1A5B" w:rsidRDefault="00C74584" w:rsidP="00C74584">
      <w:pPr>
        <w:ind w:left="851"/>
        <w:rPr>
          <w:noProof/>
          <w:sz w:val="24"/>
          <w:szCs w:val="24"/>
        </w:rPr>
      </w:pPr>
    </w:p>
    <w:p w14:paraId="1E65F860" w14:textId="77777777" w:rsidR="00C74584" w:rsidRPr="00C74584" w:rsidRDefault="00C74584" w:rsidP="00C74584">
      <w:pPr>
        <w:autoSpaceDE w:val="0"/>
        <w:autoSpaceDN w:val="0"/>
        <w:adjustRightInd w:val="0"/>
        <w:ind w:left="851"/>
        <w:rPr>
          <w:sz w:val="24"/>
          <w:szCs w:val="24"/>
          <w:u w:val="single"/>
        </w:rPr>
      </w:pPr>
      <w:r w:rsidRPr="00C74584">
        <w:rPr>
          <w:noProof/>
          <w:sz w:val="24"/>
          <w:szCs w:val="24"/>
          <w:u w:val="single"/>
        </w:rPr>
        <w:t>Indberetning af formodede bivirkninger</w:t>
      </w:r>
    </w:p>
    <w:p w14:paraId="48F64B59" w14:textId="77777777" w:rsidR="00C74584" w:rsidRPr="00C74584" w:rsidRDefault="00C74584" w:rsidP="00C74584">
      <w:pPr>
        <w:ind w:left="851"/>
        <w:jc w:val="both"/>
        <w:rPr>
          <w:noProof/>
          <w:sz w:val="24"/>
          <w:szCs w:val="24"/>
        </w:rPr>
      </w:pPr>
      <w:r w:rsidRPr="00C74584">
        <w:rPr>
          <w:noProof/>
          <w:sz w:val="24"/>
          <w:szCs w:val="24"/>
        </w:rPr>
        <w:t>Når lægemidlet er godkendt, er indberetning af formodede bivirkninger vigtig.</w:t>
      </w:r>
      <w:r w:rsidRPr="00C74584">
        <w:rPr>
          <w:sz w:val="24"/>
          <w:szCs w:val="24"/>
        </w:rPr>
        <w:t xml:space="preserve"> </w:t>
      </w:r>
      <w:r w:rsidRPr="00C74584">
        <w:rPr>
          <w:noProof/>
          <w:sz w:val="24"/>
          <w:szCs w:val="24"/>
        </w:rPr>
        <w:t>Det muliggør løbende overvågning af benefit/risk-forholdet for lægemidlet.</w:t>
      </w:r>
      <w:r w:rsidRPr="00C74584">
        <w:rPr>
          <w:sz w:val="24"/>
          <w:szCs w:val="24"/>
        </w:rPr>
        <w:t xml:space="preserve"> </w:t>
      </w:r>
      <w:r w:rsidRPr="00C74584">
        <w:rPr>
          <w:noProof/>
          <w:sz w:val="24"/>
          <w:szCs w:val="24"/>
        </w:rPr>
        <w:t>Sundhedspersoner anmodes om at indberette alle formodede bivirkninger via:</w:t>
      </w:r>
    </w:p>
    <w:p w14:paraId="2BB57252" w14:textId="77777777" w:rsidR="00C74584" w:rsidRPr="00C74584" w:rsidRDefault="00C74584" w:rsidP="00C74584">
      <w:pPr>
        <w:ind w:left="851"/>
        <w:jc w:val="both"/>
        <w:rPr>
          <w:noProof/>
          <w:sz w:val="24"/>
          <w:szCs w:val="24"/>
        </w:rPr>
      </w:pPr>
    </w:p>
    <w:p w14:paraId="6AEF7739" w14:textId="77777777" w:rsidR="00C74584" w:rsidRPr="00C74584" w:rsidRDefault="00C74584" w:rsidP="00C74584">
      <w:pPr>
        <w:ind w:left="851"/>
        <w:jc w:val="both"/>
        <w:rPr>
          <w:noProof/>
          <w:sz w:val="24"/>
          <w:szCs w:val="24"/>
        </w:rPr>
      </w:pPr>
      <w:r w:rsidRPr="00C74584">
        <w:rPr>
          <w:noProof/>
          <w:sz w:val="24"/>
          <w:szCs w:val="24"/>
        </w:rPr>
        <w:t>Lægemiddelstyrelsen</w:t>
      </w:r>
    </w:p>
    <w:p w14:paraId="7FBDB1D3" w14:textId="77777777" w:rsidR="00C74584" w:rsidRPr="00C74584" w:rsidRDefault="00C74584" w:rsidP="00C74584">
      <w:pPr>
        <w:ind w:left="851"/>
        <w:jc w:val="both"/>
        <w:rPr>
          <w:noProof/>
          <w:sz w:val="24"/>
          <w:szCs w:val="24"/>
        </w:rPr>
      </w:pPr>
      <w:r w:rsidRPr="00C74584">
        <w:rPr>
          <w:noProof/>
          <w:sz w:val="24"/>
          <w:szCs w:val="24"/>
        </w:rPr>
        <w:t>Axel Heides Gade 1</w:t>
      </w:r>
    </w:p>
    <w:p w14:paraId="2B5BF00D" w14:textId="77777777" w:rsidR="00C74584" w:rsidRPr="00C74584" w:rsidRDefault="00C74584" w:rsidP="00C74584">
      <w:pPr>
        <w:ind w:left="851"/>
        <w:jc w:val="both"/>
        <w:rPr>
          <w:noProof/>
          <w:sz w:val="24"/>
          <w:szCs w:val="24"/>
        </w:rPr>
      </w:pPr>
      <w:r w:rsidRPr="00C74584">
        <w:rPr>
          <w:noProof/>
          <w:sz w:val="24"/>
          <w:szCs w:val="24"/>
        </w:rPr>
        <w:t>DK-2300 København S</w:t>
      </w:r>
    </w:p>
    <w:p w14:paraId="0114FB11" w14:textId="77777777" w:rsidR="00C74584" w:rsidRPr="00C74584" w:rsidRDefault="00C74584" w:rsidP="00C74584">
      <w:pPr>
        <w:ind w:left="851"/>
        <w:jc w:val="both"/>
        <w:rPr>
          <w:noProof/>
          <w:sz w:val="24"/>
          <w:szCs w:val="24"/>
        </w:rPr>
      </w:pPr>
      <w:r w:rsidRPr="00C74584">
        <w:rPr>
          <w:noProof/>
          <w:sz w:val="24"/>
          <w:szCs w:val="24"/>
        </w:rPr>
        <w:t>Websted: www.meldenbivirkning.dk</w:t>
      </w:r>
    </w:p>
    <w:p w14:paraId="1CF07493" w14:textId="77777777" w:rsidR="009260DE" w:rsidRPr="00C74584" w:rsidRDefault="009260DE" w:rsidP="00C74584">
      <w:pPr>
        <w:tabs>
          <w:tab w:val="left" w:pos="851"/>
        </w:tabs>
        <w:ind w:left="851"/>
        <w:rPr>
          <w:sz w:val="24"/>
          <w:szCs w:val="24"/>
        </w:rPr>
      </w:pPr>
    </w:p>
    <w:p w14:paraId="4FB4E420"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9A071DB" w14:textId="77777777" w:rsidR="00AD3F8C" w:rsidRPr="00AD3F8C" w:rsidRDefault="00AD3F8C" w:rsidP="00AD3F8C">
      <w:pPr>
        <w:tabs>
          <w:tab w:val="left" w:pos="851"/>
        </w:tabs>
        <w:ind w:left="851"/>
        <w:rPr>
          <w:sz w:val="24"/>
          <w:szCs w:val="24"/>
        </w:rPr>
      </w:pPr>
      <w:r w:rsidRPr="00AD3F8C">
        <w:rPr>
          <w:sz w:val="24"/>
          <w:szCs w:val="24"/>
        </w:rPr>
        <w:t>Der er ikke beskrevet nogen tilfælde af overdosering.</w:t>
      </w:r>
    </w:p>
    <w:p w14:paraId="4B3CD8FE" w14:textId="77777777" w:rsidR="009260DE" w:rsidRPr="00C84483" w:rsidRDefault="009260DE" w:rsidP="009260DE">
      <w:pPr>
        <w:tabs>
          <w:tab w:val="left" w:pos="851"/>
        </w:tabs>
        <w:ind w:left="851"/>
        <w:rPr>
          <w:sz w:val="24"/>
          <w:szCs w:val="24"/>
        </w:rPr>
      </w:pPr>
    </w:p>
    <w:p w14:paraId="785D5A77"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0649166" w14:textId="77777777" w:rsidR="009260DE" w:rsidRPr="00C84483" w:rsidRDefault="009A33D3" w:rsidP="009260DE">
      <w:pPr>
        <w:tabs>
          <w:tab w:val="left" w:pos="851"/>
        </w:tabs>
        <w:ind w:left="851"/>
        <w:rPr>
          <w:sz w:val="24"/>
          <w:szCs w:val="24"/>
        </w:rPr>
      </w:pPr>
      <w:r>
        <w:rPr>
          <w:sz w:val="24"/>
          <w:szCs w:val="24"/>
        </w:rPr>
        <w:t>B</w:t>
      </w:r>
    </w:p>
    <w:p w14:paraId="1D2ACDCC" w14:textId="77777777" w:rsidR="009260DE" w:rsidRPr="00C84483" w:rsidRDefault="009260DE" w:rsidP="009260DE">
      <w:pPr>
        <w:tabs>
          <w:tab w:val="left" w:pos="851"/>
        </w:tabs>
        <w:ind w:left="851"/>
        <w:rPr>
          <w:sz w:val="24"/>
          <w:szCs w:val="24"/>
        </w:rPr>
      </w:pPr>
    </w:p>
    <w:p w14:paraId="0E25D97D" w14:textId="77777777" w:rsidR="009260DE" w:rsidRPr="00C84483" w:rsidRDefault="009260DE" w:rsidP="009260DE">
      <w:pPr>
        <w:tabs>
          <w:tab w:val="left" w:pos="851"/>
        </w:tabs>
        <w:ind w:left="851"/>
        <w:rPr>
          <w:sz w:val="24"/>
          <w:szCs w:val="24"/>
        </w:rPr>
      </w:pPr>
    </w:p>
    <w:p w14:paraId="5D1543BC"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3D46D66" w14:textId="77777777" w:rsidR="009260DE" w:rsidRPr="00C84483" w:rsidRDefault="009260DE" w:rsidP="009260DE">
      <w:pPr>
        <w:tabs>
          <w:tab w:val="left" w:pos="851"/>
        </w:tabs>
        <w:ind w:left="851"/>
        <w:rPr>
          <w:sz w:val="24"/>
          <w:szCs w:val="24"/>
        </w:rPr>
      </w:pPr>
    </w:p>
    <w:p w14:paraId="57759D52" w14:textId="77777777"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559F6148" w14:textId="77777777" w:rsidR="009260DE" w:rsidRPr="00C84483" w:rsidRDefault="009260DE" w:rsidP="009260DE">
      <w:pPr>
        <w:tabs>
          <w:tab w:val="left" w:pos="851"/>
        </w:tabs>
        <w:ind w:left="851"/>
        <w:rPr>
          <w:sz w:val="24"/>
          <w:szCs w:val="24"/>
        </w:rPr>
      </w:pPr>
    </w:p>
    <w:p w14:paraId="5E63FC58"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D6B07D8" w14:textId="4376CA57" w:rsidR="00E422A7" w:rsidRPr="004E58F6" w:rsidRDefault="00E422A7" w:rsidP="00E422A7">
      <w:pPr>
        <w:tabs>
          <w:tab w:val="left" w:pos="851"/>
        </w:tabs>
        <w:ind w:left="851"/>
        <w:rPr>
          <w:sz w:val="24"/>
          <w:szCs w:val="24"/>
        </w:rPr>
      </w:pPr>
      <w:r>
        <w:rPr>
          <w:sz w:val="24"/>
          <w:szCs w:val="24"/>
        </w:rPr>
        <w:t xml:space="preserve">Farmakoterapeutisk klassifikation: </w:t>
      </w:r>
      <w:r w:rsidRPr="004E58F6">
        <w:rPr>
          <w:sz w:val="24"/>
          <w:szCs w:val="24"/>
        </w:rPr>
        <w:t>Lægemidler til topisk administration i vagina. Andre vaginale, topiske lægemidler</w:t>
      </w:r>
      <w:r w:rsidR="00994C37">
        <w:rPr>
          <w:sz w:val="24"/>
          <w:szCs w:val="24"/>
        </w:rPr>
        <w:t>,</w:t>
      </w:r>
      <w:r w:rsidRPr="00E422A7">
        <w:rPr>
          <w:sz w:val="24"/>
          <w:szCs w:val="24"/>
        </w:rPr>
        <w:t xml:space="preserve"> </w:t>
      </w:r>
      <w:r w:rsidRPr="004E58F6">
        <w:rPr>
          <w:sz w:val="24"/>
          <w:szCs w:val="24"/>
        </w:rPr>
        <w:t>ATC-kode: G03CC</w:t>
      </w:r>
      <w:r w:rsidR="00994C37">
        <w:rPr>
          <w:sz w:val="24"/>
          <w:szCs w:val="24"/>
        </w:rPr>
        <w:t>.</w:t>
      </w:r>
    </w:p>
    <w:p w14:paraId="0F53DF5D" w14:textId="77777777" w:rsidR="00CB320F" w:rsidRPr="00CB320F" w:rsidRDefault="00CB320F" w:rsidP="00CB320F">
      <w:pPr>
        <w:tabs>
          <w:tab w:val="left" w:pos="851"/>
        </w:tabs>
        <w:ind w:left="851"/>
        <w:rPr>
          <w:sz w:val="24"/>
          <w:szCs w:val="24"/>
        </w:rPr>
      </w:pPr>
    </w:p>
    <w:p w14:paraId="1FACB88C" w14:textId="77777777" w:rsidR="00CB320F" w:rsidRPr="00CB320F" w:rsidRDefault="00CB320F" w:rsidP="00CB320F">
      <w:pPr>
        <w:tabs>
          <w:tab w:val="left" w:pos="851"/>
        </w:tabs>
        <w:ind w:left="851"/>
        <w:rPr>
          <w:sz w:val="24"/>
          <w:szCs w:val="24"/>
          <w:u w:val="single"/>
        </w:rPr>
      </w:pPr>
      <w:r w:rsidRPr="00CB320F">
        <w:rPr>
          <w:sz w:val="24"/>
          <w:szCs w:val="24"/>
          <w:u w:val="single"/>
        </w:rPr>
        <w:t>Virkningsmekanisme</w:t>
      </w:r>
    </w:p>
    <w:p w14:paraId="213C7BCE" w14:textId="77777777" w:rsidR="00CB320F" w:rsidRPr="00CB320F" w:rsidRDefault="00CB320F" w:rsidP="00CB320F">
      <w:pPr>
        <w:tabs>
          <w:tab w:val="left" w:pos="851"/>
        </w:tabs>
        <w:ind w:left="851"/>
        <w:rPr>
          <w:sz w:val="24"/>
          <w:szCs w:val="24"/>
        </w:rPr>
      </w:pPr>
      <w:r w:rsidRPr="00CB320F">
        <w:rPr>
          <w:i/>
          <w:sz w:val="24"/>
          <w:szCs w:val="24"/>
        </w:rPr>
        <w:t>Lactobacillus acidophilus</w:t>
      </w:r>
      <w:r w:rsidRPr="00CB320F">
        <w:rPr>
          <w:sz w:val="24"/>
          <w:szCs w:val="24"/>
        </w:rPr>
        <w:t xml:space="preserve"> er den dominerende art i vaginalfloraen hos raske kvinder. Bakterierne er ikke-patogene og har en beskyttende funktion i vaginaen. Lactobacillerne fermenterer lagret glykogen i vaginalepitelet til mælkesyre. Det deraf følgende sure miljø (pH 3,8-4,5) udgør ugunstige forhold for koloniseringen og væksten af patogene mikroorganismer og udgør et optimalt medium for proliferation af lactobaciller. Udover mælkesyre producerer lactobacillerne hydrogenperoxid og bakteriociner, som også hæmmer væksten af patogene mikroorganismer.</w:t>
      </w:r>
    </w:p>
    <w:p w14:paraId="28664463" w14:textId="77777777" w:rsidR="00CB320F" w:rsidRPr="00CB320F" w:rsidRDefault="00CB320F" w:rsidP="00CB320F">
      <w:pPr>
        <w:tabs>
          <w:tab w:val="left" w:pos="851"/>
        </w:tabs>
        <w:ind w:left="851"/>
        <w:rPr>
          <w:sz w:val="24"/>
          <w:szCs w:val="24"/>
        </w:rPr>
      </w:pPr>
    </w:p>
    <w:p w14:paraId="765A466E" w14:textId="77777777" w:rsidR="00CB320F" w:rsidRPr="00CB320F" w:rsidRDefault="00CB320F" w:rsidP="00CB320F">
      <w:pPr>
        <w:tabs>
          <w:tab w:val="left" w:pos="851"/>
        </w:tabs>
        <w:ind w:left="851"/>
        <w:rPr>
          <w:sz w:val="24"/>
          <w:szCs w:val="24"/>
        </w:rPr>
      </w:pPr>
      <w:r w:rsidRPr="00CB320F">
        <w:rPr>
          <w:sz w:val="24"/>
          <w:szCs w:val="24"/>
        </w:rPr>
        <w:t>Vaginalt administreret østrogen lindrer symptomerne på vaginal atrofi på grund af østrogenmangel hos postmenopausale kvinder.</w:t>
      </w:r>
    </w:p>
    <w:p w14:paraId="004CDA35" w14:textId="77777777" w:rsidR="00CB320F" w:rsidRPr="00CB320F" w:rsidRDefault="00CB320F" w:rsidP="00CB320F">
      <w:pPr>
        <w:tabs>
          <w:tab w:val="left" w:pos="851"/>
        </w:tabs>
        <w:ind w:left="851"/>
        <w:rPr>
          <w:sz w:val="24"/>
          <w:szCs w:val="24"/>
        </w:rPr>
      </w:pPr>
      <w:r w:rsidRPr="00CB320F">
        <w:rPr>
          <w:sz w:val="24"/>
          <w:szCs w:val="24"/>
        </w:rPr>
        <w:t>Estriol er et endogent østrogenhormon med en specifik virkning på vaginaen. Formålet med estriol i Gynoflor er at sikre proliferation af vaginalepitelet. Epitelceller i det prolifererede vaginalepitel kan lagre glykogen, som er et næringssubstrat for lactobaciller. I tilfælde af hormonelle forandringer, som oftere ses i en fremskreden alder, falder eller forsvinder antallet af celler i vaginalepitelet, der indeholder glykogen.</w:t>
      </w:r>
    </w:p>
    <w:p w14:paraId="1F5BDAA1" w14:textId="77777777" w:rsidR="00CB320F" w:rsidRPr="00CB320F" w:rsidRDefault="00CB320F" w:rsidP="00CB320F">
      <w:pPr>
        <w:tabs>
          <w:tab w:val="left" w:pos="851"/>
        </w:tabs>
        <w:ind w:left="851"/>
        <w:rPr>
          <w:sz w:val="24"/>
          <w:szCs w:val="24"/>
        </w:rPr>
      </w:pPr>
    </w:p>
    <w:p w14:paraId="21DF0EE2" w14:textId="77777777" w:rsidR="00CB320F" w:rsidRPr="00CB320F" w:rsidRDefault="00CB320F" w:rsidP="00CB320F">
      <w:pPr>
        <w:tabs>
          <w:tab w:val="left" w:pos="851"/>
        </w:tabs>
        <w:ind w:left="851"/>
        <w:rPr>
          <w:sz w:val="24"/>
          <w:szCs w:val="24"/>
        </w:rPr>
      </w:pPr>
      <w:r w:rsidRPr="00CB320F">
        <w:rPr>
          <w:sz w:val="24"/>
          <w:szCs w:val="24"/>
        </w:rPr>
        <w:t>Ændring eller destruktion af vaginal bakterieflora kan forekomme, primært som følge af lokal eller systemisk behandling med antiinfektiva, sygdom, forkert hygiejne og lokale infektioner. I et non-fysiologisk vaginalmiljø kan antallet af lactobaciller være nedsat eller helt fraværende, så de ikke yder deres beskyttende funktion. Det terapeutiske koncept bag Gynoflor består i at genoprette den biologiske ligevægt i vaginaen og vaginalepitelet ved hjælp af reimplantation af lactobaciller og estriols lokale virkning på epitelcellerne.</w:t>
      </w:r>
    </w:p>
    <w:p w14:paraId="054AC567" w14:textId="77777777" w:rsidR="00CB320F" w:rsidRPr="00CB320F" w:rsidRDefault="00CB320F" w:rsidP="00CB320F">
      <w:pPr>
        <w:tabs>
          <w:tab w:val="left" w:pos="851"/>
        </w:tabs>
        <w:ind w:left="851"/>
        <w:rPr>
          <w:sz w:val="24"/>
          <w:szCs w:val="24"/>
        </w:rPr>
      </w:pPr>
    </w:p>
    <w:p w14:paraId="2083B6F8" w14:textId="77777777" w:rsidR="00CB320F" w:rsidRPr="00CB320F" w:rsidRDefault="00CB320F" w:rsidP="00CB320F">
      <w:pPr>
        <w:tabs>
          <w:tab w:val="left" w:pos="851"/>
        </w:tabs>
        <w:ind w:left="851"/>
        <w:rPr>
          <w:sz w:val="24"/>
          <w:szCs w:val="24"/>
        </w:rPr>
      </w:pPr>
      <w:r w:rsidRPr="00CB320F">
        <w:rPr>
          <w:sz w:val="24"/>
          <w:szCs w:val="24"/>
        </w:rPr>
        <w:lastRenderedPageBreak/>
        <w:t>Estriols østrogene virkning initieres også meget hurtigt, og proliferationen af vaginalepitelet forbedres progressivt i løbet af behandlingen (6-12 dage).</w:t>
      </w:r>
    </w:p>
    <w:p w14:paraId="780F048F" w14:textId="77777777" w:rsidR="00CB320F" w:rsidRPr="00CB320F" w:rsidRDefault="00CB320F" w:rsidP="00CB320F">
      <w:pPr>
        <w:tabs>
          <w:tab w:val="left" w:pos="851"/>
        </w:tabs>
        <w:ind w:left="851"/>
        <w:rPr>
          <w:sz w:val="24"/>
          <w:szCs w:val="24"/>
        </w:rPr>
      </w:pPr>
    </w:p>
    <w:p w14:paraId="732ED230" w14:textId="77777777" w:rsidR="00CB320F" w:rsidRPr="00CB320F" w:rsidRDefault="00CB320F" w:rsidP="00CB320F">
      <w:pPr>
        <w:tabs>
          <w:tab w:val="left" w:pos="851"/>
        </w:tabs>
        <w:ind w:left="851"/>
        <w:rPr>
          <w:sz w:val="24"/>
          <w:szCs w:val="24"/>
        </w:rPr>
      </w:pPr>
      <w:r w:rsidRPr="00CB320F">
        <w:rPr>
          <w:sz w:val="24"/>
          <w:szCs w:val="24"/>
        </w:rPr>
        <w:t>Lactobacillerne kan også fermentere lactosen i vaginaltabletterne til mælkesyre. Reproduktionen af lactobaciller og rekoloniseringen af disse bakterier i vagina indtræder efter den første administration af præparatet.</w:t>
      </w:r>
    </w:p>
    <w:p w14:paraId="66427F89" w14:textId="77777777" w:rsidR="00CB320F" w:rsidRPr="00CB320F" w:rsidRDefault="00CB320F" w:rsidP="00CB320F">
      <w:pPr>
        <w:tabs>
          <w:tab w:val="left" w:pos="851"/>
        </w:tabs>
        <w:ind w:left="851"/>
        <w:rPr>
          <w:sz w:val="24"/>
          <w:szCs w:val="24"/>
        </w:rPr>
      </w:pPr>
    </w:p>
    <w:p w14:paraId="20238D9A" w14:textId="77777777" w:rsidR="00CB320F" w:rsidRPr="00CB320F" w:rsidRDefault="00CB320F" w:rsidP="00CB320F">
      <w:pPr>
        <w:tabs>
          <w:tab w:val="left" w:pos="851"/>
        </w:tabs>
        <w:ind w:left="851"/>
        <w:rPr>
          <w:sz w:val="24"/>
          <w:szCs w:val="24"/>
        </w:rPr>
      </w:pPr>
      <w:r w:rsidRPr="00CB320F">
        <w:rPr>
          <w:i/>
          <w:sz w:val="24"/>
          <w:szCs w:val="24"/>
        </w:rPr>
        <w:t>Lactobacillus acidophilus</w:t>
      </w:r>
      <w:r w:rsidRPr="00CB320F">
        <w:rPr>
          <w:sz w:val="24"/>
          <w:szCs w:val="24"/>
        </w:rPr>
        <w:t xml:space="preserve"> og estriol udøver deres virkning lokalt i vaginaen.</w:t>
      </w:r>
    </w:p>
    <w:p w14:paraId="4302722E" w14:textId="77777777" w:rsidR="009260DE" w:rsidRPr="00C84483" w:rsidRDefault="009260DE" w:rsidP="009260DE">
      <w:pPr>
        <w:tabs>
          <w:tab w:val="left" w:pos="851"/>
        </w:tabs>
        <w:ind w:left="851"/>
        <w:rPr>
          <w:sz w:val="24"/>
          <w:szCs w:val="24"/>
        </w:rPr>
      </w:pPr>
    </w:p>
    <w:p w14:paraId="4FE33297"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6596E282" w14:textId="77777777" w:rsidR="00CB320F" w:rsidRPr="00CB320F" w:rsidRDefault="00CB320F" w:rsidP="00CB320F">
      <w:pPr>
        <w:tabs>
          <w:tab w:val="left" w:pos="851"/>
        </w:tabs>
        <w:ind w:left="851"/>
        <w:rPr>
          <w:sz w:val="24"/>
          <w:szCs w:val="24"/>
        </w:rPr>
      </w:pPr>
      <w:r w:rsidRPr="00CB320F">
        <w:rPr>
          <w:sz w:val="24"/>
          <w:szCs w:val="24"/>
        </w:rPr>
        <w:t xml:space="preserve">Så snart vaginaltabletten kommer i kontakt med vaginalsekretet, begynder tabletten at gå i opløsning, og de lyofiliserede baciller bliver frigivet. </w:t>
      </w:r>
      <w:r w:rsidRPr="00CB320F">
        <w:rPr>
          <w:i/>
          <w:sz w:val="24"/>
          <w:szCs w:val="24"/>
        </w:rPr>
        <w:t>In vitro</w:t>
      </w:r>
      <w:r w:rsidRPr="00CB320F">
        <w:rPr>
          <w:sz w:val="24"/>
          <w:szCs w:val="24"/>
        </w:rPr>
        <w:t>-forsøg har vist, at lactobacillerne genoptager deres metabolisme og forårsager en reduktion i pH inden for få timer efter administration.</w:t>
      </w:r>
    </w:p>
    <w:p w14:paraId="687C750F" w14:textId="77777777" w:rsidR="00CB320F" w:rsidRPr="00CB320F" w:rsidRDefault="00CB320F" w:rsidP="00CB320F">
      <w:pPr>
        <w:tabs>
          <w:tab w:val="left" w:pos="851"/>
        </w:tabs>
        <w:ind w:left="851"/>
        <w:rPr>
          <w:sz w:val="24"/>
          <w:szCs w:val="24"/>
        </w:rPr>
      </w:pPr>
    </w:p>
    <w:p w14:paraId="09A3A681" w14:textId="77777777" w:rsidR="00CB320F" w:rsidRPr="00CB320F" w:rsidRDefault="00CB320F" w:rsidP="00CB320F">
      <w:pPr>
        <w:tabs>
          <w:tab w:val="left" w:pos="851"/>
        </w:tabs>
        <w:ind w:left="851"/>
        <w:rPr>
          <w:sz w:val="24"/>
          <w:szCs w:val="24"/>
        </w:rPr>
      </w:pPr>
      <w:r w:rsidRPr="00CB320F">
        <w:rPr>
          <w:sz w:val="24"/>
          <w:szCs w:val="24"/>
        </w:rPr>
        <w:t>Absorptionen af estriol fra Gynoflor er blevet undersøgt hos raske postmenopausale kvinder med atrofisk epitel. Efter en enkelt intravaginal administration af Gynoflor steg den gennemsnitlige plasmakoncentration af ukonjugeret estriol (biologisk aktiv form) fra det basale niveau på 19,2 ± 5,0 pg/ml til 26,0 ± 14,3 pg/ml med C</w:t>
      </w:r>
      <w:r w:rsidRPr="00CB320F">
        <w:rPr>
          <w:sz w:val="24"/>
          <w:szCs w:val="24"/>
          <w:vertAlign w:val="subscript"/>
        </w:rPr>
        <w:t>max</w:t>
      </w:r>
      <w:r w:rsidRPr="00CB320F">
        <w:rPr>
          <w:sz w:val="24"/>
          <w:szCs w:val="24"/>
        </w:rPr>
        <w:t xml:space="preserve"> på 34,7 ± 11,0 pg/ml og t</w:t>
      </w:r>
      <w:r w:rsidRPr="00CB320F">
        <w:rPr>
          <w:sz w:val="24"/>
          <w:szCs w:val="24"/>
          <w:vertAlign w:val="subscript"/>
        </w:rPr>
        <w:t>max</w:t>
      </w:r>
      <w:r w:rsidRPr="00CB320F">
        <w:rPr>
          <w:sz w:val="24"/>
          <w:szCs w:val="24"/>
        </w:rPr>
        <w:t xml:space="preserve"> på 5,5 timer. Efter otte timer faldt plasmakoncentrationen af ukonjugeret estriol til niveauet for den endogene koncentration.</w:t>
      </w:r>
    </w:p>
    <w:p w14:paraId="66376579" w14:textId="77777777" w:rsidR="00CB320F" w:rsidRPr="00CB320F" w:rsidRDefault="00CB320F" w:rsidP="00CB320F">
      <w:pPr>
        <w:tabs>
          <w:tab w:val="left" w:pos="851"/>
        </w:tabs>
        <w:ind w:left="851"/>
        <w:rPr>
          <w:sz w:val="24"/>
          <w:szCs w:val="24"/>
        </w:rPr>
      </w:pPr>
    </w:p>
    <w:p w14:paraId="763CBF27" w14:textId="77777777" w:rsidR="00CB320F" w:rsidRPr="00CB320F" w:rsidRDefault="00CB320F" w:rsidP="00CB320F">
      <w:pPr>
        <w:tabs>
          <w:tab w:val="left" w:pos="851"/>
        </w:tabs>
        <w:ind w:left="851"/>
        <w:rPr>
          <w:sz w:val="24"/>
          <w:szCs w:val="24"/>
        </w:rPr>
      </w:pPr>
      <w:r w:rsidRPr="00CB320F">
        <w:rPr>
          <w:sz w:val="24"/>
          <w:szCs w:val="24"/>
        </w:rPr>
        <w:t xml:space="preserve">Plasmakoncentrationen af estron og estradiol påvirkes ikke af behandlingen med estriol, eftersom estriol er et metabolisk produkt deraf. Estriol elimineres hurtigt via urinen, primært i biologisk inaktive former (glukuronider, sulfater). </w:t>
      </w:r>
    </w:p>
    <w:p w14:paraId="7F2DE9ED" w14:textId="77777777" w:rsidR="009260DE" w:rsidRPr="00C84483" w:rsidRDefault="009260DE" w:rsidP="009260DE">
      <w:pPr>
        <w:tabs>
          <w:tab w:val="left" w:pos="851"/>
        </w:tabs>
        <w:ind w:left="851"/>
        <w:rPr>
          <w:sz w:val="24"/>
          <w:szCs w:val="24"/>
        </w:rPr>
      </w:pPr>
    </w:p>
    <w:p w14:paraId="1F742987" w14:textId="4B2B2B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E422A7">
        <w:rPr>
          <w:b/>
          <w:sz w:val="24"/>
          <w:szCs w:val="24"/>
        </w:rPr>
        <w:t>Non-</w:t>
      </w:r>
      <w:r w:rsidRPr="00C84483">
        <w:rPr>
          <w:b/>
          <w:sz w:val="24"/>
          <w:szCs w:val="24"/>
        </w:rPr>
        <w:t>kliniske sikkerhedsdata</w:t>
      </w:r>
    </w:p>
    <w:p w14:paraId="4EA89DE7" w14:textId="114B7402" w:rsidR="00EA6CCB" w:rsidRPr="00EA6CCB" w:rsidRDefault="00EA6CCB" w:rsidP="00EA6CCB">
      <w:pPr>
        <w:tabs>
          <w:tab w:val="left" w:pos="851"/>
        </w:tabs>
        <w:ind w:left="851"/>
        <w:rPr>
          <w:sz w:val="24"/>
          <w:szCs w:val="24"/>
        </w:rPr>
      </w:pPr>
      <w:r w:rsidRPr="00EA6CCB">
        <w:rPr>
          <w:sz w:val="24"/>
          <w:szCs w:val="24"/>
        </w:rPr>
        <w:t xml:space="preserve">To toksikologiske aspekter bør tages i betragtning i forbindelse med lægemidler, der administreres vaginalt: </w:t>
      </w:r>
      <w:r w:rsidR="008059F3">
        <w:rPr>
          <w:sz w:val="24"/>
          <w:szCs w:val="24"/>
        </w:rPr>
        <w:t>L</w:t>
      </w:r>
      <w:r w:rsidRPr="00EA6CCB">
        <w:rPr>
          <w:sz w:val="24"/>
          <w:szCs w:val="24"/>
        </w:rPr>
        <w:t>okal tolerans og muligheden for systemisk toksicitet som følge af absorption af komponenterne.</w:t>
      </w:r>
    </w:p>
    <w:p w14:paraId="35BE8DCC" w14:textId="77777777" w:rsidR="00EA6CCB" w:rsidRPr="00EA6CCB" w:rsidRDefault="00EA6CCB" w:rsidP="00EA6CCB">
      <w:pPr>
        <w:tabs>
          <w:tab w:val="left" w:pos="851"/>
        </w:tabs>
        <w:ind w:left="851"/>
        <w:rPr>
          <w:sz w:val="24"/>
          <w:szCs w:val="24"/>
        </w:rPr>
      </w:pPr>
      <w:r w:rsidRPr="00EA6CCB">
        <w:rPr>
          <w:sz w:val="24"/>
          <w:szCs w:val="24"/>
        </w:rPr>
        <w:t>Lactobaciller er den dominerende mikroorganisme i raske kvinders vagina og betragtes som ikke-patogene. Derfor forventes indførelsen af disse bakterier i vaginaen ikke at forårsage lokal irritation eller epitellæsioner.</w:t>
      </w:r>
    </w:p>
    <w:p w14:paraId="6A528DA5" w14:textId="77777777" w:rsidR="00EA6CCB" w:rsidRPr="00EA6CCB" w:rsidRDefault="00EA6CCB" w:rsidP="00EA6CCB">
      <w:pPr>
        <w:tabs>
          <w:tab w:val="left" w:pos="851"/>
        </w:tabs>
        <w:ind w:left="851"/>
        <w:rPr>
          <w:sz w:val="24"/>
          <w:szCs w:val="24"/>
        </w:rPr>
      </w:pPr>
    </w:p>
    <w:p w14:paraId="7C10D82B" w14:textId="77777777" w:rsidR="00EA6CCB" w:rsidRPr="00EA6CCB" w:rsidRDefault="00EA6CCB" w:rsidP="00EA6CCB">
      <w:pPr>
        <w:tabs>
          <w:tab w:val="left" w:pos="851"/>
        </w:tabs>
        <w:ind w:left="851"/>
        <w:rPr>
          <w:sz w:val="24"/>
          <w:szCs w:val="24"/>
        </w:rPr>
      </w:pPr>
      <w:r w:rsidRPr="00EA6CCB">
        <w:rPr>
          <w:sz w:val="24"/>
          <w:szCs w:val="24"/>
        </w:rPr>
        <w:t>Resultaterne af dyreforsøg (Wistar-rotter) viser, at kun høje doser estriol kan medføre feminisering af hanfostre.</w:t>
      </w:r>
    </w:p>
    <w:p w14:paraId="2D41D2AC" w14:textId="77777777" w:rsidR="00EA6CCB" w:rsidRPr="00EA6CCB" w:rsidRDefault="00EA6CCB" w:rsidP="00EA6CCB">
      <w:pPr>
        <w:tabs>
          <w:tab w:val="left" w:pos="851"/>
        </w:tabs>
        <w:ind w:left="851"/>
        <w:rPr>
          <w:sz w:val="24"/>
          <w:szCs w:val="24"/>
        </w:rPr>
      </w:pPr>
      <w:r w:rsidRPr="00EA6CCB">
        <w:rPr>
          <w:sz w:val="24"/>
          <w:szCs w:val="24"/>
        </w:rPr>
        <w:t>Det skal bemærkes, at de toksikologiske data, der er indhentet hos gnavere, er af begrænset værdi og ikke kan ekstrapoleres til menneskearten, eftersom estriol er artsspecifik og ikke findes hos andre arter.</w:t>
      </w:r>
    </w:p>
    <w:p w14:paraId="513BDD6F" w14:textId="77777777" w:rsidR="00EA6CCB" w:rsidRPr="00EA6CCB" w:rsidRDefault="00EA6CCB" w:rsidP="00EA6CCB">
      <w:pPr>
        <w:tabs>
          <w:tab w:val="left" w:pos="851"/>
        </w:tabs>
        <w:ind w:left="851"/>
        <w:rPr>
          <w:sz w:val="24"/>
          <w:szCs w:val="24"/>
        </w:rPr>
      </w:pPr>
    </w:p>
    <w:p w14:paraId="00AADA13" w14:textId="77777777" w:rsidR="00EA6CCB" w:rsidRPr="00EA6CCB" w:rsidRDefault="00EA6CCB" w:rsidP="00EA6CCB">
      <w:pPr>
        <w:tabs>
          <w:tab w:val="left" w:pos="851"/>
        </w:tabs>
        <w:ind w:left="851"/>
        <w:rPr>
          <w:sz w:val="24"/>
          <w:szCs w:val="24"/>
        </w:rPr>
      </w:pPr>
      <w:r w:rsidRPr="00EA6CCB">
        <w:rPr>
          <w:sz w:val="24"/>
          <w:szCs w:val="24"/>
        </w:rPr>
        <w:t>I betragtning af den lave dosis estriol i Gynoflor forventes der ingen akut eller kronisk toksicitet.</w:t>
      </w:r>
    </w:p>
    <w:p w14:paraId="66D2D0BE" w14:textId="77777777" w:rsidR="009260DE" w:rsidRPr="00C84483" w:rsidRDefault="009260DE" w:rsidP="009260DE">
      <w:pPr>
        <w:tabs>
          <w:tab w:val="left" w:pos="851"/>
        </w:tabs>
        <w:ind w:left="851"/>
        <w:rPr>
          <w:sz w:val="24"/>
          <w:szCs w:val="24"/>
        </w:rPr>
      </w:pPr>
    </w:p>
    <w:p w14:paraId="409EF67E" w14:textId="77777777" w:rsidR="009260DE" w:rsidRPr="00C84483" w:rsidRDefault="009260DE" w:rsidP="009260DE">
      <w:pPr>
        <w:tabs>
          <w:tab w:val="left" w:pos="851"/>
        </w:tabs>
        <w:ind w:left="851"/>
        <w:rPr>
          <w:sz w:val="24"/>
          <w:szCs w:val="24"/>
        </w:rPr>
      </w:pPr>
    </w:p>
    <w:p w14:paraId="2D632813"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500534BF" w14:textId="77777777" w:rsidR="009260DE" w:rsidRPr="00BA09F1" w:rsidRDefault="009260DE" w:rsidP="009260DE">
      <w:pPr>
        <w:tabs>
          <w:tab w:val="left" w:pos="851"/>
        </w:tabs>
        <w:ind w:left="851"/>
        <w:rPr>
          <w:sz w:val="24"/>
          <w:szCs w:val="24"/>
        </w:rPr>
      </w:pPr>
    </w:p>
    <w:p w14:paraId="72C5670A"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4E14E865" w14:textId="77777777" w:rsidR="00A84598" w:rsidRPr="00A84598" w:rsidRDefault="00A84598" w:rsidP="00A84598">
      <w:pPr>
        <w:tabs>
          <w:tab w:val="left" w:pos="851"/>
        </w:tabs>
        <w:ind w:left="851"/>
        <w:rPr>
          <w:sz w:val="24"/>
          <w:szCs w:val="24"/>
        </w:rPr>
      </w:pPr>
      <w:r w:rsidRPr="00A84598">
        <w:rPr>
          <w:sz w:val="24"/>
          <w:szCs w:val="24"/>
        </w:rPr>
        <w:t>Lactosemonohydrat</w:t>
      </w:r>
    </w:p>
    <w:p w14:paraId="13244A3A" w14:textId="77777777" w:rsidR="00A84598" w:rsidRPr="00A84598" w:rsidRDefault="00A84598" w:rsidP="00A84598">
      <w:pPr>
        <w:tabs>
          <w:tab w:val="left" w:pos="851"/>
        </w:tabs>
        <w:ind w:left="851"/>
        <w:rPr>
          <w:sz w:val="24"/>
          <w:szCs w:val="24"/>
        </w:rPr>
      </w:pPr>
      <w:r w:rsidRPr="00A84598">
        <w:rPr>
          <w:sz w:val="24"/>
          <w:szCs w:val="24"/>
        </w:rPr>
        <w:t>Cellulose, mikrokrystallinsk</w:t>
      </w:r>
    </w:p>
    <w:p w14:paraId="72405D3F" w14:textId="77777777" w:rsidR="00A84598" w:rsidRPr="00A84598" w:rsidRDefault="00A84598" w:rsidP="00A84598">
      <w:pPr>
        <w:tabs>
          <w:tab w:val="left" w:pos="851"/>
        </w:tabs>
        <w:ind w:left="851"/>
        <w:rPr>
          <w:sz w:val="24"/>
          <w:szCs w:val="24"/>
        </w:rPr>
      </w:pPr>
      <w:r w:rsidRPr="00A84598">
        <w:rPr>
          <w:sz w:val="24"/>
          <w:szCs w:val="24"/>
        </w:rPr>
        <w:t>Magnesiumstearat</w:t>
      </w:r>
    </w:p>
    <w:p w14:paraId="2A463359" w14:textId="77777777" w:rsidR="00A84598" w:rsidRPr="00A84598" w:rsidRDefault="00A84598" w:rsidP="00A84598">
      <w:pPr>
        <w:tabs>
          <w:tab w:val="left" w:pos="851"/>
        </w:tabs>
        <w:ind w:left="851"/>
        <w:rPr>
          <w:sz w:val="24"/>
          <w:szCs w:val="24"/>
        </w:rPr>
      </w:pPr>
      <w:r w:rsidRPr="00A84598">
        <w:rPr>
          <w:sz w:val="24"/>
          <w:szCs w:val="24"/>
        </w:rPr>
        <w:t>Natriumstivelsesglycolat</w:t>
      </w:r>
    </w:p>
    <w:p w14:paraId="622CA1BD" w14:textId="77777777" w:rsidR="00A84598" w:rsidRPr="00A84598" w:rsidRDefault="00A84598" w:rsidP="00A84598">
      <w:pPr>
        <w:tabs>
          <w:tab w:val="left" w:pos="851"/>
        </w:tabs>
        <w:ind w:left="851"/>
        <w:rPr>
          <w:sz w:val="24"/>
          <w:szCs w:val="24"/>
        </w:rPr>
      </w:pPr>
      <w:r w:rsidRPr="00A84598">
        <w:rPr>
          <w:sz w:val="24"/>
          <w:szCs w:val="24"/>
        </w:rPr>
        <w:lastRenderedPageBreak/>
        <w:t>Dinatriumphosphat</w:t>
      </w:r>
    </w:p>
    <w:p w14:paraId="46ECC12A" w14:textId="77777777" w:rsidR="009260DE" w:rsidRPr="00C84483" w:rsidRDefault="009260DE" w:rsidP="009260DE">
      <w:pPr>
        <w:tabs>
          <w:tab w:val="left" w:pos="851"/>
        </w:tabs>
        <w:ind w:left="851"/>
        <w:rPr>
          <w:sz w:val="24"/>
          <w:szCs w:val="24"/>
        </w:rPr>
      </w:pPr>
    </w:p>
    <w:p w14:paraId="03BB482C"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83D7DDB" w14:textId="77777777" w:rsidR="00A84598" w:rsidRPr="00A84598" w:rsidRDefault="00A84598" w:rsidP="00A84598">
      <w:pPr>
        <w:tabs>
          <w:tab w:val="left" w:pos="851"/>
        </w:tabs>
        <w:ind w:left="851"/>
        <w:rPr>
          <w:sz w:val="24"/>
          <w:szCs w:val="24"/>
        </w:rPr>
      </w:pPr>
      <w:r w:rsidRPr="00A84598">
        <w:rPr>
          <w:sz w:val="24"/>
          <w:szCs w:val="24"/>
        </w:rPr>
        <w:t>Ikke relevant.</w:t>
      </w:r>
    </w:p>
    <w:p w14:paraId="359668A6" w14:textId="77777777" w:rsidR="009260DE" w:rsidRPr="00C84483" w:rsidRDefault="009260DE" w:rsidP="009260DE">
      <w:pPr>
        <w:tabs>
          <w:tab w:val="left" w:pos="851"/>
        </w:tabs>
        <w:ind w:left="851"/>
        <w:rPr>
          <w:sz w:val="24"/>
          <w:szCs w:val="24"/>
        </w:rPr>
      </w:pPr>
    </w:p>
    <w:p w14:paraId="66396E83"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28761460" w14:textId="573BDA07" w:rsidR="00A84598" w:rsidRPr="00A84598" w:rsidRDefault="00A84598" w:rsidP="00A84598">
      <w:pPr>
        <w:tabs>
          <w:tab w:val="left" w:pos="851"/>
        </w:tabs>
        <w:ind w:left="851"/>
        <w:rPr>
          <w:sz w:val="24"/>
          <w:szCs w:val="24"/>
        </w:rPr>
      </w:pPr>
      <w:r w:rsidRPr="00A84598">
        <w:rPr>
          <w:sz w:val="24"/>
          <w:szCs w:val="24"/>
        </w:rPr>
        <w:t>3 år</w:t>
      </w:r>
      <w:r>
        <w:rPr>
          <w:sz w:val="24"/>
          <w:szCs w:val="24"/>
        </w:rPr>
        <w:t>.</w:t>
      </w:r>
    </w:p>
    <w:p w14:paraId="049BAD93" w14:textId="77777777" w:rsidR="009260DE" w:rsidRPr="00C84483" w:rsidRDefault="009260DE" w:rsidP="009260DE">
      <w:pPr>
        <w:tabs>
          <w:tab w:val="left" w:pos="851"/>
        </w:tabs>
        <w:ind w:left="851"/>
        <w:rPr>
          <w:sz w:val="24"/>
          <w:szCs w:val="24"/>
        </w:rPr>
      </w:pPr>
    </w:p>
    <w:p w14:paraId="635E9932"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C6C0FD4" w14:textId="743ABFD5" w:rsidR="001A4AE6" w:rsidRPr="001A4AE6" w:rsidRDefault="001A4AE6" w:rsidP="001A4AE6">
      <w:pPr>
        <w:tabs>
          <w:tab w:val="left" w:pos="851"/>
        </w:tabs>
        <w:ind w:left="851"/>
        <w:rPr>
          <w:sz w:val="24"/>
          <w:szCs w:val="24"/>
        </w:rPr>
      </w:pPr>
      <w:r w:rsidRPr="001A4AE6">
        <w:rPr>
          <w:sz w:val="24"/>
          <w:szCs w:val="24"/>
        </w:rPr>
        <w:t>Opbevares i køleskab (2-8</w:t>
      </w:r>
      <w:r>
        <w:rPr>
          <w:sz w:val="24"/>
          <w:szCs w:val="24"/>
        </w:rPr>
        <w:t xml:space="preserve"> </w:t>
      </w:r>
      <w:r w:rsidRPr="001A4AE6">
        <w:rPr>
          <w:sz w:val="24"/>
          <w:szCs w:val="24"/>
        </w:rPr>
        <w:t>°C).</w:t>
      </w:r>
    </w:p>
    <w:p w14:paraId="78A7EC8A" w14:textId="77777777" w:rsidR="001A4AE6" w:rsidRPr="001A4AE6" w:rsidRDefault="001A4AE6" w:rsidP="001A4AE6">
      <w:pPr>
        <w:tabs>
          <w:tab w:val="left" w:pos="851"/>
        </w:tabs>
        <w:ind w:left="851"/>
        <w:rPr>
          <w:sz w:val="24"/>
          <w:szCs w:val="24"/>
        </w:rPr>
      </w:pPr>
    </w:p>
    <w:p w14:paraId="47AA599A" w14:textId="77777777" w:rsidR="001A4AE6" w:rsidRDefault="001A4AE6" w:rsidP="001A4AE6">
      <w:pPr>
        <w:tabs>
          <w:tab w:val="left" w:pos="851"/>
        </w:tabs>
        <w:ind w:left="851"/>
        <w:rPr>
          <w:sz w:val="24"/>
          <w:szCs w:val="24"/>
        </w:rPr>
      </w:pPr>
      <w:r w:rsidRPr="001A4AE6">
        <w:rPr>
          <w:sz w:val="24"/>
          <w:szCs w:val="24"/>
        </w:rPr>
        <w:t>Opbevaring af Gynoflor ved rumtemperatur (under 30 °C) i en behandlingsperiode på</w:t>
      </w:r>
    </w:p>
    <w:p w14:paraId="5D2A50A2" w14:textId="6D3C4900" w:rsidR="001A4AE6" w:rsidRPr="001A4AE6" w:rsidRDefault="001A4AE6" w:rsidP="001A4AE6">
      <w:pPr>
        <w:tabs>
          <w:tab w:val="left" w:pos="851"/>
        </w:tabs>
        <w:ind w:left="851"/>
        <w:rPr>
          <w:sz w:val="24"/>
          <w:szCs w:val="24"/>
        </w:rPr>
      </w:pPr>
      <w:r w:rsidRPr="001A4AE6">
        <w:rPr>
          <w:sz w:val="24"/>
          <w:szCs w:val="24"/>
        </w:rPr>
        <w:t>1-2 uger påvirker ikke lægemidlets virkning.</w:t>
      </w:r>
    </w:p>
    <w:p w14:paraId="7DAA23C5" w14:textId="77777777" w:rsidR="009260DE" w:rsidRPr="00C84483" w:rsidRDefault="009260DE" w:rsidP="009260DE">
      <w:pPr>
        <w:tabs>
          <w:tab w:val="left" w:pos="851"/>
        </w:tabs>
        <w:ind w:left="851"/>
        <w:rPr>
          <w:sz w:val="24"/>
          <w:szCs w:val="24"/>
        </w:rPr>
      </w:pPr>
    </w:p>
    <w:p w14:paraId="032B2565" w14:textId="2A61793B"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6680DC4" w14:textId="62884116" w:rsidR="001A4AE6" w:rsidRPr="001A4AE6" w:rsidRDefault="001A4AE6" w:rsidP="001A4AE6">
      <w:pPr>
        <w:tabs>
          <w:tab w:val="left" w:pos="851"/>
        </w:tabs>
        <w:ind w:left="851"/>
        <w:rPr>
          <w:sz w:val="24"/>
          <w:szCs w:val="24"/>
        </w:rPr>
      </w:pPr>
      <w:r>
        <w:rPr>
          <w:sz w:val="24"/>
          <w:szCs w:val="24"/>
        </w:rPr>
        <w:t>B</w:t>
      </w:r>
      <w:r w:rsidRPr="001A4AE6">
        <w:rPr>
          <w:sz w:val="24"/>
          <w:szCs w:val="24"/>
        </w:rPr>
        <w:t xml:space="preserve">listerkort af PVC/PE/PVdC, der er forseglet med aluminiumsfolie og indlagt i en æske. </w:t>
      </w:r>
    </w:p>
    <w:p w14:paraId="20E50261" w14:textId="77777777" w:rsidR="001A4AE6" w:rsidRPr="001A4AE6" w:rsidRDefault="001A4AE6" w:rsidP="001A4AE6">
      <w:pPr>
        <w:tabs>
          <w:tab w:val="left" w:pos="851"/>
        </w:tabs>
        <w:ind w:left="851"/>
        <w:rPr>
          <w:sz w:val="24"/>
          <w:szCs w:val="24"/>
        </w:rPr>
      </w:pPr>
    </w:p>
    <w:p w14:paraId="0C99057A" w14:textId="77777777" w:rsidR="001A4AE6" w:rsidRPr="001A4AE6" w:rsidRDefault="001A4AE6" w:rsidP="001A4AE6">
      <w:pPr>
        <w:tabs>
          <w:tab w:val="left" w:pos="851"/>
        </w:tabs>
        <w:ind w:left="851"/>
        <w:rPr>
          <w:sz w:val="24"/>
          <w:szCs w:val="24"/>
        </w:rPr>
      </w:pPr>
      <w:r w:rsidRPr="001A4AE6">
        <w:rPr>
          <w:sz w:val="24"/>
          <w:szCs w:val="24"/>
        </w:rPr>
        <w:t>Pakningsstørrelser: 6 og 12 vaginaltabletter.</w:t>
      </w:r>
    </w:p>
    <w:p w14:paraId="29CBDA05" w14:textId="77777777" w:rsidR="001A4AE6" w:rsidRPr="001A4AE6" w:rsidRDefault="001A4AE6" w:rsidP="001A4AE6">
      <w:pPr>
        <w:tabs>
          <w:tab w:val="left" w:pos="851"/>
        </w:tabs>
        <w:ind w:left="851"/>
        <w:rPr>
          <w:sz w:val="24"/>
          <w:szCs w:val="24"/>
        </w:rPr>
      </w:pPr>
      <w:r w:rsidRPr="001A4AE6">
        <w:rPr>
          <w:sz w:val="24"/>
          <w:szCs w:val="24"/>
        </w:rPr>
        <w:t>Ikke alle pakningsstørrelser er nødvendigvis markedsført.</w:t>
      </w:r>
    </w:p>
    <w:p w14:paraId="08D1868A" w14:textId="77777777" w:rsidR="009260DE" w:rsidRPr="00C84483" w:rsidRDefault="009260DE" w:rsidP="009260DE">
      <w:pPr>
        <w:tabs>
          <w:tab w:val="left" w:pos="851"/>
        </w:tabs>
        <w:ind w:left="851"/>
        <w:rPr>
          <w:sz w:val="24"/>
          <w:szCs w:val="24"/>
        </w:rPr>
      </w:pPr>
    </w:p>
    <w:p w14:paraId="69231513" w14:textId="5F058DE9"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E422A7">
        <w:rPr>
          <w:b/>
          <w:sz w:val="24"/>
          <w:szCs w:val="24"/>
        </w:rPr>
        <w:t>bortskaffelse</w:t>
      </w:r>
      <w:r w:rsidRPr="00C84483">
        <w:rPr>
          <w:b/>
          <w:sz w:val="24"/>
          <w:szCs w:val="24"/>
        </w:rPr>
        <w:t xml:space="preserve"> og anden håndtering</w:t>
      </w:r>
    </w:p>
    <w:p w14:paraId="3E0D968A" w14:textId="77777777" w:rsidR="004B0047" w:rsidRPr="004B0047" w:rsidRDefault="004B0047" w:rsidP="004B0047">
      <w:pPr>
        <w:tabs>
          <w:tab w:val="left" w:pos="851"/>
        </w:tabs>
        <w:ind w:left="851"/>
        <w:rPr>
          <w:sz w:val="24"/>
          <w:szCs w:val="24"/>
        </w:rPr>
      </w:pPr>
      <w:r w:rsidRPr="004B0047">
        <w:rPr>
          <w:sz w:val="24"/>
          <w:szCs w:val="24"/>
        </w:rPr>
        <w:t>Ingen særlige forholdsregler.</w:t>
      </w:r>
    </w:p>
    <w:p w14:paraId="685A2C60" w14:textId="77777777" w:rsidR="009260DE" w:rsidRPr="00C84483" w:rsidRDefault="009260DE" w:rsidP="000730CA">
      <w:pPr>
        <w:tabs>
          <w:tab w:val="left" w:pos="851"/>
        </w:tabs>
        <w:ind w:left="851"/>
        <w:rPr>
          <w:sz w:val="24"/>
          <w:szCs w:val="24"/>
        </w:rPr>
      </w:pPr>
    </w:p>
    <w:p w14:paraId="66654873"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0B2F417" w14:textId="77777777" w:rsidR="004B0047" w:rsidRPr="004B0047" w:rsidRDefault="004B0047" w:rsidP="004B0047">
      <w:pPr>
        <w:tabs>
          <w:tab w:val="left" w:pos="851"/>
        </w:tabs>
        <w:ind w:left="851"/>
        <w:rPr>
          <w:sz w:val="24"/>
          <w:szCs w:val="24"/>
          <w:lang w:val="en-US"/>
        </w:rPr>
      </w:pPr>
      <w:r w:rsidRPr="004B0047">
        <w:rPr>
          <w:sz w:val="24"/>
          <w:szCs w:val="24"/>
          <w:lang w:val="en-US"/>
        </w:rPr>
        <w:t>Exeltis Healthcare S.L.</w:t>
      </w:r>
    </w:p>
    <w:p w14:paraId="2C4AE39C" w14:textId="77777777" w:rsidR="004B0047" w:rsidRPr="004B0047" w:rsidRDefault="004B0047" w:rsidP="004B0047">
      <w:pPr>
        <w:tabs>
          <w:tab w:val="left" w:pos="851"/>
        </w:tabs>
        <w:ind w:left="851"/>
        <w:rPr>
          <w:sz w:val="24"/>
          <w:szCs w:val="24"/>
          <w:lang w:val="en-US"/>
        </w:rPr>
      </w:pPr>
      <w:r w:rsidRPr="004B0047">
        <w:rPr>
          <w:sz w:val="24"/>
          <w:szCs w:val="24"/>
          <w:lang w:val="en-US"/>
        </w:rPr>
        <w:t>Avenida Miralcampo 7</w:t>
      </w:r>
    </w:p>
    <w:p w14:paraId="500A9590" w14:textId="77777777" w:rsidR="004B0047" w:rsidRPr="004B0047" w:rsidRDefault="004B0047" w:rsidP="004B0047">
      <w:pPr>
        <w:tabs>
          <w:tab w:val="left" w:pos="851"/>
        </w:tabs>
        <w:ind w:left="851"/>
        <w:rPr>
          <w:sz w:val="24"/>
          <w:szCs w:val="24"/>
          <w:lang w:val="en-US"/>
        </w:rPr>
      </w:pPr>
      <w:r w:rsidRPr="004B0047">
        <w:rPr>
          <w:sz w:val="24"/>
          <w:szCs w:val="24"/>
          <w:lang w:val="en-US"/>
        </w:rPr>
        <w:t>Polígono Industrial Miralcampo</w:t>
      </w:r>
    </w:p>
    <w:p w14:paraId="41189080" w14:textId="77777777" w:rsidR="004B0047" w:rsidRPr="004B0047" w:rsidRDefault="004B0047" w:rsidP="004B0047">
      <w:pPr>
        <w:tabs>
          <w:tab w:val="left" w:pos="851"/>
        </w:tabs>
        <w:ind w:left="851"/>
        <w:rPr>
          <w:sz w:val="24"/>
          <w:szCs w:val="24"/>
          <w:lang w:val="en-US"/>
        </w:rPr>
      </w:pPr>
      <w:r w:rsidRPr="004B0047">
        <w:rPr>
          <w:sz w:val="24"/>
          <w:szCs w:val="24"/>
          <w:lang w:val="en-US"/>
        </w:rPr>
        <w:t>19200 Azuqueca de Henares, Guadalajara</w:t>
      </w:r>
    </w:p>
    <w:p w14:paraId="666C5A83" w14:textId="77777777" w:rsidR="004B0047" w:rsidRPr="004B0047" w:rsidRDefault="004B0047" w:rsidP="004B0047">
      <w:pPr>
        <w:tabs>
          <w:tab w:val="left" w:pos="851"/>
        </w:tabs>
        <w:ind w:left="851"/>
        <w:rPr>
          <w:sz w:val="24"/>
          <w:szCs w:val="24"/>
        </w:rPr>
      </w:pPr>
      <w:r w:rsidRPr="004B0047">
        <w:rPr>
          <w:sz w:val="24"/>
          <w:szCs w:val="24"/>
        </w:rPr>
        <w:t>Spanien</w:t>
      </w:r>
    </w:p>
    <w:p w14:paraId="52EB84E5" w14:textId="5EBB1D4B" w:rsidR="009260DE" w:rsidRDefault="009260DE" w:rsidP="009260DE">
      <w:pPr>
        <w:tabs>
          <w:tab w:val="left" w:pos="851"/>
        </w:tabs>
        <w:ind w:left="851"/>
        <w:rPr>
          <w:sz w:val="24"/>
          <w:szCs w:val="24"/>
        </w:rPr>
      </w:pPr>
    </w:p>
    <w:p w14:paraId="4B5FBC2F" w14:textId="0ECB90D4" w:rsidR="004B0047" w:rsidRPr="004B0047" w:rsidRDefault="004B0047" w:rsidP="009260DE">
      <w:pPr>
        <w:tabs>
          <w:tab w:val="left" w:pos="851"/>
        </w:tabs>
        <w:ind w:left="851"/>
        <w:rPr>
          <w:b/>
          <w:sz w:val="24"/>
          <w:szCs w:val="24"/>
        </w:rPr>
      </w:pPr>
      <w:r w:rsidRPr="004B0047">
        <w:rPr>
          <w:b/>
          <w:sz w:val="24"/>
          <w:szCs w:val="24"/>
        </w:rPr>
        <w:t>Repræsentant</w:t>
      </w:r>
    </w:p>
    <w:p w14:paraId="0C0D2D27" w14:textId="77777777" w:rsidR="002F5A46" w:rsidRPr="002F5A46" w:rsidRDefault="002F5A46" w:rsidP="002F5A46">
      <w:pPr>
        <w:tabs>
          <w:tab w:val="left" w:pos="851"/>
        </w:tabs>
        <w:ind w:left="851"/>
        <w:rPr>
          <w:sz w:val="24"/>
          <w:szCs w:val="24"/>
          <w:lang w:val="sv-SE"/>
        </w:rPr>
      </w:pPr>
      <w:r w:rsidRPr="002F5A46">
        <w:rPr>
          <w:sz w:val="24"/>
          <w:szCs w:val="24"/>
          <w:lang w:val="sv-SE"/>
        </w:rPr>
        <w:t>Exeltis Sverige AB</w:t>
      </w:r>
    </w:p>
    <w:p w14:paraId="244BB0A9" w14:textId="01ECB1C4" w:rsidR="000821F6" w:rsidRPr="000821F6" w:rsidRDefault="000821F6" w:rsidP="002F5A46">
      <w:pPr>
        <w:tabs>
          <w:tab w:val="left" w:pos="851"/>
        </w:tabs>
        <w:ind w:left="851"/>
        <w:rPr>
          <w:sz w:val="24"/>
          <w:szCs w:val="24"/>
          <w:lang w:val="sv-SE"/>
        </w:rPr>
      </w:pPr>
      <w:r w:rsidRPr="000821F6">
        <w:rPr>
          <w:sz w:val="24"/>
          <w:szCs w:val="24"/>
          <w:lang w:val="sv-SE"/>
        </w:rPr>
        <w:t>Strandvägen 7A</w:t>
      </w:r>
    </w:p>
    <w:p w14:paraId="06C511B3" w14:textId="77777777" w:rsidR="000821F6" w:rsidRPr="000821F6" w:rsidRDefault="000821F6" w:rsidP="000821F6">
      <w:pPr>
        <w:tabs>
          <w:tab w:val="left" w:pos="851"/>
        </w:tabs>
        <w:ind w:left="851"/>
        <w:rPr>
          <w:sz w:val="24"/>
          <w:szCs w:val="24"/>
        </w:rPr>
      </w:pPr>
      <w:r w:rsidRPr="000821F6">
        <w:rPr>
          <w:sz w:val="24"/>
          <w:szCs w:val="24"/>
        </w:rPr>
        <w:t>114 56 Stockholm</w:t>
      </w:r>
    </w:p>
    <w:p w14:paraId="5144AC62" w14:textId="77777777" w:rsidR="000821F6" w:rsidRPr="000821F6" w:rsidRDefault="000821F6" w:rsidP="000821F6">
      <w:pPr>
        <w:tabs>
          <w:tab w:val="left" w:pos="851"/>
        </w:tabs>
        <w:ind w:left="851"/>
        <w:rPr>
          <w:sz w:val="24"/>
          <w:szCs w:val="24"/>
        </w:rPr>
      </w:pPr>
      <w:r w:rsidRPr="000821F6">
        <w:rPr>
          <w:sz w:val="24"/>
          <w:szCs w:val="24"/>
        </w:rPr>
        <w:t>Sverige</w:t>
      </w:r>
    </w:p>
    <w:p w14:paraId="0D0D94A9" w14:textId="77777777" w:rsidR="004B0047" w:rsidRPr="00C84483" w:rsidRDefault="004B0047" w:rsidP="009260DE">
      <w:pPr>
        <w:tabs>
          <w:tab w:val="left" w:pos="851"/>
        </w:tabs>
        <w:ind w:left="851"/>
        <w:rPr>
          <w:sz w:val="24"/>
          <w:szCs w:val="24"/>
        </w:rPr>
      </w:pPr>
    </w:p>
    <w:p w14:paraId="30561631" w14:textId="18DA48A2"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E422A7">
        <w:rPr>
          <w:b/>
          <w:sz w:val="24"/>
          <w:szCs w:val="24"/>
        </w:rPr>
        <w:t>-</w:t>
      </w:r>
      <w:r w:rsidRPr="00C84483">
        <w:rPr>
          <w:b/>
          <w:sz w:val="24"/>
          <w:szCs w:val="24"/>
        </w:rPr>
        <w:t>NUMRE)</w:t>
      </w:r>
    </w:p>
    <w:p w14:paraId="4B9C3023" w14:textId="6D75BF9D" w:rsidR="00395785" w:rsidRPr="00C84483" w:rsidRDefault="00395785" w:rsidP="00395785">
      <w:pPr>
        <w:tabs>
          <w:tab w:val="left" w:pos="851"/>
        </w:tabs>
        <w:ind w:left="851"/>
        <w:rPr>
          <w:sz w:val="24"/>
          <w:szCs w:val="24"/>
        </w:rPr>
      </w:pPr>
      <w:r>
        <w:rPr>
          <w:sz w:val="24"/>
          <w:szCs w:val="24"/>
        </w:rPr>
        <w:t>65179</w:t>
      </w:r>
    </w:p>
    <w:p w14:paraId="58DF030E" w14:textId="77777777" w:rsidR="009260DE" w:rsidRPr="00C84483" w:rsidRDefault="009260DE" w:rsidP="009260DE">
      <w:pPr>
        <w:tabs>
          <w:tab w:val="left" w:pos="851"/>
        </w:tabs>
        <w:ind w:left="851"/>
        <w:jc w:val="both"/>
        <w:rPr>
          <w:sz w:val="24"/>
          <w:szCs w:val="24"/>
        </w:rPr>
      </w:pPr>
    </w:p>
    <w:p w14:paraId="7E851EE7"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3FF768F" w14:textId="24C1FD97" w:rsidR="009260DE" w:rsidRPr="00C84483" w:rsidRDefault="007C10BE" w:rsidP="009260DE">
      <w:pPr>
        <w:tabs>
          <w:tab w:val="left" w:pos="851"/>
        </w:tabs>
        <w:ind w:left="851"/>
        <w:rPr>
          <w:sz w:val="24"/>
          <w:szCs w:val="24"/>
        </w:rPr>
      </w:pPr>
      <w:r>
        <w:rPr>
          <w:sz w:val="24"/>
          <w:szCs w:val="24"/>
        </w:rPr>
        <w:t>2. september 2022</w:t>
      </w:r>
    </w:p>
    <w:p w14:paraId="0A74227F" w14:textId="77777777" w:rsidR="009260DE" w:rsidRPr="00C84483" w:rsidRDefault="009260DE" w:rsidP="009260DE">
      <w:pPr>
        <w:tabs>
          <w:tab w:val="left" w:pos="851"/>
        </w:tabs>
        <w:ind w:left="851"/>
        <w:rPr>
          <w:sz w:val="24"/>
          <w:szCs w:val="24"/>
        </w:rPr>
      </w:pPr>
    </w:p>
    <w:p w14:paraId="245C0DBF"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A882748" w14:textId="7062D017" w:rsidR="009260DE" w:rsidRPr="00C84483" w:rsidRDefault="000821F6" w:rsidP="009260DE">
      <w:pPr>
        <w:tabs>
          <w:tab w:val="left" w:pos="851"/>
        </w:tabs>
        <w:ind w:left="851"/>
        <w:rPr>
          <w:sz w:val="24"/>
          <w:szCs w:val="24"/>
        </w:rPr>
      </w:pPr>
      <w:r>
        <w:rPr>
          <w:sz w:val="24"/>
          <w:szCs w:val="24"/>
        </w:rPr>
        <w:t>13. oktober 2023</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09EF8" w14:textId="77777777" w:rsidR="003F5B6E" w:rsidRDefault="003F5B6E">
      <w:r>
        <w:separator/>
      </w:r>
    </w:p>
  </w:endnote>
  <w:endnote w:type="continuationSeparator" w:id="0">
    <w:p w14:paraId="2FB877AA" w14:textId="77777777" w:rsidR="003F5B6E" w:rsidRDefault="003F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9BBCC" w14:textId="77777777" w:rsidR="000259B9" w:rsidRDefault="000259B9">
    <w:pPr>
      <w:pStyle w:val="Sidefod"/>
      <w:pBdr>
        <w:bottom w:val="single" w:sz="6" w:space="1" w:color="auto"/>
      </w:pBdr>
    </w:pPr>
  </w:p>
  <w:p w14:paraId="11663497" w14:textId="77777777" w:rsidR="000259B9" w:rsidRDefault="000259B9" w:rsidP="00C42586">
    <w:pPr>
      <w:pStyle w:val="Sidefod"/>
      <w:tabs>
        <w:tab w:val="clear" w:pos="4819"/>
        <w:tab w:val="left" w:pos="8505"/>
      </w:tabs>
      <w:rPr>
        <w:i/>
        <w:sz w:val="18"/>
        <w:szCs w:val="18"/>
      </w:rPr>
    </w:pPr>
  </w:p>
  <w:p w14:paraId="18FC302B"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1666D">
      <w:rPr>
        <w:i/>
        <w:noProof/>
        <w:sz w:val="18"/>
        <w:szCs w:val="18"/>
      </w:rPr>
      <w:t>Gynoflor, vaginaltabletter 0,03-50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E95B8" w14:textId="77777777" w:rsidR="003F5B6E" w:rsidRDefault="003F5B6E">
      <w:r>
        <w:separator/>
      </w:r>
    </w:p>
  </w:footnote>
  <w:footnote w:type="continuationSeparator" w:id="0">
    <w:p w14:paraId="43CD4133" w14:textId="77777777" w:rsidR="003F5B6E" w:rsidRDefault="003F5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B96F75"/>
    <w:multiLevelType w:val="hybridMultilevel"/>
    <w:tmpl w:val="69E290FA"/>
    <w:lvl w:ilvl="0" w:tplc="B7DAC2D8">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B793EE5"/>
    <w:multiLevelType w:val="hybridMultilevel"/>
    <w:tmpl w:val="3B9C4BE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6E"/>
    <w:rsid w:val="000259B9"/>
    <w:rsid w:val="00041491"/>
    <w:rsid w:val="00050D16"/>
    <w:rsid w:val="000730CA"/>
    <w:rsid w:val="00074F2A"/>
    <w:rsid w:val="000821F6"/>
    <w:rsid w:val="000A1CA8"/>
    <w:rsid w:val="000A466B"/>
    <w:rsid w:val="000B058C"/>
    <w:rsid w:val="000E4EE6"/>
    <w:rsid w:val="00124011"/>
    <w:rsid w:val="001454E2"/>
    <w:rsid w:val="001A4AE6"/>
    <w:rsid w:val="00206CE8"/>
    <w:rsid w:val="0021526C"/>
    <w:rsid w:val="00283A2B"/>
    <w:rsid w:val="002B30AD"/>
    <w:rsid w:val="002C2C01"/>
    <w:rsid w:val="002F5A46"/>
    <w:rsid w:val="0033063F"/>
    <w:rsid w:val="00395785"/>
    <w:rsid w:val="003A29AE"/>
    <w:rsid w:val="003A32D7"/>
    <w:rsid w:val="003B4074"/>
    <w:rsid w:val="003C769A"/>
    <w:rsid w:val="003F1838"/>
    <w:rsid w:val="003F5B6E"/>
    <w:rsid w:val="0045746C"/>
    <w:rsid w:val="0049104B"/>
    <w:rsid w:val="004B0047"/>
    <w:rsid w:val="004E3B12"/>
    <w:rsid w:val="004E58F6"/>
    <w:rsid w:val="00532310"/>
    <w:rsid w:val="00565F0F"/>
    <w:rsid w:val="00594A86"/>
    <w:rsid w:val="00596D86"/>
    <w:rsid w:val="005B1A5B"/>
    <w:rsid w:val="00613801"/>
    <w:rsid w:val="00637F5A"/>
    <w:rsid w:val="006560B1"/>
    <w:rsid w:val="006756DD"/>
    <w:rsid w:val="006B0F31"/>
    <w:rsid w:val="00737275"/>
    <w:rsid w:val="00740EEC"/>
    <w:rsid w:val="0078011A"/>
    <w:rsid w:val="00782AF4"/>
    <w:rsid w:val="00790860"/>
    <w:rsid w:val="00790EE7"/>
    <w:rsid w:val="007B6649"/>
    <w:rsid w:val="007C10BE"/>
    <w:rsid w:val="008059F3"/>
    <w:rsid w:val="0081419B"/>
    <w:rsid w:val="008253BC"/>
    <w:rsid w:val="0082576E"/>
    <w:rsid w:val="00853173"/>
    <w:rsid w:val="00866103"/>
    <w:rsid w:val="00907F75"/>
    <w:rsid w:val="009260DE"/>
    <w:rsid w:val="0093258A"/>
    <w:rsid w:val="00994C37"/>
    <w:rsid w:val="009A33D3"/>
    <w:rsid w:val="009C7BA3"/>
    <w:rsid w:val="009D1F5A"/>
    <w:rsid w:val="00A10294"/>
    <w:rsid w:val="00A1666D"/>
    <w:rsid w:val="00A23F4F"/>
    <w:rsid w:val="00A84598"/>
    <w:rsid w:val="00AD3F8C"/>
    <w:rsid w:val="00AE7073"/>
    <w:rsid w:val="00B003BF"/>
    <w:rsid w:val="00B12C3B"/>
    <w:rsid w:val="00B373D7"/>
    <w:rsid w:val="00C36276"/>
    <w:rsid w:val="00C42586"/>
    <w:rsid w:val="00C51EA3"/>
    <w:rsid w:val="00C60CCD"/>
    <w:rsid w:val="00C74584"/>
    <w:rsid w:val="00C84483"/>
    <w:rsid w:val="00C95551"/>
    <w:rsid w:val="00CA2C50"/>
    <w:rsid w:val="00CB20D7"/>
    <w:rsid w:val="00CB320F"/>
    <w:rsid w:val="00D020B0"/>
    <w:rsid w:val="00D11748"/>
    <w:rsid w:val="00D366CF"/>
    <w:rsid w:val="00D40702"/>
    <w:rsid w:val="00DF3A52"/>
    <w:rsid w:val="00E108AA"/>
    <w:rsid w:val="00E3749A"/>
    <w:rsid w:val="00E422A7"/>
    <w:rsid w:val="00E7437F"/>
    <w:rsid w:val="00E865B8"/>
    <w:rsid w:val="00EA6CCB"/>
    <w:rsid w:val="00EC0B9B"/>
    <w:rsid w:val="00ED5E9F"/>
    <w:rsid w:val="00F04B2F"/>
    <w:rsid w:val="00F572C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DF701"/>
  <w15:chartTrackingRefBased/>
  <w15:docId w15:val="{E58B6032-AFF4-4274-A085-725875E7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Corpsdetexte1">
    <w:name w:val="Corps de texte1"/>
    <w:basedOn w:val="Normal"/>
    <w:rsid w:val="00C74584"/>
    <w:pPr>
      <w:suppressAutoHyphens/>
      <w:autoSpaceDN w:val="0"/>
    </w:pPr>
    <w:rPr>
      <w:i/>
      <w:color w:val="008000"/>
      <w:sz w:val="22"/>
    </w:rPr>
  </w:style>
  <w:style w:type="character" w:customStyle="1" w:styleId="Policepardfaut1">
    <w:name w:val="Police par défaut1"/>
    <w:rsid w:val="00C74584"/>
  </w:style>
  <w:style w:type="character" w:styleId="Hyperlink">
    <w:name w:val="Hyperlink"/>
    <w:basedOn w:val="Standardskrifttypeiafsnit"/>
    <w:uiPriority w:val="99"/>
    <w:semiHidden/>
    <w:unhideWhenUsed/>
    <w:rsid w:val="00C74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16432">
      <w:bodyDiv w:val="1"/>
      <w:marLeft w:val="0"/>
      <w:marRight w:val="0"/>
      <w:marTop w:val="0"/>
      <w:marBottom w:val="0"/>
      <w:divBdr>
        <w:top w:val="none" w:sz="0" w:space="0" w:color="auto"/>
        <w:left w:val="none" w:sz="0" w:space="0" w:color="auto"/>
        <w:bottom w:val="none" w:sz="0" w:space="0" w:color="auto"/>
        <w:right w:val="none" w:sz="0" w:space="0" w:color="auto"/>
      </w:divBdr>
    </w:div>
    <w:div w:id="16105079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0214268">
      <w:bodyDiv w:val="1"/>
      <w:marLeft w:val="0"/>
      <w:marRight w:val="0"/>
      <w:marTop w:val="0"/>
      <w:marBottom w:val="0"/>
      <w:divBdr>
        <w:top w:val="none" w:sz="0" w:space="0" w:color="auto"/>
        <w:left w:val="none" w:sz="0" w:space="0" w:color="auto"/>
        <w:bottom w:val="none" w:sz="0" w:space="0" w:color="auto"/>
        <w:right w:val="none" w:sz="0" w:space="0" w:color="auto"/>
      </w:divBdr>
    </w:div>
    <w:div w:id="268855176">
      <w:bodyDiv w:val="1"/>
      <w:marLeft w:val="0"/>
      <w:marRight w:val="0"/>
      <w:marTop w:val="0"/>
      <w:marBottom w:val="0"/>
      <w:divBdr>
        <w:top w:val="none" w:sz="0" w:space="0" w:color="auto"/>
        <w:left w:val="none" w:sz="0" w:space="0" w:color="auto"/>
        <w:bottom w:val="none" w:sz="0" w:space="0" w:color="auto"/>
        <w:right w:val="none" w:sz="0" w:space="0" w:color="auto"/>
      </w:divBdr>
    </w:div>
    <w:div w:id="271013068">
      <w:bodyDiv w:val="1"/>
      <w:marLeft w:val="0"/>
      <w:marRight w:val="0"/>
      <w:marTop w:val="0"/>
      <w:marBottom w:val="0"/>
      <w:divBdr>
        <w:top w:val="none" w:sz="0" w:space="0" w:color="auto"/>
        <w:left w:val="none" w:sz="0" w:space="0" w:color="auto"/>
        <w:bottom w:val="none" w:sz="0" w:space="0" w:color="auto"/>
        <w:right w:val="none" w:sz="0" w:space="0" w:color="auto"/>
      </w:divBdr>
    </w:div>
    <w:div w:id="279146152">
      <w:bodyDiv w:val="1"/>
      <w:marLeft w:val="0"/>
      <w:marRight w:val="0"/>
      <w:marTop w:val="0"/>
      <w:marBottom w:val="0"/>
      <w:divBdr>
        <w:top w:val="none" w:sz="0" w:space="0" w:color="auto"/>
        <w:left w:val="none" w:sz="0" w:space="0" w:color="auto"/>
        <w:bottom w:val="none" w:sz="0" w:space="0" w:color="auto"/>
        <w:right w:val="none" w:sz="0" w:space="0" w:color="auto"/>
      </w:divBdr>
    </w:div>
    <w:div w:id="365257341">
      <w:bodyDiv w:val="1"/>
      <w:marLeft w:val="0"/>
      <w:marRight w:val="0"/>
      <w:marTop w:val="0"/>
      <w:marBottom w:val="0"/>
      <w:divBdr>
        <w:top w:val="none" w:sz="0" w:space="0" w:color="auto"/>
        <w:left w:val="none" w:sz="0" w:space="0" w:color="auto"/>
        <w:bottom w:val="none" w:sz="0" w:space="0" w:color="auto"/>
        <w:right w:val="none" w:sz="0" w:space="0" w:color="auto"/>
      </w:divBdr>
    </w:div>
    <w:div w:id="368260978">
      <w:bodyDiv w:val="1"/>
      <w:marLeft w:val="0"/>
      <w:marRight w:val="0"/>
      <w:marTop w:val="0"/>
      <w:marBottom w:val="0"/>
      <w:divBdr>
        <w:top w:val="none" w:sz="0" w:space="0" w:color="auto"/>
        <w:left w:val="none" w:sz="0" w:space="0" w:color="auto"/>
        <w:bottom w:val="none" w:sz="0" w:space="0" w:color="auto"/>
        <w:right w:val="none" w:sz="0" w:space="0" w:color="auto"/>
      </w:divBdr>
    </w:div>
    <w:div w:id="421029461">
      <w:bodyDiv w:val="1"/>
      <w:marLeft w:val="0"/>
      <w:marRight w:val="0"/>
      <w:marTop w:val="0"/>
      <w:marBottom w:val="0"/>
      <w:divBdr>
        <w:top w:val="none" w:sz="0" w:space="0" w:color="auto"/>
        <w:left w:val="none" w:sz="0" w:space="0" w:color="auto"/>
        <w:bottom w:val="none" w:sz="0" w:space="0" w:color="auto"/>
        <w:right w:val="none" w:sz="0" w:space="0" w:color="auto"/>
      </w:divBdr>
    </w:div>
    <w:div w:id="479927306">
      <w:bodyDiv w:val="1"/>
      <w:marLeft w:val="0"/>
      <w:marRight w:val="0"/>
      <w:marTop w:val="0"/>
      <w:marBottom w:val="0"/>
      <w:divBdr>
        <w:top w:val="none" w:sz="0" w:space="0" w:color="auto"/>
        <w:left w:val="none" w:sz="0" w:space="0" w:color="auto"/>
        <w:bottom w:val="none" w:sz="0" w:space="0" w:color="auto"/>
        <w:right w:val="none" w:sz="0" w:space="0" w:color="auto"/>
      </w:divBdr>
    </w:div>
    <w:div w:id="562982340">
      <w:bodyDiv w:val="1"/>
      <w:marLeft w:val="0"/>
      <w:marRight w:val="0"/>
      <w:marTop w:val="0"/>
      <w:marBottom w:val="0"/>
      <w:divBdr>
        <w:top w:val="none" w:sz="0" w:space="0" w:color="auto"/>
        <w:left w:val="none" w:sz="0" w:space="0" w:color="auto"/>
        <w:bottom w:val="none" w:sz="0" w:space="0" w:color="auto"/>
        <w:right w:val="none" w:sz="0" w:space="0" w:color="auto"/>
      </w:divBdr>
    </w:div>
    <w:div w:id="573324594">
      <w:bodyDiv w:val="1"/>
      <w:marLeft w:val="0"/>
      <w:marRight w:val="0"/>
      <w:marTop w:val="0"/>
      <w:marBottom w:val="0"/>
      <w:divBdr>
        <w:top w:val="none" w:sz="0" w:space="0" w:color="auto"/>
        <w:left w:val="none" w:sz="0" w:space="0" w:color="auto"/>
        <w:bottom w:val="none" w:sz="0" w:space="0" w:color="auto"/>
        <w:right w:val="none" w:sz="0" w:space="0" w:color="auto"/>
      </w:divBdr>
    </w:div>
    <w:div w:id="616136283">
      <w:bodyDiv w:val="1"/>
      <w:marLeft w:val="0"/>
      <w:marRight w:val="0"/>
      <w:marTop w:val="0"/>
      <w:marBottom w:val="0"/>
      <w:divBdr>
        <w:top w:val="none" w:sz="0" w:space="0" w:color="auto"/>
        <w:left w:val="none" w:sz="0" w:space="0" w:color="auto"/>
        <w:bottom w:val="none" w:sz="0" w:space="0" w:color="auto"/>
        <w:right w:val="none" w:sz="0" w:space="0" w:color="auto"/>
      </w:divBdr>
    </w:div>
    <w:div w:id="730075739">
      <w:bodyDiv w:val="1"/>
      <w:marLeft w:val="0"/>
      <w:marRight w:val="0"/>
      <w:marTop w:val="0"/>
      <w:marBottom w:val="0"/>
      <w:divBdr>
        <w:top w:val="none" w:sz="0" w:space="0" w:color="auto"/>
        <w:left w:val="none" w:sz="0" w:space="0" w:color="auto"/>
        <w:bottom w:val="none" w:sz="0" w:space="0" w:color="auto"/>
        <w:right w:val="none" w:sz="0" w:space="0" w:color="auto"/>
      </w:divBdr>
    </w:div>
    <w:div w:id="768889113">
      <w:bodyDiv w:val="1"/>
      <w:marLeft w:val="0"/>
      <w:marRight w:val="0"/>
      <w:marTop w:val="0"/>
      <w:marBottom w:val="0"/>
      <w:divBdr>
        <w:top w:val="none" w:sz="0" w:space="0" w:color="auto"/>
        <w:left w:val="none" w:sz="0" w:space="0" w:color="auto"/>
        <w:bottom w:val="none" w:sz="0" w:space="0" w:color="auto"/>
        <w:right w:val="none" w:sz="0" w:space="0" w:color="auto"/>
      </w:divBdr>
    </w:div>
    <w:div w:id="825829132">
      <w:bodyDiv w:val="1"/>
      <w:marLeft w:val="0"/>
      <w:marRight w:val="0"/>
      <w:marTop w:val="0"/>
      <w:marBottom w:val="0"/>
      <w:divBdr>
        <w:top w:val="none" w:sz="0" w:space="0" w:color="auto"/>
        <w:left w:val="none" w:sz="0" w:space="0" w:color="auto"/>
        <w:bottom w:val="none" w:sz="0" w:space="0" w:color="auto"/>
        <w:right w:val="none" w:sz="0" w:space="0" w:color="auto"/>
      </w:divBdr>
    </w:div>
    <w:div w:id="855071303">
      <w:bodyDiv w:val="1"/>
      <w:marLeft w:val="0"/>
      <w:marRight w:val="0"/>
      <w:marTop w:val="0"/>
      <w:marBottom w:val="0"/>
      <w:divBdr>
        <w:top w:val="none" w:sz="0" w:space="0" w:color="auto"/>
        <w:left w:val="none" w:sz="0" w:space="0" w:color="auto"/>
        <w:bottom w:val="none" w:sz="0" w:space="0" w:color="auto"/>
        <w:right w:val="none" w:sz="0" w:space="0" w:color="auto"/>
      </w:divBdr>
    </w:div>
    <w:div w:id="915895476">
      <w:bodyDiv w:val="1"/>
      <w:marLeft w:val="0"/>
      <w:marRight w:val="0"/>
      <w:marTop w:val="0"/>
      <w:marBottom w:val="0"/>
      <w:divBdr>
        <w:top w:val="none" w:sz="0" w:space="0" w:color="auto"/>
        <w:left w:val="none" w:sz="0" w:space="0" w:color="auto"/>
        <w:bottom w:val="none" w:sz="0" w:space="0" w:color="auto"/>
        <w:right w:val="none" w:sz="0" w:space="0" w:color="auto"/>
      </w:divBdr>
    </w:div>
    <w:div w:id="951202700">
      <w:bodyDiv w:val="1"/>
      <w:marLeft w:val="0"/>
      <w:marRight w:val="0"/>
      <w:marTop w:val="0"/>
      <w:marBottom w:val="0"/>
      <w:divBdr>
        <w:top w:val="none" w:sz="0" w:space="0" w:color="auto"/>
        <w:left w:val="none" w:sz="0" w:space="0" w:color="auto"/>
        <w:bottom w:val="none" w:sz="0" w:space="0" w:color="auto"/>
        <w:right w:val="none" w:sz="0" w:space="0" w:color="auto"/>
      </w:divBdr>
    </w:div>
    <w:div w:id="982975032">
      <w:bodyDiv w:val="1"/>
      <w:marLeft w:val="0"/>
      <w:marRight w:val="0"/>
      <w:marTop w:val="0"/>
      <w:marBottom w:val="0"/>
      <w:divBdr>
        <w:top w:val="none" w:sz="0" w:space="0" w:color="auto"/>
        <w:left w:val="none" w:sz="0" w:space="0" w:color="auto"/>
        <w:bottom w:val="none" w:sz="0" w:space="0" w:color="auto"/>
        <w:right w:val="none" w:sz="0" w:space="0" w:color="auto"/>
      </w:divBdr>
    </w:div>
    <w:div w:id="1011570816">
      <w:bodyDiv w:val="1"/>
      <w:marLeft w:val="0"/>
      <w:marRight w:val="0"/>
      <w:marTop w:val="0"/>
      <w:marBottom w:val="0"/>
      <w:divBdr>
        <w:top w:val="none" w:sz="0" w:space="0" w:color="auto"/>
        <w:left w:val="none" w:sz="0" w:space="0" w:color="auto"/>
        <w:bottom w:val="none" w:sz="0" w:space="0" w:color="auto"/>
        <w:right w:val="none" w:sz="0" w:space="0" w:color="auto"/>
      </w:divBdr>
    </w:div>
    <w:div w:id="1013725676">
      <w:bodyDiv w:val="1"/>
      <w:marLeft w:val="0"/>
      <w:marRight w:val="0"/>
      <w:marTop w:val="0"/>
      <w:marBottom w:val="0"/>
      <w:divBdr>
        <w:top w:val="none" w:sz="0" w:space="0" w:color="auto"/>
        <w:left w:val="none" w:sz="0" w:space="0" w:color="auto"/>
        <w:bottom w:val="none" w:sz="0" w:space="0" w:color="auto"/>
        <w:right w:val="none" w:sz="0" w:space="0" w:color="auto"/>
      </w:divBdr>
    </w:div>
    <w:div w:id="1094131761">
      <w:bodyDiv w:val="1"/>
      <w:marLeft w:val="0"/>
      <w:marRight w:val="0"/>
      <w:marTop w:val="0"/>
      <w:marBottom w:val="0"/>
      <w:divBdr>
        <w:top w:val="none" w:sz="0" w:space="0" w:color="auto"/>
        <w:left w:val="none" w:sz="0" w:space="0" w:color="auto"/>
        <w:bottom w:val="none" w:sz="0" w:space="0" w:color="auto"/>
        <w:right w:val="none" w:sz="0" w:space="0" w:color="auto"/>
      </w:divBdr>
    </w:div>
    <w:div w:id="1188712031">
      <w:bodyDiv w:val="1"/>
      <w:marLeft w:val="0"/>
      <w:marRight w:val="0"/>
      <w:marTop w:val="0"/>
      <w:marBottom w:val="0"/>
      <w:divBdr>
        <w:top w:val="none" w:sz="0" w:space="0" w:color="auto"/>
        <w:left w:val="none" w:sz="0" w:space="0" w:color="auto"/>
        <w:bottom w:val="none" w:sz="0" w:space="0" w:color="auto"/>
        <w:right w:val="none" w:sz="0" w:space="0" w:color="auto"/>
      </w:divBdr>
    </w:div>
    <w:div w:id="1192845182">
      <w:bodyDiv w:val="1"/>
      <w:marLeft w:val="0"/>
      <w:marRight w:val="0"/>
      <w:marTop w:val="0"/>
      <w:marBottom w:val="0"/>
      <w:divBdr>
        <w:top w:val="none" w:sz="0" w:space="0" w:color="auto"/>
        <w:left w:val="none" w:sz="0" w:space="0" w:color="auto"/>
        <w:bottom w:val="none" w:sz="0" w:space="0" w:color="auto"/>
        <w:right w:val="none" w:sz="0" w:space="0" w:color="auto"/>
      </w:divBdr>
    </w:div>
    <w:div w:id="1198350188">
      <w:bodyDiv w:val="1"/>
      <w:marLeft w:val="0"/>
      <w:marRight w:val="0"/>
      <w:marTop w:val="0"/>
      <w:marBottom w:val="0"/>
      <w:divBdr>
        <w:top w:val="none" w:sz="0" w:space="0" w:color="auto"/>
        <w:left w:val="none" w:sz="0" w:space="0" w:color="auto"/>
        <w:bottom w:val="none" w:sz="0" w:space="0" w:color="auto"/>
        <w:right w:val="none" w:sz="0" w:space="0" w:color="auto"/>
      </w:divBdr>
    </w:div>
    <w:div w:id="1214586732">
      <w:bodyDiv w:val="1"/>
      <w:marLeft w:val="0"/>
      <w:marRight w:val="0"/>
      <w:marTop w:val="0"/>
      <w:marBottom w:val="0"/>
      <w:divBdr>
        <w:top w:val="none" w:sz="0" w:space="0" w:color="auto"/>
        <w:left w:val="none" w:sz="0" w:space="0" w:color="auto"/>
        <w:bottom w:val="none" w:sz="0" w:space="0" w:color="auto"/>
        <w:right w:val="none" w:sz="0" w:space="0" w:color="auto"/>
      </w:divBdr>
    </w:div>
    <w:div w:id="1229995655">
      <w:bodyDiv w:val="1"/>
      <w:marLeft w:val="0"/>
      <w:marRight w:val="0"/>
      <w:marTop w:val="0"/>
      <w:marBottom w:val="0"/>
      <w:divBdr>
        <w:top w:val="none" w:sz="0" w:space="0" w:color="auto"/>
        <w:left w:val="none" w:sz="0" w:space="0" w:color="auto"/>
        <w:bottom w:val="none" w:sz="0" w:space="0" w:color="auto"/>
        <w:right w:val="none" w:sz="0" w:space="0" w:color="auto"/>
      </w:divBdr>
    </w:div>
    <w:div w:id="1233739271">
      <w:bodyDiv w:val="1"/>
      <w:marLeft w:val="0"/>
      <w:marRight w:val="0"/>
      <w:marTop w:val="0"/>
      <w:marBottom w:val="0"/>
      <w:divBdr>
        <w:top w:val="none" w:sz="0" w:space="0" w:color="auto"/>
        <w:left w:val="none" w:sz="0" w:space="0" w:color="auto"/>
        <w:bottom w:val="none" w:sz="0" w:space="0" w:color="auto"/>
        <w:right w:val="none" w:sz="0" w:space="0" w:color="auto"/>
      </w:divBdr>
    </w:div>
    <w:div w:id="1284926295">
      <w:bodyDiv w:val="1"/>
      <w:marLeft w:val="0"/>
      <w:marRight w:val="0"/>
      <w:marTop w:val="0"/>
      <w:marBottom w:val="0"/>
      <w:divBdr>
        <w:top w:val="none" w:sz="0" w:space="0" w:color="auto"/>
        <w:left w:val="none" w:sz="0" w:space="0" w:color="auto"/>
        <w:bottom w:val="none" w:sz="0" w:space="0" w:color="auto"/>
        <w:right w:val="none" w:sz="0" w:space="0" w:color="auto"/>
      </w:divBdr>
    </w:div>
    <w:div w:id="1407412759">
      <w:bodyDiv w:val="1"/>
      <w:marLeft w:val="0"/>
      <w:marRight w:val="0"/>
      <w:marTop w:val="0"/>
      <w:marBottom w:val="0"/>
      <w:divBdr>
        <w:top w:val="none" w:sz="0" w:space="0" w:color="auto"/>
        <w:left w:val="none" w:sz="0" w:space="0" w:color="auto"/>
        <w:bottom w:val="none" w:sz="0" w:space="0" w:color="auto"/>
        <w:right w:val="none" w:sz="0" w:space="0" w:color="auto"/>
      </w:divBdr>
    </w:div>
    <w:div w:id="1453553433">
      <w:bodyDiv w:val="1"/>
      <w:marLeft w:val="0"/>
      <w:marRight w:val="0"/>
      <w:marTop w:val="0"/>
      <w:marBottom w:val="0"/>
      <w:divBdr>
        <w:top w:val="none" w:sz="0" w:space="0" w:color="auto"/>
        <w:left w:val="none" w:sz="0" w:space="0" w:color="auto"/>
        <w:bottom w:val="none" w:sz="0" w:space="0" w:color="auto"/>
        <w:right w:val="none" w:sz="0" w:space="0" w:color="auto"/>
      </w:divBdr>
    </w:div>
    <w:div w:id="1487279404">
      <w:bodyDiv w:val="1"/>
      <w:marLeft w:val="0"/>
      <w:marRight w:val="0"/>
      <w:marTop w:val="0"/>
      <w:marBottom w:val="0"/>
      <w:divBdr>
        <w:top w:val="none" w:sz="0" w:space="0" w:color="auto"/>
        <w:left w:val="none" w:sz="0" w:space="0" w:color="auto"/>
        <w:bottom w:val="none" w:sz="0" w:space="0" w:color="auto"/>
        <w:right w:val="none" w:sz="0" w:space="0" w:color="auto"/>
      </w:divBdr>
    </w:div>
    <w:div w:id="1536650349">
      <w:bodyDiv w:val="1"/>
      <w:marLeft w:val="0"/>
      <w:marRight w:val="0"/>
      <w:marTop w:val="0"/>
      <w:marBottom w:val="0"/>
      <w:divBdr>
        <w:top w:val="none" w:sz="0" w:space="0" w:color="auto"/>
        <w:left w:val="none" w:sz="0" w:space="0" w:color="auto"/>
        <w:bottom w:val="none" w:sz="0" w:space="0" w:color="auto"/>
        <w:right w:val="none" w:sz="0" w:space="0" w:color="auto"/>
      </w:divBdr>
    </w:div>
    <w:div w:id="1599025457">
      <w:bodyDiv w:val="1"/>
      <w:marLeft w:val="0"/>
      <w:marRight w:val="0"/>
      <w:marTop w:val="0"/>
      <w:marBottom w:val="0"/>
      <w:divBdr>
        <w:top w:val="none" w:sz="0" w:space="0" w:color="auto"/>
        <w:left w:val="none" w:sz="0" w:space="0" w:color="auto"/>
        <w:bottom w:val="none" w:sz="0" w:space="0" w:color="auto"/>
        <w:right w:val="none" w:sz="0" w:space="0" w:color="auto"/>
      </w:divBdr>
    </w:div>
    <w:div w:id="1633906131">
      <w:bodyDiv w:val="1"/>
      <w:marLeft w:val="0"/>
      <w:marRight w:val="0"/>
      <w:marTop w:val="0"/>
      <w:marBottom w:val="0"/>
      <w:divBdr>
        <w:top w:val="none" w:sz="0" w:space="0" w:color="auto"/>
        <w:left w:val="none" w:sz="0" w:space="0" w:color="auto"/>
        <w:bottom w:val="none" w:sz="0" w:space="0" w:color="auto"/>
        <w:right w:val="none" w:sz="0" w:space="0" w:color="auto"/>
      </w:divBdr>
    </w:div>
    <w:div w:id="1669868923">
      <w:bodyDiv w:val="1"/>
      <w:marLeft w:val="0"/>
      <w:marRight w:val="0"/>
      <w:marTop w:val="0"/>
      <w:marBottom w:val="0"/>
      <w:divBdr>
        <w:top w:val="none" w:sz="0" w:space="0" w:color="auto"/>
        <w:left w:val="none" w:sz="0" w:space="0" w:color="auto"/>
        <w:bottom w:val="none" w:sz="0" w:space="0" w:color="auto"/>
        <w:right w:val="none" w:sz="0" w:space="0" w:color="auto"/>
      </w:divBdr>
    </w:div>
    <w:div w:id="1701857598">
      <w:bodyDiv w:val="1"/>
      <w:marLeft w:val="0"/>
      <w:marRight w:val="0"/>
      <w:marTop w:val="0"/>
      <w:marBottom w:val="0"/>
      <w:divBdr>
        <w:top w:val="none" w:sz="0" w:space="0" w:color="auto"/>
        <w:left w:val="none" w:sz="0" w:space="0" w:color="auto"/>
        <w:bottom w:val="none" w:sz="0" w:space="0" w:color="auto"/>
        <w:right w:val="none" w:sz="0" w:space="0" w:color="auto"/>
      </w:divBdr>
    </w:div>
    <w:div w:id="1706637504">
      <w:bodyDiv w:val="1"/>
      <w:marLeft w:val="0"/>
      <w:marRight w:val="0"/>
      <w:marTop w:val="0"/>
      <w:marBottom w:val="0"/>
      <w:divBdr>
        <w:top w:val="none" w:sz="0" w:space="0" w:color="auto"/>
        <w:left w:val="none" w:sz="0" w:space="0" w:color="auto"/>
        <w:bottom w:val="none" w:sz="0" w:space="0" w:color="auto"/>
        <w:right w:val="none" w:sz="0" w:space="0" w:color="auto"/>
      </w:divBdr>
    </w:div>
    <w:div w:id="1723942517">
      <w:bodyDiv w:val="1"/>
      <w:marLeft w:val="0"/>
      <w:marRight w:val="0"/>
      <w:marTop w:val="0"/>
      <w:marBottom w:val="0"/>
      <w:divBdr>
        <w:top w:val="none" w:sz="0" w:space="0" w:color="auto"/>
        <w:left w:val="none" w:sz="0" w:space="0" w:color="auto"/>
        <w:bottom w:val="none" w:sz="0" w:space="0" w:color="auto"/>
        <w:right w:val="none" w:sz="0" w:space="0" w:color="auto"/>
      </w:divBdr>
    </w:div>
    <w:div w:id="1735739113">
      <w:bodyDiv w:val="1"/>
      <w:marLeft w:val="0"/>
      <w:marRight w:val="0"/>
      <w:marTop w:val="0"/>
      <w:marBottom w:val="0"/>
      <w:divBdr>
        <w:top w:val="none" w:sz="0" w:space="0" w:color="auto"/>
        <w:left w:val="none" w:sz="0" w:space="0" w:color="auto"/>
        <w:bottom w:val="none" w:sz="0" w:space="0" w:color="auto"/>
        <w:right w:val="none" w:sz="0" w:space="0" w:color="auto"/>
      </w:divBdr>
    </w:div>
    <w:div w:id="1804930889">
      <w:bodyDiv w:val="1"/>
      <w:marLeft w:val="0"/>
      <w:marRight w:val="0"/>
      <w:marTop w:val="0"/>
      <w:marBottom w:val="0"/>
      <w:divBdr>
        <w:top w:val="none" w:sz="0" w:space="0" w:color="auto"/>
        <w:left w:val="none" w:sz="0" w:space="0" w:color="auto"/>
        <w:bottom w:val="none" w:sz="0" w:space="0" w:color="auto"/>
        <w:right w:val="none" w:sz="0" w:space="0" w:color="auto"/>
      </w:divBdr>
    </w:div>
    <w:div w:id="1823623524">
      <w:bodyDiv w:val="1"/>
      <w:marLeft w:val="0"/>
      <w:marRight w:val="0"/>
      <w:marTop w:val="0"/>
      <w:marBottom w:val="0"/>
      <w:divBdr>
        <w:top w:val="none" w:sz="0" w:space="0" w:color="auto"/>
        <w:left w:val="none" w:sz="0" w:space="0" w:color="auto"/>
        <w:bottom w:val="none" w:sz="0" w:space="0" w:color="auto"/>
        <w:right w:val="none" w:sz="0" w:space="0" w:color="auto"/>
      </w:divBdr>
    </w:div>
    <w:div w:id="1844314534">
      <w:bodyDiv w:val="1"/>
      <w:marLeft w:val="0"/>
      <w:marRight w:val="0"/>
      <w:marTop w:val="0"/>
      <w:marBottom w:val="0"/>
      <w:divBdr>
        <w:top w:val="none" w:sz="0" w:space="0" w:color="auto"/>
        <w:left w:val="none" w:sz="0" w:space="0" w:color="auto"/>
        <w:bottom w:val="none" w:sz="0" w:space="0" w:color="auto"/>
        <w:right w:val="none" w:sz="0" w:space="0" w:color="auto"/>
      </w:divBdr>
    </w:div>
    <w:div w:id="1868907755">
      <w:bodyDiv w:val="1"/>
      <w:marLeft w:val="0"/>
      <w:marRight w:val="0"/>
      <w:marTop w:val="0"/>
      <w:marBottom w:val="0"/>
      <w:divBdr>
        <w:top w:val="none" w:sz="0" w:space="0" w:color="auto"/>
        <w:left w:val="none" w:sz="0" w:space="0" w:color="auto"/>
        <w:bottom w:val="none" w:sz="0" w:space="0" w:color="auto"/>
        <w:right w:val="none" w:sz="0" w:space="0" w:color="auto"/>
      </w:divBdr>
    </w:div>
    <w:div w:id="1906915520">
      <w:bodyDiv w:val="1"/>
      <w:marLeft w:val="0"/>
      <w:marRight w:val="0"/>
      <w:marTop w:val="0"/>
      <w:marBottom w:val="0"/>
      <w:divBdr>
        <w:top w:val="none" w:sz="0" w:space="0" w:color="auto"/>
        <w:left w:val="none" w:sz="0" w:space="0" w:color="auto"/>
        <w:bottom w:val="none" w:sz="0" w:space="0" w:color="auto"/>
        <w:right w:val="none" w:sz="0" w:space="0" w:color="auto"/>
      </w:divBdr>
    </w:div>
    <w:div w:id="203372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11</Pages>
  <Words>3161</Words>
  <Characters>20591</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2020101195 mt - korrektion af repræsentanten</dc:description>
  <cp:lastModifiedBy>Hanne Thy Iversen</cp:lastModifiedBy>
  <cp:revision>16</cp:revision>
  <cp:lastPrinted>2012-08-22T08:53:00Z</cp:lastPrinted>
  <dcterms:created xsi:type="dcterms:W3CDTF">2022-09-01T14:10:00Z</dcterms:created>
  <dcterms:modified xsi:type="dcterms:W3CDTF">2023-10-13T10:31:00Z</dcterms:modified>
</cp:coreProperties>
</file>