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D2CC" w14:textId="309E3426" w:rsidR="009260DE" w:rsidRPr="00D31F28" w:rsidRDefault="0021526C" w:rsidP="005C0340">
      <w:pPr>
        <w:rPr>
          <w:b/>
          <w:sz w:val="24"/>
          <w:szCs w:val="24"/>
        </w:rPr>
      </w:pPr>
      <w:r w:rsidRPr="00D31F28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0A210497" wp14:editId="2FB9DB84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D31F28">
        <w:rPr>
          <w:sz w:val="24"/>
          <w:szCs w:val="24"/>
        </w:rPr>
        <w:br w:type="textWrapping" w:clear="all"/>
      </w:r>
    </w:p>
    <w:p w14:paraId="2E0DE2FB" w14:textId="0D2CB385" w:rsidR="009260DE" w:rsidRPr="00D31F28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D31F28">
        <w:rPr>
          <w:b w:val="0"/>
          <w:szCs w:val="24"/>
          <w:lang w:eastAsia="en-US"/>
        </w:rPr>
        <w:tab/>
      </w:r>
      <w:r w:rsidR="00724860">
        <w:rPr>
          <w:szCs w:val="24"/>
        </w:rPr>
        <w:t>18. maj 2026</w:t>
      </w:r>
    </w:p>
    <w:p w14:paraId="65C98F39" w14:textId="77777777" w:rsidR="009260DE" w:rsidRPr="00D31F28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008867F6" w14:textId="77777777" w:rsidR="009260DE" w:rsidRPr="00D31F28" w:rsidRDefault="009260DE" w:rsidP="009260DE">
      <w:pPr>
        <w:pStyle w:val="Titel"/>
        <w:jc w:val="left"/>
        <w:rPr>
          <w:b w:val="0"/>
          <w:szCs w:val="24"/>
        </w:rPr>
      </w:pPr>
    </w:p>
    <w:p w14:paraId="0C08EB36" w14:textId="77777777" w:rsidR="009260DE" w:rsidRPr="00D31F28" w:rsidRDefault="009260DE" w:rsidP="009260DE">
      <w:pPr>
        <w:pStyle w:val="Titel"/>
        <w:jc w:val="left"/>
        <w:rPr>
          <w:b w:val="0"/>
          <w:szCs w:val="24"/>
        </w:rPr>
      </w:pPr>
    </w:p>
    <w:p w14:paraId="4D343BDA" w14:textId="77777777" w:rsidR="009260DE" w:rsidRPr="00D31F28" w:rsidRDefault="009260DE" w:rsidP="009260DE">
      <w:pPr>
        <w:jc w:val="center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PRODUKTRESUMÉ</w:t>
      </w:r>
    </w:p>
    <w:p w14:paraId="67E8F93D" w14:textId="77777777" w:rsidR="009260DE" w:rsidRPr="00D31F28" w:rsidRDefault="009260DE" w:rsidP="009260DE">
      <w:pPr>
        <w:jc w:val="center"/>
        <w:rPr>
          <w:b/>
          <w:sz w:val="24"/>
          <w:szCs w:val="24"/>
        </w:rPr>
      </w:pPr>
    </w:p>
    <w:p w14:paraId="6FAE95FD" w14:textId="77777777" w:rsidR="009260DE" w:rsidRPr="00D31F28" w:rsidRDefault="009260DE" w:rsidP="009260DE">
      <w:pPr>
        <w:jc w:val="center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for</w:t>
      </w:r>
    </w:p>
    <w:p w14:paraId="17BCFC48" w14:textId="77777777" w:rsidR="000B058C" w:rsidRPr="00D31F28" w:rsidRDefault="000B058C" w:rsidP="009260DE">
      <w:pPr>
        <w:jc w:val="center"/>
        <w:rPr>
          <w:b/>
          <w:sz w:val="24"/>
          <w:szCs w:val="24"/>
        </w:rPr>
      </w:pPr>
    </w:p>
    <w:p w14:paraId="482702E3" w14:textId="277FF7E6" w:rsidR="009260DE" w:rsidRPr="00D31F28" w:rsidRDefault="00264267" w:rsidP="009260DE">
      <w:pPr>
        <w:jc w:val="center"/>
        <w:rPr>
          <w:b/>
          <w:sz w:val="24"/>
          <w:szCs w:val="24"/>
        </w:rPr>
      </w:pPr>
      <w:proofErr w:type="spellStart"/>
      <w:r w:rsidRPr="00D31F28">
        <w:rPr>
          <w:b/>
          <w:sz w:val="24"/>
          <w:szCs w:val="24"/>
        </w:rPr>
        <w:t>Gyxiny</w:t>
      </w:r>
      <w:proofErr w:type="spellEnd"/>
      <w:r w:rsidRPr="00D31F28">
        <w:rPr>
          <w:b/>
          <w:sz w:val="24"/>
          <w:szCs w:val="24"/>
        </w:rPr>
        <w:t>, tabletter</w:t>
      </w:r>
    </w:p>
    <w:p w14:paraId="1BA6A92A" w14:textId="77777777" w:rsidR="009260DE" w:rsidRPr="00D31F28" w:rsidRDefault="009260DE" w:rsidP="009260DE">
      <w:pPr>
        <w:jc w:val="both"/>
        <w:rPr>
          <w:sz w:val="24"/>
          <w:szCs w:val="24"/>
        </w:rPr>
      </w:pPr>
    </w:p>
    <w:p w14:paraId="63B47CE8" w14:textId="77777777" w:rsidR="009260DE" w:rsidRPr="00D31F28" w:rsidRDefault="009260DE" w:rsidP="009260DE">
      <w:pPr>
        <w:jc w:val="both"/>
        <w:rPr>
          <w:sz w:val="24"/>
          <w:szCs w:val="24"/>
        </w:rPr>
      </w:pPr>
    </w:p>
    <w:p w14:paraId="1E28C985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0.</w:t>
      </w:r>
      <w:r w:rsidRPr="00D31F28">
        <w:rPr>
          <w:b/>
          <w:sz w:val="24"/>
          <w:szCs w:val="24"/>
        </w:rPr>
        <w:tab/>
        <w:t>D.SP.NR.</w:t>
      </w:r>
    </w:p>
    <w:p w14:paraId="1DC7A2C0" w14:textId="50B1C630" w:rsidR="009260DE" w:rsidRPr="00D31F28" w:rsidRDefault="00264267" w:rsidP="009260DE">
      <w:pPr>
        <w:tabs>
          <w:tab w:val="left" w:pos="851"/>
        </w:tabs>
        <w:ind w:left="851"/>
        <w:rPr>
          <w:sz w:val="24"/>
          <w:szCs w:val="24"/>
        </w:rPr>
      </w:pPr>
      <w:r w:rsidRPr="00D31F28">
        <w:rPr>
          <w:sz w:val="24"/>
          <w:szCs w:val="24"/>
        </w:rPr>
        <w:t>3387</w:t>
      </w:r>
      <w:r w:rsidR="00AC358A">
        <w:rPr>
          <w:sz w:val="24"/>
          <w:szCs w:val="24"/>
        </w:rPr>
        <w:t>9</w:t>
      </w:r>
    </w:p>
    <w:p w14:paraId="0EBB5268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3550B2A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1.</w:t>
      </w:r>
      <w:r w:rsidRPr="00D31F28">
        <w:rPr>
          <w:b/>
          <w:sz w:val="24"/>
          <w:szCs w:val="24"/>
        </w:rPr>
        <w:tab/>
        <w:t>LÆGEMIDLETS NAVN</w:t>
      </w:r>
    </w:p>
    <w:p w14:paraId="309A2A9E" w14:textId="5E4AA25E" w:rsidR="009260DE" w:rsidRPr="00D31F28" w:rsidRDefault="00264267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D31F28">
        <w:rPr>
          <w:sz w:val="24"/>
          <w:szCs w:val="24"/>
        </w:rPr>
        <w:t>Gyxiny</w:t>
      </w:r>
      <w:proofErr w:type="spellEnd"/>
    </w:p>
    <w:p w14:paraId="2561B981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11655FE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2.</w:t>
      </w:r>
      <w:r w:rsidRPr="00D31F28">
        <w:rPr>
          <w:b/>
          <w:sz w:val="24"/>
          <w:szCs w:val="24"/>
        </w:rPr>
        <w:tab/>
        <w:t>KVALITATIV OG KVANTITATIV SAMMENSÆTNING</w:t>
      </w:r>
    </w:p>
    <w:p w14:paraId="2E8B40FB" w14:textId="77777777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Hver tablet indeholder 25 mikrogram </w:t>
      </w:r>
      <w:bookmarkStart w:id="0" w:name="_Hlk229988712"/>
      <w:proofErr w:type="spellStart"/>
      <w:r w:rsidRPr="005C0340">
        <w:rPr>
          <w:sz w:val="24"/>
          <w:szCs w:val="24"/>
        </w:rPr>
        <w:t>misoprostol</w:t>
      </w:r>
      <w:bookmarkEnd w:id="0"/>
      <w:proofErr w:type="spellEnd"/>
      <w:r w:rsidRPr="005C0340">
        <w:rPr>
          <w:sz w:val="24"/>
          <w:szCs w:val="24"/>
        </w:rPr>
        <w:t>.</w:t>
      </w:r>
    </w:p>
    <w:p w14:paraId="2F48A21E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108036F0" w14:textId="77777777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Alle hjælpestoffer er anført under pkt. 6.1.</w:t>
      </w:r>
    </w:p>
    <w:p w14:paraId="7AFB0735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B507903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3.</w:t>
      </w:r>
      <w:r w:rsidRPr="00D31F28">
        <w:rPr>
          <w:b/>
          <w:sz w:val="24"/>
          <w:szCs w:val="24"/>
        </w:rPr>
        <w:tab/>
        <w:t>LÆGEMIDDELFORM</w:t>
      </w:r>
    </w:p>
    <w:p w14:paraId="1ED88CD4" w14:textId="0691411A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Tablet</w:t>
      </w:r>
      <w:r w:rsidR="00B82979">
        <w:rPr>
          <w:sz w:val="24"/>
          <w:szCs w:val="24"/>
        </w:rPr>
        <w:t>ter</w:t>
      </w:r>
    </w:p>
    <w:p w14:paraId="749F7575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2469FE8B" w14:textId="77777777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Hvide til råhvide, 4,5 mm runde, flade tabletter med afrundede kanter.</w:t>
      </w:r>
    </w:p>
    <w:p w14:paraId="778F7EA2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6FA1273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2A29A85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</w:t>
      </w:r>
      <w:r w:rsidRPr="00D31F28">
        <w:rPr>
          <w:b/>
          <w:sz w:val="24"/>
          <w:szCs w:val="24"/>
        </w:rPr>
        <w:tab/>
        <w:t>KLINISKE OPLYSNINGER</w:t>
      </w:r>
    </w:p>
    <w:p w14:paraId="430ECADD" w14:textId="77777777" w:rsidR="009260DE" w:rsidRPr="00D31F28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2989655D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D31F28">
        <w:rPr>
          <w:b/>
          <w:sz w:val="24"/>
          <w:szCs w:val="24"/>
        </w:rPr>
        <w:t>4.1</w:t>
      </w:r>
      <w:r w:rsidRPr="00D31F28">
        <w:rPr>
          <w:b/>
          <w:sz w:val="24"/>
          <w:szCs w:val="24"/>
        </w:rPr>
        <w:tab/>
        <w:t>Terapeutiske indikationer</w:t>
      </w:r>
    </w:p>
    <w:p w14:paraId="6A9313F5" w14:textId="77777777" w:rsidR="005C0340" w:rsidRPr="005C0340" w:rsidRDefault="005C0340" w:rsidP="005C0340">
      <w:pPr>
        <w:ind w:left="851"/>
        <w:rPr>
          <w:i/>
          <w:sz w:val="24"/>
          <w:szCs w:val="24"/>
        </w:rPr>
      </w:pPr>
      <w:proofErr w:type="spellStart"/>
      <w:r w:rsidRPr="005C0340">
        <w:rPr>
          <w:sz w:val="24"/>
          <w:szCs w:val="24"/>
        </w:rPr>
        <w:t>Gyxiny</w:t>
      </w:r>
      <w:proofErr w:type="spellEnd"/>
      <w:r w:rsidRPr="005C0340">
        <w:rPr>
          <w:sz w:val="24"/>
          <w:szCs w:val="24"/>
        </w:rPr>
        <w:t xml:space="preserve"> er indiceret til induktion af fødsel.</w:t>
      </w:r>
    </w:p>
    <w:p w14:paraId="5557FB99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B5BFCA4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4.2</w:t>
      </w:r>
      <w:r w:rsidRPr="00D31F28">
        <w:rPr>
          <w:b/>
          <w:sz w:val="24"/>
          <w:szCs w:val="24"/>
        </w:rPr>
        <w:tab/>
        <w:t xml:space="preserve">Dosering og </w:t>
      </w:r>
      <w:r w:rsidR="002C1EC0" w:rsidRPr="00D31F28">
        <w:rPr>
          <w:b/>
          <w:sz w:val="24"/>
          <w:szCs w:val="24"/>
        </w:rPr>
        <w:t>administration</w:t>
      </w:r>
    </w:p>
    <w:p w14:paraId="49B0FD57" w14:textId="77777777" w:rsidR="00B82979" w:rsidRDefault="00B82979" w:rsidP="005C0340">
      <w:pPr>
        <w:ind w:left="851"/>
        <w:rPr>
          <w:sz w:val="24"/>
          <w:szCs w:val="24"/>
          <w:u w:val="single"/>
        </w:rPr>
      </w:pPr>
    </w:p>
    <w:p w14:paraId="0A7F49F3" w14:textId="0D7B2E6E" w:rsidR="005C0340" w:rsidRPr="005C0340" w:rsidRDefault="005C0340" w:rsidP="005C0340">
      <w:pPr>
        <w:ind w:left="851"/>
        <w:rPr>
          <w:sz w:val="24"/>
          <w:szCs w:val="24"/>
          <w:u w:val="single"/>
        </w:rPr>
      </w:pPr>
      <w:r w:rsidRPr="005C0340">
        <w:rPr>
          <w:sz w:val="24"/>
          <w:szCs w:val="24"/>
          <w:u w:val="single"/>
        </w:rPr>
        <w:t>Dosering</w:t>
      </w:r>
    </w:p>
    <w:p w14:paraId="5044B795" w14:textId="68773233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Den anbefalede dosering for </w:t>
      </w:r>
      <w:proofErr w:type="spellStart"/>
      <w:r w:rsidRPr="005C0340">
        <w:rPr>
          <w:sz w:val="24"/>
          <w:szCs w:val="24"/>
        </w:rPr>
        <w:t>Gyxiny</w:t>
      </w:r>
      <w:proofErr w:type="spellEnd"/>
      <w:r w:rsidRPr="005C0340">
        <w:rPr>
          <w:sz w:val="24"/>
          <w:szCs w:val="24"/>
        </w:rPr>
        <w:t xml:space="preserve"> er 25 mikrogram oralt hver anden time eller 50</w:t>
      </w:r>
      <w:r w:rsidR="00AC358A">
        <w:rPr>
          <w:sz w:val="24"/>
          <w:szCs w:val="24"/>
        </w:rPr>
        <w:t> </w:t>
      </w:r>
      <w:r w:rsidRPr="005C0340">
        <w:rPr>
          <w:sz w:val="24"/>
          <w:szCs w:val="24"/>
        </w:rPr>
        <w:t>mikrogram oralt hver fjerde time i henhold til hospitalets praksis/lokale retningslinjer for induktion af fødsel. Den maksimale daglige dosis er 200 mikrogram.</w:t>
      </w:r>
    </w:p>
    <w:p w14:paraId="7743B3D4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7B56D103" w14:textId="77777777" w:rsidR="005C0340" w:rsidRPr="005C0340" w:rsidRDefault="005C0340" w:rsidP="005C0340">
      <w:pPr>
        <w:ind w:left="851"/>
        <w:rPr>
          <w:bCs/>
          <w:sz w:val="24"/>
          <w:szCs w:val="24"/>
        </w:rPr>
      </w:pPr>
      <w:r w:rsidRPr="005C0340">
        <w:rPr>
          <w:sz w:val="24"/>
          <w:szCs w:val="24"/>
        </w:rPr>
        <w:t>Anvendelse af dette lægemiddel anbefales fra graviditetsuge 37, når livmoderhalsen er ugunstig (</w:t>
      </w:r>
      <w:proofErr w:type="spellStart"/>
      <w:r w:rsidRPr="005C0340">
        <w:rPr>
          <w:sz w:val="24"/>
          <w:szCs w:val="24"/>
        </w:rPr>
        <w:t>Bishop</w:t>
      </w:r>
      <w:proofErr w:type="spellEnd"/>
      <w:r w:rsidRPr="005C0340">
        <w:rPr>
          <w:sz w:val="24"/>
          <w:szCs w:val="24"/>
        </w:rPr>
        <w:t>-score &lt;7).</w:t>
      </w:r>
    </w:p>
    <w:p w14:paraId="4C9D49D0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492595CA" w14:textId="77777777" w:rsidR="005C0340" w:rsidRPr="005C0340" w:rsidRDefault="005C0340" w:rsidP="005C0340">
      <w:pPr>
        <w:ind w:left="851"/>
        <w:rPr>
          <w:i/>
          <w:sz w:val="24"/>
          <w:szCs w:val="24"/>
        </w:rPr>
      </w:pPr>
      <w:r w:rsidRPr="005C0340">
        <w:rPr>
          <w:i/>
          <w:sz w:val="24"/>
          <w:szCs w:val="24"/>
        </w:rPr>
        <w:t>Særlige populationer</w:t>
      </w:r>
    </w:p>
    <w:p w14:paraId="41F04F6F" w14:textId="4DAE56C2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Lavere dosis og/eller forlængede doseringsintervaller bør overvejes hos gravide kvinder med nedsat nyre- eller leverinsufficiens (se </w:t>
      </w:r>
      <w:r w:rsidR="00940955">
        <w:rPr>
          <w:sz w:val="24"/>
          <w:szCs w:val="24"/>
        </w:rPr>
        <w:t>pkt.</w:t>
      </w:r>
      <w:r w:rsidRPr="005C0340">
        <w:rPr>
          <w:sz w:val="24"/>
          <w:szCs w:val="24"/>
        </w:rPr>
        <w:t xml:space="preserve"> 4.3, 4.4 og 5.2).</w:t>
      </w:r>
    </w:p>
    <w:p w14:paraId="3B242220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743E066E" w14:textId="77777777" w:rsidR="005C0340" w:rsidRPr="005C0340" w:rsidRDefault="005C0340" w:rsidP="005C0340">
      <w:pPr>
        <w:ind w:left="851"/>
        <w:rPr>
          <w:bCs/>
          <w:i/>
          <w:iCs/>
          <w:sz w:val="24"/>
          <w:szCs w:val="24"/>
        </w:rPr>
      </w:pPr>
      <w:r w:rsidRPr="005C0340">
        <w:rPr>
          <w:i/>
          <w:sz w:val="24"/>
          <w:szCs w:val="24"/>
        </w:rPr>
        <w:t>Pædiatrisk population</w:t>
      </w:r>
    </w:p>
    <w:p w14:paraId="0A899DE1" w14:textId="77777777" w:rsidR="005C0340" w:rsidRPr="005C0340" w:rsidRDefault="005C0340" w:rsidP="005C0340">
      <w:pPr>
        <w:ind w:left="851"/>
        <w:rPr>
          <w:sz w:val="24"/>
          <w:szCs w:val="24"/>
          <w:lang w:val="en-GB"/>
        </w:rPr>
      </w:pPr>
      <w:r w:rsidRPr="005C0340">
        <w:rPr>
          <w:sz w:val="24"/>
          <w:szCs w:val="24"/>
        </w:rPr>
        <w:t xml:space="preserve">Sikkerheden og virkningen af dette lægemiddel hos gravide kvinder under 18 år er ikke fastslået. </w:t>
      </w:r>
      <w:r w:rsidRPr="005C0340">
        <w:rPr>
          <w:sz w:val="24"/>
          <w:szCs w:val="24"/>
          <w:lang w:val="en-GB"/>
        </w:rPr>
        <w:t xml:space="preserve">Der </w:t>
      </w:r>
      <w:proofErr w:type="spellStart"/>
      <w:r w:rsidRPr="005C0340">
        <w:rPr>
          <w:sz w:val="24"/>
          <w:szCs w:val="24"/>
          <w:lang w:val="en-GB"/>
        </w:rPr>
        <w:t>foreligger</w:t>
      </w:r>
      <w:proofErr w:type="spellEnd"/>
      <w:r w:rsidRPr="005C0340">
        <w:rPr>
          <w:sz w:val="24"/>
          <w:szCs w:val="24"/>
          <w:lang w:val="en-GB"/>
        </w:rPr>
        <w:t xml:space="preserve"> </w:t>
      </w:r>
      <w:proofErr w:type="spellStart"/>
      <w:r w:rsidRPr="005C0340">
        <w:rPr>
          <w:sz w:val="24"/>
          <w:szCs w:val="24"/>
          <w:lang w:val="en-GB"/>
        </w:rPr>
        <w:t>ingen</w:t>
      </w:r>
      <w:proofErr w:type="spellEnd"/>
      <w:r w:rsidRPr="005C0340">
        <w:rPr>
          <w:sz w:val="24"/>
          <w:szCs w:val="24"/>
          <w:lang w:val="en-GB"/>
        </w:rPr>
        <w:t xml:space="preserve"> data. </w:t>
      </w:r>
    </w:p>
    <w:p w14:paraId="5C7A7436" w14:textId="77777777" w:rsidR="005C0340" w:rsidRPr="005C0340" w:rsidRDefault="005C0340" w:rsidP="005C0340">
      <w:pPr>
        <w:ind w:left="851"/>
        <w:rPr>
          <w:sz w:val="24"/>
          <w:szCs w:val="24"/>
          <w:u w:val="single"/>
          <w:lang w:val="en-GB"/>
        </w:rPr>
      </w:pPr>
    </w:p>
    <w:p w14:paraId="60C933A7" w14:textId="77777777" w:rsidR="005C0340" w:rsidRPr="005C0340" w:rsidRDefault="005C0340" w:rsidP="005C0340">
      <w:pPr>
        <w:ind w:left="851"/>
        <w:rPr>
          <w:sz w:val="24"/>
          <w:szCs w:val="24"/>
          <w:u w:val="single"/>
          <w:lang w:val="en-GB"/>
        </w:rPr>
      </w:pPr>
      <w:r w:rsidRPr="005C0340">
        <w:rPr>
          <w:sz w:val="24"/>
          <w:szCs w:val="24"/>
          <w:u w:val="single"/>
          <w:lang w:val="en-GB"/>
        </w:rPr>
        <w:t>Administration</w:t>
      </w:r>
    </w:p>
    <w:p w14:paraId="21CF670F" w14:textId="77777777" w:rsidR="005C0340" w:rsidRPr="005C0340" w:rsidRDefault="005C0340" w:rsidP="005C0340">
      <w:pPr>
        <w:numPr>
          <w:ilvl w:val="0"/>
          <w:numId w:val="6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 xml:space="preserve">Behandlingen bør kun udføres af uddannet obstetrisk personale på et hospital, hvor der er faciliteter til kontinuerlig overvågning af foster og uterus. </w:t>
      </w:r>
    </w:p>
    <w:p w14:paraId="2CB178AD" w14:textId="77777777" w:rsidR="005C0340" w:rsidRPr="005C0340" w:rsidRDefault="005C0340" w:rsidP="005C0340">
      <w:pPr>
        <w:numPr>
          <w:ilvl w:val="0"/>
          <w:numId w:val="6"/>
        </w:numPr>
        <w:ind w:left="1276" w:hanging="425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Cervix</w:t>
      </w:r>
      <w:proofErr w:type="spellEnd"/>
      <w:r w:rsidRPr="005C0340">
        <w:rPr>
          <w:sz w:val="24"/>
          <w:szCs w:val="24"/>
        </w:rPr>
        <w:t xml:space="preserve"> bør undersøges nøje, inden administration af lægemidlet.</w:t>
      </w:r>
    </w:p>
    <w:p w14:paraId="2F6F509A" w14:textId="77777777" w:rsidR="005C0340" w:rsidRPr="005C0340" w:rsidRDefault="005C0340" w:rsidP="005C0340">
      <w:pPr>
        <w:numPr>
          <w:ilvl w:val="0"/>
          <w:numId w:val="6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>Tabletterne skal indtages oralt sammen med et glas vand.</w:t>
      </w:r>
    </w:p>
    <w:p w14:paraId="7D5F1898" w14:textId="77777777" w:rsidR="009260DE" w:rsidRPr="00D31F28" w:rsidRDefault="009260DE" w:rsidP="005C0340">
      <w:pPr>
        <w:ind w:left="851"/>
        <w:rPr>
          <w:sz w:val="24"/>
          <w:szCs w:val="24"/>
        </w:rPr>
      </w:pPr>
    </w:p>
    <w:p w14:paraId="443F6C8B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4.3</w:t>
      </w:r>
      <w:r w:rsidRPr="00D31F28">
        <w:rPr>
          <w:b/>
          <w:sz w:val="24"/>
          <w:szCs w:val="24"/>
        </w:rPr>
        <w:tab/>
        <w:t>Kontraindikationer</w:t>
      </w:r>
    </w:p>
    <w:p w14:paraId="6D681781" w14:textId="77777777" w:rsidR="005C0340" w:rsidRPr="005C0340" w:rsidRDefault="005C0340" w:rsidP="005C0340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 xml:space="preserve">Ved overfølsomhed over for det aktive stof eller over for et eller flere af hjælpestofferne, anført i pkt. 6.1, eller over for andre </w:t>
      </w:r>
      <w:proofErr w:type="spellStart"/>
      <w:r w:rsidRPr="005C0340">
        <w:rPr>
          <w:sz w:val="24"/>
          <w:szCs w:val="24"/>
        </w:rPr>
        <w:t>prostaglandiner</w:t>
      </w:r>
      <w:proofErr w:type="spellEnd"/>
    </w:p>
    <w:p w14:paraId="4D5AA49A" w14:textId="77777777" w:rsidR="005C0340" w:rsidRPr="005C0340" w:rsidRDefault="005C0340" w:rsidP="005C0340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>Når fødslen er startet</w:t>
      </w:r>
    </w:p>
    <w:p w14:paraId="296981C9" w14:textId="77777777" w:rsidR="005C0340" w:rsidRPr="005C0340" w:rsidRDefault="005C0340" w:rsidP="005C0340">
      <w:pPr>
        <w:numPr>
          <w:ilvl w:val="0"/>
          <w:numId w:val="7"/>
        </w:numPr>
        <w:ind w:left="1276" w:hanging="425"/>
        <w:rPr>
          <w:sz w:val="24"/>
          <w:szCs w:val="24"/>
          <w:lang w:val="nb-NO"/>
        </w:rPr>
      </w:pPr>
      <w:r w:rsidRPr="005C0340">
        <w:rPr>
          <w:sz w:val="24"/>
          <w:szCs w:val="24"/>
          <w:lang w:val="nb-NO"/>
        </w:rPr>
        <w:t>Når der er mistanke om eller påvist fosterpåvirkning</w:t>
      </w:r>
    </w:p>
    <w:p w14:paraId="4FA4CDB1" w14:textId="0EDDE10F" w:rsidR="005C0340" w:rsidRPr="005C0340" w:rsidRDefault="005C0340" w:rsidP="005C0340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 xml:space="preserve">Når </w:t>
      </w:r>
      <w:proofErr w:type="spellStart"/>
      <w:r w:rsidRPr="005C0340">
        <w:rPr>
          <w:sz w:val="24"/>
          <w:szCs w:val="24"/>
        </w:rPr>
        <w:t>oxytocin</w:t>
      </w:r>
      <w:proofErr w:type="spellEnd"/>
      <w:r w:rsidRPr="005C0340">
        <w:rPr>
          <w:sz w:val="24"/>
          <w:szCs w:val="24"/>
        </w:rPr>
        <w:t xml:space="preserve"> og/eller andre fødselsinducerende lægemidler gives (se </w:t>
      </w:r>
      <w:r w:rsidR="00940955">
        <w:rPr>
          <w:sz w:val="24"/>
          <w:szCs w:val="24"/>
        </w:rPr>
        <w:t>pkt.</w:t>
      </w:r>
      <w:r w:rsidRPr="005C0340">
        <w:rPr>
          <w:sz w:val="24"/>
          <w:szCs w:val="24"/>
        </w:rPr>
        <w:t xml:space="preserve"> 4.4 og 4.5)</w:t>
      </w:r>
    </w:p>
    <w:p w14:paraId="0073D8B2" w14:textId="77777777" w:rsidR="005C0340" w:rsidRPr="005C0340" w:rsidRDefault="005C0340" w:rsidP="005C0340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 xml:space="preserve">Ved mistanke om eller påvisning af </w:t>
      </w:r>
      <w:proofErr w:type="spellStart"/>
      <w:r w:rsidRPr="005C0340">
        <w:rPr>
          <w:sz w:val="24"/>
          <w:szCs w:val="24"/>
        </w:rPr>
        <w:t>ardannelse</w:t>
      </w:r>
      <w:proofErr w:type="spellEnd"/>
      <w:r w:rsidRPr="005C0340">
        <w:rPr>
          <w:sz w:val="24"/>
          <w:szCs w:val="24"/>
        </w:rPr>
        <w:t xml:space="preserve"> i uterus som følge af tidligere </w:t>
      </w:r>
      <w:proofErr w:type="spellStart"/>
      <w:r w:rsidRPr="005C0340">
        <w:rPr>
          <w:sz w:val="24"/>
          <w:szCs w:val="24"/>
        </w:rPr>
        <w:t>uterin</w:t>
      </w:r>
      <w:proofErr w:type="spellEnd"/>
      <w:r w:rsidRPr="005C0340">
        <w:rPr>
          <w:sz w:val="24"/>
          <w:szCs w:val="24"/>
        </w:rPr>
        <w:t xml:space="preserve"> eller </w:t>
      </w:r>
      <w:proofErr w:type="spellStart"/>
      <w:r w:rsidRPr="005C0340">
        <w:rPr>
          <w:sz w:val="24"/>
          <w:szCs w:val="24"/>
        </w:rPr>
        <w:t>cervikal</w:t>
      </w:r>
      <w:proofErr w:type="spellEnd"/>
      <w:r w:rsidRPr="005C0340">
        <w:rPr>
          <w:sz w:val="24"/>
          <w:szCs w:val="24"/>
        </w:rPr>
        <w:t xml:space="preserve"> kirurgi, f.eks. kejsersnit</w:t>
      </w:r>
    </w:p>
    <w:p w14:paraId="774CCC86" w14:textId="77777777" w:rsidR="005C0340" w:rsidRPr="005C0340" w:rsidRDefault="005C0340" w:rsidP="005C0340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>Når vaginal fødsel er kontraindiceret</w:t>
      </w:r>
    </w:p>
    <w:p w14:paraId="584F22CC" w14:textId="77777777" w:rsidR="005C0340" w:rsidRPr="005C0340" w:rsidRDefault="005C0340" w:rsidP="005C0340">
      <w:pPr>
        <w:numPr>
          <w:ilvl w:val="0"/>
          <w:numId w:val="7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 xml:space="preserve">Ved placenta </w:t>
      </w:r>
      <w:proofErr w:type="spellStart"/>
      <w:r w:rsidRPr="005C0340">
        <w:rPr>
          <w:sz w:val="24"/>
          <w:szCs w:val="24"/>
        </w:rPr>
        <w:t>praevia</w:t>
      </w:r>
      <w:proofErr w:type="spellEnd"/>
      <w:r w:rsidRPr="005C0340">
        <w:rPr>
          <w:sz w:val="24"/>
          <w:szCs w:val="24"/>
        </w:rPr>
        <w:t xml:space="preserve"> eller ved uforklarlig vaginal blødning efter 24. svangerskabsuge</w:t>
      </w:r>
    </w:p>
    <w:p w14:paraId="6EF6C3B3" w14:textId="77777777" w:rsidR="005C0340" w:rsidRPr="005C0340" w:rsidRDefault="005C0340" w:rsidP="005C0340">
      <w:pPr>
        <w:numPr>
          <w:ilvl w:val="0"/>
          <w:numId w:val="7"/>
        </w:numPr>
        <w:ind w:left="1276" w:hanging="425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>Hos patienter med nyresvigt (GFR &lt;15 ml/min/1,73 m</w:t>
      </w:r>
      <w:r w:rsidRPr="005C0340">
        <w:rPr>
          <w:iCs/>
          <w:sz w:val="24"/>
          <w:szCs w:val="24"/>
          <w:vertAlign w:val="superscript"/>
        </w:rPr>
        <w:t>2</w:t>
      </w:r>
      <w:r w:rsidRPr="005C0340">
        <w:rPr>
          <w:iCs/>
          <w:sz w:val="24"/>
          <w:szCs w:val="24"/>
        </w:rPr>
        <w:t>).</w:t>
      </w:r>
    </w:p>
    <w:p w14:paraId="70789085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C4D220B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4.4</w:t>
      </w:r>
      <w:r w:rsidRPr="00D31F28">
        <w:rPr>
          <w:b/>
          <w:sz w:val="24"/>
          <w:szCs w:val="24"/>
        </w:rPr>
        <w:tab/>
        <w:t>Særlige advarsler og forsigtighedsregler vedrørende brugen</w:t>
      </w:r>
    </w:p>
    <w:p w14:paraId="02750BAE" w14:textId="77777777" w:rsidR="005C0340" w:rsidRPr="005C0340" w:rsidRDefault="005C0340" w:rsidP="005C0340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må kun administreres af uddannet obstetrisk personale på et hospital, hvor der er faciliteter til kontinuerlig monitorering af fosteret og uterus, og </w:t>
      </w:r>
      <w:proofErr w:type="spellStart"/>
      <w:r w:rsidRPr="005C0340">
        <w:rPr>
          <w:sz w:val="24"/>
          <w:szCs w:val="24"/>
        </w:rPr>
        <w:t>cervix</w:t>
      </w:r>
      <w:proofErr w:type="spellEnd"/>
      <w:r w:rsidRPr="005C0340">
        <w:rPr>
          <w:sz w:val="24"/>
          <w:szCs w:val="24"/>
        </w:rPr>
        <w:t xml:space="preserve"> skal undersøges nøje inden brug af lægemidlet.</w:t>
      </w:r>
    </w:p>
    <w:p w14:paraId="5F4DB3B4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42F3E1A6" w14:textId="77777777" w:rsidR="005C0340" w:rsidRPr="005C0340" w:rsidRDefault="005C0340" w:rsidP="005C0340">
      <w:pPr>
        <w:ind w:left="851"/>
        <w:rPr>
          <w:iCs/>
          <w:sz w:val="24"/>
          <w:szCs w:val="24"/>
        </w:rPr>
      </w:pP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kan forårsage </w:t>
      </w:r>
      <w:proofErr w:type="spellStart"/>
      <w:r w:rsidRPr="005C0340">
        <w:rPr>
          <w:iCs/>
          <w:sz w:val="24"/>
          <w:szCs w:val="24"/>
        </w:rPr>
        <w:t>hyperstimulering</w:t>
      </w:r>
      <w:proofErr w:type="spellEnd"/>
      <w:r w:rsidRPr="005C0340">
        <w:rPr>
          <w:iCs/>
          <w:sz w:val="24"/>
          <w:szCs w:val="24"/>
        </w:rPr>
        <w:t xml:space="preserve"> af uterus. I så fald, eller hvis der er klinisk bekymring for moderen eller barnet, skal administrationen af</w:t>
      </w:r>
      <w:r w:rsidRPr="005C0340">
        <w:rPr>
          <w:sz w:val="24"/>
          <w:szCs w:val="24"/>
        </w:rPr>
        <w:t xml:space="preserve"> dette lægemiddel </w:t>
      </w:r>
      <w:r w:rsidRPr="005C0340">
        <w:rPr>
          <w:iCs/>
          <w:sz w:val="24"/>
          <w:szCs w:val="24"/>
        </w:rPr>
        <w:t>stoppes</w:t>
      </w:r>
      <w:r w:rsidRPr="005C0340">
        <w:rPr>
          <w:sz w:val="24"/>
          <w:szCs w:val="24"/>
        </w:rPr>
        <w:t xml:space="preserve">, </w:t>
      </w:r>
      <w:r w:rsidRPr="005C0340">
        <w:rPr>
          <w:iCs/>
          <w:sz w:val="24"/>
          <w:szCs w:val="24"/>
        </w:rPr>
        <w:t xml:space="preserve">og der skal ydes understøttende behandling i henhold til lokale retningslinjer. </w:t>
      </w:r>
    </w:p>
    <w:p w14:paraId="2124854F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4F039742" w14:textId="175A78F1" w:rsidR="005C0340" w:rsidRPr="005C0340" w:rsidRDefault="005C0340" w:rsidP="005C0340">
      <w:pPr>
        <w:ind w:left="851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 xml:space="preserve">Der kan være </w:t>
      </w:r>
      <w:proofErr w:type="spellStart"/>
      <w:r w:rsidRPr="005C0340">
        <w:rPr>
          <w:iCs/>
          <w:sz w:val="24"/>
          <w:szCs w:val="24"/>
        </w:rPr>
        <w:t>synergistiske</w:t>
      </w:r>
      <w:proofErr w:type="spellEnd"/>
      <w:r w:rsidRPr="005C0340">
        <w:rPr>
          <w:iCs/>
          <w:sz w:val="24"/>
          <w:szCs w:val="24"/>
        </w:rPr>
        <w:t>/</w:t>
      </w:r>
      <w:proofErr w:type="spellStart"/>
      <w:r w:rsidRPr="005C0340">
        <w:rPr>
          <w:iCs/>
          <w:sz w:val="24"/>
          <w:szCs w:val="24"/>
        </w:rPr>
        <w:t>additive</w:t>
      </w:r>
      <w:proofErr w:type="spellEnd"/>
      <w:r w:rsidRPr="005C0340">
        <w:rPr>
          <w:iCs/>
          <w:sz w:val="24"/>
          <w:szCs w:val="24"/>
        </w:rPr>
        <w:t xml:space="preserve"> virkninger af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og </w:t>
      </w:r>
      <w:proofErr w:type="spellStart"/>
      <w:r w:rsidRPr="005C0340">
        <w:rPr>
          <w:iCs/>
          <w:sz w:val="24"/>
          <w:szCs w:val="24"/>
        </w:rPr>
        <w:t>oxytocin</w:t>
      </w:r>
      <w:proofErr w:type="spellEnd"/>
      <w:r w:rsidRPr="005C0340">
        <w:rPr>
          <w:iCs/>
          <w:sz w:val="24"/>
          <w:szCs w:val="24"/>
        </w:rPr>
        <w:t>. Samtidig administration af</w:t>
      </w:r>
      <w:r w:rsidR="00940955">
        <w:rPr>
          <w:iCs/>
          <w:sz w:val="24"/>
          <w:szCs w:val="24"/>
        </w:rPr>
        <w:t xml:space="preserve"> </w:t>
      </w:r>
      <w:proofErr w:type="spellStart"/>
      <w:r w:rsidRPr="005C0340">
        <w:rPr>
          <w:iCs/>
          <w:sz w:val="24"/>
          <w:szCs w:val="24"/>
        </w:rPr>
        <w:t>oxytocin</w:t>
      </w:r>
      <w:proofErr w:type="spellEnd"/>
      <w:r w:rsidRPr="005C0340">
        <w:rPr>
          <w:iCs/>
          <w:sz w:val="24"/>
          <w:szCs w:val="24"/>
        </w:rPr>
        <w:t xml:space="preserve"> er kontraindiceret (se </w:t>
      </w:r>
      <w:r w:rsidR="00940955">
        <w:rPr>
          <w:iCs/>
          <w:sz w:val="24"/>
          <w:szCs w:val="24"/>
        </w:rPr>
        <w:t>pkt.</w:t>
      </w:r>
      <w:r w:rsidRPr="005C0340">
        <w:rPr>
          <w:iCs/>
          <w:sz w:val="24"/>
          <w:szCs w:val="24"/>
        </w:rPr>
        <w:t xml:space="preserve"> 4.3). Det anbefales at vente 4 timer efter den sidste dosis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, før </w:t>
      </w:r>
      <w:proofErr w:type="spellStart"/>
      <w:r w:rsidRPr="005C0340">
        <w:rPr>
          <w:iCs/>
          <w:sz w:val="24"/>
          <w:szCs w:val="24"/>
        </w:rPr>
        <w:t>oxytocin</w:t>
      </w:r>
      <w:proofErr w:type="spellEnd"/>
      <w:r w:rsidRPr="005C0340">
        <w:rPr>
          <w:iCs/>
          <w:sz w:val="24"/>
          <w:szCs w:val="24"/>
        </w:rPr>
        <w:t xml:space="preserve"> administreres.</w:t>
      </w:r>
    </w:p>
    <w:p w14:paraId="57CEADA5" w14:textId="77777777" w:rsidR="005C0340" w:rsidRPr="005C0340" w:rsidRDefault="005C0340" w:rsidP="005C0340">
      <w:pPr>
        <w:ind w:left="851"/>
        <w:rPr>
          <w:iCs/>
          <w:sz w:val="24"/>
          <w:szCs w:val="24"/>
        </w:rPr>
      </w:pPr>
    </w:p>
    <w:p w14:paraId="2EE877A5" w14:textId="77777777" w:rsidR="005C0340" w:rsidRPr="005C0340" w:rsidRDefault="005C0340" w:rsidP="005C0340">
      <w:pPr>
        <w:ind w:left="851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 xml:space="preserve">Hos kvinder med </w:t>
      </w:r>
      <w:proofErr w:type="spellStart"/>
      <w:r w:rsidRPr="005C0340">
        <w:rPr>
          <w:iCs/>
          <w:sz w:val="24"/>
          <w:szCs w:val="24"/>
        </w:rPr>
        <w:t>præeklampsi</w:t>
      </w:r>
      <w:proofErr w:type="spellEnd"/>
      <w:r w:rsidRPr="005C0340">
        <w:rPr>
          <w:iCs/>
          <w:sz w:val="24"/>
          <w:szCs w:val="24"/>
        </w:rPr>
        <w:t xml:space="preserve"> skal tegn på eller påvisning af fosterpåvirkning udelukkes (se pkt. 4.3). Der foreligger ingen eller kun begrænsede kliniske data om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hos gravide kvinder med svær </w:t>
      </w:r>
      <w:proofErr w:type="spellStart"/>
      <w:r w:rsidRPr="005C0340">
        <w:rPr>
          <w:iCs/>
          <w:sz w:val="24"/>
          <w:szCs w:val="24"/>
        </w:rPr>
        <w:t>præeklampsi</w:t>
      </w:r>
      <w:proofErr w:type="spellEnd"/>
      <w:r w:rsidRPr="005C0340">
        <w:rPr>
          <w:iCs/>
          <w:sz w:val="24"/>
          <w:szCs w:val="24"/>
        </w:rPr>
        <w:t xml:space="preserve"> karakteriseret ved </w:t>
      </w:r>
      <w:proofErr w:type="spellStart"/>
      <w:r w:rsidRPr="005C0340">
        <w:rPr>
          <w:iCs/>
          <w:sz w:val="24"/>
          <w:szCs w:val="24"/>
        </w:rPr>
        <w:t>hæmolytisk</w:t>
      </w:r>
      <w:proofErr w:type="spellEnd"/>
      <w:r w:rsidRPr="005C0340">
        <w:rPr>
          <w:iCs/>
          <w:sz w:val="24"/>
          <w:szCs w:val="24"/>
        </w:rPr>
        <w:t xml:space="preserve"> anæmi, forhøjede leverenzymer, </w:t>
      </w:r>
      <w:proofErr w:type="spellStart"/>
      <w:r w:rsidRPr="005C0340">
        <w:rPr>
          <w:iCs/>
          <w:sz w:val="24"/>
          <w:szCs w:val="24"/>
        </w:rPr>
        <w:t>trombocytopeni</w:t>
      </w:r>
      <w:proofErr w:type="spellEnd"/>
      <w:r w:rsidRPr="005C0340">
        <w:rPr>
          <w:iCs/>
          <w:sz w:val="24"/>
          <w:szCs w:val="24"/>
        </w:rPr>
        <w:t xml:space="preserve"> (HELLP-syndrom), andre </w:t>
      </w:r>
      <w:proofErr w:type="spellStart"/>
      <w:r w:rsidRPr="005C0340">
        <w:rPr>
          <w:iCs/>
          <w:sz w:val="24"/>
          <w:szCs w:val="24"/>
        </w:rPr>
        <w:t>endorgansygdomme</w:t>
      </w:r>
      <w:proofErr w:type="spellEnd"/>
      <w:r w:rsidRPr="005C0340">
        <w:rPr>
          <w:iCs/>
          <w:sz w:val="24"/>
          <w:szCs w:val="24"/>
        </w:rPr>
        <w:t xml:space="preserve"> eller CNS-fund udover let hovedpine.</w:t>
      </w:r>
    </w:p>
    <w:p w14:paraId="2742D394" w14:textId="77777777" w:rsidR="005C0340" w:rsidRPr="005C0340" w:rsidRDefault="005C0340" w:rsidP="005C0340">
      <w:pPr>
        <w:ind w:left="851"/>
        <w:rPr>
          <w:iCs/>
          <w:sz w:val="24"/>
          <w:szCs w:val="24"/>
        </w:rPr>
      </w:pPr>
    </w:p>
    <w:p w14:paraId="49BB980D" w14:textId="77777777" w:rsidR="005C0340" w:rsidRPr="005C0340" w:rsidRDefault="005C0340" w:rsidP="005C0340">
      <w:pPr>
        <w:ind w:left="851"/>
        <w:rPr>
          <w:iCs/>
          <w:sz w:val="24"/>
          <w:szCs w:val="24"/>
        </w:rPr>
      </w:pPr>
      <w:proofErr w:type="spellStart"/>
      <w:r w:rsidRPr="005C0340">
        <w:rPr>
          <w:iCs/>
          <w:sz w:val="24"/>
          <w:szCs w:val="24"/>
        </w:rPr>
        <w:t>Chorioamnionitis</w:t>
      </w:r>
      <w:proofErr w:type="spellEnd"/>
      <w:r w:rsidRPr="005C0340">
        <w:rPr>
          <w:iCs/>
          <w:sz w:val="24"/>
          <w:szCs w:val="24"/>
        </w:rPr>
        <w:t xml:space="preserve"> kan nødvendiggøre, at fødslen sker hurtigt. Beslutning om antibiotikabehandling, igangsættelse af fødslen eller kejsersnit træffes efter lægens vurdering.</w:t>
      </w:r>
    </w:p>
    <w:p w14:paraId="3CC508E8" w14:textId="77777777" w:rsidR="005C0340" w:rsidRPr="005C0340" w:rsidRDefault="005C0340" w:rsidP="005C0340">
      <w:pPr>
        <w:ind w:left="851"/>
        <w:rPr>
          <w:iCs/>
          <w:sz w:val="24"/>
          <w:szCs w:val="24"/>
        </w:rPr>
      </w:pPr>
    </w:p>
    <w:p w14:paraId="6DF3927B" w14:textId="77777777" w:rsidR="005C0340" w:rsidRPr="005C0340" w:rsidRDefault="005C0340" w:rsidP="005C0340">
      <w:pPr>
        <w:ind w:left="851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 xml:space="preserve">Der foreligger ingen eller kun begrænsede kliniske data om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hos kvinder, hvis fosterhinder er bristet mere end 48 timer før administration af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>.</w:t>
      </w:r>
    </w:p>
    <w:p w14:paraId="34476F99" w14:textId="77777777" w:rsidR="005C0340" w:rsidRPr="005C0340" w:rsidRDefault="005C0340" w:rsidP="005C0340">
      <w:pPr>
        <w:ind w:left="851"/>
        <w:rPr>
          <w:iCs/>
          <w:sz w:val="24"/>
          <w:szCs w:val="24"/>
        </w:rPr>
      </w:pPr>
    </w:p>
    <w:p w14:paraId="3390FE40" w14:textId="1FEC5E12" w:rsidR="005C0340" w:rsidRPr="005C0340" w:rsidRDefault="005C0340" w:rsidP="005C0340">
      <w:pPr>
        <w:ind w:left="851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 xml:space="preserve">Der foreligger ingen eller kun begrænsede kliniske data om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før 37. graviditetsuge (se </w:t>
      </w:r>
      <w:r w:rsidR="00940955">
        <w:rPr>
          <w:iCs/>
          <w:sz w:val="24"/>
          <w:szCs w:val="24"/>
        </w:rPr>
        <w:t>pkt.</w:t>
      </w:r>
      <w:r w:rsidRPr="005C0340">
        <w:rPr>
          <w:iCs/>
          <w:sz w:val="24"/>
          <w:szCs w:val="24"/>
        </w:rPr>
        <w:t xml:space="preserve"> 4.6).</w:t>
      </w:r>
    </w:p>
    <w:p w14:paraId="5C76A388" w14:textId="77777777" w:rsidR="005C0340" w:rsidRPr="005C0340" w:rsidRDefault="005C0340" w:rsidP="005C0340">
      <w:pPr>
        <w:ind w:left="851"/>
        <w:rPr>
          <w:iCs/>
          <w:sz w:val="24"/>
          <w:szCs w:val="24"/>
        </w:rPr>
      </w:pPr>
    </w:p>
    <w:p w14:paraId="4E6C80C8" w14:textId="77777777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Der foreligger ingen eller kun begrænsede kliniske data om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ved flerfoldsgraviditet og ved høj multiparitet. </w:t>
      </w:r>
    </w:p>
    <w:p w14:paraId="33955378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02B00222" w14:textId="77777777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Der foreligger ingen eller kun begrænsede kliniske data om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hos gravide kvinder med en </w:t>
      </w:r>
      <w:proofErr w:type="spellStart"/>
      <w:r w:rsidRPr="005C0340">
        <w:rPr>
          <w:sz w:val="24"/>
          <w:szCs w:val="24"/>
        </w:rPr>
        <w:t>Bishop</w:t>
      </w:r>
      <w:proofErr w:type="spellEnd"/>
      <w:r w:rsidRPr="005C0340">
        <w:rPr>
          <w:sz w:val="24"/>
          <w:szCs w:val="24"/>
        </w:rPr>
        <w:t>-score (</w:t>
      </w:r>
      <w:proofErr w:type="spellStart"/>
      <w:r w:rsidRPr="005C0340">
        <w:rPr>
          <w:sz w:val="24"/>
          <w:szCs w:val="24"/>
        </w:rPr>
        <w:t>mBS</w:t>
      </w:r>
      <w:proofErr w:type="spellEnd"/>
      <w:r w:rsidRPr="005C0340">
        <w:rPr>
          <w:sz w:val="24"/>
          <w:szCs w:val="24"/>
        </w:rPr>
        <w:t>) &gt;6.</w:t>
      </w:r>
    </w:p>
    <w:p w14:paraId="354E762B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1E1822B9" w14:textId="77777777" w:rsidR="005C0340" w:rsidRPr="005C0340" w:rsidRDefault="005C0340" w:rsidP="005C0340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bør kun anvendes, når induktion af fødsel er klinisk indiceret.</w:t>
      </w:r>
    </w:p>
    <w:p w14:paraId="1EF8C82F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492476A9" w14:textId="77777777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Der er vist en øget risiko for </w:t>
      </w:r>
      <w:proofErr w:type="spellStart"/>
      <w:r w:rsidRPr="005C0340">
        <w:rPr>
          <w:sz w:val="24"/>
          <w:szCs w:val="24"/>
        </w:rPr>
        <w:t>postpartum</w:t>
      </w:r>
      <w:proofErr w:type="spellEnd"/>
      <w:r w:rsidRPr="005C0340">
        <w:rPr>
          <w:sz w:val="24"/>
          <w:szCs w:val="24"/>
        </w:rPr>
        <w:t xml:space="preserve"> dissemineret intravaskulær koagulation hos patienter, hvis fødsel er blevet fysisk eller farmakologisk induceret. </w:t>
      </w:r>
    </w:p>
    <w:p w14:paraId="16E90518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04751914" w14:textId="6E96F22C" w:rsidR="005C0340" w:rsidRPr="005C0340" w:rsidRDefault="005C0340" w:rsidP="005C0340">
      <w:pPr>
        <w:ind w:left="851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 xml:space="preserve">En lavere dosis og/eller længere doseringsintervaller bør overvejes hos gravide kvinder med nyre- eller leverinsufficiens (se </w:t>
      </w:r>
      <w:r w:rsidR="00940955">
        <w:rPr>
          <w:iCs/>
          <w:sz w:val="24"/>
          <w:szCs w:val="24"/>
        </w:rPr>
        <w:t>pkt.</w:t>
      </w:r>
      <w:r w:rsidRPr="005C0340">
        <w:rPr>
          <w:iCs/>
          <w:sz w:val="24"/>
          <w:szCs w:val="24"/>
        </w:rPr>
        <w:t xml:space="preserve"> 5.2).</w:t>
      </w:r>
    </w:p>
    <w:p w14:paraId="1B4FBFF4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5D83A325" w14:textId="77777777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Dette lægemiddel indeholder mindre end 1 mmol natrium (23 mg) pr. dosis, dvs. det er i det væsentlige "natriumfrit".</w:t>
      </w:r>
    </w:p>
    <w:p w14:paraId="635B85B7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925B909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4.5</w:t>
      </w:r>
      <w:r w:rsidRPr="00D31F28">
        <w:rPr>
          <w:b/>
          <w:sz w:val="24"/>
          <w:szCs w:val="24"/>
        </w:rPr>
        <w:tab/>
        <w:t>Interaktion med andre lægemidler og andre former for interaktion</w:t>
      </w:r>
    </w:p>
    <w:p w14:paraId="0107A56B" w14:textId="77777777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Der er ikke udført interaktionsstudier med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>.</w:t>
      </w:r>
    </w:p>
    <w:p w14:paraId="1D619D3D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44D9FCCF" w14:textId="2A8ED89A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Samtidig brug af lægemidler som indeholder </w:t>
      </w:r>
      <w:proofErr w:type="spellStart"/>
      <w:r w:rsidRPr="005C0340">
        <w:rPr>
          <w:sz w:val="24"/>
          <w:szCs w:val="24"/>
        </w:rPr>
        <w:t>oxytocin</w:t>
      </w:r>
      <w:proofErr w:type="spellEnd"/>
      <w:r w:rsidRPr="005C0340">
        <w:rPr>
          <w:sz w:val="24"/>
          <w:szCs w:val="24"/>
        </w:rPr>
        <w:t xml:space="preserve">, eller andre fødselsfremmende lægemidler er kontraindiceret på grund af risikoen for øgede </w:t>
      </w:r>
      <w:proofErr w:type="spellStart"/>
      <w:r w:rsidRPr="005C0340">
        <w:rPr>
          <w:sz w:val="24"/>
          <w:szCs w:val="24"/>
        </w:rPr>
        <w:t>uterotoniske</w:t>
      </w:r>
      <w:proofErr w:type="spellEnd"/>
      <w:r w:rsidRPr="005C0340">
        <w:rPr>
          <w:sz w:val="24"/>
          <w:szCs w:val="24"/>
        </w:rPr>
        <w:t xml:space="preserve"> virkninger (se </w:t>
      </w:r>
      <w:r w:rsidR="00940955">
        <w:rPr>
          <w:sz w:val="24"/>
          <w:szCs w:val="24"/>
        </w:rPr>
        <w:t>pkt.</w:t>
      </w:r>
      <w:r w:rsidRPr="005C0340">
        <w:rPr>
          <w:sz w:val="24"/>
          <w:szCs w:val="24"/>
        </w:rPr>
        <w:t xml:space="preserve"> 4.3 og 4.4).</w:t>
      </w:r>
    </w:p>
    <w:p w14:paraId="5D04090E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EDC3B71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4.6</w:t>
      </w:r>
      <w:r w:rsidRPr="00D31F28">
        <w:rPr>
          <w:b/>
          <w:sz w:val="24"/>
          <w:szCs w:val="24"/>
        </w:rPr>
        <w:tab/>
      </w:r>
      <w:r w:rsidR="0071241E" w:rsidRPr="00D31F28">
        <w:rPr>
          <w:b/>
          <w:sz w:val="24"/>
          <w:szCs w:val="24"/>
        </w:rPr>
        <w:t>Fertilitet, g</w:t>
      </w:r>
      <w:r w:rsidRPr="00D31F28">
        <w:rPr>
          <w:b/>
          <w:sz w:val="24"/>
          <w:szCs w:val="24"/>
        </w:rPr>
        <w:t>raviditet og amning</w:t>
      </w:r>
    </w:p>
    <w:p w14:paraId="66F0DADD" w14:textId="77777777" w:rsidR="00940955" w:rsidRDefault="00940955" w:rsidP="005C0340">
      <w:pPr>
        <w:ind w:left="851"/>
        <w:rPr>
          <w:sz w:val="24"/>
          <w:szCs w:val="24"/>
          <w:u w:val="single"/>
        </w:rPr>
      </w:pPr>
    </w:p>
    <w:p w14:paraId="667CD04E" w14:textId="04DE8068" w:rsidR="005C0340" w:rsidRPr="005C0340" w:rsidRDefault="005C0340" w:rsidP="005C0340">
      <w:pPr>
        <w:ind w:left="851"/>
        <w:rPr>
          <w:sz w:val="24"/>
          <w:szCs w:val="24"/>
          <w:u w:val="single"/>
        </w:rPr>
      </w:pPr>
      <w:r w:rsidRPr="005C0340">
        <w:rPr>
          <w:sz w:val="24"/>
          <w:szCs w:val="24"/>
          <w:u w:val="single"/>
        </w:rPr>
        <w:t>Graviditet</w:t>
      </w:r>
    </w:p>
    <w:p w14:paraId="5D5038D2" w14:textId="77777777" w:rsidR="005C0340" w:rsidRPr="005C0340" w:rsidRDefault="005C0340" w:rsidP="005C0340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anvendes til induktion af fødsel i en lav dosis i en kort periode i slutningen af graviditeten. Når det anvendes på dette tidspunkt af graviditeten, er der ingen risiko for fosterskader. Dette lægemiddel bør ikke anvendes på noget andet tidspunkt under graviditeten: Der er rapporteret om en tredobbelt forøget risiko for misdannelser (herunder </w:t>
      </w:r>
      <w:proofErr w:type="spellStart"/>
      <w:r w:rsidRPr="005C0340">
        <w:rPr>
          <w:sz w:val="24"/>
          <w:szCs w:val="24"/>
        </w:rPr>
        <w:t>Moebius</w:t>
      </w:r>
      <w:proofErr w:type="spellEnd"/>
      <w:r w:rsidRPr="005C0340">
        <w:rPr>
          <w:sz w:val="24"/>
          <w:szCs w:val="24"/>
        </w:rPr>
        <w:t xml:space="preserve"> syndrom, </w:t>
      </w:r>
      <w:proofErr w:type="spellStart"/>
      <w:r w:rsidRPr="005C0340">
        <w:rPr>
          <w:sz w:val="24"/>
          <w:szCs w:val="24"/>
        </w:rPr>
        <w:t>amnionbånd</w:t>
      </w:r>
      <w:proofErr w:type="spellEnd"/>
      <w:r w:rsidRPr="005C0340">
        <w:rPr>
          <w:sz w:val="24"/>
          <w:szCs w:val="24"/>
        </w:rPr>
        <w:t xml:space="preserve"> syndrom og anomalier i centralnervesystemet) under graviditeter, der blev eksponeret for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i første trimester.</w:t>
      </w:r>
    </w:p>
    <w:p w14:paraId="69A0AD1F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541E807C" w14:textId="53B24571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er blevet undersøgt hos gravide kvinder ≥ 37 uger. Derfor bør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kun anvendes før 37 uger, hvis det er medicinsk indiceret (se </w:t>
      </w:r>
      <w:r w:rsidR="00940955">
        <w:rPr>
          <w:sz w:val="24"/>
          <w:szCs w:val="24"/>
        </w:rPr>
        <w:t>pkt.</w:t>
      </w:r>
      <w:r w:rsidRPr="005C0340">
        <w:rPr>
          <w:sz w:val="24"/>
          <w:szCs w:val="24"/>
        </w:rPr>
        <w:t xml:space="preserve"> 4.4).</w:t>
      </w:r>
    </w:p>
    <w:p w14:paraId="31340969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3459DE5B" w14:textId="77777777" w:rsidR="005C0340" w:rsidRPr="005C0340" w:rsidRDefault="005C0340" w:rsidP="005C0340">
      <w:pPr>
        <w:ind w:left="851"/>
        <w:rPr>
          <w:sz w:val="24"/>
          <w:szCs w:val="24"/>
          <w:u w:val="single"/>
        </w:rPr>
      </w:pPr>
      <w:r w:rsidRPr="005C0340">
        <w:rPr>
          <w:sz w:val="24"/>
          <w:szCs w:val="24"/>
          <w:u w:val="single"/>
        </w:rPr>
        <w:t>Amning</w:t>
      </w:r>
    </w:p>
    <w:p w14:paraId="76B42165" w14:textId="003873BC" w:rsidR="005C0340" w:rsidRPr="005C0340" w:rsidRDefault="005C0340" w:rsidP="005C0340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er påvist i modermælk efter oral administration af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i tabletform. </w:t>
      </w:r>
      <w:proofErr w:type="spellStart"/>
      <w:r w:rsidRPr="005C0340">
        <w:rPr>
          <w:sz w:val="24"/>
          <w:szCs w:val="24"/>
        </w:rPr>
        <w:t>Farmakokinetiske</w:t>
      </w:r>
      <w:proofErr w:type="spellEnd"/>
      <w:r w:rsidRPr="005C0340">
        <w:rPr>
          <w:sz w:val="24"/>
          <w:szCs w:val="24"/>
        </w:rPr>
        <w:t xml:space="preserve"> studier viser, at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(i doser på 600 mikrogram og 200</w:t>
      </w:r>
      <w:r w:rsidR="00940955">
        <w:rPr>
          <w:sz w:val="24"/>
          <w:szCs w:val="24"/>
        </w:rPr>
        <w:t> </w:t>
      </w:r>
      <w:r w:rsidRPr="005C0340">
        <w:rPr>
          <w:sz w:val="24"/>
          <w:szCs w:val="24"/>
        </w:rPr>
        <w:t xml:space="preserve">mikrogram) udskilles i modermælk med </w:t>
      </w:r>
      <w:proofErr w:type="spellStart"/>
      <w:r w:rsidRPr="005C0340">
        <w:rPr>
          <w:sz w:val="24"/>
          <w:szCs w:val="24"/>
        </w:rPr>
        <w:t>lægemiddelkoncentrationener</w:t>
      </w:r>
      <w:proofErr w:type="spellEnd"/>
      <w:r w:rsidRPr="005C0340">
        <w:rPr>
          <w:sz w:val="24"/>
          <w:szCs w:val="24"/>
        </w:rPr>
        <w:t xml:space="preserve">, som stiger og falder meget hurtigt. Den maksimale koncentration af </w:t>
      </w:r>
      <w:proofErr w:type="spellStart"/>
      <w:r w:rsidRPr="005C0340">
        <w:rPr>
          <w:sz w:val="24"/>
          <w:szCs w:val="24"/>
        </w:rPr>
        <w:t>misoprostolsyre</w:t>
      </w:r>
      <w:proofErr w:type="spellEnd"/>
      <w:r w:rsidRPr="005C0340">
        <w:rPr>
          <w:sz w:val="24"/>
          <w:szCs w:val="24"/>
        </w:rPr>
        <w:t xml:space="preserve"> i modermælk blev nået inden for 1 time efter dosering og var 7,6 picogram/ml (% CV 37 %) og 20,9</w:t>
      </w:r>
      <w:r w:rsidR="00940955">
        <w:rPr>
          <w:sz w:val="24"/>
          <w:szCs w:val="24"/>
        </w:rPr>
        <w:t> </w:t>
      </w:r>
      <w:r w:rsidRPr="005C0340">
        <w:rPr>
          <w:sz w:val="24"/>
          <w:szCs w:val="24"/>
        </w:rPr>
        <w:t>picogram/ml (% CV 62 %) efter administration af en enkeltdosis på henholdsvis 200</w:t>
      </w:r>
      <w:r w:rsidR="00940955">
        <w:rPr>
          <w:sz w:val="24"/>
          <w:szCs w:val="24"/>
        </w:rPr>
        <w:t> </w:t>
      </w:r>
      <w:r w:rsidRPr="005C0340">
        <w:rPr>
          <w:sz w:val="24"/>
          <w:szCs w:val="24"/>
        </w:rPr>
        <w:t xml:space="preserve">mikrogram og 600 mikrogram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. Halveringstiden i mælk var i gennemsnit 1,1 timer. Der var ubetydelige mængder </w:t>
      </w:r>
      <w:proofErr w:type="spellStart"/>
      <w:r w:rsidRPr="005C0340">
        <w:rPr>
          <w:sz w:val="24"/>
          <w:szCs w:val="24"/>
        </w:rPr>
        <w:t>misoprostolsyre</w:t>
      </w:r>
      <w:proofErr w:type="spellEnd"/>
      <w:r w:rsidRPr="005C0340">
        <w:rPr>
          <w:sz w:val="24"/>
          <w:szCs w:val="24"/>
        </w:rPr>
        <w:t xml:space="preserve"> tilbage i moderens plasma efter 5 halveringstider (3,75 timer). </w:t>
      </w:r>
    </w:p>
    <w:p w14:paraId="777225CF" w14:textId="77777777" w:rsidR="005C0340" w:rsidRPr="005C0340" w:rsidRDefault="005C0340" w:rsidP="005C0340">
      <w:pPr>
        <w:tabs>
          <w:tab w:val="left" w:pos="851"/>
        </w:tabs>
        <w:ind w:left="851"/>
        <w:rPr>
          <w:sz w:val="24"/>
          <w:szCs w:val="24"/>
        </w:rPr>
      </w:pPr>
    </w:p>
    <w:p w14:paraId="71217BCB" w14:textId="77777777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Da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kun udskilles i meget lave mængder i modermælk, forventes eksponeringen hos det ammede barn ikke at være forbundet med risiko for bivirkninger. Amning er er derfor muligt hos kvinder, der har fået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>.</w:t>
      </w:r>
    </w:p>
    <w:p w14:paraId="2C9715DB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3B2E36D2" w14:textId="77777777" w:rsidR="005C0340" w:rsidRPr="005C0340" w:rsidRDefault="005C0340" w:rsidP="005C0340">
      <w:pPr>
        <w:ind w:left="851"/>
        <w:rPr>
          <w:sz w:val="24"/>
          <w:szCs w:val="24"/>
          <w:u w:val="single"/>
        </w:rPr>
      </w:pPr>
      <w:r w:rsidRPr="005C0340">
        <w:rPr>
          <w:sz w:val="24"/>
          <w:szCs w:val="24"/>
          <w:u w:val="single"/>
        </w:rPr>
        <w:t>Fertilitet</w:t>
      </w:r>
    </w:p>
    <w:p w14:paraId="76F9DBF8" w14:textId="30322AA6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Undersøgelser af fertilitet og tidlig embryoudvikling hos rotter har vist, at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kan have indflydelse på implantation og resorption (se </w:t>
      </w:r>
      <w:r w:rsidR="00940955">
        <w:rPr>
          <w:sz w:val="24"/>
          <w:szCs w:val="24"/>
        </w:rPr>
        <w:t>pkt.</w:t>
      </w:r>
      <w:r w:rsidRPr="005C0340">
        <w:rPr>
          <w:sz w:val="24"/>
          <w:szCs w:val="24"/>
        </w:rPr>
        <w:t xml:space="preserve"> 5.3). Dette anses dog ikke for at være relevant for den angivne anvendelse af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i slutningen af graviditeten.</w:t>
      </w:r>
    </w:p>
    <w:p w14:paraId="1FC6DFE5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B8814A2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4.7</w:t>
      </w:r>
      <w:r w:rsidRPr="00D31F28">
        <w:rPr>
          <w:b/>
          <w:sz w:val="24"/>
          <w:szCs w:val="24"/>
        </w:rPr>
        <w:tab/>
        <w:t xml:space="preserve">Virkning på evnen til at føre motorkøretøj </w:t>
      </w:r>
      <w:r w:rsidR="0071241E" w:rsidRPr="00D31F28">
        <w:rPr>
          <w:b/>
          <w:sz w:val="24"/>
          <w:szCs w:val="24"/>
        </w:rPr>
        <w:t>og</w:t>
      </w:r>
      <w:r w:rsidRPr="00D31F28">
        <w:rPr>
          <w:b/>
          <w:sz w:val="24"/>
          <w:szCs w:val="24"/>
        </w:rPr>
        <w:t xml:space="preserve"> betjene maskiner</w:t>
      </w:r>
    </w:p>
    <w:p w14:paraId="5874985E" w14:textId="77777777" w:rsidR="005C0340" w:rsidRPr="00D31F28" w:rsidRDefault="005C0340" w:rsidP="005C0340">
      <w:pPr>
        <w:tabs>
          <w:tab w:val="left" w:pos="851"/>
        </w:tabs>
        <w:ind w:left="851"/>
        <w:rPr>
          <w:sz w:val="24"/>
          <w:szCs w:val="24"/>
        </w:rPr>
      </w:pPr>
      <w:r w:rsidRPr="00D31F28">
        <w:rPr>
          <w:sz w:val="24"/>
          <w:szCs w:val="24"/>
        </w:rPr>
        <w:t>Ikke mærkning.</w:t>
      </w:r>
    </w:p>
    <w:p w14:paraId="37CBA0AF" w14:textId="375BD12E" w:rsidR="005C0340" w:rsidRPr="005C0340" w:rsidRDefault="005C0340" w:rsidP="005C0340">
      <w:pPr>
        <w:tabs>
          <w:tab w:val="left" w:pos="851"/>
        </w:tabs>
        <w:ind w:left="851"/>
        <w:rPr>
          <w:sz w:val="24"/>
          <w:szCs w:val="24"/>
        </w:rPr>
      </w:pPr>
      <w:r w:rsidRPr="005C0340">
        <w:rPr>
          <w:sz w:val="24"/>
          <w:szCs w:val="24"/>
        </w:rPr>
        <w:t>Ikke relevant.</w:t>
      </w:r>
    </w:p>
    <w:p w14:paraId="06766039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6562D06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4.8</w:t>
      </w:r>
      <w:r w:rsidRPr="00D31F28">
        <w:rPr>
          <w:b/>
          <w:sz w:val="24"/>
          <w:szCs w:val="24"/>
        </w:rPr>
        <w:tab/>
        <w:t>Bivirkninger</w:t>
      </w:r>
    </w:p>
    <w:p w14:paraId="2F1AA554" w14:textId="77777777" w:rsidR="00940955" w:rsidRDefault="00940955" w:rsidP="005C0340">
      <w:pPr>
        <w:ind w:left="851"/>
        <w:rPr>
          <w:iCs/>
          <w:sz w:val="24"/>
          <w:szCs w:val="24"/>
          <w:u w:val="single"/>
        </w:rPr>
      </w:pPr>
    </w:p>
    <w:p w14:paraId="30176D00" w14:textId="10BC9E89" w:rsidR="005C0340" w:rsidRPr="005C0340" w:rsidRDefault="005C0340" w:rsidP="005C0340">
      <w:pPr>
        <w:ind w:left="851"/>
        <w:rPr>
          <w:iCs/>
          <w:sz w:val="24"/>
          <w:szCs w:val="24"/>
          <w:u w:val="single"/>
        </w:rPr>
      </w:pPr>
      <w:r w:rsidRPr="005C0340">
        <w:rPr>
          <w:iCs/>
          <w:sz w:val="24"/>
          <w:szCs w:val="24"/>
          <w:u w:val="single"/>
        </w:rPr>
        <w:t>Resumé af sikkerhedsprofilen</w:t>
      </w:r>
    </w:p>
    <w:p w14:paraId="0DBD534C" w14:textId="2F06074D" w:rsidR="005C0340" w:rsidRPr="005C0340" w:rsidRDefault="005C0340" w:rsidP="005C0340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De bivirkninger, der er anført i nedenstående tabel, er rapporteret i 38 studier, hvor i alt 4.403 gravide kvinder blev eksponeret for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i doser på 20-25 mikrogram hver 2. time eller 50 mikrogram hver 4. time. Sikkerhedsdata for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20 eller 25 mikrogram hver 2. time til induktion af fødsel er tilgængelige fra en metaanalyse af 11</w:t>
      </w:r>
      <w:r w:rsidR="00940955">
        <w:rPr>
          <w:sz w:val="24"/>
          <w:szCs w:val="24"/>
        </w:rPr>
        <w:t> </w:t>
      </w:r>
      <w:r w:rsidRPr="005C0340">
        <w:rPr>
          <w:sz w:val="24"/>
          <w:szCs w:val="24"/>
        </w:rPr>
        <w:t xml:space="preserve">kliniske studier, hvor 1.459 kvinder blev eksponeret for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20 eller 25</w:t>
      </w:r>
      <w:r w:rsidR="00940955">
        <w:rPr>
          <w:sz w:val="24"/>
          <w:szCs w:val="24"/>
        </w:rPr>
        <w:t> </w:t>
      </w:r>
      <w:r w:rsidRPr="005C0340">
        <w:rPr>
          <w:sz w:val="24"/>
          <w:szCs w:val="24"/>
        </w:rPr>
        <w:t xml:space="preserve">mikrogram hver 2. time. Sikkerhedsdata for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50 mikrogram hver 4. time til induktion af fødsel er tilgængelige fra en metaanalyse af 28 kliniske studier, hvor 2.944 kvinder blev eksponeret for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50 mikrogram hver 4. time.</w:t>
      </w:r>
    </w:p>
    <w:p w14:paraId="33314A39" w14:textId="77777777" w:rsidR="005C0340" w:rsidRPr="005C0340" w:rsidRDefault="005C0340" w:rsidP="005C0340">
      <w:pPr>
        <w:ind w:left="851"/>
        <w:rPr>
          <w:bCs/>
          <w:iCs/>
          <w:sz w:val="24"/>
          <w:szCs w:val="24"/>
        </w:rPr>
      </w:pPr>
      <w:r w:rsidRPr="005C0340">
        <w:rPr>
          <w:bCs/>
          <w:iCs/>
          <w:sz w:val="24"/>
          <w:szCs w:val="24"/>
        </w:rPr>
        <w:t xml:space="preserve">Blandt 54 raske kvinder, der fik en enkelt dosis på 50 </w:t>
      </w:r>
      <w:r w:rsidRPr="005C0340">
        <w:rPr>
          <w:sz w:val="24"/>
          <w:szCs w:val="24"/>
        </w:rPr>
        <w:t xml:space="preserve">mikrogram </w:t>
      </w:r>
      <w:r w:rsidRPr="005C0340">
        <w:rPr>
          <w:bCs/>
          <w:iCs/>
          <w:sz w:val="24"/>
          <w:szCs w:val="24"/>
        </w:rPr>
        <w:t xml:space="preserve">af dette lægemiddel, blev der ikke påvist nogen bivirkninger i forbindelse med administrationen af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>.</w:t>
      </w:r>
    </w:p>
    <w:p w14:paraId="04F94EB8" w14:textId="77777777" w:rsidR="005C0340" w:rsidRPr="005C0340" w:rsidRDefault="005C0340" w:rsidP="005C0340">
      <w:pPr>
        <w:ind w:left="851"/>
        <w:rPr>
          <w:sz w:val="24"/>
          <w:szCs w:val="24"/>
        </w:rPr>
      </w:pPr>
    </w:p>
    <w:p w14:paraId="6B4D8C6F" w14:textId="77777777" w:rsidR="005C0340" w:rsidRPr="005C0340" w:rsidRDefault="005C0340" w:rsidP="005C0340">
      <w:pPr>
        <w:ind w:left="851"/>
        <w:rPr>
          <w:iCs/>
          <w:sz w:val="24"/>
          <w:szCs w:val="24"/>
          <w:u w:val="single"/>
        </w:rPr>
      </w:pPr>
      <w:r w:rsidRPr="005C0340">
        <w:rPr>
          <w:iCs/>
          <w:sz w:val="24"/>
          <w:szCs w:val="24"/>
          <w:u w:val="single"/>
        </w:rPr>
        <w:t>Tabeloversigt over bivirkninger</w:t>
      </w:r>
    </w:p>
    <w:p w14:paraId="191162E1" w14:textId="48F49F69" w:rsidR="005C0340" w:rsidRPr="005C0340" w:rsidRDefault="005C0340" w:rsidP="005C0340">
      <w:pPr>
        <w:ind w:left="851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 xml:space="preserve">Bivirkninger er angivet i henhold til </w:t>
      </w:r>
      <w:proofErr w:type="spellStart"/>
      <w:r w:rsidRPr="005C0340">
        <w:rPr>
          <w:iCs/>
          <w:sz w:val="24"/>
          <w:szCs w:val="24"/>
        </w:rPr>
        <w:t>MedDRA</w:t>
      </w:r>
      <w:proofErr w:type="spellEnd"/>
      <w:r w:rsidRPr="005C0340">
        <w:rPr>
          <w:iCs/>
          <w:sz w:val="24"/>
          <w:szCs w:val="24"/>
        </w:rPr>
        <w:t xml:space="preserve">-systemets organklasser og </w:t>
      </w:r>
      <w:proofErr w:type="spellStart"/>
      <w:r w:rsidRPr="005C0340">
        <w:rPr>
          <w:iCs/>
          <w:sz w:val="24"/>
          <w:szCs w:val="24"/>
        </w:rPr>
        <w:t>MedDRA</w:t>
      </w:r>
      <w:proofErr w:type="spellEnd"/>
      <w:r w:rsidRPr="005C0340">
        <w:rPr>
          <w:iCs/>
          <w:sz w:val="24"/>
          <w:szCs w:val="24"/>
        </w:rPr>
        <w:t>-frekvenskonventionen: meget almindelige (≥ 1/10); almindelige (≥ 1/100 til&lt; 1/10); ikke almindelige (≥ 1/1.000 til&lt; 1/100); sjælden (≥ 1/10.000 til &lt; 1/1.000); meget sjælden (&lt;</w:t>
      </w:r>
      <w:r w:rsidR="00940955">
        <w:rPr>
          <w:iCs/>
          <w:sz w:val="24"/>
          <w:szCs w:val="24"/>
        </w:rPr>
        <w:t> </w:t>
      </w:r>
      <w:r w:rsidRPr="005C0340">
        <w:rPr>
          <w:iCs/>
          <w:sz w:val="24"/>
          <w:szCs w:val="24"/>
        </w:rPr>
        <w:t>1/10.000); ikke kendt (kan ikke estimeres ud fra forhåndenværende data).</w:t>
      </w:r>
    </w:p>
    <w:p w14:paraId="4B0B2296" w14:textId="77777777" w:rsidR="005C0340" w:rsidRPr="005C0340" w:rsidRDefault="005C0340" w:rsidP="005C0340">
      <w:pPr>
        <w:tabs>
          <w:tab w:val="left" w:pos="851"/>
        </w:tabs>
        <w:ind w:left="851"/>
        <w:rPr>
          <w:iCs/>
          <w:sz w:val="24"/>
          <w:szCs w:val="24"/>
        </w:rPr>
      </w:pPr>
    </w:p>
    <w:tbl>
      <w:tblPr>
        <w:tblStyle w:val="Tabel-Gitter"/>
        <w:tblW w:w="5000" w:type="pct"/>
        <w:tblLook w:val="04A0" w:firstRow="1" w:lastRow="0" w:firstColumn="1" w:lastColumn="0" w:noHBand="0" w:noVBand="1"/>
      </w:tblPr>
      <w:tblGrid>
        <w:gridCol w:w="2177"/>
        <w:gridCol w:w="1835"/>
        <w:gridCol w:w="1885"/>
        <w:gridCol w:w="1723"/>
        <w:gridCol w:w="2008"/>
      </w:tblGrid>
      <w:tr w:rsidR="005C0340" w:rsidRPr="005C0340" w14:paraId="757C7729" w14:textId="77777777" w:rsidTr="005C0340">
        <w:trPr>
          <w:trHeight w:val="58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ADF6" w14:textId="77777777" w:rsidR="005C0340" w:rsidRPr="005C0340" w:rsidRDefault="005C0340" w:rsidP="005C0340">
            <w:pPr>
              <w:ind w:left="32"/>
              <w:rPr>
                <w:b/>
                <w:sz w:val="20"/>
                <w:lang w:val="en-GB"/>
              </w:rPr>
            </w:pPr>
            <w:proofErr w:type="spellStart"/>
            <w:r w:rsidRPr="005C0340">
              <w:rPr>
                <w:b/>
                <w:sz w:val="20"/>
                <w:lang w:val="en-GB"/>
              </w:rPr>
              <w:t>Systemorganklasser</w:t>
            </w:r>
            <w:proofErr w:type="spell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6533" w14:textId="77777777" w:rsidR="005C0340" w:rsidRPr="005C0340" w:rsidRDefault="005C0340" w:rsidP="005C0340">
            <w:pPr>
              <w:ind w:left="32"/>
              <w:rPr>
                <w:b/>
                <w:sz w:val="20"/>
                <w:lang w:val="en-GB"/>
              </w:rPr>
            </w:pPr>
            <w:r w:rsidRPr="005C0340">
              <w:rPr>
                <w:b/>
                <w:sz w:val="20"/>
                <w:lang w:val="en-GB"/>
              </w:rPr>
              <w:t xml:space="preserve">Meget </w:t>
            </w:r>
            <w:proofErr w:type="spellStart"/>
            <w:r w:rsidRPr="005C0340">
              <w:rPr>
                <w:b/>
                <w:sz w:val="20"/>
                <w:lang w:val="en-GB"/>
              </w:rPr>
              <w:t>almindelig</w:t>
            </w:r>
            <w:proofErr w:type="spellEnd"/>
            <w:r w:rsidRPr="005C0340">
              <w:rPr>
                <w:b/>
                <w:sz w:val="20"/>
                <w:lang w:val="en-GB"/>
              </w:rPr>
              <w:t xml:space="preserve"> (≥1/10)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1D28" w14:textId="77777777" w:rsidR="005C0340" w:rsidRPr="005C0340" w:rsidRDefault="005C0340" w:rsidP="005C0340">
            <w:pPr>
              <w:ind w:left="32"/>
              <w:rPr>
                <w:b/>
                <w:sz w:val="20"/>
                <w:lang w:val="en-GB"/>
              </w:rPr>
            </w:pPr>
            <w:proofErr w:type="spellStart"/>
            <w:r w:rsidRPr="005C0340">
              <w:rPr>
                <w:b/>
                <w:sz w:val="20"/>
                <w:lang w:val="en-GB"/>
              </w:rPr>
              <w:t>Almindelig</w:t>
            </w:r>
            <w:proofErr w:type="spellEnd"/>
            <w:r w:rsidRPr="005C0340">
              <w:rPr>
                <w:b/>
                <w:sz w:val="20"/>
                <w:lang w:val="en-GB"/>
              </w:rPr>
              <w:t xml:space="preserve"> (≥1/100 </w:t>
            </w:r>
            <w:proofErr w:type="spellStart"/>
            <w:r w:rsidRPr="005C0340">
              <w:rPr>
                <w:b/>
                <w:sz w:val="20"/>
                <w:lang w:val="en-GB"/>
              </w:rPr>
              <w:t>til</w:t>
            </w:r>
            <w:proofErr w:type="spellEnd"/>
            <w:r w:rsidRPr="005C0340">
              <w:rPr>
                <w:b/>
                <w:sz w:val="20"/>
                <w:lang w:val="en-GB"/>
              </w:rPr>
              <w:t xml:space="preserve"> &lt;1/10)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7A3F" w14:textId="77777777" w:rsidR="005C0340" w:rsidRPr="005C0340" w:rsidRDefault="005C0340" w:rsidP="005C0340">
            <w:pPr>
              <w:ind w:left="32"/>
              <w:rPr>
                <w:b/>
                <w:sz w:val="20"/>
                <w:lang w:val="en-GB"/>
              </w:rPr>
            </w:pPr>
            <w:r w:rsidRPr="005C0340">
              <w:rPr>
                <w:b/>
                <w:sz w:val="20"/>
                <w:lang w:val="en-GB"/>
              </w:rPr>
              <w:t xml:space="preserve">Ikke </w:t>
            </w:r>
            <w:proofErr w:type="spellStart"/>
            <w:r w:rsidRPr="005C0340">
              <w:rPr>
                <w:b/>
                <w:sz w:val="20"/>
                <w:lang w:val="en-GB"/>
              </w:rPr>
              <w:t>almindelig</w:t>
            </w:r>
            <w:proofErr w:type="spellEnd"/>
            <w:r w:rsidRPr="005C0340">
              <w:rPr>
                <w:b/>
                <w:sz w:val="20"/>
                <w:lang w:val="en-GB"/>
              </w:rPr>
              <w:t xml:space="preserve"> (≥1/1000 </w:t>
            </w:r>
            <w:proofErr w:type="spellStart"/>
            <w:r w:rsidRPr="005C0340">
              <w:rPr>
                <w:b/>
                <w:sz w:val="20"/>
                <w:lang w:val="en-GB"/>
              </w:rPr>
              <w:t>til</w:t>
            </w:r>
            <w:proofErr w:type="spellEnd"/>
            <w:r w:rsidRPr="005C0340">
              <w:rPr>
                <w:b/>
                <w:sz w:val="20"/>
                <w:lang w:val="en-GB"/>
              </w:rPr>
              <w:t xml:space="preserve"> &lt;1/100)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A03F" w14:textId="069F642E" w:rsidR="005C0340" w:rsidRPr="005C0340" w:rsidRDefault="005C0340" w:rsidP="005C0340">
            <w:pPr>
              <w:ind w:left="32"/>
              <w:rPr>
                <w:b/>
                <w:sz w:val="20"/>
              </w:rPr>
            </w:pPr>
            <w:r w:rsidRPr="005C0340">
              <w:rPr>
                <w:b/>
                <w:sz w:val="20"/>
              </w:rPr>
              <w:t>Ikke kendt (kan ikke estimeres ud fra forhånden</w:t>
            </w:r>
            <w:r w:rsidR="00940955">
              <w:rPr>
                <w:b/>
                <w:sz w:val="20"/>
              </w:rPr>
              <w:softHyphen/>
            </w:r>
            <w:r w:rsidRPr="005C0340">
              <w:rPr>
                <w:b/>
                <w:sz w:val="20"/>
              </w:rPr>
              <w:t>værende data)</w:t>
            </w:r>
          </w:p>
        </w:tc>
      </w:tr>
      <w:tr w:rsidR="005C0340" w:rsidRPr="005C0340" w14:paraId="353E75E6" w14:textId="77777777" w:rsidTr="005C0340">
        <w:trPr>
          <w:trHeight w:val="58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5DC6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proofErr w:type="spellStart"/>
            <w:r w:rsidRPr="005C0340">
              <w:rPr>
                <w:sz w:val="20"/>
                <w:lang w:val="en-GB"/>
              </w:rPr>
              <w:t>Nervesystemet</w:t>
            </w:r>
            <w:proofErr w:type="spell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54C4" w14:textId="77777777" w:rsidR="005C0340" w:rsidRPr="005C0340" w:rsidRDefault="005C0340" w:rsidP="005C0340">
            <w:pPr>
              <w:ind w:left="32"/>
              <w:rPr>
                <w:b/>
                <w:sz w:val="20"/>
                <w:lang w:val="en-GB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A2E5" w14:textId="77777777" w:rsidR="005C0340" w:rsidRPr="005C0340" w:rsidRDefault="005C0340" w:rsidP="005C0340">
            <w:pPr>
              <w:ind w:left="32"/>
              <w:rPr>
                <w:b/>
                <w:sz w:val="20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EDCE" w14:textId="77777777" w:rsidR="005C0340" w:rsidRPr="005C0340" w:rsidRDefault="005C0340" w:rsidP="005C0340">
            <w:pPr>
              <w:ind w:left="32"/>
              <w:rPr>
                <w:b/>
                <w:sz w:val="20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6BDAC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r w:rsidRPr="005C0340">
              <w:rPr>
                <w:sz w:val="20"/>
              </w:rPr>
              <w:t>Svimmelhed</w:t>
            </w:r>
            <w:r w:rsidRPr="005C0340">
              <w:rPr>
                <w:sz w:val="20"/>
                <w:vertAlign w:val="superscript"/>
              </w:rPr>
              <w:t>1)</w:t>
            </w:r>
          </w:p>
          <w:p w14:paraId="35C72E0D" w14:textId="77777777" w:rsidR="005C0340" w:rsidRPr="005C0340" w:rsidRDefault="005C0340" w:rsidP="005C0340">
            <w:pPr>
              <w:ind w:left="32"/>
              <w:rPr>
                <w:b/>
                <w:sz w:val="20"/>
              </w:rPr>
            </w:pPr>
            <w:r w:rsidRPr="005C0340">
              <w:rPr>
                <w:sz w:val="20"/>
              </w:rPr>
              <w:t xml:space="preserve">Neonatale kramper (PT: kramper hos </w:t>
            </w:r>
            <w:proofErr w:type="gramStart"/>
            <w:r w:rsidRPr="005C0340">
              <w:rPr>
                <w:sz w:val="20"/>
              </w:rPr>
              <w:t>nyfødte)*</w:t>
            </w:r>
            <w:proofErr w:type="gramEnd"/>
            <w:r w:rsidRPr="005C0340">
              <w:rPr>
                <w:sz w:val="20"/>
                <w:vertAlign w:val="superscript"/>
              </w:rPr>
              <w:t>2)</w:t>
            </w:r>
          </w:p>
        </w:tc>
      </w:tr>
      <w:tr w:rsidR="005C0340" w:rsidRPr="005C0340" w14:paraId="3A8BE8D9" w14:textId="77777777" w:rsidTr="005C0340">
        <w:trPr>
          <w:trHeight w:val="580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D5D7" w14:textId="77777777" w:rsidR="005C0340" w:rsidRPr="005C0340" w:rsidRDefault="005C0340" w:rsidP="005C0340">
            <w:pPr>
              <w:ind w:left="32"/>
              <w:rPr>
                <w:b/>
                <w:sz w:val="20"/>
              </w:rPr>
            </w:pPr>
            <w:r w:rsidRPr="005C0340">
              <w:rPr>
                <w:sz w:val="20"/>
              </w:rPr>
              <w:t xml:space="preserve">Luftveje, thorax og </w:t>
            </w:r>
            <w:proofErr w:type="spellStart"/>
            <w:r w:rsidRPr="005C0340">
              <w:rPr>
                <w:sz w:val="20"/>
              </w:rPr>
              <w:t>mediastinum</w:t>
            </w:r>
            <w:proofErr w:type="spell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86A" w14:textId="77777777" w:rsidR="005C0340" w:rsidRPr="005C0340" w:rsidRDefault="005C0340" w:rsidP="005C0340">
            <w:pPr>
              <w:ind w:left="32"/>
              <w:rPr>
                <w:b/>
                <w:sz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625" w14:textId="77777777" w:rsidR="005C0340" w:rsidRPr="005C0340" w:rsidRDefault="005C0340" w:rsidP="005C0340">
            <w:pPr>
              <w:ind w:left="32"/>
              <w:rPr>
                <w:b/>
                <w:sz w:val="20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6A8E6" w14:textId="3FD9767E" w:rsidR="005C0340" w:rsidRPr="005C0340" w:rsidRDefault="005C0340" w:rsidP="005C0340">
            <w:pPr>
              <w:ind w:left="32"/>
              <w:rPr>
                <w:i/>
                <w:iCs/>
                <w:sz w:val="20"/>
              </w:rPr>
            </w:pPr>
            <w:r w:rsidRPr="005C0340">
              <w:rPr>
                <w:i/>
                <w:iCs/>
                <w:sz w:val="20"/>
              </w:rPr>
              <w:t>Med 50</w:t>
            </w:r>
            <w:r w:rsidR="00940955">
              <w:rPr>
                <w:i/>
                <w:iCs/>
                <w:sz w:val="20"/>
              </w:rPr>
              <w:t> </w:t>
            </w:r>
            <w:r w:rsidRPr="005C0340">
              <w:rPr>
                <w:i/>
                <w:iCs/>
                <w:sz w:val="20"/>
              </w:rPr>
              <w:t>mikrogram, hver 4. time:</w:t>
            </w:r>
          </w:p>
          <w:p w14:paraId="127A6922" w14:textId="77777777" w:rsidR="005C0340" w:rsidRPr="005C0340" w:rsidRDefault="005C0340" w:rsidP="005C0340">
            <w:pPr>
              <w:ind w:left="32"/>
              <w:rPr>
                <w:b/>
                <w:sz w:val="20"/>
              </w:rPr>
            </w:pPr>
            <w:r w:rsidRPr="005C0340">
              <w:rPr>
                <w:sz w:val="20"/>
              </w:rPr>
              <w:t xml:space="preserve">Neonatal </w:t>
            </w:r>
            <w:proofErr w:type="spellStart"/>
            <w:r w:rsidRPr="005C0340">
              <w:rPr>
                <w:sz w:val="20"/>
              </w:rPr>
              <w:t>asfyksi</w:t>
            </w:r>
            <w:proofErr w:type="spellEnd"/>
            <w:r w:rsidRPr="005C0340">
              <w:rPr>
                <w:sz w:val="20"/>
              </w:rPr>
              <w:t>*</w:t>
            </w:r>
            <w:r w:rsidRPr="005C0340">
              <w:rPr>
                <w:sz w:val="20"/>
                <w:vertAlign w:val="superscript"/>
              </w:rPr>
              <w:t>3)</w:t>
            </w: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EE47" w14:textId="77777777" w:rsidR="005C0340" w:rsidRPr="005C0340" w:rsidRDefault="005C0340" w:rsidP="005C0340">
            <w:pPr>
              <w:ind w:left="32"/>
              <w:rPr>
                <w:i/>
                <w:iCs/>
                <w:sz w:val="20"/>
              </w:rPr>
            </w:pPr>
            <w:r w:rsidRPr="005C0340">
              <w:rPr>
                <w:i/>
                <w:iCs/>
                <w:sz w:val="20"/>
              </w:rPr>
              <w:t>Med 25 mikrogram, hver 2. time:</w:t>
            </w:r>
          </w:p>
          <w:p w14:paraId="4D050B16" w14:textId="77777777" w:rsidR="005C0340" w:rsidRPr="005C0340" w:rsidRDefault="005C0340" w:rsidP="005C0340">
            <w:pPr>
              <w:ind w:left="32"/>
              <w:rPr>
                <w:sz w:val="20"/>
                <w:vertAlign w:val="superscript"/>
              </w:rPr>
            </w:pPr>
            <w:r w:rsidRPr="005C0340">
              <w:rPr>
                <w:sz w:val="20"/>
              </w:rPr>
              <w:t xml:space="preserve">Neonatal </w:t>
            </w:r>
            <w:proofErr w:type="spellStart"/>
            <w:r w:rsidRPr="005C0340">
              <w:rPr>
                <w:sz w:val="20"/>
              </w:rPr>
              <w:t>asfyksi</w:t>
            </w:r>
            <w:proofErr w:type="spellEnd"/>
            <w:r w:rsidRPr="005C0340">
              <w:rPr>
                <w:sz w:val="20"/>
              </w:rPr>
              <w:t>*</w:t>
            </w:r>
            <w:r w:rsidRPr="005C0340">
              <w:rPr>
                <w:sz w:val="20"/>
                <w:vertAlign w:val="superscript"/>
              </w:rPr>
              <w:t>3)</w:t>
            </w:r>
          </w:p>
          <w:p w14:paraId="5587170B" w14:textId="77777777" w:rsidR="005C0340" w:rsidRPr="005C0340" w:rsidRDefault="005C0340" w:rsidP="005C0340">
            <w:pPr>
              <w:ind w:left="32"/>
              <w:rPr>
                <w:b/>
                <w:sz w:val="20"/>
                <w:lang w:val="en-GB"/>
              </w:rPr>
            </w:pPr>
            <w:r w:rsidRPr="005C0340">
              <w:rPr>
                <w:sz w:val="20"/>
                <w:lang w:val="en-GB"/>
              </w:rPr>
              <w:t xml:space="preserve">Neonatal </w:t>
            </w:r>
            <w:proofErr w:type="spellStart"/>
            <w:r w:rsidRPr="005C0340">
              <w:rPr>
                <w:sz w:val="20"/>
                <w:lang w:val="en-GB"/>
              </w:rPr>
              <w:t>Cyanose</w:t>
            </w:r>
            <w:proofErr w:type="spellEnd"/>
            <w:r w:rsidRPr="005C0340">
              <w:rPr>
                <w:sz w:val="20"/>
                <w:lang w:val="en-GB"/>
              </w:rPr>
              <w:t>*</w:t>
            </w:r>
            <w:r w:rsidRPr="005C0340">
              <w:rPr>
                <w:sz w:val="20"/>
                <w:vertAlign w:val="superscript"/>
                <w:lang w:val="en-GB"/>
              </w:rPr>
              <w:t>4)</w:t>
            </w:r>
          </w:p>
        </w:tc>
      </w:tr>
      <w:tr w:rsidR="005C0340" w:rsidRPr="005C0340" w14:paraId="4C41683C" w14:textId="77777777" w:rsidTr="005C0340">
        <w:trPr>
          <w:trHeight w:val="382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9D3B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r w:rsidRPr="005C0340">
              <w:rPr>
                <w:sz w:val="20"/>
                <w:lang w:val="en-GB"/>
              </w:rPr>
              <w:t>Mave-</w:t>
            </w:r>
            <w:proofErr w:type="spellStart"/>
            <w:r w:rsidRPr="005C0340">
              <w:rPr>
                <w:sz w:val="20"/>
                <w:lang w:val="en-GB"/>
              </w:rPr>
              <w:t>tarm</w:t>
            </w:r>
            <w:proofErr w:type="spellEnd"/>
            <w:r w:rsidRPr="005C0340">
              <w:rPr>
                <w:sz w:val="20"/>
                <w:lang w:val="en-GB"/>
              </w:rPr>
              <w:t>-</w:t>
            </w:r>
            <w:proofErr w:type="spellStart"/>
            <w:r w:rsidRPr="005C0340">
              <w:rPr>
                <w:sz w:val="20"/>
                <w:lang w:val="en-GB"/>
              </w:rPr>
              <w:t>kanalen</w:t>
            </w:r>
            <w:proofErr w:type="spell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B674" w14:textId="38AD3F30" w:rsidR="005C0340" w:rsidRPr="005C0340" w:rsidRDefault="005C0340" w:rsidP="005C0340">
            <w:pPr>
              <w:ind w:left="32"/>
              <w:rPr>
                <w:i/>
                <w:sz w:val="20"/>
              </w:rPr>
            </w:pPr>
            <w:r w:rsidRPr="005C0340">
              <w:rPr>
                <w:i/>
                <w:sz w:val="20"/>
              </w:rPr>
              <w:t>Med</w:t>
            </w:r>
            <w:r w:rsidR="00940955">
              <w:rPr>
                <w:i/>
                <w:sz w:val="20"/>
              </w:rPr>
              <w:t xml:space="preserve"> </w:t>
            </w:r>
            <w:r w:rsidRPr="005C0340">
              <w:rPr>
                <w:i/>
                <w:sz w:val="20"/>
              </w:rPr>
              <w:t>50</w:t>
            </w:r>
            <w:r w:rsidR="00940955">
              <w:rPr>
                <w:i/>
                <w:sz w:val="20"/>
              </w:rPr>
              <w:t> </w:t>
            </w:r>
            <w:r w:rsidRPr="005C0340">
              <w:rPr>
                <w:i/>
                <w:sz w:val="20"/>
              </w:rPr>
              <w:t>mikrogram,</w:t>
            </w:r>
            <w:r w:rsidR="00940955">
              <w:rPr>
                <w:i/>
                <w:sz w:val="20"/>
              </w:rPr>
              <w:t xml:space="preserve"> </w:t>
            </w:r>
            <w:r w:rsidRPr="005C0340">
              <w:rPr>
                <w:i/>
                <w:sz w:val="20"/>
              </w:rPr>
              <w:t>hver 4. time:</w:t>
            </w:r>
          </w:p>
          <w:p w14:paraId="0D0047B3" w14:textId="77777777" w:rsidR="005C0340" w:rsidRPr="005C0340" w:rsidRDefault="005C0340" w:rsidP="005C0340">
            <w:pPr>
              <w:ind w:left="32"/>
              <w:rPr>
                <w:sz w:val="20"/>
                <w:vertAlign w:val="superscript"/>
              </w:rPr>
            </w:pPr>
            <w:r w:rsidRPr="005C0340">
              <w:rPr>
                <w:sz w:val="20"/>
              </w:rPr>
              <w:t>Kvalme</w:t>
            </w:r>
            <w:r w:rsidRPr="005C0340">
              <w:rPr>
                <w:sz w:val="20"/>
                <w:vertAlign w:val="superscript"/>
              </w:rPr>
              <w:t>5)</w:t>
            </w:r>
          </w:p>
          <w:p w14:paraId="5ECB6369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r w:rsidRPr="005C0340">
              <w:rPr>
                <w:sz w:val="20"/>
                <w:lang w:val="en-GB"/>
              </w:rPr>
              <w:t>Opkastning</w:t>
            </w:r>
            <w:r w:rsidRPr="005C0340">
              <w:rPr>
                <w:sz w:val="20"/>
                <w:vertAlign w:val="superscript"/>
                <w:lang w:val="en-GB"/>
              </w:rPr>
              <w:t>5)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94A0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r w:rsidRPr="005C0340">
              <w:rPr>
                <w:sz w:val="20"/>
              </w:rPr>
              <w:t>Diarré</w:t>
            </w:r>
          </w:p>
          <w:p w14:paraId="269FA408" w14:textId="77777777" w:rsidR="005C0340" w:rsidRPr="005C0340" w:rsidRDefault="005C0340" w:rsidP="005C0340">
            <w:pPr>
              <w:ind w:left="32"/>
              <w:rPr>
                <w:sz w:val="20"/>
              </w:rPr>
            </w:pPr>
          </w:p>
          <w:p w14:paraId="55647B94" w14:textId="77777777" w:rsidR="005C0340" w:rsidRPr="005C0340" w:rsidRDefault="005C0340" w:rsidP="005C0340">
            <w:pPr>
              <w:ind w:left="32"/>
              <w:rPr>
                <w:i/>
                <w:sz w:val="20"/>
              </w:rPr>
            </w:pPr>
            <w:r w:rsidRPr="005C0340">
              <w:rPr>
                <w:i/>
                <w:sz w:val="20"/>
              </w:rPr>
              <w:t>Med 25 mikrogram, hver 2. time:</w:t>
            </w:r>
          </w:p>
          <w:p w14:paraId="0AE5D135" w14:textId="77777777" w:rsidR="005C0340" w:rsidRPr="005C0340" w:rsidRDefault="005C0340" w:rsidP="005C0340">
            <w:pPr>
              <w:ind w:left="32"/>
              <w:rPr>
                <w:sz w:val="20"/>
                <w:vertAlign w:val="superscript"/>
                <w:lang w:val="en-GB"/>
              </w:rPr>
            </w:pPr>
            <w:r w:rsidRPr="005C0340">
              <w:rPr>
                <w:sz w:val="20"/>
                <w:lang w:val="en-GB"/>
              </w:rPr>
              <w:t>Kvalme</w:t>
            </w:r>
            <w:r w:rsidRPr="005C0340">
              <w:rPr>
                <w:sz w:val="20"/>
                <w:vertAlign w:val="superscript"/>
                <w:lang w:val="en-GB"/>
              </w:rPr>
              <w:t>5)</w:t>
            </w:r>
          </w:p>
          <w:p w14:paraId="2D979C12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proofErr w:type="spellStart"/>
            <w:r w:rsidRPr="005C0340">
              <w:rPr>
                <w:sz w:val="20"/>
                <w:lang w:val="en-GB"/>
              </w:rPr>
              <w:t>Opkastning</w:t>
            </w:r>
            <w:proofErr w:type="spellEnd"/>
            <w:r w:rsidRPr="005C0340">
              <w:rPr>
                <w:sz w:val="20"/>
                <w:lang w:val="en-GB"/>
              </w:rPr>
              <w:t xml:space="preserve"> </w:t>
            </w:r>
            <w:r w:rsidRPr="005C0340">
              <w:rPr>
                <w:sz w:val="20"/>
                <w:vertAlign w:val="superscript"/>
                <w:lang w:val="en-GB"/>
              </w:rPr>
              <w:t>5)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32C3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1C9C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</w:p>
        </w:tc>
      </w:tr>
      <w:tr w:rsidR="005C0340" w:rsidRPr="005C0340" w14:paraId="64B3287B" w14:textId="77777777" w:rsidTr="005C0340">
        <w:trPr>
          <w:trHeight w:val="382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9E4B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r w:rsidRPr="005C0340">
              <w:rPr>
                <w:sz w:val="20"/>
                <w:lang w:val="en-GB"/>
              </w:rPr>
              <w:t xml:space="preserve">Hud- og </w:t>
            </w:r>
            <w:proofErr w:type="spellStart"/>
            <w:r w:rsidRPr="005C0340">
              <w:rPr>
                <w:sz w:val="20"/>
                <w:lang w:val="en-GB"/>
              </w:rPr>
              <w:t>subkutane</w:t>
            </w:r>
            <w:proofErr w:type="spellEnd"/>
            <w:r w:rsidRPr="005C0340">
              <w:rPr>
                <w:sz w:val="20"/>
                <w:lang w:val="en-GB"/>
              </w:rPr>
              <w:t xml:space="preserve"> </w:t>
            </w:r>
            <w:proofErr w:type="spellStart"/>
            <w:r w:rsidRPr="005C0340">
              <w:rPr>
                <w:sz w:val="20"/>
                <w:lang w:val="en-GB"/>
              </w:rPr>
              <w:t>væv</w:t>
            </w:r>
            <w:proofErr w:type="spell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436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C8D2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E36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CF300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r w:rsidRPr="005C0340">
              <w:rPr>
                <w:sz w:val="20"/>
                <w:lang w:val="en-GB"/>
              </w:rPr>
              <w:t>Udslæt</w:t>
            </w:r>
            <w:r w:rsidRPr="005C0340">
              <w:rPr>
                <w:sz w:val="20"/>
                <w:vertAlign w:val="superscript"/>
                <w:lang w:val="en-GB"/>
              </w:rPr>
              <w:t>1)</w:t>
            </w:r>
          </w:p>
        </w:tc>
      </w:tr>
      <w:tr w:rsidR="005C0340" w:rsidRPr="005C0340" w14:paraId="5BB7E369" w14:textId="77777777" w:rsidTr="005C0340">
        <w:trPr>
          <w:trHeight w:val="382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4DCA9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r w:rsidRPr="005C0340">
              <w:rPr>
                <w:sz w:val="20"/>
              </w:rPr>
              <w:t>Graviditet,</w:t>
            </w:r>
          </w:p>
          <w:p w14:paraId="49322167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proofErr w:type="spellStart"/>
            <w:r w:rsidRPr="005C0340">
              <w:rPr>
                <w:sz w:val="20"/>
              </w:rPr>
              <w:t>puerperium</w:t>
            </w:r>
            <w:proofErr w:type="spellEnd"/>
            <w:r w:rsidRPr="005C0340">
              <w:rPr>
                <w:sz w:val="20"/>
              </w:rPr>
              <w:t xml:space="preserve"> og den</w:t>
            </w:r>
          </w:p>
          <w:p w14:paraId="23383660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proofErr w:type="spellStart"/>
            <w:r w:rsidRPr="005C0340">
              <w:rPr>
                <w:sz w:val="20"/>
              </w:rPr>
              <w:t>perinatale</w:t>
            </w:r>
            <w:proofErr w:type="spellEnd"/>
            <w:r w:rsidRPr="005C0340">
              <w:rPr>
                <w:sz w:val="20"/>
              </w:rPr>
              <w:t xml:space="preserve"> periode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ABF11" w14:textId="5300F1AC" w:rsidR="005C0340" w:rsidRPr="005C0340" w:rsidRDefault="005C0340" w:rsidP="005C0340">
            <w:pPr>
              <w:ind w:left="32"/>
              <w:rPr>
                <w:i/>
                <w:sz w:val="20"/>
              </w:rPr>
            </w:pPr>
            <w:r w:rsidRPr="005C0340">
              <w:rPr>
                <w:i/>
                <w:sz w:val="20"/>
              </w:rPr>
              <w:t>Med 50</w:t>
            </w:r>
            <w:r w:rsidR="00940955">
              <w:rPr>
                <w:i/>
                <w:sz w:val="20"/>
              </w:rPr>
              <w:t> </w:t>
            </w:r>
            <w:r w:rsidRPr="005C0340">
              <w:rPr>
                <w:i/>
                <w:sz w:val="20"/>
              </w:rPr>
              <w:t>mikrogram, hver 4. time:</w:t>
            </w:r>
          </w:p>
          <w:p w14:paraId="6BD0BFDF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r w:rsidRPr="005C0340">
              <w:rPr>
                <w:sz w:val="20"/>
              </w:rPr>
              <w:t>Mekoniumpletter</w:t>
            </w:r>
            <w:r w:rsidRPr="005C0340">
              <w:rPr>
                <w:sz w:val="20"/>
                <w:vertAlign w:val="superscript"/>
              </w:rPr>
              <w:t>5)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BFE7" w14:textId="77777777" w:rsidR="005C0340" w:rsidRPr="005C0340" w:rsidRDefault="005C0340" w:rsidP="005C0340">
            <w:pPr>
              <w:ind w:left="32"/>
              <w:rPr>
                <w:sz w:val="20"/>
                <w:lang w:val="nb-NO"/>
              </w:rPr>
            </w:pPr>
            <w:r w:rsidRPr="005C0340">
              <w:rPr>
                <w:sz w:val="20"/>
                <w:lang w:val="nb-NO"/>
              </w:rPr>
              <w:t>Uterin</w:t>
            </w:r>
          </w:p>
          <w:p w14:paraId="2197DE5B" w14:textId="77777777" w:rsidR="005C0340" w:rsidRPr="005C0340" w:rsidRDefault="005C0340" w:rsidP="005C0340">
            <w:pPr>
              <w:ind w:left="32"/>
              <w:rPr>
                <w:sz w:val="20"/>
                <w:lang w:val="nb-NO"/>
              </w:rPr>
            </w:pPr>
            <w:r w:rsidRPr="005C0340">
              <w:rPr>
                <w:sz w:val="20"/>
                <w:lang w:val="nb-NO"/>
              </w:rPr>
              <w:t>Hyperstimulation</w:t>
            </w:r>
            <w:r w:rsidRPr="005C0340">
              <w:rPr>
                <w:sz w:val="20"/>
                <w:vertAlign w:val="superscript"/>
                <w:lang w:val="nb-NO"/>
              </w:rPr>
              <w:t>6)</w:t>
            </w:r>
          </w:p>
          <w:p w14:paraId="5A3A0FF1" w14:textId="77777777" w:rsidR="005C0340" w:rsidRPr="005C0340" w:rsidRDefault="005C0340" w:rsidP="005C0340">
            <w:pPr>
              <w:ind w:left="32"/>
              <w:rPr>
                <w:sz w:val="20"/>
                <w:lang w:val="nb-NO"/>
              </w:rPr>
            </w:pPr>
            <w:r w:rsidRPr="005C0340">
              <w:rPr>
                <w:sz w:val="20"/>
                <w:lang w:val="nb-NO"/>
              </w:rPr>
              <w:t>Postpartum blødning</w:t>
            </w:r>
          </w:p>
          <w:p w14:paraId="008263F3" w14:textId="77777777" w:rsidR="005C0340" w:rsidRPr="005C0340" w:rsidRDefault="005C0340" w:rsidP="005C0340">
            <w:pPr>
              <w:ind w:left="32"/>
              <w:rPr>
                <w:sz w:val="20"/>
                <w:lang w:val="nb-NO"/>
              </w:rPr>
            </w:pPr>
          </w:p>
          <w:p w14:paraId="25411B20" w14:textId="77777777" w:rsidR="005C0340" w:rsidRPr="005C0340" w:rsidRDefault="005C0340" w:rsidP="005C0340">
            <w:pPr>
              <w:ind w:left="32"/>
              <w:rPr>
                <w:i/>
                <w:sz w:val="20"/>
                <w:lang w:val="nb-NO"/>
              </w:rPr>
            </w:pPr>
            <w:r w:rsidRPr="005C0340">
              <w:rPr>
                <w:i/>
                <w:sz w:val="20"/>
                <w:lang w:val="nb-NO"/>
              </w:rPr>
              <w:t>Med 25 mikrogram, hver 2. time:</w:t>
            </w:r>
          </w:p>
          <w:p w14:paraId="4DBA56CB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r w:rsidRPr="005C0340">
              <w:rPr>
                <w:sz w:val="20"/>
                <w:lang w:val="en-GB"/>
              </w:rPr>
              <w:t>Mekoniumpletter</w:t>
            </w:r>
            <w:r w:rsidRPr="005C0340">
              <w:rPr>
                <w:sz w:val="20"/>
                <w:vertAlign w:val="superscript"/>
                <w:lang w:val="en-GB"/>
              </w:rPr>
              <w:t>5)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899F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48B8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r w:rsidRPr="005C0340">
              <w:rPr>
                <w:sz w:val="20"/>
              </w:rPr>
              <w:t>Præmatur placentaløsning</w:t>
            </w:r>
            <w:r w:rsidRPr="005C0340">
              <w:rPr>
                <w:sz w:val="20"/>
                <w:vertAlign w:val="superscript"/>
              </w:rPr>
              <w:t>7)</w:t>
            </w:r>
          </w:p>
          <w:p w14:paraId="1D0E77EA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proofErr w:type="spellStart"/>
            <w:r w:rsidRPr="005C0340">
              <w:rPr>
                <w:sz w:val="20"/>
              </w:rPr>
              <w:t>Føtalracidose</w:t>
            </w:r>
            <w:proofErr w:type="spellEnd"/>
            <w:r w:rsidRPr="005C0340">
              <w:rPr>
                <w:sz w:val="20"/>
              </w:rPr>
              <w:t>*</w:t>
            </w:r>
            <w:r w:rsidRPr="005C0340">
              <w:rPr>
                <w:sz w:val="20"/>
                <w:vertAlign w:val="superscript"/>
              </w:rPr>
              <w:t>4)</w:t>
            </w:r>
          </w:p>
          <w:p w14:paraId="4F1B0C68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proofErr w:type="spellStart"/>
            <w:r w:rsidRPr="005C0340">
              <w:rPr>
                <w:sz w:val="20"/>
              </w:rPr>
              <w:t>Uterin</w:t>
            </w:r>
            <w:proofErr w:type="spellEnd"/>
            <w:r w:rsidRPr="005C0340">
              <w:rPr>
                <w:sz w:val="20"/>
              </w:rPr>
              <w:t xml:space="preserve"> ruptur</w:t>
            </w:r>
          </w:p>
        </w:tc>
      </w:tr>
      <w:tr w:rsidR="005C0340" w:rsidRPr="005C0340" w14:paraId="73D5499C" w14:textId="77777777" w:rsidTr="005C0340">
        <w:trPr>
          <w:trHeight w:val="777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C0B69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r w:rsidRPr="005C0340">
              <w:rPr>
                <w:sz w:val="20"/>
              </w:rPr>
              <w:t xml:space="preserve">Almene symptomer og reaktioner på administrationsstedet 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93EF" w14:textId="77777777" w:rsidR="005C0340" w:rsidRPr="005C0340" w:rsidRDefault="005C0340" w:rsidP="005C0340">
            <w:pPr>
              <w:ind w:left="32"/>
              <w:rPr>
                <w:sz w:val="20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1B08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r w:rsidRPr="005C0340">
              <w:rPr>
                <w:sz w:val="20"/>
                <w:lang w:val="en-GB"/>
              </w:rPr>
              <w:t>Feber</w:t>
            </w:r>
          </w:p>
          <w:p w14:paraId="19CFC844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proofErr w:type="spellStart"/>
            <w:r w:rsidRPr="005C0340">
              <w:rPr>
                <w:sz w:val="20"/>
                <w:lang w:val="en-GB"/>
              </w:rPr>
              <w:t>Kulderystelser</w:t>
            </w:r>
            <w:proofErr w:type="spellEnd"/>
            <w:r w:rsidRPr="005C0340">
              <w:rPr>
                <w:sz w:val="20"/>
                <w:lang w:val="en-GB"/>
              </w:rPr>
              <w:t xml:space="preserve"> </w:t>
            </w:r>
            <w:r w:rsidRPr="005C0340">
              <w:rPr>
                <w:sz w:val="20"/>
                <w:vertAlign w:val="superscript"/>
                <w:lang w:val="en-GB"/>
              </w:rPr>
              <w:t>8)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2A1AF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8D44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</w:p>
        </w:tc>
      </w:tr>
      <w:tr w:rsidR="005C0340" w:rsidRPr="005C0340" w14:paraId="29690061" w14:textId="77777777" w:rsidTr="005C0340">
        <w:trPr>
          <w:trHeight w:val="263"/>
        </w:trPr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5D2B1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  <w:proofErr w:type="spellStart"/>
            <w:r w:rsidRPr="005C0340">
              <w:rPr>
                <w:sz w:val="20"/>
                <w:lang w:val="en-GB"/>
              </w:rPr>
              <w:t>Undersøgelser</w:t>
            </w:r>
            <w:proofErr w:type="spellEnd"/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B53B" w14:textId="77777777" w:rsidR="005C0340" w:rsidRPr="005C0340" w:rsidRDefault="005C0340" w:rsidP="005C0340">
            <w:pPr>
              <w:ind w:left="32"/>
              <w:rPr>
                <w:sz w:val="20"/>
                <w:lang w:val="en-GB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5659B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r w:rsidRPr="005C0340">
              <w:rPr>
                <w:sz w:val="20"/>
              </w:rPr>
              <w:t xml:space="preserve">Lav </w:t>
            </w:r>
            <w:proofErr w:type="spellStart"/>
            <w:r w:rsidRPr="005C0340">
              <w:rPr>
                <w:sz w:val="20"/>
              </w:rPr>
              <w:t>Apgar</w:t>
            </w:r>
            <w:proofErr w:type="spellEnd"/>
            <w:r w:rsidRPr="005C0340">
              <w:rPr>
                <w:sz w:val="20"/>
              </w:rPr>
              <w:t>-score*</w:t>
            </w:r>
          </w:p>
          <w:p w14:paraId="45A7EEF5" w14:textId="77777777" w:rsidR="005C0340" w:rsidRPr="005C0340" w:rsidRDefault="005C0340" w:rsidP="005C0340">
            <w:pPr>
              <w:ind w:left="32"/>
              <w:rPr>
                <w:sz w:val="20"/>
              </w:rPr>
            </w:pPr>
            <w:r w:rsidRPr="005C0340">
              <w:rPr>
                <w:sz w:val="20"/>
              </w:rPr>
              <w:t xml:space="preserve">Unormal </w:t>
            </w:r>
            <w:proofErr w:type="spellStart"/>
            <w:r w:rsidRPr="005C0340">
              <w:rPr>
                <w:sz w:val="20"/>
              </w:rPr>
              <w:t>føtal</w:t>
            </w:r>
            <w:proofErr w:type="spellEnd"/>
            <w:r w:rsidRPr="005C0340">
              <w:rPr>
                <w:sz w:val="20"/>
              </w:rPr>
              <w:t xml:space="preserve"> hjerterytme*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0C63" w14:textId="77777777" w:rsidR="005C0340" w:rsidRPr="005C0340" w:rsidRDefault="005C0340" w:rsidP="005C0340">
            <w:pPr>
              <w:ind w:left="32"/>
              <w:rPr>
                <w:sz w:val="20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1493" w14:textId="77777777" w:rsidR="005C0340" w:rsidRPr="005C0340" w:rsidRDefault="005C0340" w:rsidP="005C0340">
            <w:pPr>
              <w:ind w:left="32"/>
              <w:rPr>
                <w:sz w:val="20"/>
              </w:rPr>
            </w:pPr>
          </w:p>
        </w:tc>
      </w:tr>
    </w:tbl>
    <w:p w14:paraId="3C404CD3" w14:textId="09F9E3B5" w:rsidR="005C0340" w:rsidRPr="005C0340" w:rsidRDefault="005C0340" w:rsidP="008A268C">
      <w:pPr>
        <w:ind w:left="284" w:hanging="284"/>
        <w:rPr>
          <w:sz w:val="24"/>
          <w:szCs w:val="24"/>
        </w:rPr>
      </w:pPr>
      <w:r w:rsidRPr="005C0340">
        <w:rPr>
          <w:sz w:val="24"/>
          <w:szCs w:val="24"/>
        </w:rPr>
        <w:t xml:space="preserve">* </w:t>
      </w:r>
      <w:r w:rsidR="008A268C" w:rsidRPr="00D31F28">
        <w:rPr>
          <w:sz w:val="24"/>
          <w:szCs w:val="24"/>
        </w:rPr>
        <w:tab/>
      </w:r>
      <w:r w:rsidRPr="005C0340">
        <w:rPr>
          <w:sz w:val="24"/>
          <w:szCs w:val="24"/>
        </w:rPr>
        <w:t>Neonatal bivirkning.</w:t>
      </w:r>
    </w:p>
    <w:p w14:paraId="09D00E5A" w14:textId="3D3DECC8" w:rsidR="005C0340" w:rsidRPr="005C0340" w:rsidRDefault="005C0340" w:rsidP="008A268C">
      <w:pPr>
        <w:ind w:left="284" w:hanging="284"/>
        <w:rPr>
          <w:sz w:val="24"/>
          <w:szCs w:val="24"/>
        </w:rPr>
      </w:pPr>
      <w:r w:rsidRPr="005C0340">
        <w:rPr>
          <w:sz w:val="24"/>
          <w:szCs w:val="24"/>
          <w:vertAlign w:val="superscript"/>
        </w:rPr>
        <w:t>1)</w:t>
      </w:r>
      <w:r w:rsidRPr="005C0340">
        <w:rPr>
          <w:sz w:val="24"/>
          <w:szCs w:val="24"/>
        </w:rPr>
        <w:t xml:space="preserve"> </w:t>
      </w:r>
      <w:r w:rsidR="008A268C" w:rsidRPr="00D31F28">
        <w:rPr>
          <w:sz w:val="24"/>
          <w:szCs w:val="24"/>
        </w:rPr>
        <w:tab/>
      </w:r>
      <w:r w:rsidRPr="005C0340">
        <w:rPr>
          <w:sz w:val="24"/>
          <w:szCs w:val="24"/>
        </w:rPr>
        <w:t xml:space="preserve">Rapporteret med </w:t>
      </w:r>
      <w:proofErr w:type="spellStart"/>
      <w:r w:rsidRPr="005C0340">
        <w:rPr>
          <w:sz w:val="24"/>
          <w:szCs w:val="24"/>
        </w:rPr>
        <w:t>Cytotec</w:t>
      </w:r>
      <w:proofErr w:type="spellEnd"/>
      <w:r w:rsidRPr="005C0340">
        <w:rPr>
          <w:sz w:val="24"/>
          <w:szCs w:val="24"/>
        </w:rPr>
        <w:t xml:space="preserve">. Der er ikke rapporteret om bivirkninger i de udvalgte studier af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>.</w:t>
      </w:r>
    </w:p>
    <w:p w14:paraId="0DC3420E" w14:textId="5C86BE34" w:rsidR="005C0340" w:rsidRPr="005C0340" w:rsidRDefault="005C0340" w:rsidP="008A268C">
      <w:pPr>
        <w:ind w:left="284" w:hanging="284"/>
        <w:rPr>
          <w:sz w:val="24"/>
          <w:szCs w:val="24"/>
        </w:rPr>
      </w:pPr>
      <w:r w:rsidRPr="005C0340">
        <w:rPr>
          <w:sz w:val="24"/>
          <w:szCs w:val="24"/>
          <w:vertAlign w:val="superscript"/>
        </w:rPr>
        <w:t>2)</w:t>
      </w:r>
      <w:r w:rsidR="008A268C" w:rsidRPr="00D31F28">
        <w:rPr>
          <w:sz w:val="24"/>
          <w:szCs w:val="24"/>
        </w:rPr>
        <w:tab/>
      </w:r>
      <w:r w:rsidRPr="005C0340">
        <w:rPr>
          <w:sz w:val="24"/>
          <w:szCs w:val="24"/>
        </w:rPr>
        <w:t xml:space="preserve">Neonatale kramper blev rapporteret i et klinisk studie ved 25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sz w:val="24"/>
          <w:szCs w:val="24"/>
        </w:rPr>
        <w:t>hver 2. time (n = 302 vurderede kvinder) og 4 stu</w:t>
      </w:r>
      <w:r w:rsidR="008A268C" w:rsidRPr="00D31F28">
        <w:rPr>
          <w:sz w:val="24"/>
          <w:szCs w:val="24"/>
        </w:rPr>
        <w:t>d</w:t>
      </w:r>
      <w:r w:rsidRPr="005C0340">
        <w:rPr>
          <w:sz w:val="24"/>
          <w:szCs w:val="24"/>
        </w:rPr>
        <w:t xml:space="preserve">ier med 50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sz w:val="24"/>
          <w:szCs w:val="24"/>
        </w:rPr>
        <w:t>hver 4. time (n = 473 vurderede kvinder).</w:t>
      </w:r>
    </w:p>
    <w:p w14:paraId="16C9BEC6" w14:textId="4C014513" w:rsidR="005C0340" w:rsidRPr="005C0340" w:rsidRDefault="005C0340" w:rsidP="008A268C">
      <w:pPr>
        <w:ind w:left="284" w:hanging="284"/>
        <w:rPr>
          <w:sz w:val="24"/>
          <w:szCs w:val="24"/>
        </w:rPr>
      </w:pPr>
      <w:r w:rsidRPr="005C0340">
        <w:rPr>
          <w:sz w:val="24"/>
          <w:szCs w:val="24"/>
          <w:vertAlign w:val="superscript"/>
        </w:rPr>
        <w:t>3)</w:t>
      </w:r>
      <w:r w:rsidR="008A268C" w:rsidRPr="00D31F28">
        <w:rPr>
          <w:sz w:val="24"/>
          <w:szCs w:val="24"/>
        </w:rPr>
        <w:tab/>
      </w:r>
      <w:r w:rsidRPr="005C0340">
        <w:rPr>
          <w:sz w:val="24"/>
          <w:szCs w:val="24"/>
        </w:rPr>
        <w:t xml:space="preserve">Neonatal </w:t>
      </w:r>
      <w:proofErr w:type="spellStart"/>
      <w:r w:rsidRPr="005C0340">
        <w:rPr>
          <w:sz w:val="24"/>
          <w:szCs w:val="24"/>
        </w:rPr>
        <w:t>asfyksi</w:t>
      </w:r>
      <w:proofErr w:type="spellEnd"/>
      <w:r w:rsidRPr="005C0340">
        <w:rPr>
          <w:sz w:val="24"/>
          <w:szCs w:val="24"/>
        </w:rPr>
        <w:t xml:space="preserve"> var ikke almindelig ved 50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sz w:val="24"/>
          <w:szCs w:val="24"/>
        </w:rPr>
        <w:t xml:space="preserve">hver 4. time. Kun to kliniske studier med 25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sz w:val="24"/>
          <w:szCs w:val="24"/>
        </w:rPr>
        <w:t>hver 2. time (n = 377 vurderede kvinder).</w:t>
      </w:r>
    </w:p>
    <w:p w14:paraId="54A8616F" w14:textId="749F45C6" w:rsidR="005C0340" w:rsidRPr="005C0340" w:rsidRDefault="005C0340" w:rsidP="008A268C">
      <w:pPr>
        <w:ind w:left="284" w:hanging="284"/>
        <w:rPr>
          <w:sz w:val="24"/>
          <w:szCs w:val="24"/>
        </w:rPr>
      </w:pPr>
      <w:r w:rsidRPr="005C0340">
        <w:rPr>
          <w:sz w:val="24"/>
          <w:szCs w:val="24"/>
          <w:vertAlign w:val="superscript"/>
        </w:rPr>
        <w:t>4)</w:t>
      </w:r>
      <w:r w:rsidR="008A268C" w:rsidRPr="00D31F28">
        <w:rPr>
          <w:sz w:val="24"/>
          <w:szCs w:val="24"/>
          <w:vertAlign w:val="superscript"/>
        </w:rPr>
        <w:tab/>
      </w:r>
      <w:r w:rsidRPr="005C0340">
        <w:rPr>
          <w:sz w:val="24"/>
          <w:szCs w:val="24"/>
        </w:rPr>
        <w:t xml:space="preserve">Der blev ikke rapporteret om bivirkninger i de udvalgte studier af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>.</w:t>
      </w:r>
    </w:p>
    <w:p w14:paraId="5AAEBF4E" w14:textId="7E10FAC8" w:rsidR="005C0340" w:rsidRPr="005C0340" w:rsidRDefault="005C0340" w:rsidP="008A268C">
      <w:pPr>
        <w:ind w:left="284" w:hanging="284"/>
        <w:rPr>
          <w:sz w:val="24"/>
          <w:szCs w:val="24"/>
        </w:rPr>
      </w:pPr>
      <w:r w:rsidRPr="005C0340">
        <w:rPr>
          <w:sz w:val="24"/>
          <w:szCs w:val="24"/>
          <w:vertAlign w:val="superscript"/>
        </w:rPr>
        <w:t>5)</w:t>
      </w:r>
      <w:r w:rsidR="008A268C" w:rsidRPr="00D31F28">
        <w:rPr>
          <w:sz w:val="24"/>
          <w:szCs w:val="24"/>
          <w:vertAlign w:val="superscript"/>
        </w:rPr>
        <w:tab/>
      </w:r>
      <w:r w:rsidRPr="005C0340">
        <w:rPr>
          <w:sz w:val="24"/>
          <w:szCs w:val="24"/>
        </w:rPr>
        <w:t xml:space="preserve">Kvalme, opkastning og </w:t>
      </w:r>
      <w:proofErr w:type="spellStart"/>
      <w:r w:rsidRPr="005C0340">
        <w:rPr>
          <w:sz w:val="24"/>
          <w:szCs w:val="24"/>
        </w:rPr>
        <w:t>mekoniumpletter</w:t>
      </w:r>
      <w:proofErr w:type="spellEnd"/>
      <w:r w:rsidRPr="005C0340">
        <w:rPr>
          <w:sz w:val="24"/>
          <w:szCs w:val="24"/>
        </w:rPr>
        <w:t xml:space="preserve"> var almindelige ved 25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sz w:val="24"/>
          <w:szCs w:val="24"/>
        </w:rPr>
        <w:t xml:space="preserve">hver 2. time og meget almindelige ved 50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sz w:val="24"/>
          <w:szCs w:val="24"/>
        </w:rPr>
        <w:t>hver 4. time.</w:t>
      </w:r>
    </w:p>
    <w:p w14:paraId="7CEE0752" w14:textId="729A083E" w:rsidR="005C0340" w:rsidRPr="005C0340" w:rsidRDefault="005C0340" w:rsidP="008A268C">
      <w:pPr>
        <w:ind w:left="284" w:hanging="284"/>
        <w:rPr>
          <w:sz w:val="24"/>
          <w:szCs w:val="24"/>
        </w:rPr>
      </w:pPr>
      <w:r w:rsidRPr="005C0340">
        <w:rPr>
          <w:sz w:val="24"/>
          <w:szCs w:val="24"/>
          <w:vertAlign w:val="superscript"/>
        </w:rPr>
        <w:t>6)</w:t>
      </w:r>
      <w:r w:rsidR="008A268C" w:rsidRPr="00D31F28">
        <w:rPr>
          <w:sz w:val="24"/>
          <w:szCs w:val="24"/>
          <w:vertAlign w:val="superscript"/>
        </w:rPr>
        <w:tab/>
      </w:r>
      <w:proofErr w:type="spellStart"/>
      <w:r w:rsidRPr="005C0340">
        <w:rPr>
          <w:sz w:val="24"/>
          <w:szCs w:val="24"/>
        </w:rPr>
        <w:t>Uterin</w:t>
      </w:r>
      <w:proofErr w:type="spellEnd"/>
      <w:r w:rsidRPr="005C0340">
        <w:rPr>
          <w:sz w:val="24"/>
          <w:szCs w:val="24"/>
        </w:rPr>
        <w:t xml:space="preserve"> </w:t>
      </w:r>
      <w:proofErr w:type="spellStart"/>
      <w:r w:rsidRPr="005C0340">
        <w:rPr>
          <w:sz w:val="24"/>
          <w:szCs w:val="24"/>
        </w:rPr>
        <w:t>hyperstimulation</w:t>
      </w:r>
      <w:proofErr w:type="spellEnd"/>
      <w:r w:rsidRPr="005C0340">
        <w:rPr>
          <w:sz w:val="24"/>
          <w:szCs w:val="24"/>
        </w:rPr>
        <w:t xml:space="preserve"> blev rapporteret både med og uden ændringer i </w:t>
      </w:r>
      <w:proofErr w:type="spellStart"/>
      <w:r w:rsidRPr="005C0340">
        <w:rPr>
          <w:sz w:val="24"/>
          <w:szCs w:val="24"/>
        </w:rPr>
        <w:t>føtal</w:t>
      </w:r>
      <w:proofErr w:type="spellEnd"/>
      <w:r w:rsidRPr="005C0340">
        <w:rPr>
          <w:sz w:val="24"/>
          <w:szCs w:val="24"/>
        </w:rPr>
        <w:t xml:space="preserve"> hjerterytme.</w:t>
      </w:r>
    </w:p>
    <w:p w14:paraId="529BDBE2" w14:textId="4C63253A" w:rsidR="005C0340" w:rsidRPr="005C0340" w:rsidRDefault="005C0340" w:rsidP="008A268C">
      <w:pPr>
        <w:ind w:left="284" w:hanging="284"/>
        <w:rPr>
          <w:sz w:val="24"/>
          <w:szCs w:val="24"/>
        </w:rPr>
      </w:pPr>
      <w:r w:rsidRPr="005C0340">
        <w:rPr>
          <w:sz w:val="24"/>
          <w:szCs w:val="24"/>
          <w:vertAlign w:val="superscript"/>
        </w:rPr>
        <w:t>7)</w:t>
      </w:r>
      <w:r w:rsidR="008A268C" w:rsidRPr="00D31F28">
        <w:rPr>
          <w:sz w:val="24"/>
          <w:szCs w:val="24"/>
          <w:vertAlign w:val="superscript"/>
        </w:rPr>
        <w:tab/>
      </w:r>
      <w:r w:rsidRPr="005C0340">
        <w:rPr>
          <w:sz w:val="24"/>
          <w:szCs w:val="24"/>
        </w:rPr>
        <w:t xml:space="preserve">For tidlig placenta-løsning blev rapporteret i et klinisk studieved 25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sz w:val="24"/>
          <w:szCs w:val="24"/>
        </w:rPr>
        <w:t>hver 2. time (n</w:t>
      </w:r>
      <w:r w:rsidR="00940955">
        <w:rPr>
          <w:sz w:val="24"/>
          <w:szCs w:val="24"/>
        </w:rPr>
        <w:t> </w:t>
      </w:r>
      <w:r w:rsidRPr="005C0340">
        <w:rPr>
          <w:sz w:val="24"/>
          <w:szCs w:val="24"/>
        </w:rPr>
        <w:t>=</w:t>
      </w:r>
      <w:r w:rsidR="00940955">
        <w:rPr>
          <w:sz w:val="24"/>
          <w:szCs w:val="24"/>
        </w:rPr>
        <w:t> </w:t>
      </w:r>
      <w:r w:rsidRPr="005C0340">
        <w:rPr>
          <w:sz w:val="24"/>
          <w:szCs w:val="24"/>
        </w:rPr>
        <w:t xml:space="preserve">128 vurderede kvinder) og et studie med 50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sz w:val="24"/>
          <w:szCs w:val="24"/>
        </w:rPr>
        <w:t xml:space="preserve">hver 4. time (n = 96 vurderede kvinder). </w:t>
      </w:r>
    </w:p>
    <w:p w14:paraId="404F5A1F" w14:textId="6E8C7E86" w:rsidR="005C0340" w:rsidRPr="005C0340" w:rsidRDefault="005C0340" w:rsidP="008A268C">
      <w:pPr>
        <w:ind w:left="284" w:hanging="284"/>
        <w:rPr>
          <w:sz w:val="24"/>
          <w:szCs w:val="24"/>
        </w:rPr>
      </w:pPr>
      <w:r w:rsidRPr="005C0340">
        <w:rPr>
          <w:sz w:val="24"/>
          <w:szCs w:val="24"/>
          <w:vertAlign w:val="superscript"/>
        </w:rPr>
        <w:t>8)</w:t>
      </w:r>
      <w:r w:rsidR="008A268C" w:rsidRPr="00D31F28">
        <w:rPr>
          <w:sz w:val="24"/>
          <w:szCs w:val="24"/>
          <w:vertAlign w:val="superscript"/>
        </w:rPr>
        <w:tab/>
      </w:r>
      <w:r w:rsidRPr="005C0340">
        <w:rPr>
          <w:sz w:val="24"/>
          <w:szCs w:val="24"/>
        </w:rPr>
        <w:t xml:space="preserve">Der blev rapporteret om kulderystelser i to kliniske studier ved 50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sz w:val="24"/>
          <w:szCs w:val="24"/>
        </w:rPr>
        <w:t>hver 4. time (n</w:t>
      </w:r>
      <w:r w:rsidR="00940955">
        <w:rPr>
          <w:sz w:val="24"/>
          <w:szCs w:val="24"/>
        </w:rPr>
        <w:t> </w:t>
      </w:r>
      <w:r w:rsidRPr="005C0340">
        <w:rPr>
          <w:sz w:val="24"/>
          <w:szCs w:val="24"/>
        </w:rPr>
        <w:t>=</w:t>
      </w:r>
      <w:r w:rsidR="00940955">
        <w:rPr>
          <w:sz w:val="24"/>
          <w:szCs w:val="24"/>
        </w:rPr>
        <w:t> </w:t>
      </w:r>
      <w:r w:rsidRPr="005C0340">
        <w:rPr>
          <w:sz w:val="24"/>
          <w:szCs w:val="24"/>
        </w:rPr>
        <w:t>140 vurderede kvinder).</w:t>
      </w:r>
    </w:p>
    <w:p w14:paraId="3F413C1E" w14:textId="77777777" w:rsidR="005C0340" w:rsidRPr="005C0340" w:rsidRDefault="005C0340" w:rsidP="008A268C">
      <w:pPr>
        <w:ind w:left="851"/>
        <w:rPr>
          <w:sz w:val="24"/>
          <w:szCs w:val="24"/>
        </w:rPr>
      </w:pPr>
    </w:p>
    <w:p w14:paraId="44AC111B" w14:textId="77777777" w:rsidR="005C0340" w:rsidRPr="005C0340" w:rsidRDefault="005C0340" w:rsidP="008A268C">
      <w:pPr>
        <w:ind w:left="851"/>
        <w:rPr>
          <w:sz w:val="24"/>
          <w:szCs w:val="24"/>
          <w:u w:val="single"/>
        </w:rPr>
      </w:pPr>
      <w:r w:rsidRPr="005C0340">
        <w:rPr>
          <w:sz w:val="24"/>
          <w:szCs w:val="24"/>
          <w:u w:val="single"/>
        </w:rPr>
        <w:t>Indberetning af formodede bivirkninger</w:t>
      </w:r>
    </w:p>
    <w:p w14:paraId="18191A38" w14:textId="77777777" w:rsidR="005C0340" w:rsidRPr="00D31F28" w:rsidRDefault="005C0340" w:rsidP="008A268C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Når lægemidlet er godkendt, er indberetning af formodede bivirkninger vigtig. Det muliggør løbende overvågning af benefit/</w:t>
      </w:r>
      <w:proofErr w:type="spellStart"/>
      <w:r w:rsidRPr="005C0340">
        <w:rPr>
          <w:sz w:val="24"/>
          <w:szCs w:val="24"/>
        </w:rPr>
        <w:t>risk</w:t>
      </w:r>
      <w:proofErr w:type="spellEnd"/>
      <w:r w:rsidRPr="005C0340">
        <w:rPr>
          <w:sz w:val="24"/>
          <w:szCs w:val="24"/>
        </w:rPr>
        <w:t>-forholdet for lægemidlet. Sundhedspersoner anmodes om at indberette alle formodede bivirkninger via:</w:t>
      </w:r>
    </w:p>
    <w:p w14:paraId="4136E140" w14:textId="77777777" w:rsidR="008A268C" w:rsidRPr="005C0340" w:rsidRDefault="008A268C" w:rsidP="008A268C">
      <w:pPr>
        <w:ind w:left="851"/>
        <w:rPr>
          <w:sz w:val="24"/>
          <w:szCs w:val="24"/>
        </w:rPr>
      </w:pPr>
    </w:p>
    <w:p w14:paraId="160F8EEB" w14:textId="77777777" w:rsidR="005C0340" w:rsidRPr="005C0340" w:rsidRDefault="005C0340" w:rsidP="008A268C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Lægemiddelstyrelsen</w:t>
      </w:r>
    </w:p>
    <w:p w14:paraId="6DEA862A" w14:textId="77777777" w:rsidR="005C0340" w:rsidRPr="005C0340" w:rsidRDefault="005C0340" w:rsidP="008A268C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Axel Heides Gade 1</w:t>
      </w:r>
    </w:p>
    <w:p w14:paraId="5929ED52" w14:textId="77777777" w:rsidR="005C0340" w:rsidRPr="005C0340" w:rsidRDefault="005C0340" w:rsidP="008A268C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DK-2300 København S</w:t>
      </w:r>
    </w:p>
    <w:p w14:paraId="38824A91" w14:textId="77777777" w:rsidR="005C0340" w:rsidRPr="005C0340" w:rsidRDefault="005C0340" w:rsidP="008A268C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Websted: </w:t>
      </w:r>
      <w:hyperlink r:id="rId8" w:history="1">
        <w:r w:rsidRPr="005C0340">
          <w:rPr>
            <w:rStyle w:val="Hyperlink"/>
            <w:sz w:val="24"/>
            <w:szCs w:val="24"/>
          </w:rPr>
          <w:t>www.meldenbivirkning.dk</w:t>
        </w:r>
      </w:hyperlink>
      <w:r w:rsidRPr="005C0340">
        <w:rPr>
          <w:sz w:val="24"/>
          <w:szCs w:val="24"/>
        </w:rPr>
        <w:t xml:space="preserve"> </w:t>
      </w:r>
    </w:p>
    <w:p w14:paraId="1E41D921" w14:textId="77777777" w:rsidR="009260DE" w:rsidRPr="00D31F28" w:rsidRDefault="009260DE" w:rsidP="008A268C">
      <w:pPr>
        <w:ind w:left="851"/>
        <w:rPr>
          <w:sz w:val="24"/>
          <w:szCs w:val="24"/>
        </w:rPr>
      </w:pPr>
    </w:p>
    <w:p w14:paraId="5F3392AA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4.9</w:t>
      </w:r>
      <w:r w:rsidRPr="00D31F28">
        <w:rPr>
          <w:b/>
          <w:sz w:val="24"/>
          <w:szCs w:val="24"/>
        </w:rPr>
        <w:tab/>
        <w:t>Overdosering</w:t>
      </w:r>
    </w:p>
    <w:p w14:paraId="0D367CBF" w14:textId="77777777" w:rsidR="005C0340" w:rsidRPr="005C0340" w:rsidRDefault="005C0340" w:rsidP="008A268C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Der foreligger ingen information om overdosering med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>.</w:t>
      </w:r>
    </w:p>
    <w:p w14:paraId="7E5C5CB0" w14:textId="77777777" w:rsidR="005C0340" w:rsidRPr="005C0340" w:rsidRDefault="005C0340" w:rsidP="008A268C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I tilfælde af symptomer på overdosering (f.eks. kraftig </w:t>
      </w:r>
      <w:proofErr w:type="spellStart"/>
      <w:r w:rsidRPr="005C0340">
        <w:rPr>
          <w:sz w:val="24"/>
          <w:szCs w:val="24"/>
        </w:rPr>
        <w:t>uterin</w:t>
      </w:r>
      <w:proofErr w:type="spellEnd"/>
      <w:r w:rsidRPr="005C0340">
        <w:rPr>
          <w:sz w:val="24"/>
          <w:szCs w:val="24"/>
        </w:rPr>
        <w:t xml:space="preserve"> </w:t>
      </w:r>
      <w:proofErr w:type="spellStart"/>
      <w:r w:rsidRPr="005C0340">
        <w:rPr>
          <w:sz w:val="24"/>
          <w:szCs w:val="24"/>
        </w:rPr>
        <w:t>hyperstimulation</w:t>
      </w:r>
      <w:proofErr w:type="spellEnd"/>
      <w:r w:rsidRPr="005C0340">
        <w:rPr>
          <w:sz w:val="24"/>
          <w:szCs w:val="24"/>
        </w:rPr>
        <w:t xml:space="preserve">, der forårsager langvarige eller kraftige kontraktioner), bør behandling med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seponeres, og understøttende behandling iværksættes. De mulige konsekvenser af </w:t>
      </w:r>
      <w:proofErr w:type="spellStart"/>
      <w:r w:rsidRPr="005C0340">
        <w:rPr>
          <w:sz w:val="24"/>
          <w:szCs w:val="24"/>
        </w:rPr>
        <w:t>uterin</w:t>
      </w:r>
      <w:proofErr w:type="spellEnd"/>
      <w:r w:rsidRPr="005C0340">
        <w:rPr>
          <w:sz w:val="24"/>
          <w:szCs w:val="24"/>
        </w:rPr>
        <w:t xml:space="preserve"> </w:t>
      </w:r>
      <w:proofErr w:type="spellStart"/>
      <w:r w:rsidRPr="005C0340">
        <w:rPr>
          <w:sz w:val="24"/>
          <w:szCs w:val="24"/>
        </w:rPr>
        <w:t>hyperstimlation</w:t>
      </w:r>
      <w:proofErr w:type="spellEnd"/>
      <w:r w:rsidRPr="005C0340">
        <w:rPr>
          <w:sz w:val="24"/>
          <w:szCs w:val="24"/>
        </w:rPr>
        <w:t xml:space="preserve"> omfatter forstyrrelser i den </w:t>
      </w:r>
      <w:proofErr w:type="spellStart"/>
      <w:r w:rsidRPr="005C0340">
        <w:rPr>
          <w:sz w:val="24"/>
          <w:szCs w:val="24"/>
        </w:rPr>
        <w:t>føtale</w:t>
      </w:r>
      <w:proofErr w:type="spellEnd"/>
      <w:r w:rsidRPr="005C0340">
        <w:rPr>
          <w:sz w:val="24"/>
          <w:szCs w:val="24"/>
        </w:rPr>
        <w:t xml:space="preserve"> hjerterytme og </w:t>
      </w:r>
      <w:proofErr w:type="spellStart"/>
      <w:r w:rsidRPr="005C0340">
        <w:rPr>
          <w:sz w:val="24"/>
          <w:szCs w:val="24"/>
        </w:rPr>
        <w:t>asfyksi</w:t>
      </w:r>
      <w:proofErr w:type="spellEnd"/>
      <w:r w:rsidRPr="005C0340">
        <w:rPr>
          <w:sz w:val="24"/>
          <w:szCs w:val="24"/>
        </w:rPr>
        <w:t>, i disse tilfælde bør kejsersnit overvejes.</w:t>
      </w:r>
    </w:p>
    <w:p w14:paraId="6B4A29FD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739C96C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4.10</w:t>
      </w:r>
      <w:r w:rsidRPr="00D31F28">
        <w:rPr>
          <w:b/>
          <w:sz w:val="24"/>
          <w:szCs w:val="24"/>
        </w:rPr>
        <w:tab/>
        <w:t>Udlevering</w:t>
      </w:r>
    </w:p>
    <w:p w14:paraId="6D1786D0" w14:textId="77777777" w:rsidR="005C0340" w:rsidRPr="005C0340" w:rsidRDefault="005C0340" w:rsidP="005C0340">
      <w:pPr>
        <w:tabs>
          <w:tab w:val="left" w:pos="851"/>
        </w:tabs>
        <w:ind w:left="851"/>
        <w:rPr>
          <w:sz w:val="24"/>
          <w:szCs w:val="24"/>
        </w:rPr>
      </w:pPr>
      <w:r w:rsidRPr="005C0340">
        <w:rPr>
          <w:sz w:val="24"/>
          <w:szCs w:val="24"/>
        </w:rPr>
        <w:t>BEGR (kun til sygehuse)</w:t>
      </w:r>
    </w:p>
    <w:p w14:paraId="1ADF03D4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8A289A5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E877089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5.</w:t>
      </w:r>
      <w:r w:rsidRPr="00D31F28">
        <w:rPr>
          <w:b/>
          <w:sz w:val="24"/>
          <w:szCs w:val="24"/>
        </w:rPr>
        <w:tab/>
        <w:t>FARMAKOLOGISKE EGENSKABER</w:t>
      </w:r>
    </w:p>
    <w:p w14:paraId="7CF4F954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D0E093E" w14:textId="77777777" w:rsidR="009260DE" w:rsidRPr="00D31F28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5.1</w:t>
      </w:r>
      <w:r w:rsidRPr="00D31F28">
        <w:rPr>
          <w:b/>
          <w:sz w:val="24"/>
          <w:szCs w:val="24"/>
        </w:rPr>
        <w:tab/>
      </w:r>
      <w:proofErr w:type="spellStart"/>
      <w:r w:rsidRPr="00D31F28">
        <w:rPr>
          <w:b/>
          <w:sz w:val="24"/>
          <w:szCs w:val="24"/>
        </w:rPr>
        <w:t>Farmakodynamiske</w:t>
      </w:r>
      <w:proofErr w:type="spellEnd"/>
      <w:r w:rsidRPr="00D31F28">
        <w:rPr>
          <w:b/>
          <w:sz w:val="24"/>
          <w:szCs w:val="24"/>
        </w:rPr>
        <w:t xml:space="preserve"> egenskaber</w:t>
      </w:r>
    </w:p>
    <w:p w14:paraId="0A32C159" w14:textId="77777777" w:rsidR="005C0340" w:rsidRPr="005C0340" w:rsidRDefault="005C0340" w:rsidP="008A268C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Farmakoterapeutisk</w:t>
      </w:r>
      <w:proofErr w:type="spellEnd"/>
      <w:r w:rsidRPr="005C0340">
        <w:rPr>
          <w:sz w:val="24"/>
          <w:szCs w:val="24"/>
        </w:rPr>
        <w:t xml:space="preserve"> klassifikation: Andre gynækologiske midler, </w:t>
      </w:r>
      <w:proofErr w:type="spellStart"/>
      <w:r w:rsidRPr="005C0340">
        <w:rPr>
          <w:sz w:val="24"/>
          <w:szCs w:val="24"/>
        </w:rPr>
        <w:t>uterotonika</w:t>
      </w:r>
      <w:proofErr w:type="spellEnd"/>
      <w:r w:rsidRPr="005C0340">
        <w:rPr>
          <w:sz w:val="24"/>
          <w:szCs w:val="24"/>
        </w:rPr>
        <w:t xml:space="preserve">, </w:t>
      </w:r>
      <w:proofErr w:type="spellStart"/>
      <w:r w:rsidRPr="005C0340">
        <w:rPr>
          <w:sz w:val="24"/>
          <w:szCs w:val="24"/>
        </w:rPr>
        <w:t>prostaglandiner</w:t>
      </w:r>
      <w:proofErr w:type="spellEnd"/>
      <w:r w:rsidRPr="005C0340">
        <w:rPr>
          <w:sz w:val="24"/>
          <w:szCs w:val="24"/>
        </w:rPr>
        <w:t>, ATC-kode: G02AD06.</w:t>
      </w:r>
    </w:p>
    <w:p w14:paraId="58302070" w14:textId="77777777" w:rsidR="005C0340" w:rsidRPr="005C0340" w:rsidRDefault="005C0340" w:rsidP="008A268C">
      <w:pPr>
        <w:ind w:left="851"/>
        <w:rPr>
          <w:sz w:val="24"/>
          <w:szCs w:val="24"/>
        </w:rPr>
      </w:pPr>
    </w:p>
    <w:p w14:paraId="49594FDD" w14:textId="77777777" w:rsidR="005C0340" w:rsidRPr="005C0340" w:rsidRDefault="005C0340" w:rsidP="008A268C">
      <w:pPr>
        <w:ind w:left="851"/>
        <w:rPr>
          <w:sz w:val="24"/>
          <w:szCs w:val="24"/>
        </w:rPr>
      </w:pPr>
      <w:r w:rsidRPr="005C0340">
        <w:rPr>
          <w:sz w:val="24"/>
          <w:szCs w:val="24"/>
          <w:u w:val="single"/>
        </w:rPr>
        <w:t>Virkningsmekanisme</w:t>
      </w:r>
    </w:p>
    <w:p w14:paraId="0259AFB3" w14:textId="77777777" w:rsidR="005C0340" w:rsidRPr="005C0340" w:rsidRDefault="005C0340" w:rsidP="008A268C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er en syntetisk </w:t>
      </w:r>
      <w:proofErr w:type="spellStart"/>
      <w:r w:rsidRPr="005C0340">
        <w:rPr>
          <w:sz w:val="24"/>
          <w:szCs w:val="24"/>
        </w:rPr>
        <w:t>prostaglandin</w:t>
      </w:r>
      <w:proofErr w:type="spellEnd"/>
      <w:r w:rsidRPr="005C0340">
        <w:rPr>
          <w:sz w:val="24"/>
          <w:szCs w:val="24"/>
        </w:rPr>
        <w:t xml:space="preserve"> E</w:t>
      </w:r>
      <w:r w:rsidRPr="005C0340">
        <w:rPr>
          <w:sz w:val="24"/>
          <w:szCs w:val="24"/>
          <w:vertAlign w:val="subscript"/>
        </w:rPr>
        <w:t>1</w:t>
      </w:r>
      <w:r w:rsidRPr="005C0340">
        <w:rPr>
          <w:sz w:val="24"/>
          <w:szCs w:val="24"/>
        </w:rPr>
        <w:t>(PGE</w:t>
      </w:r>
      <w:proofErr w:type="gramStart"/>
      <w:r w:rsidRPr="005C0340">
        <w:rPr>
          <w:sz w:val="24"/>
          <w:szCs w:val="24"/>
          <w:vertAlign w:val="subscript"/>
        </w:rPr>
        <w:t>1</w:t>
      </w:r>
      <w:r w:rsidRPr="005C0340">
        <w:rPr>
          <w:sz w:val="24"/>
          <w:szCs w:val="24"/>
        </w:rPr>
        <w:t>)-</w:t>
      </w:r>
      <w:proofErr w:type="gramEnd"/>
      <w:r w:rsidRPr="005C0340">
        <w:rPr>
          <w:sz w:val="24"/>
          <w:szCs w:val="24"/>
        </w:rPr>
        <w:t xml:space="preserve">analog.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aktiverer modning af </w:t>
      </w:r>
      <w:proofErr w:type="spellStart"/>
      <w:r w:rsidRPr="005C0340">
        <w:rPr>
          <w:sz w:val="24"/>
          <w:szCs w:val="24"/>
        </w:rPr>
        <w:t>cervix</w:t>
      </w:r>
      <w:proofErr w:type="spellEnd"/>
      <w:r w:rsidRPr="005C0340">
        <w:rPr>
          <w:sz w:val="24"/>
          <w:szCs w:val="24"/>
        </w:rPr>
        <w:t xml:space="preserve"> og sammentrækning af </w:t>
      </w:r>
      <w:proofErr w:type="spellStart"/>
      <w:r w:rsidRPr="005C0340">
        <w:rPr>
          <w:sz w:val="24"/>
          <w:szCs w:val="24"/>
        </w:rPr>
        <w:t>myometriet</w:t>
      </w:r>
      <w:proofErr w:type="spellEnd"/>
      <w:r w:rsidRPr="005C0340">
        <w:rPr>
          <w:sz w:val="24"/>
          <w:szCs w:val="24"/>
        </w:rPr>
        <w:t xml:space="preserve"> i alle stadier af fødslen ved at efterligne den </w:t>
      </w:r>
      <w:proofErr w:type="spellStart"/>
      <w:r w:rsidRPr="005C0340">
        <w:rPr>
          <w:sz w:val="24"/>
          <w:szCs w:val="24"/>
        </w:rPr>
        <w:t>uterotoniske</w:t>
      </w:r>
      <w:proofErr w:type="spellEnd"/>
      <w:r w:rsidRPr="005C0340">
        <w:rPr>
          <w:sz w:val="24"/>
          <w:szCs w:val="24"/>
        </w:rPr>
        <w:t xml:space="preserve"> virkning af PGE2 i livmodervævet. </w:t>
      </w:r>
    </w:p>
    <w:p w14:paraId="45B61468" w14:textId="77777777" w:rsidR="005C0340" w:rsidRPr="005C0340" w:rsidRDefault="005C0340" w:rsidP="008A268C">
      <w:pPr>
        <w:ind w:left="851"/>
        <w:rPr>
          <w:sz w:val="24"/>
          <w:szCs w:val="24"/>
        </w:rPr>
      </w:pPr>
    </w:p>
    <w:p w14:paraId="7539C454" w14:textId="77777777" w:rsidR="005C0340" w:rsidRPr="005C0340" w:rsidRDefault="005C0340" w:rsidP="008A268C">
      <w:pPr>
        <w:ind w:left="851"/>
        <w:rPr>
          <w:sz w:val="24"/>
          <w:szCs w:val="24"/>
          <w:lang w:val="nb-NO"/>
        </w:rPr>
      </w:pPr>
      <w:r w:rsidRPr="005C0340">
        <w:rPr>
          <w:sz w:val="24"/>
          <w:szCs w:val="24"/>
        </w:rPr>
        <w:t>PGE-</w:t>
      </w:r>
      <w:proofErr w:type="spellStart"/>
      <w:r w:rsidRPr="005C0340">
        <w:rPr>
          <w:sz w:val="24"/>
          <w:szCs w:val="24"/>
        </w:rPr>
        <w:t>analoger</w:t>
      </w:r>
      <w:proofErr w:type="spellEnd"/>
      <w:r w:rsidRPr="005C0340">
        <w:rPr>
          <w:sz w:val="24"/>
          <w:szCs w:val="24"/>
        </w:rPr>
        <w:t xml:space="preserve"> har også en række andre virkninger, f.eks. afslapning af bronkiale og </w:t>
      </w:r>
      <w:proofErr w:type="spellStart"/>
      <w:r w:rsidRPr="005C0340">
        <w:rPr>
          <w:sz w:val="24"/>
          <w:szCs w:val="24"/>
        </w:rPr>
        <w:t>trakeale</w:t>
      </w:r>
      <w:proofErr w:type="spellEnd"/>
      <w:r w:rsidRPr="005C0340">
        <w:rPr>
          <w:sz w:val="24"/>
          <w:szCs w:val="24"/>
        </w:rPr>
        <w:t xml:space="preserve"> muskler, øget slimsekretion og nedsat syre- og pepsinsekretion i maven, øget </w:t>
      </w:r>
      <w:proofErr w:type="spellStart"/>
      <w:r w:rsidRPr="005C0340">
        <w:rPr>
          <w:sz w:val="24"/>
          <w:szCs w:val="24"/>
        </w:rPr>
        <w:t>renal</w:t>
      </w:r>
      <w:proofErr w:type="spellEnd"/>
      <w:r w:rsidRPr="005C0340">
        <w:rPr>
          <w:sz w:val="24"/>
          <w:szCs w:val="24"/>
        </w:rPr>
        <w:t xml:space="preserve"> blodgennemstrømning, øget koncentration af </w:t>
      </w:r>
      <w:proofErr w:type="spellStart"/>
      <w:r w:rsidRPr="005C0340">
        <w:rPr>
          <w:sz w:val="24"/>
          <w:szCs w:val="24"/>
        </w:rPr>
        <w:t>adrenokortikotropt</w:t>
      </w:r>
      <w:proofErr w:type="spellEnd"/>
      <w:r w:rsidRPr="005C0340">
        <w:rPr>
          <w:sz w:val="24"/>
          <w:szCs w:val="24"/>
        </w:rPr>
        <w:t xml:space="preserve"> hormon og </w:t>
      </w:r>
      <w:proofErr w:type="spellStart"/>
      <w:r w:rsidRPr="005C0340">
        <w:rPr>
          <w:sz w:val="24"/>
          <w:szCs w:val="24"/>
        </w:rPr>
        <w:t>prolaktin</w:t>
      </w:r>
      <w:proofErr w:type="spellEnd"/>
      <w:r w:rsidRPr="005C0340">
        <w:rPr>
          <w:sz w:val="24"/>
          <w:szCs w:val="24"/>
        </w:rPr>
        <w:t xml:space="preserve"> i blodet. </w:t>
      </w:r>
      <w:r w:rsidRPr="005C0340">
        <w:rPr>
          <w:sz w:val="24"/>
          <w:szCs w:val="24"/>
          <w:lang w:val="nb-NO"/>
        </w:rPr>
        <w:t>Disse farmakodynamiske virkninger anses ikke som klinisk relevante ved kortvarig behandling.</w:t>
      </w:r>
    </w:p>
    <w:p w14:paraId="442DC699" w14:textId="77777777" w:rsidR="005C0340" w:rsidRPr="005C0340" w:rsidRDefault="005C0340" w:rsidP="008A268C">
      <w:pPr>
        <w:ind w:left="851"/>
        <w:rPr>
          <w:sz w:val="24"/>
          <w:szCs w:val="24"/>
          <w:lang w:val="nb-NO"/>
        </w:rPr>
      </w:pPr>
    </w:p>
    <w:p w14:paraId="2B28ADA1" w14:textId="77777777" w:rsidR="005C0340" w:rsidRPr="005C0340" w:rsidRDefault="005C0340" w:rsidP="008A268C">
      <w:pPr>
        <w:ind w:left="851"/>
        <w:rPr>
          <w:sz w:val="24"/>
          <w:szCs w:val="24"/>
        </w:rPr>
      </w:pPr>
      <w:r w:rsidRPr="005C0340">
        <w:rPr>
          <w:sz w:val="24"/>
          <w:szCs w:val="24"/>
          <w:u w:val="single"/>
        </w:rPr>
        <w:t>Klinisk virkning og sikkerhed</w:t>
      </w:r>
    </w:p>
    <w:p w14:paraId="5299CF5B" w14:textId="77777777" w:rsidR="005C0340" w:rsidRPr="005C0340" w:rsidRDefault="005C0340" w:rsidP="008A268C">
      <w:pPr>
        <w:ind w:left="851"/>
        <w:rPr>
          <w:b/>
          <w:bCs/>
          <w:iCs/>
          <w:sz w:val="24"/>
          <w:szCs w:val="24"/>
        </w:rPr>
      </w:pPr>
    </w:p>
    <w:p w14:paraId="71B4B60A" w14:textId="77777777" w:rsidR="005C0340" w:rsidRPr="005C0340" w:rsidRDefault="005C0340" w:rsidP="008A268C">
      <w:pPr>
        <w:ind w:left="851"/>
        <w:rPr>
          <w:b/>
          <w:bCs/>
          <w:iCs/>
          <w:sz w:val="24"/>
          <w:szCs w:val="24"/>
        </w:rPr>
      </w:pPr>
      <w:r w:rsidRPr="005C0340">
        <w:rPr>
          <w:b/>
          <w:bCs/>
          <w:iCs/>
          <w:sz w:val="24"/>
          <w:szCs w:val="24"/>
        </w:rPr>
        <w:t>Dosering 25 mikrogram hver 2. time</w:t>
      </w:r>
    </w:p>
    <w:p w14:paraId="3CB8919F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  <w:r w:rsidRPr="005C0340">
        <w:rPr>
          <w:sz w:val="24"/>
          <w:szCs w:val="24"/>
        </w:rPr>
        <w:t xml:space="preserve">Data om virkning og sikkerhed af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til induktion af fødsel er tilgængelige fra en metaanalyse af</w:t>
      </w:r>
      <w:r w:rsidRPr="005C0340">
        <w:rPr>
          <w:bCs/>
          <w:iCs/>
          <w:sz w:val="24"/>
          <w:szCs w:val="24"/>
        </w:rPr>
        <w:t xml:space="preserve"> 11 kliniske studier, hvor 1.459 kvinder fik oral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 xml:space="preserve"> 20 eller 25 </w:t>
      </w:r>
      <w:r w:rsidRPr="005C0340">
        <w:rPr>
          <w:iCs/>
          <w:sz w:val="24"/>
          <w:szCs w:val="24"/>
        </w:rPr>
        <w:t xml:space="preserve">mikrogram </w:t>
      </w:r>
      <w:r w:rsidRPr="005C0340">
        <w:rPr>
          <w:bCs/>
          <w:iCs/>
          <w:sz w:val="24"/>
          <w:szCs w:val="24"/>
        </w:rPr>
        <w:t>hver 2. time.</w:t>
      </w:r>
    </w:p>
    <w:p w14:paraId="0FB7617F" w14:textId="77777777" w:rsidR="005C0340" w:rsidRPr="005C0340" w:rsidRDefault="005C0340" w:rsidP="005C0340">
      <w:pPr>
        <w:tabs>
          <w:tab w:val="left" w:pos="851"/>
        </w:tabs>
        <w:ind w:left="851"/>
        <w:rPr>
          <w:sz w:val="24"/>
          <w:szCs w:val="24"/>
        </w:rPr>
      </w:pPr>
    </w:p>
    <w:tbl>
      <w:tblPr>
        <w:tblStyle w:val="Tabel-Gitter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4"/>
        <w:gridCol w:w="2259"/>
        <w:gridCol w:w="4065"/>
      </w:tblGrid>
      <w:tr w:rsidR="005C0340" w:rsidRPr="005C0340" w14:paraId="2C86A260" w14:textId="77777777" w:rsidTr="008A268C">
        <w:trPr>
          <w:trHeight w:val="283"/>
        </w:trPr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240BB9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>Komparator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E26FBB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>Antal studier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E52342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</w:rPr>
            </w:pPr>
            <w:r w:rsidRPr="005C0340">
              <w:rPr>
                <w:b/>
                <w:bCs/>
                <w:iCs/>
                <w:sz w:val="24"/>
                <w:szCs w:val="24"/>
              </w:rPr>
              <w:t xml:space="preserve">Eksponering for oral </w:t>
            </w:r>
            <w:proofErr w:type="spellStart"/>
            <w:r w:rsidRPr="005C0340">
              <w:rPr>
                <w:b/>
                <w:bCs/>
                <w:iCs/>
                <w:sz w:val="24"/>
                <w:szCs w:val="24"/>
              </w:rPr>
              <w:t>misoprostol</w:t>
            </w:r>
            <w:proofErr w:type="spellEnd"/>
            <w:r w:rsidRPr="005C0340">
              <w:rPr>
                <w:b/>
                <w:bCs/>
                <w:iCs/>
                <w:sz w:val="24"/>
                <w:szCs w:val="24"/>
              </w:rPr>
              <w:t xml:space="preserve"> 20 eller 25 mikrogram hver 2. time</w:t>
            </w:r>
          </w:p>
        </w:tc>
      </w:tr>
      <w:tr w:rsidR="005C0340" w:rsidRPr="005C0340" w14:paraId="6F0594E0" w14:textId="77777777" w:rsidTr="008A268C">
        <w:trPr>
          <w:trHeight w:val="283"/>
        </w:trPr>
        <w:tc>
          <w:tcPr>
            <w:tcW w:w="17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0FF90B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5C0340">
              <w:rPr>
                <w:bCs/>
                <w:iCs/>
                <w:sz w:val="24"/>
                <w:szCs w:val="24"/>
                <w:lang w:val="en-GB"/>
              </w:rPr>
              <w:t>Intravenøs</w:t>
            </w:r>
            <w:proofErr w:type="spellEnd"/>
            <w:r w:rsidRPr="005C0340">
              <w:rPr>
                <w:bCs/>
                <w:iCs/>
                <w:sz w:val="24"/>
                <w:szCs w:val="24"/>
                <w:lang w:val="en-GB"/>
              </w:rPr>
              <w:t xml:space="preserve"> oxytocin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D1EF5E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3 (1 DB)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D8B0DC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209 (40 i DB)</w:t>
            </w:r>
          </w:p>
        </w:tc>
      </w:tr>
      <w:tr w:rsidR="005C0340" w:rsidRPr="005C0340" w14:paraId="62CB6FC2" w14:textId="77777777" w:rsidTr="008A268C">
        <w:trPr>
          <w:trHeight w:val="283"/>
        </w:trPr>
        <w:tc>
          <w:tcPr>
            <w:tcW w:w="17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2D54FA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 xml:space="preserve">Vaginal </w:t>
            </w:r>
            <w:proofErr w:type="spellStart"/>
            <w:r w:rsidRPr="005C0340">
              <w:rPr>
                <w:bCs/>
                <w:iCs/>
                <w:sz w:val="24"/>
                <w:szCs w:val="24"/>
                <w:lang w:val="en-GB"/>
              </w:rPr>
              <w:t>dinoproston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A21E18D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2 (1 DB)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D692D3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468 (365 i DB)</w:t>
            </w:r>
          </w:p>
        </w:tc>
      </w:tr>
      <w:tr w:rsidR="005C0340" w:rsidRPr="005C0340" w14:paraId="0FA83752" w14:textId="77777777" w:rsidTr="008A268C">
        <w:trPr>
          <w:trHeight w:val="283"/>
        </w:trPr>
        <w:tc>
          <w:tcPr>
            <w:tcW w:w="17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8B4DC7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Vaginal misoprostol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8339F23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1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6CE55E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50</w:t>
            </w:r>
          </w:p>
        </w:tc>
      </w:tr>
      <w:tr w:rsidR="005C0340" w:rsidRPr="005C0340" w14:paraId="1E840C6A" w14:textId="77777777" w:rsidTr="008A268C">
        <w:trPr>
          <w:trHeight w:val="283"/>
        </w:trPr>
        <w:tc>
          <w:tcPr>
            <w:tcW w:w="17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5EF51E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5C0340">
              <w:rPr>
                <w:bCs/>
                <w:iCs/>
                <w:sz w:val="24"/>
                <w:szCs w:val="24"/>
                <w:lang w:val="en-GB"/>
              </w:rPr>
              <w:t>Mekanisk</w:t>
            </w:r>
            <w:proofErr w:type="spellEnd"/>
            <w:r w:rsidRPr="005C0340">
              <w:rPr>
                <w:bCs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C0340">
              <w:rPr>
                <w:bCs/>
                <w:iCs/>
                <w:sz w:val="24"/>
                <w:szCs w:val="24"/>
                <w:lang w:val="en-GB"/>
              </w:rPr>
              <w:t>metode</w:t>
            </w:r>
            <w:proofErr w:type="spellEnd"/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CEE5FCF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2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DE4EDB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454</w:t>
            </w:r>
          </w:p>
        </w:tc>
      </w:tr>
      <w:tr w:rsidR="005C0340" w:rsidRPr="005C0340" w14:paraId="64C52836" w14:textId="77777777" w:rsidTr="008A268C">
        <w:trPr>
          <w:trHeight w:val="283"/>
        </w:trPr>
        <w:tc>
          <w:tcPr>
            <w:tcW w:w="17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DD04B7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Oral misoprostol (</w:t>
            </w:r>
            <w:proofErr w:type="spellStart"/>
            <w:r w:rsidRPr="005C0340">
              <w:rPr>
                <w:bCs/>
                <w:iCs/>
                <w:sz w:val="24"/>
                <w:szCs w:val="24"/>
                <w:lang w:val="en-GB"/>
              </w:rPr>
              <w:t>titreret</w:t>
            </w:r>
            <w:proofErr w:type="spellEnd"/>
            <w:r w:rsidRPr="005C0340">
              <w:rPr>
                <w:bCs/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AC1E4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3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BD0066" w14:textId="77777777" w:rsidR="005C0340" w:rsidRPr="005C0340" w:rsidRDefault="005C0340" w:rsidP="008A268C">
            <w:pPr>
              <w:ind w:left="32"/>
              <w:rPr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Cs/>
                <w:iCs/>
                <w:sz w:val="24"/>
                <w:szCs w:val="24"/>
                <w:lang w:val="en-GB"/>
              </w:rPr>
              <w:t>278</w:t>
            </w:r>
          </w:p>
        </w:tc>
      </w:tr>
      <w:tr w:rsidR="005C0340" w:rsidRPr="005C0340" w14:paraId="540BA9DA" w14:textId="77777777" w:rsidTr="008A268C">
        <w:trPr>
          <w:trHeight w:val="283"/>
        </w:trPr>
        <w:tc>
          <w:tcPr>
            <w:tcW w:w="17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A493AE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C261EA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>11 (2 DB)</w:t>
            </w:r>
          </w:p>
        </w:tc>
        <w:tc>
          <w:tcPr>
            <w:tcW w:w="21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331078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 xml:space="preserve">1.459 </w:t>
            </w:r>
            <w:proofErr w:type="spellStart"/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>kvinder</w:t>
            </w:r>
            <w:proofErr w:type="spellEnd"/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 xml:space="preserve"> (405 i DB-studier)</w:t>
            </w:r>
          </w:p>
        </w:tc>
      </w:tr>
    </w:tbl>
    <w:p w14:paraId="5E7FFD5D" w14:textId="77777777" w:rsidR="005C0340" w:rsidRPr="005C0340" w:rsidRDefault="005C0340" w:rsidP="00940955">
      <w:pPr>
        <w:rPr>
          <w:bCs/>
          <w:iCs/>
          <w:sz w:val="24"/>
          <w:szCs w:val="24"/>
          <w:lang w:val="en-GB"/>
        </w:rPr>
      </w:pPr>
      <w:r w:rsidRPr="005C0340">
        <w:rPr>
          <w:bCs/>
          <w:iCs/>
          <w:sz w:val="24"/>
          <w:szCs w:val="24"/>
          <w:lang w:val="en-GB"/>
        </w:rPr>
        <w:t xml:space="preserve">DB: </w:t>
      </w:r>
      <w:proofErr w:type="spellStart"/>
      <w:r w:rsidRPr="005C0340">
        <w:rPr>
          <w:bCs/>
          <w:iCs/>
          <w:sz w:val="24"/>
          <w:szCs w:val="24"/>
          <w:lang w:val="en-GB"/>
        </w:rPr>
        <w:t>Dobbeltblindede</w:t>
      </w:r>
      <w:proofErr w:type="spellEnd"/>
      <w:r w:rsidRPr="005C0340">
        <w:rPr>
          <w:bCs/>
          <w:iCs/>
          <w:sz w:val="24"/>
          <w:szCs w:val="24"/>
          <w:lang w:val="en-GB"/>
        </w:rPr>
        <w:t>.</w:t>
      </w:r>
    </w:p>
    <w:p w14:paraId="6F27CB93" w14:textId="77777777" w:rsidR="005C0340" w:rsidRPr="005C0340" w:rsidRDefault="005C0340" w:rsidP="008A268C">
      <w:pPr>
        <w:ind w:left="851"/>
        <w:rPr>
          <w:bCs/>
          <w:iCs/>
          <w:sz w:val="24"/>
          <w:szCs w:val="24"/>
          <w:lang w:val="en-GB"/>
        </w:rPr>
      </w:pPr>
    </w:p>
    <w:p w14:paraId="64B9AABB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  <w:r w:rsidRPr="005C0340">
        <w:rPr>
          <w:bCs/>
          <w:iCs/>
          <w:sz w:val="24"/>
          <w:szCs w:val="24"/>
        </w:rPr>
        <w:t xml:space="preserve">De vigtigste inklusionskriterier i disse studier er som følger: </w:t>
      </w:r>
    </w:p>
    <w:p w14:paraId="41D7AA2A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</w:p>
    <w:p w14:paraId="09A7EC1F" w14:textId="77777777" w:rsidR="005C0340" w:rsidRPr="005C0340" w:rsidRDefault="005C0340" w:rsidP="008A268C">
      <w:pPr>
        <w:numPr>
          <w:ilvl w:val="0"/>
          <w:numId w:val="8"/>
        </w:numPr>
        <w:ind w:left="1276" w:hanging="425"/>
        <w:rPr>
          <w:bCs/>
          <w:iCs/>
          <w:sz w:val="24"/>
          <w:szCs w:val="24"/>
        </w:rPr>
      </w:pPr>
      <w:r w:rsidRPr="005C0340">
        <w:rPr>
          <w:bCs/>
          <w:iCs/>
          <w:sz w:val="24"/>
          <w:szCs w:val="24"/>
        </w:rPr>
        <w:t xml:space="preserve">I to af de tre studier, hvor der blev sammenlignet med intravenøs </w:t>
      </w:r>
      <w:proofErr w:type="spellStart"/>
      <w:r w:rsidRPr="005C0340">
        <w:rPr>
          <w:bCs/>
          <w:iCs/>
          <w:sz w:val="24"/>
          <w:szCs w:val="24"/>
        </w:rPr>
        <w:t>oxytocin</w:t>
      </w:r>
      <w:proofErr w:type="spellEnd"/>
      <w:r w:rsidRPr="005C0340">
        <w:rPr>
          <w:bCs/>
          <w:iCs/>
          <w:sz w:val="24"/>
          <w:szCs w:val="24"/>
        </w:rPr>
        <w:t>, var det primære inklusionskriterium fuldbåren graviditet (168 kvinder), og i det andet studie var det primære inklusionskriterium fuldbåren graviditet og for tidlig bristning af fosterhinden (PROM) (41 kvinder).</w:t>
      </w:r>
    </w:p>
    <w:p w14:paraId="0A1A1318" w14:textId="6337E210" w:rsidR="005C0340" w:rsidRPr="005C0340" w:rsidRDefault="005C0340" w:rsidP="008A268C">
      <w:pPr>
        <w:numPr>
          <w:ilvl w:val="0"/>
          <w:numId w:val="8"/>
        </w:numPr>
        <w:ind w:left="1276" w:hanging="425"/>
        <w:rPr>
          <w:bCs/>
          <w:iCs/>
          <w:sz w:val="24"/>
          <w:szCs w:val="24"/>
        </w:rPr>
      </w:pPr>
      <w:r w:rsidRPr="005C0340">
        <w:rPr>
          <w:bCs/>
          <w:iCs/>
          <w:sz w:val="24"/>
          <w:szCs w:val="24"/>
        </w:rPr>
        <w:t xml:space="preserve">I alle studier, hvor oral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 xml:space="preserve"> blev sammenlignet med vaginal </w:t>
      </w:r>
      <w:proofErr w:type="spellStart"/>
      <w:r w:rsidRPr="005C0340">
        <w:rPr>
          <w:bCs/>
          <w:iCs/>
          <w:sz w:val="24"/>
          <w:szCs w:val="24"/>
        </w:rPr>
        <w:t>dinoproston</w:t>
      </w:r>
      <w:proofErr w:type="spellEnd"/>
      <w:r w:rsidRPr="005C0340">
        <w:rPr>
          <w:bCs/>
          <w:iCs/>
          <w:sz w:val="24"/>
          <w:szCs w:val="24"/>
        </w:rPr>
        <w:t xml:space="preserve">, vaginal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 xml:space="preserve"> og titreret oral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 xml:space="preserve">, var det primære inklusionskriterium fuldbåren graviditet (796 kvinder). </w:t>
      </w:r>
    </w:p>
    <w:p w14:paraId="255B2B2E" w14:textId="77777777" w:rsidR="005C0340" w:rsidRPr="005C0340" w:rsidRDefault="005C0340" w:rsidP="008A268C">
      <w:pPr>
        <w:numPr>
          <w:ilvl w:val="0"/>
          <w:numId w:val="8"/>
        </w:numPr>
        <w:ind w:left="1276" w:hanging="425"/>
        <w:rPr>
          <w:bCs/>
          <w:iCs/>
          <w:sz w:val="24"/>
          <w:szCs w:val="24"/>
        </w:rPr>
      </w:pPr>
      <w:r w:rsidRPr="005C0340">
        <w:rPr>
          <w:bCs/>
          <w:iCs/>
          <w:sz w:val="24"/>
          <w:szCs w:val="24"/>
        </w:rPr>
        <w:t xml:space="preserve">I ét studie, hvor oral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 xml:space="preserve"> blev sammenlignet med mekanisk metode, var det primære inklusionskriterium fuldbåren graviditet (152 kvinder), og i det andet studie var det primære inklusionskriterium igangsættelse af vaginal fødsel på grund af </w:t>
      </w:r>
      <w:proofErr w:type="spellStart"/>
      <w:r w:rsidRPr="005C0340">
        <w:rPr>
          <w:bCs/>
          <w:iCs/>
          <w:sz w:val="24"/>
          <w:szCs w:val="24"/>
        </w:rPr>
        <w:t>præeklampsi</w:t>
      </w:r>
      <w:proofErr w:type="spellEnd"/>
      <w:r w:rsidRPr="005C0340">
        <w:rPr>
          <w:bCs/>
          <w:iCs/>
          <w:sz w:val="24"/>
          <w:szCs w:val="24"/>
        </w:rPr>
        <w:t xml:space="preserve"> eller hypertension, og omkring 80 % af kvinderne var fuldbårne (302 kvinder).</w:t>
      </w:r>
    </w:p>
    <w:p w14:paraId="359444AD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</w:p>
    <w:p w14:paraId="141B66D5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  <w:r w:rsidRPr="005C0340">
        <w:rPr>
          <w:sz w:val="24"/>
          <w:szCs w:val="24"/>
        </w:rPr>
        <w:t xml:space="preserve">De dobbeltblindede studier </w:t>
      </w:r>
      <w:proofErr w:type="spellStart"/>
      <w:r w:rsidRPr="005C0340">
        <w:rPr>
          <w:sz w:val="24"/>
          <w:szCs w:val="24"/>
        </w:rPr>
        <w:t>Dodd</w:t>
      </w:r>
      <w:proofErr w:type="spellEnd"/>
      <w:r w:rsidRPr="005C0340">
        <w:rPr>
          <w:sz w:val="24"/>
          <w:szCs w:val="24"/>
        </w:rPr>
        <w:t xml:space="preserve">, 2006 og </w:t>
      </w:r>
      <w:proofErr w:type="spellStart"/>
      <w:r w:rsidRPr="005C0340">
        <w:rPr>
          <w:sz w:val="24"/>
          <w:szCs w:val="24"/>
        </w:rPr>
        <w:t>Kashanian</w:t>
      </w:r>
      <w:proofErr w:type="spellEnd"/>
      <w:r w:rsidRPr="005C0340">
        <w:rPr>
          <w:sz w:val="24"/>
          <w:szCs w:val="24"/>
        </w:rPr>
        <w:t>, 2020 betragtes som afgørende og beskrives detaljeret i det følgende:</w:t>
      </w:r>
    </w:p>
    <w:p w14:paraId="7A44C5E1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</w:p>
    <w:p w14:paraId="3B683409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  <w:proofErr w:type="spellStart"/>
      <w:r w:rsidRPr="005C0340">
        <w:rPr>
          <w:bCs/>
          <w:i/>
          <w:iCs/>
          <w:sz w:val="24"/>
          <w:szCs w:val="24"/>
        </w:rPr>
        <w:t>Dodd</w:t>
      </w:r>
      <w:proofErr w:type="spellEnd"/>
      <w:r w:rsidRPr="005C0340">
        <w:rPr>
          <w:bCs/>
          <w:i/>
          <w:iCs/>
          <w:sz w:val="24"/>
          <w:szCs w:val="24"/>
        </w:rPr>
        <w:t xml:space="preserve">, 2006 </w:t>
      </w:r>
      <w:r w:rsidRPr="005C0340">
        <w:rPr>
          <w:bCs/>
          <w:iCs/>
          <w:sz w:val="24"/>
          <w:szCs w:val="24"/>
        </w:rPr>
        <w:t xml:space="preserve">var et randomiseret, dobbeltblindet, aktivt kontrolleret (vaginal </w:t>
      </w:r>
      <w:proofErr w:type="spellStart"/>
      <w:r w:rsidRPr="005C0340">
        <w:rPr>
          <w:bCs/>
          <w:iCs/>
          <w:sz w:val="24"/>
          <w:szCs w:val="24"/>
        </w:rPr>
        <w:t>dinoproston</w:t>
      </w:r>
      <w:proofErr w:type="spellEnd"/>
      <w:r w:rsidRPr="005C0340">
        <w:rPr>
          <w:bCs/>
          <w:iCs/>
          <w:sz w:val="24"/>
          <w:szCs w:val="24"/>
        </w:rPr>
        <w:t xml:space="preserve"> gel) studie (N=365/376). Kvinder med fuldbårne graviditeter (&gt; 36+6 ugers svangerskab) med singleton graviditet i hovedstilling uden komplikationer og </w:t>
      </w:r>
      <w:proofErr w:type="spellStart"/>
      <w:r w:rsidRPr="005C0340">
        <w:rPr>
          <w:bCs/>
          <w:iCs/>
          <w:sz w:val="24"/>
          <w:szCs w:val="24"/>
        </w:rPr>
        <w:t>Bishop</w:t>
      </w:r>
      <w:proofErr w:type="spellEnd"/>
      <w:r w:rsidRPr="005C0340">
        <w:rPr>
          <w:bCs/>
          <w:iCs/>
          <w:sz w:val="24"/>
          <w:szCs w:val="24"/>
        </w:rPr>
        <w:t xml:space="preserve">-score &lt;7 var inkluderet. De primære endepunkter var manglende vaginal fødsel inden for 24 timer, </w:t>
      </w:r>
      <w:proofErr w:type="spellStart"/>
      <w:r w:rsidRPr="005C0340">
        <w:rPr>
          <w:bCs/>
          <w:iCs/>
          <w:sz w:val="24"/>
          <w:szCs w:val="24"/>
        </w:rPr>
        <w:t>uterinhyperstimulation</w:t>
      </w:r>
      <w:proofErr w:type="spellEnd"/>
      <w:r w:rsidRPr="005C0340">
        <w:rPr>
          <w:bCs/>
          <w:iCs/>
          <w:sz w:val="24"/>
          <w:szCs w:val="24"/>
        </w:rPr>
        <w:t xml:space="preserve"> med ændringer i fosterets hjertefrekvens (FHR) samt kejsersnit. Der var ingen statistisk signifikante forskelle mellem oral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 xml:space="preserve"> og vaginal </w:t>
      </w:r>
      <w:proofErr w:type="spellStart"/>
      <w:r w:rsidRPr="005C0340">
        <w:rPr>
          <w:bCs/>
          <w:iCs/>
          <w:sz w:val="24"/>
          <w:szCs w:val="24"/>
        </w:rPr>
        <w:t>dinoproston</w:t>
      </w:r>
      <w:proofErr w:type="spellEnd"/>
      <w:r w:rsidRPr="005C0340">
        <w:rPr>
          <w:bCs/>
          <w:iCs/>
          <w:sz w:val="24"/>
          <w:szCs w:val="24"/>
        </w:rPr>
        <w:t xml:space="preserve"> med hensyn til andelen af kvinder, der ikke opnåede vaginal fødsel inden for 24 timer (oral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 xml:space="preserve"> 168/365 (46,0 %) vs. </w:t>
      </w:r>
      <w:proofErr w:type="spellStart"/>
      <w:r w:rsidRPr="005C0340">
        <w:rPr>
          <w:bCs/>
          <w:iCs/>
          <w:sz w:val="24"/>
          <w:szCs w:val="24"/>
        </w:rPr>
        <w:t>dinoproston</w:t>
      </w:r>
      <w:proofErr w:type="spellEnd"/>
      <w:r w:rsidRPr="005C0340">
        <w:rPr>
          <w:bCs/>
          <w:iCs/>
          <w:sz w:val="24"/>
          <w:szCs w:val="24"/>
        </w:rPr>
        <w:t xml:space="preserve"> 155/376 (41,2 %); relativ risiko 1,12, 95 % konfidensinterval 0,95 til 1,32; P = 0,134). Risikoen for </w:t>
      </w:r>
      <w:proofErr w:type="spellStart"/>
      <w:r w:rsidRPr="005C0340">
        <w:rPr>
          <w:bCs/>
          <w:iCs/>
          <w:sz w:val="24"/>
          <w:szCs w:val="24"/>
        </w:rPr>
        <w:t>uterinhyperstimulation</w:t>
      </w:r>
      <w:proofErr w:type="spellEnd"/>
      <w:r w:rsidRPr="005C0340">
        <w:rPr>
          <w:bCs/>
          <w:iCs/>
          <w:sz w:val="24"/>
          <w:szCs w:val="24"/>
        </w:rPr>
        <w:t xml:space="preserve"> med ændringer i den </w:t>
      </w:r>
      <w:proofErr w:type="spellStart"/>
      <w:r w:rsidRPr="005C0340">
        <w:rPr>
          <w:bCs/>
          <w:iCs/>
          <w:sz w:val="24"/>
          <w:szCs w:val="24"/>
        </w:rPr>
        <w:t>føtale</w:t>
      </w:r>
      <w:proofErr w:type="spellEnd"/>
      <w:r w:rsidRPr="005C0340">
        <w:rPr>
          <w:bCs/>
          <w:iCs/>
          <w:sz w:val="24"/>
          <w:szCs w:val="24"/>
        </w:rPr>
        <w:t xml:space="preserve"> hjertefrekvens, kejsersnit samt kejsersnit på grund af fosterpåvirkning var lavere (ikke statistisk signifikant) i gruppen som fik oral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>.</w:t>
      </w:r>
    </w:p>
    <w:p w14:paraId="27A11B4E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  <w:r w:rsidRPr="005C0340">
        <w:rPr>
          <w:bCs/>
          <w:iCs/>
          <w:sz w:val="24"/>
          <w:szCs w:val="24"/>
        </w:rPr>
        <w:t xml:space="preserve">Der var en statistisk signifikant lavere risiko for </w:t>
      </w:r>
      <w:proofErr w:type="spellStart"/>
      <w:r w:rsidRPr="005C0340">
        <w:rPr>
          <w:bCs/>
          <w:iCs/>
          <w:sz w:val="24"/>
          <w:szCs w:val="24"/>
        </w:rPr>
        <w:t>uterinhyperstimulation</w:t>
      </w:r>
      <w:proofErr w:type="spellEnd"/>
      <w:r w:rsidRPr="005C0340">
        <w:rPr>
          <w:bCs/>
          <w:iCs/>
          <w:sz w:val="24"/>
          <w:szCs w:val="24"/>
        </w:rPr>
        <w:t xml:space="preserve"> uden ændringer i den </w:t>
      </w:r>
      <w:proofErr w:type="spellStart"/>
      <w:r w:rsidRPr="005C0340">
        <w:rPr>
          <w:bCs/>
          <w:iCs/>
          <w:sz w:val="24"/>
          <w:szCs w:val="24"/>
        </w:rPr>
        <w:t>føtale</w:t>
      </w:r>
      <w:proofErr w:type="spellEnd"/>
      <w:r w:rsidRPr="005C0340">
        <w:rPr>
          <w:bCs/>
          <w:iCs/>
          <w:sz w:val="24"/>
          <w:szCs w:val="24"/>
        </w:rPr>
        <w:t xml:space="preserve"> hjertefrekvens hos kvinder, som fik oral </w:t>
      </w:r>
      <w:proofErr w:type="spellStart"/>
      <w:r w:rsidRPr="005C0340">
        <w:rPr>
          <w:bCs/>
          <w:iCs/>
          <w:sz w:val="24"/>
          <w:szCs w:val="24"/>
        </w:rPr>
        <w:t>misoprostol</w:t>
      </w:r>
      <w:proofErr w:type="spellEnd"/>
      <w:r w:rsidRPr="005C0340">
        <w:rPr>
          <w:bCs/>
          <w:iCs/>
          <w:sz w:val="24"/>
          <w:szCs w:val="24"/>
        </w:rPr>
        <w:t xml:space="preserve">. </w:t>
      </w:r>
    </w:p>
    <w:p w14:paraId="6AA15799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</w:p>
    <w:p w14:paraId="4AAA87BC" w14:textId="77777777" w:rsidR="005C0340" w:rsidRPr="005C0340" w:rsidRDefault="005C0340" w:rsidP="008A268C">
      <w:pPr>
        <w:ind w:left="851"/>
        <w:rPr>
          <w:sz w:val="24"/>
          <w:szCs w:val="24"/>
        </w:rPr>
      </w:pPr>
      <w:proofErr w:type="spellStart"/>
      <w:r w:rsidRPr="005C0340">
        <w:rPr>
          <w:bCs/>
          <w:i/>
          <w:sz w:val="24"/>
          <w:szCs w:val="24"/>
        </w:rPr>
        <w:t>Kashanian</w:t>
      </w:r>
      <w:proofErr w:type="spellEnd"/>
      <w:r w:rsidRPr="005C0340">
        <w:rPr>
          <w:bCs/>
          <w:i/>
          <w:sz w:val="24"/>
          <w:szCs w:val="24"/>
        </w:rPr>
        <w:t xml:space="preserve">, 2020 </w:t>
      </w:r>
      <w:r w:rsidRPr="005C0340">
        <w:rPr>
          <w:bCs/>
          <w:iCs/>
          <w:sz w:val="24"/>
          <w:szCs w:val="24"/>
        </w:rPr>
        <w:t xml:space="preserve">var et randomiseret, dobbeltblindet, aktivt kontrolleret (intravenøs </w:t>
      </w:r>
      <w:proofErr w:type="spellStart"/>
      <w:r w:rsidRPr="005C0340">
        <w:rPr>
          <w:bCs/>
          <w:iCs/>
          <w:sz w:val="24"/>
          <w:szCs w:val="24"/>
        </w:rPr>
        <w:t>oxytocin</w:t>
      </w:r>
      <w:proofErr w:type="spellEnd"/>
      <w:r w:rsidRPr="005C0340">
        <w:rPr>
          <w:bCs/>
          <w:iCs/>
          <w:sz w:val="24"/>
          <w:szCs w:val="24"/>
        </w:rPr>
        <w:t>) studie (N=40/40). Gravide kvinder i terminen (</w:t>
      </w:r>
      <w:proofErr w:type="spellStart"/>
      <w:r w:rsidRPr="005C0340">
        <w:rPr>
          <w:bCs/>
          <w:iCs/>
          <w:sz w:val="24"/>
          <w:szCs w:val="24"/>
        </w:rPr>
        <w:t>gestationsalder</w:t>
      </w:r>
      <w:proofErr w:type="spellEnd"/>
      <w:r w:rsidRPr="005C0340">
        <w:rPr>
          <w:bCs/>
          <w:iCs/>
          <w:sz w:val="24"/>
          <w:szCs w:val="24"/>
        </w:rPr>
        <w:t xml:space="preserve"> mellem 40 og 42 uger), med singleton graviditet i hovedstilling, </w:t>
      </w:r>
      <w:proofErr w:type="spellStart"/>
      <w:r w:rsidRPr="005C0340">
        <w:rPr>
          <w:bCs/>
          <w:iCs/>
          <w:sz w:val="24"/>
          <w:szCs w:val="24"/>
        </w:rPr>
        <w:t>bishop</w:t>
      </w:r>
      <w:proofErr w:type="spellEnd"/>
      <w:r w:rsidRPr="005C0340">
        <w:rPr>
          <w:bCs/>
          <w:iCs/>
          <w:sz w:val="24"/>
          <w:szCs w:val="24"/>
        </w:rPr>
        <w:t xml:space="preserve"> score &gt; 5 samt klinisk vurderet gunstigt bækken var inkluderet. Det primære endepunkt var antallet af fødsler inden for de første 24 timer efter igangsættelse. </w:t>
      </w:r>
      <w:r w:rsidRPr="005C0340">
        <w:rPr>
          <w:sz w:val="24"/>
          <w:szCs w:val="24"/>
        </w:rPr>
        <w:t xml:space="preserve">Antallet af fødsler inden for 24 timer var større i </w:t>
      </w:r>
      <w:proofErr w:type="spellStart"/>
      <w:r w:rsidRPr="005C0340">
        <w:rPr>
          <w:sz w:val="24"/>
          <w:szCs w:val="24"/>
        </w:rPr>
        <w:t>misoprostolgruppen</w:t>
      </w:r>
      <w:proofErr w:type="spellEnd"/>
      <w:r w:rsidRPr="005C0340">
        <w:rPr>
          <w:sz w:val="24"/>
          <w:szCs w:val="24"/>
        </w:rPr>
        <w:t xml:space="preserve"> (oral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40/40 (100 %) </w:t>
      </w:r>
      <w:r w:rsidRPr="005C0340">
        <w:rPr>
          <w:i/>
          <w:iCs/>
          <w:sz w:val="24"/>
          <w:szCs w:val="24"/>
        </w:rPr>
        <w:t>vs.</w:t>
      </w:r>
      <w:r w:rsidRPr="005C0340">
        <w:rPr>
          <w:sz w:val="24"/>
          <w:szCs w:val="24"/>
        </w:rPr>
        <w:t xml:space="preserve"> intravenøs </w:t>
      </w:r>
      <w:proofErr w:type="spellStart"/>
      <w:r w:rsidRPr="005C0340">
        <w:rPr>
          <w:sz w:val="24"/>
          <w:szCs w:val="24"/>
        </w:rPr>
        <w:t>oxytocin</w:t>
      </w:r>
      <w:proofErr w:type="spellEnd"/>
      <w:r w:rsidRPr="005C0340">
        <w:rPr>
          <w:sz w:val="24"/>
          <w:szCs w:val="24"/>
        </w:rPr>
        <w:t xml:space="preserve"> 36/40 (90 %), P=0,04). Antallet af fødsler indenfor intervallerne 6–12 timer, 12–18 timer og 18–24 timer efter induktion var signifikant højere i </w:t>
      </w:r>
      <w:proofErr w:type="spellStart"/>
      <w:r w:rsidRPr="005C0340">
        <w:rPr>
          <w:sz w:val="24"/>
          <w:szCs w:val="24"/>
        </w:rPr>
        <w:t>misoprostolgruppen</w:t>
      </w:r>
      <w:proofErr w:type="spellEnd"/>
      <w:r w:rsidRPr="005C0340">
        <w:rPr>
          <w:sz w:val="24"/>
          <w:szCs w:val="24"/>
        </w:rPr>
        <w:t xml:space="preserve">. Forekomsten for </w:t>
      </w:r>
      <w:proofErr w:type="spellStart"/>
      <w:r w:rsidRPr="005C0340">
        <w:rPr>
          <w:sz w:val="24"/>
          <w:szCs w:val="24"/>
        </w:rPr>
        <w:t>takysystoli</w:t>
      </w:r>
      <w:proofErr w:type="spellEnd"/>
      <w:r w:rsidRPr="005C0340">
        <w:rPr>
          <w:sz w:val="24"/>
          <w:szCs w:val="24"/>
        </w:rPr>
        <w:t xml:space="preserve"> og </w:t>
      </w:r>
      <w:proofErr w:type="spellStart"/>
      <w:r w:rsidRPr="005C0340">
        <w:rPr>
          <w:sz w:val="24"/>
          <w:szCs w:val="24"/>
        </w:rPr>
        <w:t>mekoniumpletter</w:t>
      </w:r>
      <w:proofErr w:type="spellEnd"/>
      <w:r w:rsidRPr="005C0340">
        <w:rPr>
          <w:sz w:val="24"/>
          <w:szCs w:val="24"/>
        </w:rPr>
        <w:t xml:space="preserve"> var højere i </w:t>
      </w:r>
      <w:proofErr w:type="spellStart"/>
      <w:r w:rsidRPr="005C0340">
        <w:rPr>
          <w:sz w:val="24"/>
          <w:szCs w:val="24"/>
        </w:rPr>
        <w:t>misoprostolgruppen</w:t>
      </w:r>
      <w:proofErr w:type="spellEnd"/>
      <w:r w:rsidRPr="005C0340">
        <w:rPr>
          <w:sz w:val="24"/>
          <w:szCs w:val="24"/>
        </w:rPr>
        <w:t xml:space="preserve"> sammenlignet med intravenøs </w:t>
      </w:r>
      <w:proofErr w:type="spellStart"/>
      <w:r w:rsidRPr="005C0340">
        <w:rPr>
          <w:sz w:val="24"/>
          <w:szCs w:val="24"/>
        </w:rPr>
        <w:t>oxytocin</w:t>
      </w:r>
      <w:proofErr w:type="spellEnd"/>
      <w:r w:rsidRPr="005C0340">
        <w:rPr>
          <w:sz w:val="24"/>
          <w:szCs w:val="24"/>
        </w:rPr>
        <w:t xml:space="preserve"> (6/40 (15 %) mod 1/40 (2,5 %), P= 0,04 og 8/40 (20 %) mod 2/40 (5 %), P=0,04, henholdsvis). Tiden fra behandlingsstart til etablering af effektive veer var længere i </w:t>
      </w:r>
      <w:proofErr w:type="spellStart"/>
      <w:r w:rsidRPr="005C0340">
        <w:rPr>
          <w:sz w:val="24"/>
          <w:szCs w:val="24"/>
        </w:rPr>
        <w:t>misoprostolgruppen</w:t>
      </w:r>
      <w:proofErr w:type="spellEnd"/>
      <w:r w:rsidRPr="005C0340">
        <w:rPr>
          <w:sz w:val="24"/>
          <w:szCs w:val="24"/>
        </w:rPr>
        <w:t xml:space="preserve"> (262,75 ± 113,92 mod 69,75 ± 22,67, P&lt;0,01). </w:t>
      </w:r>
    </w:p>
    <w:p w14:paraId="0B261A81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</w:p>
    <w:p w14:paraId="4FD38D38" w14:textId="77777777" w:rsidR="005C0340" w:rsidRPr="005C0340" w:rsidRDefault="005C0340" w:rsidP="008A268C">
      <w:pPr>
        <w:ind w:left="851"/>
        <w:rPr>
          <w:b/>
          <w:bCs/>
          <w:iCs/>
          <w:sz w:val="24"/>
          <w:szCs w:val="24"/>
        </w:rPr>
      </w:pPr>
      <w:r w:rsidRPr="005C0340">
        <w:rPr>
          <w:b/>
          <w:bCs/>
          <w:iCs/>
          <w:sz w:val="24"/>
          <w:szCs w:val="24"/>
        </w:rPr>
        <w:t>Dosering 50 mikrogram hver 4. time</w:t>
      </w:r>
    </w:p>
    <w:p w14:paraId="01DD8CB1" w14:textId="77777777" w:rsidR="005C0340" w:rsidRPr="005C0340" w:rsidRDefault="005C0340" w:rsidP="008A268C">
      <w:pPr>
        <w:ind w:left="851"/>
        <w:rPr>
          <w:iCs/>
          <w:sz w:val="24"/>
          <w:szCs w:val="24"/>
        </w:rPr>
      </w:pPr>
      <w:r w:rsidRPr="005C0340">
        <w:rPr>
          <w:sz w:val="24"/>
          <w:szCs w:val="24"/>
        </w:rPr>
        <w:t xml:space="preserve">Data om effektivitet og sikkerhed ved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til induktion af fødsel er tilgængelige fra en metaanalyse af</w:t>
      </w:r>
      <w:r w:rsidRPr="005C0340">
        <w:rPr>
          <w:iCs/>
          <w:sz w:val="24"/>
          <w:szCs w:val="24"/>
        </w:rPr>
        <w:t xml:space="preserve"> 28 kliniske studier, hvor 2.944 kvinder fik oral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50 mikrogram hver 4. time.</w:t>
      </w:r>
    </w:p>
    <w:p w14:paraId="2B6B12A2" w14:textId="77777777" w:rsidR="005C0340" w:rsidRPr="005C0340" w:rsidRDefault="005C0340" w:rsidP="005C0340">
      <w:pPr>
        <w:tabs>
          <w:tab w:val="left" w:pos="851"/>
        </w:tabs>
        <w:ind w:left="851"/>
        <w:rPr>
          <w:bCs/>
          <w:iCs/>
          <w:sz w:val="24"/>
          <w:szCs w:val="24"/>
        </w:rPr>
      </w:pPr>
    </w:p>
    <w:tbl>
      <w:tblPr>
        <w:tblStyle w:val="Tabel-Gitter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2280"/>
        <w:gridCol w:w="4194"/>
      </w:tblGrid>
      <w:tr w:rsidR="005C0340" w:rsidRPr="005C0340" w14:paraId="14F1CE1A" w14:textId="77777777" w:rsidTr="008A268C">
        <w:trPr>
          <w:trHeight w:val="283"/>
        </w:trPr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B68A66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proofErr w:type="spellStart"/>
            <w:r w:rsidRPr="005C0340">
              <w:rPr>
                <w:b/>
                <w:iCs/>
                <w:sz w:val="24"/>
                <w:szCs w:val="24"/>
                <w:lang w:val="en-GB"/>
              </w:rPr>
              <w:t>Komparator</w:t>
            </w:r>
            <w:proofErr w:type="spellEnd"/>
            <w:r w:rsidRPr="005C0340">
              <w:rPr>
                <w:b/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E848B8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/>
                <w:iCs/>
                <w:sz w:val="24"/>
                <w:szCs w:val="24"/>
                <w:lang w:val="en-GB"/>
              </w:rPr>
              <w:t>Antal studier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3A7045" w14:textId="7D64A390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</w:rPr>
            </w:pPr>
            <w:r w:rsidRPr="005C0340">
              <w:rPr>
                <w:b/>
                <w:iCs/>
                <w:sz w:val="24"/>
                <w:szCs w:val="24"/>
              </w:rPr>
              <w:t xml:space="preserve">Eksponering for oral </w:t>
            </w:r>
            <w:proofErr w:type="spellStart"/>
            <w:r w:rsidRPr="005C0340">
              <w:rPr>
                <w:b/>
                <w:iCs/>
                <w:sz w:val="24"/>
                <w:szCs w:val="24"/>
              </w:rPr>
              <w:t>misoprostol</w:t>
            </w:r>
            <w:proofErr w:type="spellEnd"/>
            <w:r w:rsidRPr="005C0340">
              <w:rPr>
                <w:b/>
                <w:iCs/>
                <w:sz w:val="24"/>
                <w:szCs w:val="24"/>
              </w:rPr>
              <w:t xml:space="preserve"> 50</w:t>
            </w:r>
            <w:r w:rsidR="00940955">
              <w:rPr>
                <w:b/>
                <w:iCs/>
                <w:sz w:val="24"/>
                <w:szCs w:val="24"/>
              </w:rPr>
              <w:t> </w:t>
            </w:r>
            <w:r w:rsidRPr="005C0340">
              <w:rPr>
                <w:b/>
                <w:bCs/>
                <w:iCs/>
                <w:sz w:val="24"/>
                <w:szCs w:val="24"/>
              </w:rPr>
              <w:t xml:space="preserve">mikrogram </w:t>
            </w:r>
            <w:r w:rsidRPr="005C0340">
              <w:rPr>
                <w:b/>
                <w:iCs/>
                <w:sz w:val="24"/>
                <w:szCs w:val="24"/>
              </w:rPr>
              <w:t>hver 4. time</w:t>
            </w:r>
          </w:p>
        </w:tc>
      </w:tr>
      <w:tr w:rsidR="005C0340" w:rsidRPr="005C0340" w14:paraId="5C971A7C" w14:textId="77777777" w:rsidTr="008A268C">
        <w:trPr>
          <w:trHeight w:val="283"/>
        </w:trPr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7C766B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 xml:space="preserve">Placebo / </w:t>
            </w:r>
            <w:proofErr w:type="spellStart"/>
            <w:r w:rsidRPr="005C0340">
              <w:rPr>
                <w:iCs/>
                <w:sz w:val="24"/>
                <w:szCs w:val="24"/>
                <w:lang w:val="en-GB"/>
              </w:rPr>
              <w:t>Afventende</w:t>
            </w:r>
            <w:proofErr w:type="spellEnd"/>
            <w:r w:rsidRPr="005C0340">
              <w:rPr>
                <w:iCs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D7987A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3 (2 DB)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013D3D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247 (97 i DB)</w:t>
            </w:r>
          </w:p>
        </w:tc>
      </w:tr>
      <w:tr w:rsidR="005C0340" w:rsidRPr="005C0340" w14:paraId="157FA714" w14:textId="77777777" w:rsidTr="008A268C">
        <w:trPr>
          <w:trHeight w:val="283"/>
        </w:trPr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DFF245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proofErr w:type="spellStart"/>
            <w:r w:rsidRPr="005C0340">
              <w:rPr>
                <w:iCs/>
                <w:sz w:val="24"/>
                <w:szCs w:val="24"/>
                <w:lang w:val="en-GB"/>
              </w:rPr>
              <w:t>Behandling</w:t>
            </w:r>
            <w:proofErr w:type="spellEnd"/>
          </w:p>
        </w:tc>
        <w:tc>
          <w:tcPr>
            <w:tcW w:w="1183" w:type="pct"/>
            <w:tcBorders>
              <w:top w:val="nil"/>
              <w:left w:val="nil"/>
              <w:bottom w:val="nil"/>
              <w:right w:val="nil"/>
            </w:tcBorders>
          </w:tcPr>
          <w:p w14:paraId="495E1822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nil"/>
              <w:right w:val="nil"/>
            </w:tcBorders>
          </w:tcPr>
          <w:p w14:paraId="39D0ACBD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</w:p>
        </w:tc>
      </w:tr>
      <w:tr w:rsidR="005C0340" w:rsidRPr="005C0340" w14:paraId="5C686343" w14:textId="77777777" w:rsidTr="008A268C">
        <w:trPr>
          <w:trHeight w:val="283"/>
        </w:trPr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396AA1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proofErr w:type="spellStart"/>
            <w:r w:rsidRPr="005C0340">
              <w:rPr>
                <w:iCs/>
                <w:sz w:val="24"/>
                <w:szCs w:val="24"/>
                <w:lang w:val="en-GB"/>
              </w:rPr>
              <w:t>Intravenøs</w:t>
            </w:r>
            <w:proofErr w:type="spellEnd"/>
            <w:r w:rsidRPr="005C0340">
              <w:rPr>
                <w:iCs/>
                <w:sz w:val="24"/>
                <w:szCs w:val="24"/>
                <w:lang w:val="en-GB"/>
              </w:rPr>
              <w:t xml:space="preserve"> oxytocin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BC7D73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3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259240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143</w:t>
            </w:r>
          </w:p>
        </w:tc>
      </w:tr>
      <w:tr w:rsidR="005C0340" w:rsidRPr="005C0340" w14:paraId="75BB8622" w14:textId="77777777" w:rsidTr="008A268C">
        <w:trPr>
          <w:trHeight w:val="283"/>
        </w:trPr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BB4DC28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 xml:space="preserve">Vaginal </w:t>
            </w:r>
            <w:proofErr w:type="spellStart"/>
            <w:r w:rsidRPr="005C0340">
              <w:rPr>
                <w:iCs/>
                <w:sz w:val="24"/>
                <w:szCs w:val="24"/>
                <w:lang w:val="en-GB"/>
              </w:rPr>
              <w:t>dinoproston</w:t>
            </w:r>
            <w:proofErr w:type="spellEnd"/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6EA3B3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4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38AFA92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322</w:t>
            </w:r>
          </w:p>
        </w:tc>
      </w:tr>
      <w:tr w:rsidR="005C0340" w:rsidRPr="005C0340" w14:paraId="04352255" w14:textId="77777777" w:rsidTr="008A268C">
        <w:trPr>
          <w:trHeight w:val="283"/>
        </w:trPr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615B10D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Vaginal misoprostol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9360C5F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12 (3 DB)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98591BF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985 (215 i DB)</w:t>
            </w:r>
          </w:p>
        </w:tc>
      </w:tr>
      <w:tr w:rsidR="005C0340" w:rsidRPr="005C0340" w14:paraId="6DAE1ADC" w14:textId="77777777" w:rsidTr="008A268C">
        <w:trPr>
          <w:trHeight w:val="283"/>
        </w:trPr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72D779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proofErr w:type="spellStart"/>
            <w:r w:rsidRPr="005C0340">
              <w:rPr>
                <w:iCs/>
                <w:sz w:val="24"/>
                <w:szCs w:val="24"/>
                <w:lang w:val="en-GB"/>
              </w:rPr>
              <w:t>Mekanisk</w:t>
            </w:r>
            <w:proofErr w:type="spellEnd"/>
            <w:r w:rsidRPr="005C0340">
              <w:rPr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5C0340">
              <w:rPr>
                <w:iCs/>
                <w:sz w:val="24"/>
                <w:szCs w:val="24"/>
                <w:lang w:val="en-GB"/>
              </w:rPr>
              <w:t>metode</w:t>
            </w:r>
            <w:proofErr w:type="spellEnd"/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C0E01A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5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620030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121</w:t>
            </w:r>
          </w:p>
        </w:tc>
      </w:tr>
      <w:tr w:rsidR="005C0340" w:rsidRPr="005C0340" w14:paraId="3A96CB82" w14:textId="77777777" w:rsidTr="008A268C">
        <w:trPr>
          <w:trHeight w:val="283"/>
        </w:trPr>
        <w:tc>
          <w:tcPr>
            <w:tcW w:w="1641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959A4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Oral misoprostol (</w:t>
            </w:r>
            <w:proofErr w:type="spellStart"/>
            <w:r w:rsidRPr="005C0340">
              <w:rPr>
                <w:iCs/>
                <w:sz w:val="24"/>
                <w:szCs w:val="24"/>
                <w:lang w:val="en-GB"/>
              </w:rPr>
              <w:t>titreret</w:t>
            </w:r>
            <w:proofErr w:type="spellEnd"/>
            <w:r w:rsidRPr="005C0340">
              <w:rPr>
                <w:iCs/>
                <w:sz w:val="24"/>
                <w:szCs w:val="24"/>
                <w:lang w:val="en-GB"/>
              </w:rPr>
              <w:t>)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00BBD3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1 DB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325FED" w14:textId="77777777" w:rsidR="005C0340" w:rsidRPr="005C0340" w:rsidRDefault="005C0340" w:rsidP="008A268C">
            <w:pPr>
              <w:ind w:left="32"/>
              <w:rPr>
                <w:iCs/>
                <w:sz w:val="24"/>
                <w:szCs w:val="24"/>
                <w:lang w:val="en-GB"/>
              </w:rPr>
            </w:pPr>
            <w:r w:rsidRPr="005C0340">
              <w:rPr>
                <w:iCs/>
                <w:sz w:val="24"/>
                <w:szCs w:val="24"/>
                <w:lang w:val="en-GB"/>
              </w:rPr>
              <w:t>32 i DB-studier</w:t>
            </w:r>
          </w:p>
        </w:tc>
      </w:tr>
      <w:tr w:rsidR="005C0340" w:rsidRPr="005C0340" w14:paraId="5851E71A" w14:textId="77777777" w:rsidTr="008A268C">
        <w:trPr>
          <w:trHeight w:val="283"/>
        </w:trPr>
        <w:tc>
          <w:tcPr>
            <w:tcW w:w="164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0A0DD9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>TOTAL</w:t>
            </w:r>
          </w:p>
        </w:tc>
        <w:tc>
          <w:tcPr>
            <w:tcW w:w="118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C20C96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>28 (6 DB)</w:t>
            </w:r>
          </w:p>
        </w:tc>
        <w:tc>
          <w:tcPr>
            <w:tcW w:w="21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69864C" w14:textId="77777777" w:rsidR="005C0340" w:rsidRPr="005C0340" w:rsidRDefault="005C0340" w:rsidP="008A268C">
            <w:pPr>
              <w:ind w:left="32"/>
              <w:rPr>
                <w:b/>
                <w:bCs/>
                <w:iCs/>
                <w:sz w:val="24"/>
                <w:szCs w:val="24"/>
                <w:lang w:val="en-GB"/>
              </w:rPr>
            </w:pPr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 xml:space="preserve">2.944 </w:t>
            </w:r>
            <w:proofErr w:type="spellStart"/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>kvinder</w:t>
            </w:r>
            <w:proofErr w:type="spellEnd"/>
            <w:r w:rsidRPr="005C0340">
              <w:rPr>
                <w:b/>
                <w:bCs/>
                <w:iCs/>
                <w:sz w:val="24"/>
                <w:szCs w:val="24"/>
                <w:lang w:val="en-GB"/>
              </w:rPr>
              <w:t xml:space="preserve"> (344 i DB-studier)</w:t>
            </w:r>
          </w:p>
        </w:tc>
      </w:tr>
    </w:tbl>
    <w:p w14:paraId="591BB3F3" w14:textId="77777777" w:rsidR="005C0340" w:rsidRPr="005C0340" w:rsidRDefault="005C0340" w:rsidP="00940955">
      <w:pPr>
        <w:rPr>
          <w:iCs/>
          <w:sz w:val="24"/>
          <w:szCs w:val="24"/>
          <w:lang w:val="en-GB"/>
        </w:rPr>
      </w:pPr>
      <w:r w:rsidRPr="005C0340">
        <w:rPr>
          <w:iCs/>
          <w:sz w:val="24"/>
          <w:szCs w:val="24"/>
          <w:lang w:val="en-GB"/>
        </w:rPr>
        <w:t xml:space="preserve">DB: </w:t>
      </w:r>
      <w:proofErr w:type="spellStart"/>
      <w:r w:rsidRPr="005C0340">
        <w:rPr>
          <w:iCs/>
          <w:sz w:val="24"/>
          <w:szCs w:val="24"/>
          <w:lang w:val="en-GB"/>
        </w:rPr>
        <w:t>Dobbeltblind</w:t>
      </w:r>
      <w:proofErr w:type="spellEnd"/>
      <w:r w:rsidRPr="005C0340">
        <w:rPr>
          <w:iCs/>
          <w:sz w:val="24"/>
          <w:szCs w:val="24"/>
          <w:lang w:val="en-GB"/>
        </w:rPr>
        <w:t>.</w:t>
      </w:r>
    </w:p>
    <w:p w14:paraId="16D35383" w14:textId="77777777" w:rsidR="005C0340" w:rsidRPr="005C0340" w:rsidRDefault="005C0340" w:rsidP="008A268C">
      <w:pPr>
        <w:ind w:left="851"/>
        <w:rPr>
          <w:iCs/>
          <w:sz w:val="24"/>
          <w:szCs w:val="24"/>
          <w:lang w:val="en-GB"/>
        </w:rPr>
      </w:pPr>
    </w:p>
    <w:p w14:paraId="44378116" w14:textId="77777777" w:rsidR="005C0340" w:rsidRPr="005C0340" w:rsidRDefault="005C0340" w:rsidP="008A268C">
      <w:pPr>
        <w:ind w:left="851"/>
        <w:rPr>
          <w:bCs/>
          <w:iCs/>
          <w:sz w:val="24"/>
          <w:szCs w:val="24"/>
        </w:rPr>
      </w:pPr>
      <w:r w:rsidRPr="005C0340">
        <w:rPr>
          <w:bCs/>
          <w:iCs/>
          <w:sz w:val="24"/>
          <w:szCs w:val="24"/>
        </w:rPr>
        <w:t xml:space="preserve">De vigtigste inklusionskriterier i disse studier er som følger: </w:t>
      </w:r>
    </w:p>
    <w:p w14:paraId="2060012F" w14:textId="77777777" w:rsidR="005C0340" w:rsidRPr="005C0340" w:rsidRDefault="005C0340" w:rsidP="005C0340">
      <w:pPr>
        <w:tabs>
          <w:tab w:val="left" w:pos="851"/>
        </w:tabs>
        <w:ind w:left="851"/>
        <w:rPr>
          <w:iCs/>
          <w:sz w:val="24"/>
          <w:szCs w:val="24"/>
        </w:rPr>
      </w:pPr>
    </w:p>
    <w:p w14:paraId="1E1A39E6" w14:textId="77777777" w:rsidR="005C0340" w:rsidRPr="005C0340" w:rsidRDefault="005C0340" w:rsidP="008A268C">
      <w:pPr>
        <w:numPr>
          <w:ilvl w:val="0"/>
          <w:numId w:val="9"/>
        </w:numPr>
        <w:ind w:left="1276" w:hanging="425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>Det vigtigste inklusionskriterium i alle tre placebokontrollerede studier var PROM.</w:t>
      </w:r>
    </w:p>
    <w:p w14:paraId="6F2BED84" w14:textId="77777777" w:rsidR="005C0340" w:rsidRPr="005C0340" w:rsidRDefault="005C0340" w:rsidP="008A268C">
      <w:pPr>
        <w:numPr>
          <w:ilvl w:val="0"/>
          <w:numId w:val="9"/>
        </w:numPr>
        <w:ind w:left="1276" w:hanging="425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 xml:space="preserve">I et studie, hvor der blev sammenlignet med intravenøs </w:t>
      </w:r>
      <w:proofErr w:type="spellStart"/>
      <w:r w:rsidRPr="005C0340">
        <w:rPr>
          <w:iCs/>
          <w:sz w:val="24"/>
          <w:szCs w:val="24"/>
        </w:rPr>
        <w:t>oxytocin</w:t>
      </w:r>
      <w:proofErr w:type="spellEnd"/>
      <w:r w:rsidRPr="005C0340">
        <w:rPr>
          <w:iCs/>
          <w:sz w:val="24"/>
          <w:szCs w:val="24"/>
        </w:rPr>
        <w:t>, var det vigtigste inklusionskriterium PROM (52 kvinder). I det andet studie var de vigtigste inklusionskriterier både PROM og fuldbåren graviditet (55 kvinder), og i det sidste studie var det vigtigste inklusionskriterium fuldbåren graviditet (36 kvinder).</w:t>
      </w:r>
    </w:p>
    <w:p w14:paraId="0343CD4E" w14:textId="77777777" w:rsidR="005C0340" w:rsidRPr="005C0340" w:rsidRDefault="005C0340" w:rsidP="008A268C">
      <w:pPr>
        <w:numPr>
          <w:ilvl w:val="0"/>
          <w:numId w:val="9"/>
        </w:numPr>
        <w:ind w:left="1276" w:hanging="425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 xml:space="preserve">Alle fire studier, der sammenlignede med </w:t>
      </w:r>
      <w:proofErr w:type="spellStart"/>
      <w:r w:rsidRPr="005C0340">
        <w:rPr>
          <w:iCs/>
          <w:sz w:val="24"/>
          <w:szCs w:val="24"/>
        </w:rPr>
        <w:t>dinoproston</w:t>
      </w:r>
      <w:proofErr w:type="spellEnd"/>
      <w:r w:rsidRPr="005C0340">
        <w:rPr>
          <w:iCs/>
          <w:sz w:val="24"/>
          <w:szCs w:val="24"/>
        </w:rPr>
        <w:t>, var åbne studier. I et studie var det vigtigste inklusionskriterium PROM (31 patienter), mens det vigtigste inklusionskriterium var for tidlig fødsel (2 studier) eller fuldbåren graviditet (1 studie) for de andre tre studier (291 kvinder)</w:t>
      </w:r>
      <w:r w:rsidRPr="005C0340">
        <w:rPr>
          <w:sz w:val="24"/>
          <w:szCs w:val="24"/>
        </w:rPr>
        <w:t>.</w:t>
      </w:r>
    </w:p>
    <w:p w14:paraId="5B27CF9F" w14:textId="77777777" w:rsidR="005C0340" w:rsidRPr="005C0340" w:rsidRDefault="005C0340" w:rsidP="008A268C">
      <w:pPr>
        <w:numPr>
          <w:ilvl w:val="0"/>
          <w:numId w:val="9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 xml:space="preserve">Tre af studierne, der sammenlignede med vaginal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, var dobbeltblindede studier (215 kvinder). Det vigtigste inklusionskriterium var fuldbåren graviditet. Et åbent studie havde indikation for induktion af fødsel som det vigtigste inklusionskriterium (graviditetsalder: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38,6 ± 2,2 versus vaginal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39,1 ± 2,0, P=0,21; 65 kvinder), og i et andet klinisk studie var </w:t>
      </w:r>
      <w:proofErr w:type="spellStart"/>
      <w:r w:rsidRPr="005C0340">
        <w:rPr>
          <w:sz w:val="24"/>
          <w:szCs w:val="24"/>
        </w:rPr>
        <w:t>gestationsalder</w:t>
      </w:r>
      <w:proofErr w:type="spellEnd"/>
      <w:r w:rsidRPr="005C0340">
        <w:rPr>
          <w:sz w:val="24"/>
          <w:szCs w:val="24"/>
        </w:rPr>
        <w:t xml:space="preserve"> en 39,2 ± 1,27 (110 kvinder). De resterende 7 studier (595 kvinder) var åbne studier, hvor det vigtigste inklusionskriterium var fuldbåren graviditet, og ét af dem omhandlede PROM.</w:t>
      </w:r>
    </w:p>
    <w:p w14:paraId="21550000" w14:textId="77777777" w:rsidR="005C0340" w:rsidRPr="005C0340" w:rsidRDefault="005C0340" w:rsidP="008A268C">
      <w:pPr>
        <w:numPr>
          <w:ilvl w:val="0"/>
          <w:numId w:val="9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>Alle fire studier, der sammenlignede med mekanisk metode, var åbne studier, og det vigtigste inklusionskriterium var fuldbåren graviditet ("overbåren graviditet" for to af dem).</w:t>
      </w:r>
    </w:p>
    <w:p w14:paraId="54EDC66F" w14:textId="77777777" w:rsidR="005C0340" w:rsidRPr="005C0340" w:rsidRDefault="005C0340" w:rsidP="008A268C">
      <w:pPr>
        <w:numPr>
          <w:ilvl w:val="0"/>
          <w:numId w:val="9"/>
        </w:numPr>
        <w:ind w:left="1276" w:hanging="425"/>
        <w:rPr>
          <w:sz w:val="24"/>
          <w:szCs w:val="24"/>
        </w:rPr>
      </w:pPr>
      <w:r w:rsidRPr="005C0340">
        <w:rPr>
          <w:sz w:val="24"/>
          <w:szCs w:val="24"/>
        </w:rPr>
        <w:t xml:space="preserve">Det ene studie, der sammenlignede med oral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titreret, var et dobbeltblindet studie med fuldbåren graviditet som det primære inklusionskriterium.</w:t>
      </w:r>
    </w:p>
    <w:p w14:paraId="40E26046" w14:textId="77777777" w:rsidR="005C0340" w:rsidRPr="005C0340" w:rsidRDefault="005C0340" w:rsidP="008A268C">
      <w:pPr>
        <w:ind w:left="851"/>
        <w:rPr>
          <w:iCs/>
          <w:sz w:val="24"/>
          <w:szCs w:val="24"/>
        </w:rPr>
      </w:pPr>
    </w:p>
    <w:p w14:paraId="47943000" w14:textId="77777777" w:rsidR="005C0340" w:rsidRPr="005C0340" w:rsidRDefault="005C0340" w:rsidP="008A268C">
      <w:pPr>
        <w:ind w:left="851"/>
        <w:rPr>
          <w:iCs/>
          <w:sz w:val="24"/>
          <w:szCs w:val="24"/>
        </w:rPr>
      </w:pPr>
      <w:r w:rsidRPr="005C0340">
        <w:rPr>
          <w:sz w:val="24"/>
          <w:szCs w:val="24"/>
        </w:rPr>
        <w:t>De dobbeltblindede studier Bennett 1998 og Levy 2007 betragtes som afgørende og beskrives detaljeret i det følgende.</w:t>
      </w:r>
    </w:p>
    <w:p w14:paraId="1B025049" w14:textId="77777777" w:rsidR="005C0340" w:rsidRPr="005C0340" w:rsidRDefault="005C0340" w:rsidP="008A268C">
      <w:pPr>
        <w:ind w:left="851"/>
        <w:rPr>
          <w:iCs/>
          <w:sz w:val="24"/>
          <w:szCs w:val="24"/>
        </w:rPr>
      </w:pPr>
    </w:p>
    <w:p w14:paraId="42CEC3A8" w14:textId="77777777" w:rsidR="005C0340" w:rsidRPr="005C0340" w:rsidRDefault="005C0340" w:rsidP="008A268C">
      <w:pPr>
        <w:ind w:left="851"/>
        <w:rPr>
          <w:iCs/>
          <w:sz w:val="24"/>
          <w:szCs w:val="24"/>
        </w:rPr>
      </w:pPr>
      <w:r w:rsidRPr="005C0340">
        <w:rPr>
          <w:i/>
          <w:iCs/>
          <w:sz w:val="24"/>
          <w:szCs w:val="24"/>
        </w:rPr>
        <w:t xml:space="preserve">Bennett 1998 </w:t>
      </w:r>
      <w:r w:rsidRPr="005C0340">
        <w:rPr>
          <w:iCs/>
          <w:sz w:val="24"/>
          <w:szCs w:val="24"/>
        </w:rPr>
        <w:t xml:space="preserve">var et randomiseret, dobbeltblindet, aktivt kontrolleret studie (vaginal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) (N=104/102), der sammenlignede oral og vaginal administration af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50 mikrogram givet hver 4. time. Gravide kvinder med fuldbårne fostre og intakte fosterhinder, med indikation for igangsættelse var inkluderet og stratificeret efter lav (&lt;7) eller høj (≥7) </w:t>
      </w:r>
      <w:proofErr w:type="spellStart"/>
      <w:r w:rsidRPr="005C0340">
        <w:rPr>
          <w:iCs/>
          <w:sz w:val="24"/>
          <w:szCs w:val="24"/>
        </w:rPr>
        <w:t>Bishop</w:t>
      </w:r>
      <w:proofErr w:type="spellEnd"/>
      <w:r w:rsidRPr="005C0340">
        <w:rPr>
          <w:iCs/>
          <w:sz w:val="24"/>
          <w:szCs w:val="24"/>
        </w:rPr>
        <w:t xml:space="preserve">-score. Det primære endepunkt var tiden fra induktion til vaginal fødsel. Tiden fra induktion til fødsel var statistisk signifikant kortere med vaginal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end med oral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(14,1 timer vs. 17,9 timer, p=0,004).</w:t>
      </w:r>
    </w:p>
    <w:p w14:paraId="1134D448" w14:textId="77777777" w:rsidR="005C0340" w:rsidRPr="005C0340" w:rsidRDefault="005C0340" w:rsidP="008A268C">
      <w:pPr>
        <w:ind w:left="851"/>
        <w:rPr>
          <w:iCs/>
          <w:sz w:val="24"/>
          <w:szCs w:val="24"/>
        </w:rPr>
      </w:pPr>
      <w:r w:rsidRPr="005C0340">
        <w:rPr>
          <w:iCs/>
          <w:sz w:val="24"/>
          <w:szCs w:val="24"/>
        </w:rPr>
        <w:t xml:space="preserve">For øvrige udfald, herunder risiko for </w:t>
      </w:r>
      <w:proofErr w:type="spellStart"/>
      <w:r w:rsidRPr="005C0340">
        <w:rPr>
          <w:iCs/>
          <w:sz w:val="24"/>
          <w:szCs w:val="24"/>
        </w:rPr>
        <w:t>uterinhyperstimulation</w:t>
      </w:r>
      <w:proofErr w:type="spellEnd"/>
      <w:r w:rsidRPr="005C0340">
        <w:rPr>
          <w:iCs/>
          <w:sz w:val="24"/>
          <w:szCs w:val="24"/>
        </w:rPr>
        <w:t xml:space="preserve"> med ændringer i </w:t>
      </w:r>
      <w:proofErr w:type="spellStart"/>
      <w:r w:rsidRPr="005C0340">
        <w:rPr>
          <w:iCs/>
          <w:sz w:val="24"/>
          <w:szCs w:val="24"/>
        </w:rPr>
        <w:t>føtal</w:t>
      </w:r>
      <w:proofErr w:type="spellEnd"/>
      <w:r w:rsidRPr="005C0340">
        <w:rPr>
          <w:iCs/>
          <w:sz w:val="24"/>
          <w:szCs w:val="24"/>
        </w:rPr>
        <w:t xml:space="preserve"> hjertefrekvens samt kejsersnit, var der en lavere (ikke statistisk signifikant) risiko i gruppen, som fik oral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. </w:t>
      </w:r>
    </w:p>
    <w:p w14:paraId="32C0963D" w14:textId="77777777" w:rsidR="005C0340" w:rsidRPr="005C0340" w:rsidRDefault="005C0340" w:rsidP="008A268C">
      <w:pPr>
        <w:ind w:left="851"/>
        <w:rPr>
          <w:iCs/>
          <w:sz w:val="24"/>
          <w:szCs w:val="24"/>
        </w:rPr>
      </w:pPr>
    </w:p>
    <w:p w14:paraId="215071F6" w14:textId="7B40376D" w:rsidR="005C0340" w:rsidRPr="005C0340" w:rsidRDefault="005C0340" w:rsidP="008A268C">
      <w:pPr>
        <w:ind w:left="851"/>
        <w:rPr>
          <w:sz w:val="24"/>
          <w:szCs w:val="24"/>
        </w:rPr>
      </w:pPr>
      <w:r w:rsidRPr="005C0340">
        <w:rPr>
          <w:i/>
          <w:iCs/>
          <w:sz w:val="24"/>
          <w:szCs w:val="24"/>
        </w:rPr>
        <w:t xml:space="preserve">Levy 2007 </w:t>
      </w:r>
      <w:r w:rsidRPr="005C0340">
        <w:rPr>
          <w:iCs/>
          <w:sz w:val="24"/>
          <w:szCs w:val="24"/>
        </w:rPr>
        <w:t>var et dobbeltblindet studie (N=64/66), der undersøgte doseringen på 50</w:t>
      </w:r>
      <w:r w:rsidR="00940955">
        <w:rPr>
          <w:iCs/>
          <w:sz w:val="24"/>
          <w:szCs w:val="24"/>
        </w:rPr>
        <w:t> </w:t>
      </w:r>
      <w:r w:rsidRPr="005C0340">
        <w:rPr>
          <w:sz w:val="24"/>
          <w:szCs w:val="24"/>
        </w:rPr>
        <w:t xml:space="preserve">mikrogram </w:t>
      </w:r>
      <w:r w:rsidRPr="005C0340">
        <w:rPr>
          <w:iCs/>
          <w:sz w:val="24"/>
          <w:szCs w:val="24"/>
        </w:rPr>
        <w:t xml:space="preserve">hver 4. time i forhold til placebo hos kvinder med PROM. Det primære endepunkt var fødsel inden for 24 timer efter PROM. Tiden til fødsel var statistisk signifikant kortere med oral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sammenlignet med placebo (henholdsvis 13,7 ± 5,8 vs. 20,3 ± 6,8 timer, P&lt;0,05) med en svag (ikke statistisk signifikant) stigning i hyppigheden af </w:t>
      </w:r>
      <w:proofErr w:type="spellStart"/>
      <w:r w:rsidRPr="005C0340">
        <w:rPr>
          <w:iCs/>
          <w:sz w:val="24"/>
          <w:szCs w:val="24"/>
        </w:rPr>
        <w:t>uterinhyperstimulation</w:t>
      </w:r>
      <w:proofErr w:type="spellEnd"/>
      <w:r w:rsidRPr="005C0340">
        <w:rPr>
          <w:iCs/>
          <w:sz w:val="24"/>
          <w:szCs w:val="24"/>
        </w:rPr>
        <w:t xml:space="preserve">. For andre sikkerhedsudfald, såsom administration af </w:t>
      </w:r>
      <w:proofErr w:type="spellStart"/>
      <w:r w:rsidRPr="005C0340">
        <w:rPr>
          <w:iCs/>
          <w:sz w:val="24"/>
          <w:szCs w:val="24"/>
        </w:rPr>
        <w:t>oxytocin</w:t>
      </w:r>
      <w:proofErr w:type="spellEnd"/>
      <w:r w:rsidRPr="005C0340">
        <w:rPr>
          <w:iCs/>
          <w:sz w:val="24"/>
          <w:szCs w:val="24"/>
        </w:rPr>
        <w:t xml:space="preserve">, behov for antibiotikabehandling og risiko for kejsersnit, var der lavere risiko i gruppen, som fik oral </w:t>
      </w:r>
      <w:proofErr w:type="spellStart"/>
      <w:r w:rsidRPr="005C0340">
        <w:rPr>
          <w:iCs/>
          <w:sz w:val="24"/>
          <w:szCs w:val="24"/>
        </w:rPr>
        <w:t>misoprostol</w:t>
      </w:r>
      <w:proofErr w:type="spellEnd"/>
      <w:r w:rsidRPr="005C0340">
        <w:rPr>
          <w:iCs/>
          <w:sz w:val="24"/>
          <w:szCs w:val="24"/>
        </w:rPr>
        <w:t xml:space="preserve"> (ikke statistisk signifikant for kejsersnit). Ingen nyfødte havde en </w:t>
      </w:r>
      <w:proofErr w:type="spellStart"/>
      <w:r w:rsidRPr="005C0340">
        <w:rPr>
          <w:iCs/>
          <w:sz w:val="24"/>
          <w:szCs w:val="24"/>
        </w:rPr>
        <w:t>Apgar</w:t>
      </w:r>
      <w:proofErr w:type="spellEnd"/>
      <w:r w:rsidRPr="005C0340">
        <w:rPr>
          <w:iCs/>
          <w:sz w:val="24"/>
          <w:szCs w:val="24"/>
        </w:rPr>
        <w:t xml:space="preserve">-score under 7 efter 5 minutter.  </w:t>
      </w:r>
    </w:p>
    <w:p w14:paraId="63BCB1B1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8F9B36F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5.2</w:t>
      </w:r>
      <w:r w:rsidRPr="00D31F28">
        <w:rPr>
          <w:b/>
          <w:sz w:val="24"/>
          <w:szCs w:val="24"/>
        </w:rPr>
        <w:tab/>
      </w:r>
      <w:proofErr w:type="spellStart"/>
      <w:r w:rsidRPr="00D31F28">
        <w:rPr>
          <w:b/>
          <w:sz w:val="24"/>
          <w:szCs w:val="24"/>
        </w:rPr>
        <w:t>Farmakokinetiske</w:t>
      </w:r>
      <w:proofErr w:type="spellEnd"/>
      <w:r w:rsidRPr="00D31F28">
        <w:rPr>
          <w:b/>
          <w:sz w:val="24"/>
          <w:szCs w:val="24"/>
        </w:rPr>
        <w:t xml:space="preserve"> egenskaber</w:t>
      </w:r>
    </w:p>
    <w:p w14:paraId="07DC0A30" w14:textId="77777777" w:rsidR="00940955" w:rsidRDefault="00940955" w:rsidP="00D31F28">
      <w:pPr>
        <w:ind w:left="851"/>
        <w:rPr>
          <w:sz w:val="24"/>
          <w:szCs w:val="24"/>
          <w:u w:val="single"/>
        </w:rPr>
      </w:pPr>
    </w:p>
    <w:p w14:paraId="0C52781B" w14:textId="699B5A17" w:rsidR="005C0340" w:rsidRPr="005C0340" w:rsidRDefault="005C0340" w:rsidP="00D31F28">
      <w:pPr>
        <w:ind w:left="851"/>
        <w:rPr>
          <w:sz w:val="24"/>
          <w:szCs w:val="24"/>
          <w:u w:val="single"/>
        </w:rPr>
      </w:pPr>
      <w:r w:rsidRPr="005C0340">
        <w:rPr>
          <w:sz w:val="24"/>
          <w:szCs w:val="24"/>
          <w:u w:val="single"/>
        </w:rPr>
        <w:t>Absorption</w:t>
      </w:r>
    </w:p>
    <w:p w14:paraId="52D651D0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Efter oral administration absorberes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hurtigt, og maksimale plasmaniveauer af </w:t>
      </w:r>
      <w:proofErr w:type="spellStart"/>
      <w:r w:rsidRPr="005C0340">
        <w:rPr>
          <w:sz w:val="24"/>
          <w:szCs w:val="24"/>
        </w:rPr>
        <w:t>misoprostolsyre</w:t>
      </w:r>
      <w:proofErr w:type="spellEnd"/>
      <w:r w:rsidRPr="005C0340">
        <w:rPr>
          <w:sz w:val="24"/>
          <w:szCs w:val="24"/>
        </w:rPr>
        <w:t xml:space="preserve"> opnås efter ca. 22 minutter. Den gennemsnitlige plasmahalveringstid for </w:t>
      </w:r>
      <w:proofErr w:type="spellStart"/>
      <w:r w:rsidRPr="005C0340">
        <w:rPr>
          <w:sz w:val="24"/>
          <w:szCs w:val="24"/>
        </w:rPr>
        <w:t>misoprostolsyre</w:t>
      </w:r>
      <w:proofErr w:type="spellEnd"/>
      <w:r w:rsidRPr="005C0340">
        <w:rPr>
          <w:sz w:val="24"/>
          <w:szCs w:val="24"/>
        </w:rPr>
        <w:t xml:space="preserve"> er ca. 40 minutter.</w:t>
      </w:r>
    </w:p>
    <w:p w14:paraId="030D86A3" w14:textId="77777777" w:rsidR="005C0340" w:rsidRPr="005C0340" w:rsidRDefault="005C0340" w:rsidP="00D31F28">
      <w:pPr>
        <w:ind w:left="851"/>
        <w:rPr>
          <w:sz w:val="24"/>
          <w:szCs w:val="24"/>
        </w:rPr>
      </w:pPr>
    </w:p>
    <w:p w14:paraId="38F2C82C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Administration af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sammen med føde påvirker ikke biotilgængeligheden af </w:t>
      </w:r>
      <w:proofErr w:type="spellStart"/>
      <w:r w:rsidRPr="005C0340">
        <w:rPr>
          <w:sz w:val="24"/>
          <w:szCs w:val="24"/>
        </w:rPr>
        <w:t>misoprostolsyre</w:t>
      </w:r>
      <w:proofErr w:type="spellEnd"/>
      <w:r w:rsidRPr="005C0340">
        <w:rPr>
          <w:sz w:val="24"/>
          <w:szCs w:val="24"/>
        </w:rPr>
        <w:t xml:space="preserve">, men reducerer den maksimale plasmakoncentration som følge af en langsommere absorptionshastighed. </w:t>
      </w:r>
    </w:p>
    <w:p w14:paraId="54F6193A" w14:textId="77777777" w:rsidR="005C0340" w:rsidRPr="005C0340" w:rsidRDefault="005C0340" w:rsidP="00D31F28">
      <w:pPr>
        <w:ind w:left="851"/>
        <w:rPr>
          <w:sz w:val="24"/>
          <w:szCs w:val="24"/>
        </w:rPr>
      </w:pPr>
    </w:p>
    <w:p w14:paraId="00329D5E" w14:textId="77777777" w:rsidR="005C0340" w:rsidRPr="005C0340" w:rsidRDefault="005C0340" w:rsidP="00D31F28">
      <w:pPr>
        <w:ind w:left="851"/>
        <w:rPr>
          <w:sz w:val="24"/>
          <w:szCs w:val="24"/>
          <w:u w:val="single"/>
        </w:rPr>
      </w:pPr>
      <w:r w:rsidRPr="005C0340">
        <w:rPr>
          <w:sz w:val="24"/>
          <w:szCs w:val="24"/>
          <w:u w:val="single"/>
        </w:rPr>
        <w:t xml:space="preserve">Fordeling </w:t>
      </w:r>
    </w:p>
    <w:p w14:paraId="30CBC3B7" w14:textId="1F7F8125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Serumproteinbindingen af </w:t>
      </w:r>
      <w:proofErr w:type="spellStart"/>
      <w:r w:rsidRPr="005C0340">
        <w:rPr>
          <w:sz w:val="24"/>
          <w:szCs w:val="24"/>
        </w:rPr>
        <w:t>misoprostolsyre</w:t>
      </w:r>
      <w:proofErr w:type="spellEnd"/>
      <w:r w:rsidRPr="005C0340">
        <w:rPr>
          <w:sz w:val="24"/>
          <w:szCs w:val="24"/>
        </w:rPr>
        <w:t xml:space="preserve"> er mindre end 90 % og koncentrations</w:t>
      </w:r>
      <w:r w:rsidR="00940955">
        <w:rPr>
          <w:sz w:val="24"/>
          <w:szCs w:val="24"/>
        </w:rPr>
        <w:softHyphen/>
      </w:r>
      <w:r w:rsidRPr="005C0340">
        <w:rPr>
          <w:sz w:val="24"/>
          <w:szCs w:val="24"/>
        </w:rPr>
        <w:t xml:space="preserve">uafhængig ved terapeutiske doser. </w:t>
      </w:r>
    </w:p>
    <w:p w14:paraId="14200F8A" w14:textId="77777777" w:rsidR="005C0340" w:rsidRPr="005C0340" w:rsidRDefault="005C0340" w:rsidP="00D31F28">
      <w:pPr>
        <w:ind w:left="851"/>
        <w:rPr>
          <w:sz w:val="24"/>
          <w:szCs w:val="24"/>
        </w:rPr>
      </w:pPr>
    </w:p>
    <w:p w14:paraId="2D00CAA5" w14:textId="77777777" w:rsidR="005C0340" w:rsidRPr="005C0340" w:rsidRDefault="005C0340" w:rsidP="00D31F28">
      <w:pPr>
        <w:ind w:left="851"/>
        <w:rPr>
          <w:sz w:val="24"/>
          <w:szCs w:val="24"/>
          <w:u w:val="single"/>
        </w:rPr>
      </w:pPr>
      <w:r w:rsidRPr="005C0340">
        <w:rPr>
          <w:sz w:val="24"/>
          <w:szCs w:val="24"/>
          <w:u w:val="single"/>
        </w:rPr>
        <w:t>Biotransformation og elimination</w:t>
      </w:r>
    </w:p>
    <w:p w14:paraId="126AE78C" w14:textId="77777777" w:rsidR="005C0340" w:rsidRPr="005C0340" w:rsidRDefault="005C0340" w:rsidP="00D31F28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, en ester, </w:t>
      </w:r>
      <w:proofErr w:type="spellStart"/>
      <w:r w:rsidRPr="005C0340">
        <w:rPr>
          <w:sz w:val="24"/>
          <w:szCs w:val="24"/>
        </w:rPr>
        <w:t>metaboliseres</w:t>
      </w:r>
      <w:proofErr w:type="spellEnd"/>
      <w:r w:rsidRPr="005C0340">
        <w:rPr>
          <w:sz w:val="24"/>
          <w:szCs w:val="24"/>
        </w:rPr>
        <w:t xml:space="preserve"> hurtigt til dets aktive metabolit </w:t>
      </w:r>
      <w:proofErr w:type="spellStart"/>
      <w:r w:rsidRPr="005C0340">
        <w:rPr>
          <w:sz w:val="24"/>
          <w:szCs w:val="24"/>
        </w:rPr>
        <w:t>misoprostolsyre</w:t>
      </w:r>
      <w:proofErr w:type="spellEnd"/>
      <w:r w:rsidRPr="005C0340">
        <w:rPr>
          <w:sz w:val="24"/>
          <w:szCs w:val="24"/>
        </w:rPr>
        <w:t xml:space="preserve">. Kun </w:t>
      </w:r>
      <w:proofErr w:type="spellStart"/>
      <w:r w:rsidRPr="005C0340">
        <w:rPr>
          <w:sz w:val="24"/>
          <w:szCs w:val="24"/>
        </w:rPr>
        <w:t>misoprostolsyre</w:t>
      </w:r>
      <w:proofErr w:type="spellEnd"/>
      <w:r w:rsidRPr="005C0340">
        <w:rPr>
          <w:sz w:val="24"/>
          <w:szCs w:val="24"/>
        </w:rPr>
        <w:t xml:space="preserve"> kan påvises i plasma. </w:t>
      </w:r>
      <w:proofErr w:type="spellStart"/>
      <w:r w:rsidRPr="005C0340">
        <w:rPr>
          <w:sz w:val="24"/>
          <w:szCs w:val="24"/>
        </w:rPr>
        <w:t>Misoprostolsyre</w:t>
      </w:r>
      <w:proofErr w:type="spellEnd"/>
      <w:r w:rsidRPr="005C0340">
        <w:rPr>
          <w:sz w:val="24"/>
          <w:szCs w:val="24"/>
        </w:rPr>
        <w:t xml:space="preserve"> </w:t>
      </w:r>
      <w:proofErr w:type="spellStart"/>
      <w:r w:rsidRPr="005C0340">
        <w:rPr>
          <w:sz w:val="24"/>
          <w:szCs w:val="24"/>
        </w:rPr>
        <w:t>metaboliseres</w:t>
      </w:r>
      <w:proofErr w:type="spellEnd"/>
      <w:r w:rsidRPr="005C0340">
        <w:rPr>
          <w:sz w:val="24"/>
          <w:szCs w:val="24"/>
        </w:rPr>
        <w:t xml:space="preserve"> yderligere via beta-fedtsyreoxidation til inaktive, polære metabolitter, hvorefter den hovedsageligt udskilles i urinen. </w:t>
      </w:r>
    </w:p>
    <w:p w14:paraId="2A41A3E7" w14:textId="77777777" w:rsidR="005C0340" w:rsidRPr="005C0340" w:rsidRDefault="005C0340" w:rsidP="00D31F28">
      <w:pPr>
        <w:ind w:left="851"/>
        <w:rPr>
          <w:sz w:val="24"/>
          <w:szCs w:val="24"/>
        </w:rPr>
      </w:pPr>
    </w:p>
    <w:p w14:paraId="333997AE" w14:textId="77777777" w:rsidR="005C0340" w:rsidRPr="005C0340" w:rsidRDefault="005C0340" w:rsidP="00D31F28">
      <w:pPr>
        <w:ind w:left="851"/>
        <w:rPr>
          <w:sz w:val="24"/>
          <w:szCs w:val="24"/>
          <w:u w:val="single"/>
        </w:rPr>
      </w:pPr>
      <w:r w:rsidRPr="005C0340">
        <w:rPr>
          <w:sz w:val="24"/>
          <w:szCs w:val="24"/>
          <w:u w:val="single"/>
        </w:rPr>
        <w:t>Nedsat nyre- eller leverinsufficiens</w:t>
      </w:r>
    </w:p>
    <w:p w14:paraId="437CC1FB" w14:textId="43BD17AC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Der er studier, der viser en tendens mod højere </w:t>
      </w:r>
      <w:proofErr w:type="spellStart"/>
      <w:r w:rsidRPr="005C0340">
        <w:rPr>
          <w:sz w:val="24"/>
          <w:szCs w:val="24"/>
        </w:rPr>
        <w:t>C</w:t>
      </w:r>
      <w:r w:rsidRPr="005C0340">
        <w:rPr>
          <w:sz w:val="24"/>
          <w:szCs w:val="24"/>
          <w:vertAlign w:val="subscript"/>
        </w:rPr>
        <w:t>max</w:t>
      </w:r>
      <w:proofErr w:type="spellEnd"/>
      <w:r w:rsidRPr="005C0340">
        <w:rPr>
          <w:sz w:val="24"/>
          <w:szCs w:val="24"/>
        </w:rPr>
        <w:t>, AUC og t</w:t>
      </w:r>
      <w:r w:rsidRPr="005C0340">
        <w:rPr>
          <w:sz w:val="24"/>
          <w:szCs w:val="24"/>
          <w:vertAlign w:val="subscript"/>
        </w:rPr>
        <w:t>½</w:t>
      </w:r>
      <w:r w:rsidRPr="005C0340">
        <w:rPr>
          <w:sz w:val="24"/>
          <w:szCs w:val="24"/>
        </w:rPr>
        <w:t xml:space="preserve"> hos patienter med nedsat nyre- eller leverinsufficiens. Se </w:t>
      </w:r>
      <w:r w:rsidR="00940955">
        <w:rPr>
          <w:sz w:val="24"/>
          <w:szCs w:val="24"/>
        </w:rPr>
        <w:t>pkt.</w:t>
      </w:r>
      <w:r w:rsidRPr="005C0340">
        <w:rPr>
          <w:sz w:val="24"/>
          <w:szCs w:val="24"/>
        </w:rPr>
        <w:t xml:space="preserve"> 4.2, 4.3 og 4.4. </w:t>
      </w:r>
    </w:p>
    <w:p w14:paraId="17A7D0F5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C080E6A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5.3</w:t>
      </w:r>
      <w:r w:rsidRPr="00D31F28">
        <w:rPr>
          <w:b/>
          <w:sz w:val="24"/>
          <w:szCs w:val="24"/>
        </w:rPr>
        <w:tab/>
      </w:r>
      <w:r w:rsidR="00BD7931" w:rsidRPr="00D31F28">
        <w:rPr>
          <w:b/>
          <w:sz w:val="24"/>
          <w:szCs w:val="24"/>
        </w:rPr>
        <w:t>Non-</w:t>
      </w:r>
      <w:r w:rsidRPr="00D31F28">
        <w:rPr>
          <w:b/>
          <w:sz w:val="24"/>
          <w:szCs w:val="24"/>
        </w:rPr>
        <w:t>kliniske sikkerhedsdata</w:t>
      </w:r>
    </w:p>
    <w:p w14:paraId="38F666E6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Publiceret litteratur viser ingen særlig risiko for mennesker baseret på studier af </w:t>
      </w:r>
      <w:proofErr w:type="spellStart"/>
      <w:r w:rsidRPr="005C0340">
        <w:rPr>
          <w:sz w:val="24"/>
          <w:szCs w:val="24"/>
        </w:rPr>
        <w:t>misoprostols</w:t>
      </w:r>
      <w:proofErr w:type="spellEnd"/>
      <w:r w:rsidRPr="005C0340">
        <w:rPr>
          <w:sz w:val="24"/>
          <w:szCs w:val="24"/>
        </w:rPr>
        <w:t xml:space="preserve"> sikkerhedsfarmakologi, toksicitet ved akut og gentagen dosering, genotoksicitet samt </w:t>
      </w:r>
      <w:proofErr w:type="spellStart"/>
      <w:r w:rsidRPr="005C0340">
        <w:rPr>
          <w:sz w:val="24"/>
          <w:szCs w:val="24"/>
        </w:rPr>
        <w:t>karcinogenicitet</w:t>
      </w:r>
      <w:proofErr w:type="spellEnd"/>
      <w:r w:rsidRPr="005C0340">
        <w:rPr>
          <w:sz w:val="24"/>
          <w:szCs w:val="24"/>
        </w:rPr>
        <w:t xml:space="preserve"> ved klinisk relevante doser.</w:t>
      </w:r>
    </w:p>
    <w:p w14:paraId="5FD64AF0" w14:textId="77777777" w:rsidR="005C0340" w:rsidRPr="005C0340" w:rsidRDefault="005C0340" w:rsidP="00D31F28">
      <w:pPr>
        <w:ind w:left="851"/>
        <w:rPr>
          <w:sz w:val="24"/>
          <w:szCs w:val="24"/>
        </w:rPr>
      </w:pPr>
    </w:p>
    <w:p w14:paraId="3B05BAAB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Reproduktionstoksicitetsstudier hos dyr viste et lavt potentiale for effekter på mandlig og kvindelig fertilitet og embryotoksicitet ved doser med relevans for den foreslåede indikation for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. Der blev ikke observeret klinisk relevante effekter på præ- og </w:t>
      </w:r>
      <w:proofErr w:type="spellStart"/>
      <w:r w:rsidRPr="005C0340">
        <w:rPr>
          <w:sz w:val="24"/>
          <w:szCs w:val="24"/>
        </w:rPr>
        <w:t>postnatal</w:t>
      </w:r>
      <w:proofErr w:type="spellEnd"/>
      <w:r w:rsidRPr="005C0340">
        <w:rPr>
          <w:sz w:val="24"/>
          <w:szCs w:val="24"/>
        </w:rPr>
        <w:t xml:space="preserve"> udvikling hos rotter.</w:t>
      </w:r>
    </w:p>
    <w:p w14:paraId="65D71806" w14:textId="77777777" w:rsidR="005C0340" w:rsidRPr="005C0340" w:rsidRDefault="005C0340" w:rsidP="00D31F28">
      <w:pPr>
        <w:ind w:left="851"/>
        <w:rPr>
          <w:sz w:val="24"/>
          <w:szCs w:val="24"/>
        </w:rPr>
      </w:pPr>
    </w:p>
    <w:p w14:paraId="07C17939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Studier af fertilitet og tidlig embryonal udvikling hos rotter viste, at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medførte dosisrelaterede tab før og efter implantation samt et signifikant fald i antallet af levende unger født ved doser, der var mere end 19,3 gange højere end den kliniske dosis hos kvinder. Studier af embryo-fosterudvikling bekræftede resultaterne af øget resorption hos kaniner ved gentagne doser, der var mere end 29 gange højere end den maksimale daglige dosis hos kvinder. </w:t>
      </w:r>
    </w:p>
    <w:p w14:paraId="2454276C" w14:textId="77777777" w:rsidR="005C0340" w:rsidRPr="005C0340" w:rsidRDefault="005C0340" w:rsidP="00D31F28">
      <w:pPr>
        <w:ind w:left="851"/>
        <w:rPr>
          <w:sz w:val="24"/>
          <w:szCs w:val="24"/>
        </w:rPr>
      </w:pPr>
    </w:p>
    <w:p w14:paraId="4B79180D" w14:textId="245F4754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 xml:space="preserve">Hos mus var administration af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i første halvdel af drægtighedsperioden forbundet med forekomst af misdannelser ved klinisk relevante doser. En øget risiko for misdannelser og medfødte anomalier forbundet med fosterdød efter eksponering for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i tidlig graviditet (første trimester) er også rapporteret hos mennesker, men denne risiko er ikke relevant for den foreslåede indikation (se </w:t>
      </w:r>
      <w:r w:rsidR="00940955">
        <w:rPr>
          <w:sz w:val="24"/>
          <w:szCs w:val="24"/>
        </w:rPr>
        <w:t>pkt.</w:t>
      </w:r>
      <w:r w:rsidRPr="005C0340">
        <w:rPr>
          <w:sz w:val="24"/>
          <w:szCs w:val="24"/>
        </w:rPr>
        <w:t xml:space="preserve"> 4.6). Disse misdannelser menes at skyldes vaskulær forstyrrelse og nedsat blodforsyning til det udviklende embryo som følge af livmoderkontraktioner forårsaget af </w:t>
      </w:r>
      <w:proofErr w:type="spellStart"/>
      <w:r w:rsidRPr="005C0340">
        <w:rPr>
          <w:sz w:val="24"/>
          <w:szCs w:val="24"/>
        </w:rPr>
        <w:t>misoprostol</w:t>
      </w:r>
      <w:proofErr w:type="spellEnd"/>
      <w:r w:rsidRPr="005C0340">
        <w:rPr>
          <w:sz w:val="24"/>
          <w:szCs w:val="24"/>
        </w:rPr>
        <w:t xml:space="preserve"> anvendt til medicinsk svangerskabsafbrydelse.</w:t>
      </w:r>
    </w:p>
    <w:p w14:paraId="19F40D5E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2B18E03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0A1F224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6.</w:t>
      </w:r>
      <w:r w:rsidRPr="00D31F28">
        <w:rPr>
          <w:b/>
          <w:sz w:val="24"/>
          <w:szCs w:val="24"/>
        </w:rPr>
        <w:tab/>
        <w:t>FARMACEUTISKE OPLYSNINGER</w:t>
      </w:r>
    </w:p>
    <w:p w14:paraId="4FD31BE1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0E1678B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6.1</w:t>
      </w:r>
      <w:r w:rsidRPr="00D31F28">
        <w:rPr>
          <w:b/>
          <w:sz w:val="24"/>
          <w:szCs w:val="24"/>
        </w:rPr>
        <w:tab/>
        <w:t>Hjælpestoffer</w:t>
      </w:r>
    </w:p>
    <w:p w14:paraId="74701186" w14:textId="77777777" w:rsidR="005C0340" w:rsidRPr="005C0340" w:rsidRDefault="005C0340" w:rsidP="00D31F28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Hypromellose</w:t>
      </w:r>
      <w:proofErr w:type="spellEnd"/>
      <w:r w:rsidRPr="005C0340">
        <w:rPr>
          <w:sz w:val="24"/>
          <w:szCs w:val="24"/>
        </w:rPr>
        <w:t xml:space="preserve"> </w:t>
      </w:r>
    </w:p>
    <w:p w14:paraId="0A5D3932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Mikrokrystallinsk cellulose</w:t>
      </w:r>
    </w:p>
    <w:p w14:paraId="3567DBDA" w14:textId="77777777" w:rsidR="005C0340" w:rsidRPr="005C0340" w:rsidRDefault="005C0340" w:rsidP="00D31F28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Natriumstivelsesglycolat</w:t>
      </w:r>
      <w:proofErr w:type="spellEnd"/>
      <w:r w:rsidRPr="005C0340">
        <w:rPr>
          <w:sz w:val="24"/>
          <w:szCs w:val="24"/>
        </w:rPr>
        <w:t xml:space="preserve"> (type A)</w:t>
      </w:r>
    </w:p>
    <w:p w14:paraId="5D171CFB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ABFC138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6.2</w:t>
      </w:r>
      <w:r w:rsidRPr="00D31F28">
        <w:rPr>
          <w:b/>
          <w:sz w:val="24"/>
          <w:szCs w:val="24"/>
        </w:rPr>
        <w:tab/>
        <w:t>Uforligeligheder</w:t>
      </w:r>
    </w:p>
    <w:p w14:paraId="38F07C4F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Ikke relevant.</w:t>
      </w:r>
    </w:p>
    <w:p w14:paraId="69F9AC85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A5C5C6F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6.3</w:t>
      </w:r>
      <w:r w:rsidRPr="00D31F28">
        <w:rPr>
          <w:b/>
          <w:sz w:val="24"/>
          <w:szCs w:val="24"/>
        </w:rPr>
        <w:tab/>
        <w:t>Opbevaringstid</w:t>
      </w:r>
    </w:p>
    <w:p w14:paraId="2883FFF4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30 måneder.</w:t>
      </w:r>
    </w:p>
    <w:p w14:paraId="698D9CDA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8C75213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6.4</w:t>
      </w:r>
      <w:r w:rsidRPr="00D31F28">
        <w:rPr>
          <w:b/>
          <w:sz w:val="24"/>
          <w:szCs w:val="24"/>
        </w:rPr>
        <w:tab/>
        <w:t>Særlige opbevaringsforhold</w:t>
      </w:r>
    </w:p>
    <w:p w14:paraId="2FEC57E3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Opbevares i den originale yderpakning for at beskytte mod lys og fugt.</w:t>
      </w:r>
    </w:p>
    <w:p w14:paraId="18F47470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br/>
        <w:t>Der er ingen særlige krav vedrørende opbevaringstemperaturer for dette lægemiddel.</w:t>
      </w:r>
    </w:p>
    <w:p w14:paraId="73711BCB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5444211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6.5</w:t>
      </w:r>
      <w:r w:rsidRPr="00D31F28">
        <w:rPr>
          <w:b/>
          <w:sz w:val="24"/>
          <w:szCs w:val="24"/>
        </w:rPr>
        <w:tab/>
        <w:t>Emballagetype og pakningsstørrelser</w:t>
      </w:r>
    </w:p>
    <w:p w14:paraId="10AC0539" w14:textId="77777777" w:rsidR="005C0340" w:rsidRPr="005C0340" w:rsidRDefault="005C0340" w:rsidP="00D31F28">
      <w:pPr>
        <w:ind w:left="851"/>
        <w:rPr>
          <w:sz w:val="24"/>
          <w:szCs w:val="24"/>
        </w:rPr>
      </w:pPr>
      <w:proofErr w:type="spellStart"/>
      <w:r w:rsidRPr="005C0340">
        <w:rPr>
          <w:sz w:val="24"/>
          <w:szCs w:val="24"/>
        </w:rPr>
        <w:t>oPA</w:t>
      </w:r>
      <w:proofErr w:type="spellEnd"/>
      <w:r w:rsidRPr="005C0340">
        <w:rPr>
          <w:sz w:val="24"/>
          <w:szCs w:val="24"/>
        </w:rPr>
        <w:t>/</w:t>
      </w:r>
      <w:proofErr w:type="spellStart"/>
      <w:r w:rsidRPr="005C0340">
        <w:rPr>
          <w:sz w:val="24"/>
          <w:szCs w:val="24"/>
        </w:rPr>
        <w:t>Alu</w:t>
      </w:r>
      <w:proofErr w:type="spellEnd"/>
      <w:r w:rsidRPr="005C0340">
        <w:rPr>
          <w:sz w:val="24"/>
          <w:szCs w:val="24"/>
        </w:rPr>
        <w:t>/PVC//</w:t>
      </w:r>
      <w:proofErr w:type="spellStart"/>
      <w:r w:rsidRPr="005C0340">
        <w:rPr>
          <w:sz w:val="24"/>
          <w:szCs w:val="24"/>
        </w:rPr>
        <w:t>Alu</w:t>
      </w:r>
      <w:proofErr w:type="spellEnd"/>
      <w:r w:rsidRPr="005C0340">
        <w:rPr>
          <w:sz w:val="24"/>
          <w:szCs w:val="24"/>
        </w:rPr>
        <w:t xml:space="preserve"> blisterpakning indeholdende 8 tabletter.</w:t>
      </w:r>
    </w:p>
    <w:p w14:paraId="4E604805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EB7D164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6.6</w:t>
      </w:r>
      <w:r w:rsidRPr="00D31F28">
        <w:rPr>
          <w:b/>
          <w:sz w:val="24"/>
          <w:szCs w:val="24"/>
        </w:rPr>
        <w:tab/>
        <w:t xml:space="preserve">Regler for </w:t>
      </w:r>
      <w:r w:rsidR="00BD7931" w:rsidRPr="00D31F28">
        <w:rPr>
          <w:b/>
          <w:sz w:val="24"/>
          <w:szCs w:val="24"/>
        </w:rPr>
        <w:t>bortskaffelse</w:t>
      </w:r>
      <w:r w:rsidRPr="00D31F28">
        <w:rPr>
          <w:b/>
          <w:sz w:val="24"/>
          <w:szCs w:val="24"/>
        </w:rPr>
        <w:t xml:space="preserve"> og anden håndtering</w:t>
      </w:r>
    </w:p>
    <w:p w14:paraId="4C52F141" w14:textId="77777777" w:rsidR="005C0340" w:rsidRPr="005C0340" w:rsidRDefault="005C0340" w:rsidP="00D31F28">
      <w:pPr>
        <w:ind w:left="851"/>
        <w:rPr>
          <w:sz w:val="24"/>
          <w:szCs w:val="24"/>
        </w:rPr>
      </w:pPr>
      <w:r w:rsidRPr="005C0340">
        <w:rPr>
          <w:sz w:val="24"/>
          <w:szCs w:val="24"/>
        </w:rPr>
        <w:t>Ikke anvendt lægemiddel samt affald heraf skal bortskaffes i henhold til lokale retningslinjer.</w:t>
      </w:r>
    </w:p>
    <w:p w14:paraId="182F7ED2" w14:textId="77777777" w:rsidR="009260DE" w:rsidRPr="00D31F28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71210E76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7.</w:t>
      </w:r>
      <w:r w:rsidRPr="00D31F28">
        <w:rPr>
          <w:b/>
          <w:sz w:val="24"/>
          <w:szCs w:val="24"/>
        </w:rPr>
        <w:tab/>
        <w:t>INDEHAVER AF MARKEDSFØRINGSTILLADELSEN</w:t>
      </w:r>
    </w:p>
    <w:p w14:paraId="4781A2BB" w14:textId="77777777" w:rsidR="005A402C" w:rsidRPr="005A402C" w:rsidRDefault="005A402C" w:rsidP="005A402C">
      <w:pPr>
        <w:ind w:left="851"/>
        <w:rPr>
          <w:sz w:val="24"/>
          <w:szCs w:val="24"/>
        </w:rPr>
      </w:pPr>
      <w:bookmarkStart w:id="1" w:name="Modtager"/>
      <w:bookmarkEnd w:id="1"/>
      <w:proofErr w:type="spellStart"/>
      <w:r w:rsidRPr="005A402C">
        <w:rPr>
          <w:sz w:val="24"/>
          <w:szCs w:val="24"/>
        </w:rPr>
        <w:t>Afyx</w:t>
      </w:r>
      <w:proofErr w:type="spellEnd"/>
      <w:r w:rsidRPr="005A402C">
        <w:rPr>
          <w:sz w:val="24"/>
          <w:szCs w:val="24"/>
        </w:rPr>
        <w:t xml:space="preserve"> </w:t>
      </w:r>
      <w:proofErr w:type="spellStart"/>
      <w:r w:rsidRPr="005A402C">
        <w:rPr>
          <w:sz w:val="24"/>
          <w:szCs w:val="24"/>
        </w:rPr>
        <w:t>Therapeutics</w:t>
      </w:r>
      <w:proofErr w:type="spellEnd"/>
      <w:r w:rsidRPr="005A402C">
        <w:rPr>
          <w:sz w:val="24"/>
          <w:szCs w:val="24"/>
        </w:rPr>
        <w:t xml:space="preserve"> A/S</w:t>
      </w:r>
    </w:p>
    <w:p w14:paraId="5421761F" w14:textId="77777777" w:rsidR="005C0340" w:rsidRPr="005A402C" w:rsidRDefault="005C0340" w:rsidP="005A402C">
      <w:pPr>
        <w:ind w:left="851"/>
        <w:rPr>
          <w:sz w:val="24"/>
          <w:szCs w:val="24"/>
        </w:rPr>
      </w:pPr>
      <w:r w:rsidRPr="005A402C">
        <w:rPr>
          <w:sz w:val="24"/>
          <w:szCs w:val="24"/>
        </w:rPr>
        <w:t>Slotsmarken 11</w:t>
      </w:r>
    </w:p>
    <w:p w14:paraId="22BD6366" w14:textId="77777777" w:rsidR="005C0340" w:rsidRPr="005A402C" w:rsidRDefault="005C0340" w:rsidP="005A402C">
      <w:pPr>
        <w:ind w:left="851"/>
        <w:rPr>
          <w:sz w:val="24"/>
          <w:szCs w:val="24"/>
        </w:rPr>
      </w:pPr>
      <w:r w:rsidRPr="005A402C">
        <w:rPr>
          <w:sz w:val="24"/>
          <w:szCs w:val="24"/>
        </w:rPr>
        <w:t>2970 Hørsholm</w:t>
      </w:r>
    </w:p>
    <w:p w14:paraId="35EA20D4" w14:textId="77777777" w:rsidR="00641C65" w:rsidRPr="00D31F28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1FA36E9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8.</w:t>
      </w:r>
      <w:r w:rsidRPr="00D31F28">
        <w:rPr>
          <w:b/>
          <w:sz w:val="24"/>
          <w:szCs w:val="24"/>
        </w:rPr>
        <w:tab/>
        <w:t>MARKEDSFØRINGSTILLADELSESNUMMER (</w:t>
      </w:r>
      <w:r w:rsidR="00BF6243" w:rsidRPr="00D31F28">
        <w:rPr>
          <w:b/>
          <w:sz w:val="24"/>
          <w:szCs w:val="24"/>
        </w:rPr>
        <w:t>-</w:t>
      </w:r>
      <w:r w:rsidRPr="00D31F28">
        <w:rPr>
          <w:b/>
          <w:sz w:val="24"/>
          <w:szCs w:val="24"/>
        </w:rPr>
        <w:t>NUMRE)</w:t>
      </w:r>
    </w:p>
    <w:p w14:paraId="271976F1" w14:textId="5E4BA942" w:rsidR="009260DE" w:rsidRPr="00D31F28" w:rsidRDefault="005C0340" w:rsidP="009260DE">
      <w:pPr>
        <w:tabs>
          <w:tab w:val="left" w:pos="851"/>
        </w:tabs>
        <w:ind w:left="851"/>
        <w:rPr>
          <w:sz w:val="24"/>
          <w:szCs w:val="24"/>
        </w:rPr>
      </w:pPr>
      <w:r w:rsidRPr="00D31F28">
        <w:rPr>
          <w:sz w:val="24"/>
          <w:szCs w:val="24"/>
        </w:rPr>
        <w:t>71</w:t>
      </w:r>
      <w:r w:rsidR="00AC358A">
        <w:rPr>
          <w:sz w:val="24"/>
          <w:szCs w:val="24"/>
        </w:rPr>
        <w:t>340</w:t>
      </w:r>
    </w:p>
    <w:p w14:paraId="16F4BD6A" w14:textId="77777777" w:rsidR="009260DE" w:rsidRPr="00D31F28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46135862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9.</w:t>
      </w:r>
      <w:r w:rsidRPr="00D31F28">
        <w:rPr>
          <w:b/>
          <w:sz w:val="24"/>
          <w:szCs w:val="24"/>
        </w:rPr>
        <w:tab/>
        <w:t>DATO FOR FØRSTE MARKEDSFØRINGSTILLADELSE</w:t>
      </w:r>
    </w:p>
    <w:p w14:paraId="6F328F60" w14:textId="24D05F11" w:rsidR="009260DE" w:rsidRPr="00D31F28" w:rsidRDefault="00724860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18. maj 2026</w:t>
      </w:r>
    </w:p>
    <w:p w14:paraId="01B345AC" w14:textId="77777777" w:rsidR="009260DE" w:rsidRPr="00D31F28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5848B42" w14:textId="77777777" w:rsidR="009260DE" w:rsidRPr="00D31F28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D31F28">
        <w:rPr>
          <w:b/>
          <w:sz w:val="24"/>
          <w:szCs w:val="24"/>
        </w:rPr>
        <w:t>10.</w:t>
      </w:r>
      <w:r w:rsidRPr="00D31F28">
        <w:rPr>
          <w:b/>
          <w:sz w:val="24"/>
          <w:szCs w:val="24"/>
        </w:rPr>
        <w:tab/>
        <w:t>DATO FOR ÆNDRING AF TEKSTEN</w:t>
      </w:r>
    </w:p>
    <w:p w14:paraId="58DF5086" w14:textId="1A25A100" w:rsidR="009260DE" w:rsidRPr="00D31F28" w:rsidRDefault="005C0340" w:rsidP="009260DE">
      <w:pPr>
        <w:tabs>
          <w:tab w:val="left" w:pos="851"/>
        </w:tabs>
        <w:ind w:left="851"/>
        <w:rPr>
          <w:sz w:val="24"/>
          <w:szCs w:val="24"/>
        </w:rPr>
      </w:pPr>
      <w:r w:rsidRPr="00D31F28">
        <w:rPr>
          <w:sz w:val="24"/>
          <w:szCs w:val="24"/>
        </w:rPr>
        <w:t>-</w:t>
      </w:r>
    </w:p>
    <w:sectPr w:rsidR="009260DE" w:rsidRPr="00D31F28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F9023" w14:textId="77777777" w:rsidR="00FC5DA3" w:rsidRDefault="00FC5DA3">
      <w:r>
        <w:separator/>
      </w:r>
    </w:p>
  </w:endnote>
  <w:endnote w:type="continuationSeparator" w:id="0">
    <w:p w14:paraId="5505F8FF" w14:textId="77777777" w:rsidR="00FC5DA3" w:rsidRDefault="00FC5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A2EFB" w14:textId="77777777" w:rsidR="000259B9" w:rsidRDefault="000259B9">
    <w:pPr>
      <w:pStyle w:val="Sidefod"/>
      <w:pBdr>
        <w:bottom w:val="single" w:sz="6" w:space="1" w:color="auto"/>
      </w:pBdr>
    </w:pPr>
  </w:p>
  <w:p w14:paraId="1E693498" w14:textId="77777777" w:rsidR="000259B9" w:rsidRDefault="000259B9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451363CA" w14:textId="26F915D0" w:rsidR="000259B9" w:rsidRPr="00B373D7" w:rsidRDefault="00782AF4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="000259B9"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78037E">
      <w:rPr>
        <w:i/>
        <w:noProof/>
        <w:sz w:val="18"/>
        <w:szCs w:val="18"/>
      </w:rPr>
      <w:t>Gyxiny, tabletter 25 mikrogram.docx</w:t>
    </w:r>
    <w:r w:rsidRPr="00B373D7">
      <w:rPr>
        <w:i/>
        <w:sz w:val="18"/>
        <w:szCs w:val="18"/>
      </w:rPr>
      <w:fldChar w:fldCharType="end"/>
    </w:r>
    <w:r w:rsidR="000259B9"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="000259B9"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="000259B9"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 w:rsidR="00C60CCD"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C3B1" w14:textId="77777777" w:rsidR="00FC5DA3" w:rsidRDefault="00FC5DA3">
      <w:r>
        <w:separator/>
      </w:r>
    </w:p>
  </w:footnote>
  <w:footnote w:type="continuationSeparator" w:id="0">
    <w:p w14:paraId="6EFB17F5" w14:textId="77777777" w:rsidR="00FC5DA3" w:rsidRDefault="00FC5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91A45"/>
    <w:multiLevelType w:val="hybridMultilevel"/>
    <w:tmpl w:val="EE1675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17EE7"/>
    <w:multiLevelType w:val="hybridMultilevel"/>
    <w:tmpl w:val="C416019E"/>
    <w:lvl w:ilvl="0" w:tplc="DDB02FE4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5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674643BD"/>
    <w:multiLevelType w:val="hybridMultilevel"/>
    <w:tmpl w:val="F100559C"/>
    <w:lvl w:ilvl="0" w:tplc="B1D23A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03917"/>
    <w:multiLevelType w:val="hybridMultilevel"/>
    <w:tmpl w:val="B20E5DCA"/>
    <w:lvl w:ilvl="0" w:tplc="B1D23AB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1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598134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2290773">
    <w:abstractNumId w:val="6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4391602">
    <w:abstractNumId w:val="3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5290555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262124">
    <w:abstractNumId w:val="0"/>
  </w:num>
  <w:num w:numId="7" w16cid:durableId="792945449">
    <w:abstractNumId w:val="1"/>
  </w:num>
  <w:num w:numId="8" w16cid:durableId="1476877460">
    <w:abstractNumId w:val="7"/>
  </w:num>
  <w:num w:numId="9" w16cid:durableId="4887152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DA3"/>
    <w:rsid w:val="000259B9"/>
    <w:rsid w:val="00041491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157C76"/>
    <w:rsid w:val="00206CE8"/>
    <w:rsid w:val="0021526C"/>
    <w:rsid w:val="00264267"/>
    <w:rsid w:val="00283A2B"/>
    <w:rsid w:val="002B30AD"/>
    <w:rsid w:val="002C1EC0"/>
    <w:rsid w:val="002C2C01"/>
    <w:rsid w:val="003A29AE"/>
    <w:rsid w:val="003A32D7"/>
    <w:rsid w:val="003B4074"/>
    <w:rsid w:val="003C769A"/>
    <w:rsid w:val="003D3A90"/>
    <w:rsid w:val="003E102B"/>
    <w:rsid w:val="003F1838"/>
    <w:rsid w:val="004251C1"/>
    <w:rsid w:val="0045746C"/>
    <w:rsid w:val="0049104B"/>
    <w:rsid w:val="004E3B12"/>
    <w:rsid w:val="00532310"/>
    <w:rsid w:val="00565F0F"/>
    <w:rsid w:val="00594A86"/>
    <w:rsid w:val="00596D86"/>
    <w:rsid w:val="005A402C"/>
    <w:rsid w:val="005C0340"/>
    <w:rsid w:val="00637F5A"/>
    <w:rsid w:val="00641C65"/>
    <w:rsid w:val="006560B1"/>
    <w:rsid w:val="006756DD"/>
    <w:rsid w:val="0067750B"/>
    <w:rsid w:val="0071241E"/>
    <w:rsid w:val="00724860"/>
    <w:rsid w:val="00737275"/>
    <w:rsid w:val="00740EEC"/>
    <w:rsid w:val="0078011A"/>
    <w:rsid w:val="0078037E"/>
    <w:rsid w:val="00782AF4"/>
    <w:rsid w:val="00790EE7"/>
    <w:rsid w:val="007B6649"/>
    <w:rsid w:val="0082576E"/>
    <w:rsid w:val="0089346F"/>
    <w:rsid w:val="008A268C"/>
    <w:rsid w:val="00907F75"/>
    <w:rsid w:val="009260DE"/>
    <w:rsid w:val="0093258A"/>
    <w:rsid w:val="00940955"/>
    <w:rsid w:val="009C7BA3"/>
    <w:rsid w:val="009D1F5A"/>
    <w:rsid w:val="00A10294"/>
    <w:rsid w:val="00AC358A"/>
    <w:rsid w:val="00B003BF"/>
    <w:rsid w:val="00B373D7"/>
    <w:rsid w:val="00B55271"/>
    <w:rsid w:val="00B82979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1F28"/>
    <w:rsid w:val="00D34D98"/>
    <w:rsid w:val="00D366CF"/>
    <w:rsid w:val="00D93992"/>
    <w:rsid w:val="00E108AA"/>
    <w:rsid w:val="00E3749A"/>
    <w:rsid w:val="00E7437F"/>
    <w:rsid w:val="00E865B8"/>
    <w:rsid w:val="00EC0B9B"/>
    <w:rsid w:val="00ED5E9F"/>
    <w:rsid w:val="00F66D4F"/>
    <w:rsid w:val="00FB6D01"/>
    <w:rsid w:val="00FC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7711B"/>
  <w15:chartTrackingRefBased/>
  <w15:docId w15:val="{9A72B902-FAD4-4CE0-B6B4-2E0ADAEA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Kommentartekst">
    <w:name w:val="annotation text"/>
    <w:basedOn w:val="Normal"/>
    <w:link w:val="KommentartekstTegn"/>
    <w:semiHidden/>
    <w:rsid w:val="00790EE7"/>
    <w:rPr>
      <w:sz w:val="20"/>
      <w:lang w:eastAsia="da-DK"/>
    </w:rPr>
  </w:style>
  <w:style w:type="paragraph" w:styleId="Sidehoved">
    <w:name w:val="header"/>
    <w:basedOn w:val="Normal"/>
    <w:link w:val="SidehovedTegn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styleId="Kommentarhenvisning">
    <w:name w:val="annotation reference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semiHidden/>
    <w:rsid w:val="00790EE7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C42586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C42586"/>
  </w:style>
  <w:style w:type="character" w:customStyle="1" w:styleId="KommentartekstTegn">
    <w:name w:val="Kommentartekst Tegn"/>
    <w:basedOn w:val="Standardskrifttypeiafsnit"/>
    <w:link w:val="Kommentartekst"/>
    <w:semiHidden/>
    <w:rsid w:val="00B003BF"/>
  </w:style>
  <w:style w:type="character" w:customStyle="1" w:styleId="SidehovedTegn">
    <w:name w:val="Sidehoved Tegn"/>
    <w:link w:val="Sidehoved"/>
    <w:rsid w:val="00B003BF"/>
    <w:rPr>
      <w:sz w:val="24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table" w:styleId="Tabel-Gitter">
    <w:name w:val="Table Grid"/>
    <w:basedOn w:val="Tabel-Normal"/>
    <w:uiPriority w:val="39"/>
    <w:rsid w:val="005C0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C0340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5C03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61</TotalTime>
  <Pages>10</Pages>
  <Words>3216</Words>
  <Characters>20038</Characters>
  <Application>Microsoft Office Word</Application>
  <DocSecurity>0</DocSecurity>
  <Lines>166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2024030974, MT</dc:description>
  <cp:lastModifiedBy>Gitte Jørgensen</cp:lastModifiedBy>
  <cp:revision>9</cp:revision>
  <cp:lastPrinted>2012-08-22T08:53:00Z</cp:lastPrinted>
  <dcterms:created xsi:type="dcterms:W3CDTF">2026-05-18T06:52:00Z</dcterms:created>
  <dcterms:modified xsi:type="dcterms:W3CDTF">2026-05-18T09:01:00Z</dcterms:modified>
</cp:coreProperties>
</file>