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98A7" w14:textId="77777777" w:rsidR="004A3BF4" w:rsidRPr="00497000" w:rsidRDefault="00056601" w:rsidP="004A3BF4">
      <w:pPr>
        <w:rPr>
          <w:sz w:val="24"/>
          <w:szCs w:val="24"/>
          <w:lang w:val="en-GB"/>
        </w:rPr>
      </w:pPr>
      <w:bookmarkStart w:id="0" w:name="_GoBack"/>
      <w:bookmarkEnd w:id="0"/>
      <w:r w:rsidRPr="00497000">
        <w:rPr>
          <w:noProof/>
          <w:sz w:val="24"/>
          <w:szCs w:val="24"/>
          <w:lang w:val="en-GB"/>
        </w:rPr>
        <w:drawing>
          <wp:inline distT="0" distB="0" distL="0" distR="0" wp14:anchorId="46C84598" wp14:editId="0C22BE5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8610B18" w14:textId="77777777" w:rsidR="006B3847" w:rsidRPr="00497000" w:rsidRDefault="006B3847" w:rsidP="006B3847">
      <w:pPr>
        <w:rPr>
          <w:sz w:val="24"/>
          <w:szCs w:val="24"/>
          <w:lang w:val="en-GB"/>
        </w:rPr>
      </w:pPr>
    </w:p>
    <w:p w14:paraId="6DF37C0C" w14:textId="03C51E8D" w:rsidR="006B3847" w:rsidRPr="00497000" w:rsidRDefault="006B3847" w:rsidP="006B3847">
      <w:pPr>
        <w:tabs>
          <w:tab w:val="right" w:pos="9356"/>
        </w:tabs>
        <w:rPr>
          <w:b/>
          <w:sz w:val="24"/>
          <w:szCs w:val="24"/>
          <w:lang w:val="en-GB"/>
        </w:rPr>
      </w:pPr>
      <w:r w:rsidRPr="00497000">
        <w:rPr>
          <w:b/>
          <w:sz w:val="24"/>
          <w:szCs w:val="24"/>
          <w:lang w:val="en-GB"/>
        </w:rPr>
        <w:tab/>
      </w:r>
      <w:r w:rsidR="002922BC">
        <w:rPr>
          <w:b/>
          <w:sz w:val="24"/>
          <w:szCs w:val="24"/>
          <w:lang w:val="en-GB"/>
        </w:rPr>
        <w:t>23 June 2025</w:t>
      </w:r>
    </w:p>
    <w:p w14:paraId="30EABA84" w14:textId="77777777" w:rsidR="006B3847" w:rsidRPr="00497000" w:rsidRDefault="006B3847" w:rsidP="006B3847">
      <w:pPr>
        <w:rPr>
          <w:sz w:val="24"/>
          <w:szCs w:val="24"/>
          <w:lang w:val="en-GB"/>
        </w:rPr>
      </w:pPr>
    </w:p>
    <w:p w14:paraId="380231FF" w14:textId="77777777" w:rsidR="007C5D2A" w:rsidRPr="00497000" w:rsidRDefault="007C5D2A" w:rsidP="007C5D2A">
      <w:pPr>
        <w:rPr>
          <w:sz w:val="24"/>
          <w:szCs w:val="24"/>
          <w:lang w:val="en-GB"/>
        </w:rPr>
      </w:pPr>
    </w:p>
    <w:p w14:paraId="4744C786" w14:textId="77777777" w:rsidR="007C5D2A" w:rsidRPr="00497000" w:rsidRDefault="007C5D2A" w:rsidP="007C5D2A">
      <w:pPr>
        <w:rPr>
          <w:sz w:val="24"/>
          <w:szCs w:val="24"/>
          <w:lang w:val="en-GB"/>
        </w:rPr>
      </w:pPr>
    </w:p>
    <w:p w14:paraId="34A728E3" w14:textId="77777777" w:rsidR="007C5D2A" w:rsidRPr="00497000" w:rsidRDefault="007C5D2A" w:rsidP="007C5D2A">
      <w:pPr>
        <w:jc w:val="center"/>
        <w:rPr>
          <w:b/>
          <w:sz w:val="24"/>
          <w:szCs w:val="24"/>
          <w:lang w:val="en-GB"/>
        </w:rPr>
      </w:pPr>
      <w:bookmarkStart w:id="1" w:name="_Hlk49158549"/>
      <w:r w:rsidRPr="00497000">
        <w:rPr>
          <w:b/>
          <w:sz w:val="24"/>
          <w:szCs w:val="24"/>
          <w:lang w:val="en-GB"/>
        </w:rPr>
        <w:t>SUMMARY OF PRODUCT CHARACTERISTICS</w:t>
      </w:r>
    </w:p>
    <w:bookmarkEnd w:id="1"/>
    <w:p w14:paraId="0BD851B4" w14:textId="77777777" w:rsidR="007C5D2A" w:rsidRPr="00497000" w:rsidRDefault="007C5D2A" w:rsidP="007C5D2A">
      <w:pPr>
        <w:jc w:val="center"/>
        <w:rPr>
          <w:sz w:val="24"/>
          <w:szCs w:val="24"/>
          <w:lang w:val="en-GB"/>
        </w:rPr>
      </w:pPr>
    </w:p>
    <w:p w14:paraId="04C31394" w14:textId="77777777" w:rsidR="007C5D2A" w:rsidRPr="00497000" w:rsidRDefault="007C5D2A" w:rsidP="007C5D2A">
      <w:pPr>
        <w:jc w:val="center"/>
        <w:rPr>
          <w:b/>
          <w:sz w:val="24"/>
          <w:szCs w:val="24"/>
          <w:lang w:val="en-GB"/>
        </w:rPr>
      </w:pPr>
      <w:r w:rsidRPr="00497000">
        <w:rPr>
          <w:b/>
          <w:sz w:val="24"/>
          <w:szCs w:val="24"/>
          <w:lang w:val="en-GB"/>
        </w:rPr>
        <w:t>for</w:t>
      </w:r>
    </w:p>
    <w:p w14:paraId="4AD2B62F" w14:textId="77777777" w:rsidR="007C5D2A" w:rsidRPr="00497000" w:rsidRDefault="007C5D2A" w:rsidP="007C5D2A">
      <w:pPr>
        <w:jc w:val="center"/>
        <w:rPr>
          <w:sz w:val="24"/>
          <w:szCs w:val="24"/>
          <w:lang w:val="en-GB"/>
        </w:rPr>
      </w:pPr>
    </w:p>
    <w:p w14:paraId="10A4035E" w14:textId="7039F18B" w:rsidR="007C5D2A" w:rsidRPr="00497000" w:rsidRDefault="004E2863" w:rsidP="007C5D2A">
      <w:pPr>
        <w:jc w:val="center"/>
        <w:rPr>
          <w:b/>
          <w:sz w:val="24"/>
          <w:szCs w:val="24"/>
          <w:lang w:val="en-GB"/>
        </w:rPr>
      </w:pPr>
      <w:r w:rsidRPr="00497000">
        <w:rPr>
          <w:b/>
          <w:sz w:val="24"/>
          <w:szCs w:val="24"/>
          <w:lang w:val="en-GB"/>
        </w:rPr>
        <w:t>Hasgobusno, film-coated tablets</w:t>
      </w:r>
    </w:p>
    <w:p w14:paraId="7F21DBE6" w14:textId="77777777" w:rsidR="007C5D2A" w:rsidRPr="00497000" w:rsidRDefault="007C5D2A" w:rsidP="007C5D2A">
      <w:pPr>
        <w:jc w:val="both"/>
        <w:rPr>
          <w:sz w:val="24"/>
          <w:szCs w:val="24"/>
          <w:lang w:val="en-GB"/>
        </w:rPr>
      </w:pPr>
    </w:p>
    <w:p w14:paraId="50FE13F2" w14:textId="77777777" w:rsidR="0042292D" w:rsidRPr="00497000" w:rsidRDefault="0042292D" w:rsidP="007C5D2A">
      <w:pPr>
        <w:jc w:val="both"/>
        <w:rPr>
          <w:sz w:val="24"/>
          <w:szCs w:val="24"/>
          <w:lang w:val="en-GB"/>
        </w:rPr>
      </w:pPr>
    </w:p>
    <w:p w14:paraId="3E4FFB76" w14:textId="77777777" w:rsidR="008F2F8C" w:rsidRPr="00497000" w:rsidRDefault="008F2F8C" w:rsidP="008F2F8C">
      <w:pPr>
        <w:tabs>
          <w:tab w:val="left" w:pos="8222"/>
        </w:tabs>
        <w:ind w:left="851" w:hanging="851"/>
        <w:rPr>
          <w:b/>
          <w:sz w:val="24"/>
          <w:szCs w:val="24"/>
          <w:lang w:val="en-GB"/>
        </w:rPr>
      </w:pPr>
      <w:r w:rsidRPr="00497000">
        <w:rPr>
          <w:b/>
          <w:sz w:val="24"/>
          <w:szCs w:val="24"/>
          <w:lang w:val="en-GB"/>
        </w:rPr>
        <w:t>0.</w:t>
      </w:r>
      <w:r w:rsidRPr="00497000">
        <w:rPr>
          <w:b/>
          <w:sz w:val="24"/>
          <w:szCs w:val="24"/>
          <w:lang w:val="en-GB"/>
        </w:rPr>
        <w:tab/>
      </w:r>
      <w:proofErr w:type="gramStart"/>
      <w:r w:rsidRPr="00497000">
        <w:rPr>
          <w:b/>
          <w:sz w:val="24"/>
          <w:szCs w:val="24"/>
          <w:lang w:val="en-GB"/>
        </w:rPr>
        <w:t>D.SP.NO</w:t>
      </w:r>
      <w:proofErr w:type="gramEnd"/>
      <w:r w:rsidRPr="00497000">
        <w:rPr>
          <w:b/>
          <w:sz w:val="24"/>
          <w:szCs w:val="24"/>
          <w:lang w:val="en-GB"/>
        </w:rPr>
        <w:t>.</w:t>
      </w:r>
    </w:p>
    <w:p w14:paraId="1D6EC1D3" w14:textId="4AC9D7ED" w:rsidR="008F2F8C" w:rsidRPr="00497000" w:rsidRDefault="004E2863" w:rsidP="008F2F8C">
      <w:pPr>
        <w:tabs>
          <w:tab w:val="left" w:pos="8222"/>
        </w:tabs>
        <w:ind w:left="851"/>
        <w:rPr>
          <w:sz w:val="24"/>
          <w:szCs w:val="24"/>
          <w:lang w:val="en-GB"/>
        </w:rPr>
      </w:pPr>
      <w:r w:rsidRPr="00497000">
        <w:rPr>
          <w:sz w:val="24"/>
          <w:szCs w:val="24"/>
          <w:lang w:val="en-GB"/>
        </w:rPr>
        <w:t>33424</w:t>
      </w:r>
    </w:p>
    <w:p w14:paraId="3D0E7AF8" w14:textId="77777777" w:rsidR="007C5D2A" w:rsidRPr="00497000" w:rsidRDefault="007C5D2A" w:rsidP="007C5D2A">
      <w:pPr>
        <w:tabs>
          <w:tab w:val="left" w:pos="851"/>
        </w:tabs>
        <w:jc w:val="both"/>
        <w:rPr>
          <w:sz w:val="24"/>
          <w:szCs w:val="24"/>
          <w:lang w:val="en-GB"/>
        </w:rPr>
      </w:pPr>
    </w:p>
    <w:p w14:paraId="6F904239" w14:textId="77777777" w:rsidR="007C5D2A" w:rsidRPr="00497000" w:rsidRDefault="009925C9" w:rsidP="007C5D2A">
      <w:pPr>
        <w:tabs>
          <w:tab w:val="left" w:pos="851"/>
        </w:tabs>
        <w:ind w:left="851" w:hanging="851"/>
        <w:rPr>
          <w:sz w:val="24"/>
          <w:szCs w:val="24"/>
          <w:lang w:val="en-GB"/>
        </w:rPr>
      </w:pPr>
      <w:r w:rsidRPr="00497000">
        <w:rPr>
          <w:b/>
          <w:sz w:val="24"/>
          <w:szCs w:val="24"/>
          <w:lang w:val="en-GB"/>
        </w:rPr>
        <w:t>1.</w:t>
      </w:r>
      <w:r w:rsidR="007C5D2A" w:rsidRPr="00497000">
        <w:rPr>
          <w:b/>
          <w:sz w:val="24"/>
          <w:szCs w:val="24"/>
          <w:lang w:val="en-GB"/>
        </w:rPr>
        <w:tab/>
        <w:t>NAME OF THE MEDICINAL PRODUCT</w:t>
      </w:r>
    </w:p>
    <w:p w14:paraId="0C498583" w14:textId="201ED58C" w:rsidR="007C5D2A" w:rsidRPr="00497000" w:rsidRDefault="004E2863" w:rsidP="004A3BF4">
      <w:pPr>
        <w:tabs>
          <w:tab w:val="left" w:pos="851"/>
        </w:tabs>
        <w:ind w:left="851"/>
        <w:rPr>
          <w:sz w:val="24"/>
          <w:szCs w:val="24"/>
          <w:lang w:val="en-GB"/>
        </w:rPr>
      </w:pPr>
      <w:r w:rsidRPr="00497000">
        <w:rPr>
          <w:sz w:val="24"/>
          <w:szCs w:val="24"/>
          <w:lang w:val="en-GB"/>
        </w:rPr>
        <w:t>Hasgobusno</w:t>
      </w:r>
    </w:p>
    <w:p w14:paraId="7B93AF5A" w14:textId="77777777" w:rsidR="007C5D2A" w:rsidRPr="00497000" w:rsidRDefault="007C5D2A" w:rsidP="004A3BF4">
      <w:pPr>
        <w:tabs>
          <w:tab w:val="left" w:pos="851"/>
        </w:tabs>
        <w:ind w:left="851"/>
        <w:rPr>
          <w:sz w:val="24"/>
          <w:szCs w:val="24"/>
          <w:lang w:val="en-GB"/>
        </w:rPr>
      </w:pPr>
    </w:p>
    <w:p w14:paraId="6BBB1BCF" w14:textId="77777777" w:rsidR="007C5D2A" w:rsidRPr="00497000" w:rsidRDefault="009925C9" w:rsidP="007C5D2A">
      <w:pPr>
        <w:ind w:left="851" w:hanging="851"/>
        <w:rPr>
          <w:b/>
          <w:sz w:val="24"/>
          <w:szCs w:val="24"/>
          <w:lang w:val="en-GB"/>
        </w:rPr>
      </w:pPr>
      <w:r w:rsidRPr="00497000">
        <w:rPr>
          <w:b/>
          <w:sz w:val="24"/>
          <w:szCs w:val="24"/>
          <w:lang w:val="en-GB"/>
        </w:rPr>
        <w:t>2.</w:t>
      </w:r>
      <w:r w:rsidR="007C5D2A" w:rsidRPr="00497000">
        <w:rPr>
          <w:b/>
          <w:sz w:val="24"/>
          <w:szCs w:val="24"/>
          <w:lang w:val="en-GB"/>
        </w:rPr>
        <w:tab/>
        <w:t>QUALITATIVE AND QUANTITATIVE COMPOSITION</w:t>
      </w:r>
    </w:p>
    <w:p w14:paraId="2F66F03F" w14:textId="77777777" w:rsidR="00497000" w:rsidRDefault="00497000" w:rsidP="00A414A5">
      <w:pPr>
        <w:ind w:left="851"/>
        <w:rPr>
          <w:sz w:val="24"/>
          <w:szCs w:val="24"/>
          <w:lang w:val="en-US"/>
        </w:rPr>
      </w:pPr>
    </w:p>
    <w:p w14:paraId="69335A51" w14:textId="73737546" w:rsidR="00DC0FE7" w:rsidRPr="00497000" w:rsidRDefault="00497000" w:rsidP="00A414A5">
      <w:pPr>
        <w:ind w:left="851"/>
        <w:rPr>
          <w:sz w:val="24"/>
          <w:szCs w:val="24"/>
          <w:u w:val="single"/>
          <w:lang w:val="en-US"/>
        </w:rPr>
      </w:pPr>
      <w:r w:rsidRPr="00497000">
        <w:rPr>
          <w:sz w:val="24"/>
          <w:szCs w:val="24"/>
          <w:u w:val="single"/>
          <w:lang w:val="en-US"/>
        </w:rPr>
        <w:t>Hasgobusno</w:t>
      </w:r>
      <w:r w:rsidR="00DC0FE7" w:rsidRPr="00497000">
        <w:rPr>
          <w:sz w:val="24"/>
          <w:szCs w:val="24"/>
          <w:u w:val="single"/>
          <w:lang w:val="en-US"/>
        </w:rPr>
        <w:t xml:space="preserve"> 20 mg film-coated tablets </w:t>
      </w:r>
    </w:p>
    <w:p w14:paraId="721CC870" w14:textId="77777777" w:rsidR="00DC0FE7" w:rsidRPr="00497000" w:rsidRDefault="00DC0FE7" w:rsidP="00A414A5">
      <w:pPr>
        <w:ind w:left="851"/>
        <w:rPr>
          <w:sz w:val="24"/>
          <w:szCs w:val="24"/>
          <w:lang w:val="en-US"/>
        </w:rPr>
      </w:pPr>
      <w:r w:rsidRPr="00497000">
        <w:rPr>
          <w:sz w:val="24"/>
          <w:szCs w:val="24"/>
          <w:lang w:val="en-US"/>
        </w:rPr>
        <w:t xml:space="preserve">Each film-coated tablet contains 25.34 mg of cabozantinib (S)-malate equivalent to 20 mg cabozantinib. </w:t>
      </w:r>
    </w:p>
    <w:p w14:paraId="554269EC" w14:textId="77777777" w:rsidR="00DC0FE7" w:rsidRPr="00497000" w:rsidRDefault="00DC0FE7" w:rsidP="00A414A5">
      <w:pPr>
        <w:ind w:left="851"/>
        <w:rPr>
          <w:sz w:val="24"/>
          <w:szCs w:val="24"/>
          <w:lang w:val="en-US"/>
        </w:rPr>
      </w:pPr>
    </w:p>
    <w:p w14:paraId="6FE658AD" w14:textId="77777777" w:rsidR="00DC0FE7" w:rsidRPr="00497000" w:rsidRDefault="00DC0FE7" w:rsidP="00A414A5">
      <w:pPr>
        <w:ind w:left="851"/>
        <w:rPr>
          <w:i/>
          <w:sz w:val="24"/>
          <w:szCs w:val="24"/>
          <w:u w:val="single"/>
          <w:lang w:val="en-US"/>
        </w:rPr>
      </w:pPr>
      <w:r w:rsidRPr="00497000">
        <w:rPr>
          <w:i/>
          <w:sz w:val="24"/>
          <w:szCs w:val="24"/>
          <w:u w:val="single"/>
          <w:lang w:val="en-US"/>
        </w:rPr>
        <w:t xml:space="preserve">Excipients with known effect </w:t>
      </w:r>
    </w:p>
    <w:p w14:paraId="72E4CBCC" w14:textId="77777777" w:rsidR="00DC0FE7" w:rsidRPr="00497000" w:rsidRDefault="00DC0FE7" w:rsidP="00A414A5">
      <w:pPr>
        <w:ind w:left="851"/>
        <w:rPr>
          <w:sz w:val="24"/>
          <w:szCs w:val="24"/>
          <w:lang w:val="en-US"/>
        </w:rPr>
      </w:pPr>
      <w:r w:rsidRPr="00497000">
        <w:rPr>
          <w:sz w:val="24"/>
          <w:szCs w:val="24"/>
          <w:lang w:val="en-US"/>
        </w:rPr>
        <w:t>Each film-coated tablet contains 12.4 mg lactose.</w:t>
      </w:r>
    </w:p>
    <w:p w14:paraId="03AE57BF" w14:textId="77777777" w:rsidR="00DC0FE7" w:rsidRPr="00497000" w:rsidRDefault="00DC0FE7" w:rsidP="00A414A5">
      <w:pPr>
        <w:ind w:left="851"/>
        <w:rPr>
          <w:sz w:val="24"/>
          <w:szCs w:val="24"/>
          <w:lang w:val="en-US"/>
        </w:rPr>
      </w:pPr>
    </w:p>
    <w:p w14:paraId="5268FC2C" w14:textId="44BFC238" w:rsidR="00DC0FE7" w:rsidRPr="00497000" w:rsidRDefault="00497000" w:rsidP="00A414A5">
      <w:pPr>
        <w:ind w:left="851"/>
        <w:rPr>
          <w:sz w:val="24"/>
          <w:szCs w:val="24"/>
          <w:u w:val="single"/>
          <w:lang w:val="en-US"/>
        </w:rPr>
      </w:pPr>
      <w:r w:rsidRPr="00497000">
        <w:rPr>
          <w:sz w:val="24"/>
          <w:szCs w:val="24"/>
          <w:u w:val="single"/>
          <w:lang w:val="en-US"/>
        </w:rPr>
        <w:t>Hasgobusno</w:t>
      </w:r>
      <w:r w:rsidR="00DC0FE7" w:rsidRPr="00497000">
        <w:rPr>
          <w:sz w:val="24"/>
          <w:szCs w:val="24"/>
          <w:u w:val="single"/>
          <w:lang w:val="en-US"/>
        </w:rPr>
        <w:t xml:space="preserve"> 40 mg film-coated tablets </w:t>
      </w:r>
    </w:p>
    <w:p w14:paraId="209F1042" w14:textId="77777777" w:rsidR="00DC0FE7" w:rsidRPr="00497000" w:rsidRDefault="00DC0FE7" w:rsidP="00A414A5">
      <w:pPr>
        <w:ind w:left="851"/>
        <w:rPr>
          <w:sz w:val="24"/>
          <w:szCs w:val="24"/>
          <w:lang w:val="en-US"/>
        </w:rPr>
      </w:pPr>
      <w:r w:rsidRPr="00497000">
        <w:rPr>
          <w:sz w:val="24"/>
          <w:szCs w:val="24"/>
          <w:lang w:val="en-US"/>
        </w:rPr>
        <w:t xml:space="preserve">Each film-coated tablet contains 50.68 mg of cabozantinib (S)-malate equivalent to 40 mg cabozantinib. </w:t>
      </w:r>
    </w:p>
    <w:p w14:paraId="113F7983" w14:textId="77777777" w:rsidR="00DC0FE7" w:rsidRPr="00497000" w:rsidRDefault="00DC0FE7" w:rsidP="00A414A5">
      <w:pPr>
        <w:ind w:left="851"/>
        <w:rPr>
          <w:sz w:val="24"/>
          <w:szCs w:val="24"/>
          <w:lang w:val="en-US"/>
        </w:rPr>
      </w:pPr>
    </w:p>
    <w:p w14:paraId="4B255FA5" w14:textId="77777777" w:rsidR="00DC0FE7" w:rsidRPr="00497000" w:rsidRDefault="00DC0FE7" w:rsidP="00A414A5">
      <w:pPr>
        <w:ind w:left="851"/>
        <w:rPr>
          <w:i/>
          <w:sz w:val="24"/>
          <w:szCs w:val="24"/>
          <w:u w:val="single"/>
          <w:lang w:val="en-US"/>
        </w:rPr>
      </w:pPr>
      <w:r w:rsidRPr="00497000">
        <w:rPr>
          <w:i/>
          <w:sz w:val="24"/>
          <w:szCs w:val="24"/>
          <w:u w:val="single"/>
          <w:lang w:val="en-US"/>
        </w:rPr>
        <w:t xml:space="preserve">Excipients with known effect </w:t>
      </w:r>
    </w:p>
    <w:p w14:paraId="73D31A99" w14:textId="77777777" w:rsidR="00DC0FE7" w:rsidRPr="00497000" w:rsidRDefault="00DC0FE7" w:rsidP="00A414A5">
      <w:pPr>
        <w:ind w:left="851"/>
        <w:rPr>
          <w:sz w:val="24"/>
          <w:szCs w:val="24"/>
          <w:lang w:val="en-US"/>
        </w:rPr>
      </w:pPr>
      <w:r w:rsidRPr="00497000">
        <w:rPr>
          <w:sz w:val="24"/>
          <w:szCs w:val="24"/>
          <w:lang w:val="en-US"/>
        </w:rPr>
        <w:t xml:space="preserve">Each film-coated tablet contains 24.80 mg lactose. </w:t>
      </w:r>
    </w:p>
    <w:p w14:paraId="7DA23066" w14:textId="77777777" w:rsidR="00DC0FE7" w:rsidRPr="00497000" w:rsidRDefault="00DC0FE7" w:rsidP="00A414A5">
      <w:pPr>
        <w:ind w:left="851"/>
        <w:rPr>
          <w:sz w:val="24"/>
          <w:szCs w:val="24"/>
          <w:lang w:val="en-US"/>
        </w:rPr>
      </w:pPr>
    </w:p>
    <w:p w14:paraId="5227C7B8" w14:textId="63C2F501" w:rsidR="00DC0FE7" w:rsidRPr="00497000" w:rsidRDefault="00497000" w:rsidP="00A414A5">
      <w:pPr>
        <w:ind w:left="851"/>
        <w:rPr>
          <w:sz w:val="24"/>
          <w:szCs w:val="24"/>
          <w:u w:val="single"/>
          <w:lang w:val="en-US"/>
        </w:rPr>
      </w:pPr>
      <w:r w:rsidRPr="00497000">
        <w:rPr>
          <w:sz w:val="24"/>
          <w:szCs w:val="24"/>
          <w:u w:val="single"/>
          <w:lang w:val="en-US"/>
        </w:rPr>
        <w:t>Hasgobusno</w:t>
      </w:r>
      <w:r w:rsidR="00DC0FE7" w:rsidRPr="00497000">
        <w:rPr>
          <w:sz w:val="24"/>
          <w:szCs w:val="24"/>
          <w:u w:val="single"/>
          <w:lang w:val="en-US"/>
        </w:rPr>
        <w:t xml:space="preserve"> 60 mg film-coated tablets </w:t>
      </w:r>
    </w:p>
    <w:p w14:paraId="5B25B1B0" w14:textId="77777777" w:rsidR="00DC0FE7" w:rsidRPr="00497000" w:rsidRDefault="00DC0FE7" w:rsidP="00A414A5">
      <w:pPr>
        <w:ind w:left="851"/>
        <w:rPr>
          <w:sz w:val="24"/>
          <w:szCs w:val="24"/>
          <w:lang w:val="en-US"/>
        </w:rPr>
      </w:pPr>
      <w:r w:rsidRPr="00497000">
        <w:rPr>
          <w:sz w:val="24"/>
          <w:szCs w:val="24"/>
          <w:lang w:val="en-US"/>
        </w:rPr>
        <w:t xml:space="preserve">Each film-coated tablet contains 76.02 mg of cabozantinib (S)-malate equivalent to 60 mg cabozantinib. </w:t>
      </w:r>
    </w:p>
    <w:p w14:paraId="501E9097" w14:textId="77777777" w:rsidR="00DC0FE7" w:rsidRPr="00497000" w:rsidRDefault="00DC0FE7" w:rsidP="00A414A5">
      <w:pPr>
        <w:ind w:left="851"/>
        <w:rPr>
          <w:sz w:val="24"/>
          <w:szCs w:val="24"/>
          <w:lang w:val="en-US"/>
        </w:rPr>
      </w:pPr>
    </w:p>
    <w:p w14:paraId="3F9DE106" w14:textId="77777777" w:rsidR="00DC0FE7" w:rsidRPr="00497000" w:rsidRDefault="00DC0FE7" w:rsidP="00A414A5">
      <w:pPr>
        <w:ind w:left="851"/>
        <w:rPr>
          <w:i/>
          <w:sz w:val="24"/>
          <w:szCs w:val="24"/>
          <w:u w:val="single"/>
          <w:lang w:val="en-US"/>
        </w:rPr>
      </w:pPr>
      <w:r w:rsidRPr="00497000">
        <w:rPr>
          <w:i/>
          <w:sz w:val="24"/>
          <w:szCs w:val="24"/>
          <w:u w:val="single"/>
          <w:lang w:val="en-US"/>
        </w:rPr>
        <w:t xml:space="preserve">Excipients with known effect </w:t>
      </w:r>
    </w:p>
    <w:p w14:paraId="26CE79CC" w14:textId="77777777" w:rsidR="00DC0FE7" w:rsidRPr="00497000" w:rsidRDefault="00DC0FE7" w:rsidP="00A414A5">
      <w:pPr>
        <w:ind w:left="851"/>
        <w:rPr>
          <w:sz w:val="24"/>
          <w:szCs w:val="24"/>
          <w:lang w:val="en-US"/>
        </w:rPr>
      </w:pPr>
      <w:r w:rsidRPr="00497000">
        <w:rPr>
          <w:sz w:val="24"/>
          <w:szCs w:val="24"/>
          <w:lang w:val="en-US"/>
        </w:rPr>
        <w:t>Each film-coated tablet contains 37.20 mg lactose.</w:t>
      </w:r>
    </w:p>
    <w:p w14:paraId="5A23600C" w14:textId="77777777" w:rsidR="00DC0FE7" w:rsidRPr="00497000" w:rsidRDefault="00DC0FE7" w:rsidP="00A414A5">
      <w:pPr>
        <w:ind w:left="851"/>
        <w:rPr>
          <w:sz w:val="24"/>
          <w:szCs w:val="24"/>
          <w:lang w:val="en-US"/>
        </w:rPr>
      </w:pPr>
    </w:p>
    <w:p w14:paraId="1A289D81" w14:textId="77777777" w:rsidR="00DC0FE7" w:rsidRPr="00497000" w:rsidRDefault="00DC0FE7" w:rsidP="00A414A5">
      <w:pPr>
        <w:ind w:left="851"/>
        <w:rPr>
          <w:sz w:val="24"/>
          <w:szCs w:val="24"/>
          <w:lang w:val="en-US"/>
        </w:rPr>
      </w:pPr>
      <w:r w:rsidRPr="00497000">
        <w:rPr>
          <w:sz w:val="24"/>
          <w:szCs w:val="24"/>
          <w:lang w:val="en-US"/>
        </w:rPr>
        <w:t>For the full list of excipients, see section 6.1</w:t>
      </w:r>
    </w:p>
    <w:p w14:paraId="5ECC5AE4" w14:textId="77777777" w:rsidR="007C5D2A" w:rsidRPr="00497000" w:rsidRDefault="007C5D2A" w:rsidP="004A3BF4">
      <w:pPr>
        <w:tabs>
          <w:tab w:val="left" w:pos="851"/>
        </w:tabs>
        <w:ind w:left="851"/>
        <w:rPr>
          <w:sz w:val="24"/>
          <w:szCs w:val="24"/>
          <w:lang w:val="en-US"/>
        </w:rPr>
      </w:pPr>
    </w:p>
    <w:p w14:paraId="60C7BEFC" w14:textId="77777777" w:rsidR="007C5D2A" w:rsidRPr="00497000" w:rsidRDefault="007C5D2A" w:rsidP="007C5D2A">
      <w:pPr>
        <w:tabs>
          <w:tab w:val="left" w:pos="851"/>
        </w:tabs>
        <w:ind w:left="851" w:hanging="851"/>
        <w:rPr>
          <w:b/>
          <w:sz w:val="24"/>
          <w:szCs w:val="24"/>
          <w:lang w:val="en-GB"/>
        </w:rPr>
      </w:pPr>
      <w:r w:rsidRPr="00497000">
        <w:rPr>
          <w:b/>
          <w:sz w:val="24"/>
          <w:szCs w:val="24"/>
          <w:lang w:val="en-GB"/>
        </w:rPr>
        <w:t>3.</w:t>
      </w:r>
      <w:r w:rsidRPr="00497000">
        <w:rPr>
          <w:b/>
          <w:sz w:val="24"/>
          <w:szCs w:val="24"/>
          <w:lang w:val="en-GB"/>
        </w:rPr>
        <w:tab/>
        <w:t>PHARMACEUTICAL FORM</w:t>
      </w:r>
    </w:p>
    <w:p w14:paraId="075E5957" w14:textId="07C188F0" w:rsidR="00DC0FE7" w:rsidRPr="00497000" w:rsidRDefault="00DC0FE7" w:rsidP="00A414A5">
      <w:pPr>
        <w:ind w:left="851"/>
        <w:rPr>
          <w:sz w:val="24"/>
          <w:szCs w:val="24"/>
          <w:lang w:val="en-US"/>
        </w:rPr>
      </w:pPr>
      <w:r w:rsidRPr="00497000">
        <w:rPr>
          <w:sz w:val="24"/>
          <w:szCs w:val="24"/>
          <w:lang w:val="en-US"/>
        </w:rPr>
        <w:t>Film-coated tablet</w:t>
      </w:r>
      <w:r w:rsidR="00497000">
        <w:rPr>
          <w:sz w:val="24"/>
          <w:szCs w:val="24"/>
          <w:lang w:val="en-US"/>
        </w:rPr>
        <w:t>s</w:t>
      </w:r>
      <w:r w:rsidRPr="00497000">
        <w:rPr>
          <w:sz w:val="24"/>
          <w:szCs w:val="24"/>
          <w:lang w:val="en-US"/>
        </w:rPr>
        <w:t xml:space="preserve"> </w:t>
      </w:r>
    </w:p>
    <w:p w14:paraId="4996092A" w14:textId="39CF9282" w:rsidR="00831A6B" w:rsidRDefault="00831A6B">
      <w:pPr>
        <w:rPr>
          <w:sz w:val="24"/>
          <w:szCs w:val="24"/>
          <w:lang w:val="en-US"/>
        </w:rPr>
      </w:pPr>
      <w:r>
        <w:rPr>
          <w:sz w:val="24"/>
          <w:szCs w:val="24"/>
          <w:lang w:val="en-US"/>
        </w:rPr>
        <w:br w:type="page"/>
      </w:r>
    </w:p>
    <w:p w14:paraId="6B3467FB" w14:textId="77777777" w:rsidR="00DC0FE7" w:rsidRPr="00497000" w:rsidRDefault="00DC0FE7" w:rsidP="00A414A5">
      <w:pPr>
        <w:ind w:left="851"/>
        <w:rPr>
          <w:sz w:val="24"/>
          <w:szCs w:val="24"/>
          <w:lang w:val="en-US"/>
        </w:rPr>
      </w:pPr>
    </w:p>
    <w:p w14:paraId="1BEA70B1" w14:textId="6BEBEC1C" w:rsidR="00DC0FE7" w:rsidRPr="00497000" w:rsidRDefault="00497000" w:rsidP="00A414A5">
      <w:pPr>
        <w:ind w:left="851"/>
        <w:rPr>
          <w:sz w:val="24"/>
          <w:szCs w:val="24"/>
          <w:u w:val="single"/>
          <w:lang w:val="en-US"/>
        </w:rPr>
      </w:pPr>
      <w:r>
        <w:rPr>
          <w:sz w:val="24"/>
          <w:szCs w:val="24"/>
          <w:u w:val="single"/>
          <w:lang w:val="en-US"/>
        </w:rPr>
        <w:t>Hasgobusno</w:t>
      </w:r>
      <w:r w:rsidR="00DC0FE7" w:rsidRPr="00497000">
        <w:rPr>
          <w:sz w:val="24"/>
          <w:szCs w:val="24"/>
          <w:u w:val="single"/>
          <w:lang w:val="en-US"/>
        </w:rPr>
        <w:t xml:space="preserve"> 20 mg film-coated tablets </w:t>
      </w:r>
    </w:p>
    <w:p w14:paraId="0BF20760" w14:textId="77777777" w:rsidR="00DC0FE7" w:rsidRPr="00497000" w:rsidRDefault="00DC0FE7" w:rsidP="00A414A5">
      <w:pPr>
        <w:ind w:left="851"/>
        <w:rPr>
          <w:sz w:val="24"/>
          <w:szCs w:val="24"/>
          <w:lang w:val="en-US" w:eastAsia="en-GB"/>
        </w:rPr>
      </w:pPr>
      <w:r w:rsidRPr="00497000">
        <w:rPr>
          <w:sz w:val="24"/>
          <w:szCs w:val="24"/>
          <w:lang w:val="en-US" w:eastAsia="en-GB"/>
        </w:rPr>
        <w:t>Light yellow, round film-coated tablets, debossed with 'TV' on one side and '1C' on the other.</w:t>
      </w:r>
    </w:p>
    <w:p w14:paraId="5F11B5E1" w14:textId="77777777" w:rsidR="00DC0FE7" w:rsidRPr="00497000" w:rsidRDefault="00DC0FE7" w:rsidP="00A414A5">
      <w:pPr>
        <w:ind w:left="851"/>
        <w:rPr>
          <w:sz w:val="24"/>
          <w:szCs w:val="24"/>
          <w:lang w:val="en-US" w:eastAsia="en-GB"/>
        </w:rPr>
      </w:pPr>
      <w:r w:rsidRPr="00497000">
        <w:rPr>
          <w:sz w:val="24"/>
          <w:szCs w:val="24"/>
          <w:lang w:val="en-US" w:eastAsia="en-GB"/>
        </w:rPr>
        <w:t>Dimensions of coated tablets: approximately 5.6 mm.</w:t>
      </w:r>
    </w:p>
    <w:p w14:paraId="457B67EF" w14:textId="77777777" w:rsidR="00DC0FE7" w:rsidRPr="00497000" w:rsidRDefault="00DC0FE7" w:rsidP="00A414A5">
      <w:pPr>
        <w:ind w:left="851"/>
        <w:rPr>
          <w:sz w:val="24"/>
          <w:szCs w:val="24"/>
          <w:lang w:val="en-US" w:eastAsia="en-US"/>
        </w:rPr>
      </w:pPr>
    </w:p>
    <w:p w14:paraId="2A4F0495" w14:textId="7A3076C6" w:rsidR="00DC0FE7" w:rsidRPr="00497000" w:rsidRDefault="00497000" w:rsidP="00A414A5">
      <w:pPr>
        <w:ind w:left="851"/>
        <w:rPr>
          <w:sz w:val="24"/>
          <w:szCs w:val="24"/>
          <w:u w:val="single"/>
          <w:lang w:val="en-US"/>
        </w:rPr>
      </w:pPr>
      <w:r>
        <w:rPr>
          <w:sz w:val="24"/>
          <w:szCs w:val="24"/>
          <w:u w:val="single"/>
          <w:lang w:val="en-US"/>
        </w:rPr>
        <w:t>Hasgobusno</w:t>
      </w:r>
      <w:r w:rsidR="00DC0FE7" w:rsidRPr="00497000">
        <w:rPr>
          <w:sz w:val="24"/>
          <w:szCs w:val="24"/>
          <w:u w:val="single"/>
          <w:lang w:val="en-US"/>
        </w:rPr>
        <w:t xml:space="preserve"> 40 mg film-coated tablets </w:t>
      </w:r>
    </w:p>
    <w:p w14:paraId="346F89EB" w14:textId="77777777" w:rsidR="00DC0FE7" w:rsidRPr="00497000" w:rsidRDefault="00DC0FE7" w:rsidP="00A414A5">
      <w:pPr>
        <w:ind w:left="851"/>
        <w:rPr>
          <w:sz w:val="24"/>
          <w:szCs w:val="24"/>
          <w:lang w:val="en-US" w:eastAsia="en-GB"/>
        </w:rPr>
      </w:pPr>
      <w:r w:rsidRPr="00497000">
        <w:rPr>
          <w:sz w:val="24"/>
          <w:szCs w:val="24"/>
          <w:lang w:val="en-US" w:eastAsia="en-GB"/>
        </w:rPr>
        <w:t>Yellow, round film-coated tablets, debossed with 'TV' on one side and '5C' on the other.</w:t>
      </w:r>
    </w:p>
    <w:p w14:paraId="360AC248" w14:textId="77777777" w:rsidR="00DC0FE7" w:rsidRPr="00497000" w:rsidRDefault="00DC0FE7" w:rsidP="00A414A5">
      <w:pPr>
        <w:ind w:left="851"/>
        <w:rPr>
          <w:sz w:val="24"/>
          <w:szCs w:val="24"/>
          <w:lang w:val="en-US" w:eastAsia="en-GB"/>
        </w:rPr>
      </w:pPr>
      <w:r w:rsidRPr="00497000">
        <w:rPr>
          <w:sz w:val="24"/>
          <w:szCs w:val="24"/>
          <w:lang w:val="en-US" w:eastAsia="en-GB"/>
        </w:rPr>
        <w:t>Dimensions of coated tablets: approximately 8.0 mm.</w:t>
      </w:r>
    </w:p>
    <w:p w14:paraId="55CC09B0" w14:textId="77777777" w:rsidR="00DC0FE7" w:rsidRPr="00497000" w:rsidRDefault="00DC0FE7" w:rsidP="00A414A5">
      <w:pPr>
        <w:ind w:left="851"/>
        <w:rPr>
          <w:sz w:val="24"/>
          <w:szCs w:val="24"/>
          <w:lang w:val="en-US" w:eastAsia="en-US"/>
        </w:rPr>
      </w:pPr>
    </w:p>
    <w:p w14:paraId="0F9C945C" w14:textId="11CEDA4F" w:rsidR="00DC0FE7" w:rsidRPr="00497000" w:rsidRDefault="00497000" w:rsidP="00A414A5">
      <w:pPr>
        <w:ind w:left="851"/>
        <w:rPr>
          <w:sz w:val="24"/>
          <w:szCs w:val="24"/>
          <w:u w:val="single"/>
          <w:lang w:val="en-US"/>
        </w:rPr>
      </w:pPr>
      <w:r>
        <w:rPr>
          <w:sz w:val="24"/>
          <w:szCs w:val="24"/>
          <w:u w:val="single"/>
          <w:lang w:val="en-US"/>
        </w:rPr>
        <w:t>Hasgobusno</w:t>
      </w:r>
      <w:r w:rsidR="00DC0FE7" w:rsidRPr="00497000">
        <w:rPr>
          <w:sz w:val="24"/>
          <w:szCs w:val="24"/>
          <w:u w:val="single"/>
          <w:lang w:val="en-US"/>
        </w:rPr>
        <w:t xml:space="preserve"> 60 mg film-coated tablets </w:t>
      </w:r>
    </w:p>
    <w:p w14:paraId="04F444B9" w14:textId="77777777" w:rsidR="00DC0FE7" w:rsidRPr="00497000" w:rsidRDefault="00DC0FE7" w:rsidP="00A414A5">
      <w:pPr>
        <w:ind w:left="851"/>
        <w:rPr>
          <w:sz w:val="24"/>
          <w:szCs w:val="24"/>
          <w:lang w:val="en-US" w:eastAsia="en-GB"/>
        </w:rPr>
      </w:pPr>
      <w:r w:rsidRPr="00497000">
        <w:rPr>
          <w:sz w:val="24"/>
          <w:szCs w:val="24"/>
          <w:lang w:val="en-US" w:eastAsia="en-GB"/>
        </w:rPr>
        <w:t>Yellow, oval film-coated tablets, debossed with 'TV' on one side and '7C' on the other.</w:t>
      </w:r>
    </w:p>
    <w:p w14:paraId="29FD22A2" w14:textId="318CF749" w:rsidR="00DC0FE7" w:rsidRPr="00497000" w:rsidRDefault="00DC0FE7" w:rsidP="00A414A5">
      <w:pPr>
        <w:ind w:left="851"/>
        <w:rPr>
          <w:sz w:val="24"/>
          <w:szCs w:val="24"/>
          <w:lang w:val="en-US" w:eastAsia="en-GB"/>
        </w:rPr>
      </w:pPr>
      <w:r w:rsidRPr="00497000">
        <w:rPr>
          <w:sz w:val="24"/>
          <w:szCs w:val="24"/>
          <w:lang w:val="en-US" w:eastAsia="en-GB"/>
        </w:rPr>
        <w:t xml:space="preserve">Dimensions of coated tablets:  approximately 11.2 </w:t>
      </w:r>
      <w:r w:rsidR="00831A6B">
        <w:rPr>
          <w:sz w:val="24"/>
          <w:szCs w:val="24"/>
          <w:lang w:val="en-US" w:eastAsia="en-GB"/>
        </w:rPr>
        <w:t>×</w:t>
      </w:r>
      <w:r w:rsidRPr="00497000">
        <w:rPr>
          <w:sz w:val="24"/>
          <w:szCs w:val="24"/>
          <w:lang w:val="en-US" w:eastAsia="en-GB"/>
        </w:rPr>
        <w:t xml:space="preserve"> 6.4 mm.</w:t>
      </w:r>
    </w:p>
    <w:p w14:paraId="359C2200" w14:textId="77777777" w:rsidR="007C5D2A" w:rsidRPr="00497000" w:rsidRDefault="007C5D2A" w:rsidP="004A3BF4">
      <w:pPr>
        <w:tabs>
          <w:tab w:val="left" w:pos="851"/>
        </w:tabs>
        <w:ind w:left="851"/>
        <w:rPr>
          <w:sz w:val="24"/>
          <w:szCs w:val="24"/>
          <w:lang w:val="en-GB"/>
        </w:rPr>
      </w:pPr>
    </w:p>
    <w:p w14:paraId="41D12B73" w14:textId="77777777" w:rsidR="007C5D2A" w:rsidRPr="00497000" w:rsidRDefault="007C5D2A" w:rsidP="004A3BF4">
      <w:pPr>
        <w:tabs>
          <w:tab w:val="left" w:pos="851"/>
        </w:tabs>
        <w:ind w:left="851"/>
        <w:rPr>
          <w:sz w:val="24"/>
          <w:szCs w:val="24"/>
          <w:lang w:val="en-GB"/>
        </w:rPr>
      </w:pPr>
    </w:p>
    <w:p w14:paraId="107C9F44" w14:textId="77777777" w:rsidR="007C5D2A" w:rsidRPr="00497000" w:rsidRDefault="007C5D2A" w:rsidP="007C5D2A">
      <w:pPr>
        <w:ind w:left="851" w:hanging="851"/>
        <w:rPr>
          <w:b/>
          <w:sz w:val="24"/>
          <w:szCs w:val="24"/>
          <w:lang w:val="en-GB"/>
        </w:rPr>
      </w:pPr>
      <w:r w:rsidRPr="00497000">
        <w:rPr>
          <w:b/>
          <w:sz w:val="24"/>
          <w:szCs w:val="24"/>
          <w:lang w:val="en-GB"/>
        </w:rPr>
        <w:t>4.</w:t>
      </w:r>
      <w:r w:rsidRPr="00497000">
        <w:rPr>
          <w:b/>
          <w:sz w:val="24"/>
          <w:szCs w:val="24"/>
          <w:lang w:val="en-GB"/>
        </w:rPr>
        <w:tab/>
        <w:t>CLINICAL PARTICULARS</w:t>
      </w:r>
    </w:p>
    <w:p w14:paraId="17F6A7EE" w14:textId="77777777" w:rsidR="007C5D2A" w:rsidRPr="00497000" w:rsidRDefault="007C5D2A" w:rsidP="004A3BF4">
      <w:pPr>
        <w:tabs>
          <w:tab w:val="left" w:pos="851"/>
        </w:tabs>
        <w:ind w:left="851"/>
        <w:rPr>
          <w:sz w:val="24"/>
          <w:szCs w:val="24"/>
          <w:lang w:val="en-GB"/>
        </w:rPr>
      </w:pPr>
    </w:p>
    <w:p w14:paraId="6C952016" w14:textId="77777777" w:rsidR="007C5D2A" w:rsidRPr="00497000" w:rsidRDefault="007C5D2A" w:rsidP="007C5D2A">
      <w:pPr>
        <w:ind w:left="851" w:hanging="851"/>
        <w:rPr>
          <w:b/>
          <w:sz w:val="24"/>
          <w:szCs w:val="24"/>
          <w:u w:val="single"/>
          <w:lang w:val="en-GB"/>
        </w:rPr>
      </w:pPr>
      <w:r w:rsidRPr="00497000">
        <w:rPr>
          <w:b/>
          <w:sz w:val="24"/>
          <w:szCs w:val="24"/>
          <w:lang w:val="en-GB"/>
        </w:rPr>
        <w:t>4.1</w:t>
      </w:r>
      <w:r w:rsidRPr="00497000">
        <w:rPr>
          <w:b/>
          <w:sz w:val="24"/>
          <w:szCs w:val="24"/>
          <w:lang w:val="en-GB"/>
        </w:rPr>
        <w:tab/>
        <w:t>Therapeutic indications</w:t>
      </w:r>
    </w:p>
    <w:p w14:paraId="23C82850" w14:textId="77777777" w:rsidR="00497000" w:rsidRDefault="00497000" w:rsidP="00A414A5">
      <w:pPr>
        <w:ind w:left="851"/>
        <w:rPr>
          <w:sz w:val="24"/>
          <w:szCs w:val="24"/>
          <w:lang w:val="en-US"/>
        </w:rPr>
      </w:pPr>
    </w:p>
    <w:p w14:paraId="1C92841D" w14:textId="26AF07BA" w:rsidR="009E1D6F" w:rsidRPr="00497000" w:rsidRDefault="009E1D6F" w:rsidP="00A414A5">
      <w:pPr>
        <w:ind w:left="851"/>
        <w:rPr>
          <w:sz w:val="24"/>
          <w:szCs w:val="24"/>
          <w:u w:val="single"/>
          <w:lang w:val="en-US"/>
        </w:rPr>
      </w:pPr>
      <w:r w:rsidRPr="00497000">
        <w:rPr>
          <w:sz w:val="24"/>
          <w:szCs w:val="24"/>
          <w:u w:val="single"/>
          <w:lang w:val="en-US"/>
        </w:rPr>
        <w:t xml:space="preserve">Renal cell carcinoma (RCC) </w:t>
      </w:r>
    </w:p>
    <w:p w14:paraId="3BE313DE" w14:textId="71646A0A" w:rsidR="009E1D6F" w:rsidRPr="00497000" w:rsidRDefault="00497000" w:rsidP="00A414A5">
      <w:pPr>
        <w:ind w:left="851"/>
        <w:rPr>
          <w:sz w:val="24"/>
          <w:szCs w:val="24"/>
          <w:lang w:val="en-US"/>
        </w:rPr>
      </w:pPr>
      <w:r>
        <w:rPr>
          <w:sz w:val="24"/>
          <w:szCs w:val="24"/>
          <w:lang w:val="en-US"/>
        </w:rPr>
        <w:t>Hasgobusno</w:t>
      </w:r>
      <w:r w:rsidR="009E1D6F" w:rsidRPr="00497000">
        <w:rPr>
          <w:sz w:val="24"/>
          <w:szCs w:val="24"/>
          <w:lang w:val="en-US"/>
        </w:rPr>
        <w:t xml:space="preserve"> is indicated as monotherapy for advanced renal cell carcinoma </w:t>
      </w:r>
    </w:p>
    <w:p w14:paraId="117E027E" w14:textId="2D46CE7A" w:rsidR="009E1D6F" w:rsidRPr="00497000" w:rsidRDefault="009E1D6F" w:rsidP="00497000">
      <w:pPr>
        <w:pStyle w:val="Listeafsnit"/>
        <w:numPr>
          <w:ilvl w:val="0"/>
          <w:numId w:val="7"/>
        </w:numPr>
        <w:ind w:left="1276" w:hanging="425"/>
        <w:rPr>
          <w:sz w:val="24"/>
          <w:szCs w:val="24"/>
          <w:lang w:val="en-US"/>
        </w:rPr>
      </w:pPr>
      <w:r w:rsidRPr="00497000">
        <w:rPr>
          <w:sz w:val="24"/>
          <w:szCs w:val="24"/>
          <w:lang w:val="en-US"/>
        </w:rPr>
        <w:t xml:space="preserve">as first-line treatment of adult patients with intermediate or poor risk (see section 5.1), </w:t>
      </w:r>
    </w:p>
    <w:p w14:paraId="2A326342" w14:textId="5028F616" w:rsidR="009E1D6F" w:rsidRPr="00497000" w:rsidRDefault="009E1D6F" w:rsidP="00497000">
      <w:pPr>
        <w:pStyle w:val="Listeafsnit"/>
        <w:numPr>
          <w:ilvl w:val="0"/>
          <w:numId w:val="7"/>
        </w:numPr>
        <w:ind w:left="1276" w:hanging="425"/>
        <w:rPr>
          <w:sz w:val="24"/>
          <w:szCs w:val="24"/>
          <w:lang w:val="en-US"/>
        </w:rPr>
      </w:pPr>
      <w:r w:rsidRPr="00497000">
        <w:rPr>
          <w:sz w:val="24"/>
          <w:szCs w:val="24"/>
          <w:lang w:val="en-US"/>
        </w:rPr>
        <w:t xml:space="preserve">in adults following prior vascular endothelial growth factor (VEGF)-targeted therapy (see section 5.1). </w:t>
      </w:r>
    </w:p>
    <w:p w14:paraId="6A169964" w14:textId="77777777" w:rsidR="009E1D6F" w:rsidRPr="00497000" w:rsidRDefault="009E1D6F" w:rsidP="00A414A5">
      <w:pPr>
        <w:ind w:left="851"/>
        <w:rPr>
          <w:sz w:val="24"/>
          <w:szCs w:val="24"/>
          <w:lang w:val="en-US"/>
        </w:rPr>
      </w:pPr>
    </w:p>
    <w:p w14:paraId="000776EF" w14:textId="56B79CAA" w:rsidR="009E1D6F" w:rsidRPr="00497000" w:rsidRDefault="00497000" w:rsidP="00A414A5">
      <w:pPr>
        <w:ind w:left="851"/>
        <w:rPr>
          <w:sz w:val="24"/>
          <w:szCs w:val="24"/>
          <w:lang w:val="en-US"/>
        </w:rPr>
      </w:pPr>
      <w:r>
        <w:rPr>
          <w:sz w:val="24"/>
          <w:szCs w:val="24"/>
          <w:lang w:val="en-US"/>
        </w:rPr>
        <w:t>Hasgobusno</w:t>
      </w:r>
      <w:r w:rsidR="009E1D6F" w:rsidRPr="00497000">
        <w:rPr>
          <w:sz w:val="24"/>
          <w:szCs w:val="24"/>
          <w:lang w:val="en-US"/>
        </w:rPr>
        <w:t xml:space="preserve">, in combination with nivolumab, is indicated for the first-line treatment of advanced renal cell carcinoma in adults (see section 5.1). </w:t>
      </w:r>
    </w:p>
    <w:p w14:paraId="396A6DFD" w14:textId="77777777" w:rsidR="009E1D6F" w:rsidRPr="00497000" w:rsidRDefault="009E1D6F" w:rsidP="00A414A5">
      <w:pPr>
        <w:ind w:left="851"/>
        <w:rPr>
          <w:sz w:val="24"/>
          <w:szCs w:val="24"/>
          <w:lang w:val="en-US"/>
        </w:rPr>
      </w:pPr>
    </w:p>
    <w:p w14:paraId="430A6179" w14:textId="77777777" w:rsidR="009E1D6F" w:rsidRPr="00497000" w:rsidRDefault="009E1D6F" w:rsidP="00A414A5">
      <w:pPr>
        <w:ind w:left="851"/>
        <w:rPr>
          <w:sz w:val="24"/>
          <w:szCs w:val="24"/>
          <w:u w:val="single"/>
          <w:lang w:val="en-US"/>
        </w:rPr>
      </w:pPr>
      <w:r w:rsidRPr="00497000">
        <w:rPr>
          <w:sz w:val="24"/>
          <w:szCs w:val="24"/>
          <w:u w:val="single"/>
          <w:lang w:val="en-US"/>
        </w:rPr>
        <w:t xml:space="preserve">Hepatocellular carcinoma (HCC) </w:t>
      </w:r>
    </w:p>
    <w:p w14:paraId="004A28EA" w14:textId="2FFC8AA9" w:rsidR="009E1D6F" w:rsidRPr="00497000" w:rsidRDefault="00497000" w:rsidP="00A414A5">
      <w:pPr>
        <w:ind w:left="851"/>
        <w:rPr>
          <w:sz w:val="24"/>
          <w:szCs w:val="24"/>
          <w:lang w:val="en-US"/>
        </w:rPr>
      </w:pPr>
      <w:r>
        <w:rPr>
          <w:sz w:val="24"/>
          <w:szCs w:val="24"/>
          <w:lang w:val="en-US"/>
        </w:rPr>
        <w:t>Hasgobusno</w:t>
      </w:r>
      <w:r w:rsidR="009E1D6F" w:rsidRPr="00497000">
        <w:rPr>
          <w:sz w:val="24"/>
          <w:szCs w:val="24"/>
          <w:lang w:val="en-US"/>
        </w:rPr>
        <w:t xml:space="preserve"> is indicated as monotherapy for the treatment of hepatocellular carcinoma (HCC) in adults who have previously been treated with sorafenib. </w:t>
      </w:r>
    </w:p>
    <w:p w14:paraId="38105733" w14:textId="77777777" w:rsidR="009E1D6F" w:rsidRPr="00497000" w:rsidRDefault="009E1D6F" w:rsidP="00A414A5">
      <w:pPr>
        <w:ind w:left="851"/>
        <w:rPr>
          <w:sz w:val="24"/>
          <w:szCs w:val="24"/>
          <w:lang w:val="en-US"/>
        </w:rPr>
      </w:pPr>
    </w:p>
    <w:p w14:paraId="65EE1039" w14:textId="77777777" w:rsidR="009E1D6F" w:rsidRPr="00497000" w:rsidRDefault="009E1D6F" w:rsidP="00A414A5">
      <w:pPr>
        <w:ind w:left="851"/>
        <w:rPr>
          <w:sz w:val="24"/>
          <w:szCs w:val="24"/>
          <w:u w:val="single"/>
          <w:lang w:val="en-US"/>
        </w:rPr>
      </w:pPr>
      <w:r w:rsidRPr="00497000">
        <w:rPr>
          <w:sz w:val="24"/>
          <w:szCs w:val="24"/>
          <w:u w:val="single"/>
          <w:lang w:val="en-US"/>
        </w:rPr>
        <w:t xml:space="preserve">Differentiated thyroid carcinoma (DTC) </w:t>
      </w:r>
    </w:p>
    <w:p w14:paraId="78F15AFB" w14:textId="37A16469" w:rsidR="009E1D6F" w:rsidRPr="00497000" w:rsidRDefault="00497000" w:rsidP="00A414A5">
      <w:pPr>
        <w:ind w:left="851"/>
        <w:rPr>
          <w:sz w:val="24"/>
          <w:szCs w:val="24"/>
          <w:lang w:val="en-US"/>
        </w:rPr>
      </w:pPr>
      <w:r>
        <w:rPr>
          <w:sz w:val="24"/>
          <w:szCs w:val="24"/>
          <w:lang w:val="en-US"/>
        </w:rPr>
        <w:t>Hasgobusno</w:t>
      </w:r>
      <w:r w:rsidR="009E1D6F" w:rsidRPr="00497000">
        <w:rPr>
          <w:sz w:val="24"/>
          <w:szCs w:val="24"/>
          <w:lang w:val="en-US"/>
        </w:rPr>
        <w:t xml:space="preserve"> is indicated as monotherapy for the treatment of adult patients with locally advanced or metastatic differentiated thyroid carcinoma (DTC), refractory or not eligible to radioactive iodine (RAI) who have progressed during or after prior systemic therapy.</w:t>
      </w:r>
    </w:p>
    <w:p w14:paraId="147F919B" w14:textId="77777777" w:rsidR="007C5D2A" w:rsidRPr="00497000" w:rsidRDefault="007C5D2A" w:rsidP="00A85D26">
      <w:pPr>
        <w:tabs>
          <w:tab w:val="left" w:pos="851"/>
        </w:tabs>
        <w:ind w:left="851"/>
        <w:rPr>
          <w:sz w:val="24"/>
          <w:szCs w:val="24"/>
          <w:lang w:val="en-GB"/>
        </w:rPr>
      </w:pPr>
    </w:p>
    <w:p w14:paraId="7D0196CF" w14:textId="77777777" w:rsidR="007C5D2A" w:rsidRPr="00497000" w:rsidRDefault="009925C9" w:rsidP="007C5D2A">
      <w:pPr>
        <w:tabs>
          <w:tab w:val="left" w:pos="851"/>
        </w:tabs>
        <w:ind w:left="851" w:hanging="851"/>
        <w:rPr>
          <w:sz w:val="24"/>
          <w:szCs w:val="24"/>
          <w:lang w:val="en-GB"/>
        </w:rPr>
      </w:pPr>
      <w:r w:rsidRPr="00497000">
        <w:rPr>
          <w:b/>
          <w:sz w:val="24"/>
          <w:szCs w:val="24"/>
          <w:lang w:val="en-GB"/>
        </w:rPr>
        <w:t>4.2</w:t>
      </w:r>
      <w:r w:rsidR="007C5D2A" w:rsidRPr="00497000">
        <w:rPr>
          <w:b/>
          <w:sz w:val="24"/>
          <w:szCs w:val="24"/>
          <w:lang w:val="en-GB"/>
        </w:rPr>
        <w:tab/>
        <w:t>Posology and method of administration</w:t>
      </w:r>
    </w:p>
    <w:p w14:paraId="5D35DA55" w14:textId="3701CBC8" w:rsidR="009E1D6F" w:rsidRPr="00497000" w:rsidRDefault="009E1D6F" w:rsidP="00A414A5">
      <w:pPr>
        <w:ind w:left="851"/>
        <w:rPr>
          <w:sz w:val="24"/>
          <w:szCs w:val="24"/>
          <w:lang w:val="en-US"/>
        </w:rPr>
      </w:pPr>
      <w:r w:rsidRPr="00497000">
        <w:rPr>
          <w:sz w:val="24"/>
          <w:szCs w:val="24"/>
          <w:lang w:val="en-US"/>
        </w:rPr>
        <w:t xml:space="preserve">Therapy with </w:t>
      </w:r>
      <w:r w:rsidR="00497000">
        <w:rPr>
          <w:sz w:val="24"/>
          <w:szCs w:val="24"/>
          <w:lang w:val="en-US"/>
        </w:rPr>
        <w:t>Hasgobusno</w:t>
      </w:r>
      <w:r w:rsidRPr="00497000">
        <w:rPr>
          <w:sz w:val="24"/>
          <w:szCs w:val="24"/>
          <w:lang w:val="en-US"/>
        </w:rPr>
        <w:t xml:space="preserve"> should be initiated by a physician experienced in the administration of anticancer medicinal products. </w:t>
      </w:r>
    </w:p>
    <w:p w14:paraId="7605D2E8" w14:textId="77777777" w:rsidR="009E1D6F" w:rsidRPr="00497000" w:rsidRDefault="009E1D6F" w:rsidP="00A414A5">
      <w:pPr>
        <w:ind w:left="851"/>
        <w:rPr>
          <w:sz w:val="24"/>
          <w:szCs w:val="24"/>
          <w:lang w:val="en-US"/>
        </w:rPr>
      </w:pPr>
    </w:p>
    <w:p w14:paraId="5878FAED" w14:textId="77777777" w:rsidR="009E1D6F" w:rsidRPr="00497000" w:rsidRDefault="009E1D6F" w:rsidP="00A414A5">
      <w:pPr>
        <w:ind w:left="851"/>
        <w:rPr>
          <w:sz w:val="24"/>
          <w:szCs w:val="24"/>
          <w:u w:val="single"/>
          <w:lang w:val="en-US"/>
        </w:rPr>
      </w:pPr>
      <w:r w:rsidRPr="00497000">
        <w:rPr>
          <w:sz w:val="24"/>
          <w:szCs w:val="24"/>
          <w:u w:val="single"/>
          <w:lang w:val="en-US"/>
        </w:rPr>
        <w:t xml:space="preserve">Posology </w:t>
      </w:r>
    </w:p>
    <w:p w14:paraId="79524282" w14:textId="5AF39265" w:rsidR="009E1D6F" w:rsidRPr="00497000" w:rsidRDefault="00497000" w:rsidP="00A414A5">
      <w:pPr>
        <w:ind w:left="851"/>
        <w:rPr>
          <w:sz w:val="24"/>
          <w:szCs w:val="24"/>
          <w:lang w:val="en-US"/>
        </w:rPr>
      </w:pPr>
      <w:r>
        <w:rPr>
          <w:sz w:val="24"/>
          <w:szCs w:val="24"/>
          <w:lang w:val="en-US"/>
        </w:rPr>
        <w:t>Hasgobusno</w:t>
      </w:r>
      <w:r w:rsidR="009E1D6F" w:rsidRPr="00497000">
        <w:rPr>
          <w:sz w:val="24"/>
          <w:szCs w:val="24"/>
          <w:lang w:val="en-US"/>
        </w:rPr>
        <w:t xml:space="preserve"> tablets and cabozantinib capsules are not bioequivalent and should not be used inter-changeably (see section 5.2). </w:t>
      </w:r>
    </w:p>
    <w:p w14:paraId="63CE72E1" w14:textId="77777777" w:rsidR="009E1D6F" w:rsidRPr="00497000" w:rsidRDefault="009E1D6F" w:rsidP="00A414A5">
      <w:pPr>
        <w:ind w:left="851"/>
        <w:rPr>
          <w:sz w:val="24"/>
          <w:szCs w:val="24"/>
          <w:lang w:val="en-US"/>
        </w:rPr>
      </w:pPr>
    </w:p>
    <w:p w14:paraId="021A131C" w14:textId="6C5F0F7B" w:rsidR="009E1D6F" w:rsidRPr="00497000" w:rsidRDefault="00497000" w:rsidP="00A414A5">
      <w:pPr>
        <w:ind w:left="851"/>
        <w:rPr>
          <w:sz w:val="24"/>
          <w:szCs w:val="24"/>
          <w:lang w:val="en-US"/>
        </w:rPr>
      </w:pPr>
      <w:r>
        <w:rPr>
          <w:i/>
          <w:sz w:val="24"/>
          <w:szCs w:val="24"/>
          <w:lang w:val="en-US"/>
        </w:rPr>
        <w:t>Hasgobusno</w:t>
      </w:r>
      <w:r w:rsidR="009E1D6F" w:rsidRPr="00497000">
        <w:rPr>
          <w:sz w:val="24"/>
          <w:szCs w:val="24"/>
          <w:lang w:val="en-US"/>
        </w:rPr>
        <w:t xml:space="preserve"> </w:t>
      </w:r>
      <w:r w:rsidR="009E1D6F" w:rsidRPr="00497000">
        <w:rPr>
          <w:i/>
          <w:sz w:val="24"/>
          <w:szCs w:val="24"/>
          <w:lang w:val="en-US"/>
        </w:rPr>
        <w:t>as monotherapy</w:t>
      </w:r>
      <w:r w:rsidR="009E1D6F" w:rsidRPr="00497000">
        <w:rPr>
          <w:sz w:val="24"/>
          <w:szCs w:val="24"/>
          <w:lang w:val="en-US"/>
        </w:rPr>
        <w:t xml:space="preserve"> </w:t>
      </w:r>
    </w:p>
    <w:p w14:paraId="3D5BC5D4" w14:textId="10E3A9D8" w:rsidR="009E1D6F" w:rsidRPr="00497000" w:rsidRDefault="009E1D6F" w:rsidP="00A414A5">
      <w:pPr>
        <w:ind w:left="851"/>
        <w:rPr>
          <w:sz w:val="24"/>
          <w:szCs w:val="24"/>
          <w:lang w:val="en-US"/>
        </w:rPr>
      </w:pPr>
      <w:r w:rsidRPr="00497000">
        <w:rPr>
          <w:sz w:val="24"/>
          <w:szCs w:val="24"/>
          <w:lang w:val="en-US"/>
        </w:rPr>
        <w:t xml:space="preserve">For RCC, HCC and DTC, the recommended dose of </w:t>
      </w:r>
      <w:r w:rsidR="00497000">
        <w:rPr>
          <w:sz w:val="24"/>
          <w:szCs w:val="24"/>
          <w:lang w:val="en-US"/>
        </w:rPr>
        <w:t>Hasgobusno</w:t>
      </w:r>
      <w:r w:rsidRPr="00497000">
        <w:rPr>
          <w:sz w:val="24"/>
          <w:szCs w:val="24"/>
          <w:lang w:val="en-US"/>
        </w:rPr>
        <w:t xml:space="preserve"> is 60 mg once daily. </w:t>
      </w:r>
    </w:p>
    <w:p w14:paraId="04C139C0" w14:textId="77777777" w:rsidR="009E1D6F" w:rsidRPr="00497000" w:rsidRDefault="009E1D6F" w:rsidP="00A414A5">
      <w:pPr>
        <w:ind w:left="851"/>
        <w:rPr>
          <w:sz w:val="24"/>
          <w:szCs w:val="24"/>
          <w:lang w:val="en-US"/>
        </w:rPr>
      </w:pPr>
    </w:p>
    <w:p w14:paraId="0CFDE0B1" w14:textId="4D440542" w:rsidR="009E1D6F" w:rsidRPr="00497000" w:rsidRDefault="009E1D6F" w:rsidP="00A414A5">
      <w:pPr>
        <w:ind w:left="851"/>
        <w:rPr>
          <w:sz w:val="24"/>
          <w:szCs w:val="24"/>
          <w:lang w:val="en-US"/>
        </w:rPr>
      </w:pPr>
      <w:r w:rsidRPr="00497000">
        <w:rPr>
          <w:sz w:val="24"/>
          <w:szCs w:val="24"/>
          <w:lang w:val="en-US"/>
        </w:rPr>
        <w:t xml:space="preserve">Treatment should continue until the patient is no longer clinically benefiting from therapy or until unacceptable toxicity occurs. </w:t>
      </w:r>
    </w:p>
    <w:p w14:paraId="02A19A15" w14:textId="77777777" w:rsidR="009E1D6F" w:rsidRPr="00497000" w:rsidRDefault="009E1D6F" w:rsidP="00A414A5">
      <w:pPr>
        <w:ind w:left="851"/>
        <w:rPr>
          <w:sz w:val="24"/>
          <w:szCs w:val="24"/>
          <w:lang w:val="en-US"/>
        </w:rPr>
      </w:pPr>
    </w:p>
    <w:p w14:paraId="0CA0B873" w14:textId="1B107744" w:rsidR="009E1D6F" w:rsidRPr="00497000" w:rsidRDefault="00497000" w:rsidP="00A414A5">
      <w:pPr>
        <w:ind w:left="851"/>
        <w:rPr>
          <w:i/>
          <w:sz w:val="24"/>
          <w:szCs w:val="24"/>
          <w:lang w:val="en-US"/>
        </w:rPr>
      </w:pPr>
      <w:r>
        <w:rPr>
          <w:i/>
          <w:sz w:val="24"/>
          <w:szCs w:val="24"/>
          <w:lang w:val="en-US"/>
        </w:rPr>
        <w:lastRenderedPageBreak/>
        <w:t>Hasgobusno</w:t>
      </w:r>
      <w:r w:rsidR="009E1D6F" w:rsidRPr="00497000">
        <w:rPr>
          <w:i/>
          <w:sz w:val="24"/>
          <w:szCs w:val="24"/>
          <w:lang w:val="en-US"/>
        </w:rPr>
        <w:t xml:space="preserve">in combination with nivolumab in first-line advanced RCC </w:t>
      </w:r>
    </w:p>
    <w:p w14:paraId="43AF0C4B" w14:textId="458A8347" w:rsidR="009E1D6F" w:rsidRPr="00497000" w:rsidRDefault="009E1D6F" w:rsidP="00A414A5">
      <w:pPr>
        <w:ind w:left="851"/>
        <w:rPr>
          <w:sz w:val="24"/>
          <w:szCs w:val="24"/>
          <w:lang w:val="en-US"/>
        </w:rPr>
      </w:pPr>
      <w:r w:rsidRPr="00497000">
        <w:rPr>
          <w:sz w:val="24"/>
          <w:szCs w:val="24"/>
          <w:lang w:val="en-US"/>
        </w:rPr>
        <w:t xml:space="preserve">The recommended dose of </w:t>
      </w:r>
      <w:r w:rsidR="00497000">
        <w:rPr>
          <w:sz w:val="24"/>
          <w:szCs w:val="24"/>
          <w:lang w:val="en-US"/>
        </w:rPr>
        <w:t>Hasgobusno</w:t>
      </w:r>
      <w:r w:rsidRPr="00497000">
        <w:rPr>
          <w:sz w:val="24"/>
          <w:szCs w:val="24"/>
          <w:lang w:val="en-US"/>
        </w:rPr>
        <w:t xml:space="preserve"> is 40 mg once daily in combination with nivolumab administered intravenously at either 240 mg every 2 weeks or 480 mg every 4 weeks. The treatment should continue until disease progression or unacceptable toxicity. Nivolumab should be continued until disease progression, unacceptable toxicity, or up to 24 months in patients without disease progression (see the Summary of Product Characteristics (SmPC) for posology of nivolumab). </w:t>
      </w:r>
    </w:p>
    <w:p w14:paraId="2D7764F4" w14:textId="77777777" w:rsidR="009E1D6F" w:rsidRPr="00497000" w:rsidRDefault="009E1D6F" w:rsidP="00A414A5">
      <w:pPr>
        <w:ind w:left="851"/>
        <w:rPr>
          <w:sz w:val="24"/>
          <w:szCs w:val="24"/>
          <w:lang w:val="en-US"/>
        </w:rPr>
      </w:pPr>
    </w:p>
    <w:p w14:paraId="5868B111" w14:textId="77777777" w:rsidR="009E1D6F" w:rsidRPr="00497000" w:rsidRDefault="009E1D6F" w:rsidP="00A414A5">
      <w:pPr>
        <w:ind w:left="851"/>
        <w:rPr>
          <w:i/>
          <w:sz w:val="24"/>
          <w:szCs w:val="24"/>
          <w:lang w:val="en-US"/>
        </w:rPr>
      </w:pPr>
      <w:r w:rsidRPr="00497000">
        <w:rPr>
          <w:i/>
          <w:sz w:val="24"/>
          <w:szCs w:val="24"/>
          <w:lang w:val="en-US"/>
        </w:rPr>
        <w:t xml:space="preserve">Treatment modification </w:t>
      </w:r>
    </w:p>
    <w:p w14:paraId="435DBD81" w14:textId="77777777" w:rsidR="009E1D6F" w:rsidRPr="00497000" w:rsidRDefault="009E1D6F" w:rsidP="00A414A5">
      <w:pPr>
        <w:ind w:left="851"/>
        <w:rPr>
          <w:sz w:val="24"/>
          <w:szCs w:val="24"/>
          <w:lang w:val="en-US"/>
        </w:rPr>
      </w:pPr>
      <w:r w:rsidRPr="00497000">
        <w:rPr>
          <w:sz w:val="24"/>
          <w:szCs w:val="24"/>
          <w:lang w:val="en-US"/>
        </w:rPr>
        <w:t xml:space="preserve">Management of suspected adverse drug reactions may require temporary treatment interruption and/or dose reduction (see Table 1). When dose reduction is necessary in monotherapy, it is recommended to reduce to 40 mg daily, and then to 20 mg daily. </w:t>
      </w:r>
    </w:p>
    <w:p w14:paraId="7E3BE004" w14:textId="77777777" w:rsidR="009E1D6F" w:rsidRPr="00497000" w:rsidRDefault="009E1D6F" w:rsidP="00A414A5">
      <w:pPr>
        <w:ind w:left="851"/>
        <w:rPr>
          <w:sz w:val="24"/>
          <w:szCs w:val="24"/>
          <w:lang w:val="en-US"/>
        </w:rPr>
      </w:pPr>
    </w:p>
    <w:p w14:paraId="5A0DF7B5" w14:textId="655A8B6A" w:rsidR="009E1D6F" w:rsidRPr="00497000" w:rsidRDefault="009E1D6F" w:rsidP="00A414A5">
      <w:pPr>
        <w:ind w:left="851"/>
        <w:rPr>
          <w:sz w:val="24"/>
          <w:szCs w:val="24"/>
          <w:lang w:val="en-US"/>
        </w:rPr>
      </w:pPr>
      <w:r w:rsidRPr="00497000">
        <w:rPr>
          <w:sz w:val="24"/>
          <w:szCs w:val="24"/>
          <w:lang w:val="en-US"/>
        </w:rPr>
        <w:t xml:space="preserve">When </w:t>
      </w:r>
      <w:r w:rsidR="00497000">
        <w:rPr>
          <w:sz w:val="24"/>
          <w:szCs w:val="24"/>
          <w:lang w:val="en-US"/>
        </w:rPr>
        <w:t>Hasgobusno</w:t>
      </w:r>
      <w:r w:rsidRPr="00497000">
        <w:rPr>
          <w:sz w:val="24"/>
          <w:szCs w:val="24"/>
          <w:lang w:val="en-US"/>
        </w:rPr>
        <w:t xml:space="preserve"> is administered in combination with nivolumab, it is recommended to reduce the dose to 20 mg of </w:t>
      </w:r>
      <w:r w:rsidR="00497000">
        <w:rPr>
          <w:sz w:val="24"/>
          <w:szCs w:val="24"/>
          <w:lang w:val="en-US"/>
        </w:rPr>
        <w:t>Hasgobusno</w:t>
      </w:r>
      <w:r w:rsidRPr="00497000">
        <w:rPr>
          <w:sz w:val="24"/>
          <w:szCs w:val="24"/>
          <w:lang w:val="en-US"/>
        </w:rPr>
        <w:t xml:space="preserve"> once daily, and then to 20 mg every other day (refer to the nivolumab SmPC for recommended treatment modification for nivolumab).</w:t>
      </w:r>
    </w:p>
    <w:p w14:paraId="64E4B723" w14:textId="77777777" w:rsidR="009E1D6F" w:rsidRPr="00497000" w:rsidRDefault="009E1D6F" w:rsidP="00A414A5">
      <w:pPr>
        <w:ind w:left="851"/>
        <w:rPr>
          <w:sz w:val="24"/>
          <w:szCs w:val="24"/>
          <w:lang w:val="en-US"/>
        </w:rPr>
      </w:pPr>
    </w:p>
    <w:p w14:paraId="3552B87F" w14:textId="77777777" w:rsidR="009E1D6F" w:rsidRPr="00497000" w:rsidRDefault="009E1D6F" w:rsidP="00A414A5">
      <w:pPr>
        <w:ind w:left="851"/>
        <w:rPr>
          <w:sz w:val="24"/>
          <w:szCs w:val="24"/>
          <w:lang w:val="en-US"/>
        </w:rPr>
      </w:pPr>
      <w:r w:rsidRPr="00497000">
        <w:rPr>
          <w:sz w:val="24"/>
          <w:szCs w:val="24"/>
          <w:lang w:val="en-US"/>
        </w:rPr>
        <w:t xml:space="preserve">Dose interruptions are recommended for management of CTCAE grade 3 or greater toxicities or intolerable grade 2 toxicities. Dose reductions are recommended for events that, if persistent, could become serious or intolerable. </w:t>
      </w:r>
    </w:p>
    <w:p w14:paraId="417CA080" w14:textId="77777777" w:rsidR="009E1D6F" w:rsidRPr="00497000" w:rsidRDefault="009E1D6F" w:rsidP="00A414A5">
      <w:pPr>
        <w:ind w:left="851"/>
        <w:rPr>
          <w:sz w:val="24"/>
          <w:szCs w:val="24"/>
          <w:lang w:val="en-US"/>
        </w:rPr>
      </w:pPr>
    </w:p>
    <w:p w14:paraId="65262976" w14:textId="77777777" w:rsidR="009E1D6F" w:rsidRPr="00497000" w:rsidRDefault="009E1D6F" w:rsidP="00A414A5">
      <w:pPr>
        <w:ind w:left="851"/>
        <w:rPr>
          <w:sz w:val="24"/>
          <w:szCs w:val="24"/>
          <w:lang w:val="en-US"/>
        </w:rPr>
      </w:pPr>
      <w:r w:rsidRPr="00497000">
        <w:rPr>
          <w:sz w:val="24"/>
          <w:szCs w:val="24"/>
          <w:lang w:val="en-US"/>
        </w:rPr>
        <w:t>If a patient misses a dose, the missed dose should not be taken if it is less than 12 hours before the next dose.</w:t>
      </w:r>
    </w:p>
    <w:p w14:paraId="04118157" w14:textId="77777777" w:rsidR="009E1D6F" w:rsidRPr="00497000" w:rsidRDefault="009E1D6F" w:rsidP="00A414A5">
      <w:pPr>
        <w:ind w:left="851"/>
        <w:rPr>
          <w:sz w:val="24"/>
          <w:szCs w:val="24"/>
          <w:lang w:val="en-US"/>
        </w:rPr>
      </w:pPr>
    </w:p>
    <w:p w14:paraId="2E9BA88B" w14:textId="5E8104F4" w:rsidR="009E1D6F" w:rsidRPr="00497000" w:rsidRDefault="009E1D6F" w:rsidP="009E1D6F">
      <w:pPr>
        <w:rPr>
          <w:b/>
          <w:sz w:val="24"/>
          <w:szCs w:val="24"/>
          <w:lang w:val="en-US"/>
        </w:rPr>
      </w:pPr>
      <w:r w:rsidRPr="00497000">
        <w:rPr>
          <w:b/>
          <w:sz w:val="24"/>
          <w:szCs w:val="24"/>
          <w:lang w:val="en-US"/>
        </w:rPr>
        <w:t xml:space="preserve">Table 1: Recommended </w:t>
      </w:r>
      <w:r w:rsidR="00497000">
        <w:rPr>
          <w:b/>
          <w:sz w:val="24"/>
          <w:szCs w:val="24"/>
          <w:lang w:val="en-US"/>
        </w:rPr>
        <w:t>Hasgobusno</w:t>
      </w:r>
      <w:r w:rsidRPr="00497000">
        <w:rPr>
          <w:sz w:val="24"/>
          <w:szCs w:val="24"/>
          <w:lang w:val="en-US"/>
        </w:rPr>
        <w:t xml:space="preserve"> </w:t>
      </w:r>
      <w:r w:rsidRPr="00497000">
        <w:rPr>
          <w:b/>
          <w:sz w:val="24"/>
          <w:szCs w:val="24"/>
          <w:lang w:val="en-US"/>
        </w:rPr>
        <w:t>dose modifications for adverse reactions</w:t>
      </w:r>
    </w:p>
    <w:p w14:paraId="249DB058" w14:textId="77777777" w:rsidR="009E1D6F" w:rsidRPr="00497000" w:rsidRDefault="009E1D6F" w:rsidP="009E1D6F">
      <w:pPr>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6541"/>
      </w:tblGrid>
      <w:tr w:rsidR="009E1D6F" w:rsidRPr="00497000" w14:paraId="0CBDEB10" w14:textId="77777777" w:rsidTr="00A414A5">
        <w:tc>
          <w:tcPr>
            <w:tcW w:w="1603" w:type="pct"/>
            <w:tcBorders>
              <w:top w:val="single" w:sz="4" w:space="0" w:color="auto"/>
              <w:left w:val="single" w:sz="4" w:space="0" w:color="auto"/>
              <w:bottom w:val="single" w:sz="4" w:space="0" w:color="auto"/>
              <w:right w:val="single" w:sz="4" w:space="0" w:color="auto"/>
            </w:tcBorders>
            <w:hideMark/>
          </w:tcPr>
          <w:p w14:paraId="5082DD42" w14:textId="77777777" w:rsidR="009E1D6F" w:rsidRPr="00497000" w:rsidRDefault="009E1D6F">
            <w:pPr>
              <w:rPr>
                <w:b/>
                <w:sz w:val="24"/>
                <w:szCs w:val="24"/>
              </w:rPr>
            </w:pPr>
            <w:r w:rsidRPr="00497000">
              <w:rPr>
                <w:b/>
                <w:sz w:val="24"/>
                <w:szCs w:val="24"/>
              </w:rPr>
              <w:t xml:space="preserve">Adverse reaction and severity </w:t>
            </w:r>
          </w:p>
        </w:tc>
        <w:tc>
          <w:tcPr>
            <w:tcW w:w="3397" w:type="pct"/>
            <w:tcBorders>
              <w:top w:val="single" w:sz="4" w:space="0" w:color="auto"/>
              <w:left w:val="single" w:sz="4" w:space="0" w:color="auto"/>
              <w:bottom w:val="single" w:sz="4" w:space="0" w:color="auto"/>
              <w:right w:val="single" w:sz="4" w:space="0" w:color="auto"/>
            </w:tcBorders>
            <w:hideMark/>
          </w:tcPr>
          <w:p w14:paraId="476F1D25" w14:textId="77777777" w:rsidR="009E1D6F" w:rsidRPr="00497000" w:rsidRDefault="009E1D6F">
            <w:pPr>
              <w:rPr>
                <w:b/>
                <w:sz w:val="24"/>
                <w:szCs w:val="24"/>
              </w:rPr>
            </w:pPr>
            <w:r w:rsidRPr="00497000">
              <w:rPr>
                <w:b/>
                <w:sz w:val="24"/>
                <w:szCs w:val="24"/>
              </w:rPr>
              <w:t>Treatment modification</w:t>
            </w:r>
          </w:p>
        </w:tc>
      </w:tr>
      <w:tr w:rsidR="009E1D6F" w:rsidRPr="002922BC" w14:paraId="0244625C" w14:textId="77777777" w:rsidTr="00A414A5">
        <w:tc>
          <w:tcPr>
            <w:tcW w:w="1603" w:type="pct"/>
            <w:tcBorders>
              <w:top w:val="single" w:sz="4" w:space="0" w:color="auto"/>
              <w:left w:val="single" w:sz="4" w:space="0" w:color="auto"/>
              <w:bottom w:val="single" w:sz="4" w:space="0" w:color="auto"/>
              <w:right w:val="single" w:sz="4" w:space="0" w:color="auto"/>
            </w:tcBorders>
          </w:tcPr>
          <w:p w14:paraId="39C4021B" w14:textId="6DDB0D83" w:rsidR="009E1D6F" w:rsidRPr="00497000" w:rsidRDefault="009E1D6F" w:rsidP="00497000">
            <w:pPr>
              <w:rPr>
                <w:sz w:val="24"/>
                <w:szCs w:val="24"/>
                <w:lang w:val="en-US"/>
              </w:rPr>
            </w:pPr>
            <w:r w:rsidRPr="00497000">
              <w:rPr>
                <w:sz w:val="24"/>
                <w:szCs w:val="24"/>
                <w:lang w:val="en-US"/>
              </w:rPr>
              <w:t xml:space="preserve">Grade 1 and grade 2 adverse reactions which are tolerable and easily managed </w:t>
            </w:r>
          </w:p>
        </w:tc>
        <w:tc>
          <w:tcPr>
            <w:tcW w:w="3397" w:type="pct"/>
            <w:tcBorders>
              <w:top w:val="single" w:sz="4" w:space="0" w:color="auto"/>
              <w:left w:val="single" w:sz="4" w:space="0" w:color="auto"/>
              <w:bottom w:val="single" w:sz="4" w:space="0" w:color="auto"/>
              <w:right w:val="single" w:sz="4" w:space="0" w:color="auto"/>
            </w:tcBorders>
            <w:hideMark/>
          </w:tcPr>
          <w:p w14:paraId="2F91AA70" w14:textId="77777777" w:rsidR="009E1D6F" w:rsidRPr="00497000" w:rsidRDefault="009E1D6F">
            <w:pPr>
              <w:rPr>
                <w:sz w:val="24"/>
                <w:szCs w:val="24"/>
                <w:lang w:val="en-US"/>
              </w:rPr>
            </w:pPr>
            <w:r w:rsidRPr="00497000">
              <w:rPr>
                <w:sz w:val="24"/>
                <w:szCs w:val="24"/>
                <w:lang w:val="en-US"/>
              </w:rPr>
              <w:t>Dose adjustment is usually not required. Add supportive care as indicated.</w:t>
            </w:r>
          </w:p>
        </w:tc>
      </w:tr>
      <w:tr w:rsidR="009E1D6F" w:rsidRPr="002922BC" w14:paraId="6BEB1977" w14:textId="77777777" w:rsidTr="00A414A5">
        <w:tc>
          <w:tcPr>
            <w:tcW w:w="1603" w:type="pct"/>
            <w:tcBorders>
              <w:top w:val="single" w:sz="4" w:space="0" w:color="auto"/>
              <w:left w:val="single" w:sz="4" w:space="0" w:color="auto"/>
              <w:bottom w:val="single" w:sz="4" w:space="0" w:color="auto"/>
              <w:right w:val="single" w:sz="4" w:space="0" w:color="auto"/>
            </w:tcBorders>
          </w:tcPr>
          <w:p w14:paraId="417E270B" w14:textId="07A248D0" w:rsidR="009E1D6F" w:rsidRPr="00497000" w:rsidRDefault="009E1D6F" w:rsidP="00497000">
            <w:pPr>
              <w:rPr>
                <w:sz w:val="24"/>
                <w:szCs w:val="24"/>
                <w:lang w:val="en-US"/>
              </w:rPr>
            </w:pPr>
            <w:r w:rsidRPr="00497000">
              <w:rPr>
                <w:sz w:val="24"/>
                <w:szCs w:val="24"/>
                <w:lang w:val="en-US"/>
              </w:rPr>
              <w:t>Grade 2 adverse reactions which are intolerable and cannot be managed with a dose reduction or supportive care</w:t>
            </w:r>
          </w:p>
        </w:tc>
        <w:tc>
          <w:tcPr>
            <w:tcW w:w="3397" w:type="pct"/>
            <w:tcBorders>
              <w:top w:val="single" w:sz="4" w:space="0" w:color="auto"/>
              <w:left w:val="single" w:sz="4" w:space="0" w:color="auto"/>
              <w:bottom w:val="single" w:sz="4" w:space="0" w:color="auto"/>
              <w:right w:val="single" w:sz="4" w:space="0" w:color="auto"/>
            </w:tcBorders>
          </w:tcPr>
          <w:p w14:paraId="1FACAB5D" w14:textId="77777777" w:rsidR="009E1D6F" w:rsidRPr="00497000" w:rsidRDefault="009E1D6F">
            <w:pPr>
              <w:rPr>
                <w:sz w:val="24"/>
                <w:szCs w:val="24"/>
                <w:lang w:val="en-US"/>
              </w:rPr>
            </w:pPr>
            <w:r w:rsidRPr="00497000">
              <w:rPr>
                <w:sz w:val="24"/>
                <w:szCs w:val="24"/>
                <w:lang w:val="en-US"/>
              </w:rPr>
              <w:t xml:space="preserve">Interrupt treatment until the adverse reaction resolves to grade ≤1. </w:t>
            </w:r>
          </w:p>
          <w:p w14:paraId="3E36C482" w14:textId="77777777" w:rsidR="009E1D6F" w:rsidRPr="00497000" w:rsidRDefault="009E1D6F">
            <w:pPr>
              <w:rPr>
                <w:sz w:val="24"/>
                <w:szCs w:val="24"/>
                <w:lang w:val="en-US"/>
              </w:rPr>
            </w:pPr>
          </w:p>
          <w:p w14:paraId="561D9222" w14:textId="77777777" w:rsidR="009E1D6F" w:rsidRPr="00497000" w:rsidRDefault="009E1D6F">
            <w:pPr>
              <w:rPr>
                <w:sz w:val="24"/>
                <w:szCs w:val="24"/>
                <w:lang w:val="en-US"/>
              </w:rPr>
            </w:pPr>
            <w:r w:rsidRPr="00497000">
              <w:rPr>
                <w:sz w:val="24"/>
                <w:szCs w:val="24"/>
                <w:lang w:val="en-US"/>
              </w:rPr>
              <w:t xml:space="preserve">Add supportive care as indicated. </w:t>
            </w:r>
          </w:p>
          <w:p w14:paraId="477BF333" w14:textId="77777777" w:rsidR="009E1D6F" w:rsidRPr="00497000" w:rsidRDefault="009E1D6F">
            <w:pPr>
              <w:rPr>
                <w:sz w:val="24"/>
                <w:szCs w:val="24"/>
                <w:lang w:val="en-US"/>
              </w:rPr>
            </w:pPr>
          </w:p>
          <w:p w14:paraId="792DC4FD" w14:textId="77777777" w:rsidR="009E1D6F" w:rsidRPr="00497000" w:rsidRDefault="009E1D6F">
            <w:pPr>
              <w:rPr>
                <w:sz w:val="24"/>
                <w:szCs w:val="24"/>
                <w:lang w:val="en-US"/>
              </w:rPr>
            </w:pPr>
            <w:r w:rsidRPr="00497000">
              <w:rPr>
                <w:sz w:val="24"/>
                <w:szCs w:val="24"/>
                <w:lang w:val="en-US"/>
              </w:rPr>
              <w:t>Consider re-initiating at a reduced dose.</w:t>
            </w:r>
          </w:p>
        </w:tc>
      </w:tr>
      <w:tr w:rsidR="009E1D6F" w:rsidRPr="002922BC" w14:paraId="0AA10566" w14:textId="77777777" w:rsidTr="00A414A5">
        <w:tc>
          <w:tcPr>
            <w:tcW w:w="1603" w:type="pct"/>
            <w:tcBorders>
              <w:top w:val="single" w:sz="4" w:space="0" w:color="auto"/>
              <w:left w:val="single" w:sz="4" w:space="0" w:color="auto"/>
              <w:bottom w:val="single" w:sz="4" w:space="0" w:color="auto"/>
              <w:right w:val="single" w:sz="4" w:space="0" w:color="auto"/>
            </w:tcBorders>
          </w:tcPr>
          <w:p w14:paraId="7A42D55D" w14:textId="77D00E87" w:rsidR="009E1D6F" w:rsidRPr="00497000" w:rsidRDefault="009E1D6F" w:rsidP="00497000">
            <w:pPr>
              <w:rPr>
                <w:sz w:val="24"/>
                <w:szCs w:val="24"/>
                <w:lang w:val="en-US"/>
              </w:rPr>
            </w:pPr>
            <w:r w:rsidRPr="00497000">
              <w:rPr>
                <w:sz w:val="24"/>
                <w:szCs w:val="24"/>
                <w:lang w:val="en-US"/>
              </w:rPr>
              <w:t>Grade 3 adverse reactions (except clinically nonrelevant laboratory abnormalities)</w:t>
            </w:r>
          </w:p>
        </w:tc>
        <w:tc>
          <w:tcPr>
            <w:tcW w:w="3397" w:type="pct"/>
            <w:tcBorders>
              <w:top w:val="single" w:sz="4" w:space="0" w:color="auto"/>
              <w:left w:val="single" w:sz="4" w:space="0" w:color="auto"/>
              <w:bottom w:val="single" w:sz="4" w:space="0" w:color="auto"/>
              <w:right w:val="single" w:sz="4" w:space="0" w:color="auto"/>
            </w:tcBorders>
          </w:tcPr>
          <w:p w14:paraId="7100575B" w14:textId="77777777" w:rsidR="009E1D6F" w:rsidRPr="00497000" w:rsidRDefault="009E1D6F">
            <w:pPr>
              <w:rPr>
                <w:sz w:val="24"/>
                <w:szCs w:val="24"/>
                <w:lang w:val="en-US"/>
              </w:rPr>
            </w:pPr>
            <w:r w:rsidRPr="00497000">
              <w:rPr>
                <w:sz w:val="24"/>
                <w:szCs w:val="24"/>
                <w:lang w:val="en-US"/>
              </w:rPr>
              <w:t xml:space="preserve">Interrupt treatment until the adverse reaction resolves to grade ≤1. </w:t>
            </w:r>
          </w:p>
          <w:p w14:paraId="35242097" w14:textId="77777777" w:rsidR="009E1D6F" w:rsidRPr="00497000" w:rsidRDefault="009E1D6F">
            <w:pPr>
              <w:rPr>
                <w:sz w:val="24"/>
                <w:szCs w:val="24"/>
                <w:lang w:val="en-US"/>
              </w:rPr>
            </w:pPr>
          </w:p>
          <w:p w14:paraId="4603154D" w14:textId="77777777" w:rsidR="009E1D6F" w:rsidRPr="00497000" w:rsidRDefault="009E1D6F">
            <w:pPr>
              <w:rPr>
                <w:sz w:val="24"/>
                <w:szCs w:val="24"/>
                <w:lang w:val="en-US"/>
              </w:rPr>
            </w:pPr>
            <w:r w:rsidRPr="00497000">
              <w:rPr>
                <w:sz w:val="24"/>
                <w:szCs w:val="24"/>
                <w:lang w:val="en-US"/>
              </w:rPr>
              <w:t xml:space="preserve">Add supportive care as indicated. </w:t>
            </w:r>
          </w:p>
          <w:p w14:paraId="7F54F9A5" w14:textId="77777777" w:rsidR="009E1D6F" w:rsidRPr="00497000" w:rsidRDefault="009E1D6F">
            <w:pPr>
              <w:rPr>
                <w:sz w:val="24"/>
                <w:szCs w:val="24"/>
                <w:lang w:val="en-US"/>
              </w:rPr>
            </w:pPr>
          </w:p>
          <w:p w14:paraId="79FA2480" w14:textId="77777777" w:rsidR="009E1D6F" w:rsidRPr="00497000" w:rsidRDefault="009E1D6F">
            <w:pPr>
              <w:rPr>
                <w:sz w:val="24"/>
                <w:szCs w:val="24"/>
                <w:lang w:val="en-US"/>
              </w:rPr>
            </w:pPr>
            <w:r w:rsidRPr="00497000">
              <w:rPr>
                <w:sz w:val="24"/>
                <w:szCs w:val="24"/>
                <w:lang w:val="en-US"/>
              </w:rPr>
              <w:t>Re-initiate at a reduced dose.</w:t>
            </w:r>
          </w:p>
          <w:p w14:paraId="0C57428E" w14:textId="77777777" w:rsidR="009E1D6F" w:rsidRPr="00497000" w:rsidRDefault="009E1D6F">
            <w:pPr>
              <w:rPr>
                <w:sz w:val="24"/>
                <w:szCs w:val="24"/>
                <w:lang w:val="en-US"/>
              </w:rPr>
            </w:pPr>
          </w:p>
        </w:tc>
      </w:tr>
      <w:tr w:rsidR="009E1D6F" w:rsidRPr="002922BC" w14:paraId="456B2DD4" w14:textId="77777777" w:rsidTr="00A414A5">
        <w:tc>
          <w:tcPr>
            <w:tcW w:w="1603" w:type="pct"/>
            <w:tcBorders>
              <w:top w:val="single" w:sz="4" w:space="0" w:color="auto"/>
              <w:left w:val="single" w:sz="4" w:space="0" w:color="auto"/>
              <w:bottom w:val="single" w:sz="4" w:space="0" w:color="auto"/>
              <w:right w:val="single" w:sz="4" w:space="0" w:color="auto"/>
            </w:tcBorders>
          </w:tcPr>
          <w:p w14:paraId="1207F29B" w14:textId="03CA4F60" w:rsidR="009E1D6F" w:rsidRPr="00497000" w:rsidRDefault="009E1D6F" w:rsidP="00497000">
            <w:pPr>
              <w:rPr>
                <w:sz w:val="24"/>
                <w:szCs w:val="24"/>
                <w:lang w:val="en-US"/>
              </w:rPr>
            </w:pPr>
            <w:r w:rsidRPr="00497000">
              <w:rPr>
                <w:sz w:val="24"/>
                <w:szCs w:val="24"/>
                <w:lang w:val="en-US"/>
              </w:rPr>
              <w:t>Grade 4 adverse reactions (except clinically nonrelevant laboratory abnormalities)</w:t>
            </w:r>
          </w:p>
        </w:tc>
        <w:tc>
          <w:tcPr>
            <w:tcW w:w="3397" w:type="pct"/>
            <w:tcBorders>
              <w:top w:val="single" w:sz="4" w:space="0" w:color="auto"/>
              <w:left w:val="single" w:sz="4" w:space="0" w:color="auto"/>
              <w:bottom w:val="single" w:sz="4" w:space="0" w:color="auto"/>
              <w:right w:val="single" w:sz="4" w:space="0" w:color="auto"/>
            </w:tcBorders>
          </w:tcPr>
          <w:p w14:paraId="55F2D11D" w14:textId="77777777" w:rsidR="009E1D6F" w:rsidRPr="00497000" w:rsidRDefault="009E1D6F">
            <w:pPr>
              <w:rPr>
                <w:sz w:val="24"/>
                <w:szCs w:val="24"/>
                <w:lang w:val="en-US"/>
              </w:rPr>
            </w:pPr>
            <w:r w:rsidRPr="00497000">
              <w:rPr>
                <w:sz w:val="24"/>
                <w:szCs w:val="24"/>
                <w:lang w:val="en-US"/>
              </w:rPr>
              <w:t xml:space="preserve">Interrupt treatment. </w:t>
            </w:r>
          </w:p>
          <w:p w14:paraId="5F4D3733" w14:textId="77777777" w:rsidR="009E1D6F" w:rsidRPr="00497000" w:rsidRDefault="009E1D6F">
            <w:pPr>
              <w:rPr>
                <w:sz w:val="24"/>
                <w:szCs w:val="24"/>
                <w:lang w:val="en-US"/>
              </w:rPr>
            </w:pPr>
          </w:p>
          <w:p w14:paraId="304B8E6C" w14:textId="77777777" w:rsidR="009E1D6F" w:rsidRPr="00497000" w:rsidRDefault="009E1D6F">
            <w:pPr>
              <w:rPr>
                <w:sz w:val="24"/>
                <w:szCs w:val="24"/>
                <w:lang w:val="en-US"/>
              </w:rPr>
            </w:pPr>
            <w:r w:rsidRPr="00497000">
              <w:rPr>
                <w:sz w:val="24"/>
                <w:szCs w:val="24"/>
                <w:lang w:val="en-US"/>
              </w:rPr>
              <w:t xml:space="preserve">Institute appropriate medical care. </w:t>
            </w:r>
          </w:p>
          <w:p w14:paraId="5DA3987A" w14:textId="77777777" w:rsidR="009E1D6F" w:rsidRPr="00497000" w:rsidRDefault="009E1D6F">
            <w:pPr>
              <w:rPr>
                <w:sz w:val="24"/>
                <w:szCs w:val="24"/>
                <w:lang w:val="en-US"/>
              </w:rPr>
            </w:pPr>
          </w:p>
          <w:p w14:paraId="681D78F4" w14:textId="77777777" w:rsidR="009E1D6F" w:rsidRPr="00497000" w:rsidRDefault="009E1D6F">
            <w:pPr>
              <w:rPr>
                <w:sz w:val="24"/>
                <w:szCs w:val="24"/>
                <w:lang w:val="en-US"/>
              </w:rPr>
            </w:pPr>
            <w:r w:rsidRPr="00497000">
              <w:rPr>
                <w:sz w:val="24"/>
                <w:szCs w:val="24"/>
                <w:lang w:val="en-US"/>
              </w:rPr>
              <w:t xml:space="preserve">If adverse reaction resolves to grade ≤1, re-initiate at a reduced dose. </w:t>
            </w:r>
          </w:p>
          <w:p w14:paraId="4DB6136A" w14:textId="77777777" w:rsidR="009E1D6F" w:rsidRPr="00497000" w:rsidRDefault="009E1D6F">
            <w:pPr>
              <w:rPr>
                <w:sz w:val="24"/>
                <w:szCs w:val="24"/>
                <w:lang w:val="en-US"/>
              </w:rPr>
            </w:pPr>
          </w:p>
          <w:p w14:paraId="5D139D20" w14:textId="77777777" w:rsidR="009E1D6F" w:rsidRPr="00497000" w:rsidRDefault="009E1D6F">
            <w:pPr>
              <w:rPr>
                <w:sz w:val="24"/>
                <w:szCs w:val="24"/>
                <w:lang w:val="en-US"/>
              </w:rPr>
            </w:pPr>
            <w:r w:rsidRPr="00497000">
              <w:rPr>
                <w:sz w:val="24"/>
                <w:szCs w:val="24"/>
                <w:lang w:val="en-US"/>
              </w:rPr>
              <w:lastRenderedPageBreak/>
              <w:t>If adverse reaction does not resolve, permanently discontinue the treatment.</w:t>
            </w:r>
          </w:p>
          <w:p w14:paraId="547FC9BD" w14:textId="77777777" w:rsidR="009E1D6F" w:rsidRPr="00497000" w:rsidRDefault="009E1D6F">
            <w:pPr>
              <w:rPr>
                <w:sz w:val="24"/>
                <w:szCs w:val="24"/>
                <w:lang w:val="en-US"/>
              </w:rPr>
            </w:pPr>
          </w:p>
        </w:tc>
      </w:tr>
      <w:tr w:rsidR="009E1D6F" w:rsidRPr="002922BC" w14:paraId="18F8FF1F" w14:textId="77777777" w:rsidTr="00A414A5">
        <w:tc>
          <w:tcPr>
            <w:tcW w:w="1603" w:type="pct"/>
            <w:tcBorders>
              <w:top w:val="single" w:sz="4" w:space="0" w:color="auto"/>
              <w:left w:val="single" w:sz="4" w:space="0" w:color="auto"/>
              <w:bottom w:val="single" w:sz="4" w:space="0" w:color="auto"/>
              <w:right w:val="single" w:sz="4" w:space="0" w:color="auto"/>
            </w:tcBorders>
          </w:tcPr>
          <w:p w14:paraId="4D8FA5BB" w14:textId="0353D2F2" w:rsidR="009E1D6F" w:rsidRPr="00497000" w:rsidRDefault="009E1D6F" w:rsidP="00497000">
            <w:pPr>
              <w:rPr>
                <w:sz w:val="24"/>
                <w:szCs w:val="24"/>
                <w:lang w:val="en-US"/>
              </w:rPr>
            </w:pPr>
            <w:r w:rsidRPr="00497000">
              <w:rPr>
                <w:sz w:val="24"/>
                <w:szCs w:val="24"/>
                <w:lang w:val="en-US"/>
              </w:rPr>
              <w:lastRenderedPageBreak/>
              <w:t xml:space="preserve">Liver enzymes elevations for RCC patients treated with </w:t>
            </w:r>
            <w:r w:rsidR="00497000">
              <w:rPr>
                <w:sz w:val="24"/>
                <w:szCs w:val="24"/>
                <w:lang w:val="en-US"/>
              </w:rPr>
              <w:t>Hasgobusno</w:t>
            </w:r>
            <w:r w:rsidRPr="00497000">
              <w:rPr>
                <w:sz w:val="24"/>
                <w:szCs w:val="24"/>
                <w:lang w:val="en-US"/>
              </w:rPr>
              <w:t xml:space="preserve"> in combination with nivolumab</w:t>
            </w:r>
          </w:p>
        </w:tc>
        <w:tc>
          <w:tcPr>
            <w:tcW w:w="3397" w:type="pct"/>
            <w:tcBorders>
              <w:top w:val="single" w:sz="4" w:space="0" w:color="auto"/>
              <w:left w:val="single" w:sz="4" w:space="0" w:color="auto"/>
              <w:bottom w:val="single" w:sz="4" w:space="0" w:color="auto"/>
              <w:right w:val="single" w:sz="4" w:space="0" w:color="auto"/>
            </w:tcBorders>
          </w:tcPr>
          <w:p w14:paraId="1AD5D92B" w14:textId="77777777" w:rsidR="009E1D6F" w:rsidRPr="00497000" w:rsidRDefault="009E1D6F">
            <w:pPr>
              <w:rPr>
                <w:sz w:val="24"/>
                <w:szCs w:val="24"/>
                <w:lang w:val="en-US"/>
              </w:rPr>
            </w:pPr>
          </w:p>
        </w:tc>
      </w:tr>
      <w:tr w:rsidR="009E1D6F" w:rsidRPr="00497000" w14:paraId="6E12BCCC" w14:textId="77777777" w:rsidTr="00A414A5">
        <w:tc>
          <w:tcPr>
            <w:tcW w:w="1603" w:type="pct"/>
            <w:tcBorders>
              <w:top w:val="single" w:sz="4" w:space="0" w:color="auto"/>
              <w:left w:val="single" w:sz="4" w:space="0" w:color="auto"/>
              <w:bottom w:val="single" w:sz="4" w:space="0" w:color="auto"/>
              <w:right w:val="single" w:sz="4" w:space="0" w:color="auto"/>
            </w:tcBorders>
          </w:tcPr>
          <w:p w14:paraId="340A162E" w14:textId="41D042D0" w:rsidR="009E1D6F" w:rsidRPr="00497000" w:rsidRDefault="009E1D6F" w:rsidP="00497000">
            <w:pPr>
              <w:rPr>
                <w:sz w:val="24"/>
                <w:szCs w:val="24"/>
                <w:lang w:val="en-US"/>
              </w:rPr>
            </w:pPr>
            <w:r w:rsidRPr="00497000">
              <w:rPr>
                <w:sz w:val="24"/>
                <w:szCs w:val="24"/>
                <w:lang w:val="en-US"/>
              </w:rPr>
              <w:t>ALT or AST &gt; 3 times ULN but ≤10 times ULN without concurrent total bilirubin ≥ 2 times ULN</w:t>
            </w:r>
          </w:p>
        </w:tc>
        <w:tc>
          <w:tcPr>
            <w:tcW w:w="3397" w:type="pct"/>
            <w:tcBorders>
              <w:top w:val="single" w:sz="4" w:space="0" w:color="auto"/>
              <w:left w:val="single" w:sz="4" w:space="0" w:color="auto"/>
              <w:bottom w:val="single" w:sz="4" w:space="0" w:color="auto"/>
              <w:right w:val="single" w:sz="4" w:space="0" w:color="auto"/>
            </w:tcBorders>
          </w:tcPr>
          <w:p w14:paraId="0201A3AE" w14:textId="4F246731" w:rsidR="009E1D6F" w:rsidRPr="00497000" w:rsidRDefault="009E1D6F">
            <w:pPr>
              <w:rPr>
                <w:sz w:val="24"/>
                <w:szCs w:val="24"/>
                <w:lang w:val="en-US"/>
              </w:rPr>
            </w:pPr>
            <w:r w:rsidRPr="00497000">
              <w:rPr>
                <w:sz w:val="24"/>
                <w:szCs w:val="24"/>
                <w:lang w:val="en-US"/>
              </w:rPr>
              <w:t xml:space="preserve">Interrupt </w:t>
            </w:r>
            <w:r w:rsidR="00497000">
              <w:rPr>
                <w:sz w:val="24"/>
                <w:szCs w:val="24"/>
                <w:lang w:val="en-US"/>
              </w:rPr>
              <w:t>Hasgobusno</w:t>
            </w:r>
            <w:r w:rsidRPr="00497000">
              <w:rPr>
                <w:sz w:val="24"/>
                <w:szCs w:val="24"/>
                <w:lang w:val="en-US"/>
              </w:rPr>
              <w:t xml:space="preserve"> and nivolumab until these adverse reactions resolves to Grade≤1  </w:t>
            </w:r>
          </w:p>
          <w:p w14:paraId="13F0E9D5" w14:textId="77777777" w:rsidR="009E1D6F" w:rsidRPr="00497000" w:rsidRDefault="009E1D6F">
            <w:pPr>
              <w:rPr>
                <w:sz w:val="24"/>
                <w:szCs w:val="24"/>
                <w:lang w:val="en-US"/>
              </w:rPr>
            </w:pPr>
          </w:p>
          <w:p w14:paraId="1C475CE3" w14:textId="77777777" w:rsidR="009E1D6F" w:rsidRPr="00497000" w:rsidRDefault="009E1D6F">
            <w:pPr>
              <w:rPr>
                <w:sz w:val="24"/>
                <w:szCs w:val="24"/>
                <w:lang w:val="en-US"/>
              </w:rPr>
            </w:pPr>
            <w:r w:rsidRPr="00497000">
              <w:rPr>
                <w:sz w:val="24"/>
                <w:szCs w:val="24"/>
                <w:lang w:val="en-US"/>
              </w:rPr>
              <w:t xml:space="preserve">Corticosteroid therapy may be considered if immune-mediated reaction is suspected (refer to nivolumab SmPC). </w:t>
            </w:r>
          </w:p>
          <w:p w14:paraId="78C32609" w14:textId="77777777" w:rsidR="009E1D6F" w:rsidRPr="00497000" w:rsidRDefault="009E1D6F">
            <w:pPr>
              <w:rPr>
                <w:sz w:val="24"/>
                <w:szCs w:val="24"/>
                <w:lang w:val="en-US"/>
              </w:rPr>
            </w:pPr>
          </w:p>
          <w:p w14:paraId="71972299" w14:textId="77777777" w:rsidR="009E1D6F" w:rsidRPr="00497000" w:rsidRDefault="009E1D6F">
            <w:pPr>
              <w:rPr>
                <w:sz w:val="24"/>
                <w:szCs w:val="24"/>
              </w:rPr>
            </w:pPr>
            <w:r w:rsidRPr="00497000">
              <w:rPr>
                <w:sz w:val="24"/>
                <w:szCs w:val="24"/>
                <w:lang w:val="en-US"/>
              </w:rPr>
              <w:t xml:space="preserve">Re-initiate with a single medicine or sequential re-initiating with both medicines after recovery may be considered. </w:t>
            </w:r>
            <w:r w:rsidRPr="00497000">
              <w:rPr>
                <w:sz w:val="24"/>
                <w:szCs w:val="24"/>
              </w:rPr>
              <w:t>If re-initiating with nivolumab, refer to nivolumab SmPC.</w:t>
            </w:r>
          </w:p>
          <w:p w14:paraId="4E17472F" w14:textId="77777777" w:rsidR="009E1D6F" w:rsidRPr="00497000" w:rsidRDefault="009E1D6F">
            <w:pPr>
              <w:rPr>
                <w:sz w:val="24"/>
                <w:szCs w:val="24"/>
              </w:rPr>
            </w:pPr>
          </w:p>
        </w:tc>
      </w:tr>
      <w:tr w:rsidR="009E1D6F" w:rsidRPr="002922BC" w14:paraId="12E5F330" w14:textId="77777777" w:rsidTr="00A414A5">
        <w:tc>
          <w:tcPr>
            <w:tcW w:w="1603" w:type="pct"/>
            <w:tcBorders>
              <w:top w:val="single" w:sz="4" w:space="0" w:color="auto"/>
              <w:left w:val="single" w:sz="4" w:space="0" w:color="auto"/>
              <w:bottom w:val="single" w:sz="4" w:space="0" w:color="auto"/>
              <w:right w:val="single" w:sz="4" w:space="0" w:color="auto"/>
            </w:tcBorders>
          </w:tcPr>
          <w:p w14:paraId="774592F1" w14:textId="6DA0088B" w:rsidR="009E1D6F" w:rsidRPr="00497000" w:rsidRDefault="009E1D6F" w:rsidP="00497000">
            <w:pPr>
              <w:rPr>
                <w:sz w:val="24"/>
                <w:szCs w:val="24"/>
                <w:lang w:val="en-US"/>
              </w:rPr>
            </w:pPr>
            <w:r w:rsidRPr="00497000">
              <w:rPr>
                <w:sz w:val="24"/>
                <w:szCs w:val="24"/>
                <w:lang w:val="en-US"/>
              </w:rPr>
              <w:t>ALT or AST &gt; 10 times ULN or &gt; 3 times ULN with concurrent total bilirubin ≥ 2 times ULN</w:t>
            </w:r>
          </w:p>
        </w:tc>
        <w:tc>
          <w:tcPr>
            <w:tcW w:w="3397" w:type="pct"/>
            <w:tcBorders>
              <w:top w:val="single" w:sz="4" w:space="0" w:color="auto"/>
              <w:left w:val="single" w:sz="4" w:space="0" w:color="auto"/>
              <w:bottom w:val="single" w:sz="4" w:space="0" w:color="auto"/>
              <w:right w:val="single" w:sz="4" w:space="0" w:color="auto"/>
            </w:tcBorders>
          </w:tcPr>
          <w:p w14:paraId="43231DCA" w14:textId="4DD6EBF2" w:rsidR="009E1D6F" w:rsidRPr="00497000" w:rsidRDefault="009E1D6F">
            <w:pPr>
              <w:rPr>
                <w:sz w:val="24"/>
                <w:szCs w:val="24"/>
                <w:lang w:val="en-US"/>
              </w:rPr>
            </w:pPr>
            <w:r w:rsidRPr="00497000">
              <w:rPr>
                <w:sz w:val="24"/>
                <w:szCs w:val="24"/>
                <w:lang w:val="en-US"/>
              </w:rPr>
              <w:t xml:space="preserve">Permanently discontinue </w:t>
            </w:r>
            <w:r w:rsidR="00497000">
              <w:rPr>
                <w:sz w:val="24"/>
                <w:szCs w:val="24"/>
                <w:lang w:val="en-US"/>
              </w:rPr>
              <w:t>Hasgobusno</w:t>
            </w:r>
            <w:r w:rsidRPr="00497000">
              <w:rPr>
                <w:sz w:val="24"/>
                <w:szCs w:val="24"/>
                <w:lang w:val="en-US"/>
              </w:rPr>
              <w:t xml:space="preserve"> and nivolumab. </w:t>
            </w:r>
          </w:p>
          <w:p w14:paraId="353A9A23" w14:textId="77777777" w:rsidR="009E1D6F" w:rsidRPr="00497000" w:rsidRDefault="009E1D6F">
            <w:pPr>
              <w:rPr>
                <w:sz w:val="24"/>
                <w:szCs w:val="24"/>
                <w:lang w:val="en-US"/>
              </w:rPr>
            </w:pPr>
          </w:p>
          <w:p w14:paraId="2437FCB2" w14:textId="77777777" w:rsidR="009E1D6F" w:rsidRPr="00497000" w:rsidRDefault="009E1D6F">
            <w:pPr>
              <w:rPr>
                <w:sz w:val="24"/>
                <w:szCs w:val="24"/>
                <w:lang w:val="en-US"/>
              </w:rPr>
            </w:pPr>
            <w:r w:rsidRPr="00497000">
              <w:rPr>
                <w:sz w:val="24"/>
                <w:szCs w:val="24"/>
                <w:lang w:val="en-US"/>
              </w:rPr>
              <w:t>Corticosteroid therapy may be considered if immune-mediated reaction is suspected (refer to nivolumab SmPC).</w:t>
            </w:r>
          </w:p>
        </w:tc>
      </w:tr>
    </w:tbl>
    <w:p w14:paraId="1AAF2699" w14:textId="77777777" w:rsidR="009E1D6F" w:rsidRPr="00497000" w:rsidRDefault="009E1D6F" w:rsidP="009E1D6F">
      <w:pPr>
        <w:rPr>
          <w:sz w:val="24"/>
          <w:szCs w:val="24"/>
          <w:lang w:val="en-GB" w:eastAsia="en-US"/>
        </w:rPr>
      </w:pPr>
      <w:r w:rsidRPr="00497000">
        <w:rPr>
          <w:sz w:val="24"/>
          <w:szCs w:val="24"/>
          <w:lang w:val="en-US"/>
        </w:rPr>
        <w:t>Note: Toxicity grades are in accordance with National Cancer Institute Common Terminology Criteria for Adverse Events version 4.0 (NCI-CTCAE v4)</w:t>
      </w:r>
    </w:p>
    <w:p w14:paraId="4C686ADD" w14:textId="77777777" w:rsidR="009E1D6F" w:rsidRPr="00497000" w:rsidRDefault="009E1D6F" w:rsidP="009E1D6F">
      <w:pPr>
        <w:rPr>
          <w:sz w:val="24"/>
          <w:szCs w:val="24"/>
          <w:lang w:val="en-US"/>
        </w:rPr>
      </w:pPr>
    </w:p>
    <w:p w14:paraId="5CD86B5D" w14:textId="77777777" w:rsidR="009E1D6F" w:rsidRPr="00497000" w:rsidRDefault="009E1D6F" w:rsidP="00A414A5">
      <w:pPr>
        <w:ind w:left="851"/>
        <w:rPr>
          <w:i/>
          <w:sz w:val="24"/>
          <w:szCs w:val="24"/>
          <w:u w:val="single"/>
          <w:lang w:val="en-US"/>
        </w:rPr>
      </w:pPr>
      <w:r w:rsidRPr="00497000">
        <w:rPr>
          <w:i/>
          <w:sz w:val="24"/>
          <w:szCs w:val="24"/>
          <w:u w:val="single"/>
          <w:lang w:val="en-US"/>
        </w:rPr>
        <w:t xml:space="preserve">Concomitant medicinal products </w:t>
      </w:r>
    </w:p>
    <w:p w14:paraId="759BA8C5" w14:textId="77777777" w:rsidR="009E1D6F" w:rsidRPr="00497000" w:rsidRDefault="009E1D6F" w:rsidP="00A414A5">
      <w:pPr>
        <w:ind w:left="851"/>
        <w:rPr>
          <w:sz w:val="24"/>
          <w:szCs w:val="24"/>
          <w:lang w:val="en-US"/>
        </w:rPr>
      </w:pPr>
      <w:r w:rsidRPr="00497000">
        <w:rPr>
          <w:sz w:val="24"/>
          <w:szCs w:val="24"/>
          <w:lang w:val="en-US"/>
        </w:rPr>
        <w:t xml:space="preserve">Concomitant medicinal products that are strong inhibitors of CYP3A4 should be used with caution, and chronic use of concomitant medicinal products that are strong inducers of CYP3A4 should be avoided (see sections 4.4 and 4.5). </w:t>
      </w:r>
    </w:p>
    <w:p w14:paraId="6FA69389" w14:textId="77777777" w:rsidR="009E1D6F" w:rsidRPr="00497000" w:rsidRDefault="009E1D6F" w:rsidP="00A414A5">
      <w:pPr>
        <w:ind w:left="851"/>
        <w:rPr>
          <w:sz w:val="24"/>
          <w:szCs w:val="24"/>
          <w:lang w:val="en-US"/>
        </w:rPr>
      </w:pPr>
    </w:p>
    <w:p w14:paraId="6476E647" w14:textId="77777777" w:rsidR="009E1D6F" w:rsidRPr="00497000" w:rsidRDefault="009E1D6F" w:rsidP="00A414A5">
      <w:pPr>
        <w:ind w:left="851"/>
        <w:rPr>
          <w:sz w:val="24"/>
          <w:szCs w:val="24"/>
          <w:lang w:val="en-US"/>
        </w:rPr>
      </w:pPr>
      <w:r w:rsidRPr="00497000">
        <w:rPr>
          <w:sz w:val="24"/>
          <w:szCs w:val="24"/>
          <w:lang w:val="en-US"/>
        </w:rPr>
        <w:t xml:space="preserve">Selection of an alternative concomitant medicinal product with no or minimal potential to induce or inhibit CYP3A4 should be considered. </w:t>
      </w:r>
    </w:p>
    <w:p w14:paraId="406D2735" w14:textId="77777777" w:rsidR="009E1D6F" w:rsidRPr="00497000" w:rsidRDefault="009E1D6F" w:rsidP="00A414A5">
      <w:pPr>
        <w:ind w:left="851"/>
        <w:rPr>
          <w:sz w:val="24"/>
          <w:szCs w:val="24"/>
          <w:lang w:val="en-US"/>
        </w:rPr>
      </w:pPr>
    </w:p>
    <w:p w14:paraId="3685E7EF" w14:textId="77777777" w:rsidR="009E1D6F" w:rsidRPr="00497000" w:rsidRDefault="009E1D6F" w:rsidP="00A414A5">
      <w:pPr>
        <w:ind w:left="851"/>
        <w:rPr>
          <w:sz w:val="24"/>
          <w:szCs w:val="24"/>
          <w:u w:val="single"/>
          <w:lang w:val="en-US"/>
        </w:rPr>
      </w:pPr>
      <w:r w:rsidRPr="00497000">
        <w:rPr>
          <w:sz w:val="24"/>
          <w:szCs w:val="24"/>
          <w:u w:val="single"/>
          <w:lang w:val="en-US"/>
        </w:rPr>
        <w:t xml:space="preserve">Special populations </w:t>
      </w:r>
    </w:p>
    <w:p w14:paraId="4A1F80D5" w14:textId="77777777" w:rsidR="009E1D6F" w:rsidRPr="00497000" w:rsidRDefault="009E1D6F" w:rsidP="00A414A5">
      <w:pPr>
        <w:ind w:left="851"/>
        <w:rPr>
          <w:i/>
          <w:sz w:val="24"/>
          <w:szCs w:val="24"/>
          <w:u w:val="single"/>
          <w:lang w:val="en-US"/>
        </w:rPr>
      </w:pPr>
      <w:r w:rsidRPr="00497000">
        <w:rPr>
          <w:i/>
          <w:sz w:val="24"/>
          <w:szCs w:val="24"/>
          <w:u w:val="single"/>
          <w:lang w:val="en-US"/>
        </w:rPr>
        <w:t xml:space="preserve">Elderly </w:t>
      </w:r>
    </w:p>
    <w:p w14:paraId="359E5062" w14:textId="77777777" w:rsidR="009E1D6F" w:rsidRPr="00497000" w:rsidRDefault="009E1D6F" w:rsidP="00A414A5">
      <w:pPr>
        <w:ind w:left="851"/>
        <w:rPr>
          <w:sz w:val="24"/>
          <w:szCs w:val="24"/>
          <w:lang w:val="en-US"/>
        </w:rPr>
      </w:pPr>
      <w:r w:rsidRPr="00497000">
        <w:rPr>
          <w:sz w:val="24"/>
          <w:szCs w:val="24"/>
          <w:lang w:val="en-US"/>
        </w:rPr>
        <w:t xml:space="preserve">No specific dose adjustment for the use of cabozantinib in elderly patients (≥ 65 years) is recommended. </w:t>
      </w:r>
    </w:p>
    <w:p w14:paraId="157E93C0" w14:textId="77777777" w:rsidR="009E1D6F" w:rsidRPr="00497000" w:rsidRDefault="009E1D6F" w:rsidP="00A414A5">
      <w:pPr>
        <w:ind w:left="851"/>
        <w:rPr>
          <w:sz w:val="24"/>
          <w:szCs w:val="24"/>
          <w:lang w:val="en-US"/>
        </w:rPr>
      </w:pPr>
    </w:p>
    <w:p w14:paraId="33F6DF8D" w14:textId="77777777" w:rsidR="009E1D6F" w:rsidRPr="00497000" w:rsidRDefault="009E1D6F" w:rsidP="00A414A5">
      <w:pPr>
        <w:ind w:left="851"/>
        <w:rPr>
          <w:i/>
          <w:sz w:val="24"/>
          <w:szCs w:val="24"/>
          <w:u w:val="single"/>
          <w:lang w:val="en-US"/>
        </w:rPr>
      </w:pPr>
      <w:r w:rsidRPr="00497000">
        <w:rPr>
          <w:i/>
          <w:sz w:val="24"/>
          <w:szCs w:val="24"/>
          <w:u w:val="single"/>
          <w:lang w:val="en-US"/>
        </w:rPr>
        <w:t xml:space="preserve">Race </w:t>
      </w:r>
    </w:p>
    <w:p w14:paraId="20EB03E9" w14:textId="77777777" w:rsidR="009E1D6F" w:rsidRPr="00497000" w:rsidRDefault="009E1D6F" w:rsidP="00A414A5">
      <w:pPr>
        <w:ind w:left="851"/>
        <w:rPr>
          <w:sz w:val="24"/>
          <w:szCs w:val="24"/>
          <w:lang w:val="en-US"/>
        </w:rPr>
      </w:pPr>
      <w:r w:rsidRPr="00497000">
        <w:rPr>
          <w:sz w:val="24"/>
          <w:szCs w:val="24"/>
          <w:lang w:val="en-US"/>
        </w:rPr>
        <w:t xml:space="preserve">No dose adjustment is necessary based on ethnicity (see section 5.2) </w:t>
      </w:r>
    </w:p>
    <w:p w14:paraId="7301B365" w14:textId="77777777" w:rsidR="009E1D6F" w:rsidRPr="00497000" w:rsidRDefault="009E1D6F" w:rsidP="00A414A5">
      <w:pPr>
        <w:ind w:left="851"/>
        <w:rPr>
          <w:sz w:val="24"/>
          <w:szCs w:val="24"/>
          <w:lang w:val="en-US"/>
        </w:rPr>
      </w:pPr>
    </w:p>
    <w:p w14:paraId="234C1AE9" w14:textId="77777777" w:rsidR="009E1D6F" w:rsidRPr="00497000" w:rsidRDefault="009E1D6F" w:rsidP="00A414A5">
      <w:pPr>
        <w:ind w:left="851"/>
        <w:rPr>
          <w:i/>
          <w:sz w:val="24"/>
          <w:szCs w:val="24"/>
          <w:u w:val="single"/>
          <w:lang w:val="en-US"/>
        </w:rPr>
      </w:pPr>
      <w:r w:rsidRPr="00497000">
        <w:rPr>
          <w:i/>
          <w:sz w:val="24"/>
          <w:szCs w:val="24"/>
          <w:u w:val="single"/>
          <w:lang w:val="en-US"/>
        </w:rPr>
        <w:t xml:space="preserve">Renal impairment </w:t>
      </w:r>
    </w:p>
    <w:p w14:paraId="39B121CE" w14:textId="77777777" w:rsidR="009E1D6F" w:rsidRPr="00497000" w:rsidRDefault="009E1D6F" w:rsidP="00A414A5">
      <w:pPr>
        <w:ind w:left="851"/>
        <w:rPr>
          <w:sz w:val="24"/>
          <w:szCs w:val="24"/>
          <w:lang w:val="en-US"/>
        </w:rPr>
      </w:pPr>
      <w:r w:rsidRPr="00497000">
        <w:rPr>
          <w:sz w:val="24"/>
          <w:szCs w:val="24"/>
          <w:lang w:val="en-US"/>
        </w:rPr>
        <w:t xml:space="preserve">Cabozantinib should be used with caution in patients with mild or moderate renal impairment. Cabozantinib is not recommended for use in patients with severe renal impairment as safety and efficacy have not been established in this population. </w:t>
      </w:r>
    </w:p>
    <w:p w14:paraId="5B6AA869" w14:textId="77777777" w:rsidR="009E1D6F" w:rsidRPr="00497000" w:rsidRDefault="009E1D6F" w:rsidP="00A414A5">
      <w:pPr>
        <w:ind w:left="851"/>
        <w:rPr>
          <w:sz w:val="24"/>
          <w:szCs w:val="24"/>
          <w:lang w:val="en-US"/>
        </w:rPr>
      </w:pPr>
    </w:p>
    <w:p w14:paraId="25CBB669" w14:textId="77777777" w:rsidR="009E1D6F" w:rsidRPr="00497000" w:rsidRDefault="009E1D6F" w:rsidP="00A414A5">
      <w:pPr>
        <w:ind w:left="851"/>
        <w:rPr>
          <w:i/>
          <w:sz w:val="24"/>
          <w:szCs w:val="24"/>
          <w:u w:val="single"/>
          <w:lang w:val="en-US"/>
        </w:rPr>
      </w:pPr>
      <w:r w:rsidRPr="00497000">
        <w:rPr>
          <w:i/>
          <w:sz w:val="24"/>
          <w:szCs w:val="24"/>
          <w:u w:val="single"/>
          <w:lang w:val="en-US"/>
        </w:rPr>
        <w:t xml:space="preserve">Hepatic impairment </w:t>
      </w:r>
    </w:p>
    <w:p w14:paraId="1321B410" w14:textId="77777777" w:rsidR="009E1D6F" w:rsidRPr="00497000" w:rsidRDefault="009E1D6F" w:rsidP="00A414A5">
      <w:pPr>
        <w:ind w:left="851"/>
        <w:rPr>
          <w:sz w:val="24"/>
          <w:szCs w:val="24"/>
          <w:lang w:val="en-US"/>
        </w:rPr>
      </w:pPr>
      <w:r w:rsidRPr="00497000">
        <w:rPr>
          <w:sz w:val="24"/>
          <w:szCs w:val="24"/>
          <w:lang w:val="en-US"/>
        </w:rPr>
        <w:t xml:space="preserve">In patients with mild hepatic impairment no dose adjustment is required. Since only limited data are available for patients with moderate hepatic impairment (Child Pugh B), no dosing recommendation can be provided. Close monitoring of overall safety is recommended in these patients (see sections 4.4 and 5.2). There is no clinical experience in patients with </w:t>
      </w:r>
      <w:r w:rsidRPr="00497000">
        <w:rPr>
          <w:sz w:val="24"/>
          <w:szCs w:val="24"/>
          <w:lang w:val="en-US"/>
        </w:rPr>
        <w:lastRenderedPageBreak/>
        <w:t xml:space="preserve">severe hepatic impairment (Child Pugh C), so cabozantinib is not recommended for use in these patients (see section 5.2). </w:t>
      </w:r>
    </w:p>
    <w:p w14:paraId="0F057C18" w14:textId="77777777" w:rsidR="009E1D6F" w:rsidRPr="00497000" w:rsidRDefault="009E1D6F" w:rsidP="00A414A5">
      <w:pPr>
        <w:ind w:left="851"/>
        <w:rPr>
          <w:sz w:val="24"/>
          <w:szCs w:val="24"/>
          <w:lang w:val="en-US"/>
        </w:rPr>
      </w:pPr>
    </w:p>
    <w:p w14:paraId="6076539F" w14:textId="77777777" w:rsidR="009E1D6F" w:rsidRPr="00497000" w:rsidRDefault="009E1D6F" w:rsidP="00A414A5">
      <w:pPr>
        <w:ind w:left="851"/>
        <w:rPr>
          <w:i/>
          <w:sz w:val="24"/>
          <w:szCs w:val="24"/>
          <w:u w:val="single"/>
          <w:lang w:val="en-US"/>
        </w:rPr>
      </w:pPr>
      <w:r w:rsidRPr="00497000">
        <w:rPr>
          <w:i/>
          <w:sz w:val="24"/>
          <w:szCs w:val="24"/>
          <w:u w:val="single"/>
          <w:lang w:val="en-US"/>
        </w:rPr>
        <w:t xml:space="preserve">Cardiac impairment </w:t>
      </w:r>
    </w:p>
    <w:p w14:paraId="3672EFBA" w14:textId="77777777" w:rsidR="009E1D6F" w:rsidRPr="00497000" w:rsidRDefault="009E1D6F" w:rsidP="00A414A5">
      <w:pPr>
        <w:ind w:left="851"/>
        <w:rPr>
          <w:sz w:val="24"/>
          <w:szCs w:val="24"/>
          <w:lang w:val="en-US"/>
        </w:rPr>
      </w:pPr>
      <w:r w:rsidRPr="00497000">
        <w:rPr>
          <w:sz w:val="24"/>
          <w:szCs w:val="24"/>
          <w:lang w:val="en-US"/>
        </w:rPr>
        <w:t xml:space="preserve">There are limited data in patients with cardiac impairment. No specific dosing recommendations can be made. </w:t>
      </w:r>
    </w:p>
    <w:p w14:paraId="72637ACC" w14:textId="77777777" w:rsidR="009E1D6F" w:rsidRPr="00497000" w:rsidRDefault="009E1D6F" w:rsidP="00A414A5">
      <w:pPr>
        <w:ind w:left="851"/>
        <w:rPr>
          <w:sz w:val="24"/>
          <w:szCs w:val="24"/>
          <w:lang w:val="en-US"/>
        </w:rPr>
      </w:pPr>
    </w:p>
    <w:p w14:paraId="6D6AE835" w14:textId="77777777" w:rsidR="009E1D6F" w:rsidRPr="00497000" w:rsidRDefault="009E1D6F" w:rsidP="00A414A5">
      <w:pPr>
        <w:ind w:left="851"/>
        <w:rPr>
          <w:i/>
          <w:sz w:val="24"/>
          <w:szCs w:val="24"/>
          <w:u w:val="single"/>
          <w:lang w:val="en-US"/>
        </w:rPr>
      </w:pPr>
      <w:r w:rsidRPr="00497000">
        <w:rPr>
          <w:i/>
          <w:sz w:val="24"/>
          <w:szCs w:val="24"/>
          <w:u w:val="single"/>
          <w:lang w:val="en-US"/>
        </w:rPr>
        <w:t xml:space="preserve">Paediatric population </w:t>
      </w:r>
    </w:p>
    <w:p w14:paraId="395B1C16" w14:textId="77777777" w:rsidR="009E1D6F" w:rsidRPr="00497000" w:rsidRDefault="009E1D6F" w:rsidP="00A414A5">
      <w:pPr>
        <w:ind w:left="851"/>
        <w:rPr>
          <w:sz w:val="24"/>
          <w:szCs w:val="24"/>
          <w:lang w:val="en-US"/>
        </w:rPr>
      </w:pPr>
      <w:r w:rsidRPr="00497000">
        <w:rPr>
          <w:sz w:val="24"/>
          <w:szCs w:val="24"/>
          <w:lang w:val="en-US"/>
        </w:rPr>
        <w:t>The safety and efficacy of cabozantinib in children and adolescents aged &lt;18 years have not yet been established. Currently available data are described in sections 4.8, 5.1 and 5.2 but no recommendation on a posology can be made.</w:t>
      </w:r>
    </w:p>
    <w:p w14:paraId="775141F2" w14:textId="77777777" w:rsidR="009E1D6F" w:rsidRPr="00497000" w:rsidRDefault="009E1D6F" w:rsidP="00A414A5">
      <w:pPr>
        <w:ind w:left="851"/>
        <w:rPr>
          <w:sz w:val="24"/>
          <w:szCs w:val="24"/>
          <w:lang w:val="en-US"/>
        </w:rPr>
      </w:pPr>
    </w:p>
    <w:p w14:paraId="035BC579" w14:textId="77777777" w:rsidR="009E1D6F" w:rsidRPr="00497000" w:rsidRDefault="009E1D6F" w:rsidP="00A414A5">
      <w:pPr>
        <w:ind w:left="851"/>
        <w:rPr>
          <w:sz w:val="24"/>
          <w:szCs w:val="24"/>
          <w:u w:val="single"/>
          <w:lang w:val="en-US"/>
        </w:rPr>
      </w:pPr>
      <w:r w:rsidRPr="00497000">
        <w:rPr>
          <w:sz w:val="24"/>
          <w:szCs w:val="24"/>
          <w:u w:val="single"/>
          <w:lang w:val="en-US"/>
        </w:rPr>
        <w:t xml:space="preserve">Method of administration </w:t>
      </w:r>
    </w:p>
    <w:p w14:paraId="72B35D70" w14:textId="0E992000" w:rsidR="009E1D6F" w:rsidRPr="00497000" w:rsidRDefault="00497000" w:rsidP="00A414A5">
      <w:pPr>
        <w:ind w:left="851"/>
        <w:rPr>
          <w:sz w:val="24"/>
          <w:szCs w:val="24"/>
          <w:lang w:val="en-US"/>
        </w:rPr>
      </w:pPr>
      <w:r>
        <w:rPr>
          <w:sz w:val="24"/>
          <w:szCs w:val="24"/>
          <w:lang w:val="en-US"/>
        </w:rPr>
        <w:t>Hasgobusno</w:t>
      </w:r>
      <w:r w:rsidR="009E1D6F" w:rsidRPr="00497000">
        <w:rPr>
          <w:sz w:val="24"/>
          <w:szCs w:val="24"/>
          <w:lang w:val="en-US"/>
        </w:rPr>
        <w:t xml:space="preserve"> is for oral use. The tablets should be swallowed whole and not crushed. Patients should be instructed to not eat anything for at least 2 hours before through 1 hour after taking </w:t>
      </w:r>
      <w:r>
        <w:rPr>
          <w:sz w:val="24"/>
          <w:szCs w:val="24"/>
          <w:lang w:val="en-US"/>
        </w:rPr>
        <w:t>Hasgobusno</w:t>
      </w:r>
      <w:r w:rsidR="009E1D6F" w:rsidRPr="00497000">
        <w:rPr>
          <w:sz w:val="24"/>
          <w:szCs w:val="24"/>
          <w:lang w:val="en-US"/>
        </w:rPr>
        <w:t>.</w:t>
      </w:r>
    </w:p>
    <w:p w14:paraId="3FC08D8F" w14:textId="77777777" w:rsidR="007C5D2A" w:rsidRPr="00497000" w:rsidRDefault="007C5D2A" w:rsidP="00A85D26">
      <w:pPr>
        <w:tabs>
          <w:tab w:val="left" w:pos="851"/>
        </w:tabs>
        <w:ind w:left="851"/>
        <w:rPr>
          <w:sz w:val="24"/>
          <w:szCs w:val="24"/>
          <w:lang w:val="en-GB"/>
        </w:rPr>
      </w:pPr>
    </w:p>
    <w:p w14:paraId="59038EA6" w14:textId="77777777" w:rsidR="007C5D2A" w:rsidRPr="00497000" w:rsidRDefault="007C5D2A" w:rsidP="007C5D2A">
      <w:pPr>
        <w:tabs>
          <w:tab w:val="left" w:pos="851"/>
        </w:tabs>
        <w:ind w:left="851" w:hanging="851"/>
        <w:rPr>
          <w:b/>
          <w:sz w:val="24"/>
          <w:szCs w:val="24"/>
          <w:lang w:val="en-GB"/>
        </w:rPr>
      </w:pPr>
      <w:r w:rsidRPr="00497000">
        <w:rPr>
          <w:b/>
          <w:sz w:val="24"/>
          <w:szCs w:val="24"/>
          <w:lang w:val="en-GB"/>
        </w:rPr>
        <w:t>4.3</w:t>
      </w:r>
      <w:r w:rsidRPr="00497000">
        <w:rPr>
          <w:b/>
          <w:sz w:val="24"/>
          <w:szCs w:val="24"/>
          <w:lang w:val="en-GB"/>
        </w:rPr>
        <w:tab/>
        <w:t>Contraindications</w:t>
      </w:r>
    </w:p>
    <w:p w14:paraId="7F374C8C" w14:textId="77777777" w:rsidR="009E1D6F" w:rsidRPr="00497000" w:rsidRDefault="009E1D6F" w:rsidP="00A414A5">
      <w:pPr>
        <w:ind w:left="851"/>
        <w:rPr>
          <w:sz w:val="24"/>
          <w:szCs w:val="24"/>
          <w:lang w:val="en-US"/>
        </w:rPr>
      </w:pPr>
      <w:r w:rsidRPr="00497000">
        <w:rPr>
          <w:sz w:val="24"/>
          <w:szCs w:val="24"/>
          <w:lang w:val="en-US"/>
        </w:rPr>
        <w:t>Hypersensitivity to the active substance or to any of the excipients listed in section 6.1.</w:t>
      </w:r>
    </w:p>
    <w:p w14:paraId="09425340" w14:textId="77777777" w:rsidR="007C5D2A" w:rsidRPr="00497000" w:rsidRDefault="007C5D2A" w:rsidP="003E0341">
      <w:pPr>
        <w:tabs>
          <w:tab w:val="left" w:pos="851"/>
        </w:tabs>
        <w:ind w:left="851"/>
        <w:rPr>
          <w:sz w:val="24"/>
          <w:szCs w:val="24"/>
          <w:lang w:val="en-GB"/>
        </w:rPr>
      </w:pPr>
    </w:p>
    <w:p w14:paraId="50808535" w14:textId="77777777" w:rsidR="007C5D2A" w:rsidRPr="00497000" w:rsidRDefault="007C5D2A" w:rsidP="007C5D2A">
      <w:pPr>
        <w:tabs>
          <w:tab w:val="left" w:pos="851"/>
        </w:tabs>
        <w:rPr>
          <w:b/>
          <w:sz w:val="24"/>
          <w:szCs w:val="24"/>
          <w:lang w:val="en-GB"/>
        </w:rPr>
      </w:pPr>
      <w:r w:rsidRPr="00497000">
        <w:rPr>
          <w:b/>
          <w:sz w:val="24"/>
          <w:szCs w:val="24"/>
          <w:lang w:val="en-GB"/>
        </w:rPr>
        <w:t>4.4</w:t>
      </w:r>
      <w:r w:rsidRPr="00497000">
        <w:rPr>
          <w:b/>
          <w:sz w:val="24"/>
          <w:szCs w:val="24"/>
          <w:lang w:val="en-GB"/>
        </w:rPr>
        <w:tab/>
        <w:t>Special warnings and precautions for use</w:t>
      </w:r>
    </w:p>
    <w:p w14:paraId="1A3D1E82" w14:textId="77777777" w:rsidR="009E1D6F" w:rsidRPr="00497000" w:rsidRDefault="009E1D6F" w:rsidP="00A414A5">
      <w:pPr>
        <w:ind w:left="851"/>
        <w:rPr>
          <w:sz w:val="24"/>
          <w:szCs w:val="24"/>
          <w:lang w:val="en-US"/>
        </w:rPr>
      </w:pPr>
      <w:r w:rsidRPr="00497000">
        <w:rPr>
          <w:sz w:val="24"/>
          <w:szCs w:val="24"/>
          <w:lang w:val="en-US"/>
        </w:rPr>
        <w:t>As most adverse reactions occur early in the course of treatment, the physician should evaluate the patient closely during the first eight weeks of treatment to determine if dose modifications are warranted. Adverse reactions that generally have early onset include hypocalcaemia, hypokalaemia, thrombocytopenia, hypertension, palmar-plantar erythrodysaesthesia syndrome (PPES), proteinuria, and gastrointestinal (GI) events (abdominal pain, mucosal inflammation, constipation, diarrhoea, vomiting).</w:t>
      </w:r>
    </w:p>
    <w:p w14:paraId="35C821D1" w14:textId="77777777" w:rsidR="009E1D6F" w:rsidRPr="00497000" w:rsidRDefault="009E1D6F" w:rsidP="00A414A5">
      <w:pPr>
        <w:ind w:left="851"/>
        <w:rPr>
          <w:sz w:val="24"/>
          <w:szCs w:val="24"/>
          <w:lang w:val="en-US"/>
        </w:rPr>
      </w:pPr>
    </w:p>
    <w:p w14:paraId="59C6186E" w14:textId="77777777" w:rsidR="009E1D6F" w:rsidRPr="00497000" w:rsidRDefault="009E1D6F" w:rsidP="00A414A5">
      <w:pPr>
        <w:ind w:left="851"/>
        <w:rPr>
          <w:sz w:val="24"/>
          <w:szCs w:val="24"/>
          <w:u w:val="single"/>
          <w:lang w:val="en-US"/>
        </w:rPr>
      </w:pPr>
      <w:r w:rsidRPr="00497000">
        <w:rPr>
          <w:sz w:val="24"/>
          <w:szCs w:val="24"/>
          <w:u w:val="single"/>
          <w:lang w:val="en-US"/>
        </w:rPr>
        <w:t xml:space="preserve">Management of suspected adverse reactions may require temporary interruption or dose reduction of cabozantinib therapy (see section 4.2): </w:t>
      </w:r>
    </w:p>
    <w:p w14:paraId="1FA41512" w14:textId="77777777" w:rsidR="009E1D6F" w:rsidRPr="00497000" w:rsidRDefault="009E1D6F" w:rsidP="00A414A5">
      <w:pPr>
        <w:ind w:left="851"/>
        <w:rPr>
          <w:sz w:val="24"/>
          <w:szCs w:val="24"/>
          <w:lang w:val="en-US"/>
        </w:rPr>
      </w:pPr>
      <w:r w:rsidRPr="00497000">
        <w:rPr>
          <w:i/>
          <w:sz w:val="24"/>
          <w:szCs w:val="24"/>
          <w:lang w:val="en-US"/>
        </w:rPr>
        <w:t>In renal cell carcinoma following prior vascular endothelial growth factor (VEGF)-targeted therapy</w:t>
      </w:r>
      <w:r w:rsidRPr="00497000">
        <w:rPr>
          <w:sz w:val="24"/>
          <w:szCs w:val="24"/>
          <w:lang w:val="en-US"/>
        </w:rPr>
        <w:t xml:space="preserve">, dose reductions and dose interruptions due to an adverse event (AE) occurred in 59.8% and 70%, respectively, of cabozantinib-treated patients in the pivotal clinical trial (METEOR). Two dose reductions were required in 19.3% of patients. The median time to first dose reduction was 55 days, and to first dose interruption was 38 days. </w:t>
      </w:r>
    </w:p>
    <w:p w14:paraId="74C91699" w14:textId="77777777" w:rsidR="009E1D6F" w:rsidRPr="00497000" w:rsidRDefault="009E1D6F" w:rsidP="00A414A5">
      <w:pPr>
        <w:ind w:left="851"/>
        <w:rPr>
          <w:sz w:val="24"/>
          <w:szCs w:val="24"/>
          <w:lang w:val="en-US"/>
        </w:rPr>
      </w:pPr>
    </w:p>
    <w:p w14:paraId="6174DB39" w14:textId="77777777" w:rsidR="009E1D6F" w:rsidRPr="00497000" w:rsidRDefault="009E1D6F" w:rsidP="00A414A5">
      <w:pPr>
        <w:ind w:left="851"/>
        <w:rPr>
          <w:sz w:val="24"/>
          <w:szCs w:val="24"/>
          <w:lang w:val="en-US"/>
        </w:rPr>
      </w:pPr>
      <w:r w:rsidRPr="00497000">
        <w:rPr>
          <w:i/>
          <w:sz w:val="24"/>
          <w:szCs w:val="24"/>
          <w:lang w:val="en-US"/>
        </w:rPr>
        <w:t>In treatment-naïve renal cell carcinoma</w:t>
      </w:r>
      <w:r w:rsidRPr="00497000">
        <w:rPr>
          <w:sz w:val="24"/>
          <w:szCs w:val="24"/>
          <w:lang w:val="en-US"/>
        </w:rPr>
        <w:t xml:space="preserve">, dose reductions and dose interruptions occurred in 46% and 73%, respectively, of cabozantinib-treated patients in the clinical trial (CABOSUN). </w:t>
      </w:r>
    </w:p>
    <w:p w14:paraId="5B0B0C6C" w14:textId="77777777" w:rsidR="009E1D6F" w:rsidRPr="00497000" w:rsidRDefault="009E1D6F" w:rsidP="00A414A5">
      <w:pPr>
        <w:ind w:left="851"/>
        <w:rPr>
          <w:sz w:val="24"/>
          <w:szCs w:val="24"/>
          <w:lang w:val="en-US"/>
        </w:rPr>
      </w:pPr>
    </w:p>
    <w:p w14:paraId="51E86898" w14:textId="77777777" w:rsidR="009E1D6F" w:rsidRPr="00497000" w:rsidRDefault="009E1D6F" w:rsidP="00A414A5">
      <w:pPr>
        <w:ind w:left="851"/>
        <w:rPr>
          <w:sz w:val="24"/>
          <w:szCs w:val="24"/>
          <w:lang w:val="en-US"/>
        </w:rPr>
      </w:pPr>
      <w:r w:rsidRPr="00497000">
        <w:rPr>
          <w:i/>
          <w:sz w:val="24"/>
          <w:szCs w:val="24"/>
          <w:lang w:val="en-US"/>
        </w:rPr>
        <w:t>When cabozantinib is given in combination with nivolumab in first-line advanced renal cell carcinoma</w:t>
      </w:r>
      <w:r w:rsidRPr="00497000">
        <w:rPr>
          <w:sz w:val="24"/>
          <w:szCs w:val="24"/>
          <w:lang w:val="en-US"/>
        </w:rPr>
        <w:t xml:space="preserve">, dose reduction and dose interruption of cabozantinib due to an AE occurred in 54.1% and 73.4% of patients in the clinical trial (CA2099ER). Two dose reductions were required in 9.4% of patients. The median time to first dose reduction was 106 days, and to first dose interruption was 68 days. </w:t>
      </w:r>
    </w:p>
    <w:p w14:paraId="5C01757F" w14:textId="77777777" w:rsidR="009E1D6F" w:rsidRPr="00497000" w:rsidRDefault="009E1D6F" w:rsidP="00A414A5">
      <w:pPr>
        <w:ind w:left="851"/>
        <w:rPr>
          <w:sz w:val="24"/>
          <w:szCs w:val="24"/>
          <w:lang w:val="en-US"/>
        </w:rPr>
      </w:pPr>
    </w:p>
    <w:p w14:paraId="3F0560A7" w14:textId="77777777" w:rsidR="009E1D6F" w:rsidRPr="00497000" w:rsidRDefault="009E1D6F" w:rsidP="00A414A5">
      <w:pPr>
        <w:ind w:left="851"/>
        <w:rPr>
          <w:sz w:val="24"/>
          <w:szCs w:val="24"/>
          <w:lang w:val="en-US"/>
        </w:rPr>
      </w:pPr>
      <w:r w:rsidRPr="00497000">
        <w:rPr>
          <w:i/>
          <w:sz w:val="24"/>
          <w:szCs w:val="24"/>
          <w:lang w:val="en-US"/>
        </w:rPr>
        <w:t>In hepatocellular carcinoma following prior systemic therapy</w:t>
      </w:r>
      <w:r w:rsidRPr="00497000">
        <w:rPr>
          <w:sz w:val="24"/>
          <w:szCs w:val="24"/>
          <w:lang w:val="en-US"/>
        </w:rPr>
        <w:t xml:space="preserve">, dose reductions and dose interruptions occurred in 62% and 84%, respectively, of cabozantinib-treated patients in the clinical trial (CELESTIAL). Two dose reductions were required in 33% of patients. The median time to first dose reduction was 38 days, and to first dose interruption was 28 days. Closer monitoring is advised in patients with mild or moderate hepatic impairment. </w:t>
      </w:r>
    </w:p>
    <w:p w14:paraId="4C59C680" w14:textId="77777777" w:rsidR="009E1D6F" w:rsidRPr="00497000" w:rsidRDefault="009E1D6F" w:rsidP="00A414A5">
      <w:pPr>
        <w:ind w:left="851"/>
        <w:rPr>
          <w:sz w:val="24"/>
          <w:szCs w:val="24"/>
          <w:lang w:val="en-US"/>
        </w:rPr>
      </w:pPr>
    </w:p>
    <w:p w14:paraId="2B21028E" w14:textId="77777777" w:rsidR="009E1D6F" w:rsidRPr="00497000" w:rsidRDefault="009E1D6F" w:rsidP="00A414A5">
      <w:pPr>
        <w:ind w:left="851"/>
        <w:rPr>
          <w:sz w:val="24"/>
          <w:szCs w:val="24"/>
          <w:lang w:val="en-US"/>
        </w:rPr>
      </w:pPr>
      <w:r w:rsidRPr="00497000">
        <w:rPr>
          <w:i/>
          <w:sz w:val="24"/>
          <w:szCs w:val="24"/>
          <w:lang w:val="en-US"/>
        </w:rPr>
        <w:t>In differentiated thyroid carcinoma</w:t>
      </w:r>
      <w:r w:rsidRPr="00497000">
        <w:rPr>
          <w:sz w:val="24"/>
          <w:szCs w:val="24"/>
          <w:lang w:val="en-US"/>
        </w:rPr>
        <w:t>, dose reductions and dose interruptions occurred in 67% and 71% respectively of cabozantinib treated patients in the clinical trial (COSMIC-311). Two dose reductions were required in 33% of patients. The median time to first dose reduction was 57 days and to first dose interruption was 38.5 days.</w:t>
      </w:r>
    </w:p>
    <w:p w14:paraId="2C6BC433" w14:textId="77777777" w:rsidR="009E1D6F" w:rsidRPr="00497000" w:rsidRDefault="009E1D6F" w:rsidP="00A414A5">
      <w:pPr>
        <w:ind w:left="851"/>
        <w:rPr>
          <w:sz w:val="24"/>
          <w:szCs w:val="24"/>
          <w:lang w:val="en-US"/>
        </w:rPr>
      </w:pPr>
    </w:p>
    <w:p w14:paraId="3D529E5C" w14:textId="77777777" w:rsidR="009E1D6F" w:rsidRPr="00497000" w:rsidRDefault="009E1D6F" w:rsidP="00A414A5">
      <w:pPr>
        <w:ind w:left="851"/>
        <w:rPr>
          <w:sz w:val="24"/>
          <w:szCs w:val="24"/>
          <w:lang w:val="en-US"/>
        </w:rPr>
      </w:pPr>
      <w:r w:rsidRPr="00497000">
        <w:rPr>
          <w:sz w:val="24"/>
          <w:szCs w:val="24"/>
          <w:u w:val="single"/>
          <w:lang w:val="en-US"/>
        </w:rPr>
        <w:t>Hepatotoxicity</w:t>
      </w:r>
      <w:r w:rsidRPr="00497000">
        <w:rPr>
          <w:sz w:val="24"/>
          <w:szCs w:val="24"/>
          <w:lang w:val="en-US"/>
        </w:rPr>
        <w:t xml:space="preserve"> </w:t>
      </w:r>
    </w:p>
    <w:p w14:paraId="2592145A" w14:textId="77777777" w:rsidR="009E1D6F" w:rsidRPr="00497000" w:rsidRDefault="009E1D6F" w:rsidP="00A414A5">
      <w:pPr>
        <w:ind w:left="851"/>
        <w:rPr>
          <w:sz w:val="24"/>
          <w:szCs w:val="24"/>
          <w:lang w:val="en-US"/>
        </w:rPr>
      </w:pPr>
      <w:r w:rsidRPr="00497000">
        <w:rPr>
          <w:sz w:val="24"/>
          <w:szCs w:val="24"/>
          <w:lang w:val="en-US"/>
        </w:rPr>
        <w:t xml:space="preserve">Abnormalities of liver function tests (increases in alanine aminotransferase [ALT], aspartate aminotransferase [AST] and bilirubin) have been frequently observed in patients treated with cabozantinib. It is recommended to perform liver function tests (ALT, AST and bilirubin) before initiation of cabozantinib treatment and to monitor closely during treatment. For patients with worsening of liver function tests considered related to cabozantinib treatment (i.e. where no alternative cause is evident), the dose modification advice in Table 1 should be followed (see section 4.2). </w:t>
      </w:r>
    </w:p>
    <w:p w14:paraId="70238DDE" w14:textId="77777777" w:rsidR="009E1D6F" w:rsidRPr="00497000" w:rsidRDefault="009E1D6F" w:rsidP="00A414A5">
      <w:pPr>
        <w:ind w:left="851"/>
        <w:rPr>
          <w:sz w:val="24"/>
          <w:szCs w:val="24"/>
          <w:lang w:val="en-US"/>
        </w:rPr>
      </w:pPr>
      <w:r w:rsidRPr="00497000">
        <w:rPr>
          <w:sz w:val="24"/>
          <w:szCs w:val="24"/>
          <w:lang w:val="en-US"/>
        </w:rPr>
        <w:t>When cabozantinib is given in combination with nivolumab, higher frequencies of Grades 3 and 4 ALT and AST elevations have been reported relative to cabozantinib monotherapy in patients with advanced RCC (see section 4.8). Liver enzymes should be monitored before initiation of and periodically throughout treatment. Medical management guidelines for both medicines should be followed (see section 4.2 and refer to the SmPC for nivolumab).</w:t>
      </w:r>
    </w:p>
    <w:p w14:paraId="1F06814D" w14:textId="77777777" w:rsidR="009E1D6F" w:rsidRPr="002922BC" w:rsidRDefault="009E1D6F" w:rsidP="00A414A5">
      <w:pPr>
        <w:ind w:left="851"/>
        <w:rPr>
          <w:iCs/>
          <w:sz w:val="24"/>
          <w:szCs w:val="24"/>
          <w:lang w:val="en-US" w:bidi="he-IL"/>
        </w:rPr>
      </w:pPr>
      <w:r w:rsidRPr="002922BC">
        <w:rPr>
          <w:iCs/>
          <w:sz w:val="24"/>
          <w:szCs w:val="24"/>
          <w:lang w:val="en-US" w:bidi="he-IL"/>
        </w:rPr>
        <w:t xml:space="preserve">Rare instances of vanishing bile duct syndrome have been reported. All cases have occurred in patients who have received immune checkpoint inhibitors, either before or concurrently with cabozantinib treatment. </w:t>
      </w:r>
    </w:p>
    <w:p w14:paraId="579B1FFE" w14:textId="77777777" w:rsidR="009E1D6F" w:rsidRPr="00497000" w:rsidRDefault="009E1D6F" w:rsidP="00A414A5">
      <w:pPr>
        <w:ind w:left="851"/>
        <w:rPr>
          <w:sz w:val="24"/>
          <w:szCs w:val="24"/>
          <w:lang w:val="en-US"/>
        </w:rPr>
      </w:pPr>
      <w:r w:rsidRPr="00497000">
        <w:rPr>
          <w:sz w:val="24"/>
          <w:szCs w:val="24"/>
          <w:lang w:val="en-US"/>
        </w:rPr>
        <w:t xml:space="preserve">Cabozantinib is eliminated mainly via the hepatic route. Closer monitoring of the overall safety is recommended in patients with mild or moderate hepatic impairment (see also sections 4.2 and 5.2). A higher relative proportion of patients with moderate hepatic impairment (Child-Pugh B) developed hepatic encephalopathy with cabozantinib treatment. Cabozantinib is not recommended for use in patients with severe hepatic impairment (Child-Pugh C, see section 4.2). </w:t>
      </w:r>
    </w:p>
    <w:p w14:paraId="752735E0" w14:textId="77777777" w:rsidR="009E1D6F" w:rsidRPr="00497000" w:rsidRDefault="009E1D6F" w:rsidP="00A414A5">
      <w:pPr>
        <w:ind w:left="851"/>
        <w:rPr>
          <w:sz w:val="24"/>
          <w:szCs w:val="24"/>
          <w:lang w:val="en-US"/>
        </w:rPr>
      </w:pPr>
    </w:p>
    <w:p w14:paraId="7C4AD413" w14:textId="77777777" w:rsidR="009E1D6F" w:rsidRPr="00497000" w:rsidRDefault="009E1D6F" w:rsidP="00A414A5">
      <w:pPr>
        <w:ind w:left="851"/>
        <w:rPr>
          <w:sz w:val="24"/>
          <w:szCs w:val="24"/>
          <w:u w:val="single"/>
          <w:lang w:val="en-US"/>
        </w:rPr>
      </w:pPr>
      <w:r w:rsidRPr="00497000">
        <w:rPr>
          <w:sz w:val="24"/>
          <w:szCs w:val="24"/>
          <w:u w:val="single"/>
          <w:lang w:val="en-US"/>
        </w:rPr>
        <w:t xml:space="preserve">Hepatic encephalopathy </w:t>
      </w:r>
    </w:p>
    <w:p w14:paraId="5DB6C6ED" w14:textId="77777777" w:rsidR="009E1D6F" w:rsidRPr="00497000" w:rsidRDefault="009E1D6F" w:rsidP="00A414A5">
      <w:pPr>
        <w:ind w:left="851"/>
        <w:rPr>
          <w:sz w:val="24"/>
          <w:szCs w:val="24"/>
          <w:lang w:val="en-US"/>
        </w:rPr>
      </w:pPr>
      <w:r w:rsidRPr="00497000">
        <w:rPr>
          <w:sz w:val="24"/>
          <w:szCs w:val="24"/>
          <w:lang w:val="en-US"/>
        </w:rPr>
        <w:t>In the HCC study (CELESTIAL), hepatic encephalopathy was reported more frequently in the cabozantinib than the placebo arm. Cabozantinib has been associated with diarrhoea, vomiting, decreased appetite and electrolyte abnormalities. In HCC patients with compromised livers, these non-hepatic effects may be precipitating factors for the development of hepatic encephalopathy. Patients should be monitored for signs and symptoms of hepatic encephalopathy.</w:t>
      </w:r>
    </w:p>
    <w:p w14:paraId="47FA4CD6" w14:textId="77777777" w:rsidR="009E1D6F" w:rsidRPr="00497000" w:rsidRDefault="009E1D6F" w:rsidP="00A414A5">
      <w:pPr>
        <w:ind w:left="851"/>
        <w:rPr>
          <w:sz w:val="24"/>
          <w:szCs w:val="24"/>
          <w:lang w:val="en-US"/>
        </w:rPr>
      </w:pPr>
    </w:p>
    <w:p w14:paraId="6862864E" w14:textId="77777777" w:rsidR="009E1D6F" w:rsidRPr="00497000" w:rsidRDefault="009E1D6F" w:rsidP="00A414A5">
      <w:pPr>
        <w:ind w:left="851"/>
        <w:rPr>
          <w:sz w:val="24"/>
          <w:szCs w:val="24"/>
          <w:u w:val="single"/>
          <w:lang w:val="en-US"/>
        </w:rPr>
      </w:pPr>
      <w:r w:rsidRPr="00497000">
        <w:rPr>
          <w:sz w:val="24"/>
          <w:szCs w:val="24"/>
          <w:u w:val="single"/>
          <w:lang w:val="en-US"/>
        </w:rPr>
        <w:t xml:space="preserve">Perforations and fistulas </w:t>
      </w:r>
    </w:p>
    <w:p w14:paraId="26C75300" w14:textId="77777777" w:rsidR="009E1D6F" w:rsidRPr="00497000" w:rsidRDefault="009E1D6F" w:rsidP="00A414A5">
      <w:pPr>
        <w:ind w:left="851"/>
        <w:rPr>
          <w:sz w:val="24"/>
          <w:szCs w:val="24"/>
          <w:lang w:val="en-US"/>
        </w:rPr>
      </w:pPr>
      <w:r w:rsidRPr="00497000">
        <w:rPr>
          <w:sz w:val="24"/>
          <w:szCs w:val="24"/>
          <w:lang w:val="en-US"/>
        </w:rPr>
        <w:t xml:space="preserve">Serious GI perforations and fistulas, sometimes fatal, have been observed with cabozantinib. Patients who have inflammatory bowel disease (e.g., Crohn’s disease, ulcerative colitis, peritonitis, diverticulitis, or appendicitis), have tumour infiltration in the GI tract, or have complications from prior GI surgery (particularly when associated with delayed or incomplete healing) should be carefully evaluated before initiating cabozantinib therapy and subsequently they should be monitored closely for symptoms of perforations and fistulas including abscesses and sepsis. Persistent or recurring diarrhoea while on treatment may be a risk factor for the development of anal fistula. Cabozantinib should be discontinued in patients who experience a GI perforation or a fistula that cannot be adequately managed. </w:t>
      </w:r>
    </w:p>
    <w:p w14:paraId="47C7F9B8" w14:textId="07F786F0" w:rsidR="00831A6B" w:rsidRDefault="00831A6B">
      <w:pPr>
        <w:rPr>
          <w:sz w:val="24"/>
          <w:szCs w:val="24"/>
          <w:lang w:val="en-US"/>
        </w:rPr>
      </w:pPr>
      <w:r>
        <w:rPr>
          <w:sz w:val="24"/>
          <w:szCs w:val="24"/>
          <w:lang w:val="en-US"/>
        </w:rPr>
        <w:br w:type="page"/>
      </w:r>
    </w:p>
    <w:p w14:paraId="3E004961" w14:textId="77777777" w:rsidR="009E1D6F" w:rsidRPr="00497000" w:rsidRDefault="009E1D6F" w:rsidP="00A414A5">
      <w:pPr>
        <w:ind w:left="851"/>
        <w:rPr>
          <w:sz w:val="24"/>
          <w:szCs w:val="24"/>
          <w:lang w:val="en-US"/>
        </w:rPr>
      </w:pPr>
    </w:p>
    <w:p w14:paraId="5DC3F610" w14:textId="77777777" w:rsidR="009E1D6F" w:rsidRPr="00497000" w:rsidRDefault="009E1D6F" w:rsidP="00A414A5">
      <w:pPr>
        <w:ind w:left="851"/>
        <w:rPr>
          <w:sz w:val="24"/>
          <w:szCs w:val="24"/>
          <w:lang w:val="en-US"/>
        </w:rPr>
      </w:pPr>
      <w:r w:rsidRPr="00497000">
        <w:rPr>
          <w:sz w:val="24"/>
          <w:szCs w:val="24"/>
          <w:u w:val="single"/>
          <w:lang w:val="en-US"/>
        </w:rPr>
        <w:t>Gastrointestinal (GI) disorders</w:t>
      </w:r>
      <w:r w:rsidRPr="00497000">
        <w:rPr>
          <w:sz w:val="24"/>
          <w:szCs w:val="24"/>
          <w:lang w:val="en-US"/>
        </w:rPr>
        <w:t xml:space="preserve"> </w:t>
      </w:r>
    </w:p>
    <w:p w14:paraId="41C3A512" w14:textId="77777777" w:rsidR="009E1D6F" w:rsidRPr="00497000" w:rsidRDefault="009E1D6F" w:rsidP="00A414A5">
      <w:pPr>
        <w:ind w:left="851"/>
        <w:rPr>
          <w:sz w:val="24"/>
          <w:szCs w:val="24"/>
          <w:lang w:val="en-US"/>
        </w:rPr>
      </w:pPr>
      <w:r w:rsidRPr="00497000">
        <w:rPr>
          <w:sz w:val="24"/>
          <w:szCs w:val="24"/>
          <w:lang w:val="en-US"/>
        </w:rPr>
        <w:t xml:space="preserve">Diarrhoea, nausea/vomiting, decreased appetite, and stomatitis/oral pain were some of the most commonly reported GI events (see section 4.8). Prompt medical management, including supportive care with antiemetics, antidiarrhoeals, or antacids, should be instituted to prevent dehydration, electrolyte imbalances and weight loss. Dose interruption or reduction, or permanent discontinuation of cabozantinib should be considered in case of persistent or recurrent significant GI adverse reactions (see Table 1). </w:t>
      </w:r>
    </w:p>
    <w:p w14:paraId="09A0748A" w14:textId="77777777" w:rsidR="009E1D6F" w:rsidRPr="00497000" w:rsidRDefault="009E1D6F" w:rsidP="00A414A5">
      <w:pPr>
        <w:ind w:left="851"/>
        <w:rPr>
          <w:sz w:val="24"/>
          <w:szCs w:val="24"/>
          <w:lang w:val="en-US"/>
        </w:rPr>
      </w:pPr>
    </w:p>
    <w:p w14:paraId="6BA3932B" w14:textId="77777777" w:rsidR="009E1D6F" w:rsidRPr="00497000" w:rsidRDefault="009E1D6F" w:rsidP="00A414A5">
      <w:pPr>
        <w:ind w:left="851"/>
        <w:rPr>
          <w:sz w:val="24"/>
          <w:szCs w:val="24"/>
          <w:lang w:val="en-US"/>
        </w:rPr>
      </w:pPr>
      <w:r w:rsidRPr="00497000">
        <w:rPr>
          <w:sz w:val="24"/>
          <w:szCs w:val="24"/>
          <w:u w:val="single"/>
          <w:lang w:val="en-US"/>
        </w:rPr>
        <w:t>Thromboembolic events</w:t>
      </w:r>
      <w:r w:rsidRPr="00497000">
        <w:rPr>
          <w:sz w:val="24"/>
          <w:szCs w:val="24"/>
          <w:lang w:val="en-US"/>
        </w:rPr>
        <w:t xml:space="preserve"> </w:t>
      </w:r>
    </w:p>
    <w:p w14:paraId="7D51CBEF" w14:textId="77777777" w:rsidR="009E1D6F" w:rsidRPr="00497000" w:rsidRDefault="009E1D6F" w:rsidP="00A414A5">
      <w:pPr>
        <w:ind w:left="851"/>
        <w:rPr>
          <w:sz w:val="24"/>
          <w:szCs w:val="24"/>
          <w:lang w:val="en-US"/>
        </w:rPr>
      </w:pPr>
      <w:r w:rsidRPr="00497000">
        <w:rPr>
          <w:sz w:val="24"/>
          <w:szCs w:val="24"/>
          <w:lang w:val="en-US"/>
        </w:rPr>
        <w:t xml:space="preserve">Events of venous thromboembolism, including pulmonary embolism, and arterial thromboembolism, sometimes fatal, have been observed with cabozantinib. Cabozantinib should be used with caution in patients who are at risk for, or who have a history of, these events. </w:t>
      </w:r>
    </w:p>
    <w:p w14:paraId="46097EA5" w14:textId="77777777" w:rsidR="009E1D6F" w:rsidRPr="00497000" w:rsidRDefault="009E1D6F" w:rsidP="00A414A5">
      <w:pPr>
        <w:ind w:left="851"/>
        <w:rPr>
          <w:sz w:val="24"/>
          <w:szCs w:val="24"/>
          <w:lang w:val="en-US"/>
        </w:rPr>
      </w:pPr>
      <w:r w:rsidRPr="00497000">
        <w:rPr>
          <w:sz w:val="24"/>
          <w:szCs w:val="24"/>
          <w:lang w:val="en-US"/>
        </w:rPr>
        <w:t xml:space="preserve">In the HCC study (CELESTIAL), portal vein thrombosis was observed with cabozantinib, including one fatal event. Patients with a history of portal vein invasion appeared to be at higher risk of developing portal vein thrombosis. Cabozantinib should be discontinued in patients who develop an acute myocardial infarction or any other clinically significant thromboembolic complication. </w:t>
      </w:r>
    </w:p>
    <w:p w14:paraId="754C4C4A" w14:textId="77777777" w:rsidR="009E1D6F" w:rsidRPr="00497000" w:rsidRDefault="009E1D6F" w:rsidP="00A414A5">
      <w:pPr>
        <w:ind w:left="851"/>
        <w:rPr>
          <w:sz w:val="24"/>
          <w:szCs w:val="24"/>
          <w:lang w:val="en-US"/>
        </w:rPr>
      </w:pPr>
    </w:p>
    <w:p w14:paraId="0B17B69C" w14:textId="77777777" w:rsidR="009E1D6F" w:rsidRPr="00497000" w:rsidRDefault="009E1D6F" w:rsidP="00A414A5">
      <w:pPr>
        <w:ind w:left="851"/>
        <w:rPr>
          <w:sz w:val="24"/>
          <w:szCs w:val="24"/>
          <w:lang w:val="en-US"/>
        </w:rPr>
      </w:pPr>
      <w:r w:rsidRPr="00497000">
        <w:rPr>
          <w:sz w:val="24"/>
          <w:szCs w:val="24"/>
          <w:u w:val="single"/>
          <w:lang w:val="en-US"/>
        </w:rPr>
        <w:t>Haemorrhage</w:t>
      </w:r>
      <w:r w:rsidRPr="00497000">
        <w:rPr>
          <w:sz w:val="24"/>
          <w:szCs w:val="24"/>
          <w:lang w:val="en-US"/>
        </w:rPr>
        <w:t xml:space="preserve"> </w:t>
      </w:r>
    </w:p>
    <w:p w14:paraId="27C53EBD" w14:textId="77777777" w:rsidR="009E1D6F" w:rsidRPr="00497000" w:rsidRDefault="009E1D6F" w:rsidP="00A414A5">
      <w:pPr>
        <w:ind w:left="851"/>
        <w:rPr>
          <w:sz w:val="24"/>
          <w:szCs w:val="24"/>
          <w:lang w:val="en-US"/>
        </w:rPr>
      </w:pPr>
      <w:r w:rsidRPr="00497000">
        <w:rPr>
          <w:sz w:val="24"/>
          <w:szCs w:val="24"/>
          <w:lang w:val="en-US"/>
        </w:rPr>
        <w:t xml:space="preserve">Severe haemorrhage, sometimes fatal, has been observed with cabozantinib. Patients who have a history of severe bleeding prior to treatment initiation should be carefully evaluated before initiating cabozantinib therapy. Cabozantinib should not be administered to patients that have or are at risk for severe haemorrhage. </w:t>
      </w:r>
    </w:p>
    <w:p w14:paraId="550497C0" w14:textId="77777777" w:rsidR="009E1D6F" w:rsidRPr="00497000" w:rsidRDefault="009E1D6F" w:rsidP="00A414A5">
      <w:pPr>
        <w:ind w:left="851"/>
        <w:rPr>
          <w:sz w:val="24"/>
          <w:szCs w:val="24"/>
          <w:lang w:val="en-US"/>
        </w:rPr>
      </w:pPr>
      <w:r w:rsidRPr="00497000">
        <w:rPr>
          <w:sz w:val="24"/>
          <w:szCs w:val="24"/>
          <w:lang w:val="en-US"/>
        </w:rPr>
        <w:t xml:space="preserve">In the HCC study (CELESTIAL), fatal haemorrhagic events were reported at a higher incidence with cabozantinib than placebo. Predisposing risk factors for severe haemorrhage in the advanced HCC population may include tumour invasion of major blood vessels and the presence of underlying liver cirrhosis resulting in oesophageal varices, portal hypertension, and thrombocytopenia. The CELESTIAL study excluded patients with concomitant anticoagulation treatment or antiplatelet agents. Subjects with untreated, or incompletely treated, varices with bleeding or high risk for bleeding were also excluded from this study. </w:t>
      </w:r>
    </w:p>
    <w:p w14:paraId="2C3E7858" w14:textId="77777777" w:rsidR="009E1D6F" w:rsidRPr="00497000" w:rsidRDefault="009E1D6F" w:rsidP="00A414A5">
      <w:pPr>
        <w:ind w:left="851"/>
        <w:rPr>
          <w:sz w:val="24"/>
          <w:szCs w:val="24"/>
          <w:lang w:val="en-US"/>
        </w:rPr>
      </w:pPr>
      <w:r w:rsidRPr="00497000">
        <w:rPr>
          <w:sz w:val="24"/>
          <w:szCs w:val="24"/>
          <w:lang w:val="en-US"/>
        </w:rPr>
        <w:t xml:space="preserve">The study of cabozantinib in combination with nivolumab in first-line advanced RCC (CA2099ER) excluded patients with anticoagulants at therapeutic doses. </w:t>
      </w:r>
    </w:p>
    <w:p w14:paraId="739B8867" w14:textId="77777777" w:rsidR="009E1D6F" w:rsidRPr="00497000" w:rsidRDefault="009E1D6F" w:rsidP="00A414A5">
      <w:pPr>
        <w:ind w:left="851"/>
        <w:rPr>
          <w:sz w:val="24"/>
          <w:szCs w:val="24"/>
          <w:lang w:val="en-US"/>
        </w:rPr>
      </w:pPr>
    </w:p>
    <w:p w14:paraId="30CCDFB7" w14:textId="77777777" w:rsidR="009E1D6F" w:rsidRPr="00497000" w:rsidRDefault="009E1D6F" w:rsidP="00A414A5">
      <w:pPr>
        <w:ind w:left="851"/>
        <w:rPr>
          <w:sz w:val="24"/>
          <w:szCs w:val="24"/>
          <w:u w:val="single"/>
          <w:lang w:val="en-US"/>
        </w:rPr>
      </w:pPr>
      <w:r w:rsidRPr="00497000">
        <w:rPr>
          <w:sz w:val="24"/>
          <w:szCs w:val="24"/>
          <w:u w:val="single"/>
          <w:lang w:val="en-US"/>
        </w:rPr>
        <w:t xml:space="preserve">Aneurysms and artery dissections </w:t>
      </w:r>
    </w:p>
    <w:p w14:paraId="3EAF328B" w14:textId="77777777" w:rsidR="009E1D6F" w:rsidRPr="00497000" w:rsidRDefault="009E1D6F" w:rsidP="00A414A5">
      <w:pPr>
        <w:ind w:left="851"/>
        <w:rPr>
          <w:sz w:val="24"/>
          <w:szCs w:val="24"/>
          <w:lang w:val="en-US"/>
        </w:rPr>
      </w:pPr>
      <w:r w:rsidRPr="00497000">
        <w:rPr>
          <w:sz w:val="24"/>
          <w:szCs w:val="24"/>
          <w:lang w:val="en-US"/>
        </w:rPr>
        <w:t xml:space="preserve">The use of VEGF pathway inhibitors in patients with or without hypertension may promote the formation of aneurysms and/or artery dissections. Before initiating cabozantinib, this risk should be carefully considered in patients with risk factors such as hypertension or history of aneurysm. </w:t>
      </w:r>
    </w:p>
    <w:p w14:paraId="6232C7C6" w14:textId="77777777" w:rsidR="009E1D6F" w:rsidRPr="00497000" w:rsidRDefault="009E1D6F" w:rsidP="00A414A5">
      <w:pPr>
        <w:ind w:left="851"/>
        <w:rPr>
          <w:sz w:val="24"/>
          <w:szCs w:val="24"/>
          <w:lang w:val="en-US"/>
        </w:rPr>
      </w:pPr>
    </w:p>
    <w:p w14:paraId="5126E97F" w14:textId="77777777" w:rsidR="009E1D6F" w:rsidRPr="00497000" w:rsidRDefault="009E1D6F" w:rsidP="00A414A5">
      <w:pPr>
        <w:ind w:left="851"/>
        <w:rPr>
          <w:sz w:val="24"/>
          <w:szCs w:val="24"/>
          <w:u w:val="single"/>
          <w:lang w:val="en-US"/>
        </w:rPr>
      </w:pPr>
      <w:r w:rsidRPr="00497000">
        <w:rPr>
          <w:sz w:val="24"/>
          <w:szCs w:val="24"/>
          <w:u w:val="single"/>
          <w:lang w:val="en-US"/>
        </w:rPr>
        <w:t xml:space="preserve">Thrombocytopenia </w:t>
      </w:r>
    </w:p>
    <w:p w14:paraId="5CD87C8F" w14:textId="77777777" w:rsidR="009E1D6F" w:rsidRPr="00497000" w:rsidRDefault="009E1D6F" w:rsidP="00A414A5">
      <w:pPr>
        <w:ind w:left="851"/>
        <w:rPr>
          <w:sz w:val="24"/>
          <w:szCs w:val="24"/>
          <w:lang w:val="en-US"/>
        </w:rPr>
      </w:pPr>
      <w:r w:rsidRPr="00497000">
        <w:rPr>
          <w:sz w:val="24"/>
          <w:szCs w:val="24"/>
          <w:lang w:val="en-US"/>
        </w:rPr>
        <w:t>In the HCC study (CELESTIAL) and in the DTC study (COSMIC-311), thrombocytopenia and decreased platelets were reported. Platelet levels should be monitored during cabozantinib treatment and the dose modified according to the severity of the thrombocytopenia (see Table 1).</w:t>
      </w:r>
    </w:p>
    <w:p w14:paraId="782F6877" w14:textId="77777777" w:rsidR="009E1D6F" w:rsidRPr="00497000" w:rsidRDefault="009E1D6F" w:rsidP="00A414A5">
      <w:pPr>
        <w:ind w:left="851"/>
        <w:rPr>
          <w:sz w:val="24"/>
          <w:szCs w:val="24"/>
          <w:lang w:val="en-US"/>
        </w:rPr>
      </w:pPr>
    </w:p>
    <w:p w14:paraId="4DC79A5C" w14:textId="77777777" w:rsidR="009E1D6F" w:rsidRPr="00497000" w:rsidRDefault="009E1D6F" w:rsidP="00A414A5">
      <w:pPr>
        <w:ind w:left="851"/>
        <w:rPr>
          <w:sz w:val="24"/>
          <w:szCs w:val="24"/>
          <w:lang w:val="en-US"/>
        </w:rPr>
      </w:pPr>
      <w:r w:rsidRPr="00497000">
        <w:rPr>
          <w:sz w:val="24"/>
          <w:szCs w:val="24"/>
          <w:u w:val="single"/>
          <w:lang w:val="en-US"/>
        </w:rPr>
        <w:t>Wound complications</w:t>
      </w:r>
      <w:r w:rsidRPr="00497000">
        <w:rPr>
          <w:sz w:val="24"/>
          <w:szCs w:val="24"/>
          <w:lang w:val="en-US"/>
        </w:rPr>
        <w:t xml:space="preserve"> </w:t>
      </w:r>
    </w:p>
    <w:p w14:paraId="7D79A272" w14:textId="77777777" w:rsidR="009E1D6F" w:rsidRPr="00497000" w:rsidRDefault="009E1D6F" w:rsidP="00A414A5">
      <w:pPr>
        <w:ind w:left="851"/>
        <w:rPr>
          <w:sz w:val="24"/>
          <w:szCs w:val="24"/>
          <w:lang w:val="en-US"/>
        </w:rPr>
      </w:pPr>
      <w:r w:rsidRPr="00497000">
        <w:rPr>
          <w:sz w:val="24"/>
          <w:szCs w:val="24"/>
          <w:lang w:val="en-US"/>
        </w:rPr>
        <w:t xml:space="preserve">Wound complications have been observed with cabozantinib. Cabozantinib treatment should be stopped at least 28 days prior to scheduled surgery, including dental surgery or </w:t>
      </w:r>
      <w:r w:rsidRPr="00497000">
        <w:rPr>
          <w:sz w:val="24"/>
          <w:szCs w:val="24"/>
          <w:lang w:val="en-US"/>
        </w:rPr>
        <w:lastRenderedPageBreak/>
        <w:t xml:space="preserve">invasive dental procedures, if possible. The decision to resume cabozantinib therapy after surgery should be based on clinical judgment of adequate wound healing. Cabozantinib should be discontinued in patients with wound healing complications requiring medical intervention. </w:t>
      </w:r>
    </w:p>
    <w:p w14:paraId="3E59E640" w14:textId="77777777" w:rsidR="009E1D6F" w:rsidRPr="00497000" w:rsidRDefault="009E1D6F" w:rsidP="00A414A5">
      <w:pPr>
        <w:ind w:left="851"/>
        <w:rPr>
          <w:sz w:val="24"/>
          <w:szCs w:val="24"/>
          <w:lang w:val="en-US"/>
        </w:rPr>
      </w:pPr>
    </w:p>
    <w:p w14:paraId="19E30263" w14:textId="77777777" w:rsidR="009E1D6F" w:rsidRPr="00497000" w:rsidRDefault="009E1D6F" w:rsidP="00A414A5">
      <w:pPr>
        <w:ind w:left="851"/>
        <w:rPr>
          <w:sz w:val="24"/>
          <w:szCs w:val="24"/>
          <w:u w:val="single"/>
          <w:lang w:val="en-US"/>
        </w:rPr>
      </w:pPr>
      <w:r w:rsidRPr="00497000">
        <w:rPr>
          <w:sz w:val="24"/>
          <w:szCs w:val="24"/>
          <w:u w:val="single"/>
          <w:lang w:val="en-US"/>
        </w:rPr>
        <w:t xml:space="preserve">Hypertension </w:t>
      </w:r>
    </w:p>
    <w:p w14:paraId="34DF6157" w14:textId="77777777" w:rsidR="009E1D6F" w:rsidRPr="00497000" w:rsidRDefault="009E1D6F" w:rsidP="00A414A5">
      <w:pPr>
        <w:ind w:left="851"/>
        <w:rPr>
          <w:sz w:val="24"/>
          <w:szCs w:val="24"/>
          <w:lang w:val="en-US"/>
        </w:rPr>
      </w:pPr>
      <w:r w:rsidRPr="00497000">
        <w:rPr>
          <w:sz w:val="24"/>
          <w:szCs w:val="24"/>
          <w:lang w:val="en-US"/>
        </w:rPr>
        <w:t xml:space="preserve">Hypertension, including hypertensive crisis has been observed with cabozantinib. Blood pressure should be well-controlled prior to initiating cabozantinib. After cabozantinib initiation, blood pressure should be monitored early and regularly and treated as needed with appropriate antihypertensive therapy. In the case of persistent hypertension despite use of anti-hypertensives, the cabozantinib treatment should be interrupted until blood pressure is controlled, after which cabozantinib can be resumed at a reduced dose. Cabozantinib should be discontinued if hypertension is severe and persistent despite anti-hypertensive therapy and dose reduction of cabozantinib. In case of hypertensive crisis, cabozantinib should be discontinued. </w:t>
      </w:r>
    </w:p>
    <w:p w14:paraId="78A6041E" w14:textId="77777777" w:rsidR="009E1D6F" w:rsidRPr="00497000" w:rsidRDefault="009E1D6F" w:rsidP="00A414A5">
      <w:pPr>
        <w:ind w:left="851"/>
        <w:rPr>
          <w:sz w:val="24"/>
          <w:szCs w:val="24"/>
          <w:lang w:val="en-US"/>
        </w:rPr>
      </w:pPr>
    </w:p>
    <w:p w14:paraId="13F8F7F9" w14:textId="77777777" w:rsidR="009E1D6F" w:rsidRPr="00497000" w:rsidRDefault="009E1D6F" w:rsidP="00A414A5">
      <w:pPr>
        <w:ind w:left="851"/>
        <w:rPr>
          <w:sz w:val="24"/>
          <w:szCs w:val="24"/>
          <w:u w:val="single"/>
          <w:lang w:val="en-US"/>
        </w:rPr>
      </w:pPr>
      <w:r w:rsidRPr="00497000">
        <w:rPr>
          <w:sz w:val="24"/>
          <w:szCs w:val="24"/>
          <w:u w:val="single"/>
          <w:lang w:val="en-US"/>
        </w:rPr>
        <w:t xml:space="preserve">Osteonecrosis </w:t>
      </w:r>
    </w:p>
    <w:p w14:paraId="514DD5B6" w14:textId="77777777" w:rsidR="009E1D6F" w:rsidRPr="00497000" w:rsidRDefault="009E1D6F" w:rsidP="00A414A5">
      <w:pPr>
        <w:ind w:left="851"/>
        <w:rPr>
          <w:sz w:val="24"/>
          <w:szCs w:val="24"/>
          <w:lang w:val="en-US"/>
        </w:rPr>
      </w:pPr>
      <w:r w:rsidRPr="00497000">
        <w:rPr>
          <w:sz w:val="24"/>
          <w:szCs w:val="24"/>
          <w:lang w:val="en-US"/>
        </w:rPr>
        <w:t xml:space="preserve">Events of osteonecrosis of the jaw (ONJ) have been observed with cabozantinib. An oral examination should be performed prior to initiation of cabozantinib and periodically during cabozantinib therapy. Patients should be advised regarding oral hygiene practice. Cabozantinib treatment should be held at least 28 days prior to scheduled dental surgery or invasive dental procedures, if possible. Caution should be used in patients receiving agents associated with ONJ, such as bisphosphonates. Cabozantinib should be discontinued in patients who experience ONJ. </w:t>
      </w:r>
    </w:p>
    <w:p w14:paraId="320C812F" w14:textId="77777777" w:rsidR="009E1D6F" w:rsidRPr="00497000" w:rsidRDefault="009E1D6F" w:rsidP="00A414A5">
      <w:pPr>
        <w:ind w:left="851"/>
        <w:rPr>
          <w:sz w:val="24"/>
          <w:szCs w:val="24"/>
          <w:lang w:val="en-US"/>
        </w:rPr>
      </w:pPr>
    </w:p>
    <w:p w14:paraId="24C4A84A" w14:textId="77777777" w:rsidR="009E1D6F" w:rsidRPr="00497000" w:rsidRDefault="009E1D6F" w:rsidP="00A414A5">
      <w:pPr>
        <w:ind w:left="851"/>
        <w:rPr>
          <w:sz w:val="24"/>
          <w:szCs w:val="24"/>
          <w:lang w:val="en-US"/>
        </w:rPr>
      </w:pPr>
      <w:r w:rsidRPr="00497000">
        <w:rPr>
          <w:sz w:val="24"/>
          <w:szCs w:val="24"/>
          <w:u w:val="single"/>
          <w:lang w:val="en-US"/>
        </w:rPr>
        <w:t>Palmar-plantar erythrodysaesthesia syndrome</w:t>
      </w:r>
      <w:r w:rsidRPr="00497000">
        <w:rPr>
          <w:sz w:val="24"/>
          <w:szCs w:val="24"/>
          <w:lang w:val="en-US"/>
        </w:rPr>
        <w:t xml:space="preserve"> </w:t>
      </w:r>
    </w:p>
    <w:p w14:paraId="2778EBE9" w14:textId="77777777" w:rsidR="009E1D6F" w:rsidRPr="00497000" w:rsidRDefault="009E1D6F" w:rsidP="00A414A5">
      <w:pPr>
        <w:ind w:left="851"/>
        <w:rPr>
          <w:sz w:val="24"/>
          <w:szCs w:val="24"/>
          <w:lang w:val="en-US"/>
        </w:rPr>
      </w:pPr>
      <w:r w:rsidRPr="00497000">
        <w:rPr>
          <w:sz w:val="24"/>
          <w:szCs w:val="24"/>
          <w:lang w:val="en-US"/>
        </w:rPr>
        <w:t xml:space="preserve">Palmar-plantar erythrodysaesthesia syndrome (PPES) has been observed with cabozantinib. When PPES is severe, interruption of treatment with cabozantinib should be considered. Cabozantinib should be restarted with a lower dose when PPES has been resolved to grade 1. </w:t>
      </w:r>
    </w:p>
    <w:p w14:paraId="64FF18FE" w14:textId="77777777" w:rsidR="009E1D6F" w:rsidRPr="00497000" w:rsidRDefault="009E1D6F" w:rsidP="00A414A5">
      <w:pPr>
        <w:ind w:left="851"/>
        <w:rPr>
          <w:sz w:val="24"/>
          <w:szCs w:val="24"/>
          <w:lang w:val="en-US"/>
        </w:rPr>
      </w:pPr>
    </w:p>
    <w:p w14:paraId="296EAFD3" w14:textId="77777777" w:rsidR="009E1D6F" w:rsidRPr="00497000" w:rsidRDefault="009E1D6F" w:rsidP="00A414A5">
      <w:pPr>
        <w:ind w:left="851"/>
        <w:rPr>
          <w:sz w:val="24"/>
          <w:szCs w:val="24"/>
          <w:u w:val="single"/>
          <w:lang w:val="en-US"/>
        </w:rPr>
      </w:pPr>
      <w:r w:rsidRPr="00497000">
        <w:rPr>
          <w:sz w:val="24"/>
          <w:szCs w:val="24"/>
          <w:u w:val="single"/>
          <w:lang w:val="en-US"/>
        </w:rPr>
        <w:t xml:space="preserve">Proteinuria </w:t>
      </w:r>
    </w:p>
    <w:p w14:paraId="165C0C8B" w14:textId="77777777" w:rsidR="009E1D6F" w:rsidRPr="00497000" w:rsidRDefault="009E1D6F" w:rsidP="00A414A5">
      <w:pPr>
        <w:ind w:left="851"/>
        <w:rPr>
          <w:sz w:val="24"/>
          <w:szCs w:val="24"/>
          <w:lang w:val="en-US"/>
        </w:rPr>
      </w:pPr>
      <w:r w:rsidRPr="00497000">
        <w:rPr>
          <w:sz w:val="24"/>
          <w:szCs w:val="24"/>
          <w:lang w:val="en-US"/>
        </w:rPr>
        <w:t xml:space="preserve">Proteinuria has been observed with cabozantinib. Urine protein should be monitored regularly during cabozantinib treatment. Cabozantinib should be discontinued in patients who develop nephrotic syndrome. </w:t>
      </w:r>
    </w:p>
    <w:p w14:paraId="6459F0A2" w14:textId="77777777" w:rsidR="009E1D6F" w:rsidRPr="00497000" w:rsidRDefault="009E1D6F" w:rsidP="00A414A5">
      <w:pPr>
        <w:ind w:left="851"/>
        <w:rPr>
          <w:sz w:val="24"/>
          <w:szCs w:val="24"/>
          <w:lang w:val="en-US"/>
        </w:rPr>
      </w:pPr>
    </w:p>
    <w:p w14:paraId="69716345" w14:textId="77777777" w:rsidR="009E1D6F" w:rsidRPr="00497000" w:rsidRDefault="009E1D6F" w:rsidP="00A414A5">
      <w:pPr>
        <w:ind w:left="851"/>
        <w:rPr>
          <w:sz w:val="24"/>
          <w:szCs w:val="24"/>
          <w:u w:val="single"/>
          <w:lang w:val="en-US"/>
        </w:rPr>
      </w:pPr>
      <w:r w:rsidRPr="00497000">
        <w:rPr>
          <w:sz w:val="24"/>
          <w:szCs w:val="24"/>
          <w:u w:val="single"/>
          <w:lang w:val="en-US"/>
        </w:rPr>
        <w:t xml:space="preserve">Posterior reversible encephalopathy syndrome </w:t>
      </w:r>
    </w:p>
    <w:p w14:paraId="3DFA47E6" w14:textId="77777777" w:rsidR="009E1D6F" w:rsidRPr="00497000" w:rsidRDefault="009E1D6F" w:rsidP="00A414A5">
      <w:pPr>
        <w:ind w:left="851"/>
        <w:rPr>
          <w:sz w:val="24"/>
          <w:szCs w:val="24"/>
          <w:lang w:val="en-US"/>
        </w:rPr>
      </w:pPr>
      <w:r w:rsidRPr="00497000">
        <w:rPr>
          <w:sz w:val="24"/>
          <w:szCs w:val="24"/>
          <w:lang w:val="en-US"/>
        </w:rPr>
        <w:t xml:space="preserve">Posterior reversible encephalopathy syndrome (PRES) has been observed with cabozantinib. This syndrome should be considered in any patient presenting with multiple symptoms, including seizures, headache, visual disturbances, confusion or altered mental function. Cabozantinib treatment should be discontinued in patients with PRES. </w:t>
      </w:r>
    </w:p>
    <w:p w14:paraId="45A529BB" w14:textId="77777777" w:rsidR="009E1D6F" w:rsidRPr="00497000" w:rsidRDefault="009E1D6F" w:rsidP="00A414A5">
      <w:pPr>
        <w:ind w:left="851"/>
        <w:rPr>
          <w:sz w:val="24"/>
          <w:szCs w:val="24"/>
          <w:lang w:val="en-US"/>
        </w:rPr>
      </w:pPr>
    </w:p>
    <w:p w14:paraId="6C3EC957" w14:textId="77777777" w:rsidR="009E1D6F" w:rsidRPr="00497000" w:rsidRDefault="009E1D6F" w:rsidP="00A414A5">
      <w:pPr>
        <w:ind w:left="851"/>
        <w:rPr>
          <w:sz w:val="24"/>
          <w:szCs w:val="24"/>
          <w:u w:val="single"/>
          <w:lang w:val="en-US"/>
        </w:rPr>
      </w:pPr>
      <w:r w:rsidRPr="00497000">
        <w:rPr>
          <w:sz w:val="24"/>
          <w:szCs w:val="24"/>
          <w:u w:val="single"/>
          <w:lang w:val="en-US"/>
        </w:rPr>
        <w:t xml:space="preserve">Prolongation of QT interval </w:t>
      </w:r>
    </w:p>
    <w:p w14:paraId="3FBF09B7" w14:textId="77777777" w:rsidR="009E1D6F" w:rsidRPr="00497000" w:rsidRDefault="009E1D6F" w:rsidP="00A414A5">
      <w:pPr>
        <w:ind w:left="851"/>
        <w:rPr>
          <w:sz w:val="24"/>
          <w:szCs w:val="24"/>
          <w:lang w:val="en-US"/>
        </w:rPr>
      </w:pPr>
      <w:r w:rsidRPr="00497000">
        <w:rPr>
          <w:sz w:val="24"/>
          <w:szCs w:val="24"/>
          <w:lang w:val="en-US"/>
        </w:rPr>
        <w:t xml:space="preserve">Cabozantinib should be used with caution in patients with a history of QT interval prolongation, patients who are taking antiarrhythmics, or patients with relevant pre-existing cardiac disease, bradycardia, or electrolyte disturbances. When using cabozantinib, periodic monitoring with on-treatment ECGs and electrolytes (serum calcium, potassium, and magnesium) should be considered. </w:t>
      </w:r>
    </w:p>
    <w:p w14:paraId="4F1859BF" w14:textId="2C0BDDD0" w:rsidR="00831A6B" w:rsidRDefault="00831A6B">
      <w:pPr>
        <w:rPr>
          <w:sz w:val="24"/>
          <w:szCs w:val="24"/>
          <w:u w:val="single"/>
          <w:lang w:val="en-US"/>
        </w:rPr>
      </w:pPr>
      <w:r>
        <w:rPr>
          <w:sz w:val="24"/>
          <w:szCs w:val="24"/>
          <w:u w:val="single"/>
          <w:lang w:val="en-US"/>
        </w:rPr>
        <w:br w:type="page"/>
      </w:r>
    </w:p>
    <w:p w14:paraId="5E494AA7" w14:textId="77777777" w:rsidR="009E1D6F" w:rsidRPr="00497000" w:rsidRDefault="009E1D6F" w:rsidP="00A414A5">
      <w:pPr>
        <w:ind w:left="851"/>
        <w:rPr>
          <w:sz w:val="24"/>
          <w:szCs w:val="24"/>
          <w:u w:val="single"/>
          <w:lang w:val="en-US"/>
        </w:rPr>
      </w:pPr>
    </w:p>
    <w:p w14:paraId="7437C9CD" w14:textId="77777777" w:rsidR="009E1D6F" w:rsidRPr="00497000" w:rsidRDefault="009E1D6F" w:rsidP="00A414A5">
      <w:pPr>
        <w:ind w:left="851"/>
        <w:rPr>
          <w:sz w:val="24"/>
          <w:szCs w:val="24"/>
          <w:lang w:val="en-US"/>
        </w:rPr>
      </w:pPr>
      <w:r w:rsidRPr="00497000">
        <w:rPr>
          <w:sz w:val="24"/>
          <w:szCs w:val="24"/>
          <w:u w:val="single"/>
          <w:lang w:val="en-US"/>
        </w:rPr>
        <w:t>Thyroid dysfunction</w:t>
      </w:r>
      <w:r w:rsidRPr="00497000">
        <w:rPr>
          <w:sz w:val="24"/>
          <w:szCs w:val="24"/>
          <w:lang w:val="en-US"/>
        </w:rPr>
        <w:t xml:space="preserve"> </w:t>
      </w:r>
    </w:p>
    <w:p w14:paraId="1B45C060" w14:textId="77777777" w:rsidR="009E1D6F" w:rsidRPr="00497000" w:rsidRDefault="009E1D6F" w:rsidP="00A414A5">
      <w:pPr>
        <w:ind w:left="851"/>
        <w:rPr>
          <w:sz w:val="24"/>
          <w:szCs w:val="24"/>
          <w:lang w:val="en-US"/>
        </w:rPr>
      </w:pPr>
      <w:r w:rsidRPr="00497000">
        <w:rPr>
          <w:sz w:val="24"/>
          <w:szCs w:val="24"/>
          <w:lang w:val="en-US"/>
        </w:rPr>
        <w:t xml:space="preserve">Baseline laboratory measurement of thyroid function is recommended in all patients. Patients with pre-existing hypothyroidism or hyperthyroidism should be treated as per standard medical practice prior to the start of cabozantinib treatment. All patients should be observed closely for signs and symptoms of thyroid dysfunction during cabozantinib treatment. Thyroid function should be monitored periodically throughout treatment with cabozantinib. Patients who develop thyroid dysfunction should be treated as per standard medical practice. </w:t>
      </w:r>
    </w:p>
    <w:p w14:paraId="5DF1E2F0" w14:textId="77777777" w:rsidR="009E1D6F" w:rsidRPr="00497000" w:rsidRDefault="009E1D6F" w:rsidP="00A414A5">
      <w:pPr>
        <w:ind w:left="851"/>
        <w:rPr>
          <w:sz w:val="24"/>
          <w:szCs w:val="24"/>
          <w:lang w:val="en-US"/>
        </w:rPr>
      </w:pPr>
    </w:p>
    <w:p w14:paraId="239BF6A4" w14:textId="77777777" w:rsidR="009E1D6F" w:rsidRPr="00497000" w:rsidRDefault="009E1D6F" w:rsidP="00A414A5">
      <w:pPr>
        <w:ind w:left="851"/>
        <w:rPr>
          <w:sz w:val="24"/>
          <w:szCs w:val="24"/>
          <w:u w:val="single"/>
          <w:lang w:val="en-US"/>
        </w:rPr>
      </w:pPr>
      <w:r w:rsidRPr="00497000">
        <w:rPr>
          <w:sz w:val="24"/>
          <w:szCs w:val="24"/>
          <w:u w:val="single"/>
          <w:lang w:val="en-US"/>
        </w:rPr>
        <w:t xml:space="preserve">Biochemical laboratory test abnormalities </w:t>
      </w:r>
    </w:p>
    <w:p w14:paraId="3151C92C" w14:textId="77777777" w:rsidR="009E1D6F" w:rsidRPr="00497000" w:rsidRDefault="009E1D6F" w:rsidP="00A414A5">
      <w:pPr>
        <w:ind w:left="851"/>
        <w:rPr>
          <w:sz w:val="24"/>
          <w:szCs w:val="24"/>
          <w:lang w:val="en-US"/>
        </w:rPr>
      </w:pPr>
      <w:r w:rsidRPr="00497000">
        <w:rPr>
          <w:sz w:val="24"/>
          <w:szCs w:val="24"/>
          <w:lang w:val="en-US"/>
        </w:rPr>
        <w:t xml:space="preserve">Cabozantinib has been associated with an increased incidence of electrolyte abnormalities (including hypo- and hyperkalaemia, hypomagnesaemia, hypocalcaemia, hyponatremia). Hypocalcaemia has been observed with cabozantinib at a higher frequency and/or increased severity (including Grade 3 and 4) in patients with thyroid cancer compared to patients with other cancers. It is recommended to monitor biochemical parameters during cabozantinib treatment and to institute appropriate replacement therapy according to standard clinical practice if required. Cases of hepatic encephalopathy in HCC patients can be attributed to the development of electrolyte disturbances. </w:t>
      </w:r>
    </w:p>
    <w:p w14:paraId="299F5D6D" w14:textId="77777777" w:rsidR="009E1D6F" w:rsidRPr="00497000" w:rsidRDefault="009E1D6F" w:rsidP="00A414A5">
      <w:pPr>
        <w:ind w:left="851"/>
        <w:rPr>
          <w:sz w:val="24"/>
          <w:szCs w:val="24"/>
          <w:lang w:val="en-US"/>
        </w:rPr>
      </w:pPr>
      <w:r w:rsidRPr="00497000">
        <w:rPr>
          <w:sz w:val="24"/>
          <w:szCs w:val="24"/>
          <w:lang w:val="en-US"/>
        </w:rPr>
        <w:t xml:space="preserve">Dose interruption or reduction, or permanent discontinuation of cabozantinib should be considered in case of persistent or recurrent significant abnormalities (see Table 1). </w:t>
      </w:r>
    </w:p>
    <w:p w14:paraId="61CFDA2A" w14:textId="77777777" w:rsidR="009E1D6F" w:rsidRPr="00497000" w:rsidRDefault="009E1D6F" w:rsidP="00A414A5">
      <w:pPr>
        <w:ind w:left="851"/>
        <w:rPr>
          <w:sz w:val="24"/>
          <w:szCs w:val="24"/>
          <w:lang w:val="en-US"/>
        </w:rPr>
      </w:pPr>
    </w:p>
    <w:p w14:paraId="7DF1669B" w14:textId="77777777" w:rsidR="009E1D6F" w:rsidRPr="00497000" w:rsidRDefault="009E1D6F" w:rsidP="00A414A5">
      <w:pPr>
        <w:ind w:left="851"/>
        <w:rPr>
          <w:sz w:val="24"/>
          <w:szCs w:val="24"/>
          <w:u w:val="single"/>
          <w:lang w:val="en-US"/>
        </w:rPr>
      </w:pPr>
      <w:r w:rsidRPr="00497000">
        <w:rPr>
          <w:sz w:val="24"/>
          <w:szCs w:val="24"/>
          <w:u w:val="single"/>
          <w:lang w:val="en-US"/>
        </w:rPr>
        <w:t xml:space="preserve">CYP3A4 inducers and inhibitors </w:t>
      </w:r>
    </w:p>
    <w:p w14:paraId="30FA30FC" w14:textId="77777777" w:rsidR="009E1D6F" w:rsidRPr="00497000" w:rsidRDefault="009E1D6F" w:rsidP="00A414A5">
      <w:pPr>
        <w:ind w:left="851"/>
        <w:rPr>
          <w:sz w:val="24"/>
          <w:szCs w:val="24"/>
          <w:lang w:val="en-US"/>
        </w:rPr>
      </w:pPr>
      <w:r w:rsidRPr="00497000">
        <w:rPr>
          <w:sz w:val="24"/>
          <w:szCs w:val="24"/>
          <w:lang w:val="en-US"/>
        </w:rPr>
        <w:t xml:space="preserve">Cabozantinib is a CYP3A4 substrate. Concurrent administration of cabozantinib with the strong CYP3A4 inhibitor ketoconazole resulted in an increase in cabozantinib plasma exposure. Caution is required when administering cabozantinib with agents that are strong CYP3A4 inhibitors. Concurrent administration of cabozantinib with the strong CYP3A4 inducer rifampicin resulted in a decrease in cabozantinib plasma exposure. Therefore, chronic administration of agents that are strong CYP3A4 inducers with cabozantinib should be avoided (see sections 4.2 and 4.5). </w:t>
      </w:r>
    </w:p>
    <w:p w14:paraId="093603F3" w14:textId="77777777" w:rsidR="009E1D6F" w:rsidRPr="00497000" w:rsidRDefault="009E1D6F" w:rsidP="00A414A5">
      <w:pPr>
        <w:ind w:left="851"/>
        <w:rPr>
          <w:sz w:val="24"/>
          <w:szCs w:val="24"/>
          <w:lang w:val="en-US"/>
        </w:rPr>
      </w:pPr>
    </w:p>
    <w:p w14:paraId="784230EE" w14:textId="77777777" w:rsidR="009E1D6F" w:rsidRPr="00497000" w:rsidRDefault="009E1D6F" w:rsidP="00A414A5">
      <w:pPr>
        <w:ind w:left="851"/>
        <w:rPr>
          <w:sz w:val="24"/>
          <w:szCs w:val="24"/>
          <w:u w:val="single"/>
          <w:lang w:val="en-US"/>
        </w:rPr>
      </w:pPr>
      <w:r w:rsidRPr="00497000">
        <w:rPr>
          <w:sz w:val="24"/>
          <w:szCs w:val="24"/>
          <w:u w:val="single"/>
          <w:lang w:val="en-US"/>
        </w:rPr>
        <w:t xml:space="preserve">P-glycoprotein substrates </w:t>
      </w:r>
    </w:p>
    <w:p w14:paraId="1E5C0862" w14:textId="77777777" w:rsidR="009E1D6F" w:rsidRPr="00497000" w:rsidRDefault="009E1D6F" w:rsidP="00A414A5">
      <w:pPr>
        <w:ind w:left="851"/>
        <w:rPr>
          <w:sz w:val="24"/>
          <w:szCs w:val="24"/>
          <w:lang w:val="en-US"/>
        </w:rPr>
      </w:pPr>
      <w:r w:rsidRPr="00497000">
        <w:rPr>
          <w:sz w:val="24"/>
          <w:szCs w:val="24"/>
          <w:lang w:val="en-US"/>
        </w:rPr>
        <w:t>Cabozantinib was an inhibitor (IC</w:t>
      </w:r>
      <w:r w:rsidRPr="00497000">
        <w:rPr>
          <w:sz w:val="24"/>
          <w:szCs w:val="24"/>
          <w:vertAlign w:val="subscript"/>
          <w:lang w:val="en-US"/>
        </w:rPr>
        <w:t>50</w:t>
      </w:r>
      <w:r w:rsidRPr="00497000">
        <w:rPr>
          <w:sz w:val="24"/>
          <w:szCs w:val="24"/>
          <w:lang w:val="en-US"/>
        </w:rPr>
        <w:t xml:space="preserve"> = 7.0 </w:t>
      </w:r>
      <w:r w:rsidRPr="00497000">
        <w:rPr>
          <w:sz w:val="24"/>
          <w:szCs w:val="24"/>
        </w:rPr>
        <w:t>μ</w:t>
      </w:r>
      <w:r w:rsidRPr="00497000">
        <w:rPr>
          <w:sz w:val="24"/>
          <w:szCs w:val="24"/>
          <w:lang w:val="en-US"/>
        </w:rPr>
        <w:t xml:space="preserve">M), but not a substrate, of P-glycoprotein (P-gp) transport activities in a bi-directional assay system using MDCK-MDR1 cells. Therefore, cabozantinib may have the potential to increase plasma concentrations of co-administered substrates of P-gp. Subjects should be cautioned regarding taking a P-gp substrate (e.g., fexofenadine, aliskiren, ambrisentan, dabigatran etexilate, digoxin, colchicine, maraviroc, posaconazole, ranolazine, saxagliptin, sitagliptin, talinolol, tolvaptan) while receiving cabozantinib (see section 4.5). </w:t>
      </w:r>
    </w:p>
    <w:p w14:paraId="4BBA5D0F" w14:textId="77777777" w:rsidR="009E1D6F" w:rsidRPr="00497000" w:rsidRDefault="009E1D6F" w:rsidP="00A414A5">
      <w:pPr>
        <w:ind w:left="851"/>
        <w:rPr>
          <w:sz w:val="24"/>
          <w:szCs w:val="24"/>
          <w:lang w:val="en-US"/>
        </w:rPr>
      </w:pPr>
    </w:p>
    <w:p w14:paraId="4790F0E6" w14:textId="77777777" w:rsidR="009E1D6F" w:rsidRPr="00497000" w:rsidRDefault="009E1D6F" w:rsidP="00A414A5">
      <w:pPr>
        <w:ind w:left="851"/>
        <w:rPr>
          <w:sz w:val="24"/>
          <w:szCs w:val="24"/>
          <w:u w:val="single"/>
          <w:lang w:val="en-US"/>
        </w:rPr>
      </w:pPr>
      <w:r w:rsidRPr="00497000">
        <w:rPr>
          <w:sz w:val="24"/>
          <w:szCs w:val="24"/>
          <w:u w:val="single"/>
          <w:lang w:val="en-US"/>
        </w:rPr>
        <w:t xml:space="preserve">MRP2 inhibitors </w:t>
      </w:r>
    </w:p>
    <w:p w14:paraId="1E768957" w14:textId="77777777" w:rsidR="009E1D6F" w:rsidRPr="00497000" w:rsidRDefault="009E1D6F" w:rsidP="00A414A5">
      <w:pPr>
        <w:ind w:left="851"/>
        <w:rPr>
          <w:sz w:val="24"/>
          <w:szCs w:val="24"/>
          <w:lang w:val="en-US"/>
        </w:rPr>
      </w:pPr>
      <w:r w:rsidRPr="00497000">
        <w:rPr>
          <w:sz w:val="24"/>
          <w:szCs w:val="24"/>
          <w:lang w:val="en-US"/>
        </w:rPr>
        <w:t xml:space="preserve">Administration of MRP2 inhibitors may result in increases in cabozantinib plasma concentrations. Therefore, concomitant use of MRP2 inhibitors (e.g. cyclosporine, efavirenz, emtricitabine) should be approached with caution (see section 4.5). </w:t>
      </w:r>
    </w:p>
    <w:p w14:paraId="447F83A8" w14:textId="77777777" w:rsidR="009E1D6F" w:rsidRPr="00497000" w:rsidRDefault="009E1D6F" w:rsidP="00A414A5">
      <w:pPr>
        <w:ind w:left="851"/>
        <w:rPr>
          <w:sz w:val="24"/>
          <w:szCs w:val="24"/>
          <w:lang w:val="en-US"/>
        </w:rPr>
      </w:pPr>
    </w:p>
    <w:p w14:paraId="6AEA8E95" w14:textId="77777777" w:rsidR="009E1D6F" w:rsidRPr="00497000" w:rsidRDefault="009E1D6F" w:rsidP="00A414A5">
      <w:pPr>
        <w:ind w:left="851"/>
        <w:rPr>
          <w:sz w:val="24"/>
          <w:szCs w:val="24"/>
          <w:lang w:val="en-US"/>
        </w:rPr>
      </w:pPr>
      <w:r w:rsidRPr="00497000">
        <w:rPr>
          <w:sz w:val="24"/>
          <w:szCs w:val="24"/>
          <w:u w:val="single"/>
          <w:lang w:val="en-US"/>
        </w:rPr>
        <w:t>Excipient</w:t>
      </w:r>
    </w:p>
    <w:p w14:paraId="436CE011" w14:textId="77777777" w:rsidR="009E1D6F" w:rsidRPr="00497000" w:rsidRDefault="009E1D6F" w:rsidP="00A414A5">
      <w:pPr>
        <w:ind w:left="851"/>
        <w:rPr>
          <w:sz w:val="24"/>
          <w:szCs w:val="24"/>
          <w:lang w:val="en-US"/>
        </w:rPr>
      </w:pPr>
      <w:r w:rsidRPr="00497000">
        <w:rPr>
          <w:i/>
          <w:sz w:val="24"/>
          <w:szCs w:val="24"/>
          <w:lang w:val="en-US"/>
        </w:rPr>
        <w:t>Lactose</w:t>
      </w:r>
      <w:r w:rsidRPr="00497000">
        <w:rPr>
          <w:sz w:val="24"/>
          <w:szCs w:val="24"/>
          <w:lang w:val="en-US"/>
        </w:rPr>
        <w:t xml:space="preserve"> </w:t>
      </w:r>
    </w:p>
    <w:p w14:paraId="42DCC26B" w14:textId="77777777" w:rsidR="009E1D6F" w:rsidRPr="00497000" w:rsidRDefault="009E1D6F" w:rsidP="00A414A5">
      <w:pPr>
        <w:ind w:left="851"/>
        <w:rPr>
          <w:sz w:val="24"/>
          <w:szCs w:val="24"/>
          <w:lang w:val="en-US"/>
        </w:rPr>
      </w:pPr>
      <w:r w:rsidRPr="00497000">
        <w:rPr>
          <w:sz w:val="24"/>
          <w:szCs w:val="24"/>
          <w:lang w:val="en-US"/>
        </w:rPr>
        <w:t xml:space="preserve">Patients with rare hereditary problems of galactose intolerance, total lactase deficiency or glucose-galactose malabsorption should not take this medicinal product. </w:t>
      </w:r>
    </w:p>
    <w:p w14:paraId="2A1B5F56" w14:textId="3CC1DD8E" w:rsidR="00831A6B" w:rsidRDefault="00831A6B">
      <w:pPr>
        <w:rPr>
          <w:sz w:val="24"/>
          <w:szCs w:val="24"/>
          <w:lang w:val="en-US"/>
        </w:rPr>
      </w:pPr>
      <w:r>
        <w:rPr>
          <w:sz w:val="24"/>
          <w:szCs w:val="24"/>
          <w:lang w:val="en-US"/>
        </w:rPr>
        <w:br w:type="page"/>
      </w:r>
    </w:p>
    <w:p w14:paraId="745D7835" w14:textId="77777777" w:rsidR="009E1D6F" w:rsidRPr="00497000" w:rsidRDefault="009E1D6F" w:rsidP="00A414A5">
      <w:pPr>
        <w:ind w:left="851"/>
        <w:rPr>
          <w:sz w:val="24"/>
          <w:szCs w:val="24"/>
          <w:lang w:val="en-US"/>
        </w:rPr>
      </w:pPr>
    </w:p>
    <w:p w14:paraId="77251F42" w14:textId="77777777" w:rsidR="009E1D6F" w:rsidRPr="00497000" w:rsidRDefault="009E1D6F" w:rsidP="00A414A5">
      <w:pPr>
        <w:ind w:left="851"/>
        <w:rPr>
          <w:sz w:val="24"/>
          <w:szCs w:val="24"/>
          <w:lang w:val="en-US"/>
        </w:rPr>
      </w:pPr>
      <w:r w:rsidRPr="00497000">
        <w:rPr>
          <w:i/>
          <w:sz w:val="24"/>
          <w:szCs w:val="24"/>
          <w:lang w:val="en-US"/>
        </w:rPr>
        <w:t>Sodium</w:t>
      </w:r>
      <w:r w:rsidRPr="00497000">
        <w:rPr>
          <w:sz w:val="24"/>
          <w:szCs w:val="24"/>
          <w:lang w:val="en-US"/>
        </w:rPr>
        <w:t xml:space="preserve"> </w:t>
      </w:r>
    </w:p>
    <w:p w14:paraId="662D2FF2" w14:textId="77777777" w:rsidR="009E1D6F" w:rsidRPr="00497000" w:rsidRDefault="009E1D6F" w:rsidP="00A414A5">
      <w:pPr>
        <w:ind w:left="851"/>
        <w:rPr>
          <w:sz w:val="24"/>
          <w:szCs w:val="24"/>
          <w:lang w:val="en-US"/>
        </w:rPr>
      </w:pPr>
      <w:r w:rsidRPr="00497000">
        <w:rPr>
          <w:sz w:val="24"/>
          <w:szCs w:val="24"/>
          <w:lang w:val="en-US"/>
        </w:rPr>
        <w:t>This medicinal product contains less than 1 mmol sodium (23 mg) per tablet, that is to say essentially “sodium-free”.</w:t>
      </w:r>
    </w:p>
    <w:p w14:paraId="59EDB57C" w14:textId="77777777" w:rsidR="007C5D2A" w:rsidRPr="00497000" w:rsidRDefault="007C5D2A" w:rsidP="003E0341">
      <w:pPr>
        <w:tabs>
          <w:tab w:val="left" w:pos="851"/>
        </w:tabs>
        <w:ind w:left="851"/>
        <w:rPr>
          <w:sz w:val="24"/>
          <w:szCs w:val="24"/>
          <w:lang w:val="en-GB"/>
        </w:rPr>
      </w:pPr>
    </w:p>
    <w:p w14:paraId="0F583908" w14:textId="77777777" w:rsidR="007C5D2A" w:rsidRPr="00497000" w:rsidRDefault="007C5D2A" w:rsidP="007C5D2A">
      <w:pPr>
        <w:ind w:left="851" w:hanging="851"/>
        <w:rPr>
          <w:b/>
          <w:sz w:val="24"/>
          <w:szCs w:val="24"/>
          <w:lang w:val="en-GB"/>
        </w:rPr>
      </w:pPr>
      <w:r w:rsidRPr="00497000">
        <w:rPr>
          <w:b/>
          <w:sz w:val="24"/>
          <w:szCs w:val="24"/>
          <w:lang w:val="en-GB"/>
        </w:rPr>
        <w:t>4.5</w:t>
      </w:r>
      <w:r w:rsidRPr="00497000">
        <w:rPr>
          <w:b/>
          <w:sz w:val="24"/>
          <w:szCs w:val="24"/>
          <w:lang w:val="en-GB"/>
        </w:rPr>
        <w:tab/>
        <w:t>Interaction with other medicinal products and other forms of interaction</w:t>
      </w:r>
    </w:p>
    <w:p w14:paraId="1E39DD87" w14:textId="77777777" w:rsidR="00720E32" w:rsidRDefault="00720E32" w:rsidP="00A414A5">
      <w:pPr>
        <w:ind w:left="851"/>
        <w:rPr>
          <w:sz w:val="24"/>
          <w:szCs w:val="24"/>
          <w:lang w:val="en-GB"/>
        </w:rPr>
      </w:pPr>
    </w:p>
    <w:p w14:paraId="41B1625F" w14:textId="54500E1A" w:rsidR="009E1D6F" w:rsidRPr="00720E32" w:rsidRDefault="009E1D6F" w:rsidP="00A414A5">
      <w:pPr>
        <w:ind w:left="851"/>
        <w:rPr>
          <w:sz w:val="24"/>
          <w:szCs w:val="24"/>
          <w:u w:val="single"/>
          <w:lang w:val="en-US"/>
        </w:rPr>
      </w:pPr>
      <w:r w:rsidRPr="00720E32">
        <w:rPr>
          <w:sz w:val="24"/>
          <w:szCs w:val="24"/>
          <w:u w:val="single"/>
          <w:lang w:val="en-US"/>
        </w:rPr>
        <w:t xml:space="preserve">Effect of other medicinal products on cabozantinib </w:t>
      </w:r>
    </w:p>
    <w:p w14:paraId="4D17A470" w14:textId="77777777" w:rsidR="009E1D6F" w:rsidRPr="00497000" w:rsidRDefault="009E1D6F" w:rsidP="00A414A5">
      <w:pPr>
        <w:ind w:left="851"/>
        <w:rPr>
          <w:sz w:val="24"/>
          <w:szCs w:val="24"/>
          <w:lang w:val="en-US"/>
        </w:rPr>
      </w:pPr>
    </w:p>
    <w:p w14:paraId="1F0C32EF" w14:textId="77777777" w:rsidR="009E1D6F" w:rsidRPr="00497000" w:rsidRDefault="009E1D6F" w:rsidP="00A414A5">
      <w:pPr>
        <w:ind w:left="851"/>
        <w:rPr>
          <w:i/>
          <w:sz w:val="24"/>
          <w:szCs w:val="24"/>
          <w:lang w:val="en-US"/>
        </w:rPr>
      </w:pPr>
      <w:r w:rsidRPr="00497000">
        <w:rPr>
          <w:i/>
          <w:sz w:val="24"/>
          <w:szCs w:val="24"/>
          <w:lang w:val="en-US"/>
        </w:rPr>
        <w:t xml:space="preserve">CYP3A4 inhibitors and inducers </w:t>
      </w:r>
    </w:p>
    <w:p w14:paraId="320AB0EC" w14:textId="77777777" w:rsidR="009E1D6F" w:rsidRPr="00497000" w:rsidRDefault="009E1D6F" w:rsidP="00A414A5">
      <w:pPr>
        <w:ind w:left="851"/>
        <w:rPr>
          <w:sz w:val="24"/>
          <w:szCs w:val="24"/>
          <w:lang w:val="en-US"/>
        </w:rPr>
      </w:pPr>
      <w:r w:rsidRPr="00497000">
        <w:rPr>
          <w:sz w:val="24"/>
          <w:szCs w:val="24"/>
          <w:lang w:val="en-US"/>
        </w:rPr>
        <w:t>Administration of the strong CYP3A4 inhibitor ketoconazole (400 mg daily for 27 days) to healthy volunteers decreased cabozantinib clearance (by 29%) and increased single-dose plasma cabozantinib exposure (AUC) by 38%. Therefore, co-administration of strong CYP3A4 inhibitors (e.g., ritonavir, itraconazole, erythromycin, clarithromycin, grapefruit juice) with cabozantinib should be approached with caution.</w:t>
      </w:r>
    </w:p>
    <w:p w14:paraId="5F322D1E" w14:textId="77777777" w:rsidR="009E1D6F" w:rsidRPr="00497000" w:rsidRDefault="009E1D6F" w:rsidP="00A414A5">
      <w:pPr>
        <w:ind w:left="851"/>
        <w:rPr>
          <w:sz w:val="24"/>
          <w:szCs w:val="24"/>
          <w:lang w:val="en-US"/>
        </w:rPr>
      </w:pPr>
    </w:p>
    <w:p w14:paraId="22F9BA82" w14:textId="77777777" w:rsidR="009E1D6F" w:rsidRPr="00497000" w:rsidRDefault="009E1D6F" w:rsidP="00A414A5">
      <w:pPr>
        <w:ind w:left="851"/>
        <w:rPr>
          <w:sz w:val="24"/>
          <w:szCs w:val="24"/>
          <w:lang w:val="en-US"/>
        </w:rPr>
      </w:pPr>
      <w:r w:rsidRPr="00497000">
        <w:rPr>
          <w:sz w:val="24"/>
          <w:szCs w:val="24"/>
          <w:lang w:val="en-US"/>
        </w:rPr>
        <w:t>Administration of the strong CYP3A4 inducer rifampicin (600 mg daily for 31 days) to healthy volunteers increased cabozantinib clearance (4.3-fold) and decreased single-dose plasma cabozantinib exposure (AUC) by 77%. Chronic co-administration of strong CYP3A4 inducers (e.g., phenytoin, carbamazepine, rifampicin, phenobarbital or herbal preparations containing St. John’s Wort [</w:t>
      </w:r>
      <w:r w:rsidRPr="00497000">
        <w:rPr>
          <w:i/>
          <w:sz w:val="24"/>
          <w:szCs w:val="24"/>
          <w:lang w:val="en-US"/>
        </w:rPr>
        <w:t>Hypericum perforatum</w:t>
      </w:r>
      <w:r w:rsidRPr="00497000">
        <w:rPr>
          <w:sz w:val="24"/>
          <w:szCs w:val="24"/>
          <w:lang w:val="en-US"/>
        </w:rPr>
        <w:t>]) with cabozantinib should therefore be avoided.</w:t>
      </w:r>
    </w:p>
    <w:p w14:paraId="6174C233" w14:textId="77777777" w:rsidR="009E1D6F" w:rsidRPr="00497000" w:rsidRDefault="009E1D6F" w:rsidP="00A414A5">
      <w:pPr>
        <w:ind w:left="851"/>
        <w:rPr>
          <w:sz w:val="24"/>
          <w:szCs w:val="24"/>
          <w:lang w:val="en-US"/>
        </w:rPr>
      </w:pPr>
    </w:p>
    <w:p w14:paraId="574B087A" w14:textId="77777777" w:rsidR="009E1D6F" w:rsidRPr="00497000" w:rsidRDefault="009E1D6F" w:rsidP="00A414A5">
      <w:pPr>
        <w:ind w:left="851"/>
        <w:rPr>
          <w:i/>
          <w:sz w:val="24"/>
          <w:szCs w:val="24"/>
          <w:lang w:val="en-US"/>
        </w:rPr>
      </w:pPr>
      <w:r w:rsidRPr="00497000">
        <w:rPr>
          <w:i/>
          <w:sz w:val="24"/>
          <w:szCs w:val="24"/>
          <w:lang w:val="en-US"/>
        </w:rPr>
        <w:t xml:space="preserve">Gastric pH modifying agents </w:t>
      </w:r>
    </w:p>
    <w:p w14:paraId="74910403" w14:textId="77777777" w:rsidR="009E1D6F" w:rsidRPr="00497000" w:rsidRDefault="009E1D6F" w:rsidP="00A414A5">
      <w:pPr>
        <w:ind w:left="851"/>
        <w:rPr>
          <w:sz w:val="24"/>
          <w:szCs w:val="24"/>
          <w:lang w:val="en-US"/>
        </w:rPr>
      </w:pPr>
      <w:r w:rsidRPr="00497000">
        <w:rPr>
          <w:sz w:val="24"/>
          <w:szCs w:val="24"/>
          <w:lang w:val="en-US"/>
        </w:rPr>
        <w:t xml:space="preserve">Co-administration of proton pump inhibitor (PPI) esomeprazole (40 mg daily for 6 days) with a single dose of 100 mg cabozantinib to healthy volunteers resulted in no clinically-significant effect on plasma cabozantinib exposure (AUC). No dose adjustment is indicated when gastric pH modifying agents (i.e., PPIs, H2 receptor antagonists, and antacids) are co-administered with cabozantinib. </w:t>
      </w:r>
    </w:p>
    <w:p w14:paraId="7A53E32B" w14:textId="77777777" w:rsidR="009E1D6F" w:rsidRPr="00497000" w:rsidRDefault="009E1D6F" w:rsidP="00A414A5">
      <w:pPr>
        <w:ind w:left="851"/>
        <w:rPr>
          <w:sz w:val="24"/>
          <w:szCs w:val="24"/>
          <w:lang w:val="en-US"/>
        </w:rPr>
      </w:pPr>
    </w:p>
    <w:p w14:paraId="7F3EE107" w14:textId="77777777" w:rsidR="009E1D6F" w:rsidRPr="00497000" w:rsidRDefault="009E1D6F" w:rsidP="00A414A5">
      <w:pPr>
        <w:ind w:left="851"/>
        <w:rPr>
          <w:i/>
          <w:sz w:val="24"/>
          <w:szCs w:val="24"/>
          <w:lang w:val="en-US"/>
        </w:rPr>
      </w:pPr>
      <w:r w:rsidRPr="00497000">
        <w:rPr>
          <w:i/>
          <w:sz w:val="24"/>
          <w:szCs w:val="24"/>
          <w:lang w:val="en-US"/>
        </w:rPr>
        <w:t xml:space="preserve">MRP2 inhibitors </w:t>
      </w:r>
    </w:p>
    <w:p w14:paraId="2A4BC5DA" w14:textId="77777777" w:rsidR="009E1D6F" w:rsidRPr="00497000" w:rsidRDefault="009E1D6F" w:rsidP="00A414A5">
      <w:pPr>
        <w:ind w:left="851"/>
        <w:rPr>
          <w:sz w:val="24"/>
          <w:szCs w:val="24"/>
          <w:lang w:val="en-US"/>
        </w:rPr>
      </w:pPr>
      <w:r w:rsidRPr="00497000">
        <w:rPr>
          <w:i/>
          <w:sz w:val="24"/>
          <w:szCs w:val="24"/>
          <w:lang w:val="en-US"/>
        </w:rPr>
        <w:t>In vitro</w:t>
      </w:r>
      <w:r w:rsidRPr="00497000">
        <w:rPr>
          <w:sz w:val="24"/>
          <w:szCs w:val="24"/>
          <w:lang w:val="en-US"/>
        </w:rPr>
        <w:t xml:space="preserve"> data demonstrate that cabozantinib is a substrate of MRP2. Therefore, administration of MRP2 inhibitors may result in increases in cabozantinib plasma concentrations. </w:t>
      </w:r>
    </w:p>
    <w:p w14:paraId="37F1FCDC" w14:textId="77777777" w:rsidR="009E1D6F" w:rsidRPr="00497000" w:rsidRDefault="009E1D6F" w:rsidP="00A414A5">
      <w:pPr>
        <w:ind w:left="851"/>
        <w:rPr>
          <w:sz w:val="24"/>
          <w:szCs w:val="24"/>
          <w:lang w:val="en-US"/>
        </w:rPr>
      </w:pPr>
    </w:p>
    <w:p w14:paraId="597E5465" w14:textId="77777777" w:rsidR="009E1D6F" w:rsidRPr="00497000" w:rsidRDefault="009E1D6F" w:rsidP="00A414A5">
      <w:pPr>
        <w:ind w:left="851"/>
        <w:rPr>
          <w:i/>
          <w:sz w:val="24"/>
          <w:szCs w:val="24"/>
          <w:lang w:val="en-US"/>
        </w:rPr>
      </w:pPr>
      <w:r w:rsidRPr="00497000">
        <w:rPr>
          <w:i/>
          <w:sz w:val="24"/>
          <w:szCs w:val="24"/>
          <w:lang w:val="en-US"/>
        </w:rPr>
        <w:t xml:space="preserve">Bile salt-sequestering agents </w:t>
      </w:r>
    </w:p>
    <w:p w14:paraId="5E7883AD" w14:textId="77777777" w:rsidR="009E1D6F" w:rsidRPr="00497000" w:rsidRDefault="009E1D6F" w:rsidP="00A414A5">
      <w:pPr>
        <w:ind w:left="851"/>
        <w:rPr>
          <w:sz w:val="24"/>
          <w:szCs w:val="24"/>
          <w:lang w:val="en-US"/>
        </w:rPr>
      </w:pPr>
      <w:r w:rsidRPr="00497000">
        <w:rPr>
          <w:sz w:val="24"/>
          <w:szCs w:val="24"/>
          <w:lang w:val="en-US"/>
        </w:rPr>
        <w:t xml:space="preserve">Bile salt-sequestering agents such as cholestyramine and cholestagel may interact with cabozantinib and may impact absorption (or reabsorption) resulting in potentially decreased exposure (see section 5.2). The clinical significance of these potential interactions is unknown. </w:t>
      </w:r>
    </w:p>
    <w:p w14:paraId="50606DA5" w14:textId="77777777" w:rsidR="009E1D6F" w:rsidRPr="00497000" w:rsidRDefault="009E1D6F" w:rsidP="00A414A5">
      <w:pPr>
        <w:ind w:left="851"/>
        <w:rPr>
          <w:sz w:val="24"/>
          <w:szCs w:val="24"/>
          <w:lang w:val="en-US"/>
        </w:rPr>
      </w:pPr>
    </w:p>
    <w:p w14:paraId="1E5B3F11" w14:textId="77777777" w:rsidR="009E1D6F" w:rsidRPr="00720E32" w:rsidRDefault="009E1D6F" w:rsidP="00A414A5">
      <w:pPr>
        <w:ind w:left="851"/>
        <w:rPr>
          <w:sz w:val="24"/>
          <w:szCs w:val="24"/>
          <w:u w:val="single"/>
          <w:lang w:val="en-US"/>
        </w:rPr>
      </w:pPr>
      <w:r w:rsidRPr="00720E32">
        <w:rPr>
          <w:sz w:val="24"/>
          <w:szCs w:val="24"/>
          <w:u w:val="single"/>
          <w:lang w:val="en-US"/>
        </w:rPr>
        <w:t xml:space="preserve">Effect of cabozantinib on other medicinal products </w:t>
      </w:r>
    </w:p>
    <w:p w14:paraId="2D8F26C6" w14:textId="77777777" w:rsidR="009E1D6F" w:rsidRPr="00497000" w:rsidRDefault="009E1D6F" w:rsidP="00A414A5">
      <w:pPr>
        <w:ind w:left="851"/>
        <w:rPr>
          <w:sz w:val="24"/>
          <w:szCs w:val="24"/>
          <w:lang w:val="en-US"/>
        </w:rPr>
      </w:pPr>
      <w:r w:rsidRPr="00497000">
        <w:rPr>
          <w:sz w:val="24"/>
          <w:szCs w:val="24"/>
          <w:lang w:val="en-US"/>
        </w:rPr>
        <w:t xml:space="preserve">The effect of cabozantinib on the pharmacokinetics of contraceptive steroids has not been investigated. As unchanged contraceptive effect may not be guaranteed, an additional contraceptive method, such as a barrier method, is recommended. </w:t>
      </w:r>
    </w:p>
    <w:p w14:paraId="67CF4B3A" w14:textId="77777777" w:rsidR="009E1D6F" w:rsidRPr="00497000" w:rsidRDefault="009E1D6F" w:rsidP="00A414A5">
      <w:pPr>
        <w:ind w:left="851"/>
        <w:rPr>
          <w:sz w:val="24"/>
          <w:szCs w:val="24"/>
          <w:lang w:val="en-US"/>
        </w:rPr>
      </w:pPr>
      <w:r w:rsidRPr="00497000">
        <w:rPr>
          <w:sz w:val="24"/>
          <w:szCs w:val="24"/>
          <w:lang w:val="en-US"/>
        </w:rPr>
        <w:t xml:space="preserve">The effect of cabozantinib on the pharmacokinetics of warfarin has not been investigated. An interaction with warfarin may be possible. In case of such combination, INR values should be monitored. </w:t>
      </w:r>
    </w:p>
    <w:p w14:paraId="1685CCFC" w14:textId="40D99179" w:rsidR="00831A6B" w:rsidRDefault="00831A6B">
      <w:pPr>
        <w:rPr>
          <w:sz w:val="24"/>
          <w:szCs w:val="24"/>
          <w:lang w:val="en-US"/>
        </w:rPr>
      </w:pPr>
      <w:r>
        <w:rPr>
          <w:sz w:val="24"/>
          <w:szCs w:val="24"/>
          <w:lang w:val="en-US"/>
        </w:rPr>
        <w:br w:type="page"/>
      </w:r>
    </w:p>
    <w:p w14:paraId="75AEB17C" w14:textId="77777777" w:rsidR="009E1D6F" w:rsidRPr="00497000" w:rsidRDefault="009E1D6F" w:rsidP="00A414A5">
      <w:pPr>
        <w:ind w:left="851"/>
        <w:rPr>
          <w:sz w:val="24"/>
          <w:szCs w:val="24"/>
          <w:lang w:val="en-US"/>
        </w:rPr>
      </w:pPr>
    </w:p>
    <w:p w14:paraId="26159C04" w14:textId="77777777" w:rsidR="009E1D6F" w:rsidRPr="00497000" w:rsidRDefault="009E1D6F" w:rsidP="00A414A5">
      <w:pPr>
        <w:ind w:left="851"/>
        <w:rPr>
          <w:sz w:val="24"/>
          <w:szCs w:val="24"/>
          <w:lang w:val="en-US"/>
        </w:rPr>
      </w:pPr>
      <w:r w:rsidRPr="00497000">
        <w:rPr>
          <w:i/>
          <w:sz w:val="24"/>
          <w:szCs w:val="24"/>
          <w:lang w:val="en-US"/>
        </w:rPr>
        <w:t>P-glycoprotein substrates</w:t>
      </w:r>
      <w:r w:rsidRPr="00497000">
        <w:rPr>
          <w:sz w:val="24"/>
          <w:szCs w:val="24"/>
          <w:lang w:val="en-US"/>
        </w:rPr>
        <w:t xml:space="preserve"> </w:t>
      </w:r>
    </w:p>
    <w:p w14:paraId="260F0F56" w14:textId="77777777" w:rsidR="009E1D6F" w:rsidRPr="00497000" w:rsidRDefault="009E1D6F" w:rsidP="00A414A5">
      <w:pPr>
        <w:ind w:left="851"/>
        <w:rPr>
          <w:sz w:val="24"/>
          <w:szCs w:val="24"/>
          <w:lang w:val="en-US"/>
        </w:rPr>
      </w:pPr>
      <w:r w:rsidRPr="00497000">
        <w:rPr>
          <w:sz w:val="24"/>
          <w:szCs w:val="24"/>
          <w:lang w:val="en-US"/>
        </w:rPr>
        <w:t>Cabozantinib was an inhibitor (IC</w:t>
      </w:r>
      <w:r w:rsidRPr="00497000">
        <w:rPr>
          <w:sz w:val="24"/>
          <w:szCs w:val="24"/>
          <w:vertAlign w:val="subscript"/>
          <w:lang w:val="en-US"/>
        </w:rPr>
        <w:t>50</w:t>
      </w:r>
      <w:r w:rsidRPr="00497000">
        <w:rPr>
          <w:sz w:val="24"/>
          <w:szCs w:val="24"/>
          <w:lang w:val="en-US"/>
        </w:rPr>
        <w:t xml:space="preserve"> = 7.0 </w:t>
      </w:r>
      <w:r w:rsidRPr="00497000">
        <w:rPr>
          <w:sz w:val="24"/>
          <w:szCs w:val="24"/>
        </w:rPr>
        <w:t>μ</w:t>
      </w:r>
      <w:r w:rsidRPr="00497000">
        <w:rPr>
          <w:sz w:val="24"/>
          <w:szCs w:val="24"/>
          <w:lang w:val="en-US"/>
        </w:rPr>
        <w:t>M), but not a substrate, of P-gp transport activities in a bi-directional assay system using MDCK-MDR1 cells. Therefore, cabozantinib may have the potential to increase plasma concentrations of co-administered substrates of P-gp. Subjects should be cautioned regarding taking a P-gp substrate (e.g., fexofenadine, aliskiren, ambrisentan, dabigatran etexilate, digoxin, colchicine, maraviroc, posaconazole, ranolazine, saxagliptin, sitagliptin, talinolol, tolvaptan) while receiving cabozantinib.</w:t>
      </w:r>
    </w:p>
    <w:p w14:paraId="345833C4" w14:textId="77777777" w:rsidR="007C5D2A" w:rsidRPr="00497000" w:rsidRDefault="007C5D2A" w:rsidP="003E0341">
      <w:pPr>
        <w:tabs>
          <w:tab w:val="left" w:pos="851"/>
        </w:tabs>
        <w:ind w:left="851"/>
        <w:rPr>
          <w:sz w:val="24"/>
          <w:szCs w:val="24"/>
          <w:lang w:val="en-GB"/>
        </w:rPr>
      </w:pPr>
    </w:p>
    <w:p w14:paraId="36C6BBC6" w14:textId="77777777" w:rsidR="007C5D2A" w:rsidRPr="00497000" w:rsidRDefault="007C5D2A" w:rsidP="007C5D2A">
      <w:pPr>
        <w:tabs>
          <w:tab w:val="left" w:pos="851"/>
        </w:tabs>
        <w:ind w:left="851" w:hanging="851"/>
        <w:rPr>
          <w:b/>
          <w:sz w:val="24"/>
          <w:szCs w:val="24"/>
          <w:lang w:val="en-GB"/>
        </w:rPr>
      </w:pPr>
      <w:r w:rsidRPr="00497000">
        <w:rPr>
          <w:b/>
          <w:sz w:val="24"/>
          <w:szCs w:val="24"/>
          <w:lang w:val="en-GB"/>
        </w:rPr>
        <w:t>4.6</w:t>
      </w:r>
      <w:r w:rsidRPr="00497000">
        <w:rPr>
          <w:b/>
          <w:sz w:val="24"/>
          <w:szCs w:val="24"/>
          <w:lang w:val="en-GB"/>
        </w:rPr>
        <w:tab/>
      </w:r>
      <w:r w:rsidR="004860D3" w:rsidRPr="00497000">
        <w:rPr>
          <w:b/>
          <w:sz w:val="24"/>
          <w:szCs w:val="24"/>
          <w:lang w:val="en-GB"/>
        </w:rPr>
        <w:t>Fertility, p</w:t>
      </w:r>
      <w:r w:rsidRPr="00497000">
        <w:rPr>
          <w:b/>
          <w:sz w:val="24"/>
          <w:szCs w:val="24"/>
          <w:lang w:val="en-GB"/>
        </w:rPr>
        <w:t>regnancy and lactation</w:t>
      </w:r>
    </w:p>
    <w:p w14:paraId="346C682A" w14:textId="77777777" w:rsidR="00720E32" w:rsidRDefault="00720E32" w:rsidP="00A414A5">
      <w:pPr>
        <w:ind w:left="851"/>
        <w:rPr>
          <w:sz w:val="24"/>
          <w:szCs w:val="24"/>
          <w:lang w:val="en-US"/>
        </w:rPr>
      </w:pPr>
    </w:p>
    <w:p w14:paraId="35ECD38D" w14:textId="2CF454F8" w:rsidR="009E1D6F" w:rsidRPr="00720E32" w:rsidRDefault="009E1D6F" w:rsidP="00A414A5">
      <w:pPr>
        <w:ind w:left="851"/>
        <w:rPr>
          <w:sz w:val="24"/>
          <w:szCs w:val="24"/>
          <w:u w:val="single"/>
          <w:lang w:val="en-US"/>
        </w:rPr>
      </w:pPr>
      <w:r w:rsidRPr="00720E32">
        <w:rPr>
          <w:sz w:val="24"/>
          <w:szCs w:val="24"/>
          <w:u w:val="single"/>
          <w:lang w:val="en-US"/>
        </w:rPr>
        <w:t xml:space="preserve">Women of childbearing potential/Contraception in males and females </w:t>
      </w:r>
    </w:p>
    <w:p w14:paraId="597C9ADE" w14:textId="77777777" w:rsidR="009E1D6F" w:rsidRPr="00497000" w:rsidRDefault="009E1D6F" w:rsidP="00A414A5">
      <w:pPr>
        <w:ind w:left="851"/>
        <w:rPr>
          <w:sz w:val="24"/>
          <w:szCs w:val="24"/>
          <w:lang w:val="en-US"/>
        </w:rPr>
      </w:pPr>
      <w:r w:rsidRPr="00497000">
        <w:rPr>
          <w:sz w:val="24"/>
          <w:szCs w:val="24"/>
          <w:lang w:val="en-US"/>
        </w:rPr>
        <w:t xml:space="preserve">Women of childbearing potential must be advised to avoid pregnancy while on cabozantinib. Female partners of male patients taking cabozantinib must also avoid pregnancy. Effective methods of contraception should be used by male and female patients and their partners during therapy, and for at least 4 months after completing therapy. Because oral contraceptives might possibly not be considered as “effective methods of contraception”, they should be used together with another method, such as a barrier method (see section 4.5). </w:t>
      </w:r>
    </w:p>
    <w:p w14:paraId="7BDDE5EE" w14:textId="77777777" w:rsidR="009E1D6F" w:rsidRPr="00497000" w:rsidRDefault="009E1D6F" w:rsidP="00A414A5">
      <w:pPr>
        <w:ind w:left="851"/>
        <w:rPr>
          <w:sz w:val="24"/>
          <w:szCs w:val="24"/>
          <w:lang w:val="en-US"/>
        </w:rPr>
      </w:pPr>
    </w:p>
    <w:p w14:paraId="0ACAD273" w14:textId="77777777" w:rsidR="009E1D6F" w:rsidRPr="00720E32" w:rsidRDefault="009E1D6F" w:rsidP="00A414A5">
      <w:pPr>
        <w:ind w:left="851"/>
        <w:rPr>
          <w:sz w:val="24"/>
          <w:szCs w:val="24"/>
          <w:u w:val="single"/>
          <w:lang w:val="en-US"/>
        </w:rPr>
      </w:pPr>
      <w:r w:rsidRPr="00720E32">
        <w:rPr>
          <w:sz w:val="24"/>
          <w:szCs w:val="24"/>
          <w:u w:val="single"/>
          <w:lang w:val="en-US"/>
        </w:rPr>
        <w:t xml:space="preserve">Pregnancy </w:t>
      </w:r>
    </w:p>
    <w:p w14:paraId="21F84A57" w14:textId="77777777" w:rsidR="009E1D6F" w:rsidRPr="00497000" w:rsidRDefault="009E1D6F" w:rsidP="00A414A5">
      <w:pPr>
        <w:ind w:left="851"/>
        <w:rPr>
          <w:sz w:val="24"/>
          <w:szCs w:val="24"/>
          <w:lang w:val="en-US"/>
        </w:rPr>
      </w:pPr>
      <w:r w:rsidRPr="00497000">
        <w:rPr>
          <w:sz w:val="24"/>
          <w:szCs w:val="24"/>
          <w:lang w:val="en-US"/>
        </w:rPr>
        <w:t>There are no studies in pregnant women using cabozantinib. Studies in animals have shown embryo-foetal and teratogenic effects (see section 5.3). The potential risk for humans is unknown. Cabozantinib should not be used during pregnancy unless the clinical condition of the woman requires treatment with cabozantinib.</w:t>
      </w:r>
    </w:p>
    <w:p w14:paraId="4D48A6CC" w14:textId="77777777" w:rsidR="009E1D6F" w:rsidRPr="00497000" w:rsidRDefault="009E1D6F" w:rsidP="00A414A5">
      <w:pPr>
        <w:ind w:left="851"/>
        <w:rPr>
          <w:sz w:val="24"/>
          <w:szCs w:val="24"/>
          <w:lang w:val="en-US"/>
        </w:rPr>
      </w:pPr>
    </w:p>
    <w:p w14:paraId="7733CCFA" w14:textId="77777777" w:rsidR="009E1D6F" w:rsidRPr="00720E32" w:rsidRDefault="009E1D6F" w:rsidP="00A414A5">
      <w:pPr>
        <w:ind w:left="851"/>
        <w:rPr>
          <w:sz w:val="24"/>
          <w:szCs w:val="24"/>
          <w:u w:val="single"/>
          <w:lang w:val="en-US"/>
        </w:rPr>
      </w:pPr>
      <w:r w:rsidRPr="00720E32">
        <w:rPr>
          <w:sz w:val="24"/>
          <w:szCs w:val="24"/>
          <w:u w:val="single"/>
          <w:lang w:val="en-US"/>
        </w:rPr>
        <w:t xml:space="preserve">Breast-feeding </w:t>
      </w:r>
    </w:p>
    <w:p w14:paraId="194B901A" w14:textId="77777777" w:rsidR="009E1D6F" w:rsidRPr="00497000" w:rsidRDefault="009E1D6F" w:rsidP="00A414A5">
      <w:pPr>
        <w:ind w:left="851"/>
        <w:rPr>
          <w:sz w:val="24"/>
          <w:szCs w:val="24"/>
          <w:lang w:val="en-US"/>
        </w:rPr>
      </w:pPr>
      <w:r w:rsidRPr="00497000">
        <w:rPr>
          <w:sz w:val="24"/>
          <w:szCs w:val="24"/>
          <w:lang w:val="en-US"/>
        </w:rPr>
        <w:t xml:space="preserve">It is not known whether cabozantinib and/or its metabolites are excreted in human milk. Because of the potential harm to the infant, mothers should discontinue breast-feeding during treatment with cabozantinib, and for at least 4 months after completing therapy. </w:t>
      </w:r>
    </w:p>
    <w:p w14:paraId="02E403E6" w14:textId="77777777" w:rsidR="009E1D6F" w:rsidRPr="00497000" w:rsidRDefault="009E1D6F" w:rsidP="00A414A5">
      <w:pPr>
        <w:ind w:left="851"/>
        <w:rPr>
          <w:sz w:val="24"/>
          <w:szCs w:val="24"/>
          <w:lang w:val="en-US"/>
        </w:rPr>
      </w:pPr>
    </w:p>
    <w:p w14:paraId="007648DA" w14:textId="77777777" w:rsidR="009E1D6F" w:rsidRPr="00720E32" w:rsidRDefault="009E1D6F" w:rsidP="00A414A5">
      <w:pPr>
        <w:ind w:left="851"/>
        <w:rPr>
          <w:sz w:val="24"/>
          <w:szCs w:val="24"/>
          <w:u w:val="single"/>
          <w:lang w:val="en-US"/>
        </w:rPr>
      </w:pPr>
      <w:r w:rsidRPr="00720E32">
        <w:rPr>
          <w:sz w:val="24"/>
          <w:szCs w:val="24"/>
          <w:u w:val="single"/>
          <w:lang w:val="en-US"/>
        </w:rPr>
        <w:t xml:space="preserve">Fertility </w:t>
      </w:r>
    </w:p>
    <w:p w14:paraId="54D592D0" w14:textId="77777777" w:rsidR="009E1D6F" w:rsidRPr="00497000" w:rsidRDefault="009E1D6F" w:rsidP="00A414A5">
      <w:pPr>
        <w:ind w:left="851"/>
        <w:rPr>
          <w:sz w:val="24"/>
          <w:szCs w:val="24"/>
          <w:lang w:val="en-US"/>
        </w:rPr>
      </w:pPr>
      <w:r w:rsidRPr="00497000">
        <w:rPr>
          <w:sz w:val="24"/>
          <w:szCs w:val="24"/>
          <w:lang w:val="en-US"/>
        </w:rPr>
        <w:t>There are no data on human fertility. Based on non-clinical safety findings, male and female fertility may be compromised by treatment with cabozantinib (see section 5.3). Both men and women should be advised to seek advice and consider fertility preservation before treatment.</w:t>
      </w:r>
    </w:p>
    <w:p w14:paraId="0530E0BF" w14:textId="77777777" w:rsidR="007C5D2A" w:rsidRPr="00497000" w:rsidRDefault="007C5D2A" w:rsidP="003E0341">
      <w:pPr>
        <w:tabs>
          <w:tab w:val="left" w:pos="851"/>
        </w:tabs>
        <w:ind w:left="851"/>
        <w:rPr>
          <w:sz w:val="24"/>
          <w:szCs w:val="24"/>
          <w:lang w:val="en-GB"/>
        </w:rPr>
      </w:pPr>
    </w:p>
    <w:p w14:paraId="3F2AB842" w14:textId="77777777" w:rsidR="007C5D2A" w:rsidRPr="00497000" w:rsidRDefault="007C5D2A" w:rsidP="007C5D2A">
      <w:pPr>
        <w:tabs>
          <w:tab w:val="left" w:pos="851"/>
        </w:tabs>
        <w:ind w:left="851" w:hanging="851"/>
        <w:rPr>
          <w:b/>
          <w:sz w:val="24"/>
          <w:szCs w:val="24"/>
          <w:lang w:val="en-GB"/>
        </w:rPr>
      </w:pPr>
      <w:r w:rsidRPr="00497000">
        <w:rPr>
          <w:b/>
          <w:sz w:val="24"/>
          <w:szCs w:val="24"/>
          <w:lang w:val="en-GB"/>
        </w:rPr>
        <w:t>4.7</w:t>
      </w:r>
      <w:r w:rsidRPr="00497000">
        <w:rPr>
          <w:b/>
          <w:sz w:val="24"/>
          <w:szCs w:val="24"/>
          <w:lang w:val="en-GB"/>
        </w:rPr>
        <w:tab/>
        <w:t>Effects on ability to drive and use machines</w:t>
      </w:r>
    </w:p>
    <w:p w14:paraId="4490FDD7" w14:textId="77777777" w:rsidR="00A414A5" w:rsidRPr="00497000" w:rsidRDefault="00A414A5" w:rsidP="00A414A5">
      <w:pPr>
        <w:ind w:left="851"/>
        <w:rPr>
          <w:sz w:val="24"/>
          <w:szCs w:val="24"/>
          <w:lang w:val="en-US"/>
        </w:rPr>
      </w:pPr>
      <w:r w:rsidRPr="00497000">
        <w:rPr>
          <w:sz w:val="24"/>
          <w:szCs w:val="24"/>
          <w:lang w:val="en-US"/>
        </w:rPr>
        <w:t>No traffic warning.</w:t>
      </w:r>
    </w:p>
    <w:p w14:paraId="432BAAC5" w14:textId="348745E4" w:rsidR="009E1D6F" w:rsidRPr="00497000" w:rsidRDefault="009E1D6F" w:rsidP="00A414A5">
      <w:pPr>
        <w:ind w:left="851"/>
        <w:rPr>
          <w:sz w:val="24"/>
          <w:szCs w:val="24"/>
          <w:lang w:val="en-US"/>
        </w:rPr>
      </w:pPr>
      <w:r w:rsidRPr="00497000">
        <w:rPr>
          <w:sz w:val="24"/>
          <w:szCs w:val="24"/>
          <w:lang w:val="en-US"/>
        </w:rPr>
        <w:t>Cabozantinib has minor influence on the ability to drive and use machines. Adverse reactions such as fatigue and weakness have been associated with cabozantinib. Therefore, caution should be recommended when driving or operating machines.</w:t>
      </w:r>
    </w:p>
    <w:p w14:paraId="3DD1FBB4" w14:textId="77777777" w:rsidR="007C5D2A" w:rsidRPr="00497000" w:rsidRDefault="007C5D2A" w:rsidP="003E0341">
      <w:pPr>
        <w:tabs>
          <w:tab w:val="left" w:pos="851"/>
        </w:tabs>
        <w:ind w:left="851"/>
        <w:rPr>
          <w:sz w:val="24"/>
          <w:szCs w:val="24"/>
          <w:lang w:val="en-GB"/>
        </w:rPr>
      </w:pPr>
    </w:p>
    <w:p w14:paraId="3BB1EE13" w14:textId="77777777" w:rsidR="007C5D2A" w:rsidRPr="00497000" w:rsidRDefault="007C5D2A" w:rsidP="007C5D2A">
      <w:pPr>
        <w:tabs>
          <w:tab w:val="left" w:pos="851"/>
        </w:tabs>
        <w:ind w:left="851" w:hanging="851"/>
        <w:rPr>
          <w:b/>
          <w:sz w:val="24"/>
          <w:szCs w:val="24"/>
          <w:lang w:val="en-GB"/>
        </w:rPr>
      </w:pPr>
      <w:r w:rsidRPr="00497000">
        <w:rPr>
          <w:b/>
          <w:sz w:val="24"/>
          <w:szCs w:val="24"/>
          <w:lang w:val="en-GB"/>
        </w:rPr>
        <w:t>4.8</w:t>
      </w:r>
      <w:r w:rsidRPr="00497000">
        <w:rPr>
          <w:b/>
          <w:sz w:val="24"/>
          <w:szCs w:val="24"/>
          <w:lang w:val="en-GB"/>
        </w:rPr>
        <w:tab/>
        <w:t>Undesirable effects</w:t>
      </w:r>
    </w:p>
    <w:p w14:paraId="111858E3" w14:textId="77777777" w:rsidR="00720E32" w:rsidRDefault="00720E32" w:rsidP="00A414A5">
      <w:pPr>
        <w:ind w:left="851"/>
        <w:rPr>
          <w:sz w:val="24"/>
          <w:szCs w:val="24"/>
          <w:lang w:val="en-US"/>
        </w:rPr>
      </w:pPr>
    </w:p>
    <w:p w14:paraId="1353BB44" w14:textId="3DE4E455" w:rsidR="009E1D6F" w:rsidRPr="00720E32" w:rsidRDefault="009E1D6F" w:rsidP="00A414A5">
      <w:pPr>
        <w:ind w:left="851"/>
        <w:rPr>
          <w:i/>
          <w:sz w:val="24"/>
          <w:szCs w:val="24"/>
          <w:lang w:val="en-US"/>
        </w:rPr>
      </w:pPr>
      <w:r w:rsidRPr="00720E32">
        <w:rPr>
          <w:i/>
          <w:sz w:val="24"/>
          <w:szCs w:val="24"/>
          <w:lang w:val="en-US"/>
        </w:rPr>
        <w:t xml:space="preserve">Cabozantinib as monotherapy </w:t>
      </w:r>
    </w:p>
    <w:p w14:paraId="0E43E072" w14:textId="77777777" w:rsidR="009E1D6F" w:rsidRPr="00497000" w:rsidRDefault="009E1D6F" w:rsidP="00A414A5">
      <w:pPr>
        <w:ind w:left="851"/>
        <w:rPr>
          <w:sz w:val="24"/>
          <w:szCs w:val="24"/>
          <w:u w:val="single"/>
          <w:lang w:val="en-US"/>
        </w:rPr>
      </w:pPr>
      <w:r w:rsidRPr="00497000">
        <w:rPr>
          <w:sz w:val="24"/>
          <w:szCs w:val="24"/>
          <w:u w:val="single"/>
          <w:lang w:val="en-US"/>
        </w:rPr>
        <w:t xml:space="preserve">Summary of safety profile </w:t>
      </w:r>
    </w:p>
    <w:p w14:paraId="5D06267E" w14:textId="77777777" w:rsidR="009E1D6F" w:rsidRPr="00497000" w:rsidRDefault="009E1D6F" w:rsidP="00A414A5">
      <w:pPr>
        <w:ind w:left="851"/>
        <w:rPr>
          <w:sz w:val="24"/>
          <w:szCs w:val="24"/>
          <w:lang w:val="en-US"/>
        </w:rPr>
      </w:pPr>
      <w:r w:rsidRPr="00497000">
        <w:rPr>
          <w:sz w:val="24"/>
          <w:szCs w:val="24"/>
          <w:lang w:val="en-US"/>
        </w:rPr>
        <w:t xml:space="preserve">The most common serious adverse drug reactions in the RCC population (≥1% incidence) are pneumonia, abdominal pain, diarrhoea, nausea, hypertension, embolism, hyponatraemia, pulmonary embolism, vomiting, dehydration, fatigue, asthenia, decreased </w:t>
      </w:r>
      <w:r w:rsidRPr="00497000">
        <w:rPr>
          <w:sz w:val="24"/>
          <w:szCs w:val="24"/>
          <w:lang w:val="en-US"/>
        </w:rPr>
        <w:lastRenderedPageBreak/>
        <w:t xml:space="preserve">appetite, deep vein thrombosis, dizziness, hypomagnesaemia and palmar-plantar erythrodysaesthesia syndrome (PPES). </w:t>
      </w:r>
    </w:p>
    <w:p w14:paraId="4FFF88A3" w14:textId="77777777" w:rsidR="009E1D6F" w:rsidRPr="00497000" w:rsidRDefault="009E1D6F" w:rsidP="00A414A5">
      <w:pPr>
        <w:ind w:left="851"/>
        <w:rPr>
          <w:sz w:val="24"/>
          <w:szCs w:val="24"/>
          <w:lang w:val="en-US"/>
        </w:rPr>
      </w:pPr>
    </w:p>
    <w:p w14:paraId="1929BF64" w14:textId="77777777" w:rsidR="009E1D6F" w:rsidRPr="00497000" w:rsidRDefault="009E1D6F" w:rsidP="00A414A5">
      <w:pPr>
        <w:ind w:left="851"/>
        <w:rPr>
          <w:sz w:val="24"/>
          <w:szCs w:val="24"/>
          <w:lang w:val="en-US"/>
        </w:rPr>
      </w:pPr>
      <w:r w:rsidRPr="00497000">
        <w:rPr>
          <w:sz w:val="24"/>
          <w:szCs w:val="24"/>
          <w:lang w:val="en-US"/>
        </w:rPr>
        <w:t xml:space="preserve">The most frequent adverse reactions of any grade (experienced by at least 25% of patients) in the RCC population included diarrhoea, fatigue, nausea, decreased appetite, PPES, hypertension, weight decreased, vomiting, dysgeusia, constipation, and AST increased. Hypertension was observed more frequently in the treatment naïve RCC population (67%) compared to RCC patients following prior VEGF-targeted therapy (37%). </w:t>
      </w:r>
    </w:p>
    <w:p w14:paraId="71A02190" w14:textId="77777777" w:rsidR="009E1D6F" w:rsidRPr="00497000" w:rsidRDefault="009E1D6F" w:rsidP="00A414A5">
      <w:pPr>
        <w:ind w:left="851"/>
        <w:rPr>
          <w:sz w:val="24"/>
          <w:szCs w:val="24"/>
          <w:lang w:val="en-US"/>
        </w:rPr>
      </w:pPr>
    </w:p>
    <w:p w14:paraId="27348108" w14:textId="77777777" w:rsidR="009E1D6F" w:rsidRPr="00497000" w:rsidRDefault="009E1D6F" w:rsidP="00A414A5">
      <w:pPr>
        <w:ind w:left="851"/>
        <w:rPr>
          <w:sz w:val="24"/>
          <w:szCs w:val="24"/>
          <w:lang w:val="en-US"/>
        </w:rPr>
      </w:pPr>
      <w:r w:rsidRPr="00497000">
        <w:rPr>
          <w:sz w:val="24"/>
          <w:szCs w:val="24"/>
          <w:lang w:val="en-US"/>
        </w:rPr>
        <w:t xml:space="preserve">The most common serious adverse drug reactions in the HCC population (≥1% incidence) are hepatic encephalopathy, asthenia, fatigue, PPES, diarrhoea, hyponatraemia, vomiting, abdominal pain and thrombocytopenia. </w:t>
      </w:r>
    </w:p>
    <w:p w14:paraId="2446E327" w14:textId="77777777" w:rsidR="009E1D6F" w:rsidRPr="00497000" w:rsidRDefault="009E1D6F" w:rsidP="00A414A5">
      <w:pPr>
        <w:ind w:left="851"/>
        <w:rPr>
          <w:sz w:val="24"/>
          <w:szCs w:val="24"/>
          <w:lang w:val="en-US"/>
        </w:rPr>
      </w:pPr>
    </w:p>
    <w:p w14:paraId="4E852170" w14:textId="77777777" w:rsidR="009E1D6F" w:rsidRPr="00497000" w:rsidRDefault="009E1D6F" w:rsidP="00A414A5">
      <w:pPr>
        <w:ind w:left="851"/>
        <w:rPr>
          <w:sz w:val="24"/>
          <w:szCs w:val="24"/>
          <w:lang w:val="en-US"/>
        </w:rPr>
      </w:pPr>
      <w:r w:rsidRPr="00497000">
        <w:rPr>
          <w:sz w:val="24"/>
          <w:szCs w:val="24"/>
          <w:lang w:val="en-US"/>
        </w:rPr>
        <w:t xml:space="preserve">The most frequent adverse reactions of any grade (experienced by at least 25% of patients) in the HCC population included diarrhoea, decreased appetite, PPES, fatigue, nausea, hypertension and vomiting. </w:t>
      </w:r>
    </w:p>
    <w:p w14:paraId="6460B075" w14:textId="77777777" w:rsidR="009E1D6F" w:rsidRPr="00497000" w:rsidRDefault="009E1D6F" w:rsidP="00A414A5">
      <w:pPr>
        <w:ind w:left="851"/>
        <w:rPr>
          <w:sz w:val="24"/>
          <w:szCs w:val="24"/>
          <w:lang w:val="en-US"/>
        </w:rPr>
      </w:pPr>
    </w:p>
    <w:p w14:paraId="6C5E727C" w14:textId="77777777" w:rsidR="009E1D6F" w:rsidRPr="00497000" w:rsidRDefault="009E1D6F" w:rsidP="00A414A5">
      <w:pPr>
        <w:ind w:left="851"/>
        <w:rPr>
          <w:sz w:val="24"/>
          <w:szCs w:val="24"/>
          <w:lang w:val="en-US"/>
        </w:rPr>
      </w:pPr>
      <w:r w:rsidRPr="00497000">
        <w:rPr>
          <w:sz w:val="24"/>
          <w:szCs w:val="24"/>
          <w:lang w:val="en-US"/>
        </w:rPr>
        <w:t xml:space="preserve">The most common serious adverse drug reactions in the DTC population (≥1% incidence) are diarrhoea, pleural effusion, pneumonia, pulmonary embolism, hypertension, anaemia, deep vein thrombosis, hypocalcemia, osteonecrosis of jaw, pain, palmar-plantar erythrodysaesthesia syndrome, vomiting and renal impairment. </w:t>
      </w:r>
    </w:p>
    <w:p w14:paraId="7E5AF428" w14:textId="77777777" w:rsidR="009E1D6F" w:rsidRPr="00497000" w:rsidRDefault="009E1D6F" w:rsidP="00A414A5">
      <w:pPr>
        <w:ind w:left="851"/>
        <w:rPr>
          <w:sz w:val="24"/>
          <w:szCs w:val="24"/>
          <w:lang w:val="en-US"/>
        </w:rPr>
      </w:pPr>
    </w:p>
    <w:p w14:paraId="02559F24" w14:textId="77777777" w:rsidR="009E1D6F" w:rsidRPr="00497000" w:rsidRDefault="009E1D6F" w:rsidP="00A414A5">
      <w:pPr>
        <w:ind w:left="851"/>
        <w:rPr>
          <w:sz w:val="24"/>
          <w:szCs w:val="24"/>
          <w:lang w:val="en-US"/>
        </w:rPr>
      </w:pPr>
      <w:r w:rsidRPr="00497000">
        <w:rPr>
          <w:sz w:val="24"/>
          <w:szCs w:val="24"/>
          <w:lang w:val="en-US"/>
        </w:rPr>
        <w:t xml:space="preserve">The most frequent adverse reactions of any grade (experienced by at least 25% of patients) in the DTC population included diarrhoea, PPES, hypertension, fatigue, decreased appetite, nausea, alanine aminotransferase increased, aspartate aminotransferase increased and hypocalcaemia. </w:t>
      </w:r>
    </w:p>
    <w:p w14:paraId="29C6DE41" w14:textId="77777777" w:rsidR="009E1D6F" w:rsidRPr="00497000" w:rsidRDefault="009E1D6F" w:rsidP="00A414A5">
      <w:pPr>
        <w:ind w:left="851"/>
        <w:rPr>
          <w:sz w:val="24"/>
          <w:szCs w:val="24"/>
          <w:lang w:val="en-US"/>
        </w:rPr>
      </w:pPr>
    </w:p>
    <w:p w14:paraId="4D49239B" w14:textId="77777777" w:rsidR="009E1D6F" w:rsidRPr="00497000" w:rsidRDefault="009E1D6F" w:rsidP="00A414A5">
      <w:pPr>
        <w:ind w:left="851"/>
        <w:rPr>
          <w:sz w:val="24"/>
          <w:szCs w:val="24"/>
          <w:u w:val="single"/>
          <w:lang w:val="en-US"/>
        </w:rPr>
      </w:pPr>
      <w:r w:rsidRPr="00497000">
        <w:rPr>
          <w:sz w:val="24"/>
          <w:szCs w:val="24"/>
          <w:u w:val="single"/>
          <w:lang w:val="en-US"/>
        </w:rPr>
        <w:t xml:space="preserve">Tabulated list of adverse reactions </w:t>
      </w:r>
    </w:p>
    <w:p w14:paraId="09E7C070" w14:textId="77777777" w:rsidR="009E1D6F" w:rsidRPr="00497000" w:rsidRDefault="009E1D6F" w:rsidP="00A414A5">
      <w:pPr>
        <w:ind w:left="851"/>
        <w:rPr>
          <w:sz w:val="24"/>
          <w:szCs w:val="24"/>
          <w:lang w:val="en-US"/>
        </w:rPr>
      </w:pPr>
      <w:r w:rsidRPr="00497000">
        <w:rPr>
          <w:sz w:val="24"/>
          <w:szCs w:val="24"/>
          <w:lang w:val="en-US"/>
        </w:rPr>
        <w:t>Adverse reactions reported in the pooled dataset for patients treated with cabozantinib monotherapy in RCC, HCC and DTC (n=1128) or reported after post-marketing use of cabozantinib are listed in Table 2. The adverse reactions are listed by MedDRA system organ class and frequency categories. Frequencies are based on all grades and defined as: very common (≥1/10), common (≥1/100 to &lt;1/10); uncommon (</w:t>
      </w:r>
      <w:r w:rsidRPr="00497000">
        <w:rPr>
          <w:sz w:val="24"/>
          <w:szCs w:val="24"/>
          <w:u w:val="single"/>
          <w:lang w:val="en-US"/>
        </w:rPr>
        <w:t>&gt;</w:t>
      </w:r>
      <w:r w:rsidRPr="00497000">
        <w:rPr>
          <w:sz w:val="24"/>
          <w:szCs w:val="24"/>
          <w:lang w:val="en-US"/>
        </w:rPr>
        <w:t xml:space="preserve"> 1/1,000 to &lt; 1/100); not known (cannot be estimated from the available data). Within each frequency grouping, adverse reactions are presented in order of decreasing seriousness.</w:t>
      </w:r>
    </w:p>
    <w:p w14:paraId="1ACE34F9" w14:textId="77777777" w:rsidR="009E1D6F" w:rsidRPr="00497000" w:rsidRDefault="009E1D6F" w:rsidP="00A414A5">
      <w:pPr>
        <w:ind w:left="851"/>
        <w:rPr>
          <w:sz w:val="24"/>
          <w:szCs w:val="24"/>
          <w:lang w:val="en-US"/>
        </w:rPr>
      </w:pPr>
    </w:p>
    <w:p w14:paraId="73D2F558" w14:textId="77777777" w:rsidR="009E1D6F" w:rsidRPr="00497000" w:rsidRDefault="009E1D6F" w:rsidP="009E1D6F">
      <w:pPr>
        <w:rPr>
          <w:b/>
          <w:sz w:val="24"/>
          <w:szCs w:val="24"/>
          <w:lang w:val="en-US"/>
        </w:rPr>
      </w:pPr>
      <w:r w:rsidRPr="00497000">
        <w:rPr>
          <w:b/>
          <w:sz w:val="24"/>
          <w:szCs w:val="24"/>
          <w:lang w:val="en-US"/>
        </w:rPr>
        <w:t>Table 2: Adverse drug reactions (ADRs) reported in clinical trials or after post-marketing use in patients treated with cabozantinib in monotherapy</w:t>
      </w:r>
    </w:p>
    <w:p w14:paraId="7F1B1658" w14:textId="77777777" w:rsidR="009E1D6F" w:rsidRPr="00497000" w:rsidRDefault="009E1D6F" w:rsidP="009E1D6F">
      <w:pPr>
        <w:rPr>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2"/>
      </w:tblGrid>
      <w:tr w:rsidR="009E1D6F" w:rsidRPr="00497000" w14:paraId="0ADA6F83"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4D352508" w14:textId="77777777" w:rsidR="009E1D6F" w:rsidRPr="00497000" w:rsidRDefault="009E1D6F">
            <w:pPr>
              <w:rPr>
                <w:b/>
                <w:sz w:val="24"/>
                <w:szCs w:val="24"/>
              </w:rPr>
            </w:pPr>
            <w:r w:rsidRPr="00497000">
              <w:rPr>
                <w:b/>
                <w:sz w:val="24"/>
                <w:szCs w:val="24"/>
              </w:rPr>
              <w:t>Infections and infestations</w:t>
            </w:r>
          </w:p>
        </w:tc>
      </w:tr>
      <w:tr w:rsidR="009E1D6F" w:rsidRPr="00497000" w14:paraId="647861E1"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78F4B2A1" w14:textId="77777777" w:rsidR="009E1D6F" w:rsidRPr="00497000" w:rsidRDefault="009E1D6F">
            <w:pPr>
              <w:rPr>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5E75B39C" w14:textId="77777777" w:rsidR="009E1D6F" w:rsidRPr="00497000" w:rsidRDefault="009E1D6F">
            <w:pPr>
              <w:rPr>
                <w:sz w:val="24"/>
                <w:szCs w:val="24"/>
              </w:rPr>
            </w:pPr>
            <w:r w:rsidRPr="00497000">
              <w:rPr>
                <w:sz w:val="24"/>
                <w:szCs w:val="24"/>
              </w:rPr>
              <w:t>abscess, pneumonia</w:t>
            </w:r>
          </w:p>
        </w:tc>
      </w:tr>
      <w:tr w:rsidR="009E1D6F" w:rsidRPr="00497000" w14:paraId="072D6480"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794FD864" w14:textId="77777777" w:rsidR="009E1D6F" w:rsidRPr="00497000" w:rsidRDefault="009E1D6F">
            <w:pPr>
              <w:rPr>
                <w:b/>
                <w:sz w:val="24"/>
                <w:szCs w:val="24"/>
              </w:rPr>
            </w:pPr>
            <w:r w:rsidRPr="00497000">
              <w:rPr>
                <w:b/>
                <w:sz w:val="24"/>
                <w:szCs w:val="24"/>
              </w:rPr>
              <w:t>Blood and lymphatic disorders</w:t>
            </w:r>
          </w:p>
        </w:tc>
      </w:tr>
      <w:tr w:rsidR="009E1D6F" w:rsidRPr="00497000" w14:paraId="15AE20C2"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737532D3" w14:textId="77777777" w:rsidR="009E1D6F" w:rsidRPr="00497000" w:rsidRDefault="009E1D6F">
            <w:pPr>
              <w:rPr>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722BCEEC" w14:textId="77777777" w:rsidR="009E1D6F" w:rsidRPr="00497000" w:rsidRDefault="009E1D6F">
            <w:pPr>
              <w:rPr>
                <w:b/>
                <w:sz w:val="24"/>
                <w:szCs w:val="24"/>
              </w:rPr>
            </w:pPr>
            <w:r w:rsidRPr="00497000">
              <w:rPr>
                <w:sz w:val="24"/>
                <w:szCs w:val="24"/>
              </w:rPr>
              <w:t>anaemia, thrombocytopenia</w:t>
            </w:r>
          </w:p>
        </w:tc>
      </w:tr>
      <w:tr w:rsidR="009E1D6F" w:rsidRPr="00497000" w14:paraId="0BEDF546"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42B710A" w14:textId="77777777" w:rsidR="009E1D6F" w:rsidRPr="00497000" w:rsidRDefault="009E1D6F">
            <w:pPr>
              <w:rPr>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219C802D" w14:textId="77777777" w:rsidR="009E1D6F" w:rsidRPr="00497000" w:rsidRDefault="009E1D6F">
            <w:pPr>
              <w:rPr>
                <w:b/>
                <w:sz w:val="24"/>
                <w:szCs w:val="24"/>
              </w:rPr>
            </w:pPr>
            <w:r w:rsidRPr="00497000">
              <w:rPr>
                <w:sz w:val="24"/>
                <w:szCs w:val="24"/>
              </w:rPr>
              <w:t>neutropenia, lymphopenia</w:t>
            </w:r>
          </w:p>
        </w:tc>
      </w:tr>
      <w:tr w:rsidR="009E1D6F" w:rsidRPr="00497000" w14:paraId="3B443983"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42E73760" w14:textId="77777777" w:rsidR="009E1D6F" w:rsidRPr="00497000" w:rsidRDefault="009E1D6F">
            <w:pPr>
              <w:rPr>
                <w:b/>
                <w:sz w:val="24"/>
                <w:szCs w:val="24"/>
              </w:rPr>
            </w:pPr>
            <w:r w:rsidRPr="00497000">
              <w:rPr>
                <w:b/>
                <w:sz w:val="24"/>
                <w:szCs w:val="24"/>
              </w:rPr>
              <w:t>Endocrine disorders</w:t>
            </w:r>
          </w:p>
        </w:tc>
      </w:tr>
      <w:tr w:rsidR="009E1D6F" w:rsidRPr="00497000" w14:paraId="1905CF0B"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35F360C" w14:textId="77777777" w:rsidR="009E1D6F" w:rsidRPr="00497000" w:rsidRDefault="009E1D6F">
            <w:pPr>
              <w:rPr>
                <w:b/>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36A953EF" w14:textId="77777777" w:rsidR="009E1D6F" w:rsidRPr="00497000" w:rsidRDefault="009E1D6F">
            <w:pPr>
              <w:rPr>
                <w:b/>
                <w:sz w:val="24"/>
                <w:szCs w:val="24"/>
              </w:rPr>
            </w:pPr>
            <w:r w:rsidRPr="00497000">
              <w:rPr>
                <w:sz w:val="24"/>
                <w:szCs w:val="24"/>
              </w:rPr>
              <w:t>hypothyroidism*</w:t>
            </w:r>
          </w:p>
        </w:tc>
      </w:tr>
      <w:tr w:rsidR="009E1D6F" w:rsidRPr="00497000" w14:paraId="7366332D"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0EE49CF6" w14:textId="77777777" w:rsidR="009E1D6F" w:rsidRPr="00497000" w:rsidRDefault="009E1D6F">
            <w:pPr>
              <w:rPr>
                <w:b/>
                <w:sz w:val="24"/>
                <w:szCs w:val="24"/>
              </w:rPr>
            </w:pPr>
            <w:r w:rsidRPr="00497000">
              <w:rPr>
                <w:b/>
                <w:sz w:val="24"/>
                <w:szCs w:val="24"/>
              </w:rPr>
              <w:t>Metabolism and nutrition disorders</w:t>
            </w:r>
          </w:p>
        </w:tc>
      </w:tr>
      <w:tr w:rsidR="009E1D6F" w:rsidRPr="002922BC" w14:paraId="134BA189"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2C62CD3" w14:textId="77777777" w:rsidR="009E1D6F" w:rsidRPr="00497000" w:rsidRDefault="009E1D6F">
            <w:pPr>
              <w:rPr>
                <w:b/>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77B26EA5" w14:textId="77777777" w:rsidR="009E1D6F" w:rsidRPr="00497000" w:rsidRDefault="009E1D6F">
            <w:pPr>
              <w:rPr>
                <w:b/>
                <w:sz w:val="24"/>
                <w:szCs w:val="24"/>
                <w:lang w:val="en-US"/>
              </w:rPr>
            </w:pPr>
            <w:r w:rsidRPr="00497000">
              <w:rPr>
                <w:sz w:val="24"/>
                <w:szCs w:val="24"/>
                <w:lang w:val="en-US"/>
              </w:rPr>
              <w:t>decreased appetite, hypomagnesaemia, hypokalaemia, hypoalbuminaemia</w:t>
            </w:r>
          </w:p>
        </w:tc>
      </w:tr>
      <w:tr w:rsidR="009E1D6F" w:rsidRPr="00497000" w14:paraId="3FA27CC9"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780C655" w14:textId="77777777" w:rsidR="009E1D6F" w:rsidRPr="00497000" w:rsidRDefault="009E1D6F">
            <w:pPr>
              <w:rPr>
                <w:b/>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02458240" w14:textId="77777777" w:rsidR="009E1D6F" w:rsidRPr="00497000" w:rsidRDefault="009E1D6F">
            <w:pPr>
              <w:rPr>
                <w:b/>
                <w:sz w:val="24"/>
                <w:szCs w:val="24"/>
              </w:rPr>
            </w:pPr>
            <w:r w:rsidRPr="00497000">
              <w:rPr>
                <w:sz w:val="24"/>
                <w:szCs w:val="24"/>
              </w:rPr>
              <w:t>dehydration, hypophosphataemia, hyponatraemia, hypocalcaemia, hyperkalaemia, hyperbilirubinemia, hyperglycaemia, hypoglycaemia</w:t>
            </w:r>
          </w:p>
        </w:tc>
      </w:tr>
      <w:tr w:rsidR="009E1D6F" w:rsidRPr="00497000" w14:paraId="480A5381"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5799F2F4" w14:textId="77777777" w:rsidR="009E1D6F" w:rsidRPr="00497000" w:rsidRDefault="009E1D6F">
            <w:pPr>
              <w:rPr>
                <w:b/>
                <w:sz w:val="24"/>
                <w:szCs w:val="24"/>
              </w:rPr>
            </w:pPr>
            <w:r w:rsidRPr="00497000">
              <w:rPr>
                <w:b/>
                <w:sz w:val="24"/>
                <w:szCs w:val="24"/>
              </w:rPr>
              <w:lastRenderedPageBreak/>
              <w:t>Nervous system disorders</w:t>
            </w:r>
          </w:p>
        </w:tc>
      </w:tr>
      <w:tr w:rsidR="009E1D6F" w:rsidRPr="00497000" w14:paraId="0AE1E75F"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F326609" w14:textId="77777777" w:rsidR="009E1D6F" w:rsidRPr="00497000" w:rsidRDefault="009E1D6F">
            <w:pPr>
              <w:rPr>
                <w:b/>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5B814FDE" w14:textId="77777777" w:rsidR="009E1D6F" w:rsidRPr="00497000" w:rsidRDefault="009E1D6F">
            <w:pPr>
              <w:rPr>
                <w:b/>
                <w:sz w:val="24"/>
                <w:szCs w:val="24"/>
              </w:rPr>
            </w:pPr>
            <w:r w:rsidRPr="00497000">
              <w:rPr>
                <w:sz w:val="24"/>
                <w:szCs w:val="24"/>
              </w:rPr>
              <w:t>dysgeusia, headache, dizziness</w:t>
            </w:r>
          </w:p>
        </w:tc>
      </w:tr>
      <w:tr w:rsidR="009E1D6F" w:rsidRPr="00497000" w14:paraId="41527640"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775D452" w14:textId="77777777" w:rsidR="009E1D6F" w:rsidRPr="00497000" w:rsidRDefault="009E1D6F">
            <w:pPr>
              <w:rPr>
                <w:b/>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1E5F1918" w14:textId="77777777" w:rsidR="009E1D6F" w:rsidRPr="00497000" w:rsidRDefault="009E1D6F">
            <w:pPr>
              <w:rPr>
                <w:b/>
                <w:sz w:val="24"/>
                <w:szCs w:val="24"/>
              </w:rPr>
            </w:pPr>
            <w:r w:rsidRPr="00497000">
              <w:rPr>
                <w:sz w:val="24"/>
                <w:szCs w:val="24"/>
              </w:rPr>
              <w:t>peripheral neuropathy</w:t>
            </w:r>
            <w:r w:rsidRPr="00497000">
              <w:rPr>
                <w:sz w:val="24"/>
                <w:szCs w:val="24"/>
                <w:vertAlign w:val="superscript"/>
              </w:rPr>
              <w:t>a</w:t>
            </w:r>
          </w:p>
        </w:tc>
      </w:tr>
      <w:tr w:rsidR="009E1D6F" w:rsidRPr="002922BC" w14:paraId="0BB23A8F"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38F4880" w14:textId="77777777" w:rsidR="009E1D6F" w:rsidRPr="00497000" w:rsidRDefault="009E1D6F">
            <w:pPr>
              <w:rPr>
                <w:b/>
                <w:sz w:val="24"/>
                <w:szCs w:val="24"/>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7ADD0268" w14:textId="77777777" w:rsidR="009E1D6F" w:rsidRPr="00497000" w:rsidRDefault="009E1D6F">
            <w:pPr>
              <w:rPr>
                <w:b/>
                <w:sz w:val="24"/>
                <w:szCs w:val="24"/>
                <w:lang w:val="en-US"/>
              </w:rPr>
            </w:pPr>
            <w:r w:rsidRPr="00497000">
              <w:rPr>
                <w:sz w:val="24"/>
                <w:szCs w:val="24"/>
                <w:lang w:val="en-US"/>
              </w:rPr>
              <w:t>convulsion, cerebrovascular accident, posterior reversible encephalopathy syndrome</w:t>
            </w:r>
          </w:p>
        </w:tc>
      </w:tr>
      <w:tr w:rsidR="009E1D6F" w:rsidRPr="00497000" w14:paraId="103EF8E1"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4F7D2D48" w14:textId="77777777" w:rsidR="009E1D6F" w:rsidRPr="00497000" w:rsidRDefault="009E1D6F">
            <w:pPr>
              <w:rPr>
                <w:b/>
                <w:sz w:val="24"/>
                <w:szCs w:val="24"/>
              </w:rPr>
            </w:pPr>
            <w:r w:rsidRPr="00497000">
              <w:rPr>
                <w:b/>
                <w:sz w:val="24"/>
                <w:szCs w:val="24"/>
              </w:rPr>
              <w:t>Ear and labyrinth disorders</w:t>
            </w:r>
          </w:p>
        </w:tc>
      </w:tr>
      <w:tr w:rsidR="009E1D6F" w:rsidRPr="00497000" w14:paraId="21D7296E"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ADE7B6C" w14:textId="77777777" w:rsidR="009E1D6F" w:rsidRPr="00497000" w:rsidRDefault="009E1D6F">
            <w:pPr>
              <w:rPr>
                <w:b/>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2431B41B" w14:textId="77777777" w:rsidR="009E1D6F" w:rsidRPr="00497000" w:rsidRDefault="009E1D6F">
            <w:pPr>
              <w:rPr>
                <w:b/>
                <w:sz w:val="24"/>
                <w:szCs w:val="24"/>
              </w:rPr>
            </w:pPr>
            <w:r w:rsidRPr="00497000">
              <w:rPr>
                <w:sz w:val="24"/>
                <w:szCs w:val="24"/>
              </w:rPr>
              <w:t>tinnitus</w:t>
            </w:r>
          </w:p>
        </w:tc>
      </w:tr>
      <w:tr w:rsidR="009E1D6F" w:rsidRPr="00497000" w14:paraId="4FD11139"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565D2E96" w14:textId="77777777" w:rsidR="009E1D6F" w:rsidRPr="00497000" w:rsidRDefault="009E1D6F">
            <w:pPr>
              <w:rPr>
                <w:b/>
                <w:sz w:val="24"/>
                <w:szCs w:val="24"/>
              </w:rPr>
            </w:pPr>
            <w:r w:rsidRPr="00497000">
              <w:rPr>
                <w:b/>
                <w:sz w:val="24"/>
                <w:szCs w:val="24"/>
              </w:rPr>
              <w:t>Cardiac disorders</w:t>
            </w:r>
          </w:p>
        </w:tc>
      </w:tr>
      <w:tr w:rsidR="009E1D6F" w:rsidRPr="00497000" w14:paraId="64D0A9EA"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28EA4A8" w14:textId="77777777" w:rsidR="009E1D6F" w:rsidRPr="00497000" w:rsidRDefault="009E1D6F">
            <w:pPr>
              <w:rPr>
                <w:b/>
                <w:sz w:val="24"/>
                <w:szCs w:val="24"/>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554F788D" w14:textId="77777777" w:rsidR="009E1D6F" w:rsidRPr="00497000" w:rsidRDefault="009E1D6F">
            <w:pPr>
              <w:rPr>
                <w:b/>
                <w:sz w:val="24"/>
                <w:szCs w:val="24"/>
              </w:rPr>
            </w:pPr>
            <w:r w:rsidRPr="00497000">
              <w:rPr>
                <w:sz w:val="24"/>
                <w:szCs w:val="24"/>
              </w:rPr>
              <w:t>acute myocardial infarction</w:t>
            </w:r>
          </w:p>
        </w:tc>
      </w:tr>
      <w:tr w:rsidR="009E1D6F" w:rsidRPr="00497000" w14:paraId="64FEFD16"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3413570A" w14:textId="77777777" w:rsidR="009E1D6F" w:rsidRPr="00497000" w:rsidRDefault="009E1D6F">
            <w:pPr>
              <w:rPr>
                <w:b/>
                <w:sz w:val="24"/>
                <w:szCs w:val="24"/>
              </w:rPr>
            </w:pPr>
            <w:r w:rsidRPr="00497000">
              <w:rPr>
                <w:b/>
                <w:sz w:val="24"/>
                <w:szCs w:val="24"/>
              </w:rPr>
              <w:t>Vascular disorders</w:t>
            </w:r>
          </w:p>
        </w:tc>
      </w:tr>
      <w:tr w:rsidR="009E1D6F" w:rsidRPr="00497000" w14:paraId="25299149"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54028C2" w14:textId="77777777" w:rsidR="009E1D6F" w:rsidRPr="00497000" w:rsidRDefault="009E1D6F">
            <w:pPr>
              <w:rPr>
                <w:b/>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2968664E" w14:textId="77777777" w:rsidR="009E1D6F" w:rsidRPr="00497000" w:rsidRDefault="009E1D6F">
            <w:pPr>
              <w:rPr>
                <w:b/>
                <w:sz w:val="24"/>
                <w:szCs w:val="24"/>
              </w:rPr>
            </w:pPr>
            <w:r w:rsidRPr="00497000">
              <w:rPr>
                <w:sz w:val="24"/>
                <w:szCs w:val="24"/>
              </w:rPr>
              <w:t>hypertension, haemorrhage</w:t>
            </w:r>
            <w:r w:rsidRPr="00497000">
              <w:rPr>
                <w:sz w:val="24"/>
                <w:szCs w:val="24"/>
                <w:vertAlign w:val="superscript"/>
              </w:rPr>
              <w:t>b</w:t>
            </w:r>
            <w:r w:rsidRPr="00497000">
              <w:rPr>
                <w:sz w:val="24"/>
                <w:szCs w:val="24"/>
              </w:rPr>
              <w:t>*</w:t>
            </w:r>
          </w:p>
        </w:tc>
      </w:tr>
      <w:tr w:rsidR="009E1D6F" w:rsidRPr="00497000" w14:paraId="688A89D3"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6B753EB" w14:textId="77777777" w:rsidR="009E1D6F" w:rsidRPr="00497000" w:rsidRDefault="009E1D6F">
            <w:pPr>
              <w:rPr>
                <w:b/>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021B3345" w14:textId="77777777" w:rsidR="009E1D6F" w:rsidRPr="00497000" w:rsidRDefault="009E1D6F">
            <w:pPr>
              <w:rPr>
                <w:b/>
                <w:sz w:val="24"/>
                <w:szCs w:val="24"/>
              </w:rPr>
            </w:pPr>
            <w:r w:rsidRPr="00497000">
              <w:rPr>
                <w:sz w:val="24"/>
                <w:szCs w:val="24"/>
              </w:rPr>
              <w:t>venous thrombosis</w:t>
            </w:r>
            <w:r w:rsidRPr="00497000">
              <w:rPr>
                <w:sz w:val="24"/>
                <w:szCs w:val="24"/>
                <w:vertAlign w:val="superscript"/>
              </w:rPr>
              <w:t>c</w:t>
            </w:r>
          </w:p>
        </w:tc>
      </w:tr>
      <w:tr w:rsidR="009E1D6F" w:rsidRPr="002922BC" w14:paraId="4BE5DEBA"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5D6407E" w14:textId="77777777" w:rsidR="009E1D6F" w:rsidRPr="00497000" w:rsidRDefault="009E1D6F">
            <w:pPr>
              <w:rPr>
                <w:b/>
                <w:sz w:val="24"/>
                <w:szCs w:val="24"/>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2774EE47" w14:textId="77777777" w:rsidR="009E1D6F" w:rsidRPr="00497000" w:rsidRDefault="009E1D6F">
            <w:pPr>
              <w:rPr>
                <w:b/>
                <w:sz w:val="24"/>
                <w:szCs w:val="24"/>
                <w:lang w:val="en-US"/>
              </w:rPr>
            </w:pPr>
            <w:r w:rsidRPr="00497000">
              <w:rPr>
                <w:sz w:val="24"/>
                <w:szCs w:val="24"/>
                <w:lang w:val="en-US"/>
              </w:rPr>
              <w:t>hypertensive crisis, arterial thrombosis, embolism arterial</w:t>
            </w:r>
          </w:p>
        </w:tc>
      </w:tr>
      <w:tr w:rsidR="009E1D6F" w:rsidRPr="00497000" w14:paraId="465C2531"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C9E639B" w14:textId="77777777" w:rsidR="009E1D6F" w:rsidRPr="00497000" w:rsidRDefault="009E1D6F">
            <w:pPr>
              <w:rPr>
                <w:b/>
                <w:sz w:val="24"/>
                <w:szCs w:val="24"/>
              </w:rPr>
            </w:pPr>
            <w:r w:rsidRPr="00497000">
              <w:rPr>
                <w:sz w:val="24"/>
                <w:szCs w:val="24"/>
              </w:rPr>
              <w:t>Not known</w:t>
            </w:r>
          </w:p>
        </w:tc>
        <w:tc>
          <w:tcPr>
            <w:tcW w:w="4026" w:type="pct"/>
            <w:tcBorders>
              <w:top w:val="single" w:sz="4" w:space="0" w:color="auto"/>
              <w:left w:val="single" w:sz="4" w:space="0" w:color="auto"/>
              <w:bottom w:val="single" w:sz="4" w:space="0" w:color="auto"/>
              <w:right w:val="single" w:sz="4" w:space="0" w:color="auto"/>
            </w:tcBorders>
            <w:hideMark/>
          </w:tcPr>
          <w:p w14:paraId="73600992" w14:textId="77777777" w:rsidR="009E1D6F" w:rsidRPr="00497000" w:rsidRDefault="009E1D6F">
            <w:pPr>
              <w:rPr>
                <w:b/>
                <w:sz w:val="24"/>
                <w:szCs w:val="24"/>
              </w:rPr>
            </w:pPr>
            <w:r w:rsidRPr="00497000">
              <w:rPr>
                <w:sz w:val="24"/>
                <w:szCs w:val="24"/>
              </w:rPr>
              <w:t>aneurysms and artery dissections</w:t>
            </w:r>
          </w:p>
        </w:tc>
      </w:tr>
      <w:tr w:rsidR="009E1D6F" w:rsidRPr="002922BC" w14:paraId="52D56EF4"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580BAC14" w14:textId="77777777" w:rsidR="009E1D6F" w:rsidRPr="00497000" w:rsidRDefault="009E1D6F">
            <w:pPr>
              <w:rPr>
                <w:b/>
                <w:sz w:val="24"/>
                <w:szCs w:val="24"/>
                <w:lang w:val="en-US"/>
              </w:rPr>
            </w:pPr>
            <w:r w:rsidRPr="00497000">
              <w:rPr>
                <w:b/>
                <w:sz w:val="24"/>
                <w:szCs w:val="24"/>
                <w:lang w:val="en-US"/>
              </w:rPr>
              <w:t>Respiratory, thoracic, and mediastinal disorders</w:t>
            </w:r>
          </w:p>
        </w:tc>
      </w:tr>
      <w:tr w:rsidR="009E1D6F" w:rsidRPr="00497000" w14:paraId="79EE1314"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10E71DC" w14:textId="77777777" w:rsidR="009E1D6F" w:rsidRPr="00497000" w:rsidRDefault="009E1D6F">
            <w:pPr>
              <w:rPr>
                <w:b/>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0233025B" w14:textId="77777777" w:rsidR="009E1D6F" w:rsidRPr="00497000" w:rsidRDefault="009E1D6F">
            <w:pPr>
              <w:rPr>
                <w:b/>
                <w:sz w:val="24"/>
                <w:szCs w:val="24"/>
              </w:rPr>
            </w:pPr>
            <w:r w:rsidRPr="00497000">
              <w:rPr>
                <w:sz w:val="24"/>
                <w:szCs w:val="24"/>
              </w:rPr>
              <w:t>dysphonia, dyspnoea, cough</w:t>
            </w:r>
          </w:p>
        </w:tc>
      </w:tr>
      <w:tr w:rsidR="009E1D6F" w:rsidRPr="00497000" w14:paraId="35419557"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D5EE50C" w14:textId="77777777" w:rsidR="009E1D6F" w:rsidRPr="00497000" w:rsidRDefault="009E1D6F">
            <w:pPr>
              <w:rPr>
                <w:b/>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7C85D4CC" w14:textId="77777777" w:rsidR="009E1D6F" w:rsidRPr="00497000" w:rsidRDefault="009E1D6F">
            <w:pPr>
              <w:rPr>
                <w:b/>
                <w:sz w:val="24"/>
                <w:szCs w:val="24"/>
              </w:rPr>
            </w:pPr>
            <w:r w:rsidRPr="00497000">
              <w:rPr>
                <w:sz w:val="24"/>
                <w:szCs w:val="24"/>
              </w:rPr>
              <w:t>pulmonary embolism</w:t>
            </w:r>
          </w:p>
        </w:tc>
      </w:tr>
      <w:tr w:rsidR="009E1D6F" w:rsidRPr="00497000" w14:paraId="73806C4E"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00AEE91" w14:textId="77777777" w:rsidR="009E1D6F" w:rsidRPr="00497000" w:rsidRDefault="009E1D6F">
            <w:pPr>
              <w:rPr>
                <w:b/>
                <w:sz w:val="24"/>
                <w:szCs w:val="24"/>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2E6F00DA" w14:textId="77777777" w:rsidR="009E1D6F" w:rsidRPr="00497000" w:rsidRDefault="009E1D6F">
            <w:pPr>
              <w:rPr>
                <w:b/>
                <w:sz w:val="24"/>
                <w:szCs w:val="24"/>
              </w:rPr>
            </w:pPr>
            <w:r w:rsidRPr="00497000">
              <w:rPr>
                <w:sz w:val="24"/>
                <w:szCs w:val="24"/>
              </w:rPr>
              <w:t>pneumothorax</w:t>
            </w:r>
          </w:p>
        </w:tc>
      </w:tr>
      <w:tr w:rsidR="009E1D6F" w:rsidRPr="00497000" w14:paraId="2FE72606"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20C7E69F" w14:textId="77777777" w:rsidR="009E1D6F" w:rsidRPr="00497000" w:rsidRDefault="009E1D6F">
            <w:pPr>
              <w:rPr>
                <w:b/>
                <w:sz w:val="24"/>
                <w:szCs w:val="24"/>
              </w:rPr>
            </w:pPr>
            <w:r w:rsidRPr="00497000">
              <w:rPr>
                <w:b/>
                <w:sz w:val="24"/>
                <w:szCs w:val="24"/>
              </w:rPr>
              <w:t>Gastrointestinal disorders</w:t>
            </w:r>
          </w:p>
        </w:tc>
      </w:tr>
      <w:tr w:rsidR="009E1D6F" w:rsidRPr="002922BC" w14:paraId="0E557B37"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1AA79DD" w14:textId="77777777" w:rsidR="009E1D6F" w:rsidRPr="00497000" w:rsidRDefault="009E1D6F">
            <w:pPr>
              <w:rPr>
                <w:b/>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1411EA48" w14:textId="49DBDCC7" w:rsidR="009E1D6F" w:rsidRPr="00497000" w:rsidRDefault="009E1D6F">
            <w:pPr>
              <w:rPr>
                <w:b/>
                <w:sz w:val="24"/>
                <w:szCs w:val="24"/>
                <w:lang w:val="en-US"/>
              </w:rPr>
            </w:pPr>
            <w:r w:rsidRPr="00497000">
              <w:rPr>
                <w:sz w:val="24"/>
                <w:szCs w:val="24"/>
                <w:lang w:val="en-US"/>
              </w:rPr>
              <w:t>diarrhoea*, nausea, vomiting, stomatitis, constipation, abdominal pain, dyspepsia</w:t>
            </w:r>
          </w:p>
        </w:tc>
      </w:tr>
      <w:tr w:rsidR="009E1D6F" w:rsidRPr="002922BC" w14:paraId="717ECDCD"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0064A328" w14:textId="77777777" w:rsidR="009E1D6F" w:rsidRPr="00497000" w:rsidRDefault="009E1D6F">
            <w:pPr>
              <w:rPr>
                <w:b/>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2FD3F585" w14:textId="4533FED9" w:rsidR="009E1D6F" w:rsidRPr="00497000" w:rsidRDefault="009E1D6F">
            <w:pPr>
              <w:rPr>
                <w:b/>
                <w:sz w:val="24"/>
                <w:szCs w:val="24"/>
                <w:lang w:val="en-US"/>
              </w:rPr>
            </w:pPr>
            <w:r w:rsidRPr="00497000">
              <w:rPr>
                <w:sz w:val="24"/>
                <w:szCs w:val="24"/>
                <w:lang w:val="en-US"/>
              </w:rPr>
              <w:t>gastrointestinal perforation*, pancreatitis, fistula*, gastroesophageal reflux disease, haemorrhoids, oral pain, dry mouth, dysphagia</w:t>
            </w:r>
          </w:p>
        </w:tc>
      </w:tr>
      <w:tr w:rsidR="009E1D6F" w:rsidRPr="00497000" w14:paraId="481140F6"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8AA1B93" w14:textId="77777777" w:rsidR="009E1D6F" w:rsidRPr="00497000" w:rsidRDefault="009E1D6F">
            <w:pPr>
              <w:rPr>
                <w:b/>
                <w:sz w:val="24"/>
                <w:szCs w:val="24"/>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20F091AC" w14:textId="77777777" w:rsidR="009E1D6F" w:rsidRPr="00497000" w:rsidRDefault="009E1D6F">
            <w:pPr>
              <w:rPr>
                <w:b/>
                <w:sz w:val="24"/>
                <w:szCs w:val="24"/>
              </w:rPr>
            </w:pPr>
            <w:r w:rsidRPr="00497000">
              <w:rPr>
                <w:sz w:val="24"/>
                <w:szCs w:val="24"/>
              </w:rPr>
              <w:t>glossodynia</w:t>
            </w:r>
          </w:p>
        </w:tc>
      </w:tr>
      <w:tr w:rsidR="009E1D6F" w:rsidRPr="00497000" w14:paraId="6E0B4A14"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58F5F029" w14:textId="77777777" w:rsidR="009E1D6F" w:rsidRPr="00497000" w:rsidRDefault="009E1D6F">
            <w:pPr>
              <w:rPr>
                <w:b/>
                <w:sz w:val="24"/>
                <w:szCs w:val="24"/>
              </w:rPr>
            </w:pPr>
            <w:r w:rsidRPr="00497000">
              <w:rPr>
                <w:b/>
                <w:sz w:val="24"/>
                <w:szCs w:val="24"/>
              </w:rPr>
              <w:t>Hepatobiliary disorders</w:t>
            </w:r>
          </w:p>
        </w:tc>
      </w:tr>
      <w:tr w:rsidR="009E1D6F" w:rsidRPr="00497000" w14:paraId="41AD3F27"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225E4C4" w14:textId="77777777" w:rsidR="009E1D6F" w:rsidRPr="00497000" w:rsidRDefault="009E1D6F">
            <w:pPr>
              <w:rPr>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42C604A6" w14:textId="77777777" w:rsidR="009E1D6F" w:rsidRPr="00497000" w:rsidRDefault="009E1D6F">
            <w:pPr>
              <w:rPr>
                <w:b/>
                <w:sz w:val="24"/>
                <w:szCs w:val="24"/>
              </w:rPr>
            </w:pPr>
            <w:r w:rsidRPr="00497000">
              <w:rPr>
                <w:sz w:val="24"/>
                <w:szCs w:val="24"/>
              </w:rPr>
              <w:t>hepatic encephalopathy*</w:t>
            </w:r>
          </w:p>
        </w:tc>
      </w:tr>
      <w:tr w:rsidR="009E1D6F" w:rsidRPr="00497000" w14:paraId="1BC6285A"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E5C95C2" w14:textId="77777777" w:rsidR="009E1D6F" w:rsidRPr="00497000" w:rsidRDefault="009E1D6F">
            <w:pPr>
              <w:rPr>
                <w:sz w:val="24"/>
                <w:szCs w:val="24"/>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30E9FE1B" w14:textId="77777777" w:rsidR="009E1D6F" w:rsidRPr="00497000" w:rsidRDefault="009E1D6F">
            <w:pPr>
              <w:rPr>
                <w:b/>
                <w:sz w:val="24"/>
                <w:szCs w:val="24"/>
              </w:rPr>
            </w:pPr>
            <w:r w:rsidRPr="00497000">
              <w:rPr>
                <w:sz w:val="24"/>
                <w:szCs w:val="24"/>
              </w:rPr>
              <w:t>hepatitis cholestatic</w:t>
            </w:r>
          </w:p>
        </w:tc>
      </w:tr>
      <w:tr w:rsidR="009E1D6F" w:rsidRPr="002922BC" w14:paraId="4D662D05"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1C06D6AB" w14:textId="77777777" w:rsidR="009E1D6F" w:rsidRPr="00497000" w:rsidRDefault="009E1D6F">
            <w:pPr>
              <w:rPr>
                <w:b/>
                <w:sz w:val="24"/>
                <w:szCs w:val="24"/>
                <w:lang w:val="en-US"/>
              </w:rPr>
            </w:pPr>
            <w:r w:rsidRPr="00497000">
              <w:rPr>
                <w:b/>
                <w:sz w:val="24"/>
                <w:szCs w:val="24"/>
                <w:lang w:val="en-US"/>
              </w:rPr>
              <w:t>Skin and subcutaneous tissue disorders</w:t>
            </w:r>
          </w:p>
        </w:tc>
      </w:tr>
      <w:tr w:rsidR="009E1D6F" w:rsidRPr="00497000" w14:paraId="7B20C5CC"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3D9FCEB" w14:textId="77777777" w:rsidR="009E1D6F" w:rsidRPr="00497000" w:rsidRDefault="009E1D6F">
            <w:pPr>
              <w:rPr>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3CC8B6FC" w14:textId="77777777" w:rsidR="009E1D6F" w:rsidRPr="00497000" w:rsidRDefault="009E1D6F">
            <w:pPr>
              <w:rPr>
                <w:b/>
                <w:sz w:val="24"/>
                <w:szCs w:val="24"/>
              </w:rPr>
            </w:pPr>
            <w:r w:rsidRPr="00497000">
              <w:rPr>
                <w:sz w:val="24"/>
                <w:szCs w:val="24"/>
              </w:rPr>
              <w:t>palmar-plantar erythrodysaesthesia syndrome, rash</w:t>
            </w:r>
          </w:p>
        </w:tc>
      </w:tr>
      <w:tr w:rsidR="009E1D6F" w:rsidRPr="002922BC" w14:paraId="3141A897"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35124A9" w14:textId="77777777" w:rsidR="009E1D6F" w:rsidRPr="00497000" w:rsidRDefault="009E1D6F">
            <w:pPr>
              <w:rPr>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4AF8437B" w14:textId="77777777" w:rsidR="009E1D6F" w:rsidRPr="00497000" w:rsidRDefault="009E1D6F">
            <w:pPr>
              <w:rPr>
                <w:b/>
                <w:sz w:val="24"/>
                <w:szCs w:val="24"/>
                <w:lang w:val="en-US"/>
              </w:rPr>
            </w:pPr>
            <w:r w:rsidRPr="00497000">
              <w:rPr>
                <w:sz w:val="24"/>
                <w:szCs w:val="24"/>
                <w:lang w:val="en-US"/>
              </w:rPr>
              <w:t>pruritus, alopecia, dry skin, dermatitis acneiform, hair colour change, hyperkeratosis, erythema</w:t>
            </w:r>
          </w:p>
        </w:tc>
      </w:tr>
      <w:tr w:rsidR="009E1D6F" w:rsidRPr="00497000" w14:paraId="6399F1C0"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EED79B4" w14:textId="77777777" w:rsidR="009E1D6F" w:rsidRPr="00497000" w:rsidRDefault="009E1D6F">
            <w:pPr>
              <w:rPr>
                <w:sz w:val="24"/>
                <w:szCs w:val="24"/>
              </w:rPr>
            </w:pPr>
            <w:r w:rsidRPr="00497000">
              <w:rPr>
                <w:sz w:val="24"/>
                <w:szCs w:val="24"/>
              </w:rPr>
              <w:t>Not known</w:t>
            </w:r>
          </w:p>
        </w:tc>
        <w:tc>
          <w:tcPr>
            <w:tcW w:w="4026" w:type="pct"/>
            <w:tcBorders>
              <w:top w:val="single" w:sz="4" w:space="0" w:color="auto"/>
              <w:left w:val="single" w:sz="4" w:space="0" w:color="auto"/>
              <w:bottom w:val="single" w:sz="4" w:space="0" w:color="auto"/>
              <w:right w:val="single" w:sz="4" w:space="0" w:color="auto"/>
            </w:tcBorders>
            <w:hideMark/>
          </w:tcPr>
          <w:p w14:paraId="3762C7DB" w14:textId="77777777" w:rsidR="009E1D6F" w:rsidRPr="00497000" w:rsidRDefault="009E1D6F">
            <w:pPr>
              <w:rPr>
                <w:sz w:val="24"/>
                <w:szCs w:val="24"/>
              </w:rPr>
            </w:pPr>
            <w:r w:rsidRPr="00497000">
              <w:rPr>
                <w:sz w:val="24"/>
                <w:szCs w:val="24"/>
              </w:rPr>
              <w:t>cutaneous vasculitis</w:t>
            </w:r>
          </w:p>
        </w:tc>
      </w:tr>
      <w:tr w:rsidR="009E1D6F" w:rsidRPr="002922BC" w14:paraId="53ACABBD"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23DC40BF" w14:textId="77777777" w:rsidR="009E1D6F" w:rsidRPr="00497000" w:rsidRDefault="009E1D6F">
            <w:pPr>
              <w:rPr>
                <w:b/>
                <w:sz w:val="24"/>
                <w:szCs w:val="24"/>
                <w:lang w:val="en-US"/>
              </w:rPr>
            </w:pPr>
            <w:r w:rsidRPr="00497000">
              <w:rPr>
                <w:b/>
                <w:sz w:val="24"/>
                <w:szCs w:val="24"/>
                <w:lang w:val="en-US"/>
              </w:rPr>
              <w:t>Musculoskeletal and connective tissue disorders</w:t>
            </w:r>
          </w:p>
        </w:tc>
      </w:tr>
      <w:tr w:rsidR="009E1D6F" w:rsidRPr="00497000" w14:paraId="7A67C53B"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2454F06" w14:textId="77777777" w:rsidR="009E1D6F" w:rsidRPr="00497000" w:rsidRDefault="009E1D6F">
            <w:pPr>
              <w:rPr>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57F55918" w14:textId="77777777" w:rsidR="009E1D6F" w:rsidRPr="00497000" w:rsidRDefault="009E1D6F">
            <w:pPr>
              <w:rPr>
                <w:b/>
                <w:sz w:val="24"/>
                <w:szCs w:val="24"/>
              </w:rPr>
            </w:pPr>
            <w:r w:rsidRPr="00497000">
              <w:rPr>
                <w:sz w:val="24"/>
                <w:szCs w:val="24"/>
              </w:rPr>
              <w:t>pain in extremity</w:t>
            </w:r>
          </w:p>
        </w:tc>
      </w:tr>
      <w:tr w:rsidR="009E1D6F" w:rsidRPr="00497000" w14:paraId="16BE030E"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7A066EA0" w14:textId="77777777" w:rsidR="009E1D6F" w:rsidRPr="00497000" w:rsidRDefault="009E1D6F">
            <w:pPr>
              <w:rPr>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63CEFC9D" w14:textId="77777777" w:rsidR="009E1D6F" w:rsidRPr="00497000" w:rsidRDefault="009E1D6F">
            <w:pPr>
              <w:rPr>
                <w:b/>
                <w:sz w:val="24"/>
                <w:szCs w:val="24"/>
              </w:rPr>
            </w:pPr>
            <w:r w:rsidRPr="00497000">
              <w:rPr>
                <w:sz w:val="24"/>
                <w:szCs w:val="24"/>
              </w:rPr>
              <w:t>muscle spasms, arthralgia</w:t>
            </w:r>
          </w:p>
        </w:tc>
      </w:tr>
      <w:tr w:rsidR="009E1D6F" w:rsidRPr="00497000" w14:paraId="35CE97FF"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287F8C5" w14:textId="77777777" w:rsidR="009E1D6F" w:rsidRPr="00497000" w:rsidRDefault="009E1D6F">
            <w:pPr>
              <w:rPr>
                <w:sz w:val="24"/>
                <w:szCs w:val="24"/>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055F5864" w14:textId="77777777" w:rsidR="009E1D6F" w:rsidRPr="00497000" w:rsidRDefault="009E1D6F">
            <w:pPr>
              <w:rPr>
                <w:b/>
                <w:sz w:val="24"/>
                <w:szCs w:val="24"/>
              </w:rPr>
            </w:pPr>
            <w:r w:rsidRPr="00497000">
              <w:rPr>
                <w:sz w:val="24"/>
                <w:szCs w:val="24"/>
              </w:rPr>
              <w:t>osteonecrosis of the jaw</w:t>
            </w:r>
          </w:p>
        </w:tc>
      </w:tr>
      <w:tr w:rsidR="009E1D6F" w:rsidRPr="00497000" w14:paraId="7BA21CAF"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51A9D6CB" w14:textId="77777777" w:rsidR="009E1D6F" w:rsidRPr="00497000" w:rsidRDefault="009E1D6F">
            <w:pPr>
              <w:rPr>
                <w:b/>
                <w:sz w:val="24"/>
                <w:szCs w:val="24"/>
              </w:rPr>
            </w:pPr>
            <w:r w:rsidRPr="00497000">
              <w:rPr>
                <w:b/>
                <w:sz w:val="24"/>
                <w:szCs w:val="24"/>
              </w:rPr>
              <w:t>Renal and urinary disorders</w:t>
            </w:r>
          </w:p>
        </w:tc>
      </w:tr>
      <w:tr w:rsidR="009E1D6F" w:rsidRPr="00497000" w14:paraId="20A65154"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53357D8" w14:textId="77777777" w:rsidR="009E1D6F" w:rsidRPr="00497000" w:rsidRDefault="009E1D6F">
            <w:pPr>
              <w:rPr>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6DBDAD18" w14:textId="77777777" w:rsidR="009E1D6F" w:rsidRPr="00497000" w:rsidRDefault="009E1D6F">
            <w:pPr>
              <w:rPr>
                <w:b/>
                <w:sz w:val="24"/>
                <w:szCs w:val="24"/>
              </w:rPr>
            </w:pPr>
            <w:r w:rsidRPr="00497000">
              <w:rPr>
                <w:sz w:val="24"/>
                <w:szCs w:val="24"/>
              </w:rPr>
              <w:t>Proteinuria</w:t>
            </w:r>
          </w:p>
        </w:tc>
      </w:tr>
      <w:tr w:rsidR="009E1D6F" w:rsidRPr="002922BC" w14:paraId="140D4CBC"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278AD4AA" w14:textId="77777777" w:rsidR="009E1D6F" w:rsidRPr="00497000" w:rsidRDefault="009E1D6F">
            <w:pPr>
              <w:rPr>
                <w:b/>
                <w:sz w:val="24"/>
                <w:szCs w:val="24"/>
                <w:lang w:val="en-US"/>
              </w:rPr>
            </w:pPr>
            <w:r w:rsidRPr="00497000">
              <w:rPr>
                <w:b/>
                <w:sz w:val="24"/>
                <w:szCs w:val="24"/>
                <w:lang w:val="en-US"/>
              </w:rPr>
              <w:t>General disorders and administration site conditions</w:t>
            </w:r>
          </w:p>
        </w:tc>
      </w:tr>
      <w:tr w:rsidR="009E1D6F" w:rsidRPr="002922BC" w14:paraId="27C10C30"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D458D01" w14:textId="77777777" w:rsidR="009E1D6F" w:rsidRPr="00497000" w:rsidRDefault="009E1D6F">
            <w:pPr>
              <w:rPr>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503F4EDB" w14:textId="77777777" w:rsidR="009E1D6F" w:rsidRPr="00497000" w:rsidRDefault="009E1D6F">
            <w:pPr>
              <w:rPr>
                <w:b/>
                <w:sz w:val="24"/>
                <w:szCs w:val="24"/>
                <w:lang w:val="en-US"/>
              </w:rPr>
            </w:pPr>
            <w:r w:rsidRPr="00497000">
              <w:rPr>
                <w:sz w:val="24"/>
                <w:szCs w:val="24"/>
                <w:lang w:val="en-US"/>
              </w:rPr>
              <w:t>fatigue, mucosal inflammation, asthenia, peripheral oedema</w:t>
            </w:r>
          </w:p>
        </w:tc>
      </w:tr>
      <w:tr w:rsidR="009E1D6F" w:rsidRPr="00497000" w14:paraId="1B1C8438"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33FD651B" w14:textId="77777777" w:rsidR="009E1D6F" w:rsidRPr="00497000" w:rsidRDefault="009E1D6F">
            <w:pPr>
              <w:rPr>
                <w:b/>
                <w:sz w:val="24"/>
                <w:szCs w:val="24"/>
              </w:rPr>
            </w:pPr>
            <w:r w:rsidRPr="00497000">
              <w:rPr>
                <w:b/>
                <w:sz w:val="24"/>
                <w:szCs w:val="24"/>
              </w:rPr>
              <w:t>Investigations</w:t>
            </w:r>
            <w:r w:rsidRPr="00497000">
              <w:rPr>
                <w:b/>
                <w:sz w:val="24"/>
                <w:szCs w:val="24"/>
                <w:vertAlign w:val="superscript"/>
              </w:rPr>
              <w:t>d</w:t>
            </w:r>
          </w:p>
        </w:tc>
      </w:tr>
      <w:tr w:rsidR="009E1D6F" w:rsidRPr="002922BC" w14:paraId="7AEACAF5"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0090FCB" w14:textId="77777777" w:rsidR="009E1D6F" w:rsidRPr="00497000" w:rsidRDefault="009E1D6F">
            <w:pPr>
              <w:rPr>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66AFA21B" w14:textId="77777777" w:rsidR="009E1D6F" w:rsidRPr="00497000" w:rsidRDefault="009E1D6F">
            <w:pPr>
              <w:rPr>
                <w:b/>
                <w:sz w:val="24"/>
                <w:szCs w:val="24"/>
                <w:lang w:val="en-US"/>
              </w:rPr>
            </w:pPr>
            <w:r w:rsidRPr="00497000">
              <w:rPr>
                <w:sz w:val="24"/>
                <w:szCs w:val="24"/>
                <w:lang w:val="en-US"/>
              </w:rPr>
              <w:t>weight decreased, serum ALT increased, AST increased</w:t>
            </w:r>
          </w:p>
        </w:tc>
      </w:tr>
      <w:tr w:rsidR="009E1D6F" w:rsidRPr="002922BC" w14:paraId="5254D854"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C792173" w14:textId="77777777" w:rsidR="009E1D6F" w:rsidRPr="00497000" w:rsidRDefault="009E1D6F">
            <w:pPr>
              <w:rPr>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6E0509C6" w14:textId="77777777" w:rsidR="009E1D6F" w:rsidRPr="00497000" w:rsidRDefault="009E1D6F">
            <w:pPr>
              <w:rPr>
                <w:b/>
                <w:sz w:val="24"/>
                <w:szCs w:val="24"/>
                <w:lang w:val="en-US"/>
              </w:rPr>
            </w:pPr>
            <w:r w:rsidRPr="00497000">
              <w:rPr>
                <w:sz w:val="24"/>
                <w:szCs w:val="24"/>
                <w:lang w:val="en-US"/>
              </w:rPr>
              <w:t>blood ALP increased, GGT increased, blood creatinine increased, amylase increased, lipase increased, blood cholesterol increased, blood triglycerides increased</w:t>
            </w:r>
          </w:p>
        </w:tc>
      </w:tr>
      <w:tr w:rsidR="009E1D6F" w:rsidRPr="002922BC" w14:paraId="2DDF10C3"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1BFC01D5" w14:textId="77777777" w:rsidR="009E1D6F" w:rsidRPr="00497000" w:rsidRDefault="009E1D6F">
            <w:pPr>
              <w:rPr>
                <w:b/>
                <w:sz w:val="24"/>
                <w:szCs w:val="24"/>
                <w:lang w:val="en-US"/>
              </w:rPr>
            </w:pPr>
            <w:r w:rsidRPr="00497000">
              <w:rPr>
                <w:b/>
                <w:sz w:val="24"/>
                <w:szCs w:val="24"/>
                <w:lang w:val="en-US"/>
              </w:rPr>
              <w:t>Injury, poisoning and procedural complications</w:t>
            </w:r>
          </w:p>
        </w:tc>
      </w:tr>
      <w:tr w:rsidR="009E1D6F" w:rsidRPr="00497000" w14:paraId="61F7A773"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192CE26" w14:textId="77777777" w:rsidR="009E1D6F" w:rsidRPr="00497000" w:rsidRDefault="009E1D6F">
            <w:pPr>
              <w:rPr>
                <w:sz w:val="24"/>
                <w:szCs w:val="24"/>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57FB6251" w14:textId="77777777" w:rsidR="009E1D6F" w:rsidRPr="00497000" w:rsidRDefault="009E1D6F">
            <w:pPr>
              <w:rPr>
                <w:b/>
                <w:sz w:val="24"/>
                <w:szCs w:val="24"/>
              </w:rPr>
            </w:pPr>
            <w:r w:rsidRPr="00497000">
              <w:rPr>
                <w:sz w:val="24"/>
                <w:szCs w:val="24"/>
              </w:rPr>
              <w:t>wound complications</w:t>
            </w:r>
            <w:r w:rsidRPr="00497000">
              <w:rPr>
                <w:sz w:val="24"/>
                <w:szCs w:val="24"/>
                <w:vertAlign w:val="superscript"/>
              </w:rPr>
              <w:t>e</w:t>
            </w:r>
          </w:p>
        </w:tc>
      </w:tr>
    </w:tbl>
    <w:p w14:paraId="74DFC170" w14:textId="5F3A1A72" w:rsidR="009E1D6F" w:rsidRPr="00720E32" w:rsidRDefault="009E1D6F" w:rsidP="00720E32">
      <w:pPr>
        <w:ind w:left="284" w:hanging="284"/>
        <w:rPr>
          <w:sz w:val="20"/>
          <w:lang w:val="en-GB" w:eastAsia="en-US"/>
        </w:rPr>
      </w:pPr>
      <w:r w:rsidRPr="00720E32">
        <w:rPr>
          <w:sz w:val="20"/>
          <w:lang w:val="en-US"/>
        </w:rPr>
        <w:t>*</w:t>
      </w:r>
      <w:r w:rsidR="00720E32" w:rsidRPr="00720E32">
        <w:rPr>
          <w:sz w:val="20"/>
          <w:lang w:val="en-US"/>
        </w:rPr>
        <w:tab/>
      </w:r>
      <w:r w:rsidRPr="00720E32">
        <w:rPr>
          <w:sz w:val="20"/>
          <w:lang w:val="en-US"/>
        </w:rPr>
        <w:t xml:space="preserve">See section 4.8 Description of selected adverse reactions for further characterisation. </w:t>
      </w:r>
    </w:p>
    <w:p w14:paraId="470CDDA6" w14:textId="49E7B620" w:rsidR="009E1D6F" w:rsidRPr="00720E32" w:rsidRDefault="009E1D6F" w:rsidP="00720E32">
      <w:pPr>
        <w:ind w:left="284" w:hanging="284"/>
        <w:rPr>
          <w:sz w:val="20"/>
          <w:lang w:val="en-US"/>
        </w:rPr>
      </w:pPr>
      <w:r w:rsidRPr="00720E32">
        <w:rPr>
          <w:sz w:val="20"/>
          <w:vertAlign w:val="superscript"/>
          <w:lang w:val="en-US"/>
        </w:rPr>
        <w:t>a</w:t>
      </w:r>
      <w:r w:rsidRPr="00720E32">
        <w:rPr>
          <w:sz w:val="20"/>
          <w:lang w:val="en-US"/>
        </w:rPr>
        <w:t xml:space="preserve"> </w:t>
      </w:r>
      <w:r w:rsidR="00720E32" w:rsidRPr="00720E32">
        <w:rPr>
          <w:sz w:val="20"/>
          <w:lang w:val="en-US"/>
        </w:rPr>
        <w:tab/>
        <w:t>I</w:t>
      </w:r>
      <w:r w:rsidRPr="00720E32">
        <w:rPr>
          <w:sz w:val="20"/>
          <w:lang w:val="en-US"/>
        </w:rPr>
        <w:t xml:space="preserve">ncluding polyneuropathy; peripheral neuropathy is mainly sensory </w:t>
      </w:r>
    </w:p>
    <w:p w14:paraId="539FFBCD" w14:textId="5942B8AC" w:rsidR="009E1D6F" w:rsidRPr="00720E32" w:rsidRDefault="009E1D6F" w:rsidP="00720E32">
      <w:pPr>
        <w:ind w:left="284" w:hanging="284"/>
        <w:rPr>
          <w:sz w:val="20"/>
          <w:lang w:val="en-US"/>
        </w:rPr>
      </w:pPr>
      <w:r w:rsidRPr="00720E32">
        <w:rPr>
          <w:sz w:val="20"/>
          <w:vertAlign w:val="superscript"/>
          <w:lang w:val="en-US"/>
        </w:rPr>
        <w:t>b</w:t>
      </w:r>
      <w:r w:rsidRPr="00720E32">
        <w:rPr>
          <w:sz w:val="20"/>
          <w:lang w:val="en-US"/>
        </w:rPr>
        <w:t xml:space="preserve"> </w:t>
      </w:r>
      <w:r w:rsidR="00720E32" w:rsidRPr="00720E32">
        <w:rPr>
          <w:sz w:val="20"/>
          <w:lang w:val="en-US"/>
        </w:rPr>
        <w:tab/>
      </w:r>
      <w:r w:rsidRPr="00720E32">
        <w:rPr>
          <w:sz w:val="20"/>
          <w:lang w:val="en-US"/>
        </w:rPr>
        <w:t xml:space="preserve">Including epistaxis as the most commonly reported adverse reaction </w:t>
      </w:r>
    </w:p>
    <w:p w14:paraId="3B8BC0CA" w14:textId="6FB39086" w:rsidR="009E1D6F" w:rsidRPr="00720E32" w:rsidRDefault="009E1D6F" w:rsidP="00720E32">
      <w:pPr>
        <w:ind w:left="284" w:hanging="284"/>
        <w:rPr>
          <w:sz w:val="20"/>
          <w:lang w:val="en-US"/>
        </w:rPr>
      </w:pPr>
      <w:r w:rsidRPr="00720E32">
        <w:rPr>
          <w:sz w:val="20"/>
          <w:vertAlign w:val="superscript"/>
          <w:lang w:val="en-US"/>
        </w:rPr>
        <w:lastRenderedPageBreak/>
        <w:t xml:space="preserve">c </w:t>
      </w:r>
      <w:r w:rsidR="00720E32" w:rsidRPr="00720E32">
        <w:rPr>
          <w:sz w:val="20"/>
          <w:vertAlign w:val="superscript"/>
          <w:lang w:val="en-US"/>
        </w:rPr>
        <w:tab/>
      </w:r>
      <w:r w:rsidRPr="00720E32">
        <w:rPr>
          <w:sz w:val="20"/>
          <w:lang w:val="en-US"/>
        </w:rPr>
        <w:t xml:space="preserve">All venous thrombosis including deep vein thrombosis </w:t>
      </w:r>
    </w:p>
    <w:p w14:paraId="7B6FCCA3" w14:textId="56BC500D" w:rsidR="009E1D6F" w:rsidRPr="00720E32" w:rsidRDefault="009E1D6F" w:rsidP="00720E32">
      <w:pPr>
        <w:ind w:left="284" w:hanging="284"/>
        <w:rPr>
          <w:sz w:val="20"/>
          <w:lang w:val="en-US"/>
        </w:rPr>
      </w:pPr>
      <w:r w:rsidRPr="00720E32">
        <w:rPr>
          <w:sz w:val="20"/>
          <w:vertAlign w:val="superscript"/>
          <w:lang w:val="en-US"/>
        </w:rPr>
        <w:t>d</w:t>
      </w:r>
      <w:r w:rsidRPr="00720E32">
        <w:rPr>
          <w:sz w:val="20"/>
          <w:lang w:val="en-US"/>
        </w:rPr>
        <w:t xml:space="preserve"> </w:t>
      </w:r>
      <w:r w:rsidR="00720E32" w:rsidRPr="00720E32">
        <w:rPr>
          <w:sz w:val="20"/>
          <w:lang w:val="en-US"/>
        </w:rPr>
        <w:tab/>
      </w:r>
      <w:r w:rsidRPr="00720E32">
        <w:rPr>
          <w:sz w:val="20"/>
          <w:lang w:val="en-US"/>
        </w:rPr>
        <w:t xml:space="preserve">Based on reported adverse reactions </w:t>
      </w:r>
    </w:p>
    <w:p w14:paraId="0B0A7F75" w14:textId="1157E7CE" w:rsidR="009E1D6F" w:rsidRPr="00720E32" w:rsidRDefault="009E1D6F" w:rsidP="00720E32">
      <w:pPr>
        <w:ind w:left="284" w:hanging="284"/>
        <w:rPr>
          <w:b/>
          <w:sz w:val="20"/>
          <w:lang w:val="en-US"/>
        </w:rPr>
      </w:pPr>
      <w:r w:rsidRPr="00720E32">
        <w:rPr>
          <w:sz w:val="20"/>
          <w:vertAlign w:val="superscript"/>
          <w:lang w:val="en-US"/>
        </w:rPr>
        <w:t>e</w:t>
      </w:r>
      <w:r w:rsidRPr="00720E32">
        <w:rPr>
          <w:sz w:val="20"/>
          <w:lang w:val="en-US"/>
        </w:rPr>
        <w:t xml:space="preserve"> </w:t>
      </w:r>
      <w:r w:rsidR="00720E32" w:rsidRPr="00720E32">
        <w:rPr>
          <w:sz w:val="20"/>
          <w:lang w:val="en-US"/>
        </w:rPr>
        <w:tab/>
      </w:r>
      <w:r w:rsidRPr="00720E32">
        <w:rPr>
          <w:sz w:val="20"/>
          <w:lang w:val="en-US"/>
        </w:rPr>
        <w:t>Impaired healing, incision site complication and wound dehiscence</w:t>
      </w:r>
    </w:p>
    <w:p w14:paraId="2CC850E5" w14:textId="77777777" w:rsidR="009E1D6F" w:rsidRPr="00497000" w:rsidRDefault="009E1D6F" w:rsidP="009E1D6F">
      <w:pPr>
        <w:rPr>
          <w:sz w:val="24"/>
          <w:szCs w:val="24"/>
          <w:lang w:val="en-US"/>
        </w:rPr>
      </w:pPr>
    </w:p>
    <w:p w14:paraId="1BD42D2C" w14:textId="77777777" w:rsidR="009E1D6F" w:rsidRPr="00720E32" w:rsidRDefault="009E1D6F" w:rsidP="00A414A5">
      <w:pPr>
        <w:ind w:left="851"/>
        <w:rPr>
          <w:i/>
          <w:sz w:val="24"/>
          <w:szCs w:val="24"/>
          <w:lang w:val="en-US"/>
        </w:rPr>
      </w:pPr>
      <w:r w:rsidRPr="00720E32">
        <w:rPr>
          <w:i/>
          <w:sz w:val="24"/>
          <w:szCs w:val="24"/>
          <w:lang w:val="en-US"/>
        </w:rPr>
        <w:t xml:space="preserve">Cabozantinib in combination with nivolumab in first-line advanced RCC </w:t>
      </w:r>
    </w:p>
    <w:p w14:paraId="35D5AB81" w14:textId="77777777" w:rsidR="009E1D6F" w:rsidRPr="00497000" w:rsidRDefault="009E1D6F" w:rsidP="00A414A5">
      <w:pPr>
        <w:ind w:left="851"/>
        <w:rPr>
          <w:sz w:val="24"/>
          <w:szCs w:val="24"/>
          <w:lang w:val="en-US"/>
        </w:rPr>
      </w:pPr>
      <w:r w:rsidRPr="00497000">
        <w:rPr>
          <w:sz w:val="24"/>
          <w:szCs w:val="24"/>
          <w:u w:val="single"/>
          <w:lang w:val="en-US"/>
        </w:rPr>
        <w:t>Summary of safety profile</w:t>
      </w:r>
      <w:r w:rsidRPr="00497000">
        <w:rPr>
          <w:sz w:val="24"/>
          <w:szCs w:val="24"/>
          <w:lang w:val="en-US"/>
        </w:rPr>
        <w:t xml:space="preserve"> </w:t>
      </w:r>
    </w:p>
    <w:p w14:paraId="61214861" w14:textId="77777777" w:rsidR="009E1D6F" w:rsidRPr="00497000" w:rsidRDefault="009E1D6F" w:rsidP="00A414A5">
      <w:pPr>
        <w:ind w:left="851"/>
        <w:rPr>
          <w:sz w:val="24"/>
          <w:szCs w:val="24"/>
          <w:lang w:val="en-US"/>
        </w:rPr>
      </w:pPr>
      <w:r w:rsidRPr="00497000">
        <w:rPr>
          <w:sz w:val="24"/>
          <w:szCs w:val="24"/>
          <w:lang w:val="en-US"/>
        </w:rPr>
        <w:t xml:space="preserve">When cabozantinib is administered in combination with nivolumab, refer to the SmPC for nivolumab prior to initiation of treatment. For additional information on the safety profile of nivolumab monotherapy, please refer to the nivolumab SmPC. </w:t>
      </w:r>
    </w:p>
    <w:p w14:paraId="54E2AD3E" w14:textId="77777777" w:rsidR="009E1D6F" w:rsidRPr="00497000" w:rsidRDefault="009E1D6F" w:rsidP="00A414A5">
      <w:pPr>
        <w:ind w:left="851"/>
        <w:rPr>
          <w:sz w:val="24"/>
          <w:szCs w:val="24"/>
          <w:lang w:val="en-US"/>
        </w:rPr>
      </w:pPr>
    </w:p>
    <w:p w14:paraId="171D14F8" w14:textId="77777777" w:rsidR="009E1D6F" w:rsidRPr="00497000" w:rsidRDefault="009E1D6F" w:rsidP="00A414A5">
      <w:pPr>
        <w:ind w:left="851"/>
        <w:rPr>
          <w:sz w:val="24"/>
          <w:szCs w:val="24"/>
          <w:lang w:val="en-US"/>
        </w:rPr>
      </w:pPr>
      <w:r w:rsidRPr="00497000">
        <w:rPr>
          <w:sz w:val="24"/>
          <w:szCs w:val="24"/>
          <w:lang w:val="en-US"/>
        </w:rPr>
        <w:t>In a dataset of cabozantinib 40 mg once daily in combination with nivolumab 240 mg every two weeks in RCC (n =320), with a minimum follow</w:t>
      </w:r>
      <w:r w:rsidRPr="00497000">
        <w:rPr>
          <w:sz w:val="24"/>
          <w:szCs w:val="24"/>
          <w:lang w:val="en-US"/>
        </w:rPr>
        <w:noBreakHyphen/>
        <w:t xml:space="preserve">up of 16 months, the most common serious adverse drug reactions (≥1% incidence) are diarrhoea, pneumonitis, pulmonary embolism, pneumonia, hyponatremia, pyrexia, adrenal insufficiency, vomiting, dehydration. </w:t>
      </w:r>
    </w:p>
    <w:p w14:paraId="51BA21B8" w14:textId="77777777" w:rsidR="009E1D6F" w:rsidRPr="00497000" w:rsidRDefault="009E1D6F" w:rsidP="00A414A5">
      <w:pPr>
        <w:ind w:left="851"/>
        <w:rPr>
          <w:sz w:val="24"/>
          <w:szCs w:val="24"/>
          <w:lang w:val="en-US"/>
        </w:rPr>
      </w:pPr>
    </w:p>
    <w:p w14:paraId="6CAC6F73" w14:textId="77777777" w:rsidR="009E1D6F" w:rsidRPr="00497000" w:rsidRDefault="009E1D6F" w:rsidP="00A414A5">
      <w:pPr>
        <w:ind w:left="851"/>
        <w:rPr>
          <w:sz w:val="24"/>
          <w:szCs w:val="24"/>
          <w:lang w:val="en-US"/>
        </w:rPr>
      </w:pPr>
      <w:r w:rsidRPr="00497000">
        <w:rPr>
          <w:sz w:val="24"/>
          <w:szCs w:val="24"/>
          <w:lang w:val="en-US"/>
        </w:rPr>
        <w:t xml:space="preserve">The most frequent adverse reactions (≥25%) were diarrhoea, fatigue, palmar-plantar erythrodysaesthesia syndrome, stomatitis, musculoskeletal pain, hypertension, rash, hypothyroidism, decrease appetite, nausea, abdominal pain. The majority of adverse reactions were mild to moderate (Grade 1 or 2). </w:t>
      </w:r>
    </w:p>
    <w:p w14:paraId="2E3C864A" w14:textId="77777777" w:rsidR="009E1D6F" w:rsidRPr="00497000" w:rsidRDefault="009E1D6F" w:rsidP="00A414A5">
      <w:pPr>
        <w:ind w:left="851"/>
        <w:rPr>
          <w:sz w:val="24"/>
          <w:szCs w:val="24"/>
          <w:lang w:val="en-US"/>
        </w:rPr>
      </w:pPr>
    </w:p>
    <w:p w14:paraId="62F893EE" w14:textId="77777777" w:rsidR="009E1D6F" w:rsidRPr="00497000" w:rsidRDefault="009E1D6F" w:rsidP="00A414A5">
      <w:pPr>
        <w:ind w:left="851"/>
        <w:rPr>
          <w:sz w:val="24"/>
          <w:szCs w:val="24"/>
          <w:u w:val="single"/>
          <w:lang w:val="en-US"/>
        </w:rPr>
      </w:pPr>
      <w:r w:rsidRPr="00497000">
        <w:rPr>
          <w:sz w:val="24"/>
          <w:szCs w:val="24"/>
          <w:u w:val="single"/>
          <w:lang w:val="en-US"/>
        </w:rPr>
        <w:t xml:space="preserve">Tabulated list of adverse reactions </w:t>
      </w:r>
    </w:p>
    <w:p w14:paraId="75500380" w14:textId="77777777" w:rsidR="009E1D6F" w:rsidRPr="00497000" w:rsidRDefault="009E1D6F" w:rsidP="00A414A5">
      <w:pPr>
        <w:ind w:left="851"/>
        <w:rPr>
          <w:sz w:val="24"/>
          <w:szCs w:val="24"/>
          <w:u w:val="single"/>
          <w:lang w:val="en-US"/>
        </w:rPr>
      </w:pPr>
      <w:r w:rsidRPr="00497000">
        <w:rPr>
          <w:sz w:val="24"/>
          <w:szCs w:val="24"/>
          <w:lang w:val="en-US"/>
        </w:rPr>
        <w:t>Adverse reactions identified in the clinical study of cabozantinib in combination with nivolumab are listed in Table 3, according to MedDRA System Organ Class and frequency categories. Frequencies are based on all grades and defined as: very common (≥1/10), common (≥1/100 to &lt;1/10); uncommon (≥1/1,000 to &lt;1/100); not known (cannot be estimated from the available data). Within each frequency grouping, adverse reactions are presented in order of decreasing seriousness.</w:t>
      </w:r>
    </w:p>
    <w:p w14:paraId="19A330E0" w14:textId="77777777" w:rsidR="009E1D6F" w:rsidRPr="00497000" w:rsidRDefault="009E1D6F" w:rsidP="00A414A5">
      <w:pPr>
        <w:ind w:left="851"/>
        <w:rPr>
          <w:sz w:val="24"/>
          <w:szCs w:val="24"/>
          <w:u w:val="single"/>
          <w:lang w:val="en-US"/>
        </w:rPr>
      </w:pPr>
    </w:p>
    <w:p w14:paraId="2496C018" w14:textId="718BA850" w:rsidR="009E1D6F" w:rsidRPr="00720E32" w:rsidRDefault="009E1D6F" w:rsidP="009E1D6F">
      <w:pPr>
        <w:rPr>
          <w:b/>
          <w:sz w:val="24"/>
          <w:szCs w:val="24"/>
          <w:lang w:val="en-US"/>
        </w:rPr>
      </w:pPr>
      <w:r w:rsidRPr="00720E32">
        <w:rPr>
          <w:b/>
          <w:sz w:val="24"/>
          <w:szCs w:val="24"/>
          <w:lang w:val="en-US"/>
        </w:rPr>
        <w:t>Table 3:</w:t>
      </w:r>
      <w:r w:rsidR="00A414A5" w:rsidRPr="00720E32">
        <w:rPr>
          <w:b/>
          <w:sz w:val="24"/>
          <w:szCs w:val="24"/>
          <w:lang w:val="en-US"/>
        </w:rPr>
        <w:t xml:space="preserve"> </w:t>
      </w:r>
      <w:r w:rsidRPr="00720E32">
        <w:rPr>
          <w:b/>
          <w:sz w:val="24"/>
          <w:szCs w:val="24"/>
          <w:lang w:val="en-US"/>
        </w:rPr>
        <w:t>Adverse reactions with cabozantinib in combination with nivolumab</w:t>
      </w:r>
    </w:p>
    <w:p w14:paraId="46540D78" w14:textId="77777777" w:rsidR="009E1D6F" w:rsidRPr="00720E32" w:rsidRDefault="009E1D6F" w:rsidP="009E1D6F">
      <w:pPr>
        <w:rPr>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2"/>
      </w:tblGrid>
      <w:tr w:rsidR="009E1D6F" w:rsidRPr="00497000" w14:paraId="00CE1247"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219589A4" w14:textId="77777777" w:rsidR="009E1D6F" w:rsidRPr="00497000" w:rsidRDefault="009E1D6F">
            <w:pPr>
              <w:rPr>
                <w:b/>
                <w:sz w:val="24"/>
                <w:szCs w:val="24"/>
                <w:u w:val="single"/>
              </w:rPr>
            </w:pPr>
            <w:r w:rsidRPr="00497000">
              <w:rPr>
                <w:b/>
                <w:sz w:val="24"/>
                <w:szCs w:val="24"/>
              </w:rPr>
              <w:t>Infections and infestations</w:t>
            </w:r>
          </w:p>
        </w:tc>
      </w:tr>
      <w:tr w:rsidR="009E1D6F" w:rsidRPr="00497000" w14:paraId="7CE6743D"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7C9FDC05"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1BC8AECB" w14:textId="77777777" w:rsidR="009E1D6F" w:rsidRPr="00497000" w:rsidRDefault="009E1D6F">
            <w:pPr>
              <w:rPr>
                <w:b/>
                <w:sz w:val="24"/>
                <w:szCs w:val="24"/>
                <w:u w:val="single"/>
              </w:rPr>
            </w:pPr>
            <w:r w:rsidRPr="00497000">
              <w:rPr>
                <w:sz w:val="24"/>
                <w:szCs w:val="24"/>
              </w:rPr>
              <w:t>upper respiratory tract infection</w:t>
            </w:r>
          </w:p>
        </w:tc>
      </w:tr>
      <w:tr w:rsidR="009E1D6F" w:rsidRPr="00497000" w14:paraId="78A621A8"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00647D7"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7BFECA5C" w14:textId="77777777" w:rsidR="009E1D6F" w:rsidRPr="00497000" w:rsidRDefault="009E1D6F">
            <w:pPr>
              <w:rPr>
                <w:b/>
                <w:sz w:val="24"/>
                <w:szCs w:val="24"/>
                <w:u w:val="single"/>
              </w:rPr>
            </w:pPr>
            <w:r w:rsidRPr="00497000">
              <w:rPr>
                <w:sz w:val="24"/>
                <w:szCs w:val="24"/>
              </w:rPr>
              <w:t>pneumonia</w:t>
            </w:r>
          </w:p>
        </w:tc>
      </w:tr>
      <w:tr w:rsidR="009E1D6F" w:rsidRPr="002922BC" w14:paraId="2052A9DC"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18661C26" w14:textId="77777777" w:rsidR="009E1D6F" w:rsidRPr="00497000" w:rsidRDefault="009E1D6F">
            <w:pPr>
              <w:rPr>
                <w:b/>
                <w:sz w:val="24"/>
                <w:szCs w:val="24"/>
                <w:u w:val="single"/>
                <w:lang w:val="en-US"/>
              </w:rPr>
            </w:pPr>
            <w:r w:rsidRPr="00497000">
              <w:rPr>
                <w:b/>
                <w:sz w:val="24"/>
                <w:szCs w:val="24"/>
                <w:lang w:val="en-US"/>
              </w:rPr>
              <w:t>Blood and lymphatic system disorders</w:t>
            </w:r>
          </w:p>
        </w:tc>
      </w:tr>
      <w:tr w:rsidR="009E1D6F" w:rsidRPr="00497000" w14:paraId="51691483"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E4B1E69"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42DA728B" w14:textId="77777777" w:rsidR="009E1D6F" w:rsidRPr="00497000" w:rsidRDefault="009E1D6F">
            <w:pPr>
              <w:rPr>
                <w:b/>
                <w:sz w:val="24"/>
                <w:szCs w:val="24"/>
                <w:u w:val="single"/>
              </w:rPr>
            </w:pPr>
            <w:r w:rsidRPr="00497000">
              <w:rPr>
                <w:sz w:val="24"/>
                <w:szCs w:val="24"/>
              </w:rPr>
              <w:t>eosinophilia</w:t>
            </w:r>
          </w:p>
        </w:tc>
      </w:tr>
      <w:tr w:rsidR="009E1D6F" w:rsidRPr="00497000" w14:paraId="36730DF9"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4744D382" w14:textId="77777777" w:rsidR="009E1D6F" w:rsidRPr="00497000" w:rsidRDefault="009E1D6F">
            <w:pPr>
              <w:rPr>
                <w:b/>
                <w:sz w:val="24"/>
                <w:szCs w:val="24"/>
                <w:u w:val="single"/>
              </w:rPr>
            </w:pPr>
            <w:r w:rsidRPr="00497000">
              <w:rPr>
                <w:b/>
                <w:sz w:val="24"/>
                <w:szCs w:val="24"/>
              </w:rPr>
              <w:t>Immune system disorders</w:t>
            </w:r>
          </w:p>
        </w:tc>
      </w:tr>
      <w:tr w:rsidR="009E1D6F" w:rsidRPr="00497000" w14:paraId="5D9B5064"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76EBEAF0"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53A0DF17" w14:textId="77777777" w:rsidR="009E1D6F" w:rsidRPr="00497000" w:rsidRDefault="009E1D6F">
            <w:pPr>
              <w:rPr>
                <w:b/>
                <w:sz w:val="24"/>
                <w:szCs w:val="24"/>
                <w:u w:val="single"/>
              </w:rPr>
            </w:pPr>
            <w:r w:rsidRPr="00497000">
              <w:rPr>
                <w:sz w:val="24"/>
                <w:szCs w:val="24"/>
              </w:rPr>
              <w:t>hypersensitivity (including anaphylactic reaction)</w:t>
            </w:r>
          </w:p>
        </w:tc>
      </w:tr>
      <w:tr w:rsidR="009E1D6F" w:rsidRPr="00497000" w14:paraId="530FDAD2"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A6800C5"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72F24361" w14:textId="77777777" w:rsidR="009E1D6F" w:rsidRPr="00497000" w:rsidRDefault="009E1D6F">
            <w:pPr>
              <w:rPr>
                <w:b/>
                <w:sz w:val="24"/>
                <w:szCs w:val="24"/>
                <w:u w:val="single"/>
              </w:rPr>
            </w:pPr>
            <w:r w:rsidRPr="00497000">
              <w:rPr>
                <w:sz w:val="24"/>
                <w:szCs w:val="24"/>
              </w:rPr>
              <w:t>infusion related hypersensitivity reaction</w:t>
            </w:r>
          </w:p>
        </w:tc>
      </w:tr>
      <w:tr w:rsidR="009E1D6F" w:rsidRPr="00497000" w14:paraId="20AD2CCD"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224A8A6D" w14:textId="77777777" w:rsidR="009E1D6F" w:rsidRPr="00497000" w:rsidRDefault="009E1D6F">
            <w:pPr>
              <w:rPr>
                <w:b/>
                <w:sz w:val="24"/>
                <w:szCs w:val="24"/>
                <w:u w:val="single"/>
              </w:rPr>
            </w:pPr>
            <w:r w:rsidRPr="00497000">
              <w:rPr>
                <w:b/>
                <w:sz w:val="24"/>
                <w:szCs w:val="24"/>
              </w:rPr>
              <w:t>Endocrine disorders</w:t>
            </w:r>
          </w:p>
        </w:tc>
      </w:tr>
      <w:tr w:rsidR="009E1D6F" w:rsidRPr="00497000" w14:paraId="73BA1FA2"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E9C669A"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4118E947" w14:textId="77777777" w:rsidR="009E1D6F" w:rsidRPr="00497000" w:rsidRDefault="009E1D6F">
            <w:pPr>
              <w:rPr>
                <w:b/>
                <w:sz w:val="24"/>
                <w:szCs w:val="24"/>
                <w:u w:val="single"/>
              </w:rPr>
            </w:pPr>
            <w:r w:rsidRPr="00497000">
              <w:rPr>
                <w:sz w:val="24"/>
                <w:szCs w:val="24"/>
              </w:rPr>
              <w:t>hypothyroidism, hyperthyroidism</w:t>
            </w:r>
          </w:p>
        </w:tc>
      </w:tr>
      <w:tr w:rsidR="009E1D6F" w:rsidRPr="00497000" w14:paraId="237DB066"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65C77B2"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6468CC97" w14:textId="77777777" w:rsidR="009E1D6F" w:rsidRPr="00497000" w:rsidRDefault="009E1D6F">
            <w:pPr>
              <w:rPr>
                <w:b/>
                <w:sz w:val="24"/>
                <w:szCs w:val="24"/>
                <w:u w:val="single"/>
              </w:rPr>
            </w:pPr>
            <w:r w:rsidRPr="00497000">
              <w:rPr>
                <w:sz w:val="24"/>
                <w:szCs w:val="24"/>
              </w:rPr>
              <w:t>adrenal insufficiency</w:t>
            </w:r>
          </w:p>
        </w:tc>
      </w:tr>
      <w:tr w:rsidR="009E1D6F" w:rsidRPr="00497000" w14:paraId="1D51B2A1"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7E4EFFB"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14D72922" w14:textId="77777777" w:rsidR="009E1D6F" w:rsidRPr="00497000" w:rsidRDefault="009E1D6F">
            <w:pPr>
              <w:rPr>
                <w:b/>
                <w:sz w:val="24"/>
                <w:szCs w:val="24"/>
                <w:u w:val="single"/>
              </w:rPr>
            </w:pPr>
            <w:r w:rsidRPr="00497000">
              <w:rPr>
                <w:sz w:val="24"/>
                <w:szCs w:val="24"/>
              </w:rPr>
              <w:t>hypophysitis, thyroiditis</w:t>
            </w:r>
          </w:p>
        </w:tc>
      </w:tr>
      <w:tr w:rsidR="009E1D6F" w:rsidRPr="00497000" w14:paraId="134AD4B5"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623E8395" w14:textId="77777777" w:rsidR="009E1D6F" w:rsidRPr="00497000" w:rsidRDefault="009E1D6F">
            <w:pPr>
              <w:rPr>
                <w:b/>
                <w:sz w:val="24"/>
                <w:szCs w:val="24"/>
                <w:u w:val="single"/>
              </w:rPr>
            </w:pPr>
            <w:r w:rsidRPr="00497000">
              <w:rPr>
                <w:b/>
                <w:sz w:val="24"/>
                <w:szCs w:val="24"/>
              </w:rPr>
              <w:t>Metabolism and nutrition disorders</w:t>
            </w:r>
          </w:p>
        </w:tc>
      </w:tr>
      <w:tr w:rsidR="009E1D6F" w:rsidRPr="00497000" w14:paraId="4D869F06"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8CED49C"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71BF28A1" w14:textId="77777777" w:rsidR="009E1D6F" w:rsidRPr="00497000" w:rsidRDefault="009E1D6F">
            <w:pPr>
              <w:rPr>
                <w:b/>
                <w:sz w:val="24"/>
                <w:szCs w:val="24"/>
                <w:u w:val="single"/>
              </w:rPr>
            </w:pPr>
            <w:r w:rsidRPr="00497000">
              <w:rPr>
                <w:sz w:val="24"/>
                <w:szCs w:val="24"/>
              </w:rPr>
              <w:t>decreased appetite</w:t>
            </w:r>
          </w:p>
        </w:tc>
      </w:tr>
      <w:tr w:rsidR="009E1D6F" w:rsidRPr="00497000" w14:paraId="169438AF"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08F90CE"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5EB310B1" w14:textId="77777777" w:rsidR="009E1D6F" w:rsidRPr="00497000" w:rsidRDefault="009E1D6F">
            <w:pPr>
              <w:rPr>
                <w:b/>
                <w:sz w:val="24"/>
                <w:szCs w:val="24"/>
                <w:u w:val="single"/>
              </w:rPr>
            </w:pPr>
            <w:r w:rsidRPr="00497000">
              <w:rPr>
                <w:sz w:val="24"/>
                <w:szCs w:val="24"/>
              </w:rPr>
              <w:t>dehydration</w:t>
            </w:r>
          </w:p>
        </w:tc>
      </w:tr>
      <w:tr w:rsidR="009E1D6F" w:rsidRPr="00497000" w14:paraId="31F014AD"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4F4F5802" w14:textId="77777777" w:rsidR="009E1D6F" w:rsidRPr="00497000" w:rsidRDefault="009E1D6F">
            <w:pPr>
              <w:rPr>
                <w:b/>
                <w:sz w:val="24"/>
                <w:szCs w:val="24"/>
                <w:u w:val="single"/>
              </w:rPr>
            </w:pPr>
            <w:r w:rsidRPr="00497000">
              <w:rPr>
                <w:b/>
                <w:sz w:val="24"/>
                <w:szCs w:val="24"/>
              </w:rPr>
              <w:t>Nervous system disorders</w:t>
            </w:r>
          </w:p>
        </w:tc>
      </w:tr>
      <w:tr w:rsidR="009E1D6F" w:rsidRPr="00497000" w14:paraId="31E8C1AB"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256036B"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18CE0028" w14:textId="77777777" w:rsidR="009E1D6F" w:rsidRPr="00497000" w:rsidRDefault="009E1D6F">
            <w:pPr>
              <w:rPr>
                <w:b/>
                <w:sz w:val="24"/>
                <w:szCs w:val="24"/>
                <w:u w:val="single"/>
              </w:rPr>
            </w:pPr>
            <w:r w:rsidRPr="00497000">
              <w:rPr>
                <w:sz w:val="24"/>
                <w:szCs w:val="24"/>
              </w:rPr>
              <w:t>dysgeusia, dizziness, headache</w:t>
            </w:r>
          </w:p>
        </w:tc>
      </w:tr>
      <w:tr w:rsidR="009E1D6F" w:rsidRPr="00497000" w14:paraId="1BBDC005"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95A8D5E"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31EE3D98" w14:textId="77777777" w:rsidR="009E1D6F" w:rsidRPr="00497000" w:rsidRDefault="009E1D6F">
            <w:pPr>
              <w:rPr>
                <w:b/>
                <w:sz w:val="24"/>
                <w:szCs w:val="24"/>
                <w:u w:val="single"/>
              </w:rPr>
            </w:pPr>
            <w:r w:rsidRPr="00497000">
              <w:rPr>
                <w:sz w:val="24"/>
                <w:szCs w:val="24"/>
              </w:rPr>
              <w:t>peripheral neuropathy</w:t>
            </w:r>
          </w:p>
        </w:tc>
      </w:tr>
      <w:tr w:rsidR="009E1D6F" w:rsidRPr="00497000" w14:paraId="2B28EAB9"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97C4473"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0F5AD84E" w14:textId="77777777" w:rsidR="009E1D6F" w:rsidRPr="00497000" w:rsidRDefault="009E1D6F">
            <w:pPr>
              <w:rPr>
                <w:b/>
                <w:sz w:val="24"/>
                <w:szCs w:val="24"/>
                <w:u w:val="single"/>
                <w:lang w:val="fr-FR"/>
              </w:rPr>
            </w:pPr>
            <w:r w:rsidRPr="00497000">
              <w:rPr>
                <w:sz w:val="24"/>
                <w:szCs w:val="24"/>
                <w:lang w:val="fr-FR"/>
              </w:rPr>
              <w:t>encephalitis autoimmune, Guillain-Barré syndrome, myasthenic syndrome</w:t>
            </w:r>
          </w:p>
        </w:tc>
      </w:tr>
      <w:tr w:rsidR="009E1D6F" w:rsidRPr="00497000" w14:paraId="2C1E036E"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5BC1927F" w14:textId="77777777" w:rsidR="009E1D6F" w:rsidRPr="00497000" w:rsidRDefault="009E1D6F">
            <w:pPr>
              <w:rPr>
                <w:b/>
                <w:sz w:val="24"/>
                <w:szCs w:val="24"/>
                <w:u w:val="single"/>
                <w:lang w:val="en-GB"/>
              </w:rPr>
            </w:pPr>
            <w:r w:rsidRPr="00497000">
              <w:rPr>
                <w:b/>
                <w:sz w:val="24"/>
                <w:szCs w:val="24"/>
              </w:rPr>
              <w:t>Ear and labyrinth disorders</w:t>
            </w:r>
          </w:p>
        </w:tc>
      </w:tr>
      <w:tr w:rsidR="009E1D6F" w:rsidRPr="00497000" w14:paraId="527A36F3"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6765F04" w14:textId="77777777" w:rsidR="009E1D6F" w:rsidRPr="00497000" w:rsidRDefault="009E1D6F">
            <w:pPr>
              <w:rPr>
                <w:b/>
                <w:sz w:val="24"/>
                <w:szCs w:val="24"/>
                <w:u w:val="single"/>
              </w:rPr>
            </w:pPr>
            <w:r w:rsidRPr="00497000">
              <w:rPr>
                <w:sz w:val="24"/>
                <w:szCs w:val="24"/>
              </w:rPr>
              <w:lastRenderedPageBreak/>
              <w:t>Common</w:t>
            </w:r>
          </w:p>
        </w:tc>
        <w:tc>
          <w:tcPr>
            <w:tcW w:w="4026" w:type="pct"/>
            <w:tcBorders>
              <w:top w:val="single" w:sz="4" w:space="0" w:color="auto"/>
              <w:left w:val="single" w:sz="4" w:space="0" w:color="auto"/>
              <w:bottom w:val="single" w:sz="4" w:space="0" w:color="auto"/>
              <w:right w:val="single" w:sz="4" w:space="0" w:color="auto"/>
            </w:tcBorders>
            <w:hideMark/>
          </w:tcPr>
          <w:p w14:paraId="5627DDF0" w14:textId="77777777" w:rsidR="009E1D6F" w:rsidRPr="00497000" w:rsidRDefault="009E1D6F">
            <w:pPr>
              <w:rPr>
                <w:b/>
                <w:sz w:val="24"/>
                <w:szCs w:val="24"/>
                <w:u w:val="single"/>
              </w:rPr>
            </w:pPr>
            <w:r w:rsidRPr="00497000">
              <w:rPr>
                <w:sz w:val="24"/>
                <w:szCs w:val="24"/>
              </w:rPr>
              <w:t>tinnitus</w:t>
            </w:r>
          </w:p>
        </w:tc>
      </w:tr>
      <w:tr w:rsidR="009E1D6F" w:rsidRPr="00497000" w14:paraId="114ED12B"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359ADE4C" w14:textId="77777777" w:rsidR="009E1D6F" w:rsidRPr="00497000" w:rsidRDefault="009E1D6F">
            <w:pPr>
              <w:rPr>
                <w:b/>
                <w:sz w:val="24"/>
                <w:szCs w:val="24"/>
                <w:u w:val="single"/>
              </w:rPr>
            </w:pPr>
            <w:r w:rsidRPr="00497000">
              <w:rPr>
                <w:b/>
                <w:sz w:val="24"/>
                <w:szCs w:val="24"/>
              </w:rPr>
              <w:t>Eye disorders</w:t>
            </w:r>
          </w:p>
        </w:tc>
      </w:tr>
      <w:tr w:rsidR="009E1D6F" w:rsidRPr="00497000" w14:paraId="05761360"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7BB2402"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01611BD9" w14:textId="77777777" w:rsidR="009E1D6F" w:rsidRPr="00497000" w:rsidRDefault="009E1D6F">
            <w:pPr>
              <w:rPr>
                <w:b/>
                <w:sz w:val="24"/>
                <w:szCs w:val="24"/>
                <w:u w:val="single"/>
              </w:rPr>
            </w:pPr>
            <w:r w:rsidRPr="00497000">
              <w:rPr>
                <w:sz w:val="24"/>
                <w:szCs w:val="24"/>
              </w:rPr>
              <w:t>dry eye, blurred vision</w:t>
            </w:r>
          </w:p>
        </w:tc>
      </w:tr>
      <w:tr w:rsidR="009E1D6F" w:rsidRPr="00497000" w14:paraId="760596EE"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DD1FE8E"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1C1F40CC" w14:textId="77777777" w:rsidR="009E1D6F" w:rsidRPr="00497000" w:rsidRDefault="009E1D6F">
            <w:pPr>
              <w:rPr>
                <w:b/>
                <w:sz w:val="24"/>
                <w:szCs w:val="24"/>
                <w:u w:val="single"/>
              </w:rPr>
            </w:pPr>
            <w:r w:rsidRPr="00497000">
              <w:rPr>
                <w:sz w:val="24"/>
                <w:szCs w:val="24"/>
              </w:rPr>
              <w:t>uveitis</w:t>
            </w:r>
          </w:p>
        </w:tc>
      </w:tr>
      <w:tr w:rsidR="009E1D6F" w:rsidRPr="00497000" w14:paraId="6560EF5F"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4F7C0F39" w14:textId="77777777" w:rsidR="009E1D6F" w:rsidRPr="00497000" w:rsidRDefault="009E1D6F">
            <w:pPr>
              <w:rPr>
                <w:b/>
                <w:sz w:val="24"/>
                <w:szCs w:val="24"/>
                <w:u w:val="single"/>
              </w:rPr>
            </w:pPr>
            <w:r w:rsidRPr="00497000">
              <w:rPr>
                <w:b/>
                <w:sz w:val="24"/>
                <w:szCs w:val="24"/>
              </w:rPr>
              <w:t>Cardiac disorders</w:t>
            </w:r>
          </w:p>
        </w:tc>
      </w:tr>
      <w:tr w:rsidR="009E1D6F" w:rsidRPr="00497000" w14:paraId="4AA671D0"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2CBFE68"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76EBAF06" w14:textId="77777777" w:rsidR="009E1D6F" w:rsidRPr="00497000" w:rsidRDefault="009E1D6F">
            <w:pPr>
              <w:rPr>
                <w:b/>
                <w:sz w:val="24"/>
                <w:szCs w:val="24"/>
                <w:u w:val="single"/>
              </w:rPr>
            </w:pPr>
            <w:r w:rsidRPr="00497000">
              <w:rPr>
                <w:sz w:val="24"/>
                <w:szCs w:val="24"/>
              </w:rPr>
              <w:t>atrial fibrillation, tachycardia</w:t>
            </w:r>
          </w:p>
        </w:tc>
      </w:tr>
      <w:tr w:rsidR="009E1D6F" w:rsidRPr="00497000" w14:paraId="0D7959F8"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E69237C"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52832D9A" w14:textId="77777777" w:rsidR="009E1D6F" w:rsidRPr="00497000" w:rsidRDefault="009E1D6F">
            <w:pPr>
              <w:rPr>
                <w:b/>
                <w:sz w:val="24"/>
                <w:szCs w:val="24"/>
                <w:u w:val="single"/>
              </w:rPr>
            </w:pPr>
            <w:r w:rsidRPr="00497000">
              <w:rPr>
                <w:sz w:val="24"/>
                <w:szCs w:val="24"/>
              </w:rPr>
              <w:t>myocarditis</w:t>
            </w:r>
          </w:p>
        </w:tc>
      </w:tr>
      <w:tr w:rsidR="009E1D6F" w:rsidRPr="00497000" w14:paraId="76B069B2"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037D3D97" w14:textId="77777777" w:rsidR="009E1D6F" w:rsidRPr="00497000" w:rsidRDefault="009E1D6F">
            <w:pPr>
              <w:rPr>
                <w:b/>
                <w:sz w:val="24"/>
                <w:szCs w:val="24"/>
                <w:u w:val="single"/>
              </w:rPr>
            </w:pPr>
            <w:r w:rsidRPr="00497000">
              <w:rPr>
                <w:b/>
                <w:sz w:val="24"/>
                <w:szCs w:val="24"/>
              </w:rPr>
              <w:t>Vascular disorders</w:t>
            </w:r>
          </w:p>
        </w:tc>
      </w:tr>
      <w:tr w:rsidR="009E1D6F" w:rsidRPr="00497000" w14:paraId="727F0122"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8D3D96F"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22495643" w14:textId="77777777" w:rsidR="009E1D6F" w:rsidRPr="00497000" w:rsidRDefault="009E1D6F">
            <w:pPr>
              <w:rPr>
                <w:b/>
                <w:sz w:val="24"/>
                <w:szCs w:val="24"/>
                <w:u w:val="single"/>
              </w:rPr>
            </w:pPr>
            <w:r w:rsidRPr="00497000">
              <w:rPr>
                <w:sz w:val="24"/>
                <w:szCs w:val="24"/>
              </w:rPr>
              <w:t>hypertension</w:t>
            </w:r>
          </w:p>
        </w:tc>
      </w:tr>
      <w:tr w:rsidR="009E1D6F" w:rsidRPr="00497000" w14:paraId="0AD38CF4"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0D5B696B"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06E7EF4A" w14:textId="77777777" w:rsidR="009E1D6F" w:rsidRPr="00497000" w:rsidRDefault="009E1D6F">
            <w:pPr>
              <w:rPr>
                <w:b/>
                <w:sz w:val="24"/>
                <w:szCs w:val="24"/>
                <w:u w:val="single"/>
              </w:rPr>
            </w:pPr>
            <w:r w:rsidRPr="00497000">
              <w:rPr>
                <w:sz w:val="24"/>
                <w:szCs w:val="24"/>
              </w:rPr>
              <w:t>thrombosis</w:t>
            </w:r>
            <w:r w:rsidRPr="00497000">
              <w:rPr>
                <w:sz w:val="24"/>
                <w:szCs w:val="24"/>
                <w:vertAlign w:val="superscript"/>
              </w:rPr>
              <w:t>a</w:t>
            </w:r>
          </w:p>
        </w:tc>
      </w:tr>
      <w:tr w:rsidR="009E1D6F" w:rsidRPr="00497000" w14:paraId="0FCA9225"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70D3206A" w14:textId="77777777" w:rsidR="009E1D6F" w:rsidRPr="00497000" w:rsidRDefault="009E1D6F">
            <w:pPr>
              <w:rPr>
                <w:sz w:val="24"/>
                <w:szCs w:val="24"/>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6E8F700D" w14:textId="77777777" w:rsidR="009E1D6F" w:rsidRPr="00497000" w:rsidRDefault="009E1D6F">
            <w:pPr>
              <w:rPr>
                <w:sz w:val="24"/>
                <w:szCs w:val="24"/>
              </w:rPr>
            </w:pPr>
            <w:r w:rsidRPr="00497000">
              <w:rPr>
                <w:sz w:val="24"/>
                <w:szCs w:val="24"/>
              </w:rPr>
              <w:t>embolism arterial</w:t>
            </w:r>
          </w:p>
        </w:tc>
      </w:tr>
      <w:tr w:rsidR="009E1D6F" w:rsidRPr="002922BC" w14:paraId="0870AA52"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69554CD0" w14:textId="77777777" w:rsidR="009E1D6F" w:rsidRPr="00497000" w:rsidRDefault="009E1D6F">
            <w:pPr>
              <w:rPr>
                <w:b/>
                <w:sz w:val="24"/>
                <w:szCs w:val="24"/>
                <w:lang w:val="en-US"/>
              </w:rPr>
            </w:pPr>
            <w:r w:rsidRPr="00497000">
              <w:rPr>
                <w:b/>
                <w:sz w:val="24"/>
                <w:szCs w:val="24"/>
                <w:lang w:val="en-US"/>
              </w:rPr>
              <w:t>Respiratory, thoracic and mediastinal disorders</w:t>
            </w:r>
          </w:p>
        </w:tc>
      </w:tr>
      <w:tr w:rsidR="009E1D6F" w:rsidRPr="00497000" w14:paraId="62D722BD"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542CEB3"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4F008ABC" w14:textId="77777777" w:rsidR="009E1D6F" w:rsidRPr="00497000" w:rsidRDefault="009E1D6F">
            <w:pPr>
              <w:rPr>
                <w:sz w:val="24"/>
                <w:szCs w:val="24"/>
              </w:rPr>
            </w:pPr>
            <w:r w:rsidRPr="00497000">
              <w:rPr>
                <w:sz w:val="24"/>
                <w:szCs w:val="24"/>
              </w:rPr>
              <w:t>dysphonia, dyspnoea, cough</w:t>
            </w:r>
          </w:p>
        </w:tc>
      </w:tr>
      <w:tr w:rsidR="009E1D6F" w:rsidRPr="002922BC" w14:paraId="271ECDC3"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725CA1B2"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66B41F39" w14:textId="77777777" w:rsidR="009E1D6F" w:rsidRPr="00497000" w:rsidRDefault="009E1D6F">
            <w:pPr>
              <w:rPr>
                <w:sz w:val="24"/>
                <w:szCs w:val="24"/>
                <w:lang w:val="en-US"/>
              </w:rPr>
            </w:pPr>
            <w:r w:rsidRPr="00497000">
              <w:rPr>
                <w:sz w:val="24"/>
                <w:szCs w:val="24"/>
                <w:lang w:val="en-US"/>
              </w:rPr>
              <w:t>pneumonitis, pulmonary embolism, epistaxis, pleural effusion</w:t>
            </w:r>
          </w:p>
        </w:tc>
      </w:tr>
      <w:tr w:rsidR="009E1D6F" w:rsidRPr="00497000" w14:paraId="4717A8BF"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3C87593"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1C536A09" w14:textId="77777777" w:rsidR="009E1D6F" w:rsidRPr="00497000" w:rsidRDefault="009E1D6F">
            <w:pPr>
              <w:rPr>
                <w:sz w:val="24"/>
                <w:szCs w:val="24"/>
              </w:rPr>
            </w:pPr>
            <w:r w:rsidRPr="00497000">
              <w:rPr>
                <w:sz w:val="24"/>
                <w:szCs w:val="24"/>
              </w:rPr>
              <w:t>pneumothorax</w:t>
            </w:r>
          </w:p>
        </w:tc>
      </w:tr>
      <w:tr w:rsidR="009E1D6F" w:rsidRPr="00497000" w14:paraId="40A92BE6"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71B17A2E" w14:textId="77777777" w:rsidR="009E1D6F" w:rsidRPr="00497000" w:rsidRDefault="009E1D6F">
            <w:pPr>
              <w:rPr>
                <w:b/>
                <w:sz w:val="24"/>
                <w:szCs w:val="24"/>
              </w:rPr>
            </w:pPr>
            <w:r w:rsidRPr="00497000">
              <w:rPr>
                <w:b/>
                <w:sz w:val="24"/>
                <w:szCs w:val="24"/>
              </w:rPr>
              <w:t>Gastrointestinal disorders</w:t>
            </w:r>
          </w:p>
        </w:tc>
      </w:tr>
      <w:tr w:rsidR="009E1D6F" w:rsidRPr="002922BC" w14:paraId="226E105E"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505F3B1"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40629EAC" w14:textId="77777777" w:rsidR="009E1D6F" w:rsidRPr="00497000" w:rsidRDefault="009E1D6F">
            <w:pPr>
              <w:rPr>
                <w:sz w:val="24"/>
                <w:szCs w:val="24"/>
                <w:lang w:val="en-US"/>
              </w:rPr>
            </w:pPr>
            <w:r w:rsidRPr="00497000">
              <w:rPr>
                <w:sz w:val="24"/>
                <w:szCs w:val="24"/>
                <w:lang w:val="en-US"/>
              </w:rPr>
              <w:t>diarrhoea, vomiting, nausea, constipation, stomatitis, abdominal pain, dyspepsia</w:t>
            </w:r>
          </w:p>
        </w:tc>
      </w:tr>
      <w:tr w:rsidR="009E1D6F" w:rsidRPr="002922BC" w14:paraId="4B9F2E77"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73769E7E"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28AB3864" w14:textId="77777777" w:rsidR="009E1D6F" w:rsidRPr="00497000" w:rsidRDefault="009E1D6F">
            <w:pPr>
              <w:rPr>
                <w:sz w:val="24"/>
                <w:szCs w:val="24"/>
                <w:lang w:val="en-US"/>
              </w:rPr>
            </w:pPr>
            <w:r w:rsidRPr="00497000">
              <w:rPr>
                <w:sz w:val="24"/>
                <w:szCs w:val="24"/>
                <w:lang w:val="en-US"/>
              </w:rPr>
              <w:t>colitis, gastritis, oral pain, dry mouth, haemorrhoids</w:t>
            </w:r>
          </w:p>
        </w:tc>
      </w:tr>
      <w:tr w:rsidR="009E1D6F" w:rsidRPr="002922BC" w14:paraId="4AFCFB40"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4C678C7"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3D143333" w14:textId="77777777" w:rsidR="009E1D6F" w:rsidRPr="00497000" w:rsidRDefault="009E1D6F">
            <w:pPr>
              <w:rPr>
                <w:sz w:val="24"/>
                <w:szCs w:val="24"/>
                <w:lang w:val="en-US"/>
              </w:rPr>
            </w:pPr>
            <w:r w:rsidRPr="00497000">
              <w:rPr>
                <w:sz w:val="24"/>
                <w:szCs w:val="24"/>
                <w:lang w:val="en-US"/>
              </w:rPr>
              <w:t xml:space="preserve">pancreatitis, small intestine </w:t>
            </w:r>
            <w:proofErr w:type="gramStart"/>
            <w:r w:rsidRPr="00497000">
              <w:rPr>
                <w:sz w:val="24"/>
                <w:szCs w:val="24"/>
                <w:lang w:val="en-US"/>
              </w:rPr>
              <w:t>perforation</w:t>
            </w:r>
            <w:r w:rsidRPr="00497000">
              <w:rPr>
                <w:sz w:val="24"/>
                <w:szCs w:val="24"/>
                <w:vertAlign w:val="superscript"/>
                <w:lang w:val="en-US"/>
              </w:rPr>
              <w:t>b</w:t>
            </w:r>
            <w:r w:rsidRPr="00497000">
              <w:rPr>
                <w:sz w:val="24"/>
                <w:szCs w:val="24"/>
                <w:lang w:val="en-US"/>
              </w:rPr>
              <w:t xml:space="preserve"> ,</w:t>
            </w:r>
            <w:proofErr w:type="gramEnd"/>
            <w:r w:rsidRPr="00497000">
              <w:rPr>
                <w:sz w:val="24"/>
                <w:szCs w:val="24"/>
                <w:lang w:val="en-US"/>
              </w:rPr>
              <w:t xml:space="preserve"> glossodynia</w:t>
            </w:r>
          </w:p>
        </w:tc>
      </w:tr>
      <w:tr w:rsidR="009E1D6F" w:rsidRPr="00497000" w14:paraId="33745271"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663FAA47" w14:textId="77777777" w:rsidR="009E1D6F" w:rsidRPr="00497000" w:rsidRDefault="009E1D6F">
            <w:pPr>
              <w:rPr>
                <w:b/>
                <w:sz w:val="24"/>
                <w:szCs w:val="24"/>
              </w:rPr>
            </w:pPr>
            <w:r w:rsidRPr="00497000">
              <w:rPr>
                <w:b/>
                <w:sz w:val="24"/>
                <w:szCs w:val="24"/>
              </w:rPr>
              <w:t>Hepatobiliary disorders</w:t>
            </w:r>
          </w:p>
        </w:tc>
      </w:tr>
      <w:tr w:rsidR="009E1D6F" w:rsidRPr="00497000" w14:paraId="6F81ACA8"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08B7B11" w14:textId="77777777" w:rsidR="009E1D6F" w:rsidRPr="00497000" w:rsidRDefault="009E1D6F">
            <w:pPr>
              <w:rPr>
                <w:sz w:val="24"/>
                <w:szCs w:val="24"/>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51FCEFA0" w14:textId="77777777" w:rsidR="009E1D6F" w:rsidRPr="00497000" w:rsidRDefault="009E1D6F">
            <w:pPr>
              <w:rPr>
                <w:sz w:val="24"/>
                <w:szCs w:val="24"/>
              </w:rPr>
            </w:pPr>
            <w:r w:rsidRPr="00497000">
              <w:rPr>
                <w:sz w:val="24"/>
                <w:szCs w:val="24"/>
              </w:rPr>
              <w:t>hepatitis</w:t>
            </w:r>
          </w:p>
        </w:tc>
      </w:tr>
      <w:tr w:rsidR="009E1D6F" w:rsidRPr="00497000" w14:paraId="7A690593"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CC99992" w14:textId="77777777" w:rsidR="009E1D6F" w:rsidRPr="00497000" w:rsidRDefault="009E1D6F">
            <w:pPr>
              <w:rPr>
                <w:sz w:val="24"/>
                <w:szCs w:val="24"/>
              </w:rPr>
            </w:pPr>
            <w:r w:rsidRPr="00497000">
              <w:rPr>
                <w:sz w:val="24"/>
                <w:szCs w:val="24"/>
              </w:rPr>
              <w:t>Not known</w:t>
            </w:r>
          </w:p>
        </w:tc>
        <w:tc>
          <w:tcPr>
            <w:tcW w:w="4026" w:type="pct"/>
            <w:tcBorders>
              <w:top w:val="single" w:sz="4" w:space="0" w:color="auto"/>
              <w:left w:val="single" w:sz="4" w:space="0" w:color="auto"/>
              <w:bottom w:val="single" w:sz="4" w:space="0" w:color="auto"/>
              <w:right w:val="single" w:sz="4" w:space="0" w:color="auto"/>
            </w:tcBorders>
            <w:hideMark/>
          </w:tcPr>
          <w:p w14:paraId="3D156FA6" w14:textId="77777777" w:rsidR="009E1D6F" w:rsidRPr="00497000" w:rsidRDefault="009E1D6F">
            <w:pPr>
              <w:rPr>
                <w:sz w:val="24"/>
                <w:szCs w:val="24"/>
              </w:rPr>
            </w:pPr>
            <w:r w:rsidRPr="00497000">
              <w:rPr>
                <w:sz w:val="24"/>
                <w:szCs w:val="24"/>
              </w:rPr>
              <w:t>vanishing bile duct syndrome</w:t>
            </w:r>
            <w:r w:rsidRPr="00497000">
              <w:rPr>
                <w:sz w:val="24"/>
                <w:szCs w:val="24"/>
                <w:vertAlign w:val="superscript"/>
              </w:rPr>
              <w:t>c</w:t>
            </w:r>
          </w:p>
        </w:tc>
      </w:tr>
      <w:tr w:rsidR="009E1D6F" w:rsidRPr="002922BC" w14:paraId="06D7690C"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2A07C32D" w14:textId="77777777" w:rsidR="009E1D6F" w:rsidRPr="00497000" w:rsidRDefault="009E1D6F">
            <w:pPr>
              <w:rPr>
                <w:b/>
                <w:sz w:val="24"/>
                <w:szCs w:val="24"/>
                <w:lang w:val="en-US"/>
              </w:rPr>
            </w:pPr>
            <w:r w:rsidRPr="00497000">
              <w:rPr>
                <w:b/>
                <w:sz w:val="24"/>
                <w:szCs w:val="24"/>
                <w:lang w:val="en-US"/>
              </w:rPr>
              <w:t>Skin and subcutaneous tissue disorders</w:t>
            </w:r>
          </w:p>
        </w:tc>
      </w:tr>
      <w:tr w:rsidR="009E1D6F" w:rsidRPr="00497000" w14:paraId="1D5E36EA"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0E5A0B8"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54535E87" w14:textId="77777777" w:rsidR="009E1D6F" w:rsidRPr="00497000" w:rsidRDefault="009E1D6F">
            <w:pPr>
              <w:rPr>
                <w:sz w:val="24"/>
                <w:szCs w:val="24"/>
              </w:rPr>
            </w:pPr>
            <w:r w:rsidRPr="00497000">
              <w:rPr>
                <w:sz w:val="24"/>
                <w:szCs w:val="24"/>
              </w:rPr>
              <w:t xml:space="preserve">palmar-plantar erythrodysaesthesia syndrome, </w:t>
            </w:r>
            <w:proofErr w:type="gramStart"/>
            <w:r w:rsidRPr="00497000">
              <w:rPr>
                <w:sz w:val="24"/>
                <w:szCs w:val="24"/>
              </w:rPr>
              <w:t>rash</w:t>
            </w:r>
            <w:r w:rsidRPr="00497000">
              <w:rPr>
                <w:sz w:val="24"/>
                <w:szCs w:val="24"/>
                <w:vertAlign w:val="superscript"/>
              </w:rPr>
              <w:t>d</w:t>
            </w:r>
            <w:r w:rsidRPr="00497000">
              <w:rPr>
                <w:sz w:val="24"/>
                <w:szCs w:val="24"/>
              </w:rPr>
              <w:t xml:space="preserve"> ,</w:t>
            </w:r>
            <w:proofErr w:type="gramEnd"/>
            <w:r w:rsidRPr="00497000">
              <w:rPr>
                <w:sz w:val="24"/>
                <w:szCs w:val="24"/>
              </w:rPr>
              <w:t xml:space="preserve"> pruritus</w:t>
            </w:r>
          </w:p>
        </w:tc>
      </w:tr>
      <w:tr w:rsidR="009E1D6F" w:rsidRPr="002922BC" w14:paraId="787E5744"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26D68A1"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7A53B61C" w14:textId="77777777" w:rsidR="009E1D6F" w:rsidRPr="00497000" w:rsidRDefault="009E1D6F">
            <w:pPr>
              <w:rPr>
                <w:sz w:val="24"/>
                <w:szCs w:val="24"/>
                <w:lang w:val="en-US"/>
              </w:rPr>
            </w:pPr>
            <w:r w:rsidRPr="00497000">
              <w:rPr>
                <w:sz w:val="24"/>
                <w:szCs w:val="24"/>
                <w:lang w:val="en-US"/>
              </w:rPr>
              <w:t>alopecia, dry skin, erythema, hair colour change</w:t>
            </w:r>
          </w:p>
        </w:tc>
      </w:tr>
      <w:tr w:rsidR="009E1D6F" w:rsidRPr="00497000" w14:paraId="3C45E9E4"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1E6B8BA"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2B497623" w14:textId="77777777" w:rsidR="009E1D6F" w:rsidRPr="00497000" w:rsidRDefault="009E1D6F">
            <w:pPr>
              <w:rPr>
                <w:sz w:val="24"/>
                <w:szCs w:val="24"/>
              </w:rPr>
            </w:pPr>
            <w:r w:rsidRPr="00497000">
              <w:rPr>
                <w:sz w:val="24"/>
                <w:szCs w:val="24"/>
              </w:rPr>
              <w:t>psoriasis, urticaria</w:t>
            </w:r>
          </w:p>
        </w:tc>
      </w:tr>
      <w:tr w:rsidR="009E1D6F" w:rsidRPr="00497000" w14:paraId="5DD30A1B"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12AAD1D" w14:textId="77777777" w:rsidR="009E1D6F" w:rsidRPr="00497000" w:rsidRDefault="009E1D6F">
            <w:pPr>
              <w:rPr>
                <w:sz w:val="24"/>
                <w:szCs w:val="24"/>
              </w:rPr>
            </w:pPr>
            <w:r w:rsidRPr="00497000">
              <w:rPr>
                <w:sz w:val="24"/>
                <w:szCs w:val="24"/>
              </w:rPr>
              <w:t>Not known</w:t>
            </w:r>
          </w:p>
        </w:tc>
        <w:tc>
          <w:tcPr>
            <w:tcW w:w="4026" w:type="pct"/>
            <w:tcBorders>
              <w:top w:val="single" w:sz="4" w:space="0" w:color="auto"/>
              <w:left w:val="single" w:sz="4" w:space="0" w:color="auto"/>
              <w:bottom w:val="single" w:sz="4" w:space="0" w:color="auto"/>
              <w:right w:val="single" w:sz="4" w:space="0" w:color="auto"/>
            </w:tcBorders>
            <w:hideMark/>
          </w:tcPr>
          <w:p w14:paraId="3D4010D8" w14:textId="77777777" w:rsidR="009E1D6F" w:rsidRPr="00497000" w:rsidRDefault="009E1D6F">
            <w:pPr>
              <w:rPr>
                <w:sz w:val="24"/>
                <w:szCs w:val="24"/>
              </w:rPr>
            </w:pPr>
            <w:r w:rsidRPr="00497000">
              <w:rPr>
                <w:sz w:val="24"/>
                <w:szCs w:val="24"/>
              </w:rPr>
              <w:t>cutaneous vasculitis</w:t>
            </w:r>
          </w:p>
        </w:tc>
      </w:tr>
      <w:tr w:rsidR="009E1D6F" w:rsidRPr="002922BC" w14:paraId="62335346"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04378D45" w14:textId="77777777" w:rsidR="009E1D6F" w:rsidRPr="00497000" w:rsidRDefault="009E1D6F">
            <w:pPr>
              <w:rPr>
                <w:b/>
                <w:sz w:val="24"/>
                <w:szCs w:val="24"/>
                <w:lang w:val="en-US"/>
              </w:rPr>
            </w:pPr>
            <w:r w:rsidRPr="00497000">
              <w:rPr>
                <w:b/>
                <w:sz w:val="24"/>
                <w:szCs w:val="24"/>
                <w:lang w:val="en-US"/>
              </w:rPr>
              <w:t>Musculoskeletal and connective tissue disorders</w:t>
            </w:r>
          </w:p>
        </w:tc>
      </w:tr>
      <w:tr w:rsidR="009E1D6F" w:rsidRPr="002922BC" w14:paraId="321CEFE6"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660EA202" w14:textId="77777777" w:rsidR="009E1D6F" w:rsidRPr="00497000" w:rsidRDefault="009E1D6F">
            <w:pPr>
              <w:rPr>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5A6A110C" w14:textId="77777777" w:rsidR="009E1D6F" w:rsidRPr="00497000" w:rsidRDefault="009E1D6F">
            <w:pPr>
              <w:rPr>
                <w:sz w:val="24"/>
                <w:szCs w:val="24"/>
                <w:lang w:val="en-US"/>
              </w:rPr>
            </w:pPr>
            <w:r w:rsidRPr="00497000">
              <w:rPr>
                <w:sz w:val="24"/>
                <w:szCs w:val="24"/>
                <w:lang w:val="en-US"/>
              </w:rPr>
              <w:t xml:space="preserve">musculoskeletal </w:t>
            </w:r>
            <w:proofErr w:type="gramStart"/>
            <w:r w:rsidRPr="00497000">
              <w:rPr>
                <w:sz w:val="24"/>
                <w:szCs w:val="24"/>
                <w:lang w:val="en-US"/>
              </w:rPr>
              <w:t>pain</w:t>
            </w:r>
            <w:r w:rsidRPr="00497000">
              <w:rPr>
                <w:sz w:val="24"/>
                <w:szCs w:val="24"/>
                <w:vertAlign w:val="superscript"/>
                <w:lang w:val="en-US"/>
              </w:rPr>
              <w:t>e</w:t>
            </w:r>
            <w:r w:rsidRPr="00497000">
              <w:rPr>
                <w:sz w:val="24"/>
                <w:szCs w:val="24"/>
                <w:lang w:val="en-US"/>
              </w:rPr>
              <w:t xml:space="preserve"> ,</w:t>
            </w:r>
            <w:proofErr w:type="gramEnd"/>
            <w:r w:rsidRPr="00497000">
              <w:rPr>
                <w:sz w:val="24"/>
                <w:szCs w:val="24"/>
                <w:lang w:val="en-US"/>
              </w:rPr>
              <w:t xml:space="preserve"> arthralgia, muscle spasm,</w:t>
            </w:r>
          </w:p>
        </w:tc>
      </w:tr>
      <w:tr w:rsidR="009E1D6F" w:rsidRPr="00497000" w14:paraId="3BF23142"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1B2C0BAC"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03C8730B" w14:textId="77777777" w:rsidR="009E1D6F" w:rsidRPr="00497000" w:rsidRDefault="009E1D6F">
            <w:pPr>
              <w:rPr>
                <w:sz w:val="24"/>
                <w:szCs w:val="24"/>
              </w:rPr>
            </w:pPr>
            <w:r w:rsidRPr="00497000">
              <w:rPr>
                <w:sz w:val="24"/>
                <w:szCs w:val="24"/>
              </w:rPr>
              <w:t>arthritis</w:t>
            </w:r>
          </w:p>
        </w:tc>
      </w:tr>
      <w:tr w:rsidR="009E1D6F" w:rsidRPr="002922BC" w14:paraId="7DC79361"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55876A9"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3DCD0863" w14:textId="77777777" w:rsidR="009E1D6F" w:rsidRPr="00497000" w:rsidRDefault="009E1D6F">
            <w:pPr>
              <w:rPr>
                <w:sz w:val="24"/>
                <w:szCs w:val="24"/>
                <w:lang w:val="en-US"/>
              </w:rPr>
            </w:pPr>
            <w:r w:rsidRPr="00497000">
              <w:rPr>
                <w:sz w:val="24"/>
                <w:szCs w:val="24"/>
                <w:lang w:val="en-US"/>
              </w:rPr>
              <w:t>myopathy, osteonecrosis of the jaw, fistula</w:t>
            </w:r>
          </w:p>
        </w:tc>
      </w:tr>
      <w:tr w:rsidR="009E1D6F" w:rsidRPr="00497000" w14:paraId="51156C24"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6C6DF323" w14:textId="77777777" w:rsidR="009E1D6F" w:rsidRPr="00497000" w:rsidRDefault="009E1D6F">
            <w:pPr>
              <w:rPr>
                <w:b/>
                <w:sz w:val="24"/>
                <w:szCs w:val="24"/>
              </w:rPr>
            </w:pPr>
            <w:r w:rsidRPr="00497000">
              <w:rPr>
                <w:b/>
                <w:sz w:val="24"/>
                <w:szCs w:val="24"/>
              </w:rPr>
              <w:t>Renal and urinary disorders</w:t>
            </w:r>
          </w:p>
        </w:tc>
      </w:tr>
      <w:tr w:rsidR="009E1D6F" w:rsidRPr="00497000" w14:paraId="20A41555"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DE2869B"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3652C6DE" w14:textId="77777777" w:rsidR="009E1D6F" w:rsidRPr="00497000" w:rsidRDefault="009E1D6F">
            <w:pPr>
              <w:rPr>
                <w:sz w:val="24"/>
                <w:szCs w:val="24"/>
              </w:rPr>
            </w:pPr>
            <w:r w:rsidRPr="00497000">
              <w:rPr>
                <w:sz w:val="24"/>
                <w:szCs w:val="24"/>
              </w:rPr>
              <w:t>proteinuria</w:t>
            </w:r>
          </w:p>
        </w:tc>
      </w:tr>
      <w:tr w:rsidR="009E1D6F" w:rsidRPr="002922BC" w14:paraId="4F5719F8"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1D319D2"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2A92731E" w14:textId="77777777" w:rsidR="009E1D6F" w:rsidRPr="00497000" w:rsidRDefault="009E1D6F">
            <w:pPr>
              <w:rPr>
                <w:sz w:val="24"/>
                <w:szCs w:val="24"/>
                <w:lang w:val="en-US"/>
              </w:rPr>
            </w:pPr>
            <w:r w:rsidRPr="00497000">
              <w:rPr>
                <w:sz w:val="24"/>
                <w:szCs w:val="24"/>
                <w:lang w:val="en-US"/>
              </w:rPr>
              <w:t>renal failure, acute kidney injury</w:t>
            </w:r>
          </w:p>
        </w:tc>
      </w:tr>
      <w:tr w:rsidR="009E1D6F" w:rsidRPr="00497000" w14:paraId="7A7F62AD"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5B8C114A" w14:textId="77777777" w:rsidR="009E1D6F" w:rsidRPr="00497000" w:rsidRDefault="009E1D6F">
            <w:pPr>
              <w:rPr>
                <w:b/>
                <w:sz w:val="24"/>
                <w:szCs w:val="24"/>
                <w:u w:val="single"/>
              </w:rPr>
            </w:pPr>
            <w:r w:rsidRPr="00497000">
              <w:rPr>
                <w:sz w:val="24"/>
                <w:szCs w:val="24"/>
              </w:rPr>
              <w:t>Uncommon</w:t>
            </w:r>
          </w:p>
        </w:tc>
        <w:tc>
          <w:tcPr>
            <w:tcW w:w="4026" w:type="pct"/>
            <w:tcBorders>
              <w:top w:val="single" w:sz="4" w:space="0" w:color="auto"/>
              <w:left w:val="single" w:sz="4" w:space="0" w:color="auto"/>
              <w:bottom w:val="single" w:sz="4" w:space="0" w:color="auto"/>
              <w:right w:val="single" w:sz="4" w:space="0" w:color="auto"/>
            </w:tcBorders>
            <w:hideMark/>
          </w:tcPr>
          <w:p w14:paraId="278027B0" w14:textId="77777777" w:rsidR="009E1D6F" w:rsidRPr="00497000" w:rsidRDefault="009E1D6F">
            <w:pPr>
              <w:rPr>
                <w:sz w:val="24"/>
                <w:szCs w:val="24"/>
              </w:rPr>
            </w:pPr>
            <w:r w:rsidRPr="00497000">
              <w:rPr>
                <w:sz w:val="24"/>
                <w:szCs w:val="24"/>
              </w:rPr>
              <w:t>nephritis</w:t>
            </w:r>
          </w:p>
        </w:tc>
      </w:tr>
      <w:tr w:rsidR="009E1D6F" w:rsidRPr="002922BC" w14:paraId="15070356"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03F97B97" w14:textId="77777777" w:rsidR="009E1D6F" w:rsidRPr="00497000" w:rsidRDefault="009E1D6F">
            <w:pPr>
              <w:rPr>
                <w:b/>
                <w:sz w:val="24"/>
                <w:szCs w:val="24"/>
                <w:lang w:val="en-US"/>
              </w:rPr>
            </w:pPr>
            <w:r w:rsidRPr="00497000">
              <w:rPr>
                <w:b/>
                <w:sz w:val="24"/>
                <w:szCs w:val="24"/>
                <w:lang w:val="en-US"/>
              </w:rPr>
              <w:t>General disorders and administration site conditions</w:t>
            </w:r>
          </w:p>
        </w:tc>
      </w:tr>
      <w:tr w:rsidR="009E1D6F" w:rsidRPr="00497000" w14:paraId="74F9B442"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4917A58D" w14:textId="77777777" w:rsidR="009E1D6F" w:rsidRPr="00497000" w:rsidRDefault="009E1D6F">
            <w:pPr>
              <w:rPr>
                <w:sz w:val="24"/>
                <w:szCs w:val="24"/>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2B36EB9D" w14:textId="77777777" w:rsidR="009E1D6F" w:rsidRPr="00497000" w:rsidRDefault="009E1D6F">
            <w:pPr>
              <w:rPr>
                <w:sz w:val="24"/>
                <w:szCs w:val="24"/>
              </w:rPr>
            </w:pPr>
            <w:r w:rsidRPr="00497000">
              <w:rPr>
                <w:sz w:val="24"/>
                <w:szCs w:val="24"/>
              </w:rPr>
              <w:t>fatigue, pyrexia, oedema</w:t>
            </w:r>
          </w:p>
        </w:tc>
      </w:tr>
      <w:tr w:rsidR="009E1D6F" w:rsidRPr="00497000" w14:paraId="63634B6A"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2A853A18"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541276C5" w14:textId="77777777" w:rsidR="009E1D6F" w:rsidRPr="00497000" w:rsidRDefault="009E1D6F">
            <w:pPr>
              <w:rPr>
                <w:sz w:val="24"/>
                <w:szCs w:val="24"/>
              </w:rPr>
            </w:pPr>
            <w:r w:rsidRPr="00497000">
              <w:rPr>
                <w:sz w:val="24"/>
                <w:szCs w:val="24"/>
              </w:rPr>
              <w:t>pain, chest pain</w:t>
            </w:r>
          </w:p>
        </w:tc>
      </w:tr>
      <w:tr w:rsidR="009E1D6F" w:rsidRPr="00497000" w14:paraId="091CE516" w14:textId="77777777" w:rsidTr="00720E32">
        <w:tc>
          <w:tcPr>
            <w:tcW w:w="5000" w:type="pct"/>
            <w:gridSpan w:val="2"/>
            <w:tcBorders>
              <w:top w:val="single" w:sz="4" w:space="0" w:color="auto"/>
              <w:left w:val="single" w:sz="4" w:space="0" w:color="auto"/>
              <w:bottom w:val="single" w:sz="4" w:space="0" w:color="auto"/>
              <w:right w:val="single" w:sz="4" w:space="0" w:color="auto"/>
            </w:tcBorders>
            <w:hideMark/>
          </w:tcPr>
          <w:p w14:paraId="73511844" w14:textId="77777777" w:rsidR="009E1D6F" w:rsidRPr="00497000" w:rsidRDefault="009E1D6F">
            <w:pPr>
              <w:rPr>
                <w:b/>
                <w:sz w:val="24"/>
                <w:szCs w:val="24"/>
              </w:rPr>
            </w:pPr>
            <w:r w:rsidRPr="00497000">
              <w:rPr>
                <w:b/>
                <w:sz w:val="24"/>
                <w:szCs w:val="24"/>
              </w:rPr>
              <w:t>Investigations</w:t>
            </w:r>
            <w:r w:rsidRPr="00497000">
              <w:rPr>
                <w:b/>
                <w:sz w:val="24"/>
                <w:szCs w:val="24"/>
                <w:vertAlign w:val="superscript"/>
              </w:rPr>
              <w:t>f</w:t>
            </w:r>
          </w:p>
        </w:tc>
      </w:tr>
      <w:tr w:rsidR="009E1D6F" w:rsidRPr="00497000" w14:paraId="48B70DCA"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48D448D" w14:textId="77777777" w:rsidR="009E1D6F" w:rsidRPr="00497000" w:rsidRDefault="009E1D6F">
            <w:pPr>
              <w:rPr>
                <w:b/>
                <w:sz w:val="24"/>
                <w:szCs w:val="24"/>
                <w:u w:val="single"/>
              </w:rPr>
            </w:pPr>
            <w:r w:rsidRPr="00497000">
              <w:rPr>
                <w:sz w:val="24"/>
                <w:szCs w:val="24"/>
              </w:rPr>
              <w:t>Very common</w:t>
            </w:r>
          </w:p>
        </w:tc>
        <w:tc>
          <w:tcPr>
            <w:tcW w:w="4026" w:type="pct"/>
            <w:tcBorders>
              <w:top w:val="single" w:sz="4" w:space="0" w:color="auto"/>
              <w:left w:val="single" w:sz="4" w:space="0" w:color="auto"/>
              <w:bottom w:val="single" w:sz="4" w:space="0" w:color="auto"/>
              <w:right w:val="single" w:sz="4" w:space="0" w:color="auto"/>
            </w:tcBorders>
            <w:hideMark/>
          </w:tcPr>
          <w:p w14:paraId="2A8B9A9C" w14:textId="77777777" w:rsidR="009E1D6F" w:rsidRPr="00497000" w:rsidRDefault="009E1D6F">
            <w:pPr>
              <w:rPr>
                <w:sz w:val="24"/>
                <w:szCs w:val="24"/>
              </w:rPr>
            </w:pPr>
            <w:r w:rsidRPr="00497000">
              <w:rPr>
                <w:sz w:val="24"/>
                <w:szCs w:val="24"/>
              </w:rPr>
              <w:t>increased ALT, increased AST, hypophosphataemia, hypocalcaemia, hypomagnesaemia, hyponatraemia, hyperglycaemia, lymphopenia, increased alkaline phosphatase, increased lipase, increased amylase, thrombocytopaenia, increased creatinine, anaemia, leucopenia, hyperkalaemia, neutropenia, hypercalcaemia, hypoglycaemia, hypokalaemia, increased total bilirubin, hypermagnesaemia, hypernatraemia, weight decreased</w:t>
            </w:r>
          </w:p>
        </w:tc>
      </w:tr>
      <w:tr w:rsidR="009E1D6F" w:rsidRPr="00497000" w14:paraId="6847FF06" w14:textId="77777777" w:rsidTr="00720E32">
        <w:tc>
          <w:tcPr>
            <w:tcW w:w="974" w:type="pct"/>
            <w:tcBorders>
              <w:top w:val="single" w:sz="4" w:space="0" w:color="auto"/>
              <w:left w:val="single" w:sz="4" w:space="0" w:color="auto"/>
              <w:bottom w:val="single" w:sz="4" w:space="0" w:color="auto"/>
              <w:right w:val="single" w:sz="4" w:space="0" w:color="auto"/>
            </w:tcBorders>
            <w:hideMark/>
          </w:tcPr>
          <w:p w14:paraId="3198E449" w14:textId="77777777" w:rsidR="009E1D6F" w:rsidRPr="00497000" w:rsidRDefault="009E1D6F">
            <w:pPr>
              <w:rPr>
                <w:b/>
                <w:sz w:val="24"/>
                <w:szCs w:val="24"/>
                <w:u w:val="single"/>
              </w:rPr>
            </w:pPr>
            <w:r w:rsidRPr="00497000">
              <w:rPr>
                <w:sz w:val="24"/>
                <w:szCs w:val="24"/>
              </w:rPr>
              <w:t>Common</w:t>
            </w:r>
          </w:p>
        </w:tc>
        <w:tc>
          <w:tcPr>
            <w:tcW w:w="4026" w:type="pct"/>
            <w:tcBorders>
              <w:top w:val="single" w:sz="4" w:space="0" w:color="auto"/>
              <w:left w:val="single" w:sz="4" w:space="0" w:color="auto"/>
              <w:bottom w:val="single" w:sz="4" w:space="0" w:color="auto"/>
              <w:right w:val="single" w:sz="4" w:space="0" w:color="auto"/>
            </w:tcBorders>
            <w:hideMark/>
          </w:tcPr>
          <w:p w14:paraId="517A9F8F" w14:textId="77777777" w:rsidR="009E1D6F" w:rsidRPr="00497000" w:rsidRDefault="009E1D6F">
            <w:pPr>
              <w:rPr>
                <w:sz w:val="24"/>
                <w:szCs w:val="24"/>
              </w:rPr>
            </w:pPr>
            <w:r w:rsidRPr="00497000">
              <w:rPr>
                <w:sz w:val="24"/>
                <w:szCs w:val="24"/>
              </w:rPr>
              <w:t>blood cholesterol increased, hypertriglyceridaemia</w:t>
            </w:r>
          </w:p>
        </w:tc>
      </w:tr>
    </w:tbl>
    <w:p w14:paraId="2D0F6D5C" w14:textId="77777777" w:rsidR="009E1D6F" w:rsidRPr="00720E32" w:rsidRDefault="009E1D6F" w:rsidP="00497000">
      <w:pPr>
        <w:rPr>
          <w:sz w:val="20"/>
          <w:lang w:val="en-GB" w:eastAsia="en-US"/>
        </w:rPr>
      </w:pPr>
      <w:r w:rsidRPr="00720E32">
        <w:rPr>
          <w:sz w:val="20"/>
          <w:lang w:val="en-US"/>
        </w:rPr>
        <w:t xml:space="preserve">Adverse reaction frequencies presented in Table 3 may not be fully attributable to cabozantinib alone but may contain contributions from the underlying disease or from nivolumab used in a combination. </w:t>
      </w:r>
    </w:p>
    <w:p w14:paraId="43E336A4" w14:textId="5D70E72D" w:rsidR="009E1D6F" w:rsidRPr="00720E32" w:rsidRDefault="009E1D6F" w:rsidP="00497000">
      <w:pPr>
        <w:ind w:left="284" w:hanging="284"/>
        <w:rPr>
          <w:sz w:val="20"/>
          <w:lang w:val="en-US"/>
        </w:rPr>
      </w:pPr>
      <w:r w:rsidRPr="00720E32">
        <w:rPr>
          <w:sz w:val="20"/>
          <w:vertAlign w:val="superscript"/>
          <w:lang w:val="en-US"/>
        </w:rPr>
        <w:lastRenderedPageBreak/>
        <w:t>a</w:t>
      </w:r>
      <w:r w:rsidRPr="00720E32">
        <w:rPr>
          <w:sz w:val="20"/>
          <w:lang w:val="en-US"/>
        </w:rPr>
        <w:t xml:space="preserve"> </w:t>
      </w:r>
      <w:r w:rsidRPr="00720E32">
        <w:rPr>
          <w:sz w:val="20"/>
          <w:lang w:val="en-US"/>
        </w:rPr>
        <w:tab/>
        <w:t xml:space="preserve">Thrombosis is a composite term which includes portal vein thrombosis, pulmonary vein thrombosis, pulmonary thrombosis, aortic thrombosis, arterial thrombosis, deep vein thrombosis, pelvic vein thrombosis, vena cava thrombosis, venous thrombosis, venous thrombosis limb </w:t>
      </w:r>
    </w:p>
    <w:p w14:paraId="7EB411B5" w14:textId="77777777" w:rsidR="009E1D6F" w:rsidRPr="00720E32" w:rsidRDefault="009E1D6F" w:rsidP="00497000">
      <w:pPr>
        <w:tabs>
          <w:tab w:val="left" w:pos="-56"/>
        </w:tabs>
        <w:ind w:left="284" w:right="-77" w:hanging="284"/>
        <w:rPr>
          <w:color w:val="000000"/>
          <w:kern w:val="2"/>
          <w:sz w:val="20"/>
          <w:lang w:val="en-US" w:eastAsia="en-GB"/>
        </w:rPr>
      </w:pPr>
      <w:r w:rsidRPr="00720E32">
        <w:rPr>
          <w:sz w:val="20"/>
          <w:vertAlign w:val="superscript"/>
          <w:lang w:val="en-US"/>
        </w:rPr>
        <w:t>b</w:t>
      </w:r>
      <w:r w:rsidRPr="00720E32">
        <w:rPr>
          <w:sz w:val="20"/>
          <w:lang w:val="en-US"/>
        </w:rPr>
        <w:t xml:space="preserve"> </w:t>
      </w:r>
      <w:r w:rsidRPr="00720E32">
        <w:rPr>
          <w:sz w:val="20"/>
          <w:lang w:val="en-US"/>
        </w:rPr>
        <w:tab/>
      </w:r>
      <w:r w:rsidRPr="00720E32">
        <w:rPr>
          <w:color w:val="000000"/>
          <w:kern w:val="2"/>
          <w:sz w:val="20"/>
          <w:lang w:val="en-US" w:eastAsia="en-GB"/>
        </w:rPr>
        <w:t xml:space="preserve">Fatal cases have been reported  </w:t>
      </w:r>
    </w:p>
    <w:p w14:paraId="5D184EAE" w14:textId="77777777" w:rsidR="009E1D6F" w:rsidRPr="00720E32" w:rsidRDefault="009E1D6F" w:rsidP="00497000">
      <w:pPr>
        <w:tabs>
          <w:tab w:val="left" w:pos="-56"/>
        </w:tabs>
        <w:ind w:left="284" w:right="-77" w:hanging="284"/>
        <w:rPr>
          <w:color w:val="000000"/>
          <w:kern w:val="2"/>
          <w:sz w:val="20"/>
          <w:lang w:val="en-US" w:eastAsia="en-GB"/>
        </w:rPr>
      </w:pPr>
      <w:r w:rsidRPr="00720E32">
        <w:rPr>
          <w:sz w:val="20"/>
          <w:vertAlign w:val="superscript"/>
          <w:lang w:val="en-US"/>
        </w:rPr>
        <w:t>c</w:t>
      </w:r>
      <w:r w:rsidRPr="00720E32">
        <w:rPr>
          <w:sz w:val="20"/>
          <w:lang w:val="en-US"/>
        </w:rPr>
        <w:t xml:space="preserve"> </w:t>
      </w:r>
      <w:r w:rsidRPr="00720E32">
        <w:rPr>
          <w:sz w:val="20"/>
          <w:lang w:val="en-US"/>
        </w:rPr>
        <w:tab/>
      </w:r>
      <w:proofErr w:type="gramStart"/>
      <w:r w:rsidRPr="00720E32">
        <w:rPr>
          <w:color w:val="000000"/>
          <w:kern w:val="2"/>
          <w:sz w:val="20"/>
          <w:lang w:val="en-US" w:eastAsia="en-GB"/>
        </w:rPr>
        <w:t>With</w:t>
      </w:r>
      <w:proofErr w:type="gramEnd"/>
      <w:r w:rsidRPr="00720E32">
        <w:rPr>
          <w:color w:val="000000"/>
          <w:kern w:val="2"/>
          <w:sz w:val="20"/>
          <w:lang w:val="en-US" w:eastAsia="en-GB"/>
        </w:rPr>
        <w:t xml:space="preserve"> prior or concomitant immune checkpoint inhibitor exposure</w:t>
      </w:r>
      <w:r w:rsidRPr="00720E32">
        <w:rPr>
          <w:color w:val="000000"/>
          <w:kern w:val="2"/>
          <w:sz w:val="20"/>
          <w:vertAlign w:val="superscript"/>
          <w:lang w:val="en-US" w:eastAsia="en-GB"/>
        </w:rPr>
        <w:t xml:space="preserve"> </w:t>
      </w:r>
    </w:p>
    <w:p w14:paraId="7ADE1D76" w14:textId="77777777" w:rsidR="009E1D6F" w:rsidRPr="00720E32" w:rsidRDefault="009E1D6F" w:rsidP="00497000">
      <w:pPr>
        <w:ind w:left="284" w:hanging="284"/>
        <w:rPr>
          <w:sz w:val="20"/>
          <w:lang w:val="en-US"/>
        </w:rPr>
      </w:pPr>
      <w:r w:rsidRPr="00720E32">
        <w:rPr>
          <w:sz w:val="20"/>
          <w:vertAlign w:val="superscript"/>
          <w:lang w:val="en-US"/>
        </w:rPr>
        <w:t>d</w:t>
      </w:r>
      <w:r w:rsidRPr="00720E32">
        <w:rPr>
          <w:sz w:val="20"/>
          <w:lang w:val="en-US"/>
        </w:rPr>
        <w:tab/>
        <w:t xml:space="preserve">Rash is a composite term which includes dermatitis, dermatitis acneiform, dermatitis bullous, exfoliative rash, rash erythematous, rash follicular, rash macular, rash maculo-papular, rash papular, rash pruritic and drug eruption </w:t>
      </w:r>
    </w:p>
    <w:p w14:paraId="361D2CD5" w14:textId="77777777" w:rsidR="009E1D6F" w:rsidRPr="00720E32" w:rsidRDefault="009E1D6F" w:rsidP="00497000">
      <w:pPr>
        <w:ind w:left="284" w:hanging="284"/>
        <w:rPr>
          <w:sz w:val="20"/>
          <w:lang w:val="en-US"/>
        </w:rPr>
      </w:pPr>
      <w:r w:rsidRPr="00720E32">
        <w:rPr>
          <w:sz w:val="20"/>
          <w:vertAlign w:val="superscript"/>
          <w:lang w:val="en-US"/>
        </w:rPr>
        <w:t>e</w:t>
      </w:r>
      <w:r w:rsidRPr="00720E32">
        <w:rPr>
          <w:sz w:val="20"/>
          <w:lang w:val="en-US"/>
        </w:rPr>
        <w:t xml:space="preserve"> </w:t>
      </w:r>
      <w:r w:rsidRPr="00720E32">
        <w:rPr>
          <w:sz w:val="20"/>
          <w:lang w:val="en-US"/>
        </w:rPr>
        <w:tab/>
        <w:t xml:space="preserve">Musculoskeletal pain is a composite term which includes back pain, bone pain, musculoskeletal chest pain, musculoskeletal discomfort, myalgia, neck pain, pain in extremity, spinal pain </w:t>
      </w:r>
    </w:p>
    <w:p w14:paraId="184DAFB0" w14:textId="77777777" w:rsidR="009E1D6F" w:rsidRPr="00720E32" w:rsidRDefault="009E1D6F" w:rsidP="00497000">
      <w:pPr>
        <w:ind w:left="284" w:hanging="284"/>
        <w:rPr>
          <w:b/>
          <w:sz w:val="20"/>
          <w:u w:val="single"/>
          <w:lang w:val="en-US"/>
        </w:rPr>
      </w:pPr>
      <w:r w:rsidRPr="00720E32">
        <w:rPr>
          <w:sz w:val="20"/>
          <w:vertAlign w:val="superscript"/>
          <w:lang w:val="en-US"/>
        </w:rPr>
        <w:t>f</w:t>
      </w:r>
      <w:r w:rsidRPr="00720E32">
        <w:rPr>
          <w:sz w:val="20"/>
          <w:lang w:val="en-US"/>
        </w:rPr>
        <w:t xml:space="preserve"> </w:t>
      </w:r>
      <w:r w:rsidRPr="00720E32">
        <w:rPr>
          <w:sz w:val="20"/>
          <w:lang w:val="en-US"/>
        </w:rPr>
        <w:tab/>
        <w:t>Frequencies of laboratory terms reflect the proportion of patients who experienced a worsening from baseline in laboratory measurements with the exception of weight decreased, blood cholesterol increased and hypertriglyceridaemia</w:t>
      </w:r>
    </w:p>
    <w:p w14:paraId="0D3AB68D" w14:textId="77777777" w:rsidR="00720E32" w:rsidRDefault="00720E32" w:rsidP="00497000">
      <w:pPr>
        <w:ind w:left="851"/>
        <w:rPr>
          <w:sz w:val="24"/>
          <w:szCs w:val="24"/>
          <w:lang w:val="en-US"/>
        </w:rPr>
      </w:pPr>
    </w:p>
    <w:p w14:paraId="6C0C7252" w14:textId="7A93A555" w:rsidR="009E1D6F" w:rsidRPr="00720E32" w:rsidRDefault="009E1D6F" w:rsidP="00497000">
      <w:pPr>
        <w:ind w:left="851"/>
        <w:rPr>
          <w:sz w:val="24"/>
          <w:szCs w:val="24"/>
          <w:u w:val="single"/>
          <w:lang w:val="en-US"/>
        </w:rPr>
      </w:pPr>
      <w:r w:rsidRPr="00720E32">
        <w:rPr>
          <w:sz w:val="24"/>
          <w:szCs w:val="24"/>
          <w:u w:val="single"/>
          <w:lang w:val="en-US"/>
        </w:rPr>
        <w:t xml:space="preserve">Description of selected adverse reactions </w:t>
      </w:r>
    </w:p>
    <w:p w14:paraId="348A98F1" w14:textId="77777777" w:rsidR="009E1D6F" w:rsidRPr="00497000" w:rsidRDefault="009E1D6F" w:rsidP="00497000">
      <w:pPr>
        <w:ind w:left="851"/>
        <w:rPr>
          <w:sz w:val="24"/>
          <w:szCs w:val="24"/>
          <w:lang w:val="en-US"/>
        </w:rPr>
      </w:pPr>
      <w:r w:rsidRPr="00497000">
        <w:rPr>
          <w:sz w:val="24"/>
          <w:szCs w:val="24"/>
          <w:lang w:val="en-US"/>
        </w:rPr>
        <w:t xml:space="preserve">Data for the following reactions are based on patients who received cabozantinib 60 mg orally once daily as monotherapy in the pivotal studies in RCC following prior VEGF-targeted therapy and in treatment-naïve RCC, in HCC following prior systemic therapy and in DTC in patient refractory or not eligible to radioactive iodine (RAI) who have progressed during or after prior systemic therapy or in patients who received cabozantinib 40 mg orally once daily in combination with nivolumab in first-line advanced RCC (section 5.1). </w:t>
      </w:r>
    </w:p>
    <w:p w14:paraId="441A37C8" w14:textId="77777777" w:rsidR="009E1D6F" w:rsidRPr="00497000" w:rsidRDefault="009E1D6F" w:rsidP="00497000">
      <w:pPr>
        <w:ind w:left="851"/>
        <w:rPr>
          <w:sz w:val="24"/>
          <w:szCs w:val="24"/>
          <w:lang w:val="en-US"/>
        </w:rPr>
      </w:pPr>
    </w:p>
    <w:p w14:paraId="3CDAD284" w14:textId="77777777" w:rsidR="009E1D6F" w:rsidRPr="00720E32" w:rsidRDefault="009E1D6F" w:rsidP="00497000">
      <w:pPr>
        <w:ind w:left="851"/>
        <w:rPr>
          <w:i/>
          <w:sz w:val="24"/>
          <w:szCs w:val="24"/>
          <w:u w:val="single"/>
          <w:lang w:val="en-US"/>
        </w:rPr>
      </w:pPr>
      <w:r w:rsidRPr="00720E32">
        <w:rPr>
          <w:i/>
          <w:sz w:val="24"/>
          <w:szCs w:val="24"/>
          <w:u w:val="single"/>
          <w:lang w:val="en-US"/>
        </w:rPr>
        <w:t xml:space="preserve">Gastrointestinal (GI) perforation (see section 4.4) </w:t>
      </w:r>
    </w:p>
    <w:p w14:paraId="31CAEA25" w14:textId="77777777" w:rsidR="009E1D6F" w:rsidRPr="00497000" w:rsidRDefault="009E1D6F" w:rsidP="00497000">
      <w:pPr>
        <w:ind w:left="851"/>
        <w:rPr>
          <w:sz w:val="24"/>
          <w:szCs w:val="24"/>
          <w:lang w:val="en-US"/>
        </w:rPr>
      </w:pPr>
      <w:r w:rsidRPr="00497000">
        <w:rPr>
          <w:sz w:val="24"/>
          <w:szCs w:val="24"/>
          <w:lang w:val="en-US"/>
        </w:rPr>
        <w:t xml:space="preserve">In the study in RCC following prior VEGF-targeted therapy (METEOR), GI perforations were reported in 0.9% (3/331) of cabozantinib-treated RCC patients. Events were Grade 2 or 3. Median time to onset was 10.0 weeks. </w:t>
      </w:r>
    </w:p>
    <w:p w14:paraId="50855F43" w14:textId="77777777" w:rsidR="009E1D6F" w:rsidRPr="00497000" w:rsidRDefault="009E1D6F" w:rsidP="00497000">
      <w:pPr>
        <w:ind w:left="851"/>
        <w:rPr>
          <w:sz w:val="24"/>
          <w:szCs w:val="24"/>
          <w:lang w:val="en-US"/>
        </w:rPr>
      </w:pPr>
      <w:r w:rsidRPr="00497000">
        <w:rPr>
          <w:sz w:val="24"/>
          <w:szCs w:val="24"/>
          <w:lang w:val="en-US"/>
        </w:rPr>
        <w:t xml:space="preserve">In the treatment-naïve RCC study (CABOSUN), GI perforations were reported in 2.6% (2/78) of cabozantinib-treated patients. Events were Grade 4 and 5. </w:t>
      </w:r>
    </w:p>
    <w:p w14:paraId="27A474AB" w14:textId="77777777" w:rsidR="009E1D6F" w:rsidRPr="00497000" w:rsidRDefault="009E1D6F" w:rsidP="00497000">
      <w:pPr>
        <w:ind w:left="851"/>
        <w:rPr>
          <w:sz w:val="24"/>
          <w:szCs w:val="24"/>
          <w:lang w:val="en-US"/>
        </w:rPr>
      </w:pPr>
      <w:r w:rsidRPr="00497000">
        <w:rPr>
          <w:sz w:val="24"/>
          <w:szCs w:val="24"/>
          <w:lang w:val="en-US"/>
        </w:rPr>
        <w:t xml:space="preserve">In the HCC study (CELESTIAL), GI perforations were reported in 0.9% of cabozantinib-treated patients (4/467). All events were Grade 3 or 4. Median time to onset was 5.9 weeks. </w:t>
      </w:r>
    </w:p>
    <w:p w14:paraId="6B1C8A1A" w14:textId="77777777" w:rsidR="009E1D6F" w:rsidRPr="00497000" w:rsidRDefault="009E1D6F" w:rsidP="00497000">
      <w:pPr>
        <w:ind w:left="851"/>
        <w:rPr>
          <w:sz w:val="24"/>
          <w:szCs w:val="24"/>
          <w:lang w:val="en-US"/>
        </w:rPr>
      </w:pPr>
      <w:r w:rsidRPr="00497000">
        <w:rPr>
          <w:sz w:val="24"/>
          <w:szCs w:val="24"/>
          <w:lang w:val="en-US"/>
        </w:rPr>
        <w:t xml:space="preserve">In the DTC study (COSMIC-311), GI perforation grade 4 was reported in one patient (0.6%) of cabozantinib-treated patients and occurred after 14 weeks of treatment. </w:t>
      </w:r>
    </w:p>
    <w:p w14:paraId="40EAFA50" w14:textId="77777777" w:rsidR="009E1D6F" w:rsidRPr="00497000" w:rsidRDefault="009E1D6F" w:rsidP="00497000">
      <w:pPr>
        <w:ind w:left="851"/>
        <w:rPr>
          <w:sz w:val="24"/>
          <w:szCs w:val="24"/>
          <w:lang w:val="en-US"/>
        </w:rPr>
      </w:pPr>
      <w:r w:rsidRPr="00497000">
        <w:rPr>
          <w:sz w:val="24"/>
          <w:szCs w:val="24"/>
          <w:lang w:val="en-US"/>
        </w:rPr>
        <w:t xml:space="preserve">In combination with nivolumab in advanced RCC in first-line treatment (CA2099ER) the incidence of GI perforations was 1.3% (4/320) treated patients. One event was grade 3, two events were grade 4 and one event was grade 5 (fatal). </w:t>
      </w:r>
    </w:p>
    <w:p w14:paraId="11919413" w14:textId="77777777" w:rsidR="009E1D6F" w:rsidRPr="00497000" w:rsidRDefault="009E1D6F" w:rsidP="00497000">
      <w:pPr>
        <w:ind w:left="851"/>
        <w:rPr>
          <w:sz w:val="24"/>
          <w:szCs w:val="24"/>
          <w:lang w:val="en-US"/>
        </w:rPr>
      </w:pPr>
      <w:r w:rsidRPr="00497000">
        <w:rPr>
          <w:sz w:val="24"/>
          <w:szCs w:val="24"/>
          <w:lang w:val="en-US"/>
        </w:rPr>
        <w:t xml:space="preserve">Fatal perforations have occurred in the cabozantinib clinical program. </w:t>
      </w:r>
    </w:p>
    <w:p w14:paraId="18EA5B8C" w14:textId="77777777" w:rsidR="009E1D6F" w:rsidRPr="00497000" w:rsidRDefault="009E1D6F" w:rsidP="00497000">
      <w:pPr>
        <w:ind w:left="851"/>
        <w:rPr>
          <w:sz w:val="24"/>
          <w:szCs w:val="24"/>
          <w:lang w:val="en-US"/>
        </w:rPr>
      </w:pPr>
    </w:p>
    <w:p w14:paraId="71C6B7A3" w14:textId="77777777" w:rsidR="009E1D6F" w:rsidRPr="00720E32" w:rsidRDefault="009E1D6F" w:rsidP="00497000">
      <w:pPr>
        <w:ind w:left="851"/>
        <w:rPr>
          <w:i/>
          <w:sz w:val="24"/>
          <w:szCs w:val="24"/>
          <w:u w:val="single"/>
          <w:lang w:val="en-US"/>
        </w:rPr>
      </w:pPr>
      <w:r w:rsidRPr="00720E32">
        <w:rPr>
          <w:i/>
          <w:sz w:val="24"/>
          <w:szCs w:val="24"/>
          <w:u w:val="single"/>
          <w:lang w:val="en-US"/>
        </w:rPr>
        <w:t xml:space="preserve">Hepatic encephalopathy (see section 4.4) </w:t>
      </w:r>
    </w:p>
    <w:p w14:paraId="6F7FE7BE" w14:textId="77777777" w:rsidR="009E1D6F" w:rsidRPr="00497000" w:rsidRDefault="009E1D6F" w:rsidP="00497000">
      <w:pPr>
        <w:ind w:left="851"/>
        <w:rPr>
          <w:sz w:val="24"/>
          <w:szCs w:val="24"/>
          <w:lang w:val="en-US"/>
        </w:rPr>
      </w:pPr>
      <w:r w:rsidRPr="00497000">
        <w:rPr>
          <w:sz w:val="24"/>
          <w:szCs w:val="24"/>
          <w:lang w:val="en-US"/>
        </w:rPr>
        <w:t>In the HCC study (CELESTIAL), hepatic encephalopathy (hepatic encephalopathy, encephalopathy, hyperammonaemic encephalopathy) was reported in 5.6% of cabozantinib-treated patients (26/467); Grade 3-4 events in 2.8%, and one (0.2%) Grade 5 event. Median time to onset was 5.9 weeks. No cases of hepatic encephalopathy were reported in the RCC studies (METEOR, CABOSUN and CA2099ER) and in the DTC study (COSMIC-311).</w:t>
      </w:r>
    </w:p>
    <w:p w14:paraId="18EA43DC" w14:textId="77777777" w:rsidR="009E1D6F" w:rsidRPr="00497000" w:rsidRDefault="009E1D6F" w:rsidP="00497000">
      <w:pPr>
        <w:ind w:left="851"/>
        <w:rPr>
          <w:sz w:val="24"/>
          <w:szCs w:val="24"/>
          <w:lang w:val="en-US"/>
        </w:rPr>
      </w:pPr>
    </w:p>
    <w:p w14:paraId="6E3A0EAF" w14:textId="77777777" w:rsidR="009E1D6F" w:rsidRPr="00720E32" w:rsidRDefault="009E1D6F" w:rsidP="00497000">
      <w:pPr>
        <w:ind w:left="851"/>
        <w:rPr>
          <w:i/>
          <w:sz w:val="24"/>
          <w:szCs w:val="24"/>
          <w:u w:val="single"/>
          <w:lang w:val="en-US"/>
        </w:rPr>
      </w:pPr>
      <w:r w:rsidRPr="00720E32">
        <w:rPr>
          <w:i/>
          <w:sz w:val="24"/>
          <w:szCs w:val="24"/>
          <w:u w:val="single"/>
          <w:lang w:val="en-US"/>
        </w:rPr>
        <w:t xml:space="preserve">Diarrhoea (see section 4.4) </w:t>
      </w:r>
    </w:p>
    <w:p w14:paraId="44523F84" w14:textId="77777777" w:rsidR="009E1D6F" w:rsidRPr="00497000" w:rsidRDefault="009E1D6F" w:rsidP="00497000">
      <w:pPr>
        <w:ind w:left="851"/>
        <w:rPr>
          <w:sz w:val="24"/>
          <w:szCs w:val="24"/>
          <w:lang w:val="en-US"/>
        </w:rPr>
      </w:pPr>
      <w:r w:rsidRPr="00497000">
        <w:rPr>
          <w:sz w:val="24"/>
          <w:szCs w:val="24"/>
          <w:lang w:val="en-US"/>
        </w:rPr>
        <w:t xml:space="preserve">In the study in RCC following prior VEGF-targeted therapy (METEOR), diarrhoea was reported in 74% of cabozantinib-treated RCC patients (245/331); Grade 3-4 events in 11%. Median time to onset was 4.9 weeks. </w:t>
      </w:r>
    </w:p>
    <w:p w14:paraId="225B932E" w14:textId="77777777" w:rsidR="009E1D6F" w:rsidRPr="00497000" w:rsidRDefault="009E1D6F" w:rsidP="00497000">
      <w:pPr>
        <w:ind w:left="851"/>
        <w:rPr>
          <w:sz w:val="24"/>
          <w:szCs w:val="24"/>
          <w:lang w:val="en-US"/>
        </w:rPr>
      </w:pPr>
      <w:r w:rsidRPr="00497000">
        <w:rPr>
          <w:sz w:val="24"/>
          <w:szCs w:val="24"/>
          <w:lang w:val="en-US"/>
        </w:rPr>
        <w:t xml:space="preserve">In the treatment-naïve RCC study (CABOSUN), diarrhoea was reported in 73% of cabozantinib-treated patients (57/78); Grade 3-4 events in 10%. </w:t>
      </w:r>
    </w:p>
    <w:p w14:paraId="2E2A1897" w14:textId="77777777" w:rsidR="009E1D6F" w:rsidRPr="00497000" w:rsidRDefault="009E1D6F" w:rsidP="00497000">
      <w:pPr>
        <w:ind w:left="851"/>
        <w:rPr>
          <w:sz w:val="24"/>
          <w:szCs w:val="24"/>
          <w:lang w:val="en-US"/>
        </w:rPr>
      </w:pPr>
      <w:r w:rsidRPr="00497000">
        <w:rPr>
          <w:sz w:val="24"/>
          <w:szCs w:val="24"/>
          <w:lang w:val="en-US"/>
        </w:rPr>
        <w:t xml:space="preserve">In the HCC study (CELESTIAL), diarrhoea was reported in 54% of cabozantinib-treated patients (251/467); Grade 3- 4 events in 9.9%. Median time to onset of all events was 4.1 </w:t>
      </w:r>
      <w:r w:rsidRPr="00497000">
        <w:rPr>
          <w:sz w:val="24"/>
          <w:szCs w:val="24"/>
          <w:lang w:val="en-US"/>
        </w:rPr>
        <w:lastRenderedPageBreak/>
        <w:t xml:space="preserve">weeks. Diarrhoea led to dose modifications, interruptions and discontinuations in 84/467 (18%), 69/467 (15%) and 5/467 (1%) of subjects, respectively. </w:t>
      </w:r>
    </w:p>
    <w:p w14:paraId="1FFE1A45" w14:textId="77777777" w:rsidR="009E1D6F" w:rsidRPr="00497000" w:rsidRDefault="009E1D6F" w:rsidP="00497000">
      <w:pPr>
        <w:ind w:left="851"/>
        <w:rPr>
          <w:sz w:val="24"/>
          <w:szCs w:val="24"/>
          <w:lang w:val="en-US"/>
        </w:rPr>
      </w:pPr>
      <w:r w:rsidRPr="00497000">
        <w:rPr>
          <w:sz w:val="24"/>
          <w:szCs w:val="24"/>
          <w:lang w:val="en-US"/>
        </w:rPr>
        <w:t xml:space="preserve">In the DTC study (COSMIC-311), diarrhoea was reported in 62% of cabozantinib treated patients (105/170); Grade 3-4 events in 7.6%. Diarrhoea led to dose reduction and interruption in 24/170 (14%) and 36/170 (21%) of subjects respectively. </w:t>
      </w:r>
    </w:p>
    <w:p w14:paraId="7242927E" w14:textId="77777777" w:rsidR="009E1D6F" w:rsidRPr="00497000" w:rsidRDefault="009E1D6F" w:rsidP="00497000">
      <w:pPr>
        <w:ind w:left="851"/>
        <w:rPr>
          <w:sz w:val="24"/>
          <w:szCs w:val="24"/>
          <w:lang w:val="en-US"/>
        </w:rPr>
      </w:pPr>
      <w:r w:rsidRPr="00497000">
        <w:rPr>
          <w:sz w:val="24"/>
          <w:szCs w:val="24"/>
          <w:lang w:val="en-US"/>
        </w:rPr>
        <w:t xml:space="preserve">In combination with nivolumab in advanced RCC in first-line treatment (CA2099ER), the incidence of diarrhoea was reported in 64.7% (207/320) of treated patients; Grade 3-4 events in 8.4% (27/320). Median time to onset of all events was 12.9 weeks. Dose delay or reduction occurred in 26.3% (84/320) and discontinuation in 2.2% (7/320) of patients with diarrhoea, respectively. </w:t>
      </w:r>
    </w:p>
    <w:p w14:paraId="7EFAEC46" w14:textId="77777777" w:rsidR="009E1D6F" w:rsidRPr="00497000" w:rsidRDefault="009E1D6F" w:rsidP="00497000">
      <w:pPr>
        <w:ind w:left="851"/>
        <w:rPr>
          <w:sz w:val="24"/>
          <w:szCs w:val="24"/>
          <w:lang w:val="en-US"/>
        </w:rPr>
      </w:pPr>
    </w:p>
    <w:p w14:paraId="7B47270C" w14:textId="77777777" w:rsidR="009E1D6F" w:rsidRPr="00720E32" w:rsidRDefault="009E1D6F" w:rsidP="00497000">
      <w:pPr>
        <w:ind w:left="851"/>
        <w:rPr>
          <w:i/>
          <w:sz w:val="24"/>
          <w:szCs w:val="24"/>
          <w:u w:val="single"/>
          <w:lang w:val="en-US"/>
        </w:rPr>
      </w:pPr>
      <w:r w:rsidRPr="00720E32">
        <w:rPr>
          <w:i/>
          <w:sz w:val="24"/>
          <w:szCs w:val="24"/>
          <w:u w:val="single"/>
          <w:lang w:val="en-US"/>
        </w:rPr>
        <w:t xml:space="preserve">Fistulas (see section 4.4) </w:t>
      </w:r>
    </w:p>
    <w:p w14:paraId="73B1EDAB" w14:textId="77777777" w:rsidR="009E1D6F" w:rsidRPr="00497000" w:rsidRDefault="009E1D6F" w:rsidP="00497000">
      <w:pPr>
        <w:ind w:left="851"/>
        <w:rPr>
          <w:sz w:val="24"/>
          <w:szCs w:val="24"/>
          <w:lang w:val="en-US"/>
        </w:rPr>
      </w:pPr>
      <w:r w:rsidRPr="00497000">
        <w:rPr>
          <w:sz w:val="24"/>
          <w:szCs w:val="24"/>
          <w:lang w:val="en-US"/>
        </w:rPr>
        <w:t xml:space="preserve">In the study in RCC following prior VEGF-targeted therapy (METEOR), fistulas were reported in 1.2% (4/331) of cabozantinib-treated patients and included anal fistulas in 0.6% (2/331) cabozantinib-treated patients. One event was Grade 3; the remainder were Grade 2. Median time to onset was 30.3 weeks. </w:t>
      </w:r>
    </w:p>
    <w:p w14:paraId="0BF7B222" w14:textId="77777777" w:rsidR="009E1D6F" w:rsidRPr="00497000" w:rsidRDefault="009E1D6F" w:rsidP="00497000">
      <w:pPr>
        <w:ind w:left="851"/>
        <w:rPr>
          <w:sz w:val="24"/>
          <w:szCs w:val="24"/>
          <w:lang w:val="en-US"/>
        </w:rPr>
      </w:pPr>
      <w:r w:rsidRPr="00497000">
        <w:rPr>
          <w:sz w:val="24"/>
          <w:szCs w:val="24"/>
          <w:lang w:val="en-US"/>
        </w:rPr>
        <w:t xml:space="preserve">In the treatment-naïve RCC study (CABOSUN), no cases of fistulas were reported. </w:t>
      </w:r>
    </w:p>
    <w:p w14:paraId="38798351" w14:textId="77777777" w:rsidR="009E1D6F" w:rsidRPr="00497000" w:rsidRDefault="009E1D6F" w:rsidP="00497000">
      <w:pPr>
        <w:ind w:left="851"/>
        <w:rPr>
          <w:sz w:val="24"/>
          <w:szCs w:val="24"/>
          <w:lang w:val="en-US"/>
        </w:rPr>
      </w:pPr>
      <w:r w:rsidRPr="00497000">
        <w:rPr>
          <w:sz w:val="24"/>
          <w:szCs w:val="24"/>
          <w:lang w:val="en-US"/>
        </w:rPr>
        <w:t xml:space="preserve">In the HCC study (CELESTIAL), fistulas were reported in 1.5% (7/467) of the HCC patients. Median time to onset was 14 weeks. </w:t>
      </w:r>
    </w:p>
    <w:p w14:paraId="28AF8069" w14:textId="77777777" w:rsidR="009E1D6F" w:rsidRPr="00497000" w:rsidRDefault="009E1D6F" w:rsidP="00497000">
      <w:pPr>
        <w:ind w:left="851"/>
        <w:rPr>
          <w:sz w:val="24"/>
          <w:szCs w:val="24"/>
          <w:lang w:val="en-US"/>
        </w:rPr>
      </w:pPr>
      <w:r w:rsidRPr="00497000">
        <w:rPr>
          <w:sz w:val="24"/>
          <w:szCs w:val="24"/>
          <w:lang w:val="en-US"/>
        </w:rPr>
        <w:t xml:space="preserve">In the DTC study (COSMIC-311), fistulas (two anal and one pharyngeal fistula) were reported in 1.8 % (3/170) of the cabozantinib treated patients. </w:t>
      </w:r>
    </w:p>
    <w:p w14:paraId="6FDE08A5" w14:textId="77777777" w:rsidR="009E1D6F" w:rsidRPr="00497000" w:rsidRDefault="009E1D6F" w:rsidP="00497000">
      <w:pPr>
        <w:ind w:left="851"/>
        <w:rPr>
          <w:sz w:val="24"/>
          <w:szCs w:val="24"/>
          <w:lang w:val="en-US"/>
        </w:rPr>
      </w:pPr>
      <w:r w:rsidRPr="00497000">
        <w:rPr>
          <w:sz w:val="24"/>
          <w:szCs w:val="24"/>
          <w:lang w:val="en-US"/>
        </w:rPr>
        <w:t xml:space="preserve">In combination with nivolumab in advanced RCC in first-line treatment (CA2099ER) the incidence of fistula was reported in 0.9% (3/320) of treated patients and the severity was Grade 1. Fatal fistulas have occurred in the cabozantinib clinical program </w:t>
      </w:r>
    </w:p>
    <w:p w14:paraId="33FE8D3D" w14:textId="77777777" w:rsidR="009E1D6F" w:rsidRPr="00497000" w:rsidRDefault="009E1D6F" w:rsidP="00497000">
      <w:pPr>
        <w:ind w:left="851"/>
        <w:rPr>
          <w:sz w:val="24"/>
          <w:szCs w:val="24"/>
          <w:lang w:val="en-US"/>
        </w:rPr>
      </w:pPr>
    </w:p>
    <w:p w14:paraId="477D3B32" w14:textId="77777777" w:rsidR="009E1D6F" w:rsidRPr="00720E32" w:rsidRDefault="009E1D6F" w:rsidP="00497000">
      <w:pPr>
        <w:ind w:left="851"/>
        <w:rPr>
          <w:i/>
          <w:sz w:val="24"/>
          <w:szCs w:val="24"/>
          <w:u w:val="single"/>
          <w:lang w:val="en-US"/>
        </w:rPr>
      </w:pPr>
      <w:r w:rsidRPr="00720E32">
        <w:rPr>
          <w:i/>
          <w:sz w:val="24"/>
          <w:szCs w:val="24"/>
          <w:u w:val="single"/>
          <w:lang w:val="en-US"/>
        </w:rPr>
        <w:t xml:space="preserve">Haemorrhage (see section 4.4) </w:t>
      </w:r>
    </w:p>
    <w:p w14:paraId="2A54C56E" w14:textId="77777777" w:rsidR="009E1D6F" w:rsidRPr="00497000" w:rsidRDefault="009E1D6F" w:rsidP="00497000">
      <w:pPr>
        <w:ind w:left="851"/>
        <w:rPr>
          <w:sz w:val="24"/>
          <w:szCs w:val="24"/>
          <w:lang w:val="en-US"/>
        </w:rPr>
      </w:pPr>
      <w:r w:rsidRPr="00497000">
        <w:rPr>
          <w:sz w:val="24"/>
          <w:szCs w:val="24"/>
          <w:lang w:val="en-US"/>
        </w:rPr>
        <w:t xml:space="preserve">In the study in RCC following prior VEGF-targeted therapy (METEOR), the incidence of severe haemorrhagic events (Grade ≥ 3) was 2.1% (7/331) in cabozantinib-treated RCC patients. Median time to onset was 20.9 weeks. </w:t>
      </w:r>
    </w:p>
    <w:p w14:paraId="1126E5C1" w14:textId="77777777" w:rsidR="009E1D6F" w:rsidRPr="00497000" w:rsidRDefault="009E1D6F" w:rsidP="00497000">
      <w:pPr>
        <w:ind w:left="851"/>
        <w:rPr>
          <w:sz w:val="24"/>
          <w:szCs w:val="24"/>
          <w:lang w:val="en-US"/>
        </w:rPr>
      </w:pPr>
      <w:r w:rsidRPr="00497000">
        <w:rPr>
          <w:sz w:val="24"/>
          <w:szCs w:val="24"/>
          <w:lang w:val="en-US"/>
        </w:rPr>
        <w:t xml:space="preserve">In the treatment-naïve RCC study (CABOSUN), the incidence of severe haemorrhagic events (Grade ≥ 3) was 5.1% (4/78) in cabozantinib-treated RCC patients. </w:t>
      </w:r>
    </w:p>
    <w:p w14:paraId="1C48D9F5" w14:textId="77777777" w:rsidR="009E1D6F" w:rsidRPr="00497000" w:rsidRDefault="009E1D6F" w:rsidP="00497000">
      <w:pPr>
        <w:ind w:left="851"/>
        <w:rPr>
          <w:sz w:val="24"/>
          <w:szCs w:val="24"/>
          <w:lang w:val="en-US"/>
        </w:rPr>
      </w:pPr>
      <w:r w:rsidRPr="00497000">
        <w:rPr>
          <w:sz w:val="24"/>
          <w:szCs w:val="24"/>
          <w:lang w:val="en-US"/>
        </w:rPr>
        <w:t xml:space="preserve">In the HCC study (CELESTIAL), the incidence of severe haemorrhagic events (Grade ≥ 3) was 7.3% in cabozantinib-treated patients (34/467). Median time to onset was 9.1 weeks. </w:t>
      </w:r>
    </w:p>
    <w:p w14:paraId="31DE525D" w14:textId="77777777" w:rsidR="009E1D6F" w:rsidRPr="00497000" w:rsidRDefault="009E1D6F" w:rsidP="00497000">
      <w:pPr>
        <w:ind w:left="851"/>
        <w:rPr>
          <w:sz w:val="24"/>
          <w:szCs w:val="24"/>
          <w:lang w:val="en-US"/>
        </w:rPr>
      </w:pPr>
      <w:r w:rsidRPr="00497000">
        <w:rPr>
          <w:sz w:val="24"/>
          <w:szCs w:val="24"/>
          <w:lang w:val="en-US"/>
        </w:rPr>
        <w:t xml:space="preserve">In combination with nivolumab in advanced RCC in first-line treatment (CA2099ER) the incidence of ≥ Grade 3 haemorrhage was in 1.9% (6/320) of treated patients. </w:t>
      </w:r>
    </w:p>
    <w:p w14:paraId="390A82C4" w14:textId="77777777" w:rsidR="009E1D6F" w:rsidRPr="00497000" w:rsidRDefault="009E1D6F" w:rsidP="00497000">
      <w:pPr>
        <w:ind w:left="851"/>
        <w:rPr>
          <w:sz w:val="24"/>
          <w:szCs w:val="24"/>
          <w:lang w:val="en-US"/>
        </w:rPr>
      </w:pPr>
      <w:r w:rsidRPr="00497000">
        <w:rPr>
          <w:sz w:val="24"/>
          <w:szCs w:val="24"/>
          <w:lang w:val="en-US"/>
        </w:rPr>
        <w:t xml:space="preserve">In the DTC study (COSMIC-311), the incidence of severe haemorrhagic events (grade ≥ 3) was 2.4% in cabozantinib-treated patients (4/170). Median time to onset was 80.5 days. </w:t>
      </w:r>
    </w:p>
    <w:p w14:paraId="63476FE5" w14:textId="77777777" w:rsidR="009E1D6F" w:rsidRPr="00497000" w:rsidRDefault="009E1D6F" w:rsidP="00497000">
      <w:pPr>
        <w:ind w:left="851"/>
        <w:rPr>
          <w:sz w:val="24"/>
          <w:szCs w:val="24"/>
          <w:lang w:val="en-US"/>
        </w:rPr>
      </w:pPr>
      <w:r w:rsidRPr="00497000">
        <w:rPr>
          <w:sz w:val="24"/>
          <w:szCs w:val="24"/>
          <w:lang w:val="en-US"/>
        </w:rPr>
        <w:t xml:space="preserve">Fatal haemorrhages have occurred in the cabozantinib clinical program. </w:t>
      </w:r>
    </w:p>
    <w:p w14:paraId="469C8419" w14:textId="77777777" w:rsidR="009E1D6F" w:rsidRPr="00497000" w:rsidRDefault="009E1D6F" w:rsidP="00497000">
      <w:pPr>
        <w:ind w:left="851"/>
        <w:rPr>
          <w:sz w:val="24"/>
          <w:szCs w:val="24"/>
          <w:lang w:val="en-US"/>
        </w:rPr>
      </w:pPr>
    </w:p>
    <w:p w14:paraId="7D84A019" w14:textId="77777777" w:rsidR="009E1D6F" w:rsidRPr="00720E32" w:rsidRDefault="009E1D6F" w:rsidP="00497000">
      <w:pPr>
        <w:ind w:left="851"/>
        <w:rPr>
          <w:i/>
          <w:sz w:val="24"/>
          <w:szCs w:val="24"/>
          <w:u w:val="single"/>
          <w:lang w:val="en-US"/>
        </w:rPr>
      </w:pPr>
      <w:r w:rsidRPr="00720E32">
        <w:rPr>
          <w:i/>
          <w:sz w:val="24"/>
          <w:szCs w:val="24"/>
          <w:u w:val="single"/>
          <w:lang w:val="en-US"/>
        </w:rPr>
        <w:t xml:space="preserve">Posterior reversible encephalopathy syndrome (PRES) (see section 4.4) </w:t>
      </w:r>
    </w:p>
    <w:p w14:paraId="63FEEA4C" w14:textId="77777777" w:rsidR="009E1D6F" w:rsidRPr="00497000" w:rsidRDefault="009E1D6F" w:rsidP="00497000">
      <w:pPr>
        <w:ind w:left="851"/>
        <w:rPr>
          <w:sz w:val="24"/>
          <w:szCs w:val="24"/>
          <w:lang w:val="en-US"/>
        </w:rPr>
      </w:pPr>
      <w:r w:rsidRPr="00497000">
        <w:rPr>
          <w:sz w:val="24"/>
          <w:szCs w:val="24"/>
          <w:lang w:val="en-US"/>
        </w:rPr>
        <w:t xml:space="preserve">No case of PRES was reported in the METEOR, CABOSUN, CA2099ER or CELESTIAL studies, but PRES has been reported in one patient in the DTC study (COSMIC-311) and rarely in other clinical trials (in 2/4872 subjects; 0.04%). </w:t>
      </w:r>
    </w:p>
    <w:p w14:paraId="456F5255" w14:textId="77777777" w:rsidR="009E1D6F" w:rsidRPr="00497000" w:rsidRDefault="009E1D6F" w:rsidP="00497000">
      <w:pPr>
        <w:ind w:left="851"/>
        <w:rPr>
          <w:sz w:val="24"/>
          <w:szCs w:val="24"/>
          <w:lang w:val="en-US"/>
        </w:rPr>
      </w:pPr>
    </w:p>
    <w:p w14:paraId="5AB64FDC" w14:textId="77777777" w:rsidR="009E1D6F" w:rsidRPr="00720E32" w:rsidRDefault="009E1D6F" w:rsidP="00497000">
      <w:pPr>
        <w:ind w:left="851"/>
        <w:rPr>
          <w:i/>
          <w:sz w:val="24"/>
          <w:szCs w:val="24"/>
          <w:u w:val="single"/>
          <w:lang w:val="en-US"/>
        </w:rPr>
      </w:pPr>
      <w:r w:rsidRPr="00720E32">
        <w:rPr>
          <w:i/>
          <w:sz w:val="24"/>
          <w:szCs w:val="24"/>
          <w:u w:val="single"/>
          <w:lang w:val="en-US"/>
        </w:rPr>
        <w:t xml:space="preserve">Elevated liver enzymes when cabozantinib is combined with nivolumab in RCC </w:t>
      </w:r>
    </w:p>
    <w:p w14:paraId="1F22819E" w14:textId="77777777" w:rsidR="009E1D6F" w:rsidRPr="00497000" w:rsidRDefault="009E1D6F" w:rsidP="00497000">
      <w:pPr>
        <w:ind w:left="851"/>
        <w:rPr>
          <w:sz w:val="24"/>
          <w:szCs w:val="24"/>
          <w:lang w:val="en-US"/>
        </w:rPr>
      </w:pPr>
      <w:r w:rsidRPr="00497000">
        <w:rPr>
          <w:sz w:val="24"/>
          <w:szCs w:val="24"/>
          <w:lang w:val="en-US"/>
        </w:rPr>
        <w:t xml:space="preserve">In a clinical study of previously untreated patients with RCC receiving cabozantinib in combination with nivolumab, a higher incidence of Grades 3 and 4 </w:t>
      </w:r>
      <w:proofErr w:type="gramStart"/>
      <w:r w:rsidRPr="00497000">
        <w:rPr>
          <w:sz w:val="24"/>
          <w:szCs w:val="24"/>
          <w:lang w:val="en-US"/>
        </w:rPr>
        <w:t>ALT</w:t>
      </w:r>
      <w:proofErr w:type="gramEnd"/>
      <w:r w:rsidRPr="00497000">
        <w:rPr>
          <w:sz w:val="24"/>
          <w:szCs w:val="24"/>
          <w:lang w:val="en-US"/>
        </w:rPr>
        <w:t xml:space="preserve"> increased (10.1%) and AST increased (8.2%) were observed relative to cabozantinib monotherapy in patients with advanced RCC (ALT increased of 3.6% and AST increased of 3.3% in METEOR study). The median time to onset of grade &gt; 2 increased ALT or AST was 10.1 weeks (range: 2 to 106.6 weeks; n=85). In patients with grade ≥ 2 increased ALT or AST, the </w:t>
      </w:r>
      <w:r w:rsidRPr="00497000">
        <w:rPr>
          <w:sz w:val="24"/>
          <w:szCs w:val="24"/>
          <w:lang w:val="en-US"/>
        </w:rPr>
        <w:lastRenderedPageBreak/>
        <w:t xml:space="preserve">elevations resolved to Grades 0-1in 91% with median time to resolution of 2.29 weeks (range: 0.4 to 108.1 weeks). </w:t>
      </w:r>
    </w:p>
    <w:p w14:paraId="09D343F2" w14:textId="77777777" w:rsidR="009E1D6F" w:rsidRPr="00497000" w:rsidRDefault="009E1D6F" w:rsidP="00497000">
      <w:pPr>
        <w:ind w:left="851"/>
        <w:rPr>
          <w:sz w:val="24"/>
          <w:szCs w:val="24"/>
          <w:lang w:val="en-US"/>
        </w:rPr>
      </w:pPr>
      <w:r w:rsidRPr="00497000">
        <w:rPr>
          <w:sz w:val="24"/>
          <w:szCs w:val="24"/>
          <w:lang w:val="en-US"/>
        </w:rPr>
        <w:t xml:space="preserve">Among the 45 patients with Grade ≥2 increased ALT or AST who were rechallenged with either cabozantinib (n=10) or nivolumab (n=10) administered as a single agent or with both (n=25), recurrence of Grade ≥2 increased ALT or AST was observed in 4 patients receiving cabozantinib, in 3 patients receiving nivolumab and 8 patients receiving both cabozantinib and nivolumab. </w:t>
      </w:r>
    </w:p>
    <w:p w14:paraId="08E26193" w14:textId="77777777" w:rsidR="009E1D6F" w:rsidRPr="00497000" w:rsidRDefault="009E1D6F" w:rsidP="00497000">
      <w:pPr>
        <w:ind w:left="851"/>
        <w:rPr>
          <w:sz w:val="24"/>
          <w:szCs w:val="24"/>
          <w:lang w:val="en-US"/>
        </w:rPr>
      </w:pPr>
    </w:p>
    <w:p w14:paraId="6FC602E4" w14:textId="77777777" w:rsidR="009E1D6F" w:rsidRPr="00720E32" w:rsidRDefault="009E1D6F" w:rsidP="00497000">
      <w:pPr>
        <w:ind w:left="851"/>
        <w:rPr>
          <w:i/>
          <w:sz w:val="24"/>
          <w:szCs w:val="24"/>
          <w:u w:val="single"/>
          <w:lang w:val="en-US"/>
        </w:rPr>
      </w:pPr>
      <w:r w:rsidRPr="00720E32">
        <w:rPr>
          <w:i/>
          <w:sz w:val="24"/>
          <w:szCs w:val="24"/>
          <w:u w:val="single"/>
          <w:lang w:val="en-US"/>
        </w:rPr>
        <w:t xml:space="preserve">Hypothyroidism </w:t>
      </w:r>
    </w:p>
    <w:p w14:paraId="1A69D167" w14:textId="77777777" w:rsidR="009E1D6F" w:rsidRPr="00497000" w:rsidRDefault="009E1D6F" w:rsidP="00497000">
      <w:pPr>
        <w:ind w:left="851"/>
        <w:rPr>
          <w:sz w:val="24"/>
          <w:szCs w:val="24"/>
          <w:lang w:val="en-US"/>
        </w:rPr>
      </w:pPr>
      <w:r w:rsidRPr="00497000">
        <w:rPr>
          <w:sz w:val="24"/>
          <w:szCs w:val="24"/>
          <w:lang w:val="en-US"/>
        </w:rPr>
        <w:t xml:space="preserve">In the study in RCC following prior VEGF-targeted therapy (METEOR), the incidence of hypothyroidism was 21% (68/331). </w:t>
      </w:r>
    </w:p>
    <w:p w14:paraId="68931789" w14:textId="77777777" w:rsidR="009E1D6F" w:rsidRPr="00497000" w:rsidRDefault="009E1D6F" w:rsidP="00497000">
      <w:pPr>
        <w:ind w:left="851"/>
        <w:rPr>
          <w:sz w:val="24"/>
          <w:szCs w:val="24"/>
          <w:lang w:val="en-US"/>
        </w:rPr>
      </w:pPr>
      <w:r w:rsidRPr="00497000">
        <w:rPr>
          <w:sz w:val="24"/>
          <w:szCs w:val="24"/>
          <w:lang w:val="en-US"/>
        </w:rPr>
        <w:t xml:space="preserve">In the treatment-naïve RCC study (CABOSUN), the incidence of hypothyroidism was 23% (18/78) in cabozantinib-treated RCC patients. </w:t>
      </w:r>
    </w:p>
    <w:p w14:paraId="6DFAC8AB" w14:textId="77777777" w:rsidR="009E1D6F" w:rsidRPr="00497000" w:rsidRDefault="009E1D6F" w:rsidP="00497000">
      <w:pPr>
        <w:ind w:left="851"/>
        <w:rPr>
          <w:sz w:val="24"/>
          <w:szCs w:val="24"/>
          <w:lang w:val="en-US"/>
        </w:rPr>
      </w:pPr>
      <w:r w:rsidRPr="00497000">
        <w:rPr>
          <w:sz w:val="24"/>
          <w:szCs w:val="24"/>
          <w:lang w:val="en-US"/>
        </w:rPr>
        <w:t xml:space="preserve">In the HCC study (CELESTIAL), the incidence of hypothyroidism was 8.1% (38/467) in cabozantinib-treated patients and Grade 3 events in 0.4% (2/467). </w:t>
      </w:r>
    </w:p>
    <w:p w14:paraId="48F14986" w14:textId="77777777" w:rsidR="009E1D6F" w:rsidRPr="00497000" w:rsidRDefault="009E1D6F" w:rsidP="00497000">
      <w:pPr>
        <w:ind w:left="851"/>
        <w:rPr>
          <w:sz w:val="24"/>
          <w:szCs w:val="24"/>
          <w:lang w:val="en-US"/>
        </w:rPr>
      </w:pPr>
      <w:r w:rsidRPr="00497000">
        <w:rPr>
          <w:sz w:val="24"/>
          <w:szCs w:val="24"/>
          <w:lang w:val="en-US"/>
        </w:rPr>
        <w:t xml:space="preserve">In the DTC study (COSMIC-311), the incidence of hypothyroidism was 2.4% (4/170), all grade 1-2, none requiring modification of treatment. </w:t>
      </w:r>
    </w:p>
    <w:p w14:paraId="6B9E67D4" w14:textId="77777777" w:rsidR="009E1D6F" w:rsidRPr="00497000" w:rsidRDefault="009E1D6F" w:rsidP="00497000">
      <w:pPr>
        <w:ind w:left="851"/>
        <w:rPr>
          <w:sz w:val="24"/>
          <w:szCs w:val="24"/>
          <w:lang w:val="en-US"/>
        </w:rPr>
      </w:pPr>
      <w:r w:rsidRPr="00497000">
        <w:rPr>
          <w:sz w:val="24"/>
          <w:szCs w:val="24"/>
          <w:lang w:val="en-US"/>
        </w:rPr>
        <w:t>In combination with nivolumab in advanced RCC in first-line treatment (CA2099ER) the incidence of hypothyroidism was 35.6% (114/320) of treated patients.</w:t>
      </w:r>
    </w:p>
    <w:p w14:paraId="032C7A03" w14:textId="77777777" w:rsidR="00720E32" w:rsidRDefault="00720E32" w:rsidP="00497000">
      <w:pPr>
        <w:ind w:left="851"/>
        <w:rPr>
          <w:i/>
          <w:iCs/>
          <w:sz w:val="24"/>
          <w:szCs w:val="24"/>
          <w:lang w:val="en-US"/>
        </w:rPr>
      </w:pPr>
    </w:p>
    <w:p w14:paraId="37021B2A" w14:textId="2079FEB0" w:rsidR="009E1D6F" w:rsidRPr="00720E32" w:rsidRDefault="009E1D6F" w:rsidP="00497000">
      <w:pPr>
        <w:ind w:left="851"/>
        <w:rPr>
          <w:sz w:val="24"/>
          <w:szCs w:val="24"/>
          <w:u w:val="single"/>
          <w:lang w:val="en-US"/>
        </w:rPr>
      </w:pPr>
      <w:r w:rsidRPr="00720E32">
        <w:rPr>
          <w:i/>
          <w:iCs/>
          <w:sz w:val="24"/>
          <w:szCs w:val="24"/>
          <w:u w:val="single"/>
          <w:lang w:val="en-US"/>
        </w:rPr>
        <w:t xml:space="preserve">Paediatric population (see section 5.1) </w:t>
      </w:r>
    </w:p>
    <w:p w14:paraId="66D8EA81" w14:textId="77777777" w:rsidR="009E1D6F" w:rsidRPr="00497000" w:rsidRDefault="009E1D6F" w:rsidP="00497000">
      <w:pPr>
        <w:ind w:left="851"/>
        <w:rPr>
          <w:sz w:val="24"/>
          <w:szCs w:val="24"/>
          <w:lang w:val="en-US"/>
        </w:rPr>
      </w:pPr>
      <w:r w:rsidRPr="00497000">
        <w:rPr>
          <w:sz w:val="24"/>
          <w:szCs w:val="24"/>
          <w:lang w:val="en-US"/>
        </w:rPr>
        <w:t xml:space="preserve">In study ADVL1211, a limited dose-escalation study of cabozantinib in paediatric and adolescent patients with recurrent or refractory solid tumors including CNS tumors, the following events: aspartate aminotransferase (AST) increased (very common, 76.9%), alanine aminotransferase (ALT) increased (very common, 71.8%), lymphocyte count decreased (very common, 48.7%), neutrophil count decreased (very common, 35.9%), and lipase increased (very common, 33.3%) were observed at a higher frequency in all subjects across all dose groups included in the safety population (N=39), compared to adults. The increased rates for these Preferred Terms (PTs) concern any grade as well as grade 3/4 of these ADRs. The adverse events reported are in line qualitatively with the recognised safety profile for cabozantinib in adult populations. However, the small numbers of subjects preclude a conclusive assessment of trends and frequencies and further comparison with the recognised safety profile of cabozantinib. </w:t>
      </w:r>
    </w:p>
    <w:p w14:paraId="2AA9454F" w14:textId="77777777" w:rsidR="009E1D6F" w:rsidRPr="00497000" w:rsidRDefault="009E1D6F" w:rsidP="00497000">
      <w:pPr>
        <w:ind w:left="851"/>
        <w:rPr>
          <w:sz w:val="24"/>
          <w:szCs w:val="24"/>
          <w:lang w:val="en-US"/>
        </w:rPr>
      </w:pPr>
    </w:p>
    <w:p w14:paraId="3AD4B780" w14:textId="77777777" w:rsidR="009E1D6F" w:rsidRPr="00497000" w:rsidRDefault="009E1D6F" w:rsidP="00497000">
      <w:pPr>
        <w:ind w:left="851"/>
        <w:rPr>
          <w:sz w:val="24"/>
          <w:szCs w:val="24"/>
          <w:lang w:val="en-US"/>
        </w:rPr>
      </w:pPr>
      <w:r w:rsidRPr="00497000">
        <w:rPr>
          <w:sz w:val="24"/>
          <w:szCs w:val="24"/>
          <w:lang w:val="en-US"/>
        </w:rPr>
        <w:t xml:space="preserve">In study ADVL1622 of cabozantinib in children and young adults with the following solid tumor strata: Ewing sarcoma, rhabdomyosarcoma, non-rhabdomyosarcoma soft tissue sarcomas (NRSTS), osteosarcoma, Wilms tumor and other rare solid tumors (nonstatistical cohort), the safety profile of cabozantinib treated children and young adults in all strata was comparable with that observed in adults treated with cabozantinib. </w:t>
      </w:r>
    </w:p>
    <w:p w14:paraId="0D906E23" w14:textId="77777777" w:rsidR="009E1D6F" w:rsidRPr="00497000" w:rsidRDefault="009E1D6F" w:rsidP="00497000">
      <w:pPr>
        <w:ind w:left="851"/>
        <w:rPr>
          <w:sz w:val="24"/>
          <w:szCs w:val="24"/>
          <w:lang w:val="en-US"/>
        </w:rPr>
      </w:pPr>
    </w:p>
    <w:p w14:paraId="78DDF6E0" w14:textId="77777777" w:rsidR="009E1D6F" w:rsidRPr="00497000" w:rsidRDefault="009E1D6F" w:rsidP="00497000">
      <w:pPr>
        <w:ind w:left="851"/>
        <w:rPr>
          <w:sz w:val="24"/>
          <w:szCs w:val="24"/>
          <w:lang w:val="en-US"/>
        </w:rPr>
      </w:pPr>
      <w:r w:rsidRPr="00497000">
        <w:rPr>
          <w:sz w:val="24"/>
          <w:szCs w:val="24"/>
          <w:lang w:val="en-US"/>
        </w:rPr>
        <w:t>Physeal widening has been observed in children with open growth plates when treated with cabozantinib.</w:t>
      </w:r>
    </w:p>
    <w:p w14:paraId="2FF41B11" w14:textId="77777777" w:rsidR="009E1D6F" w:rsidRPr="00497000" w:rsidRDefault="009E1D6F" w:rsidP="00497000">
      <w:pPr>
        <w:ind w:left="851"/>
        <w:rPr>
          <w:sz w:val="24"/>
          <w:szCs w:val="24"/>
          <w:lang w:val="en-US"/>
        </w:rPr>
      </w:pPr>
    </w:p>
    <w:p w14:paraId="7D0CF088" w14:textId="77777777" w:rsidR="00497000" w:rsidRPr="00497000" w:rsidRDefault="00497000" w:rsidP="00497000">
      <w:pPr>
        <w:ind w:left="851"/>
        <w:rPr>
          <w:sz w:val="24"/>
          <w:szCs w:val="24"/>
          <w:u w:val="single"/>
          <w:lang w:val="en-GB"/>
        </w:rPr>
      </w:pPr>
      <w:r w:rsidRPr="00497000">
        <w:rPr>
          <w:sz w:val="24"/>
          <w:szCs w:val="24"/>
          <w:u w:val="single"/>
          <w:lang w:val="en-GB"/>
        </w:rPr>
        <w:t>Reporting of suspected adverse reactions</w:t>
      </w:r>
    </w:p>
    <w:p w14:paraId="7474962D" w14:textId="77777777" w:rsidR="00497000" w:rsidRPr="00497000" w:rsidRDefault="00497000" w:rsidP="00497000">
      <w:pPr>
        <w:ind w:left="851"/>
        <w:rPr>
          <w:sz w:val="24"/>
          <w:szCs w:val="24"/>
          <w:lang w:val="en-GB"/>
        </w:rPr>
      </w:pPr>
      <w:r w:rsidRPr="0049700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7B23775" w14:textId="77777777" w:rsidR="00497000" w:rsidRPr="00497000" w:rsidRDefault="00497000" w:rsidP="00497000">
      <w:pPr>
        <w:ind w:left="851"/>
        <w:rPr>
          <w:sz w:val="24"/>
          <w:szCs w:val="24"/>
          <w:lang w:val="en-GB"/>
        </w:rPr>
      </w:pPr>
    </w:p>
    <w:p w14:paraId="4B0647C3" w14:textId="77777777" w:rsidR="00497000" w:rsidRPr="00497000" w:rsidRDefault="00497000" w:rsidP="00497000">
      <w:pPr>
        <w:ind w:left="851"/>
        <w:rPr>
          <w:sz w:val="24"/>
          <w:szCs w:val="24"/>
        </w:rPr>
      </w:pPr>
      <w:r w:rsidRPr="00497000">
        <w:rPr>
          <w:sz w:val="24"/>
          <w:szCs w:val="24"/>
        </w:rPr>
        <w:t>Lægemiddelstyrelsen</w:t>
      </w:r>
    </w:p>
    <w:p w14:paraId="4AFBEFE3" w14:textId="77777777" w:rsidR="00497000" w:rsidRPr="00497000" w:rsidRDefault="00497000" w:rsidP="00497000">
      <w:pPr>
        <w:ind w:left="851"/>
        <w:rPr>
          <w:sz w:val="24"/>
          <w:szCs w:val="24"/>
        </w:rPr>
      </w:pPr>
      <w:r w:rsidRPr="00497000">
        <w:rPr>
          <w:sz w:val="24"/>
          <w:szCs w:val="24"/>
        </w:rPr>
        <w:t>Axel Heides Gade 1</w:t>
      </w:r>
    </w:p>
    <w:p w14:paraId="3E2EAE75" w14:textId="77777777" w:rsidR="00497000" w:rsidRPr="00497000" w:rsidRDefault="00497000" w:rsidP="00497000">
      <w:pPr>
        <w:ind w:left="851"/>
        <w:rPr>
          <w:sz w:val="24"/>
          <w:szCs w:val="24"/>
        </w:rPr>
      </w:pPr>
      <w:r w:rsidRPr="00497000">
        <w:rPr>
          <w:sz w:val="24"/>
          <w:szCs w:val="24"/>
        </w:rPr>
        <w:t>DK-2300 København S</w:t>
      </w:r>
    </w:p>
    <w:p w14:paraId="1FE793ED" w14:textId="77777777" w:rsidR="00497000" w:rsidRPr="002922BC" w:rsidRDefault="00497000" w:rsidP="00497000">
      <w:pPr>
        <w:ind w:left="851"/>
        <w:rPr>
          <w:sz w:val="24"/>
          <w:szCs w:val="24"/>
          <w:lang w:val="en-US"/>
        </w:rPr>
      </w:pPr>
      <w:r w:rsidRPr="002922BC">
        <w:rPr>
          <w:sz w:val="24"/>
          <w:szCs w:val="24"/>
          <w:lang w:val="en-US"/>
        </w:rPr>
        <w:lastRenderedPageBreak/>
        <w:t>Website: www.meldenbivirkning.dk</w:t>
      </w:r>
    </w:p>
    <w:p w14:paraId="1145979D" w14:textId="77777777" w:rsidR="007C5D2A" w:rsidRPr="00497000" w:rsidRDefault="007C5D2A" w:rsidP="007A4CC6">
      <w:pPr>
        <w:tabs>
          <w:tab w:val="left" w:pos="851"/>
        </w:tabs>
        <w:ind w:left="851"/>
        <w:rPr>
          <w:sz w:val="24"/>
          <w:szCs w:val="24"/>
          <w:lang w:val="en-GB"/>
        </w:rPr>
      </w:pPr>
    </w:p>
    <w:p w14:paraId="35D61836" w14:textId="77777777" w:rsidR="007C5D2A" w:rsidRPr="00497000" w:rsidRDefault="007C5D2A" w:rsidP="007C5D2A">
      <w:pPr>
        <w:tabs>
          <w:tab w:val="left" w:pos="851"/>
        </w:tabs>
        <w:ind w:left="851" w:hanging="851"/>
        <w:rPr>
          <w:b/>
          <w:sz w:val="24"/>
          <w:szCs w:val="24"/>
          <w:lang w:val="en-GB"/>
        </w:rPr>
      </w:pPr>
      <w:r w:rsidRPr="00497000">
        <w:rPr>
          <w:b/>
          <w:sz w:val="24"/>
          <w:szCs w:val="24"/>
          <w:lang w:val="en-GB"/>
        </w:rPr>
        <w:t>4.9</w:t>
      </w:r>
      <w:r w:rsidRPr="00497000">
        <w:rPr>
          <w:b/>
          <w:sz w:val="24"/>
          <w:szCs w:val="24"/>
          <w:lang w:val="en-GB"/>
        </w:rPr>
        <w:tab/>
        <w:t>Overdose</w:t>
      </w:r>
    </w:p>
    <w:p w14:paraId="5996745E" w14:textId="77777777" w:rsidR="009E1D6F" w:rsidRPr="00497000" w:rsidRDefault="009E1D6F" w:rsidP="00497000">
      <w:pPr>
        <w:ind w:left="851"/>
        <w:rPr>
          <w:sz w:val="24"/>
          <w:szCs w:val="24"/>
          <w:lang w:val="en-US"/>
        </w:rPr>
      </w:pPr>
      <w:r w:rsidRPr="00497000">
        <w:rPr>
          <w:sz w:val="24"/>
          <w:szCs w:val="24"/>
          <w:lang w:val="en-US"/>
        </w:rPr>
        <w:t xml:space="preserve">There is no specific treatment for cabozantinib overdose and possible symptoms of overdose have not been established. </w:t>
      </w:r>
    </w:p>
    <w:p w14:paraId="7BFB1914" w14:textId="77777777" w:rsidR="009E1D6F" w:rsidRPr="00497000" w:rsidRDefault="009E1D6F" w:rsidP="00497000">
      <w:pPr>
        <w:ind w:left="851"/>
        <w:rPr>
          <w:sz w:val="24"/>
          <w:szCs w:val="24"/>
          <w:lang w:val="en-US"/>
        </w:rPr>
      </w:pPr>
    </w:p>
    <w:p w14:paraId="6AFE19C9" w14:textId="77777777" w:rsidR="009E1D6F" w:rsidRPr="00497000" w:rsidRDefault="009E1D6F" w:rsidP="00497000">
      <w:pPr>
        <w:ind w:left="851"/>
        <w:rPr>
          <w:sz w:val="24"/>
          <w:szCs w:val="24"/>
          <w:lang w:val="en-US"/>
        </w:rPr>
      </w:pPr>
      <w:r w:rsidRPr="00497000">
        <w:rPr>
          <w:sz w:val="24"/>
          <w:szCs w:val="24"/>
          <w:lang w:val="en-US"/>
        </w:rPr>
        <w:t>In the event of suspected overdose, cabozantinib should be withheld and supportive care instituted. Metabolic clinical laboratory parameters should be monitored at least weekly or as deemed clinically appropriate to assess any possible changing trends. Adverse reactions associated with overdose are to be treated symptomatically.</w:t>
      </w:r>
    </w:p>
    <w:p w14:paraId="46710BCB" w14:textId="77777777" w:rsidR="007C5D2A" w:rsidRPr="00497000" w:rsidRDefault="007C5D2A" w:rsidP="003E0341">
      <w:pPr>
        <w:tabs>
          <w:tab w:val="left" w:pos="851"/>
        </w:tabs>
        <w:ind w:left="851"/>
        <w:rPr>
          <w:sz w:val="24"/>
          <w:szCs w:val="24"/>
          <w:lang w:val="en-GB"/>
        </w:rPr>
      </w:pPr>
    </w:p>
    <w:p w14:paraId="79DE4688" w14:textId="77777777" w:rsidR="008F2F8C" w:rsidRPr="002922BC" w:rsidRDefault="0042292D" w:rsidP="0042292D">
      <w:pPr>
        <w:tabs>
          <w:tab w:val="left" w:pos="851"/>
        </w:tabs>
        <w:rPr>
          <w:b/>
          <w:sz w:val="24"/>
          <w:szCs w:val="24"/>
          <w:lang w:val="en-US"/>
        </w:rPr>
      </w:pPr>
      <w:r w:rsidRPr="002922BC">
        <w:rPr>
          <w:b/>
          <w:sz w:val="24"/>
          <w:szCs w:val="24"/>
          <w:lang w:val="en-US"/>
        </w:rPr>
        <w:t>4.10</w:t>
      </w:r>
      <w:r w:rsidRPr="002922BC">
        <w:rPr>
          <w:b/>
          <w:sz w:val="24"/>
          <w:szCs w:val="24"/>
          <w:lang w:val="en-US"/>
        </w:rPr>
        <w:tab/>
        <w:t>Legal status</w:t>
      </w:r>
    </w:p>
    <w:p w14:paraId="5F44BCCD" w14:textId="1FE1F709" w:rsidR="00AD2E36" w:rsidRPr="002922BC" w:rsidRDefault="008E3C43" w:rsidP="00AD2E36">
      <w:pPr>
        <w:tabs>
          <w:tab w:val="left" w:pos="851"/>
        </w:tabs>
        <w:ind w:left="851"/>
        <w:rPr>
          <w:sz w:val="24"/>
          <w:szCs w:val="24"/>
          <w:lang w:val="en-US"/>
        </w:rPr>
      </w:pPr>
      <w:r w:rsidRPr="002922BC">
        <w:rPr>
          <w:sz w:val="24"/>
          <w:szCs w:val="24"/>
          <w:lang w:val="en-US"/>
        </w:rPr>
        <w:t>BEGR (only for hospitals)</w:t>
      </w:r>
    </w:p>
    <w:p w14:paraId="6B0BE5CD" w14:textId="77777777" w:rsidR="007C5D2A" w:rsidRPr="002922BC" w:rsidRDefault="007C5D2A" w:rsidP="003E0341">
      <w:pPr>
        <w:tabs>
          <w:tab w:val="left" w:pos="851"/>
        </w:tabs>
        <w:ind w:left="851"/>
        <w:rPr>
          <w:sz w:val="24"/>
          <w:szCs w:val="24"/>
          <w:lang w:val="en-US"/>
        </w:rPr>
      </w:pPr>
    </w:p>
    <w:p w14:paraId="427BE7CD" w14:textId="77777777" w:rsidR="00AD2E36" w:rsidRPr="002922BC" w:rsidRDefault="00AD2E36" w:rsidP="003E0341">
      <w:pPr>
        <w:tabs>
          <w:tab w:val="left" w:pos="851"/>
        </w:tabs>
        <w:ind w:left="851"/>
        <w:rPr>
          <w:sz w:val="24"/>
          <w:szCs w:val="24"/>
          <w:lang w:val="en-US"/>
        </w:rPr>
      </w:pPr>
    </w:p>
    <w:p w14:paraId="267886E8" w14:textId="77777777" w:rsidR="007C5D2A" w:rsidRPr="00497000" w:rsidRDefault="007C5D2A" w:rsidP="007C5D2A">
      <w:pPr>
        <w:tabs>
          <w:tab w:val="left" w:pos="851"/>
        </w:tabs>
        <w:rPr>
          <w:b/>
          <w:sz w:val="24"/>
          <w:szCs w:val="24"/>
          <w:lang w:val="en-GB"/>
        </w:rPr>
      </w:pPr>
      <w:r w:rsidRPr="00497000">
        <w:rPr>
          <w:b/>
          <w:sz w:val="24"/>
          <w:szCs w:val="24"/>
          <w:lang w:val="en-GB"/>
        </w:rPr>
        <w:t>5.</w:t>
      </w:r>
      <w:r w:rsidRPr="00497000">
        <w:rPr>
          <w:b/>
          <w:sz w:val="24"/>
          <w:szCs w:val="24"/>
          <w:lang w:val="en-GB"/>
        </w:rPr>
        <w:tab/>
        <w:t>PHARMACOLOGICAL PROPERTIES</w:t>
      </w:r>
    </w:p>
    <w:p w14:paraId="78DC272D" w14:textId="77777777" w:rsidR="007C5D2A" w:rsidRPr="00497000" w:rsidRDefault="007C5D2A" w:rsidP="003E0341">
      <w:pPr>
        <w:tabs>
          <w:tab w:val="left" w:pos="851"/>
        </w:tabs>
        <w:ind w:left="851"/>
        <w:rPr>
          <w:sz w:val="24"/>
          <w:szCs w:val="24"/>
          <w:lang w:val="en-GB"/>
        </w:rPr>
      </w:pPr>
    </w:p>
    <w:p w14:paraId="30D7F2B1" w14:textId="77777777" w:rsidR="007C5D2A" w:rsidRPr="00497000" w:rsidRDefault="007C5D2A" w:rsidP="007C5D2A">
      <w:pPr>
        <w:tabs>
          <w:tab w:val="left" w:pos="851"/>
        </w:tabs>
        <w:ind w:left="851" w:hanging="851"/>
        <w:rPr>
          <w:b/>
          <w:sz w:val="24"/>
          <w:szCs w:val="24"/>
          <w:lang w:val="en-GB"/>
        </w:rPr>
      </w:pPr>
      <w:r w:rsidRPr="00497000">
        <w:rPr>
          <w:b/>
          <w:sz w:val="24"/>
          <w:szCs w:val="24"/>
          <w:lang w:val="en-GB"/>
        </w:rPr>
        <w:t>5.1</w:t>
      </w:r>
      <w:r w:rsidRPr="00497000">
        <w:rPr>
          <w:b/>
          <w:sz w:val="24"/>
          <w:szCs w:val="24"/>
          <w:lang w:val="en-GB"/>
        </w:rPr>
        <w:tab/>
        <w:t>Pharmacodynamic properties</w:t>
      </w:r>
      <w:r w:rsidRPr="00497000">
        <w:rPr>
          <w:b/>
          <w:sz w:val="24"/>
          <w:szCs w:val="24"/>
          <w:lang w:val="en-GB"/>
        </w:rPr>
        <w:tab/>
      </w:r>
    </w:p>
    <w:p w14:paraId="7DBF0A14" w14:textId="77777777" w:rsidR="00790817" w:rsidRPr="00497000" w:rsidRDefault="00790817" w:rsidP="00497000">
      <w:pPr>
        <w:ind w:left="851"/>
        <w:rPr>
          <w:sz w:val="24"/>
          <w:szCs w:val="24"/>
          <w:lang w:val="en-US"/>
        </w:rPr>
      </w:pPr>
      <w:r w:rsidRPr="00497000">
        <w:rPr>
          <w:sz w:val="24"/>
          <w:szCs w:val="24"/>
          <w:lang w:val="en-US"/>
        </w:rPr>
        <w:t>Pharmacotherapeutic group: antineoplastic agent, protein kinase inhibitor, ATC code: L01EX07.</w:t>
      </w:r>
    </w:p>
    <w:p w14:paraId="24F29CD3" w14:textId="77777777" w:rsidR="00790817" w:rsidRPr="00497000" w:rsidRDefault="00790817" w:rsidP="00497000">
      <w:pPr>
        <w:ind w:left="851"/>
        <w:rPr>
          <w:sz w:val="24"/>
          <w:szCs w:val="24"/>
          <w:lang w:val="en-US"/>
        </w:rPr>
      </w:pPr>
    </w:p>
    <w:p w14:paraId="0A77125D" w14:textId="77777777" w:rsidR="00790817" w:rsidRPr="00497000" w:rsidRDefault="00790817" w:rsidP="00497000">
      <w:pPr>
        <w:ind w:left="851"/>
        <w:rPr>
          <w:sz w:val="24"/>
          <w:szCs w:val="24"/>
          <w:u w:val="single"/>
          <w:lang w:val="en-US"/>
        </w:rPr>
      </w:pPr>
      <w:r w:rsidRPr="00497000">
        <w:rPr>
          <w:sz w:val="24"/>
          <w:szCs w:val="24"/>
          <w:u w:val="single"/>
          <w:lang w:val="en-US"/>
        </w:rPr>
        <w:t xml:space="preserve">Mechanism of action </w:t>
      </w:r>
    </w:p>
    <w:p w14:paraId="150826BF" w14:textId="77777777" w:rsidR="00790817" w:rsidRPr="00497000" w:rsidRDefault="00790817" w:rsidP="00497000">
      <w:pPr>
        <w:ind w:left="851"/>
        <w:rPr>
          <w:sz w:val="24"/>
          <w:szCs w:val="24"/>
          <w:lang w:val="en-US"/>
        </w:rPr>
      </w:pPr>
      <w:r w:rsidRPr="00497000">
        <w:rPr>
          <w:sz w:val="24"/>
          <w:szCs w:val="24"/>
          <w:lang w:val="en-US"/>
        </w:rPr>
        <w:t xml:space="preserve">Cabozantinib is a small molecule that inhibits multiple receptor tyrosine kinases (RTKs) implicated in tumour growth and angiogenesis, pathologic bone remodelling, drug resistance, and metastatic progression of cancer. Cabozantinib was evaluated for its inhibitory activity against a variety of kinases and was identified as an inhibitor of MET (hepatocyte growth factor receptor protein) and VEGF (vascular endothelial growth factor) receptors. In addition, cabozantinib inhibits other tyrosine kinases including the GAS6 receptor (AXL), RET, ROS1, TYRO3, MER, the stem cell factor receptor (KIT), TRKB, Fms-like tyrosine kinase-3 (FLT3), and TIE-2. </w:t>
      </w:r>
    </w:p>
    <w:p w14:paraId="74C32043" w14:textId="77777777" w:rsidR="00790817" w:rsidRPr="00497000" w:rsidRDefault="00790817" w:rsidP="00497000">
      <w:pPr>
        <w:ind w:left="851"/>
        <w:rPr>
          <w:sz w:val="24"/>
          <w:szCs w:val="24"/>
          <w:lang w:val="en-US"/>
        </w:rPr>
      </w:pPr>
    </w:p>
    <w:p w14:paraId="7CB990FD" w14:textId="77777777" w:rsidR="00790817" w:rsidRPr="00497000" w:rsidRDefault="00790817" w:rsidP="00497000">
      <w:pPr>
        <w:ind w:left="851"/>
        <w:rPr>
          <w:sz w:val="24"/>
          <w:szCs w:val="24"/>
          <w:u w:val="single"/>
          <w:lang w:val="en-US"/>
        </w:rPr>
      </w:pPr>
      <w:r w:rsidRPr="00497000">
        <w:rPr>
          <w:sz w:val="24"/>
          <w:szCs w:val="24"/>
          <w:u w:val="single"/>
          <w:lang w:val="en-US"/>
        </w:rPr>
        <w:t>Pharmacodynamic effects</w:t>
      </w:r>
    </w:p>
    <w:p w14:paraId="75FC346A" w14:textId="77777777" w:rsidR="00790817" w:rsidRPr="00497000" w:rsidRDefault="00790817" w:rsidP="00497000">
      <w:pPr>
        <w:ind w:left="851"/>
        <w:rPr>
          <w:sz w:val="24"/>
          <w:szCs w:val="24"/>
          <w:lang w:val="en-US"/>
        </w:rPr>
      </w:pPr>
      <w:r w:rsidRPr="00497000">
        <w:rPr>
          <w:sz w:val="24"/>
          <w:szCs w:val="24"/>
          <w:lang w:val="en-US"/>
        </w:rPr>
        <w:t xml:space="preserve">Cabozantinib exhibited dose-related tumour growth inhibition, tumour regression, and/or inhibited metastasis in a broad range of preclinical tumour models. </w:t>
      </w:r>
    </w:p>
    <w:p w14:paraId="6773C61C" w14:textId="77777777" w:rsidR="00790817" w:rsidRPr="00497000" w:rsidRDefault="00790817" w:rsidP="00497000">
      <w:pPr>
        <w:ind w:left="851"/>
        <w:rPr>
          <w:sz w:val="24"/>
          <w:szCs w:val="24"/>
          <w:lang w:val="en-US"/>
        </w:rPr>
      </w:pPr>
    </w:p>
    <w:p w14:paraId="5F8406E6" w14:textId="77777777" w:rsidR="00790817" w:rsidRPr="00497000" w:rsidRDefault="00790817" w:rsidP="00497000">
      <w:pPr>
        <w:ind w:left="851"/>
        <w:rPr>
          <w:sz w:val="24"/>
          <w:szCs w:val="24"/>
          <w:u w:val="single"/>
          <w:lang w:val="en-US"/>
        </w:rPr>
      </w:pPr>
      <w:r w:rsidRPr="00497000">
        <w:rPr>
          <w:sz w:val="24"/>
          <w:szCs w:val="24"/>
          <w:u w:val="single"/>
          <w:lang w:val="en-US"/>
        </w:rPr>
        <w:t>Cardiac electrophysiology</w:t>
      </w:r>
    </w:p>
    <w:p w14:paraId="67098084" w14:textId="62624B2B" w:rsidR="00790817" w:rsidRPr="00497000" w:rsidRDefault="00790817" w:rsidP="00497000">
      <w:pPr>
        <w:ind w:left="851"/>
        <w:rPr>
          <w:sz w:val="24"/>
          <w:szCs w:val="24"/>
          <w:lang w:val="en-US"/>
        </w:rPr>
      </w:pPr>
      <w:r w:rsidRPr="00497000">
        <w:rPr>
          <w:sz w:val="24"/>
          <w:szCs w:val="24"/>
          <w:lang w:val="en-US"/>
        </w:rPr>
        <w:t>An increase from baseline in corrected QT interval by Fridericia (QTcF) of 10 – 15 ms on Day 29 (but not on day 1) following initiation of cabozantinib treatment (at a dose of 140</w:t>
      </w:r>
      <w:r w:rsidR="00831A6B">
        <w:rPr>
          <w:sz w:val="24"/>
          <w:szCs w:val="24"/>
          <w:lang w:val="en-US"/>
        </w:rPr>
        <w:t> </w:t>
      </w:r>
      <w:r w:rsidRPr="00497000">
        <w:rPr>
          <w:sz w:val="24"/>
          <w:szCs w:val="24"/>
          <w:lang w:val="en-US"/>
        </w:rPr>
        <w:t>mg once daily) was observed in a controlled clinical trial in medullary thyroid cancer patients. This effect was not associated with a change in cardiac wave form morphology or new rhythms. No cabozantinib-treated subjects in this study had a confirmed QTcF &gt;500</w:t>
      </w:r>
      <w:r w:rsidR="00831A6B">
        <w:rPr>
          <w:sz w:val="24"/>
          <w:szCs w:val="24"/>
          <w:lang w:val="en-US"/>
        </w:rPr>
        <w:t> </w:t>
      </w:r>
      <w:r w:rsidRPr="00497000">
        <w:rPr>
          <w:sz w:val="24"/>
          <w:szCs w:val="24"/>
          <w:lang w:val="en-US"/>
        </w:rPr>
        <w:t>ms, nor did any cabozantinib-treated subjects in the RCC or HCC studies (at a dose of 60</w:t>
      </w:r>
      <w:r w:rsidR="00831A6B">
        <w:rPr>
          <w:sz w:val="24"/>
          <w:szCs w:val="24"/>
          <w:lang w:val="en-US"/>
        </w:rPr>
        <w:t> </w:t>
      </w:r>
      <w:r w:rsidRPr="00497000">
        <w:rPr>
          <w:sz w:val="24"/>
          <w:szCs w:val="24"/>
          <w:lang w:val="en-US"/>
        </w:rPr>
        <w:t xml:space="preserve">mg). </w:t>
      </w:r>
    </w:p>
    <w:p w14:paraId="7294356C" w14:textId="77777777" w:rsidR="00790817" w:rsidRPr="00497000" w:rsidRDefault="00790817" w:rsidP="00497000">
      <w:pPr>
        <w:ind w:left="851"/>
        <w:rPr>
          <w:sz w:val="24"/>
          <w:szCs w:val="24"/>
          <w:u w:val="single"/>
          <w:lang w:val="en-US"/>
        </w:rPr>
      </w:pPr>
    </w:p>
    <w:p w14:paraId="3AD25889" w14:textId="77777777" w:rsidR="00790817" w:rsidRPr="00497000" w:rsidRDefault="00790817" w:rsidP="00497000">
      <w:pPr>
        <w:ind w:left="851"/>
        <w:rPr>
          <w:sz w:val="24"/>
          <w:szCs w:val="24"/>
          <w:u w:val="single"/>
          <w:lang w:val="en-US"/>
        </w:rPr>
      </w:pPr>
      <w:r w:rsidRPr="00497000">
        <w:rPr>
          <w:sz w:val="24"/>
          <w:szCs w:val="24"/>
          <w:u w:val="single"/>
          <w:lang w:val="en-US"/>
        </w:rPr>
        <w:t xml:space="preserve">Clinical efficacy and safety </w:t>
      </w:r>
    </w:p>
    <w:p w14:paraId="329B539E" w14:textId="77777777" w:rsidR="00790817" w:rsidRPr="00497000" w:rsidRDefault="00790817" w:rsidP="00497000">
      <w:pPr>
        <w:ind w:left="851"/>
        <w:rPr>
          <w:sz w:val="24"/>
          <w:szCs w:val="24"/>
          <w:lang w:val="en-US"/>
        </w:rPr>
      </w:pPr>
    </w:p>
    <w:p w14:paraId="0BE391B1" w14:textId="77777777" w:rsidR="00790817" w:rsidRPr="00497000" w:rsidRDefault="00790817" w:rsidP="00497000">
      <w:pPr>
        <w:ind w:left="851"/>
        <w:rPr>
          <w:i/>
          <w:sz w:val="24"/>
          <w:szCs w:val="24"/>
          <w:lang w:val="en-US"/>
        </w:rPr>
      </w:pPr>
      <w:r w:rsidRPr="00497000">
        <w:rPr>
          <w:i/>
          <w:sz w:val="24"/>
          <w:szCs w:val="24"/>
          <w:lang w:val="en-US"/>
        </w:rPr>
        <w:t xml:space="preserve">Renal cell carcinoma </w:t>
      </w:r>
    </w:p>
    <w:p w14:paraId="3458FD1B" w14:textId="77777777" w:rsidR="00790817" w:rsidRPr="00497000" w:rsidRDefault="00790817" w:rsidP="00497000">
      <w:pPr>
        <w:ind w:left="851"/>
        <w:rPr>
          <w:sz w:val="24"/>
          <w:szCs w:val="24"/>
          <w:lang w:val="en-US"/>
        </w:rPr>
      </w:pPr>
      <w:r w:rsidRPr="00497000">
        <w:rPr>
          <w:i/>
          <w:sz w:val="24"/>
          <w:szCs w:val="24"/>
          <w:u w:val="single"/>
          <w:lang w:val="en-US"/>
        </w:rPr>
        <w:t>Randomized study in RCC patients who have received prior vascular endothelial growth factor (VEGF)-targeted therapy (METEOR</w:t>
      </w:r>
      <w:r w:rsidRPr="00497000">
        <w:rPr>
          <w:i/>
          <w:sz w:val="24"/>
          <w:szCs w:val="24"/>
          <w:lang w:val="en-US"/>
        </w:rPr>
        <w:t>)</w:t>
      </w:r>
      <w:r w:rsidRPr="00497000">
        <w:rPr>
          <w:sz w:val="24"/>
          <w:szCs w:val="24"/>
          <w:lang w:val="en-US"/>
        </w:rPr>
        <w:t xml:space="preserve"> </w:t>
      </w:r>
    </w:p>
    <w:p w14:paraId="54F2CB6D" w14:textId="77777777" w:rsidR="00790817" w:rsidRPr="00497000" w:rsidRDefault="00790817" w:rsidP="00497000">
      <w:pPr>
        <w:ind w:left="851"/>
        <w:rPr>
          <w:sz w:val="24"/>
          <w:szCs w:val="24"/>
          <w:lang w:val="en-US"/>
        </w:rPr>
      </w:pPr>
      <w:r w:rsidRPr="00497000">
        <w:rPr>
          <w:sz w:val="24"/>
          <w:szCs w:val="24"/>
          <w:lang w:val="en-US"/>
        </w:rPr>
        <w:t xml:space="preserve">The safety and efficacy of cabozantinib for the treatment of renal cell carcinoma following prior vascular endothelial growth factor (VEGF)-targeted therapy were evaluated in a </w:t>
      </w:r>
      <w:r w:rsidRPr="00497000">
        <w:rPr>
          <w:sz w:val="24"/>
          <w:szCs w:val="24"/>
          <w:lang w:val="en-US"/>
        </w:rPr>
        <w:lastRenderedPageBreak/>
        <w:t xml:space="preserve">randomized, open-label, multicenter phase 3 study (METEOR). Patients (N=658) with advanced RCC with a clear cell component who had previously received at least 1 prior VEGF receptor tyrosine kinase inhibitor (VEGFR TKI) were randomized (1:1) to receive cabozantinib (N=330) or everolimus (N=328). Patients could have received other prior therapies, including cytokines, and antibodies targeting VEGF, the programmed death 1 (PD-1) receptor, or its ligands. Patients with treated brain metastases were allowed. Progression-free survival (PFS) was assessed by a blinded independent radiology review committee, and the primary analysis was conducted among the first 375 subjects randomized. Secondary efficacy endpoints were objective response rate (ORR) and overall survival (OS). Tumour assessments were conducted every 8 weeks for the first 12 months, then every 12 weeks thereafter. </w:t>
      </w:r>
    </w:p>
    <w:p w14:paraId="0172ED8B" w14:textId="77777777" w:rsidR="00790817" w:rsidRPr="00497000" w:rsidRDefault="00790817" w:rsidP="00497000">
      <w:pPr>
        <w:ind w:left="851"/>
        <w:rPr>
          <w:sz w:val="24"/>
          <w:szCs w:val="24"/>
          <w:lang w:val="en-US"/>
        </w:rPr>
      </w:pPr>
    </w:p>
    <w:p w14:paraId="310F91EA" w14:textId="77777777" w:rsidR="00790817" w:rsidRPr="00497000" w:rsidRDefault="00790817" w:rsidP="00497000">
      <w:pPr>
        <w:ind w:left="851"/>
        <w:rPr>
          <w:sz w:val="24"/>
          <w:szCs w:val="24"/>
          <w:lang w:val="en-US"/>
        </w:rPr>
      </w:pPr>
      <w:r w:rsidRPr="00497000">
        <w:rPr>
          <w:sz w:val="24"/>
          <w:szCs w:val="24"/>
          <w:lang w:val="en-US"/>
        </w:rPr>
        <w:t xml:space="preserve">The baseline demographic and disease characteristics were similar between the cabozantinib and everolimus arms. The majority of the patients were male (75%), with a median age of 62 years. Seventy-one percent (71%) received only one prior VEGFR TKI; 41% of patients received sunitinib as their only prior VEGFR TKI. According to the Memorial Sloan Kettering Cancer Center criteria for prognostic risk category, 46% were favourable (0 risk factors), 42% were intermediate (1 risk factor), and 13% were poor (2 or 3 risk factors). Fifty-four percent (54%) of patients had 3 or more organs with metastatic disease, including lung (63%), lymph nodes (62%), liver (29%), and bone (22%). The median duration of treatment was 7.6 months (range 0.3 – 20.5) for patients receiving cabozantinib and 4.4 months (range 0.21 – 18.9) for patients receiving everolimus. </w:t>
      </w:r>
    </w:p>
    <w:p w14:paraId="3D5D7C20" w14:textId="77777777" w:rsidR="00790817" w:rsidRPr="00497000" w:rsidRDefault="00790817" w:rsidP="00497000">
      <w:pPr>
        <w:ind w:left="851"/>
        <w:rPr>
          <w:sz w:val="24"/>
          <w:szCs w:val="24"/>
          <w:lang w:val="en-US"/>
        </w:rPr>
      </w:pPr>
    </w:p>
    <w:p w14:paraId="466FACDB" w14:textId="77777777" w:rsidR="00790817" w:rsidRPr="00497000" w:rsidRDefault="00790817" w:rsidP="00497000">
      <w:pPr>
        <w:ind w:left="851"/>
        <w:rPr>
          <w:sz w:val="24"/>
          <w:szCs w:val="24"/>
          <w:lang w:val="en-US"/>
        </w:rPr>
      </w:pPr>
      <w:r w:rsidRPr="00497000">
        <w:rPr>
          <w:sz w:val="24"/>
          <w:szCs w:val="24"/>
          <w:lang w:val="en-US"/>
        </w:rPr>
        <w:t xml:space="preserve">A statistically significant improvement in PFS was demonstrated for cabozantinib compared to everolimus (Figure 1 and Table 4). A planned interim analysis of OS was conducted at the time of the PFS analysis and did not reach the interim boundary for statistical significance (202 events, HR=0.68 [0.51, 0.90], p=0.006). In a subsequent unplanned interim analysis of OS, a statistically significant improvement was demonstrated for patients randomized to cabozantinib as compared with everolimus (320 events, median of 21.4 months vs. 16.5 months; HR=0.66 [0.53, 0.83], p=0.0003; Figure 2). Comparable results for OS were observed with a follow-up analysis (descriptive) at 430 events. </w:t>
      </w:r>
    </w:p>
    <w:p w14:paraId="45472BD2" w14:textId="77777777" w:rsidR="00790817" w:rsidRPr="00497000" w:rsidRDefault="00790817" w:rsidP="00497000">
      <w:pPr>
        <w:ind w:left="851"/>
        <w:rPr>
          <w:sz w:val="24"/>
          <w:szCs w:val="24"/>
          <w:lang w:val="en-US"/>
        </w:rPr>
      </w:pPr>
    </w:p>
    <w:p w14:paraId="5668DE18" w14:textId="77777777" w:rsidR="00790817" w:rsidRPr="00497000" w:rsidRDefault="00790817" w:rsidP="00497000">
      <w:pPr>
        <w:ind w:left="851"/>
        <w:rPr>
          <w:sz w:val="24"/>
          <w:szCs w:val="24"/>
          <w:lang w:val="en-US"/>
        </w:rPr>
      </w:pPr>
      <w:r w:rsidRPr="00497000">
        <w:rPr>
          <w:sz w:val="24"/>
          <w:szCs w:val="24"/>
          <w:lang w:val="en-US"/>
        </w:rPr>
        <w:t xml:space="preserve">Exploratory analyses of PFS and OS in the ITT population have also shown consistent results in favour of cabozantinib compared to everolimus across different subgroups according to age (&lt;65 vs. ≥65, sex, MSKCC risk group (favourable, intermediate, poor), ECOG status (0 vs. 1), time from diagnosis to randomisation (&lt;1 year vs. ≥1 year), tumour MET status (high vs. low vs. unknown), bone metastases (absence vs. presence), visceral metastases (absence vs. presence), visceral and bone metastases (absence vs. presence), number of prior VEGFR-TKIs (1 vs. ≥2), duration of first VEGFR-TKI (≤6 months vs. &gt;6 months). </w:t>
      </w:r>
    </w:p>
    <w:p w14:paraId="101D3183" w14:textId="77777777" w:rsidR="00790817" w:rsidRPr="00497000" w:rsidRDefault="00790817" w:rsidP="00497000">
      <w:pPr>
        <w:ind w:left="851"/>
        <w:rPr>
          <w:sz w:val="24"/>
          <w:szCs w:val="24"/>
          <w:u w:val="single"/>
          <w:lang w:val="en-US"/>
        </w:rPr>
      </w:pPr>
    </w:p>
    <w:p w14:paraId="4B012C8E" w14:textId="77777777" w:rsidR="00790817" w:rsidRPr="00497000" w:rsidRDefault="00790817" w:rsidP="00497000">
      <w:pPr>
        <w:ind w:left="851"/>
        <w:rPr>
          <w:sz w:val="24"/>
          <w:szCs w:val="24"/>
          <w:lang w:val="en-US"/>
        </w:rPr>
      </w:pPr>
      <w:r w:rsidRPr="00497000">
        <w:rPr>
          <w:sz w:val="24"/>
          <w:szCs w:val="24"/>
          <w:lang w:val="en-US"/>
        </w:rPr>
        <w:t>Objective response rate findings are summarized in Table 5.</w:t>
      </w:r>
    </w:p>
    <w:p w14:paraId="78CB4187" w14:textId="77777777" w:rsidR="00790817" w:rsidRPr="008E3C43" w:rsidRDefault="00790817" w:rsidP="00790817">
      <w:pPr>
        <w:outlineLvl w:val="0"/>
        <w:rPr>
          <w:sz w:val="24"/>
          <w:szCs w:val="24"/>
          <w:lang w:val="en-US"/>
        </w:rPr>
      </w:pPr>
    </w:p>
    <w:p w14:paraId="289DC909" w14:textId="77777777" w:rsidR="00790817" w:rsidRPr="00497000" w:rsidRDefault="00790817" w:rsidP="008E3C43">
      <w:pPr>
        <w:keepNext/>
        <w:outlineLvl w:val="0"/>
        <w:rPr>
          <w:b/>
          <w:sz w:val="24"/>
          <w:szCs w:val="24"/>
          <w:lang w:val="en-US"/>
        </w:rPr>
      </w:pPr>
      <w:r w:rsidRPr="00497000">
        <w:rPr>
          <w:b/>
          <w:sz w:val="24"/>
          <w:szCs w:val="24"/>
          <w:lang w:val="en-US"/>
        </w:rPr>
        <w:lastRenderedPageBreak/>
        <w:t>Figure 1: Kaplan Meier curve for progression-free survival by independent radiology review committee, in RCC subjects following prior vascular endothelial growth factor (VEGF)- targeted therapy (first 375 subjects randomized) (METEOR)</w:t>
      </w:r>
    </w:p>
    <w:p w14:paraId="483634D0" w14:textId="77777777" w:rsidR="00790817" w:rsidRPr="00497000" w:rsidRDefault="00790817" w:rsidP="008E3C43">
      <w:pPr>
        <w:keepNext/>
        <w:tabs>
          <w:tab w:val="left" w:pos="1304"/>
        </w:tabs>
        <w:rPr>
          <w:noProof/>
          <w:sz w:val="24"/>
          <w:szCs w:val="24"/>
          <w:lang w:val="en-US"/>
        </w:rPr>
      </w:pPr>
    </w:p>
    <w:p w14:paraId="6294E188" w14:textId="279BFEBA" w:rsidR="00790817" w:rsidRPr="00497000" w:rsidRDefault="00790817" w:rsidP="008E3C43">
      <w:pPr>
        <w:keepNext/>
        <w:tabs>
          <w:tab w:val="left" w:pos="1304"/>
        </w:tabs>
        <w:rPr>
          <w:noProof/>
          <w:sz w:val="24"/>
          <w:szCs w:val="24"/>
        </w:rPr>
      </w:pPr>
      <w:r w:rsidRPr="00497000">
        <w:rPr>
          <w:noProof/>
          <w:sz w:val="24"/>
          <w:szCs w:val="24"/>
        </w:rPr>
        <w:drawing>
          <wp:inline distT="0" distB="0" distL="0" distR="0" wp14:anchorId="7E25D20F" wp14:editId="737D43B9">
            <wp:extent cx="5760720" cy="358140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581400"/>
                    </a:xfrm>
                    <a:prstGeom prst="rect">
                      <a:avLst/>
                    </a:prstGeom>
                    <a:noFill/>
                    <a:ln>
                      <a:noFill/>
                    </a:ln>
                  </pic:spPr>
                </pic:pic>
              </a:graphicData>
            </a:graphic>
          </wp:inline>
        </w:drawing>
      </w:r>
    </w:p>
    <w:p w14:paraId="049D13AC" w14:textId="77777777" w:rsidR="00790817" w:rsidRPr="00497000" w:rsidRDefault="00790817" w:rsidP="00790817">
      <w:pPr>
        <w:tabs>
          <w:tab w:val="left" w:pos="1304"/>
        </w:tabs>
        <w:rPr>
          <w:noProof/>
          <w:sz w:val="24"/>
          <w:szCs w:val="24"/>
          <w:lang w:eastAsia="en-GB"/>
        </w:rPr>
      </w:pPr>
    </w:p>
    <w:p w14:paraId="250772D4" w14:textId="77777777" w:rsidR="00790817" w:rsidRPr="00497000" w:rsidRDefault="00790817" w:rsidP="00790817">
      <w:pPr>
        <w:tabs>
          <w:tab w:val="left" w:pos="0"/>
        </w:tabs>
        <w:rPr>
          <w:b/>
          <w:sz w:val="24"/>
          <w:szCs w:val="24"/>
          <w:lang w:val="en-US"/>
        </w:rPr>
      </w:pPr>
      <w:r w:rsidRPr="00497000">
        <w:rPr>
          <w:b/>
          <w:sz w:val="24"/>
          <w:szCs w:val="24"/>
          <w:lang w:val="en-US"/>
        </w:rPr>
        <w:t xml:space="preserve">Table 4: Summary of PFS findings by independent radiology review committee </w:t>
      </w:r>
      <w:r w:rsidRPr="00497000">
        <w:rPr>
          <w:sz w:val="24"/>
          <w:szCs w:val="24"/>
          <w:lang w:val="en-US"/>
        </w:rPr>
        <w:t xml:space="preserve">in RCC subjects following prior vascular endothelial growth factor (VEGF)-targeted therapy </w:t>
      </w:r>
      <w:r w:rsidRPr="00497000">
        <w:rPr>
          <w:b/>
          <w:sz w:val="24"/>
          <w:szCs w:val="24"/>
          <w:lang w:val="en-US"/>
        </w:rPr>
        <w:t>(METEOR)</w:t>
      </w:r>
    </w:p>
    <w:p w14:paraId="29CD02B6" w14:textId="77777777" w:rsidR="00790817" w:rsidRPr="00497000" w:rsidRDefault="00790817" w:rsidP="00790817">
      <w:pPr>
        <w:tabs>
          <w:tab w:val="left" w:pos="0"/>
        </w:tabs>
        <w:rPr>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790817" w:rsidRPr="00497000" w14:paraId="30A3AA3C" w14:textId="77777777" w:rsidTr="00497000">
        <w:tc>
          <w:tcPr>
            <w:tcW w:w="1000" w:type="pct"/>
            <w:tcBorders>
              <w:top w:val="single" w:sz="4" w:space="0" w:color="auto"/>
              <w:left w:val="single" w:sz="4" w:space="0" w:color="auto"/>
              <w:bottom w:val="single" w:sz="4" w:space="0" w:color="auto"/>
              <w:right w:val="single" w:sz="4" w:space="0" w:color="auto"/>
            </w:tcBorders>
          </w:tcPr>
          <w:p w14:paraId="38EDD5D6" w14:textId="77777777" w:rsidR="00790817" w:rsidRPr="00497000" w:rsidRDefault="00790817">
            <w:pPr>
              <w:outlineLvl w:val="0"/>
              <w:rPr>
                <w:rFonts w:eastAsia="SimSun"/>
                <w:color w:val="00B050"/>
                <w:sz w:val="24"/>
                <w:szCs w:val="24"/>
                <w:lang w:val="en-US" w:eastAsia="zh-CN"/>
              </w:rPr>
            </w:pPr>
          </w:p>
        </w:tc>
        <w:tc>
          <w:tcPr>
            <w:tcW w:w="2000" w:type="pct"/>
            <w:gridSpan w:val="2"/>
            <w:tcBorders>
              <w:top w:val="single" w:sz="4" w:space="0" w:color="auto"/>
              <w:left w:val="single" w:sz="4" w:space="0" w:color="auto"/>
              <w:bottom w:val="single" w:sz="4" w:space="0" w:color="auto"/>
              <w:right w:val="single" w:sz="4" w:space="0" w:color="auto"/>
            </w:tcBorders>
            <w:hideMark/>
          </w:tcPr>
          <w:p w14:paraId="173144CB" w14:textId="77777777" w:rsidR="00790817" w:rsidRPr="00497000" w:rsidRDefault="00790817">
            <w:pPr>
              <w:jc w:val="center"/>
              <w:outlineLvl w:val="0"/>
              <w:rPr>
                <w:rFonts w:eastAsia="SimSun"/>
                <w:b/>
                <w:color w:val="00B050"/>
                <w:sz w:val="24"/>
                <w:szCs w:val="24"/>
                <w:lang w:eastAsia="zh-CN"/>
              </w:rPr>
            </w:pPr>
            <w:r w:rsidRPr="00497000">
              <w:rPr>
                <w:b/>
                <w:sz w:val="24"/>
                <w:szCs w:val="24"/>
              </w:rPr>
              <w:t>Primary PFS analysis population</w:t>
            </w:r>
          </w:p>
        </w:tc>
        <w:tc>
          <w:tcPr>
            <w:tcW w:w="2001" w:type="pct"/>
            <w:gridSpan w:val="2"/>
            <w:tcBorders>
              <w:top w:val="single" w:sz="4" w:space="0" w:color="auto"/>
              <w:left w:val="single" w:sz="4" w:space="0" w:color="auto"/>
              <w:bottom w:val="single" w:sz="4" w:space="0" w:color="auto"/>
              <w:right w:val="single" w:sz="4" w:space="0" w:color="auto"/>
            </w:tcBorders>
            <w:hideMark/>
          </w:tcPr>
          <w:p w14:paraId="5828CF40" w14:textId="77777777" w:rsidR="00790817" w:rsidRPr="00497000" w:rsidRDefault="00790817">
            <w:pPr>
              <w:jc w:val="center"/>
              <w:outlineLvl w:val="0"/>
              <w:rPr>
                <w:rFonts w:eastAsia="SimSun"/>
                <w:b/>
                <w:color w:val="00B050"/>
                <w:sz w:val="24"/>
                <w:szCs w:val="24"/>
                <w:lang w:eastAsia="zh-CN"/>
              </w:rPr>
            </w:pPr>
            <w:r w:rsidRPr="00497000">
              <w:rPr>
                <w:b/>
                <w:sz w:val="24"/>
                <w:szCs w:val="24"/>
              </w:rPr>
              <w:t>Intent-to-treat population</w:t>
            </w:r>
          </w:p>
        </w:tc>
      </w:tr>
      <w:tr w:rsidR="00790817" w:rsidRPr="00497000" w14:paraId="61B96227" w14:textId="77777777" w:rsidTr="00497000">
        <w:tc>
          <w:tcPr>
            <w:tcW w:w="1000" w:type="pct"/>
            <w:tcBorders>
              <w:top w:val="single" w:sz="4" w:space="0" w:color="auto"/>
              <w:left w:val="single" w:sz="4" w:space="0" w:color="auto"/>
              <w:bottom w:val="single" w:sz="4" w:space="0" w:color="auto"/>
              <w:right w:val="single" w:sz="4" w:space="0" w:color="auto"/>
            </w:tcBorders>
            <w:hideMark/>
          </w:tcPr>
          <w:p w14:paraId="11C68D6D" w14:textId="77777777" w:rsidR="00790817" w:rsidRPr="00497000" w:rsidRDefault="00790817">
            <w:pPr>
              <w:outlineLvl w:val="0"/>
              <w:rPr>
                <w:rFonts w:eastAsia="SimSun"/>
                <w:color w:val="00B050"/>
                <w:sz w:val="24"/>
                <w:szCs w:val="24"/>
                <w:lang w:eastAsia="zh-CN"/>
              </w:rPr>
            </w:pPr>
            <w:r w:rsidRPr="00497000">
              <w:rPr>
                <w:b/>
                <w:sz w:val="24"/>
                <w:szCs w:val="24"/>
              </w:rPr>
              <w:t>Endpoint</w:t>
            </w:r>
          </w:p>
        </w:tc>
        <w:tc>
          <w:tcPr>
            <w:tcW w:w="1000" w:type="pct"/>
            <w:tcBorders>
              <w:top w:val="single" w:sz="4" w:space="0" w:color="auto"/>
              <w:left w:val="single" w:sz="4" w:space="0" w:color="auto"/>
              <w:bottom w:val="single" w:sz="4" w:space="0" w:color="auto"/>
              <w:right w:val="single" w:sz="4" w:space="0" w:color="auto"/>
            </w:tcBorders>
            <w:hideMark/>
          </w:tcPr>
          <w:p w14:paraId="092C48F8" w14:textId="77777777" w:rsidR="00790817" w:rsidRPr="00497000" w:rsidRDefault="00790817">
            <w:pPr>
              <w:jc w:val="center"/>
              <w:outlineLvl w:val="0"/>
              <w:rPr>
                <w:rFonts w:eastAsia="SimSun"/>
                <w:b/>
                <w:color w:val="00B050"/>
                <w:sz w:val="24"/>
                <w:szCs w:val="24"/>
                <w:lang w:eastAsia="zh-CN"/>
              </w:rPr>
            </w:pPr>
            <w:r w:rsidRPr="00497000">
              <w:rPr>
                <w:b/>
                <w:sz w:val="24"/>
                <w:szCs w:val="24"/>
              </w:rPr>
              <w:t>Cabozantinib</w:t>
            </w:r>
          </w:p>
        </w:tc>
        <w:tc>
          <w:tcPr>
            <w:tcW w:w="1000" w:type="pct"/>
            <w:tcBorders>
              <w:top w:val="single" w:sz="4" w:space="0" w:color="auto"/>
              <w:left w:val="single" w:sz="4" w:space="0" w:color="auto"/>
              <w:bottom w:val="single" w:sz="4" w:space="0" w:color="auto"/>
              <w:right w:val="single" w:sz="4" w:space="0" w:color="auto"/>
            </w:tcBorders>
            <w:hideMark/>
          </w:tcPr>
          <w:p w14:paraId="02F818AE" w14:textId="77777777" w:rsidR="00790817" w:rsidRPr="00497000" w:rsidRDefault="00790817">
            <w:pPr>
              <w:jc w:val="center"/>
              <w:outlineLvl w:val="0"/>
              <w:rPr>
                <w:rFonts w:eastAsia="SimSun"/>
                <w:b/>
                <w:color w:val="00B050"/>
                <w:sz w:val="24"/>
                <w:szCs w:val="24"/>
                <w:lang w:eastAsia="zh-CN"/>
              </w:rPr>
            </w:pPr>
            <w:r w:rsidRPr="00497000">
              <w:rPr>
                <w:b/>
                <w:sz w:val="24"/>
                <w:szCs w:val="24"/>
              </w:rPr>
              <w:t>Everolimus</w:t>
            </w:r>
          </w:p>
        </w:tc>
        <w:tc>
          <w:tcPr>
            <w:tcW w:w="1000" w:type="pct"/>
            <w:tcBorders>
              <w:top w:val="single" w:sz="4" w:space="0" w:color="auto"/>
              <w:left w:val="single" w:sz="4" w:space="0" w:color="auto"/>
              <w:bottom w:val="single" w:sz="4" w:space="0" w:color="auto"/>
              <w:right w:val="single" w:sz="4" w:space="0" w:color="auto"/>
            </w:tcBorders>
            <w:hideMark/>
          </w:tcPr>
          <w:p w14:paraId="02D782BD" w14:textId="77777777" w:rsidR="00790817" w:rsidRPr="00497000" w:rsidRDefault="00790817">
            <w:pPr>
              <w:jc w:val="center"/>
              <w:outlineLvl w:val="0"/>
              <w:rPr>
                <w:rFonts w:eastAsia="SimSun"/>
                <w:b/>
                <w:color w:val="00B050"/>
                <w:sz w:val="24"/>
                <w:szCs w:val="24"/>
                <w:lang w:eastAsia="zh-CN"/>
              </w:rPr>
            </w:pPr>
            <w:r w:rsidRPr="00497000">
              <w:rPr>
                <w:b/>
                <w:sz w:val="24"/>
                <w:szCs w:val="24"/>
              </w:rPr>
              <w:t>Cabozantinib</w:t>
            </w:r>
          </w:p>
        </w:tc>
        <w:tc>
          <w:tcPr>
            <w:tcW w:w="1000" w:type="pct"/>
            <w:tcBorders>
              <w:top w:val="single" w:sz="4" w:space="0" w:color="auto"/>
              <w:left w:val="single" w:sz="4" w:space="0" w:color="auto"/>
              <w:bottom w:val="single" w:sz="4" w:space="0" w:color="auto"/>
              <w:right w:val="single" w:sz="4" w:space="0" w:color="auto"/>
            </w:tcBorders>
            <w:hideMark/>
          </w:tcPr>
          <w:p w14:paraId="20BF30A1" w14:textId="77777777" w:rsidR="00790817" w:rsidRPr="00497000" w:rsidRDefault="00790817">
            <w:pPr>
              <w:jc w:val="center"/>
              <w:outlineLvl w:val="0"/>
              <w:rPr>
                <w:rFonts w:eastAsia="SimSun"/>
                <w:b/>
                <w:color w:val="00B050"/>
                <w:sz w:val="24"/>
                <w:szCs w:val="24"/>
                <w:lang w:eastAsia="zh-CN"/>
              </w:rPr>
            </w:pPr>
            <w:r w:rsidRPr="00497000">
              <w:rPr>
                <w:b/>
                <w:sz w:val="24"/>
                <w:szCs w:val="24"/>
              </w:rPr>
              <w:t>Everolimus</w:t>
            </w:r>
          </w:p>
        </w:tc>
      </w:tr>
      <w:tr w:rsidR="00790817" w:rsidRPr="00497000" w14:paraId="6C22CAF2" w14:textId="77777777" w:rsidTr="00497000">
        <w:tc>
          <w:tcPr>
            <w:tcW w:w="1000" w:type="pct"/>
            <w:tcBorders>
              <w:top w:val="single" w:sz="4" w:space="0" w:color="auto"/>
              <w:left w:val="single" w:sz="4" w:space="0" w:color="auto"/>
              <w:bottom w:val="single" w:sz="4" w:space="0" w:color="auto"/>
              <w:right w:val="single" w:sz="4" w:space="0" w:color="auto"/>
            </w:tcBorders>
          </w:tcPr>
          <w:p w14:paraId="1FF76A48" w14:textId="77777777" w:rsidR="00790817" w:rsidRPr="00497000" w:rsidRDefault="00790817">
            <w:pPr>
              <w:outlineLvl w:val="0"/>
              <w:rPr>
                <w:rFonts w:eastAsia="SimSun"/>
                <w:b/>
                <w:color w:val="00B050"/>
                <w:sz w:val="24"/>
                <w:szCs w:val="24"/>
                <w:lang w:eastAsia="zh-CN"/>
              </w:rPr>
            </w:pPr>
          </w:p>
        </w:tc>
        <w:tc>
          <w:tcPr>
            <w:tcW w:w="1000" w:type="pct"/>
            <w:tcBorders>
              <w:top w:val="single" w:sz="4" w:space="0" w:color="auto"/>
              <w:left w:val="single" w:sz="4" w:space="0" w:color="auto"/>
              <w:bottom w:val="single" w:sz="4" w:space="0" w:color="auto"/>
              <w:right w:val="single" w:sz="4" w:space="0" w:color="auto"/>
            </w:tcBorders>
            <w:hideMark/>
          </w:tcPr>
          <w:p w14:paraId="71B50626" w14:textId="77777777" w:rsidR="00790817" w:rsidRPr="00497000" w:rsidRDefault="00790817">
            <w:pPr>
              <w:jc w:val="center"/>
              <w:outlineLvl w:val="0"/>
              <w:rPr>
                <w:rFonts w:eastAsia="SimSun"/>
                <w:color w:val="00B050"/>
                <w:sz w:val="24"/>
                <w:szCs w:val="24"/>
                <w:lang w:eastAsia="zh-CN"/>
              </w:rPr>
            </w:pPr>
            <w:r w:rsidRPr="00497000">
              <w:rPr>
                <w:sz w:val="24"/>
                <w:szCs w:val="24"/>
              </w:rPr>
              <w:t>N = 187</w:t>
            </w:r>
          </w:p>
        </w:tc>
        <w:tc>
          <w:tcPr>
            <w:tcW w:w="1000" w:type="pct"/>
            <w:tcBorders>
              <w:top w:val="single" w:sz="4" w:space="0" w:color="auto"/>
              <w:left w:val="single" w:sz="4" w:space="0" w:color="auto"/>
              <w:bottom w:val="single" w:sz="4" w:space="0" w:color="auto"/>
              <w:right w:val="single" w:sz="4" w:space="0" w:color="auto"/>
            </w:tcBorders>
            <w:hideMark/>
          </w:tcPr>
          <w:p w14:paraId="48B9D046" w14:textId="77777777" w:rsidR="00790817" w:rsidRPr="00497000" w:rsidRDefault="00790817">
            <w:pPr>
              <w:jc w:val="center"/>
              <w:outlineLvl w:val="0"/>
              <w:rPr>
                <w:rFonts w:eastAsia="SimSun"/>
                <w:color w:val="00B050"/>
                <w:sz w:val="24"/>
                <w:szCs w:val="24"/>
                <w:lang w:eastAsia="zh-CN"/>
              </w:rPr>
            </w:pPr>
            <w:r w:rsidRPr="00497000">
              <w:rPr>
                <w:sz w:val="24"/>
                <w:szCs w:val="24"/>
              </w:rPr>
              <w:t>N = 188</w:t>
            </w:r>
          </w:p>
        </w:tc>
        <w:tc>
          <w:tcPr>
            <w:tcW w:w="1000" w:type="pct"/>
            <w:tcBorders>
              <w:top w:val="single" w:sz="4" w:space="0" w:color="auto"/>
              <w:left w:val="single" w:sz="4" w:space="0" w:color="auto"/>
              <w:bottom w:val="single" w:sz="4" w:space="0" w:color="auto"/>
              <w:right w:val="single" w:sz="4" w:space="0" w:color="auto"/>
            </w:tcBorders>
            <w:hideMark/>
          </w:tcPr>
          <w:p w14:paraId="1B77D9A2" w14:textId="77777777" w:rsidR="00790817" w:rsidRPr="00497000" w:rsidRDefault="00790817">
            <w:pPr>
              <w:jc w:val="center"/>
              <w:outlineLvl w:val="0"/>
              <w:rPr>
                <w:rFonts w:eastAsia="SimSun"/>
                <w:color w:val="00B050"/>
                <w:sz w:val="24"/>
                <w:szCs w:val="24"/>
                <w:lang w:eastAsia="zh-CN"/>
              </w:rPr>
            </w:pPr>
            <w:r w:rsidRPr="00497000">
              <w:rPr>
                <w:sz w:val="24"/>
                <w:szCs w:val="24"/>
              </w:rPr>
              <w:t>N = 330</w:t>
            </w:r>
          </w:p>
        </w:tc>
        <w:tc>
          <w:tcPr>
            <w:tcW w:w="1000" w:type="pct"/>
            <w:tcBorders>
              <w:top w:val="single" w:sz="4" w:space="0" w:color="auto"/>
              <w:left w:val="single" w:sz="4" w:space="0" w:color="auto"/>
              <w:bottom w:val="single" w:sz="4" w:space="0" w:color="auto"/>
              <w:right w:val="single" w:sz="4" w:space="0" w:color="auto"/>
            </w:tcBorders>
            <w:hideMark/>
          </w:tcPr>
          <w:p w14:paraId="5FE4EB46" w14:textId="77777777" w:rsidR="00790817" w:rsidRPr="00497000" w:rsidRDefault="00790817">
            <w:pPr>
              <w:jc w:val="center"/>
              <w:outlineLvl w:val="0"/>
              <w:rPr>
                <w:rFonts w:eastAsia="SimSun"/>
                <w:color w:val="00B050"/>
                <w:sz w:val="24"/>
                <w:szCs w:val="24"/>
                <w:lang w:eastAsia="zh-CN"/>
              </w:rPr>
            </w:pPr>
            <w:r w:rsidRPr="00497000">
              <w:rPr>
                <w:sz w:val="24"/>
                <w:szCs w:val="24"/>
              </w:rPr>
              <w:t>N = 328</w:t>
            </w:r>
          </w:p>
        </w:tc>
      </w:tr>
      <w:tr w:rsidR="00790817" w:rsidRPr="00497000" w14:paraId="5CC8BE5A" w14:textId="77777777" w:rsidTr="00497000">
        <w:tc>
          <w:tcPr>
            <w:tcW w:w="1000" w:type="pct"/>
            <w:tcBorders>
              <w:top w:val="single" w:sz="4" w:space="0" w:color="auto"/>
              <w:left w:val="single" w:sz="4" w:space="0" w:color="auto"/>
              <w:bottom w:val="single" w:sz="4" w:space="0" w:color="auto"/>
              <w:right w:val="single" w:sz="4" w:space="0" w:color="auto"/>
            </w:tcBorders>
            <w:hideMark/>
          </w:tcPr>
          <w:p w14:paraId="0DD0A30C" w14:textId="77777777" w:rsidR="00790817" w:rsidRPr="00497000" w:rsidRDefault="00790817">
            <w:pPr>
              <w:outlineLvl w:val="0"/>
              <w:rPr>
                <w:rFonts w:eastAsia="SimSun"/>
                <w:color w:val="00B050"/>
                <w:sz w:val="24"/>
                <w:szCs w:val="24"/>
                <w:lang w:eastAsia="zh-CN"/>
              </w:rPr>
            </w:pPr>
            <w:r w:rsidRPr="00497000">
              <w:rPr>
                <w:sz w:val="24"/>
                <w:szCs w:val="24"/>
              </w:rPr>
              <w:t>Median PFS (95% CI), months</w:t>
            </w:r>
          </w:p>
        </w:tc>
        <w:tc>
          <w:tcPr>
            <w:tcW w:w="1000" w:type="pct"/>
            <w:tcBorders>
              <w:top w:val="single" w:sz="4" w:space="0" w:color="auto"/>
              <w:left w:val="single" w:sz="4" w:space="0" w:color="auto"/>
              <w:bottom w:val="single" w:sz="4" w:space="0" w:color="auto"/>
              <w:right w:val="single" w:sz="4" w:space="0" w:color="auto"/>
            </w:tcBorders>
            <w:hideMark/>
          </w:tcPr>
          <w:p w14:paraId="180BC406" w14:textId="77777777" w:rsidR="00790817" w:rsidRPr="00497000" w:rsidRDefault="00790817">
            <w:pPr>
              <w:jc w:val="center"/>
              <w:outlineLvl w:val="0"/>
              <w:rPr>
                <w:rFonts w:eastAsia="SimSun"/>
                <w:color w:val="00B050"/>
                <w:sz w:val="24"/>
                <w:szCs w:val="24"/>
                <w:lang w:eastAsia="zh-CN"/>
              </w:rPr>
            </w:pPr>
            <w:r w:rsidRPr="00497000">
              <w:rPr>
                <w:sz w:val="24"/>
                <w:szCs w:val="24"/>
              </w:rPr>
              <w:t>7.4 (5.6, 9.1)</w:t>
            </w:r>
          </w:p>
        </w:tc>
        <w:tc>
          <w:tcPr>
            <w:tcW w:w="1000" w:type="pct"/>
            <w:tcBorders>
              <w:top w:val="single" w:sz="4" w:space="0" w:color="auto"/>
              <w:left w:val="single" w:sz="4" w:space="0" w:color="auto"/>
              <w:bottom w:val="single" w:sz="4" w:space="0" w:color="auto"/>
              <w:right w:val="single" w:sz="4" w:space="0" w:color="auto"/>
            </w:tcBorders>
            <w:hideMark/>
          </w:tcPr>
          <w:p w14:paraId="166BEAA8" w14:textId="77777777" w:rsidR="00790817" w:rsidRPr="00497000" w:rsidRDefault="00790817">
            <w:pPr>
              <w:jc w:val="center"/>
              <w:outlineLvl w:val="0"/>
              <w:rPr>
                <w:rFonts w:eastAsia="SimSun"/>
                <w:color w:val="00B050"/>
                <w:sz w:val="24"/>
                <w:szCs w:val="24"/>
                <w:lang w:eastAsia="zh-CN"/>
              </w:rPr>
            </w:pPr>
            <w:r w:rsidRPr="00497000">
              <w:rPr>
                <w:sz w:val="24"/>
                <w:szCs w:val="24"/>
              </w:rPr>
              <w:t>3.8 (3.7, 5.4)</w:t>
            </w:r>
          </w:p>
        </w:tc>
        <w:tc>
          <w:tcPr>
            <w:tcW w:w="1000" w:type="pct"/>
            <w:tcBorders>
              <w:top w:val="single" w:sz="4" w:space="0" w:color="auto"/>
              <w:left w:val="single" w:sz="4" w:space="0" w:color="auto"/>
              <w:bottom w:val="single" w:sz="4" w:space="0" w:color="auto"/>
              <w:right w:val="single" w:sz="4" w:space="0" w:color="auto"/>
            </w:tcBorders>
            <w:hideMark/>
          </w:tcPr>
          <w:p w14:paraId="4515E5A7" w14:textId="77777777" w:rsidR="00790817" w:rsidRPr="00497000" w:rsidRDefault="00790817">
            <w:pPr>
              <w:jc w:val="center"/>
              <w:outlineLvl w:val="0"/>
              <w:rPr>
                <w:rFonts w:eastAsia="SimSun"/>
                <w:color w:val="00B050"/>
                <w:sz w:val="24"/>
                <w:szCs w:val="24"/>
                <w:lang w:eastAsia="zh-CN"/>
              </w:rPr>
            </w:pPr>
            <w:r w:rsidRPr="00497000">
              <w:rPr>
                <w:sz w:val="24"/>
                <w:szCs w:val="24"/>
              </w:rPr>
              <w:t>7.4 (6.6, 9.1)</w:t>
            </w:r>
          </w:p>
        </w:tc>
        <w:tc>
          <w:tcPr>
            <w:tcW w:w="1000" w:type="pct"/>
            <w:tcBorders>
              <w:top w:val="single" w:sz="4" w:space="0" w:color="auto"/>
              <w:left w:val="single" w:sz="4" w:space="0" w:color="auto"/>
              <w:bottom w:val="single" w:sz="4" w:space="0" w:color="auto"/>
              <w:right w:val="single" w:sz="4" w:space="0" w:color="auto"/>
            </w:tcBorders>
            <w:hideMark/>
          </w:tcPr>
          <w:p w14:paraId="74182177" w14:textId="77777777" w:rsidR="00790817" w:rsidRPr="00497000" w:rsidRDefault="00790817">
            <w:pPr>
              <w:jc w:val="center"/>
              <w:outlineLvl w:val="0"/>
              <w:rPr>
                <w:rFonts w:eastAsia="SimSun"/>
                <w:color w:val="00B050"/>
                <w:sz w:val="24"/>
                <w:szCs w:val="24"/>
                <w:lang w:eastAsia="zh-CN"/>
              </w:rPr>
            </w:pPr>
            <w:r w:rsidRPr="00497000">
              <w:rPr>
                <w:sz w:val="24"/>
                <w:szCs w:val="24"/>
              </w:rPr>
              <w:t>3.9 (3.7, 5.1)</w:t>
            </w:r>
          </w:p>
        </w:tc>
      </w:tr>
      <w:tr w:rsidR="00790817" w:rsidRPr="00497000" w14:paraId="2D3D9DA2" w14:textId="77777777" w:rsidTr="00497000">
        <w:tc>
          <w:tcPr>
            <w:tcW w:w="1000" w:type="pct"/>
            <w:tcBorders>
              <w:top w:val="single" w:sz="4" w:space="0" w:color="auto"/>
              <w:left w:val="single" w:sz="4" w:space="0" w:color="auto"/>
              <w:bottom w:val="single" w:sz="4" w:space="0" w:color="auto"/>
              <w:right w:val="single" w:sz="4" w:space="0" w:color="auto"/>
            </w:tcBorders>
            <w:hideMark/>
          </w:tcPr>
          <w:p w14:paraId="1C3B60BC" w14:textId="77777777" w:rsidR="00790817" w:rsidRPr="00497000" w:rsidRDefault="00790817">
            <w:pPr>
              <w:outlineLvl w:val="0"/>
              <w:rPr>
                <w:rFonts w:eastAsia="SimSun"/>
                <w:color w:val="00B050"/>
                <w:sz w:val="24"/>
                <w:szCs w:val="24"/>
                <w:lang w:eastAsia="zh-CN"/>
              </w:rPr>
            </w:pPr>
            <w:r w:rsidRPr="00497000">
              <w:rPr>
                <w:sz w:val="24"/>
                <w:szCs w:val="24"/>
              </w:rPr>
              <w:t>HR (95% CI), p-value</w:t>
            </w:r>
            <w:r w:rsidRPr="00497000">
              <w:rPr>
                <w:sz w:val="24"/>
                <w:szCs w:val="24"/>
                <w:vertAlign w:val="superscript"/>
              </w:rPr>
              <w:t>1</w:t>
            </w:r>
          </w:p>
        </w:tc>
        <w:tc>
          <w:tcPr>
            <w:tcW w:w="2000" w:type="pct"/>
            <w:gridSpan w:val="2"/>
            <w:tcBorders>
              <w:top w:val="single" w:sz="4" w:space="0" w:color="auto"/>
              <w:left w:val="single" w:sz="4" w:space="0" w:color="auto"/>
              <w:bottom w:val="single" w:sz="4" w:space="0" w:color="auto"/>
              <w:right w:val="single" w:sz="4" w:space="0" w:color="auto"/>
            </w:tcBorders>
            <w:hideMark/>
          </w:tcPr>
          <w:p w14:paraId="2CFABE33" w14:textId="77777777" w:rsidR="00790817" w:rsidRPr="00497000" w:rsidRDefault="00790817">
            <w:pPr>
              <w:jc w:val="center"/>
              <w:outlineLvl w:val="0"/>
              <w:rPr>
                <w:rFonts w:eastAsia="SimSun"/>
                <w:color w:val="00B050"/>
                <w:sz w:val="24"/>
                <w:szCs w:val="24"/>
                <w:lang w:eastAsia="zh-CN"/>
              </w:rPr>
            </w:pPr>
            <w:r w:rsidRPr="00497000">
              <w:rPr>
                <w:sz w:val="24"/>
                <w:szCs w:val="24"/>
              </w:rPr>
              <w:t>0.58 (0.45, 0.74), p&lt;0.0001</w:t>
            </w:r>
          </w:p>
        </w:tc>
        <w:tc>
          <w:tcPr>
            <w:tcW w:w="2001" w:type="pct"/>
            <w:gridSpan w:val="2"/>
            <w:tcBorders>
              <w:top w:val="single" w:sz="4" w:space="0" w:color="auto"/>
              <w:left w:val="single" w:sz="4" w:space="0" w:color="auto"/>
              <w:bottom w:val="single" w:sz="4" w:space="0" w:color="auto"/>
              <w:right w:val="single" w:sz="4" w:space="0" w:color="auto"/>
            </w:tcBorders>
            <w:hideMark/>
          </w:tcPr>
          <w:p w14:paraId="2A5F8352" w14:textId="77777777" w:rsidR="00790817" w:rsidRPr="00497000" w:rsidRDefault="00790817">
            <w:pPr>
              <w:jc w:val="center"/>
              <w:outlineLvl w:val="0"/>
              <w:rPr>
                <w:rFonts w:eastAsia="SimSun"/>
                <w:color w:val="00B050"/>
                <w:sz w:val="24"/>
                <w:szCs w:val="24"/>
                <w:lang w:eastAsia="zh-CN"/>
              </w:rPr>
            </w:pPr>
            <w:r w:rsidRPr="00497000">
              <w:rPr>
                <w:sz w:val="24"/>
                <w:szCs w:val="24"/>
              </w:rPr>
              <w:t>0.51 (0.41, 0.62), p&lt;0.0001</w:t>
            </w:r>
          </w:p>
        </w:tc>
      </w:tr>
    </w:tbl>
    <w:p w14:paraId="2FD51636" w14:textId="77777777" w:rsidR="00790817" w:rsidRPr="008E3C43" w:rsidRDefault="00790817" w:rsidP="00790817">
      <w:pPr>
        <w:outlineLvl w:val="0"/>
        <w:rPr>
          <w:rFonts w:eastAsia="SimSun"/>
          <w:color w:val="00B050"/>
          <w:sz w:val="20"/>
          <w:lang w:val="en-GB" w:eastAsia="zh-CN"/>
        </w:rPr>
      </w:pPr>
      <w:r w:rsidRPr="008E3C43">
        <w:rPr>
          <w:sz w:val="20"/>
          <w:vertAlign w:val="superscript"/>
        </w:rPr>
        <w:t>1</w:t>
      </w:r>
      <w:r w:rsidRPr="008E3C43">
        <w:rPr>
          <w:sz w:val="20"/>
        </w:rPr>
        <w:t xml:space="preserve"> stratified log-rank test</w:t>
      </w:r>
    </w:p>
    <w:p w14:paraId="7FD7E88A" w14:textId="77777777" w:rsidR="00497000" w:rsidRPr="00497000" w:rsidRDefault="00497000" w:rsidP="00790817">
      <w:pPr>
        <w:outlineLvl w:val="0"/>
        <w:rPr>
          <w:b/>
          <w:sz w:val="24"/>
          <w:szCs w:val="24"/>
          <w:lang w:val="en-US"/>
        </w:rPr>
      </w:pPr>
    </w:p>
    <w:p w14:paraId="21722DD0" w14:textId="185494A9" w:rsidR="00790817" w:rsidRPr="00497000" w:rsidRDefault="00790817" w:rsidP="008E3C43">
      <w:pPr>
        <w:keepNext/>
        <w:outlineLvl w:val="0"/>
        <w:rPr>
          <w:b/>
          <w:sz w:val="24"/>
          <w:szCs w:val="24"/>
          <w:lang w:val="en-US" w:eastAsia="en-US"/>
        </w:rPr>
      </w:pPr>
      <w:r w:rsidRPr="00497000">
        <w:rPr>
          <w:b/>
          <w:sz w:val="24"/>
          <w:szCs w:val="24"/>
          <w:lang w:val="en-US"/>
        </w:rPr>
        <w:lastRenderedPageBreak/>
        <w:t>Figure 2: Kaplan-Meier curve of overall survival in RCC subjects following prior vascular endothelial growth factor (VEGF)-targeted therapy (METEOR)</w:t>
      </w:r>
    </w:p>
    <w:p w14:paraId="345458C8" w14:textId="77777777" w:rsidR="00790817" w:rsidRPr="00497000" w:rsidRDefault="00790817" w:rsidP="008E3C43">
      <w:pPr>
        <w:keepNext/>
        <w:outlineLvl w:val="0"/>
        <w:rPr>
          <w:b/>
          <w:sz w:val="24"/>
          <w:szCs w:val="24"/>
          <w:lang w:val="en-US"/>
        </w:rPr>
      </w:pPr>
    </w:p>
    <w:p w14:paraId="22DED0CB" w14:textId="28D948C1" w:rsidR="00790817" w:rsidRPr="00497000" w:rsidRDefault="00790817" w:rsidP="008E3C43">
      <w:pPr>
        <w:keepNext/>
        <w:outlineLvl w:val="0"/>
        <w:rPr>
          <w:b/>
          <w:sz w:val="24"/>
          <w:szCs w:val="24"/>
        </w:rPr>
      </w:pPr>
      <w:r w:rsidRPr="00497000">
        <w:rPr>
          <w:noProof/>
          <w:sz w:val="24"/>
          <w:szCs w:val="24"/>
        </w:rPr>
        <w:drawing>
          <wp:inline distT="0" distB="0" distL="0" distR="0" wp14:anchorId="0BF894BF" wp14:editId="411DA1E9">
            <wp:extent cx="5760720" cy="377952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779520"/>
                    </a:xfrm>
                    <a:prstGeom prst="rect">
                      <a:avLst/>
                    </a:prstGeom>
                    <a:noFill/>
                    <a:ln>
                      <a:noFill/>
                    </a:ln>
                  </pic:spPr>
                </pic:pic>
              </a:graphicData>
            </a:graphic>
          </wp:inline>
        </w:drawing>
      </w:r>
    </w:p>
    <w:p w14:paraId="58FCB0F2" w14:textId="77777777" w:rsidR="00790817" w:rsidRPr="00497000" w:rsidRDefault="00790817" w:rsidP="00790817">
      <w:pPr>
        <w:outlineLvl w:val="0"/>
        <w:rPr>
          <w:b/>
          <w:sz w:val="24"/>
          <w:szCs w:val="24"/>
        </w:rPr>
      </w:pPr>
    </w:p>
    <w:p w14:paraId="31CB30AA" w14:textId="77777777" w:rsidR="00790817" w:rsidRPr="00497000" w:rsidRDefault="00790817" w:rsidP="00790817">
      <w:pPr>
        <w:outlineLvl w:val="0"/>
        <w:rPr>
          <w:rFonts w:eastAsia="SimSun"/>
          <w:b/>
          <w:color w:val="00B050"/>
          <w:sz w:val="24"/>
          <w:szCs w:val="24"/>
          <w:lang w:val="en-US" w:eastAsia="zh-CN"/>
        </w:rPr>
      </w:pPr>
      <w:r w:rsidRPr="00497000">
        <w:rPr>
          <w:b/>
          <w:sz w:val="24"/>
          <w:szCs w:val="24"/>
          <w:lang w:val="en-US"/>
        </w:rPr>
        <w:t>Table 5: Summary of ORR findings per independent radiology committee review (IRC) and investigator review, in RCC subjects following prior vascular endothelial growth factor (VEGF)-targeted therapy</w:t>
      </w:r>
    </w:p>
    <w:p w14:paraId="5B16A9BF" w14:textId="77777777" w:rsidR="00790817" w:rsidRPr="00497000" w:rsidRDefault="00790817" w:rsidP="00790817">
      <w:pPr>
        <w:ind w:left="567" w:hanging="567"/>
        <w:rPr>
          <w:b/>
          <w:sz w:val="24"/>
          <w:szCs w:val="24"/>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968"/>
        <w:gridCol w:w="1968"/>
        <w:gridCol w:w="2109"/>
        <w:gridCol w:w="1791"/>
      </w:tblGrid>
      <w:tr w:rsidR="00790817" w:rsidRPr="002922BC" w14:paraId="4F7A4F61" w14:textId="77777777" w:rsidTr="00497000">
        <w:tc>
          <w:tcPr>
            <w:tcW w:w="931" w:type="pct"/>
            <w:tcBorders>
              <w:top w:val="single" w:sz="4" w:space="0" w:color="auto"/>
              <w:left w:val="single" w:sz="4" w:space="0" w:color="auto"/>
              <w:bottom w:val="single" w:sz="4" w:space="0" w:color="auto"/>
              <w:right w:val="single" w:sz="4" w:space="0" w:color="auto"/>
            </w:tcBorders>
          </w:tcPr>
          <w:p w14:paraId="0F7AE2E0" w14:textId="77777777" w:rsidR="00790817" w:rsidRPr="00497000" w:rsidRDefault="00790817">
            <w:pPr>
              <w:outlineLvl w:val="0"/>
              <w:rPr>
                <w:rFonts w:eastAsia="SimSun"/>
                <w:color w:val="00B050"/>
                <w:sz w:val="24"/>
                <w:szCs w:val="24"/>
                <w:lang w:val="en-US" w:eastAsia="zh-CN"/>
              </w:rPr>
            </w:pPr>
          </w:p>
        </w:tc>
        <w:tc>
          <w:tcPr>
            <w:tcW w:w="2044" w:type="pct"/>
            <w:gridSpan w:val="2"/>
            <w:tcBorders>
              <w:top w:val="single" w:sz="4" w:space="0" w:color="auto"/>
              <w:left w:val="single" w:sz="4" w:space="0" w:color="auto"/>
              <w:bottom w:val="single" w:sz="4" w:space="0" w:color="auto"/>
              <w:right w:val="single" w:sz="4" w:space="0" w:color="auto"/>
            </w:tcBorders>
            <w:hideMark/>
          </w:tcPr>
          <w:p w14:paraId="785E60B9" w14:textId="77777777" w:rsidR="00790817" w:rsidRPr="00497000" w:rsidRDefault="00790817">
            <w:pPr>
              <w:jc w:val="center"/>
              <w:outlineLvl w:val="0"/>
              <w:rPr>
                <w:rFonts w:eastAsia="SimSun"/>
                <w:b/>
                <w:sz w:val="24"/>
                <w:szCs w:val="24"/>
                <w:lang w:val="en-US" w:eastAsia="zh-CN"/>
              </w:rPr>
            </w:pPr>
            <w:r w:rsidRPr="00497000">
              <w:rPr>
                <w:rFonts w:eastAsia="SimSun"/>
                <w:b/>
                <w:sz w:val="24"/>
                <w:szCs w:val="24"/>
                <w:lang w:val="en-US" w:eastAsia="zh-CN"/>
              </w:rPr>
              <w:t>P</w:t>
            </w:r>
            <w:r w:rsidRPr="00497000">
              <w:rPr>
                <w:b/>
                <w:sz w:val="24"/>
                <w:szCs w:val="24"/>
                <w:lang w:val="en-US"/>
              </w:rPr>
              <w:t>rimary analysis ORR intent-to-treat population (IRC)</w:t>
            </w:r>
          </w:p>
        </w:tc>
        <w:tc>
          <w:tcPr>
            <w:tcW w:w="2025" w:type="pct"/>
            <w:gridSpan w:val="2"/>
            <w:tcBorders>
              <w:top w:val="single" w:sz="4" w:space="0" w:color="auto"/>
              <w:left w:val="single" w:sz="4" w:space="0" w:color="auto"/>
              <w:bottom w:val="single" w:sz="4" w:space="0" w:color="auto"/>
              <w:right w:val="single" w:sz="4" w:space="0" w:color="auto"/>
            </w:tcBorders>
            <w:hideMark/>
          </w:tcPr>
          <w:p w14:paraId="57B17FA2" w14:textId="77777777" w:rsidR="00790817" w:rsidRPr="00497000" w:rsidRDefault="00790817">
            <w:pPr>
              <w:jc w:val="center"/>
              <w:outlineLvl w:val="0"/>
              <w:rPr>
                <w:rFonts w:eastAsia="SimSun"/>
                <w:b/>
                <w:sz w:val="24"/>
                <w:szCs w:val="24"/>
                <w:lang w:val="en-US" w:eastAsia="zh-CN"/>
              </w:rPr>
            </w:pPr>
            <w:r w:rsidRPr="00497000">
              <w:rPr>
                <w:b/>
                <w:sz w:val="24"/>
                <w:szCs w:val="24"/>
                <w:lang w:val="en-US"/>
              </w:rPr>
              <w:t>ORR per investigator review intent-to-treat population</w:t>
            </w:r>
          </w:p>
        </w:tc>
      </w:tr>
      <w:tr w:rsidR="00790817" w:rsidRPr="00497000" w14:paraId="7D5DA3A0" w14:textId="77777777" w:rsidTr="00497000">
        <w:tc>
          <w:tcPr>
            <w:tcW w:w="931" w:type="pct"/>
            <w:tcBorders>
              <w:top w:val="single" w:sz="4" w:space="0" w:color="auto"/>
              <w:left w:val="single" w:sz="4" w:space="0" w:color="auto"/>
              <w:bottom w:val="single" w:sz="4" w:space="0" w:color="auto"/>
              <w:right w:val="single" w:sz="4" w:space="0" w:color="auto"/>
            </w:tcBorders>
            <w:hideMark/>
          </w:tcPr>
          <w:p w14:paraId="22441ACD" w14:textId="77777777" w:rsidR="00790817" w:rsidRPr="00497000" w:rsidRDefault="00790817">
            <w:pPr>
              <w:rPr>
                <w:b/>
                <w:sz w:val="24"/>
                <w:szCs w:val="24"/>
                <w:lang w:eastAsia="en-US"/>
              </w:rPr>
            </w:pPr>
            <w:r w:rsidRPr="00497000">
              <w:rPr>
                <w:b/>
                <w:sz w:val="24"/>
                <w:szCs w:val="24"/>
              </w:rPr>
              <w:t xml:space="preserve">Endpoint </w:t>
            </w:r>
          </w:p>
        </w:tc>
        <w:tc>
          <w:tcPr>
            <w:tcW w:w="1022" w:type="pct"/>
            <w:tcBorders>
              <w:top w:val="single" w:sz="4" w:space="0" w:color="auto"/>
              <w:left w:val="single" w:sz="4" w:space="0" w:color="auto"/>
              <w:bottom w:val="single" w:sz="4" w:space="0" w:color="auto"/>
              <w:right w:val="single" w:sz="4" w:space="0" w:color="auto"/>
            </w:tcBorders>
            <w:hideMark/>
          </w:tcPr>
          <w:p w14:paraId="29C4E6CB" w14:textId="77777777" w:rsidR="00790817" w:rsidRPr="00497000" w:rsidRDefault="00790817">
            <w:pPr>
              <w:jc w:val="center"/>
              <w:rPr>
                <w:b/>
                <w:sz w:val="24"/>
                <w:szCs w:val="24"/>
              </w:rPr>
            </w:pPr>
            <w:r w:rsidRPr="00497000">
              <w:rPr>
                <w:b/>
                <w:sz w:val="24"/>
                <w:szCs w:val="24"/>
              </w:rPr>
              <w:t>Cabozantinib</w:t>
            </w:r>
          </w:p>
        </w:tc>
        <w:tc>
          <w:tcPr>
            <w:tcW w:w="1022" w:type="pct"/>
            <w:tcBorders>
              <w:top w:val="single" w:sz="4" w:space="0" w:color="auto"/>
              <w:left w:val="single" w:sz="4" w:space="0" w:color="auto"/>
              <w:bottom w:val="single" w:sz="4" w:space="0" w:color="auto"/>
              <w:right w:val="single" w:sz="4" w:space="0" w:color="auto"/>
            </w:tcBorders>
            <w:hideMark/>
          </w:tcPr>
          <w:p w14:paraId="01D6B5B1" w14:textId="77777777" w:rsidR="00790817" w:rsidRPr="00497000" w:rsidRDefault="00790817">
            <w:pPr>
              <w:jc w:val="center"/>
              <w:rPr>
                <w:b/>
                <w:sz w:val="24"/>
                <w:szCs w:val="24"/>
              </w:rPr>
            </w:pPr>
            <w:r w:rsidRPr="00497000">
              <w:rPr>
                <w:b/>
                <w:sz w:val="24"/>
                <w:szCs w:val="24"/>
              </w:rPr>
              <w:t>Everolimus</w:t>
            </w:r>
          </w:p>
        </w:tc>
        <w:tc>
          <w:tcPr>
            <w:tcW w:w="1095" w:type="pct"/>
            <w:tcBorders>
              <w:top w:val="single" w:sz="4" w:space="0" w:color="auto"/>
              <w:left w:val="single" w:sz="4" w:space="0" w:color="auto"/>
              <w:bottom w:val="single" w:sz="4" w:space="0" w:color="auto"/>
              <w:right w:val="single" w:sz="4" w:space="0" w:color="auto"/>
            </w:tcBorders>
            <w:hideMark/>
          </w:tcPr>
          <w:p w14:paraId="250506C4" w14:textId="77777777" w:rsidR="00790817" w:rsidRPr="00497000" w:rsidRDefault="00790817">
            <w:pPr>
              <w:jc w:val="center"/>
              <w:rPr>
                <w:b/>
                <w:sz w:val="24"/>
                <w:szCs w:val="24"/>
              </w:rPr>
            </w:pPr>
            <w:r w:rsidRPr="00497000">
              <w:rPr>
                <w:b/>
                <w:sz w:val="24"/>
                <w:szCs w:val="24"/>
              </w:rPr>
              <w:t>Cabozantinib</w:t>
            </w:r>
          </w:p>
        </w:tc>
        <w:tc>
          <w:tcPr>
            <w:tcW w:w="930" w:type="pct"/>
            <w:tcBorders>
              <w:top w:val="single" w:sz="4" w:space="0" w:color="auto"/>
              <w:left w:val="single" w:sz="4" w:space="0" w:color="auto"/>
              <w:bottom w:val="single" w:sz="4" w:space="0" w:color="auto"/>
              <w:right w:val="single" w:sz="4" w:space="0" w:color="auto"/>
            </w:tcBorders>
            <w:hideMark/>
          </w:tcPr>
          <w:p w14:paraId="4CE16146" w14:textId="77777777" w:rsidR="00790817" w:rsidRPr="00497000" w:rsidRDefault="00790817">
            <w:pPr>
              <w:jc w:val="center"/>
              <w:rPr>
                <w:b/>
                <w:sz w:val="24"/>
                <w:szCs w:val="24"/>
              </w:rPr>
            </w:pPr>
            <w:r w:rsidRPr="00497000">
              <w:rPr>
                <w:b/>
                <w:sz w:val="24"/>
                <w:szCs w:val="24"/>
              </w:rPr>
              <w:t>Everolimus</w:t>
            </w:r>
          </w:p>
        </w:tc>
      </w:tr>
      <w:tr w:rsidR="00790817" w:rsidRPr="00497000" w14:paraId="0C8929E4" w14:textId="77777777" w:rsidTr="00497000">
        <w:tc>
          <w:tcPr>
            <w:tcW w:w="931" w:type="pct"/>
            <w:tcBorders>
              <w:top w:val="single" w:sz="4" w:space="0" w:color="auto"/>
              <w:left w:val="single" w:sz="4" w:space="0" w:color="auto"/>
              <w:bottom w:val="single" w:sz="4" w:space="0" w:color="auto"/>
              <w:right w:val="single" w:sz="4" w:space="0" w:color="auto"/>
            </w:tcBorders>
          </w:tcPr>
          <w:p w14:paraId="0C5B323B" w14:textId="77777777" w:rsidR="00790817" w:rsidRPr="00497000" w:rsidRDefault="00790817">
            <w:pPr>
              <w:rPr>
                <w:sz w:val="24"/>
                <w:szCs w:val="24"/>
              </w:rPr>
            </w:pPr>
          </w:p>
        </w:tc>
        <w:tc>
          <w:tcPr>
            <w:tcW w:w="1022" w:type="pct"/>
            <w:tcBorders>
              <w:top w:val="single" w:sz="4" w:space="0" w:color="auto"/>
              <w:left w:val="single" w:sz="4" w:space="0" w:color="auto"/>
              <w:bottom w:val="single" w:sz="4" w:space="0" w:color="auto"/>
              <w:right w:val="single" w:sz="4" w:space="0" w:color="auto"/>
            </w:tcBorders>
            <w:hideMark/>
          </w:tcPr>
          <w:p w14:paraId="21A2B3B6" w14:textId="77777777" w:rsidR="00790817" w:rsidRPr="00497000" w:rsidRDefault="00790817">
            <w:pPr>
              <w:jc w:val="center"/>
              <w:outlineLvl w:val="0"/>
              <w:rPr>
                <w:rFonts w:eastAsia="SimSun"/>
                <w:color w:val="00B050"/>
                <w:sz w:val="24"/>
                <w:szCs w:val="24"/>
                <w:lang w:eastAsia="zh-CN"/>
              </w:rPr>
            </w:pPr>
            <w:r w:rsidRPr="00497000">
              <w:rPr>
                <w:sz w:val="24"/>
                <w:szCs w:val="24"/>
              </w:rPr>
              <w:t>N = 330</w:t>
            </w:r>
          </w:p>
        </w:tc>
        <w:tc>
          <w:tcPr>
            <w:tcW w:w="1022" w:type="pct"/>
            <w:tcBorders>
              <w:top w:val="single" w:sz="4" w:space="0" w:color="auto"/>
              <w:left w:val="single" w:sz="4" w:space="0" w:color="auto"/>
              <w:bottom w:val="single" w:sz="4" w:space="0" w:color="auto"/>
              <w:right w:val="single" w:sz="4" w:space="0" w:color="auto"/>
            </w:tcBorders>
            <w:hideMark/>
          </w:tcPr>
          <w:p w14:paraId="79D52262" w14:textId="77777777" w:rsidR="00790817" w:rsidRPr="00497000" w:rsidRDefault="00790817">
            <w:pPr>
              <w:jc w:val="center"/>
              <w:outlineLvl w:val="0"/>
              <w:rPr>
                <w:rFonts w:eastAsia="SimSun"/>
                <w:color w:val="00B050"/>
                <w:sz w:val="24"/>
                <w:szCs w:val="24"/>
                <w:lang w:eastAsia="zh-CN"/>
              </w:rPr>
            </w:pPr>
            <w:r w:rsidRPr="00497000">
              <w:rPr>
                <w:sz w:val="24"/>
                <w:szCs w:val="24"/>
              </w:rPr>
              <w:t>N = 328</w:t>
            </w:r>
          </w:p>
        </w:tc>
        <w:tc>
          <w:tcPr>
            <w:tcW w:w="1095" w:type="pct"/>
            <w:tcBorders>
              <w:top w:val="single" w:sz="4" w:space="0" w:color="auto"/>
              <w:left w:val="single" w:sz="4" w:space="0" w:color="auto"/>
              <w:bottom w:val="single" w:sz="4" w:space="0" w:color="auto"/>
              <w:right w:val="single" w:sz="4" w:space="0" w:color="auto"/>
            </w:tcBorders>
            <w:hideMark/>
          </w:tcPr>
          <w:p w14:paraId="0094FE92" w14:textId="77777777" w:rsidR="00790817" w:rsidRPr="00497000" w:rsidRDefault="00790817">
            <w:pPr>
              <w:jc w:val="center"/>
              <w:outlineLvl w:val="0"/>
              <w:rPr>
                <w:rFonts w:eastAsia="SimSun"/>
                <w:color w:val="00B050"/>
                <w:sz w:val="24"/>
                <w:szCs w:val="24"/>
                <w:lang w:eastAsia="zh-CN"/>
              </w:rPr>
            </w:pPr>
            <w:r w:rsidRPr="00497000">
              <w:rPr>
                <w:sz w:val="24"/>
                <w:szCs w:val="24"/>
              </w:rPr>
              <w:t>N = 330</w:t>
            </w:r>
          </w:p>
        </w:tc>
        <w:tc>
          <w:tcPr>
            <w:tcW w:w="930" w:type="pct"/>
            <w:tcBorders>
              <w:top w:val="single" w:sz="4" w:space="0" w:color="auto"/>
              <w:left w:val="single" w:sz="4" w:space="0" w:color="auto"/>
              <w:bottom w:val="single" w:sz="4" w:space="0" w:color="auto"/>
              <w:right w:val="single" w:sz="4" w:space="0" w:color="auto"/>
            </w:tcBorders>
            <w:hideMark/>
          </w:tcPr>
          <w:p w14:paraId="6EF6C8FB" w14:textId="77777777" w:rsidR="00790817" w:rsidRPr="00497000" w:rsidRDefault="00790817">
            <w:pPr>
              <w:jc w:val="center"/>
              <w:outlineLvl w:val="0"/>
              <w:rPr>
                <w:rFonts w:eastAsia="SimSun"/>
                <w:color w:val="00B050"/>
                <w:sz w:val="24"/>
                <w:szCs w:val="24"/>
                <w:lang w:eastAsia="zh-CN"/>
              </w:rPr>
            </w:pPr>
            <w:r w:rsidRPr="00497000">
              <w:rPr>
                <w:sz w:val="24"/>
                <w:szCs w:val="24"/>
              </w:rPr>
              <w:t>N = 328</w:t>
            </w:r>
          </w:p>
        </w:tc>
      </w:tr>
      <w:tr w:rsidR="00790817" w:rsidRPr="00497000" w14:paraId="78CF05D1" w14:textId="77777777" w:rsidTr="00497000">
        <w:tc>
          <w:tcPr>
            <w:tcW w:w="931" w:type="pct"/>
            <w:tcBorders>
              <w:top w:val="single" w:sz="4" w:space="0" w:color="auto"/>
              <w:left w:val="single" w:sz="4" w:space="0" w:color="auto"/>
              <w:bottom w:val="single" w:sz="4" w:space="0" w:color="auto"/>
              <w:right w:val="single" w:sz="4" w:space="0" w:color="auto"/>
            </w:tcBorders>
            <w:hideMark/>
          </w:tcPr>
          <w:p w14:paraId="0518D3A4" w14:textId="77777777" w:rsidR="00790817" w:rsidRPr="00497000" w:rsidRDefault="00790817">
            <w:pPr>
              <w:outlineLvl w:val="0"/>
              <w:rPr>
                <w:rFonts w:eastAsia="SimSun"/>
                <w:color w:val="00B050"/>
                <w:sz w:val="24"/>
                <w:szCs w:val="24"/>
                <w:lang w:val="en-US" w:eastAsia="zh-CN"/>
              </w:rPr>
            </w:pPr>
            <w:r w:rsidRPr="00497000">
              <w:rPr>
                <w:sz w:val="24"/>
                <w:szCs w:val="24"/>
                <w:lang w:val="en-US"/>
              </w:rPr>
              <w:t>ORR (partial responses only) (95% CI)</w:t>
            </w:r>
          </w:p>
        </w:tc>
        <w:tc>
          <w:tcPr>
            <w:tcW w:w="1022" w:type="pct"/>
            <w:tcBorders>
              <w:top w:val="single" w:sz="4" w:space="0" w:color="auto"/>
              <w:left w:val="single" w:sz="4" w:space="0" w:color="auto"/>
              <w:bottom w:val="single" w:sz="4" w:space="0" w:color="auto"/>
              <w:right w:val="single" w:sz="4" w:space="0" w:color="auto"/>
            </w:tcBorders>
            <w:hideMark/>
          </w:tcPr>
          <w:p w14:paraId="247BFCD1" w14:textId="77777777" w:rsidR="00790817" w:rsidRPr="00497000" w:rsidRDefault="00790817">
            <w:pPr>
              <w:jc w:val="center"/>
              <w:outlineLvl w:val="0"/>
              <w:rPr>
                <w:rFonts w:eastAsia="SimSun"/>
                <w:color w:val="00B050"/>
                <w:sz w:val="24"/>
                <w:szCs w:val="24"/>
                <w:lang w:eastAsia="zh-CN"/>
              </w:rPr>
            </w:pPr>
            <w:r w:rsidRPr="00497000">
              <w:rPr>
                <w:sz w:val="24"/>
                <w:szCs w:val="24"/>
              </w:rPr>
              <w:t>17% (13%, 22%)</w:t>
            </w:r>
          </w:p>
        </w:tc>
        <w:tc>
          <w:tcPr>
            <w:tcW w:w="1022" w:type="pct"/>
            <w:tcBorders>
              <w:top w:val="single" w:sz="4" w:space="0" w:color="auto"/>
              <w:left w:val="single" w:sz="4" w:space="0" w:color="auto"/>
              <w:bottom w:val="single" w:sz="4" w:space="0" w:color="auto"/>
              <w:right w:val="single" w:sz="4" w:space="0" w:color="auto"/>
            </w:tcBorders>
            <w:hideMark/>
          </w:tcPr>
          <w:p w14:paraId="439EA748" w14:textId="77777777" w:rsidR="00790817" w:rsidRPr="00497000" w:rsidRDefault="00790817">
            <w:pPr>
              <w:jc w:val="center"/>
              <w:outlineLvl w:val="0"/>
              <w:rPr>
                <w:rFonts w:eastAsia="SimSun"/>
                <w:color w:val="00B050"/>
                <w:sz w:val="24"/>
                <w:szCs w:val="24"/>
                <w:lang w:eastAsia="zh-CN"/>
              </w:rPr>
            </w:pPr>
            <w:r w:rsidRPr="00497000">
              <w:rPr>
                <w:sz w:val="24"/>
                <w:szCs w:val="24"/>
              </w:rPr>
              <w:t>3% (2%, 6%)</w:t>
            </w:r>
          </w:p>
        </w:tc>
        <w:tc>
          <w:tcPr>
            <w:tcW w:w="1095" w:type="pct"/>
            <w:tcBorders>
              <w:top w:val="single" w:sz="4" w:space="0" w:color="auto"/>
              <w:left w:val="single" w:sz="4" w:space="0" w:color="auto"/>
              <w:bottom w:val="single" w:sz="4" w:space="0" w:color="auto"/>
              <w:right w:val="single" w:sz="4" w:space="0" w:color="auto"/>
            </w:tcBorders>
            <w:hideMark/>
          </w:tcPr>
          <w:p w14:paraId="38844854" w14:textId="77777777" w:rsidR="00790817" w:rsidRPr="00497000" w:rsidRDefault="00790817">
            <w:pPr>
              <w:jc w:val="center"/>
              <w:outlineLvl w:val="0"/>
              <w:rPr>
                <w:rFonts w:eastAsia="SimSun"/>
                <w:color w:val="00B050"/>
                <w:sz w:val="24"/>
                <w:szCs w:val="24"/>
                <w:lang w:eastAsia="zh-CN"/>
              </w:rPr>
            </w:pPr>
            <w:r w:rsidRPr="00497000">
              <w:rPr>
                <w:sz w:val="24"/>
                <w:szCs w:val="24"/>
              </w:rPr>
              <w:t>24% (19%, 29%)</w:t>
            </w:r>
          </w:p>
        </w:tc>
        <w:tc>
          <w:tcPr>
            <w:tcW w:w="930" w:type="pct"/>
            <w:tcBorders>
              <w:top w:val="single" w:sz="4" w:space="0" w:color="auto"/>
              <w:left w:val="single" w:sz="4" w:space="0" w:color="auto"/>
              <w:bottom w:val="single" w:sz="4" w:space="0" w:color="auto"/>
              <w:right w:val="single" w:sz="4" w:space="0" w:color="auto"/>
            </w:tcBorders>
            <w:hideMark/>
          </w:tcPr>
          <w:p w14:paraId="45D789D2" w14:textId="77777777" w:rsidR="00790817" w:rsidRPr="00497000" w:rsidRDefault="00790817">
            <w:pPr>
              <w:jc w:val="center"/>
              <w:outlineLvl w:val="0"/>
              <w:rPr>
                <w:rFonts w:eastAsia="SimSun"/>
                <w:color w:val="00B050"/>
                <w:sz w:val="24"/>
                <w:szCs w:val="24"/>
                <w:lang w:eastAsia="zh-CN"/>
              </w:rPr>
            </w:pPr>
            <w:r w:rsidRPr="00497000">
              <w:rPr>
                <w:sz w:val="24"/>
                <w:szCs w:val="24"/>
              </w:rPr>
              <w:t>4% (2%, 7%)</w:t>
            </w:r>
          </w:p>
        </w:tc>
      </w:tr>
      <w:tr w:rsidR="00790817" w:rsidRPr="00497000" w14:paraId="13788B72" w14:textId="77777777" w:rsidTr="00497000">
        <w:tc>
          <w:tcPr>
            <w:tcW w:w="931" w:type="pct"/>
            <w:tcBorders>
              <w:top w:val="single" w:sz="4" w:space="0" w:color="auto"/>
              <w:left w:val="single" w:sz="4" w:space="0" w:color="auto"/>
              <w:bottom w:val="single" w:sz="4" w:space="0" w:color="auto"/>
              <w:right w:val="single" w:sz="4" w:space="0" w:color="auto"/>
            </w:tcBorders>
            <w:hideMark/>
          </w:tcPr>
          <w:p w14:paraId="391F1C89" w14:textId="77777777" w:rsidR="00790817" w:rsidRPr="00497000" w:rsidRDefault="00790817">
            <w:pPr>
              <w:outlineLvl w:val="0"/>
              <w:rPr>
                <w:rFonts w:eastAsia="SimSun"/>
                <w:color w:val="00B050"/>
                <w:sz w:val="24"/>
                <w:szCs w:val="24"/>
                <w:lang w:eastAsia="zh-CN"/>
              </w:rPr>
            </w:pPr>
            <w:r w:rsidRPr="00497000">
              <w:rPr>
                <w:sz w:val="24"/>
                <w:szCs w:val="24"/>
              </w:rPr>
              <w:t>p-value</w:t>
            </w:r>
            <w:r w:rsidRPr="00497000">
              <w:rPr>
                <w:sz w:val="24"/>
                <w:szCs w:val="24"/>
                <w:vertAlign w:val="superscript"/>
              </w:rPr>
              <w:t>1</w:t>
            </w:r>
          </w:p>
        </w:tc>
        <w:tc>
          <w:tcPr>
            <w:tcW w:w="2044" w:type="pct"/>
            <w:gridSpan w:val="2"/>
            <w:tcBorders>
              <w:top w:val="single" w:sz="4" w:space="0" w:color="auto"/>
              <w:left w:val="single" w:sz="4" w:space="0" w:color="auto"/>
              <w:bottom w:val="single" w:sz="4" w:space="0" w:color="auto"/>
              <w:right w:val="single" w:sz="4" w:space="0" w:color="auto"/>
            </w:tcBorders>
            <w:hideMark/>
          </w:tcPr>
          <w:p w14:paraId="7996861D" w14:textId="77777777" w:rsidR="00790817" w:rsidRPr="00497000" w:rsidRDefault="00790817">
            <w:pPr>
              <w:jc w:val="center"/>
              <w:outlineLvl w:val="0"/>
              <w:rPr>
                <w:rFonts w:eastAsia="SimSun"/>
                <w:color w:val="00B050"/>
                <w:sz w:val="24"/>
                <w:szCs w:val="24"/>
                <w:lang w:eastAsia="zh-CN"/>
              </w:rPr>
            </w:pPr>
            <w:r w:rsidRPr="00497000">
              <w:rPr>
                <w:sz w:val="24"/>
                <w:szCs w:val="24"/>
              </w:rPr>
              <w:t>p&lt;0.0001</w:t>
            </w:r>
          </w:p>
        </w:tc>
        <w:tc>
          <w:tcPr>
            <w:tcW w:w="2025" w:type="pct"/>
            <w:gridSpan w:val="2"/>
            <w:tcBorders>
              <w:top w:val="single" w:sz="4" w:space="0" w:color="auto"/>
              <w:left w:val="single" w:sz="4" w:space="0" w:color="auto"/>
              <w:bottom w:val="single" w:sz="4" w:space="0" w:color="auto"/>
              <w:right w:val="single" w:sz="4" w:space="0" w:color="auto"/>
            </w:tcBorders>
            <w:hideMark/>
          </w:tcPr>
          <w:p w14:paraId="1EA3F847" w14:textId="77777777" w:rsidR="00790817" w:rsidRPr="00497000" w:rsidRDefault="00790817">
            <w:pPr>
              <w:jc w:val="center"/>
              <w:outlineLvl w:val="0"/>
              <w:rPr>
                <w:rFonts w:eastAsia="SimSun"/>
                <w:color w:val="00B050"/>
                <w:sz w:val="24"/>
                <w:szCs w:val="24"/>
                <w:lang w:eastAsia="zh-CN"/>
              </w:rPr>
            </w:pPr>
            <w:r w:rsidRPr="00497000">
              <w:rPr>
                <w:sz w:val="24"/>
                <w:szCs w:val="24"/>
              </w:rPr>
              <w:t>p&lt; 0.0001</w:t>
            </w:r>
          </w:p>
        </w:tc>
      </w:tr>
      <w:tr w:rsidR="00790817" w:rsidRPr="00497000" w14:paraId="7E51300E" w14:textId="77777777" w:rsidTr="00497000">
        <w:tc>
          <w:tcPr>
            <w:tcW w:w="931" w:type="pct"/>
            <w:tcBorders>
              <w:top w:val="single" w:sz="4" w:space="0" w:color="auto"/>
              <w:left w:val="single" w:sz="4" w:space="0" w:color="auto"/>
              <w:bottom w:val="single" w:sz="4" w:space="0" w:color="auto"/>
              <w:right w:val="single" w:sz="4" w:space="0" w:color="auto"/>
            </w:tcBorders>
            <w:hideMark/>
          </w:tcPr>
          <w:p w14:paraId="128A4B1D" w14:textId="77777777" w:rsidR="00790817" w:rsidRPr="00497000" w:rsidRDefault="00790817">
            <w:pPr>
              <w:outlineLvl w:val="0"/>
              <w:rPr>
                <w:rFonts w:eastAsia="SimSun"/>
                <w:color w:val="00B050"/>
                <w:sz w:val="24"/>
                <w:szCs w:val="24"/>
                <w:lang w:eastAsia="zh-CN"/>
              </w:rPr>
            </w:pPr>
            <w:r w:rsidRPr="00497000">
              <w:rPr>
                <w:sz w:val="24"/>
                <w:szCs w:val="24"/>
              </w:rPr>
              <w:t>Partial response</w:t>
            </w:r>
          </w:p>
        </w:tc>
        <w:tc>
          <w:tcPr>
            <w:tcW w:w="1022" w:type="pct"/>
            <w:tcBorders>
              <w:top w:val="single" w:sz="4" w:space="0" w:color="auto"/>
              <w:left w:val="single" w:sz="4" w:space="0" w:color="auto"/>
              <w:bottom w:val="single" w:sz="4" w:space="0" w:color="auto"/>
              <w:right w:val="single" w:sz="4" w:space="0" w:color="auto"/>
            </w:tcBorders>
            <w:hideMark/>
          </w:tcPr>
          <w:p w14:paraId="5E7061F0" w14:textId="77777777" w:rsidR="00790817" w:rsidRPr="00497000" w:rsidRDefault="00790817">
            <w:pPr>
              <w:jc w:val="center"/>
              <w:outlineLvl w:val="0"/>
              <w:rPr>
                <w:rFonts w:eastAsia="SimSun"/>
                <w:sz w:val="24"/>
                <w:szCs w:val="24"/>
                <w:lang w:eastAsia="zh-CN"/>
              </w:rPr>
            </w:pPr>
            <w:r w:rsidRPr="00497000">
              <w:rPr>
                <w:sz w:val="24"/>
                <w:szCs w:val="24"/>
              </w:rPr>
              <w:t>17%</w:t>
            </w:r>
          </w:p>
        </w:tc>
        <w:tc>
          <w:tcPr>
            <w:tcW w:w="1022" w:type="pct"/>
            <w:tcBorders>
              <w:top w:val="single" w:sz="4" w:space="0" w:color="auto"/>
              <w:left w:val="single" w:sz="4" w:space="0" w:color="auto"/>
              <w:bottom w:val="single" w:sz="4" w:space="0" w:color="auto"/>
              <w:right w:val="single" w:sz="4" w:space="0" w:color="auto"/>
            </w:tcBorders>
            <w:hideMark/>
          </w:tcPr>
          <w:p w14:paraId="186A1C31"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3%</w:t>
            </w:r>
          </w:p>
        </w:tc>
        <w:tc>
          <w:tcPr>
            <w:tcW w:w="1095" w:type="pct"/>
            <w:tcBorders>
              <w:top w:val="single" w:sz="4" w:space="0" w:color="auto"/>
              <w:left w:val="single" w:sz="4" w:space="0" w:color="auto"/>
              <w:bottom w:val="single" w:sz="4" w:space="0" w:color="auto"/>
              <w:right w:val="single" w:sz="4" w:space="0" w:color="auto"/>
            </w:tcBorders>
            <w:hideMark/>
          </w:tcPr>
          <w:p w14:paraId="39C83BC6"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24%</w:t>
            </w:r>
          </w:p>
        </w:tc>
        <w:tc>
          <w:tcPr>
            <w:tcW w:w="930" w:type="pct"/>
            <w:tcBorders>
              <w:top w:val="single" w:sz="4" w:space="0" w:color="auto"/>
              <w:left w:val="single" w:sz="4" w:space="0" w:color="auto"/>
              <w:bottom w:val="single" w:sz="4" w:space="0" w:color="auto"/>
              <w:right w:val="single" w:sz="4" w:space="0" w:color="auto"/>
            </w:tcBorders>
            <w:hideMark/>
          </w:tcPr>
          <w:p w14:paraId="51A9E8B4"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4%</w:t>
            </w:r>
          </w:p>
        </w:tc>
      </w:tr>
      <w:tr w:rsidR="00790817" w:rsidRPr="00497000" w14:paraId="3A112BD1" w14:textId="77777777" w:rsidTr="00497000">
        <w:tc>
          <w:tcPr>
            <w:tcW w:w="931" w:type="pct"/>
            <w:tcBorders>
              <w:top w:val="single" w:sz="4" w:space="0" w:color="auto"/>
              <w:left w:val="single" w:sz="4" w:space="0" w:color="auto"/>
              <w:bottom w:val="single" w:sz="4" w:space="0" w:color="auto"/>
              <w:right w:val="single" w:sz="4" w:space="0" w:color="auto"/>
            </w:tcBorders>
            <w:hideMark/>
          </w:tcPr>
          <w:p w14:paraId="0BAD9428" w14:textId="77777777" w:rsidR="00790817" w:rsidRPr="00497000" w:rsidRDefault="00790817">
            <w:pPr>
              <w:outlineLvl w:val="0"/>
              <w:rPr>
                <w:rFonts w:eastAsia="SimSun"/>
                <w:color w:val="00B050"/>
                <w:sz w:val="24"/>
                <w:szCs w:val="24"/>
                <w:lang w:val="en-US" w:eastAsia="zh-CN"/>
              </w:rPr>
            </w:pPr>
            <w:r w:rsidRPr="00497000">
              <w:rPr>
                <w:sz w:val="24"/>
                <w:szCs w:val="24"/>
                <w:lang w:val="en-US"/>
              </w:rPr>
              <w:t>Median time to first response, months (95% CI)</w:t>
            </w:r>
          </w:p>
        </w:tc>
        <w:tc>
          <w:tcPr>
            <w:tcW w:w="1022" w:type="pct"/>
            <w:tcBorders>
              <w:top w:val="single" w:sz="4" w:space="0" w:color="auto"/>
              <w:left w:val="single" w:sz="4" w:space="0" w:color="auto"/>
              <w:bottom w:val="single" w:sz="4" w:space="0" w:color="auto"/>
              <w:right w:val="single" w:sz="4" w:space="0" w:color="auto"/>
            </w:tcBorders>
            <w:hideMark/>
          </w:tcPr>
          <w:p w14:paraId="1D197ACE" w14:textId="77777777" w:rsidR="00790817" w:rsidRPr="00497000" w:rsidRDefault="00790817">
            <w:pPr>
              <w:jc w:val="center"/>
              <w:outlineLvl w:val="0"/>
              <w:rPr>
                <w:rFonts w:eastAsia="SimSun"/>
                <w:sz w:val="24"/>
                <w:szCs w:val="24"/>
                <w:lang w:eastAsia="zh-CN"/>
              </w:rPr>
            </w:pPr>
            <w:r w:rsidRPr="00497000">
              <w:rPr>
                <w:sz w:val="24"/>
                <w:szCs w:val="24"/>
              </w:rPr>
              <w:t>1.91 (1.6, 11.0)</w:t>
            </w:r>
          </w:p>
        </w:tc>
        <w:tc>
          <w:tcPr>
            <w:tcW w:w="1022" w:type="pct"/>
            <w:tcBorders>
              <w:top w:val="single" w:sz="4" w:space="0" w:color="auto"/>
              <w:left w:val="single" w:sz="4" w:space="0" w:color="auto"/>
              <w:bottom w:val="single" w:sz="4" w:space="0" w:color="auto"/>
              <w:right w:val="single" w:sz="4" w:space="0" w:color="auto"/>
            </w:tcBorders>
            <w:hideMark/>
          </w:tcPr>
          <w:p w14:paraId="7588F41E" w14:textId="77777777" w:rsidR="00790817" w:rsidRPr="00497000" w:rsidRDefault="00790817">
            <w:pPr>
              <w:jc w:val="center"/>
              <w:outlineLvl w:val="0"/>
              <w:rPr>
                <w:rFonts w:eastAsia="SimSun"/>
                <w:sz w:val="24"/>
                <w:szCs w:val="24"/>
                <w:lang w:eastAsia="zh-CN"/>
              </w:rPr>
            </w:pPr>
            <w:r w:rsidRPr="00497000">
              <w:rPr>
                <w:sz w:val="24"/>
                <w:szCs w:val="24"/>
              </w:rPr>
              <w:t>2.14 (1.9, 9.2)</w:t>
            </w:r>
          </w:p>
        </w:tc>
        <w:tc>
          <w:tcPr>
            <w:tcW w:w="1095" w:type="pct"/>
            <w:tcBorders>
              <w:top w:val="single" w:sz="4" w:space="0" w:color="auto"/>
              <w:left w:val="single" w:sz="4" w:space="0" w:color="auto"/>
              <w:bottom w:val="single" w:sz="4" w:space="0" w:color="auto"/>
              <w:right w:val="single" w:sz="4" w:space="0" w:color="auto"/>
            </w:tcBorders>
            <w:hideMark/>
          </w:tcPr>
          <w:p w14:paraId="220A2773" w14:textId="77777777" w:rsidR="00790817" w:rsidRPr="00497000" w:rsidRDefault="00790817">
            <w:pPr>
              <w:jc w:val="center"/>
              <w:outlineLvl w:val="0"/>
              <w:rPr>
                <w:rFonts w:eastAsia="SimSun"/>
                <w:sz w:val="24"/>
                <w:szCs w:val="24"/>
                <w:lang w:eastAsia="zh-CN"/>
              </w:rPr>
            </w:pPr>
            <w:r w:rsidRPr="00497000">
              <w:rPr>
                <w:sz w:val="24"/>
                <w:szCs w:val="24"/>
              </w:rPr>
              <w:t>1.91 (1.3, 9.8)</w:t>
            </w:r>
          </w:p>
        </w:tc>
        <w:tc>
          <w:tcPr>
            <w:tcW w:w="930" w:type="pct"/>
            <w:tcBorders>
              <w:top w:val="single" w:sz="4" w:space="0" w:color="auto"/>
              <w:left w:val="single" w:sz="4" w:space="0" w:color="auto"/>
              <w:bottom w:val="single" w:sz="4" w:space="0" w:color="auto"/>
              <w:right w:val="single" w:sz="4" w:space="0" w:color="auto"/>
            </w:tcBorders>
            <w:hideMark/>
          </w:tcPr>
          <w:p w14:paraId="7A9826B0" w14:textId="77777777" w:rsidR="00790817" w:rsidRPr="00497000" w:rsidRDefault="00790817">
            <w:pPr>
              <w:jc w:val="center"/>
              <w:outlineLvl w:val="0"/>
              <w:rPr>
                <w:rFonts w:eastAsia="SimSun"/>
                <w:sz w:val="24"/>
                <w:szCs w:val="24"/>
                <w:lang w:eastAsia="zh-CN"/>
              </w:rPr>
            </w:pPr>
            <w:r w:rsidRPr="00497000">
              <w:rPr>
                <w:sz w:val="24"/>
                <w:szCs w:val="24"/>
              </w:rPr>
              <w:t>3.50 (1.8, 5.6)</w:t>
            </w:r>
          </w:p>
        </w:tc>
      </w:tr>
      <w:tr w:rsidR="00790817" w:rsidRPr="00497000" w14:paraId="0E2E84FA" w14:textId="77777777" w:rsidTr="00497000">
        <w:tc>
          <w:tcPr>
            <w:tcW w:w="931" w:type="pct"/>
            <w:tcBorders>
              <w:top w:val="single" w:sz="4" w:space="0" w:color="auto"/>
              <w:left w:val="single" w:sz="4" w:space="0" w:color="auto"/>
              <w:bottom w:val="single" w:sz="4" w:space="0" w:color="auto"/>
              <w:right w:val="single" w:sz="4" w:space="0" w:color="auto"/>
            </w:tcBorders>
            <w:hideMark/>
          </w:tcPr>
          <w:p w14:paraId="3FCAD0C2" w14:textId="77777777" w:rsidR="00790817" w:rsidRPr="00497000" w:rsidRDefault="00790817">
            <w:pPr>
              <w:outlineLvl w:val="0"/>
              <w:rPr>
                <w:rFonts w:eastAsia="SimSun"/>
                <w:color w:val="00B050"/>
                <w:sz w:val="24"/>
                <w:szCs w:val="24"/>
                <w:lang w:val="en-US" w:eastAsia="zh-CN"/>
              </w:rPr>
            </w:pPr>
            <w:r w:rsidRPr="00497000">
              <w:rPr>
                <w:sz w:val="24"/>
                <w:szCs w:val="24"/>
                <w:lang w:val="en-US"/>
              </w:rPr>
              <w:t>Stable disease as best response</w:t>
            </w:r>
          </w:p>
        </w:tc>
        <w:tc>
          <w:tcPr>
            <w:tcW w:w="1022" w:type="pct"/>
            <w:tcBorders>
              <w:top w:val="single" w:sz="4" w:space="0" w:color="auto"/>
              <w:left w:val="single" w:sz="4" w:space="0" w:color="auto"/>
              <w:bottom w:val="single" w:sz="4" w:space="0" w:color="auto"/>
              <w:right w:val="single" w:sz="4" w:space="0" w:color="auto"/>
            </w:tcBorders>
            <w:hideMark/>
          </w:tcPr>
          <w:p w14:paraId="62B78887"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65%</w:t>
            </w:r>
          </w:p>
        </w:tc>
        <w:tc>
          <w:tcPr>
            <w:tcW w:w="1022" w:type="pct"/>
            <w:tcBorders>
              <w:top w:val="single" w:sz="4" w:space="0" w:color="auto"/>
              <w:left w:val="single" w:sz="4" w:space="0" w:color="auto"/>
              <w:bottom w:val="single" w:sz="4" w:space="0" w:color="auto"/>
              <w:right w:val="single" w:sz="4" w:space="0" w:color="auto"/>
            </w:tcBorders>
            <w:hideMark/>
          </w:tcPr>
          <w:p w14:paraId="35FD8C05"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62%</w:t>
            </w:r>
          </w:p>
        </w:tc>
        <w:tc>
          <w:tcPr>
            <w:tcW w:w="1095" w:type="pct"/>
            <w:tcBorders>
              <w:top w:val="single" w:sz="4" w:space="0" w:color="auto"/>
              <w:left w:val="single" w:sz="4" w:space="0" w:color="auto"/>
              <w:bottom w:val="single" w:sz="4" w:space="0" w:color="auto"/>
              <w:right w:val="single" w:sz="4" w:space="0" w:color="auto"/>
            </w:tcBorders>
            <w:hideMark/>
          </w:tcPr>
          <w:p w14:paraId="5AF161A6"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63%</w:t>
            </w:r>
          </w:p>
        </w:tc>
        <w:tc>
          <w:tcPr>
            <w:tcW w:w="930" w:type="pct"/>
            <w:tcBorders>
              <w:top w:val="single" w:sz="4" w:space="0" w:color="auto"/>
              <w:left w:val="single" w:sz="4" w:space="0" w:color="auto"/>
              <w:bottom w:val="single" w:sz="4" w:space="0" w:color="auto"/>
              <w:right w:val="single" w:sz="4" w:space="0" w:color="auto"/>
            </w:tcBorders>
            <w:hideMark/>
          </w:tcPr>
          <w:p w14:paraId="793C023B"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63%</w:t>
            </w:r>
          </w:p>
        </w:tc>
      </w:tr>
      <w:tr w:rsidR="00790817" w:rsidRPr="00497000" w14:paraId="427C5CE0" w14:textId="77777777" w:rsidTr="00497000">
        <w:tc>
          <w:tcPr>
            <w:tcW w:w="931" w:type="pct"/>
            <w:tcBorders>
              <w:top w:val="single" w:sz="4" w:space="0" w:color="auto"/>
              <w:left w:val="single" w:sz="4" w:space="0" w:color="auto"/>
              <w:bottom w:val="single" w:sz="4" w:space="0" w:color="auto"/>
              <w:right w:val="single" w:sz="4" w:space="0" w:color="auto"/>
            </w:tcBorders>
            <w:hideMark/>
          </w:tcPr>
          <w:p w14:paraId="29B021E5" w14:textId="77777777" w:rsidR="00790817" w:rsidRPr="00497000" w:rsidRDefault="00790817">
            <w:pPr>
              <w:outlineLvl w:val="0"/>
              <w:rPr>
                <w:rFonts w:eastAsia="SimSun"/>
                <w:color w:val="00B050"/>
                <w:sz w:val="24"/>
                <w:szCs w:val="24"/>
                <w:lang w:val="en-US" w:eastAsia="zh-CN"/>
              </w:rPr>
            </w:pPr>
            <w:r w:rsidRPr="00497000">
              <w:rPr>
                <w:sz w:val="24"/>
                <w:szCs w:val="24"/>
                <w:lang w:val="en-US"/>
              </w:rPr>
              <w:t>Progressive disease as best response</w:t>
            </w:r>
          </w:p>
        </w:tc>
        <w:tc>
          <w:tcPr>
            <w:tcW w:w="1022" w:type="pct"/>
            <w:tcBorders>
              <w:top w:val="single" w:sz="4" w:space="0" w:color="auto"/>
              <w:left w:val="single" w:sz="4" w:space="0" w:color="auto"/>
              <w:bottom w:val="single" w:sz="4" w:space="0" w:color="auto"/>
              <w:right w:val="single" w:sz="4" w:space="0" w:color="auto"/>
            </w:tcBorders>
            <w:hideMark/>
          </w:tcPr>
          <w:p w14:paraId="65111512"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12%</w:t>
            </w:r>
          </w:p>
        </w:tc>
        <w:tc>
          <w:tcPr>
            <w:tcW w:w="1022" w:type="pct"/>
            <w:tcBorders>
              <w:top w:val="single" w:sz="4" w:space="0" w:color="auto"/>
              <w:left w:val="single" w:sz="4" w:space="0" w:color="auto"/>
              <w:bottom w:val="single" w:sz="4" w:space="0" w:color="auto"/>
              <w:right w:val="single" w:sz="4" w:space="0" w:color="auto"/>
            </w:tcBorders>
            <w:hideMark/>
          </w:tcPr>
          <w:p w14:paraId="5B624D4C"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27%</w:t>
            </w:r>
          </w:p>
        </w:tc>
        <w:tc>
          <w:tcPr>
            <w:tcW w:w="1095" w:type="pct"/>
            <w:tcBorders>
              <w:top w:val="single" w:sz="4" w:space="0" w:color="auto"/>
              <w:left w:val="single" w:sz="4" w:space="0" w:color="auto"/>
              <w:bottom w:val="single" w:sz="4" w:space="0" w:color="auto"/>
              <w:right w:val="single" w:sz="4" w:space="0" w:color="auto"/>
            </w:tcBorders>
            <w:hideMark/>
          </w:tcPr>
          <w:p w14:paraId="653C3CD1"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9%</w:t>
            </w:r>
          </w:p>
        </w:tc>
        <w:tc>
          <w:tcPr>
            <w:tcW w:w="930" w:type="pct"/>
            <w:tcBorders>
              <w:top w:val="single" w:sz="4" w:space="0" w:color="auto"/>
              <w:left w:val="single" w:sz="4" w:space="0" w:color="auto"/>
              <w:bottom w:val="single" w:sz="4" w:space="0" w:color="auto"/>
              <w:right w:val="single" w:sz="4" w:space="0" w:color="auto"/>
            </w:tcBorders>
            <w:hideMark/>
          </w:tcPr>
          <w:p w14:paraId="52F60075"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27%</w:t>
            </w:r>
          </w:p>
        </w:tc>
      </w:tr>
    </w:tbl>
    <w:p w14:paraId="3803C515" w14:textId="77777777" w:rsidR="00790817" w:rsidRPr="008E3C43" w:rsidRDefault="00790817" w:rsidP="00790817">
      <w:pPr>
        <w:outlineLvl w:val="0"/>
        <w:rPr>
          <w:rFonts w:eastAsia="SimSun"/>
          <w:sz w:val="20"/>
          <w:lang w:val="en-GB" w:eastAsia="zh-CN"/>
        </w:rPr>
      </w:pPr>
      <w:r w:rsidRPr="008E3C43">
        <w:rPr>
          <w:rFonts w:eastAsia="SimSun"/>
          <w:sz w:val="20"/>
          <w:vertAlign w:val="superscript"/>
          <w:lang w:eastAsia="zh-CN"/>
        </w:rPr>
        <w:t>1</w:t>
      </w:r>
      <w:r w:rsidRPr="008E3C43">
        <w:rPr>
          <w:rFonts w:eastAsia="SimSun"/>
          <w:sz w:val="20"/>
          <w:lang w:eastAsia="zh-CN"/>
        </w:rPr>
        <w:t>chi-squared test</w:t>
      </w:r>
    </w:p>
    <w:p w14:paraId="03AC89F4" w14:textId="6FEA9B04" w:rsidR="00831A6B" w:rsidRDefault="00831A6B">
      <w:pPr>
        <w:rPr>
          <w:sz w:val="24"/>
          <w:szCs w:val="24"/>
          <w:lang w:eastAsia="en-US"/>
        </w:rPr>
      </w:pPr>
      <w:r>
        <w:rPr>
          <w:sz w:val="24"/>
          <w:szCs w:val="24"/>
          <w:lang w:eastAsia="en-US"/>
        </w:rPr>
        <w:br w:type="page"/>
      </w:r>
    </w:p>
    <w:p w14:paraId="1649E5F6" w14:textId="77777777" w:rsidR="00790817" w:rsidRPr="008E3C43" w:rsidRDefault="00790817" w:rsidP="00790817">
      <w:pPr>
        <w:ind w:left="567" w:hanging="567"/>
        <w:rPr>
          <w:sz w:val="24"/>
          <w:szCs w:val="24"/>
          <w:lang w:eastAsia="en-US"/>
        </w:rPr>
      </w:pPr>
    </w:p>
    <w:p w14:paraId="0D350885" w14:textId="77777777" w:rsidR="00790817" w:rsidRPr="008E3C43" w:rsidRDefault="00790817" w:rsidP="00497000">
      <w:pPr>
        <w:ind w:left="851"/>
        <w:rPr>
          <w:i/>
          <w:sz w:val="24"/>
          <w:szCs w:val="24"/>
          <w:u w:val="single"/>
          <w:lang w:val="en-US"/>
        </w:rPr>
      </w:pPr>
      <w:r w:rsidRPr="008E3C43">
        <w:rPr>
          <w:i/>
          <w:sz w:val="24"/>
          <w:szCs w:val="24"/>
          <w:u w:val="single"/>
          <w:lang w:val="en-US"/>
        </w:rPr>
        <w:t xml:space="preserve">Randomized study in treatment-naïve renal cell carcinoma patients (CABOSUN) </w:t>
      </w:r>
    </w:p>
    <w:p w14:paraId="4694969B" w14:textId="77777777" w:rsidR="00790817" w:rsidRPr="00497000" w:rsidRDefault="00790817" w:rsidP="00497000">
      <w:pPr>
        <w:ind w:left="851"/>
        <w:rPr>
          <w:sz w:val="24"/>
          <w:szCs w:val="24"/>
          <w:lang w:val="en-US"/>
        </w:rPr>
      </w:pPr>
      <w:r w:rsidRPr="00497000">
        <w:rPr>
          <w:sz w:val="24"/>
          <w:szCs w:val="24"/>
          <w:lang w:val="en-US"/>
        </w:rPr>
        <w:t xml:space="preserve">The safety and efficacy of cabozantinib for the treatment of treatment-naïve renal cell carcinoma were evaluated in a randomized, open-label, multicenter study (CABOSUN). Patients (N=157) with previously untreated, locally advanced or metastatic RCC with a clear cell component were randomized (1:1) to receive cabozantinib (N=79) or sunitinib (N=78). Patients had to have intermediate or poor risk disease as defined by the International Metastatic RCC Database Consortium (IMDC) risk group categories. Patients were stratified by IMDC risk group and presence of bone metastases (yes/no). Approximately 75% of patients had a nephrectomy prior to onset of treatment. </w:t>
      </w:r>
    </w:p>
    <w:p w14:paraId="4D628C4D" w14:textId="77777777" w:rsidR="00790817" w:rsidRPr="008E3C43" w:rsidRDefault="00790817" w:rsidP="00497000">
      <w:pPr>
        <w:ind w:left="851"/>
        <w:rPr>
          <w:sz w:val="24"/>
          <w:szCs w:val="24"/>
          <w:lang w:val="en-US"/>
        </w:rPr>
      </w:pPr>
    </w:p>
    <w:p w14:paraId="58AD5790" w14:textId="42143C96" w:rsidR="00790817" w:rsidRPr="00497000" w:rsidRDefault="00790817" w:rsidP="00497000">
      <w:pPr>
        <w:ind w:left="851"/>
        <w:rPr>
          <w:sz w:val="24"/>
          <w:szCs w:val="24"/>
          <w:lang w:val="en-US"/>
        </w:rPr>
      </w:pPr>
      <w:r w:rsidRPr="00497000">
        <w:rPr>
          <w:sz w:val="24"/>
          <w:szCs w:val="24"/>
          <w:lang w:val="en-US"/>
        </w:rPr>
        <w:t>For intermediate risk disease, one or two of the following risk factors were met, while for poor risk, three or more factors were met: time from diagnosis of RCC to systemic treatment &lt; 1 year, Hgb &lt; LLN, corrected calcium &gt; ULN, KPS &lt; 80%, neutrophil count &gt;</w:t>
      </w:r>
      <w:r w:rsidR="00831A6B">
        <w:rPr>
          <w:sz w:val="24"/>
          <w:szCs w:val="24"/>
          <w:lang w:val="en-US"/>
        </w:rPr>
        <w:t> </w:t>
      </w:r>
      <w:r w:rsidRPr="00497000">
        <w:rPr>
          <w:sz w:val="24"/>
          <w:szCs w:val="24"/>
          <w:lang w:val="en-US"/>
        </w:rPr>
        <w:t xml:space="preserve">ULN and platelet count &gt; ULN. </w:t>
      </w:r>
    </w:p>
    <w:p w14:paraId="0D05173E" w14:textId="77777777" w:rsidR="00790817" w:rsidRPr="00497000" w:rsidRDefault="00790817" w:rsidP="00497000">
      <w:pPr>
        <w:ind w:left="851"/>
        <w:rPr>
          <w:sz w:val="24"/>
          <w:szCs w:val="24"/>
          <w:lang w:val="en-US"/>
        </w:rPr>
      </w:pPr>
    </w:p>
    <w:p w14:paraId="17595688" w14:textId="77777777" w:rsidR="00790817" w:rsidRPr="00497000" w:rsidRDefault="00790817" w:rsidP="00497000">
      <w:pPr>
        <w:ind w:left="851"/>
        <w:rPr>
          <w:sz w:val="24"/>
          <w:szCs w:val="24"/>
          <w:lang w:val="en-US"/>
        </w:rPr>
      </w:pPr>
      <w:r w:rsidRPr="00497000">
        <w:rPr>
          <w:sz w:val="24"/>
          <w:szCs w:val="24"/>
          <w:lang w:val="en-US"/>
        </w:rPr>
        <w:t xml:space="preserve">The primary endpoint was PFS. Secondary efficacy endpoints were objective response rate (ORR) and overall survival (OS). Tumour assessments were conducted every 12 weeks. </w:t>
      </w:r>
    </w:p>
    <w:p w14:paraId="59594AF0" w14:textId="77777777" w:rsidR="00790817" w:rsidRPr="00497000" w:rsidRDefault="00790817" w:rsidP="00497000">
      <w:pPr>
        <w:ind w:left="851"/>
        <w:rPr>
          <w:sz w:val="24"/>
          <w:szCs w:val="24"/>
          <w:lang w:val="en-US"/>
        </w:rPr>
      </w:pPr>
    </w:p>
    <w:p w14:paraId="519CC77B" w14:textId="77777777" w:rsidR="00790817" w:rsidRPr="00497000" w:rsidRDefault="00790817" w:rsidP="00497000">
      <w:pPr>
        <w:ind w:left="851"/>
        <w:rPr>
          <w:sz w:val="24"/>
          <w:szCs w:val="24"/>
          <w:lang w:val="en-US"/>
        </w:rPr>
      </w:pPr>
      <w:r w:rsidRPr="00497000">
        <w:rPr>
          <w:sz w:val="24"/>
          <w:szCs w:val="24"/>
          <w:lang w:val="en-US"/>
        </w:rPr>
        <w:t xml:space="preserve">The baseline demographic and disease characteristics were similar between the cabozantinib and sunitinib arms. The majority of the patients were male (78%) with a median age of 62 years. Patient distribution by IMDC risk groups was 81% intermediate (1-2 risk factors) and 19% poor (≥3 risk factors). Most patients (87%) had ECOG performance status of 0 or 1; 13% had an ECOG performance status of 2. Thirty-six percent (36%) of patients had bone metastases. </w:t>
      </w:r>
    </w:p>
    <w:p w14:paraId="069DA1EA" w14:textId="77777777" w:rsidR="00790817" w:rsidRPr="00497000" w:rsidRDefault="00790817" w:rsidP="00497000">
      <w:pPr>
        <w:ind w:left="851"/>
        <w:rPr>
          <w:sz w:val="24"/>
          <w:szCs w:val="24"/>
          <w:lang w:val="en-US"/>
        </w:rPr>
      </w:pPr>
    </w:p>
    <w:p w14:paraId="68593485" w14:textId="77777777" w:rsidR="00790817" w:rsidRPr="00497000" w:rsidRDefault="00790817" w:rsidP="00497000">
      <w:pPr>
        <w:ind w:left="851"/>
        <w:rPr>
          <w:sz w:val="24"/>
          <w:szCs w:val="24"/>
          <w:lang w:val="en-US"/>
        </w:rPr>
      </w:pPr>
      <w:r w:rsidRPr="00497000">
        <w:rPr>
          <w:sz w:val="24"/>
          <w:szCs w:val="24"/>
          <w:lang w:val="en-US"/>
        </w:rPr>
        <w:t xml:space="preserve">A statistically significant improvement in PFS as retrospectively assessed by a blinded Independent Radiology Committee (IRC) was demonstrated for cabozantinib compared to sunitinib (Figure 3 and Table 6). The results from the investigator determined analysis and IRC-determined analysis of PFS were consistent. </w:t>
      </w:r>
    </w:p>
    <w:p w14:paraId="4140BA18" w14:textId="77777777" w:rsidR="00790817" w:rsidRPr="00497000" w:rsidRDefault="00790817" w:rsidP="00497000">
      <w:pPr>
        <w:ind w:left="851"/>
        <w:rPr>
          <w:sz w:val="24"/>
          <w:szCs w:val="24"/>
          <w:lang w:val="en-US"/>
        </w:rPr>
      </w:pPr>
    </w:p>
    <w:p w14:paraId="6B2FF425" w14:textId="77777777" w:rsidR="00790817" w:rsidRPr="00497000" w:rsidRDefault="00790817" w:rsidP="00497000">
      <w:pPr>
        <w:ind w:left="851"/>
        <w:rPr>
          <w:sz w:val="24"/>
          <w:szCs w:val="24"/>
          <w:lang w:val="en-US"/>
        </w:rPr>
      </w:pPr>
      <w:r w:rsidRPr="00497000">
        <w:rPr>
          <w:sz w:val="24"/>
          <w:szCs w:val="24"/>
          <w:lang w:val="en-US"/>
        </w:rPr>
        <w:t xml:space="preserve">Patients with both positive and negative MET status showed a favourable effect with cabozantinib compared to sunitinib, with greater activity in patients with a positive MET status compared to patients with a negative MET status (HR=0.32 (0.16, 0.63) vs 0.67 (0.37, 1.23)) respectively. </w:t>
      </w:r>
    </w:p>
    <w:p w14:paraId="29B62FF2" w14:textId="77777777" w:rsidR="00790817" w:rsidRPr="00497000" w:rsidRDefault="00790817" w:rsidP="00497000">
      <w:pPr>
        <w:ind w:left="851"/>
        <w:rPr>
          <w:sz w:val="24"/>
          <w:szCs w:val="24"/>
          <w:lang w:val="en-US"/>
        </w:rPr>
      </w:pPr>
    </w:p>
    <w:p w14:paraId="4D5A1E2C" w14:textId="77777777" w:rsidR="00790817" w:rsidRPr="00497000" w:rsidRDefault="00790817" w:rsidP="00497000">
      <w:pPr>
        <w:ind w:left="851"/>
        <w:rPr>
          <w:sz w:val="24"/>
          <w:szCs w:val="24"/>
          <w:lang w:val="en-US"/>
        </w:rPr>
      </w:pPr>
      <w:r w:rsidRPr="00497000">
        <w:rPr>
          <w:sz w:val="24"/>
          <w:szCs w:val="24"/>
          <w:lang w:val="en-US"/>
        </w:rPr>
        <w:t xml:space="preserve">Cabozantinib treatment was associated with a trend for longer survival compared to sunitinib (Table 6). The study was not powered for the OS analysis and the data are immature. </w:t>
      </w:r>
    </w:p>
    <w:p w14:paraId="15444DDC" w14:textId="77777777" w:rsidR="00790817" w:rsidRPr="00497000" w:rsidRDefault="00790817" w:rsidP="00497000">
      <w:pPr>
        <w:ind w:left="851"/>
        <w:rPr>
          <w:sz w:val="24"/>
          <w:szCs w:val="24"/>
          <w:lang w:val="en-US"/>
        </w:rPr>
      </w:pPr>
    </w:p>
    <w:p w14:paraId="786BBC85" w14:textId="6142DECD" w:rsidR="00790817" w:rsidRDefault="00790817" w:rsidP="00497000">
      <w:pPr>
        <w:ind w:left="851"/>
        <w:rPr>
          <w:sz w:val="24"/>
          <w:szCs w:val="24"/>
          <w:lang w:val="en-US"/>
        </w:rPr>
      </w:pPr>
      <w:r w:rsidRPr="00497000">
        <w:rPr>
          <w:sz w:val="24"/>
          <w:szCs w:val="24"/>
          <w:lang w:val="en-US"/>
        </w:rPr>
        <w:t>Objective response rate (ORR) findings are summarized in Table 6.</w:t>
      </w:r>
    </w:p>
    <w:p w14:paraId="5D6A3936" w14:textId="77777777" w:rsidR="008E3C43" w:rsidRPr="00497000" w:rsidRDefault="008E3C43" w:rsidP="00497000">
      <w:pPr>
        <w:ind w:left="851"/>
        <w:rPr>
          <w:sz w:val="24"/>
          <w:szCs w:val="24"/>
          <w:lang w:val="en-US"/>
        </w:rPr>
      </w:pPr>
    </w:p>
    <w:p w14:paraId="582C4515" w14:textId="77777777" w:rsidR="00790817" w:rsidRPr="00497000" w:rsidRDefault="00790817" w:rsidP="008E3C43">
      <w:pPr>
        <w:keepNext/>
        <w:outlineLvl w:val="0"/>
        <w:rPr>
          <w:b/>
          <w:sz w:val="24"/>
          <w:szCs w:val="24"/>
          <w:lang w:val="en-US"/>
        </w:rPr>
      </w:pPr>
      <w:r w:rsidRPr="00497000">
        <w:rPr>
          <w:b/>
          <w:sz w:val="24"/>
          <w:szCs w:val="24"/>
          <w:lang w:val="en-US"/>
        </w:rPr>
        <w:lastRenderedPageBreak/>
        <w:t>Figure 3: Kaplan Meier curve for progression-free survival by IRC in treatment-naïve RCC subjects</w:t>
      </w:r>
    </w:p>
    <w:p w14:paraId="35631FC1" w14:textId="77777777" w:rsidR="00790817" w:rsidRPr="00497000" w:rsidRDefault="00790817" w:rsidP="008E3C43">
      <w:pPr>
        <w:keepNext/>
        <w:outlineLvl w:val="0"/>
        <w:rPr>
          <w:sz w:val="24"/>
          <w:szCs w:val="24"/>
          <w:lang w:val="en-US"/>
        </w:rPr>
      </w:pPr>
    </w:p>
    <w:p w14:paraId="36C602E2" w14:textId="2F0DD70E" w:rsidR="00790817" w:rsidRPr="00497000" w:rsidRDefault="00790817" w:rsidP="008E3C43">
      <w:pPr>
        <w:keepNext/>
        <w:outlineLvl w:val="0"/>
        <w:rPr>
          <w:sz w:val="24"/>
          <w:szCs w:val="24"/>
        </w:rPr>
      </w:pPr>
      <w:r w:rsidRPr="00497000">
        <w:rPr>
          <w:noProof/>
          <w:sz w:val="24"/>
          <w:szCs w:val="24"/>
        </w:rPr>
        <w:drawing>
          <wp:inline distT="0" distB="0" distL="0" distR="0" wp14:anchorId="5A6F0A46" wp14:editId="0EE62B0A">
            <wp:extent cx="5692140" cy="3649980"/>
            <wp:effectExtent l="0" t="0" r="3810" b="762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2140" cy="3649980"/>
                    </a:xfrm>
                    <a:prstGeom prst="rect">
                      <a:avLst/>
                    </a:prstGeom>
                    <a:noFill/>
                    <a:ln>
                      <a:noFill/>
                    </a:ln>
                  </pic:spPr>
                </pic:pic>
              </a:graphicData>
            </a:graphic>
          </wp:inline>
        </w:drawing>
      </w:r>
    </w:p>
    <w:p w14:paraId="6500A7F1" w14:textId="77777777" w:rsidR="00790817" w:rsidRPr="00497000" w:rsidRDefault="00790817" w:rsidP="008E3C43">
      <w:pPr>
        <w:outlineLvl w:val="0"/>
        <w:rPr>
          <w:noProof/>
          <w:sz w:val="24"/>
          <w:szCs w:val="24"/>
          <w:lang w:eastAsia="en-GB"/>
        </w:rPr>
      </w:pPr>
    </w:p>
    <w:p w14:paraId="6537A503" w14:textId="77777777" w:rsidR="00790817" w:rsidRPr="00497000" w:rsidRDefault="00790817" w:rsidP="00790817">
      <w:pPr>
        <w:outlineLvl w:val="0"/>
        <w:rPr>
          <w:rFonts w:eastAsia="SimSun"/>
          <w:b/>
          <w:color w:val="00B050"/>
          <w:sz w:val="24"/>
          <w:szCs w:val="24"/>
          <w:lang w:val="en-US" w:eastAsia="zh-CN"/>
        </w:rPr>
      </w:pPr>
      <w:r w:rsidRPr="00497000">
        <w:rPr>
          <w:b/>
          <w:sz w:val="24"/>
          <w:szCs w:val="24"/>
          <w:lang w:val="en-US"/>
        </w:rPr>
        <w:t>Table 6: Efficacy results in treatment-naïve RCC subjects (ITT population, CABOSUN)</w:t>
      </w:r>
    </w:p>
    <w:p w14:paraId="22C2437A" w14:textId="77777777" w:rsidR="00790817" w:rsidRPr="00497000" w:rsidRDefault="00790817" w:rsidP="00790817">
      <w:pPr>
        <w:outlineLvl w:val="0"/>
        <w:rPr>
          <w:sz w:val="24"/>
          <w:szCs w:val="24"/>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2938"/>
        <w:gridCol w:w="2463"/>
      </w:tblGrid>
      <w:tr w:rsidR="00790817" w:rsidRPr="00497000" w14:paraId="4BC4DFCA" w14:textId="77777777" w:rsidTr="00497000">
        <w:tc>
          <w:tcPr>
            <w:tcW w:w="2195" w:type="pct"/>
            <w:tcBorders>
              <w:top w:val="single" w:sz="4" w:space="0" w:color="auto"/>
              <w:left w:val="single" w:sz="4" w:space="0" w:color="auto"/>
              <w:bottom w:val="single" w:sz="4" w:space="0" w:color="auto"/>
              <w:right w:val="single" w:sz="4" w:space="0" w:color="auto"/>
            </w:tcBorders>
          </w:tcPr>
          <w:p w14:paraId="11A35B91" w14:textId="77777777" w:rsidR="00790817" w:rsidRPr="00497000" w:rsidRDefault="00790817">
            <w:pPr>
              <w:outlineLvl w:val="0"/>
              <w:rPr>
                <w:rFonts w:eastAsia="SimSun"/>
                <w:color w:val="00B050"/>
                <w:sz w:val="24"/>
                <w:szCs w:val="24"/>
                <w:lang w:val="en-US" w:eastAsia="zh-CN"/>
              </w:rPr>
            </w:pPr>
          </w:p>
        </w:tc>
        <w:tc>
          <w:tcPr>
            <w:tcW w:w="1526" w:type="pct"/>
            <w:tcBorders>
              <w:top w:val="single" w:sz="4" w:space="0" w:color="auto"/>
              <w:left w:val="single" w:sz="4" w:space="0" w:color="auto"/>
              <w:bottom w:val="single" w:sz="4" w:space="0" w:color="auto"/>
              <w:right w:val="single" w:sz="4" w:space="0" w:color="auto"/>
            </w:tcBorders>
            <w:hideMark/>
          </w:tcPr>
          <w:p w14:paraId="42FC7EA6" w14:textId="77777777" w:rsidR="00790817" w:rsidRPr="00497000" w:rsidRDefault="00790817">
            <w:pPr>
              <w:jc w:val="center"/>
              <w:outlineLvl w:val="0"/>
              <w:rPr>
                <w:b/>
                <w:sz w:val="24"/>
                <w:szCs w:val="24"/>
                <w:lang w:eastAsia="en-US"/>
              </w:rPr>
            </w:pPr>
            <w:r w:rsidRPr="00497000">
              <w:rPr>
                <w:b/>
                <w:sz w:val="24"/>
                <w:szCs w:val="24"/>
              </w:rPr>
              <w:t>Cabozantinib</w:t>
            </w:r>
          </w:p>
          <w:p w14:paraId="6B939040" w14:textId="77777777" w:rsidR="00790817" w:rsidRPr="00497000" w:rsidRDefault="00790817">
            <w:pPr>
              <w:jc w:val="center"/>
              <w:outlineLvl w:val="0"/>
              <w:rPr>
                <w:rFonts w:eastAsia="SimSun"/>
                <w:b/>
                <w:color w:val="00B050"/>
                <w:sz w:val="24"/>
                <w:szCs w:val="24"/>
                <w:lang w:eastAsia="zh-CN"/>
              </w:rPr>
            </w:pPr>
            <w:r w:rsidRPr="00497000">
              <w:rPr>
                <w:b/>
                <w:sz w:val="24"/>
                <w:szCs w:val="24"/>
              </w:rPr>
              <w:t>(N=79)</w:t>
            </w:r>
          </w:p>
        </w:tc>
        <w:tc>
          <w:tcPr>
            <w:tcW w:w="1279" w:type="pct"/>
            <w:tcBorders>
              <w:top w:val="single" w:sz="4" w:space="0" w:color="auto"/>
              <w:left w:val="single" w:sz="4" w:space="0" w:color="auto"/>
              <w:bottom w:val="single" w:sz="4" w:space="0" w:color="auto"/>
              <w:right w:val="single" w:sz="4" w:space="0" w:color="auto"/>
            </w:tcBorders>
            <w:hideMark/>
          </w:tcPr>
          <w:p w14:paraId="1711E150" w14:textId="77777777" w:rsidR="00790817" w:rsidRPr="00497000" w:rsidRDefault="00790817">
            <w:pPr>
              <w:jc w:val="center"/>
              <w:outlineLvl w:val="0"/>
              <w:rPr>
                <w:b/>
                <w:sz w:val="24"/>
                <w:szCs w:val="24"/>
                <w:lang w:eastAsia="en-US"/>
              </w:rPr>
            </w:pPr>
            <w:r w:rsidRPr="00497000">
              <w:rPr>
                <w:b/>
                <w:sz w:val="24"/>
                <w:szCs w:val="24"/>
              </w:rPr>
              <w:t xml:space="preserve">Sunitinib </w:t>
            </w:r>
          </w:p>
          <w:p w14:paraId="23FD697F" w14:textId="77777777" w:rsidR="00790817" w:rsidRPr="00497000" w:rsidRDefault="00790817">
            <w:pPr>
              <w:jc w:val="center"/>
              <w:outlineLvl w:val="0"/>
              <w:rPr>
                <w:rFonts w:eastAsia="SimSun"/>
                <w:b/>
                <w:color w:val="00B050"/>
                <w:sz w:val="24"/>
                <w:szCs w:val="24"/>
                <w:lang w:eastAsia="zh-CN"/>
              </w:rPr>
            </w:pPr>
            <w:r w:rsidRPr="00497000">
              <w:rPr>
                <w:b/>
                <w:sz w:val="24"/>
                <w:szCs w:val="24"/>
              </w:rPr>
              <w:t>(N=78)</w:t>
            </w:r>
          </w:p>
        </w:tc>
      </w:tr>
      <w:tr w:rsidR="00790817" w:rsidRPr="002922BC" w14:paraId="16594459" w14:textId="77777777" w:rsidTr="00497000">
        <w:tc>
          <w:tcPr>
            <w:tcW w:w="5000" w:type="pct"/>
            <w:gridSpan w:val="3"/>
            <w:tcBorders>
              <w:top w:val="single" w:sz="4" w:space="0" w:color="auto"/>
              <w:left w:val="single" w:sz="4" w:space="0" w:color="auto"/>
              <w:bottom w:val="single" w:sz="4" w:space="0" w:color="auto"/>
              <w:right w:val="single" w:sz="4" w:space="0" w:color="auto"/>
            </w:tcBorders>
            <w:hideMark/>
          </w:tcPr>
          <w:p w14:paraId="5ACA1A21" w14:textId="77777777" w:rsidR="00790817" w:rsidRPr="00497000" w:rsidRDefault="00790817">
            <w:pPr>
              <w:outlineLvl w:val="0"/>
              <w:rPr>
                <w:rFonts w:eastAsia="SimSun"/>
                <w:b/>
                <w:color w:val="00B050"/>
                <w:sz w:val="24"/>
                <w:szCs w:val="24"/>
                <w:u w:val="single"/>
                <w:lang w:val="en-US" w:eastAsia="zh-CN"/>
              </w:rPr>
            </w:pPr>
            <w:r w:rsidRPr="00497000">
              <w:rPr>
                <w:b/>
                <w:sz w:val="24"/>
                <w:szCs w:val="24"/>
                <w:u w:val="single"/>
                <w:lang w:val="en-US"/>
              </w:rPr>
              <w:t xml:space="preserve">Progression-free survival (PFS) by IRC </w:t>
            </w:r>
            <w:r w:rsidRPr="00497000">
              <w:rPr>
                <w:b/>
                <w:sz w:val="24"/>
                <w:szCs w:val="24"/>
                <w:u w:val="single"/>
                <w:vertAlign w:val="superscript"/>
                <w:lang w:val="en-US"/>
              </w:rPr>
              <w:t>a</w:t>
            </w:r>
          </w:p>
        </w:tc>
      </w:tr>
      <w:tr w:rsidR="00790817" w:rsidRPr="00497000" w14:paraId="0C3945E2"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799FD46F" w14:textId="77777777" w:rsidR="00790817" w:rsidRPr="00497000" w:rsidRDefault="00790817">
            <w:pPr>
              <w:rPr>
                <w:b/>
                <w:sz w:val="24"/>
                <w:szCs w:val="24"/>
                <w:lang w:val="en-US" w:eastAsia="en-US"/>
              </w:rPr>
            </w:pPr>
            <w:r w:rsidRPr="00497000">
              <w:rPr>
                <w:b/>
                <w:sz w:val="24"/>
                <w:szCs w:val="24"/>
                <w:lang w:val="en-US"/>
              </w:rPr>
              <w:t>Median PFS in months (95% CI)</w:t>
            </w:r>
          </w:p>
        </w:tc>
        <w:tc>
          <w:tcPr>
            <w:tcW w:w="1526" w:type="pct"/>
            <w:tcBorders>
              <w:top w:val="single" w:sz="4" w:space="0" w:color="auto"/>
              <w:left w:val="single" w:sz="4" w:space="0" w:color="auto"/>
              <w:bottom w:val="single" w:sz="4" w:space="0" w:color="auto"/>
              <w:right w:val="single" w:sz="4" w:space="0" w:color="auto"/>
            </w:tcBorders>
            <w:hideMark/>
          </w:tcPr>
          <w:p w14:paraId="03A598D2" w14:textId="77777777" w:rsidR="00790817" w:rsidRPr="00497000" w:rsidRDefault="00790817">
            <w:pPr>
              <w:jc w:val="center"/>
              <w:rPr>
                <w:b/>
                <w:sz w:val="24"/>
                <w:szCs w:val="24"/>
              </w:rPr>
            </w:pPr>
            <w:r w:rsidRPr="00497000">
              <w:rPr>
                <w:b/>
                <w:sz w:val="24"/>
                <w:szCs w:val="24"/>
              </w:rPr>
              <w:t>8.6 (6.2, 14.0)</w:t>
            </w:r>
          </w:p>
        </w:tc>
        <w:tc>
          <w:tcPr>
            <w:tcW w:w="1279" w:type="pct"/>
            <w:tcBorders>
              <w:top w:val="single" w:sz="4" w:space="0" w:color="auto"/>
              <w:left w:val="single" w:sz="4" w:space="0" w:color="auto"/>
              <w:bottom w:val="single" w:sz="4" w:space="0" w:color="auto"/>
              <w:right w:val="single" w:sz="4" w:space="0" w:color="auto"/>
            </w:tcBorders>
            <w:hideMark/>
          </w:tcPr>
          <w:p w14:paraId="02E45263" w14:textId="77777777" w:rsidR="00790817" w:rsidRPr="00497000" w:rsidRDefault="00790817">
            <w:pPr>
              <w:jc w:val="center"/>
              <w:rPr>
                <w:b/>
                <w:sz w:val="24"/>
                <w:szCs w:val="24"/>
              </w:rPr>
            </w:pPr>
            <w:r w:rsidRPr="00497000">
              <w:rPr>
                <w:b/>
                <w:sz w:val="24"/>
                <w:szCs w:val="24"/>
              </w:rPr>
              <w:t>5.3 (3.0, 8.2)</w:t>
            </w:r>
          </w:p>
        </w:tc>
      </w:tr>
      <w:tr w:rsidR="00790817" w:rsidRPr="00497000" w14:paraId="1D1C8C6C"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0C3A9F23" w14:textId="77777777" w:rsidR="00790817" w:rsidRPr="00497000" w:rsidRDefault="00790817">
            <w:pPr>
              <w:outlineLvl w:val="0"/>
              <w:rPr>
                <w:rFonts w:eastAsia="SimSun"/>
                <w:color w:val="00B050"/>
                <w:sz w:val="24"/>
                <w:szCs w:val="24"/>
                <w:lang w:val="fr-FR" w:eastAsia="zh-CN"/>
              </w:rPr>
            </w:pPr>
            <w:r w:rsidRPr="00497000">
              <w:rPr>
                <w:sz w:val="24"/>
                <w:szCs w:val="24"/>
                <w:lang w:val="fr-FR"/>
              </w:rPr>
              <w:t xml:space="preserve">HR (95% CI); stratified </w:t>
            </w:r>
            <w:r w:rsidRPr="00497000">
              <w:rPr>
                <w:sz w:val="24"/>
                <w:szCs w:val="24"/>
                <w:vertAlign w:val="superscript"/>
                <w:lang w:val="fr-FR"/>
              </w:rPr>
              <w:t>b,c</w:t>
            </w:r>
          </w:p>
        </w:tc>
        <w:tc>
          <w:tcPr>
            <w:tcW w:w="2805" w:type="pct"/>
            <w:gridSpan w:val="2"/>
            <w:tcBorders>
              <w:top w:val="single" w:sz="4" w:space="0" w:color="auto"/>
              <w:left w:val="single" w:sz="4" w:space="0" w:color="auto"/>
              <w:bottom w:val="single" w:sz="4" w:space="0" w:color="auto"/>
              <w:right w:val="single" w:sz="4" w:space="0" w:color="auto"/>
            </w:tcBorders>
            <w:hideMark/>
          </w:tcPr>
          <w:p w14:paraId="3FF7B661" w14:textId="77777777" w:rsidR="00790817" w:rsidRPr="00497000" w:rsidRDefault="00790817">
            <w:pPr>
              <w:jc w:val="center"/>
              <w:outlineLvl w:val="0"/>
              <w:rPr>
                <w:rFonts w:eastAsia="SimSun"/>
                <w:color w:val="00B050"/>
                <w:sz w:val="24"/>
                <w:szCs w:val="24"/>
                <w:u w:val="single"/>
                <w:lang w:val="en-GB" w:eastAsia="zh-CN"/>
              </w:rPr>
            </w:pPr>
            <w:r w:rsidRPr="00497000">
              <w:rPr>
                <w:sz w:val="24"/>
                <w:szCs w:val="24"/>
                <w:u w:val="single"/>
              </w:rPr>
              <w:t>0.48 (0.32, 0.73)</w:t>
            </w:r>
          </w:p>
        </w:tc>
      </w:tr>
      <w:tr w:rsidR="00790817" w:rsidRPr="00497000" w14:paraId="71181AFE"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6B43CE5E" w14:textId="77777777" w:rsidR="00790817" w:rsidRPr="00497000" w:rsidRDefault="00790817">
            <w:pPr>
              <w:outlineLvl w:val="0"/>
              <w:rPr>
                <w:rFonts w:eastAsia="SimSun"/>
                <w:color w:val="00B050"/>
                <w:sz w:val="24"/>
                <w:szCs w:val="24"/>
                <w:lang w:val="en-US" w:eastAsia="zh-CN"/>
              </w:rPr>
            </w:pPr>
            <w:r w:rsidRPr="00497000">
              <w:rPr>
                <w:sz w:val="24"/>
                <w:szCs w:val="24"/>
                <w:lang w:val="en-US"/>
              </w:rPr>
              <w:t xml:space="preserve">Two-sided log-rank p-value: stratified </w:t>
            </w:r>
            <w:r w:rsidRPr="00497000">
              <w:rPr>
                <w:sz w:val="24"/>
                <w:szCs w:val="24"/>
                <w:vertAlign w:val="superscript"/>
                <w:lang w:val="en-US"/>
              </w:rPr>
              <w:t>b</w:t>
            </w:r>
          </w:p>
        </w:tc>
        <w:tc>
          <w:tcPr>
            <w:tcW w:w="2805" w:type="pct"/>
            <w:gridSpan w:val="2"/>
            <w:tcBorders>
              <w:top w:val="single" w:sz="4" w:space="0" w:color="auto"/>
              <w:left w:val="single" w:sz="4" w:space="0" w:color="auto"/>
              <w:bottom w:val="single" w:sz="4" w:space="0" w:color="auto"/>
              <w:right w:val="single" w:sz="4" w:space="0" w:color="auto"/>
            </w:tcBorders>
            <w:hideMark/>
          </w:tcPr>
          <w:p w14:paraId="2350E2C3" w14:textId="77777777" w:rsidR="00790817" w:rsidRPr="00497000" w:rsidRDefault="00790817">
            <w:pPr>
              <w:jc w:val="center"/>
              <w:outlineLvl w:val="0"/>
              <w:rPr>
                <w:rFonts w:eastAsia="SimSun"/>
                <w:color w:val="00B050"/>
                <w:sz w:val="24"/>
                <w:szCs w:val="24"/>
                <w:lang w:eastAsia="zh-CN"/>
              </w:rPr>
            </w:pPr>
            <w:r w:rsidRPr="00497000">
              <w:rPr>
                <w:sz w:val="24"/>
                <w:szCs w:val="24"/>
              </w:rPr>
              <w:t>p=0.0005</w:t>
            </w:r>
          </w:p>
        </w:tc>
      </w:tr>
      <w:tr w:rsidR="00790817" w:rsidRPr="002922BC" w14:paraId="0DB47973" w14:textId="77777777" w:rsidTr="00497000">
        <w:tc>
          <w:tcPr>
            <w:tcW w:w="5000" w:type="pct"/>
            <w:gridSpan w:val="3"/>
            <w:tcBorders>
              <w:top w:val="single" w:sz="4" w:space="0" w:color="auto"/>
              <w:left w:val="single" w:sz="4" w:space="0" w:color="auto"/>
              <w:bottom w:val="single" w:sz="4" w:space="0" w:color="auto"/>
              <w:right w:val="single" w:sz="4" w:space="0" w:color="auto"/>
            </w:tcBorders>
            <w:hideMark/>
          </w:tcPr>
          <w:p w14:paraId="44D07F67" w14:textId="77777777" w:rsidR="00790817" w:rsidRPr="00497000" w:rsidRDefault="00790817">
            <w:pPr>
              <w:outlineLvl w:val="0"/>
              <w:rPr>
                <w:rFonts w:eastAsia="SimSun"/>
                <w:b/>
                <w:color w:val="00B050"/>
                <w:sz w:val="24"/>
                <w:szCs w:val="24"/>
                <w:lang w:val="en-US" w:eastAsia="zh-CN"/>
              </w:rPr>
            </w:pPr>
            <w:r w:rsidRPr="00497000">
              <w:rPr>
                <w:b/>
                <w:sz w:val="24"/>
                <w:szCs w:val="24"/>
                <w:lang w:val="en-US"/>
              </w:rPr>
              <w:t>Progression-free survival (PFS) by investigator</w:t>
            </w:r>
          </w:p>
        </w:tc>
      </w:tr>
      <w:tr w:rsidR="00790817" w:rsidRPr="00497000" w14:paraId="50034F86"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5FA3DAE3" w14:textId="77777777" w:rsidR="00790817" w:rsidRPr="00497000" w:rsidRDefault="00790817">
            <w:pPr>
              <w:outlineLvl w:val="0"/>
              <w:rPr>
                <w:rFonts w:eastAsia="SimSun"/>
                <w:color w:val="00B050"/>
                <w:sz w:val="24"/>
                <w:szCs w:val="24"/>
                <w:lang w:val="en-US" w:eastAsia="zh-CN"/>
              </w:rPr>
            </w:pPr>
            <w:r w:rsidRPr="00497000">
              <w:rPr>
                <w:sz w:val="24"/>
                <w:szCs w:val="24"/>
                <w:lang w:val="en-US"/>
              </w:rPr>
              <w:t>Median PFS in months (95% CI)</w:t>
            </w:r>
          </w:p>
        </w:tc>
        <w:tc>
          <w:tcPr>
            <w:tcW w:w="1526" w:type="pct"/>
            <w:tcBorders>
              <w:top w:val="single" w:sz="4" w:space="0" w:color="auto"/>
              <w:left w:val="single" w:sz="4" w:space="0" w:color="auto"/>
              <w:bottom w:val="single" w:sz="4" w:space="0" w:color="auto"/>
              <w:right w:val="single" w:sz="4" w:space="0" w:color="auto"/>
            </w:tcBorders>
            <w:hideMark/>
          </w:tcPr>
          <w:p w14:paraId="2C111374" w14:textId="77777777" w:rsidR="00790817" w:rsidRPr="00497000" w:rsidRDefault="00790817">
            <w:pPr>
              <w:jc w:val="center"/>
              <w:outlineLvl w:val="0"/>
              <w:rPr>
                <w:rFonts w:eastAsia="SimSun"/>
                <w:color w:val="00B050"/>
                <w:sz w:val="24"/>
                <w:szCs w:val="24"/>
                <w:lang w:eastAsia="zh-CN"/>
              </w:rPr>
            </w:pPr>
            <w:r w:rsidRPr="00497000">
              <w:rPr>
                <w:sz w:val="24"/>
                <w:szCs w:val="24"/>
              </w:rPr>
              <w:t>8.3 (6.5, 12.4)</w:t>
            </w:r>
          </w:p>
        </w:tc>
        <w:tc>
          <w:tcPr>
            <w:tcW w:w="1279" w:type="pct"/>
            <w:tcBorders>
              <w:top w:val="single" w:sz="4" w:space="0" w:color="auto"/>
              <w:left w:val="single" w:sz="4" w:space="0" w:color="auto"/>
              <w:bottom w:val="single" w:sz="4" w:space="0" w:color="auto"/>
              <w:right w:val="single" w:sz="4" w:space="0" w:color="auto"/>
            </w:tcBorders>
            <w:hideMark/>
          </w:tcPr>
          <w:p w14:paraId="26240C94" w14:textId="77777777" w:rsidR="00790817" w:rsidRPr="00497000" w:rsidRDefault="00790817">
            <w:pPr>
              <w:jc w:val="center"/>
              <w:outlineLvl w:val="0"/>
              <w:rPr>
                <w:rFonts w:eastAsia="SimSun"/>
                <w:color w:val="00B050"/>
                <w:sz w:val="24"/>
                <w:szCs w:val="24"/>
                <w:lang w:eastAsia="zh-CN"/>
              </w:rPr>
            </w:pPr>
            <w:r w:rsidRPr="00497000">
              <w:rPr>
                <w:sz w:val="24"/>
                <w:szCs w:val="24"/>
              </w:rPr>
              <w:t>5.4 (3.4, 8.2)</w:t>
            </w:r>
          </w:p>
        </w:tc>
      </w:tr>
      <w:tr w:rsidR="00790817" w:rsidRPr="00497000" w14:paraId="74EC4F48"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2A0EA5A4" w14:textId="77777777" w:rsidR="00790817" w:rsidRPr="00497000" w:rsidRDefault="00790817">
            <w:pPr>
              <w:outlineLvl w:val="0"/>
              <w:rPr>
                <w:rFonts w:eastAsia="SimSun"/>
                <w:color w:val="00B050"/>
                <w:sz w:val="24"/>
                <w:szCs w:val="24"/>
                <w:lang w:val="fr-FR" w:eastAsia="zh-CN"/>
              </w:rPr>
            </w:pPr>
            <w:r w:rsidRPr="00497000">
              <w:rPr>
                <w:sz w:val="24"/>
                <w:szCs w:val="24"/>
                <w:lang w:val="fr-FR"/>
              </w:rPr>
              <w:t xml:space="preserve">HR (95% CI); stratified </w:t>
            </w:r>
            <w:r w:rsidRPr="00497000">
              <w:rPr>
                <w:sz w:val="24"/>
                <w:szCs w:val="24"/>
                <w:vertAlign w:val="superscript"/>
                <w:lang w:val="fr-FR"/>
              </w:rPr>
              <w:t>b,c</w:t>
            </w:r>
          </w:p>
        </w:tc>
        <w:tc>
          <w:tcPr>
            <w:tcW w:w="2805" w:type="pct"/>
            <w:gridSpan w:val="2"/>
            <w:tcBorders>
              <w:top w:val="single" w:sz="4" w:space="0" w:color="auto"/>
              <w:left w:val="single" w:sz="4" w:space="0" w:color="auto"/>
              <w:bottom w:val="single" w:sz="4" w:space="0" w:color="auto"/>
              <w:right w:val="single" w:sz="4" w:space="0" w:color="auto"/>
            </w:tcBorders>
            <w:hideMark/>
          </w:tcPr>
          <w:p w14:paraId="0EF555E1" w14:textId="77777777" w:rsidR="00790817" w:rsidRPr="00497000" w:rsidRDefault="00790817">
            <w:pPr>
              <w:jc w:val="center"/>
              <w:outlineLvl w:val="0"/>
              <w:rPr>
                <w:rFonts w:eastAsia="SimSun"/>
                <w:color w:val="00B050"/>
                <w:sz w:val="24"/>
                <w:szCs w:val="24"/>
                <w:lang w:val="en-GB" w:eastAsia="zh-CN"/>
              </w:rPr>
            </w:pPr>
            <w:r w:rsidRPr="00497000">
              <w:rPr>
                <w:sz w:val="24"/>
                <w:szCs w:val="24"/>
              </w:rPr>
              <w:t>0.56 (0.37, 0.83)</w:t>
            </w:r>
          </w:p>
        </w:tc>
      </w:tr>
      <w:tr w:rsidR="00790817" w:rsidRPr="00497000" w14:paraId="26E668DC"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28AA865A" w14:textId="77777777" w:rsidR="00790817" w:rsidRPr="00497000" w:rsidRDefault="00790817">
            <w:pPr>
              <w:outlineLvl w:val="0"/>
              <w:rPr>
                <w:rFonts w:eastAsia="SimSun"/>
                <w:color w:val="00B050"/>
                <w:sz w:val="24"/>
                <w:szCs w:val="24"/>
                <w:lang w:val="en-US" w:eastAsia="zh-CN"/>
              </w:rPr>
            </w:pPr>
            <w:r w:rsidRPr="00497000">
              <w:rPr>
                <w:sz w:val="24"/>
                <w:szCs w:val="24"/>
                <w:lang w:val="en-US"/>
              </w:rPr>
              <w:t xml:space="preserve">Two-sided log-rank p-value: stratified </w:t>
            </w:r>
            <w:r w:rsidRPr="00497000">
              <w:rPr>
                <w:sz w:val="24"/>
                <w:szCs w:val="24"/>
                <w:vertAlign w:val="superscript"/>
                <w:lang w:val="en-US"/>
              </w:rPr>
              <w:t>b</w:t>
            </w:r>
          </w:p>
        </w:tc>
        <w:tc>
          <w:tcPr>
            <w:tcW w:w="2805" w:type="pct"/>
            <w:gridSpan w:val="2"/>
            <w:tcBorders>
              <w:top w:val="single" w:sz="4" w:space="0" w:color="auto"/>
              <w:left w:val="single" w:sz="4" w:space="0" w:color="auto"/>
              <w:bottom w:val="single" w:sz="4" w:space="0" w:color="auto"/>
              <w:right w:val="single" w:sz="4" w:space="0" w:color="auto"/>
            </w:tcBorders>
            <w:hideMark/>
          </w:tcPr>
          <w:p w14:paraId="30F0F4A7" w14:textId="77777777" w:rsidR="00790817" w:rsidRPr="00497000" w:rsidRDefault="00790817">
            <w:pPr>
              <w:jc w:val="center"/>
              <w:outlineLvl w:val="0"/>
              <w:rPr>
                <w:rFonts w:eastAsia="SimSun"/>
                <w:color w:val="00B050"/>
                <w:sz w:val="24"/>
                <w:szCs w:val="24"/>
                <w:lang w:eastAsia="zh-CN"/>
              </w:rPr>
            </w:pPr>
            <w:r w:rsidRPr="00497000">
              <w:rPr>
                <w:sz w:val="24"/>
                <w:szCs w:val="24"/>
              </w:rPr>
              <w:t>p=0.0042</w:t>
            </w:r>
          </w:p>
        </w:tc>
      </w:tr>
      <w:tr w:rsidR="00790817" w:rsidRPr="00497000" w14:paraId="0425EF4B" w14:textId="77777777" w:rsidTr="00497000">
        <w:tc>
          <w:tcPr>
            <w:tcW w:w="5000" w:type="pct"/>
            <w:gridSpan w:val="3"/>
            <w:tcBorders>
              <w:top w:val="single" w:sz="4" w:space="0" w:color="auto"/>
              <w:left w:val="single" w:sz="4" w:space="0" w:color="auto"/>
              <w:bottom w:val="single" w:sz="4" w:space="0" w:color="auto"/>
              <w:right w:val="single" w:sz="4" w:space="0" w:color="auto"/>
            </w:tcBorders>
            <w:hideMark/>
          </w:tcPr>
          <w:p w14:paraId="7051909E" w14:textId="77777777" w:rsidR="00790817" w:rsidRPr="00497000" w:rsidRDefault="00790817">
            <w:pPr>
              <w:outlineLvl w:val="0"/>
              <w:rPr>
                <w:rFonts w:eastAsia="SimSun"/>
                <w:b/>
                <w:sz w:val="24"/>
                <w:szCs w:val="24"/>
                <w:u w:val="single"/>
                <w:lang w:eastAsia="zh-CN"/>
              </w:rPr>
            </w:pPr>
            <w:r w:rsidRPr="00497000">
              <w:rPr>
                <w:rFonts w:eastAsia="SimSun"/>
                <w:b/>
                <w:sz w:val="24"/>
                <w:szCs w:val="24"/>
                <w:u w:val="single"/>
                <w:lang w:eastAsia="zh-CN"/>
              </w:rPr>
              <w:t>Overall survival</w:t>
            </w:r>
          </w:p>
        </w:tc>
      </w:tr>
      <w:tr w:rsidR="00790817" w:rsidRPr="00497000" w14:paraId="4AA09FF2"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3E59C752" w14:textId="77777777" w:rsidR="00790817" w:rsidRPr="00497000" w:rsidRDefault="00790817">
            <w:pPr>
              <w:outlineLvl w:val="0"/>
              <w:rPr>
                <w:rFonts w:eastAsia="SimSun"/>
                <w:color w:val="00B050"/>
                <w:sz w:val="24"/>
                <w:szCs w:val="24"/>
                <w:lang w:val="en-US" w:eastAsia="zh-CN"/>
              </w:rPr>
            </w:pPr>
            <w:r w:rsidRPr="00497000">
              <w:rPr>
                <w:sz w:val="24"/>
                <w:szCs w:val="24"/>
                <w:lang w:val="en-US"/>
              </w:rPr>
              <w:t>Median OS in months (95% CI)</w:t>
            </w:r>
          </w:p>
        </w:tc>
        <w:tc>
          <w:tcPr>
            <w:tcW w:w="1526" w:type="pct"/>
            <w:tcBorders>
              <w:top w:val="single" w:sz="4" w:space="0" w:color="auto"/>
              <w:left w:val="single" w:sz="4" w:space="0" w:color="auto"/>
              <w:bottom w:val="single" w:sz="4" w:space="0" w:color="auto"/>
              <w:right w:val="single" w:sz="4" w:space="0" w:color="auto"/>
            </w:tcBorders>
            <w:hideMark/>
          </w:tcPr>
          <w:p w14:paraId="15405BAD" w14:textId="77777777" w:rsidR="00790817" w:rsidRPr="00497000" w:rsidRDefault="00790817">
            <w:pPr>
              <w:jc w:val="center"/>
              <w:outlineLvl w:val="0"/>
              <w:rPr>
                <w:rFonts w:eastAsia="SimSun"/>
                <w:color w:val="00B050"/>
                <w:sz w:val="24"/>
                <w:szCs w:val="24"/>
                <w:lang w:eastAsia="zh-CN"/>
              </w:rPr>
            </w:pPr>
            <w:r w:rsidRPr="00497000">
              <w:rPr>
                <w:sz w:val="24"/>
                <w:szCs w:val="24"/>
              </w:rPr>
              <w:t>30.3 (14.6, NE)</w:t>
            </w:r>
          </w:p>
        </w:tc>
        <w:tc>
          <w:tcPr>
            <w:tcW w:w="1279" w:type="pct"/>
            <w:tcBorders>
              <w:top w:val="single" w:sz="4" w:space="0" w:color="auto"/>
              <w:left w:val="single" w:sz="4" w:space="0" w:color="auto"/>
              <w:bottom w:val="single" w:sz="4" w:space="0" w:color="auto"/>
              <w:right w:val="single" w:sz="4" w:space="0" w:color="auto"/>
            </w:tcBorders>
            <w:hideMark/>
          </w:tcPr>
          <w:p w14:paraId="6109A8E1" w14:textId="77777777" w:rsidR="00790817" w:rsidRPr="00497000" w:rsidRDefault="00790817">
            <w:pPr>
              <w:jc w:val="center"/>
              <w:outlineLvl w:val="0"/>
              <w:rPr>
                <w:rFonts w:eastAsia="SimSun"/>
                <w:color w:val="00B050"/>
                <w:sz w:val="24"/>
                <w:szCs w:val="24"/>
                <w:lang w:eastAsia="zh-CN"/>
              </w:rPr>
            </w:pPr>
            <w:r w:rsidRPr="00497000">
              <w:rPr>
                <w:sz w:val="24"/>
                <w:szCs w:val="24"/>
              </w:rPr>
              <w:t>21.0 (16.3, 27.0)</w:t>
            </w:r>
          </w:p>
        </w:tc>
      </w:tr>
      <w:tr w:rsidR="00790817" w:rsidRPr="00497000" w14:paraId="609E7CB9"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0F24E973" w14:textId="77777777" w:rsidR="00790817" w:rsidRPr="00497000" w:rsidRDefault="00790817">
            <w:pPr>
              <w:outlineLvl w:val="0"/>
              <w:rPr>
                <w:rFonts w:eastAsia="SimSun"/>
                <w:color w:val="00B050"/>
                <w:sz w:val="24"/>
                <w:szCs w:val="24"/>
                <w:lang w:val="fr-FR" w:eastAsia="zh-CN"/>
              </w:rPr>
            </w:pPr>
            <w:r w:rsidRPr="00497000">
              <w:rPr>
                <w:sz w:val="24"/>
                <w:szCs w:val="24"/>
                <w:lang w:val="fr-FR"/>
              </w:rPr>
              <w:t xml:space="preserve">HR (95% CI); stratified </w:t>
            </w:r>
            <w:r w:rsidRPr="00497000">
              <w:rPr>
                <w:sz w:val="24"/>
                <w:szCs w:val="24"/>
                <w:vertAlign w:val="superscript"/>
                <w:lang w:val="fr-FR"/>
              </w:rPr>
              <w:t>b,c</w:t>
            </w:r>
          </w:p>
        </w:tc>
        <w:tc>
          <w:tcPr>
            <w:tcW w:w="2805" w:type="pct"/>
            <w:gridSpan w:val="2"/>
            <w:tcBorders>
              <w:top w:val="single" w:sz="4" w:space="0" w:color="auto"/>
              <w:left w:val="single" w:sz="4" w:space="0" w:color="auto"/>
              <w:bottom w:val="single" w:sz="4" w:space="0" w:color="auto"/>
              <w:right w:val="single" w:sz="4" w:space="0" w:color="auto"/>
            </w:tcBorders>
            <w:hideMark/>
          </w:tcPr>
          <w:p w14:paraId="161C8EC9" w14:textId="77777777" w:rsidR="00790817" w:rsidRPr="00497000" w:rsidRDefault="00790817">
            <w:pPr>
              <w:jc w:val="center"/>
              <w:outlineLvl w:val="0"/>
              <w:rPr>
                <w:rFonts w:eastAsia="SimSun"/>
                <w:color w:val="00B050"/>
                <w:sz w:val="24"/>
                <w:szCs w:val="24"/>
                <w:lang w:val="en-GB" w:eastAsia="zh-CN"/>
              </w:rPr>
            </w:pPr>
            <w:r w:rsidRPr="00497000">
              <w:rPr>
                <w:sz w:val="24"/>
                <w:szCs w:val="24"/>
              </w:rPr>
              <w:t>0.74 (0.47, 1.14)</w:t>
            </w:r>
          </w:p>
        </w:tc>
      </w:tr>
      <w:tr w:rsidR="00790817" w:rsidRPr="002922BC" w14:paraId="655F0A11" w14:textId="77777777" w:rsidTr="00497000">
        <w:tc>
          <w:tcPr>
            <w:tcW w:w="5000" w:type="pct"/>
            <w:gridSpan w:val="3"/>
            <w:tcBorders>
              <w:top w:val="single" w:sz="4" w:space="0" w:color="auto"/>
              <w:left w:val="single" w:sz="4" w:space="0" w:color="auto"/>
              <w:bottom w:val="single" w:sz="4" w:space="0" w:color="auto"/>
              <w:right w:val="single" w:sz="4" w:space="0" w:color="auto"/>
            </w:tcBorders>
            <w:hideMark/>
          </w:tcPr>
          <w:p w14:paraId="3B23BEE4" w14:textId="77777777" w:rsidR="00790817" w:rsidRPr="00497000" w:rsidRDefault="00790817">
            <w:pPr>
              <w:outlineLvl w:val="0"/>
              <w:rPr>
                <w:rFonts w:eastAsia="SimSun"/>
                <w:b/>
                <w:color w:val="00B050"/>
                <w:sz w:val="24"/>
                <w:szCs w:val="24"/>
                <w:lang w:val="en-US" w:eastAsia="zh-CN"/>
              </w:rPr>
            </w:pPr>
            <w:r w:rsidRPr="00497000">
              <w:rPr>
                <w:b/>
                <w:sz w:val="24"/>
                <w:szCs w:val="24"/>
                <w:lang w:val="en-US"/>
              </w:rPr>
              <w:t>Objective response rate n (%) by IRC</w:t>
            </w:r>
          </w:p>
        </w:tc>
      </w:tr>
      <w:tr w:rsidR="00790817" w:rsidRPr="00497000" w14:paraId="1E10165B"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0A1214D5" w14:textId="77777777" w:rsidR="00790817" w:rsidRPr="00497000" w:rsidRDefault="00790817">
            <w:pPr>
              <w:outlineLvl w:val="0"/>
              <w:rPr>
                <w:rFonts w:eastAsia="SimSun"/>
                <w:sz w:val="24"/>
                <w:szCs w:val="24"/>
                <w:lang w:eastAsia="zh-CN"/>
              </w:rPr>
            </w:pPr>
            <w:r w:rsidRPr="00497000">
              <w:rPr>
                <w:rFonts w:eastAsia="SimSun"/>
                <w:sz w:val="24"/>
                <w:szCs w:val="24"/>
                <w:lang w:eastAsia="zh-CN"/>
              </w:rPr>
              <w:t>Complete responses</w:t>
            </w:r>
          </w:p>
        </w:tc>
        <w:tc>
          <w:tcPr>
            <w:tcW w:w="1526" w:type="pct"/>
            <w:tcBorders>
              <w:top w:val="single" w:sz="4" w:space="0" w:color="auto"/>
              <w:left w:val="single" w:sz="4" w:space="0" w:color="auto"/>
              <w:bottom w:val="single" w:sz="4" w:space="0" w:color="auto"/>
              <w:right w:val="single" w:sz="4" w:space="0" w:color="auto"/>
            </w:tcBorders>
            <w:hideMark/>
          </w:tcPr>
          <w:p w14:paraId="72B5DD02"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0</w:t>
            </w:r>
          </w:p>
        </w:tc>
        <w:tc>
          <w:tcPr>
            <w:tcW w:w="1279" w:type="pct"/>
            <w:tcBorders>
              <w:top w:val="single" w:sz="4" w:space="0" w:color="auto"/>
              <w:left w:val="single" w:sz="4" w:space="0" w:color="auto"/>
              <w:bottom w:val="single" w:sz="4" w:space="0" w:color="auto"/>
              <w:right w:val="single" w:sz="4" w:space="0" w:color="auto"/>
            </w:tcBorders>
            <w:hideMark/>
          </w:tcPr>
          <w:p w14:paraId="45EC8751"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0</w:t>
            </w:r>
          </w:p>
        </w:tc>
      </w:tr>
      <w:tr w:rsidR="00790817" w:rsidRPr="00497000" w14:paraId="075C9397"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6A36520F" w14:textId="77777777" w:rsidR="00790817" w:rsidRPr="00497000" w:rsidRDefault="00790817">
            <w:pPr>
              <w:outlineLvl w:val="0"/>
              <w:rPr>
                <w:rFonts w:eastAsia="SimSun"/>
                <w:sz w:val="24"/>
                <w:szCs w:val="24"/>
                <w:lang w:eastAsia="zh-CN"/>
              </w:rPr>
            </w:pPr>
            <w:r w:rsidRPr="00497000">
              <w:rPr>
                <w:rFonts w:eastAsia="SimSun"/>
                <w:sz w:val="24"/>
                <w:szCs w:val="24"/>
                <w:lang w:eastAsia="zh-CN"/>
              </w:rPr>
              <w:t>Partial responses</w:t>
            </w:r>
          </w:p>
        </w:tc>
        <w:tc>
          <w:tcPr>
            <w:tcW w:w="1526" w:type="pct"/>
            <w:tcBorders>
              <w:top w:val="single" w:sz="4" w:space="0" w:color="auto"/>
              <w:left w:val="single" w:sz="4" w:space="0" w:color="auto"/>
              <w:bottom w:val="single" w:sz="4" w:space="0" w:color="auto"/>
              <w:right w:val="single" w:sz="4" w:space="0" w:color="auto"/>
            </w:tcBorders>
            <w:hideMark/>
          </w:tcPr>
          <w:p w14:paraId="40F701B6" w14:textId="77777777" w:rsidR="00790817" w:rsidRPr="00497000" w:rsidRDefault="00790817">
            <w:pPr>
              <w:jc w:val="center"/>
              <w:outlineLvl w:val="0"/>
              <w:rPr>
                <w:rFonts w:eastAsia="SimSun"/>
                <w:sz w:val="24"/>
                <w:szCs w:val="24"/>
                <w:lang w:eastAsia="zh-CN"/>
              </w:rPr>
            </w:pPr>
            <w:r w:rsidRPr="00497000">
              <w:rPr>
                <w:sz w:val="24"/>
                <w:szCs w:val="24"/>
              </w:rPr>
              <w:t>16 (20)</w:t>
            </w:r>
          </w:p>
        </w:tc>
        <w:tc>
          <w:tcPr>
            <w:tcW w:w="1279" w:type="pct"/>
            <w:tcBorders>
              <w:top w:val="single" w:sz="4" w:space="0" w:color="auto"/>
              <w:left w:val="single" w:sz="4" w:space="0" w:color="auto"/>
              <w:bottom w:val="single" w:sz="4" w:space="0" w:color="auto"/>
              <w:right w:val="single" w:sz="4" w:space="0" w:color="auto"/>
            </w:tcBorders>
            <w:hideMark/>
          </w:tcPr>
          <w:p w14:paraId="5F096B0C" w14:textId="77777777" w:rsidR="00790817" w:rsidRPr="00497000" w:rsidRDefault="00790817">
            <w:pPr>
              <w:jc w:val="center"/>
              <w:outlineLvl w:val="0"/>
              <w:rPr>
                <w:rFonts w:eastAsia="SimSun"/>
                <w:sz w:val="24"/>
                <w:szCs w:val="24"/>
                <w:lang w:eastAsia="zh-CN"/>
              </w:rPr>
            </w:pPr>
            <w:r w:rsidRPr="00497000">
              <w:rPr>
                <w:sz w:val="24"/>
                <w:szCs w:val="24"/>
              </w:rPr>
              <w:t>7 (9)</w:t>
            </w:r>
          </w:p>
        </w:tc>
      </w:tr>
      <w:tr w:rsidR="00790817" w:rsidRPr="00497000" w14:paraId="5CF6192E"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0596AE5F" w14:textId="77777777" w:rsidR="00790817" w:rsidRPr="00497000" w:rsidRDefault="00790817">
            <w:pPr>
              <w:outlineLvl w:val="0"/>
              <w:rPr>
                <w:rFonts w:eastAsia="SimSun"/>
                <w:sz w:val="24"/>
                <w:szCs w:val="24"/>
                <w:lang w:eastAsia="zh-CN"/>
              </w:rPr>
            </w:pPr>
            <w:r w:rsidRPr="00497000">
              <w:rPr>
                <w:rFonts w:eastAsia="SimSun"/>
                <w:sz w:val="24"/>
                <w:szCs w:val="24"/>
                <w:lang w:eastAsia="zh-CN"/>
              </w:rPr>
              <w:t>ORR (partial responses only)</w:t>
            </w:r>
          </w:p>
        </w:tc>
        <w:tc>
          <w:tcPr>
            <w:tcW w:w="1526" w:type="pct"/>
            <w:tcBorders>
              <w:top w:val="single" w:sz="4" w:space="0" w:color="auto"/>
              <w:left w:val="single" w:sz="4" w:space="0" w:color="auto"/>
              <w:bottom w:val="single" w:sz="4" w:space="0" w:color="auto"/>
              <w:right w:val="single" w:sz="4" w:space="0" w:color="auto"/>
            </w:tcBorders>
            <w:hideMark/>
          </w:tcPr>
          <w:p w14:paraId="00AC33EE" w14:textId="77777777" w:rsidR="00790817" w:rsidRPr="00497000" w:rsidRDefault="00790817">
            <w:pPr>
              <w:jc w:val="center"/>
              <w:outlineLvl w:val="0"/>
              <w:rPr>
                <w:rFonts w:eastAsia="SimSun"/>
                <w:sz w:val="24"/>
                <w:szCs w:val="24"/>
                <w:lang w:eastAsia="zh-CN"/>
              </w:rPr>
            </w:pPr>
            <w:r w:rsidRPr="00497000">
              <w:rPr>
                <w:sz w:val="24"/>
                <w:szCs w:val="24"/>
              </w:rPr>
              <w:t>16 (20)</w:t>
            </w:r>
          </w:p>
        </w:tc>
        <w:tc>
          <w:tcPr>
            <w:tcW w:w="1279" w:type="pct"/>
            <w:tcBorders>
              <w:top w:val="single" w:sz="4" w:space="0" w:color="auto"/>
              <w:left w:val="single" w:sz="4" w:space="0" w:color="auto"/>
              <w:bottom w:val="single" w:sz="4" w:space="0" w:color="auto"/>
              <w:right w:val="single" w:sz="4" w:space="0" w:color="auto"/>
            </w:tcBorders>
            <w:hideMark/>
          </w:tcPr>
          <w:p w14:paraId="6950D486" w14:textId="77777777" w:rsidR="00790817" w:rsidRPr="00497000" w:rsidRDefault="00790817">
            <w:pPr>
              <w:jc w:val="center"/>
              <w:outlineLvl w:val="0"/>
              <w:rPr>
                <w:rFonts w:eastAsia="SimSun"/>
                <w:sz w:val="24"/>
                <w:szCs w:val="24"/>
                <w:lang w:eastAsia="zh-CN"/>
              </w:rPr>
            </w:pPr>
            <w:r w:rsidRPr="00497000">
              <w:rPr>
                <w:sz w:val="24"/>
                <w:szCs w:val="24"/>
              </w:rPr>
              <w:t>7 (9)</w:t>
            </w:r>
          </w:p>
        </w:tc>
      </w:tr>
      <w:tr w:rsidR="00790817" w:rsidRPr="00497000" w14:paraId="59A0D9B4"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6830F2B8" w14:textId="77777777" w:rsidR="00790817" w:rsidRPr="00497000" w:rsidRDefault="00790817">
            <w:pPr>
              <w:outlineLvl w:val="0"/>
              <w:rPr>
                <w:rFonts w:eastAsia="SimSun"/>
                <w:sz w:val="24"/>
                <w:szCs w:val="24"/>
                <w:lang w:eastAsia="zh-CN"/>
              </w:rPr>
            </w:pPr>
            <w:r w:rsidRPr="00497000">
              <w:rPr>
                <w:rFonts w:eastAsia="SimSun"/>
                <w:sz w:val="24"/>
                <w:szCs w:val="24"/>
                <w:lang w:eastAsia="zh-CN"/>
              </w:rPr>
              <w:t>Stable disease</w:t>
            </w:r>
          </w:p>
        </w:tc>
        <w:tc>
          <w:tcPr>
            <w:tcW w:w="1526" w:type="pct"/>
            <w:tcBorders>
              <w:top w:val="single" w:sz="4" w:space="0" w:color="auto"/>
              <w:left w:val="single" w:sz="4" w:space="0" w:color="auto"/>
              <w:bottom w:val="single" w:sz="4" w:space="0" w:color="auto"/>
              <w:right w:val="single" w:sz="4" w:space="0" w:color="auto"/>
            </w:tcBorders>
            <w:hideMark/>
          </w:tcPr>
          <w:p w14:paraId="38DC6418" w14:textId="77777777" w:rsidR="00790817" w:rsidRPr="00497000" w:rsidRDefault="00790817">
            <w:pPr>
              <w:jc w:val="center"/>
              <w:outlineLvl w:val="0"/>
              <w:rPr>
                <w:rFonts w:eastAsia="SimSun"/>
                <w:sz w:val="24"/>
                <w:szCs w:val="24"/>
                <w:lang w:eastAsia="zh-CN"/>
              </w:rPr>
            </w:pPr>
            <w:r w:rsidRPr="00497000">
              <w:rPr>
                <w:sz w:val="24"/>
                <w:szCs w:val="24"/>
              </w:rPr>
              <w:t>43 (54)</w:t>
            </w:r>
          </w:p>
        </w:tc>
        <w:tc>
          <w:tcPr>
            <w:tcW w:w="1279" w:type="pct"/>
            <w:tcBorders>
              <w:top w:val="single" w:sz="4" w:space="0" w:color="auto"/>
              <w:left w:val="single" w:sz="4" w:space="0" w:color="auto"/>
              <w:bottom w:val="single" w:sz="4" w:space="0" w:color="auto"/>
              <w:right w:val="single" w:sz="4" w:space="0" w:color="auto"/>
            </w:tcBorders>
            <w:hideMark/>
          </w:tcPr>
          <w:p w14:paraId="79F8D218" w14:textId="77777777" w:rsidR="00790817" w:rsidRPr="00497000" w:rsidRDefault="00790817">
            <w:pPr>
              <w:jc w:val="center"/>
              <w:outlineLvl w:val="0"/>
              <w:rPr>
                <w:rFonts w:eastAsia="SimSun"/>
                <w:sz w:val="24"/>
                <w:szCs w:val="24"/>
                <w:lang w:eastAsia="zh-CN"/>
              </w:rPr>
            </w:pPr>
            <w:r w:rsidRPr="00497000">
              <w:rPr>
                <w:sz w:val="24"/>
                <w:szCs w:val="24"/>
              </w:rPr>
              <w:t>30 (38)</w:t>
            </w:r>
          </w:p>
        </w:tc>
      </w:tr>
      <w:tr w:rsidR="00790817" w:rsidRPr="00497000" w14:paraId="4C330B0F"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0ACCB951" w14:textId="77777777" w:rsidR="00790817" w:rsidRPr="00497000" w:rsidRDefault="00790817">
            <w:pPr>
              <w:outlineLvl w:val="0"/>
              <w:rPr>
                <w:rFonts w:eastAsia="SimSun"/>
                <w:sz w:val="24"/>
                <w:szCs w:val="24"/>
                <w:lang w:eastAsia="zh-CN"/>
              </w:rPr>
            </w:pPr>
            <w:r w:rsidRPr="00497000">
              <w:rPr>
                <w:rFonts w:eastAsia="SimSun"/>
                <w:sz w:val="24"/>
                <w:szCs w:val="24"/>
                <w:lang w:eastAsia="zh-CN"/>
              </w:rPr>
              <w:t>Progressive disease</w:t>
            </w:r>
          </w:p>
        </w:tc>
        <w:tc>
          <w:tcPr>
            <w:tcW w:w="1526" w:type="pct"/>
            <w:tcBorders>
              <w:top w:val="single" w:sz="4" w:space="0" w:color="auto"/>
              <w:left w:val="single" w:sz="4" w:space="0" w:color="auto"/>
              <w:bottom w:val="single" w:sz="4" w:space="0" w:color="auto"/>
              <w:right w:val="single" w:sz="4" w:space="0" w:color="auto"/>
            </w:tcBorders>
            <w:hideMark/>
          </w:tcPr>
          <w:p w14:paraId="6AEE139E" w14:textId="77777777" w:rsidR="00790817" w:rsidRPr="00497000" w:rsidRDefault="00790817">
            <w:pPr>
              <w:jc w:val="center"/>
              <w:outlineLvl w:val="0"/>
              <w:rPr>
                <w:rFonts w:eastAsia="SimSun"/>
                <w:sz w:val="24"/>
                <w:szCs w:val="24"/>
                <w:lang w:eastAsia="zh-CN"/>
              </w:rPr>
            </w:pPr>
            <w:r w:rsidRPr="00497000">
              <w:rPr>
                <w:sz w:val="24"/>
                <w:szCs w:val="24"/>
              </w:rPr>
              <w:t>14 (18)</w:t>
            </w:r>
          </w:p>
        </w:tc>
        <w:tc>
          <w:tcPr>
            <w:tcW w:w="1279" w:type="pct"/>
            <w:tcBorders>
              <w:top w:val="single" w:sz="4" w:space="0" w:color="auto"/>
              <w:left w:val="single" w:sz="4" w:space="0" w:color="auto"/>
              <w:bottom w:val="single" w:sz="4" w:space="0" w:color="auto"/>
              <w:right w:val="single" w:sz="4" w:space="0" w:color="auto"/>
            </w:tcBorders>
            <w:hideMark/>
          </w:tcPr>
          <w:p w14:paraId="4A738145" w14:textId="77777777" w:rsidR="00790817" w:rsidRPr="00497000" w:rsidRDefault="00790817">
            <w:pPr>
              <w:jc w:val="center"/>
              <w:outlineLvl w:val="0"/>
              <w:rPr>
                <w:rFonts w:eastAsia="SimSun"/>
                <w:sz w:val="24"/>
                <w:szCs w:val="24"/>
                <w:lang w:eastAsia="zh-CN"/>
              </w:rPr>
            </w:pPr>
            <w:r w:rsidRPr="00497000">
              <w:rPr>
                <w:sz w:val="24"/>
                <w:szCs w:val="24"/>
              </w:rPr>
              <w:t>23 (29)</w:t>
            </w:r>
          </w:p>
        </w:tc>
      </w:tr>
      <w:tr w:rsidR="00790817" w:rsidRPr="002922BC" w14:paraId="64D3082F" w14:textId="77777777" w:rsidTr="00497000">
        <w:tc>
          <w:tcPr>
            <w:tcW w:w="5000" w:type="pct"/>
            <w:gridSpan w:val="3"/>
            <w:tcBorders>
              <w:top w:val="single" w:sz="4" w:space="0" w:color="auto"/>
              <w:left w:val="single" w:sz="4" w:space="0" w:color="auto"/>
              <w:bottom w:val="single" w:sz="4" w:space="0" w:color="auto"/>
              <w:right w:val="single" w:sz="4" w:space="0" w:color="auto"/>
            </w:tcBorders>
            <w:hideMark/>
          </w:tcPr>
          <w:p w14:paraId="5D3C13DE" w14:textId="77777777" w:rsidR="00790817" w:rsidRPr="00497000" w:rsidRDefault="00790817">
            <w:pPr>
              <w:outlineLvl w:val="0"/>
              <w:rPr>
                <w:rFonts w:eastAsia="SimSun"/>
                <w:b/>
                <w:color w:val="00B050"/>
                <w:sz w:val="24"/>
                <w:szCs w:val="24"/>
                <w:lang w:val="en-US" w:eastAsia="zh-CN"/>
              </w:rPr>
            </w:pPr>
            <w:r w:rsidRPr="00497000">
              <w:rPr>
                <w:b/>
                <w:sz w:val="24"/>
                <w:szCs w:val="24"/>
                <w:lang w:val="en-US"/>
              </w:rPr>
              <w:t>Objective response rate n (%) by investigator</w:t>
            </w:r>
          </w:p>
        </w:tc>
      </w:tr>
      <w:tr w:rsidR="00790817" w:rsidRPr="00497000" w14:paraId="6C8F5E08"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0EEDD96E" w14:textId="77777777" w:rsidR="00790817" w:rsidRPr="00497000" w:rsidRDefault="00790817">
            <w:pPr>
              <w:outlineLvl w:val="0"/>
              <w:rPr>
                <w:rFonts w:eastAsia="SimSun"/>
                <w:sz w:val="24"/>
                <w:szCs w:val="24"/>
                <w:lang w:eastAsia="zh-CN"/>
              </w:rPr>
            </w:pPr>
            <w:r w:rsidRPr="00497000">
              <w:rPr>
                <w:rFonts w:eastAsia="SimSun"/>
                <w:sz w:val="24"/>
                <w:szCs w:val="24"/>
                <w:lang w:eastAsia="zh-CN"/>
              </w:rPr>
              <w:t>Complete responses</w:t>
            </w:r>
          </w:p>
        </w:tc>
        <w:tc>
          <w:tcPr>
            <w:tcW w:w="1526" w:type="pct"/>
            <w:tcBorders>
              <w:top w:val="single" w:sz="4" w:space="0" w:color="auto"/>
              <w:left w:val="single" w:sz="4" w:space="0" w:color="auto"/>
              <w:bottom w:val="single" w:sz="4" w:space="0" w:color="auto"/>
              <w:right w:val="single" w:sz="4" w:space="0" w:color="auto"/>
            </w:tcBorders>
            <w:hideMark/>
          </w:tcPr>
          <w:p w14:paraId="55BB0915"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1 (1)</w:t>
            </w:r>
          </w:p>
        </w:tc>
        <w:tc>
          <w:tcPr>
            <w:tcW w:w="1279" w:type="pct"/>
            <w:tcBorders>
              <w:top w:val="single" w:sz="4" w:space="0" w:color="auto"/>
              <w:left w:val="single" w:sz="4" w:space="0" w:color="auto"/>
              <w:bottom w:val="single" w:sz="4" w:space="0" w:color="auto"/>
              <w:right w:val="single" w:sz="4" w:space="0" w:color="auto"/>
            </w:tcBorders>
            <w:hideMark/>
          </w:tcPr>
          <w:p w14:paraId="03584658"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0</w:t>
            </w:r>
          </w:p>
        </w:tc>
      </w:tr>
      <w:tr w:rsidR="00790817" w:rsidRPr="00497000" w14:paraId="3874D48B"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53173E5C" w14:textId="77777777" w:rsidR="00790817" w:rsidRPr="00497000" w:rsidRDefault="00790817">
            <w:pPr>
              <w:outlineLvl w:val="0"/>
              <w:rPr>
                <w:rFonts w:eastAsia="SimSun"/>
                <w:sz w:val="24"/>
                <w:szCs w:val="24"/>
                <w:lang w:eastAsia="zh-CN"/>
              </w:rPr>
            </w:pPr>
            <w:r w:rsidRPr="00497000">
              <w:rPr>
                <w:rFonts w:eastAsia="SimSun"/>
                <w:sz w:val="24"/>
                <w:szCs w:val="24"/>
                <w:lang w:eastAsia="zh-CN"/>
              </w:rPr>
              <w:t>Partial responses</w:t>
            </w:r>
          </w:p>
        </w:tc>
        <w:tc>
          <w:tcPr>
            <w:tcW w:w="1526" w:type="pct"/>
            <w:tcBorders>
              <w:top w:val="single" w:sz="4" w:space="0" w:color="auto"/>
              <w:left w:val="single" w:sz="4" w:space="0" w:color="auto"/>
              <w:bottom w:val="single" w:sz="4" w:space="0" w:color="auto"/>
              <w:right w:val="single" w:sz="4" w:space="0" w:color="auto"/>
            </w:tcBorders>
            <w:hideMark/>
          </w:tcPr>
          <w:p w14:paraId="3DC0272A"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25 (32)</w:t>
            </w:r>
          </w:p>
        </w:tc>
        <w:tc>
          <w:tcPr>
            <w:tcW w:w="1279" w:type="pct"/>
            <w:tcBorders>
              <w:top w:val="single" w:sz="4" w:space="0" w:color="auto"/>
              <w:left w:val="single" w:sz="4" w:space="0" w:color="auto"/>
              <w:bottom w:val="single" w:sz="4" w:space="0" w:color="auto"/>
              <w:right w:val="single" w:sz="4" w:space="0" w:color="auto"/>
            </w:tcBorders>
            <w:hideMark/>
          </w:tcPr>
          <w:p w14:paraId="0FAB44A3"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9 (12)</w:t>
            </w:r>
          </w:p>
        </w:tc>
      </w:tr>
      <w:tr w:rsidR="00790817" w:rsidRPr="00497000" w14:paraId="32AA5B56"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750A9C3A" w14:textId="77777777" w:rsidR="00790817" w:rsidRPr="00497000" w:rsidRDefault="00790817">
            <w:pPr>
              <w:outlineLvl w:val="0"/>
              <w:rPr>
                <w:rFonts w:eastAsia="SimSun"/>
                <w:sz w:val="24"/>
                <w:szCs w:val="24"/>
                <w:lang w:eastAsia="zh-CN"/>
              </w:rPr>
            </w:pPr>
            <w:r w:rsidRPr="00497000">
              <w:rPr>
                <w:rFonts w:eastAsia="SimSun"/>
                <w:sz w:val="24"/>
                <w:szCs w:val="24"/>
                <w:lang w:eastAsia="zh-CN"/>
              </w:rPr>
              <w:t>ORR (partial responses only)</w:t>
            </w:r>
          </w:p>
        </w:tc>
        <w:tc>
          <w:tcPr>
            <w:tcW w:w="1526" w:type="pct"/>
            <w:tcBorders>
              <w:top w:val="single" w:sz="4" w:space="0" w:color="auto"/>
              <w:left w:val="single" w:sz="4" w:space="0" w:color="auto"/>
              <w:bottom w:val="single" w:sz="4" w:space="0" w:color="auto"/>
              <w:right w:val="single" w:sz="4" w:space="0" w:color="auto"/>
            </w:tcBorders>
            <w:hideMark/>
          </w:tcPr>
          <w:p w14:paraId="33186511"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26 (33)</w:t>
            </w:r>
          </w:p>
        </w:tc>
        <w:tc>
          <w:tcPr>
            <w:tcW w:w="1279" w:type="pct"/>
            <w:tcBorders>
              <w:top w:val="single" w:sz="4" w:space="0" w:color="auto"/>
              <w:left w:val="single" w:sz="4" w:space="0" w:color="auto"/>
              <w:bottom w:val="single" w:sz="4" w:space="0" w:color="auto"/>
              <w:right w:val="single" w:sz="4" w:space="0" w:color="auto"/>
            </w:tcBorders>
            <w:hideMark/>
          </w:tcPr>
          <w:p w14:paraId="49EA0ABA"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9 (12)</w:t>
            </w:r>
          </w:p>
        </w:tc>
      </w:tr>
      <w:tr w:rsidR="00790817" w:rsidRPr="00497000" w14:paraId="7B2F570C"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4C7EBCF2" w14:textId="77777777" w:rsidR="00790817" w:rsidRPr="00497000" w:rsidRDefault="00790817">
            <w:pPr>
              <w:outlineLvl w:val="0"/>
              <w:rPr>
                <w:rFonts w:eastAsia="SimSun"/>
                <w:sz w:val="24"/>
                <w:szCs w:val="24"/>
                <w:lang w:eastAsia="zh-CN"/>
              </w:rPr>
            </w:pPr>
            <w:r w:rsidRPr="00497000">
              <w:rPr>
                <w:rFonts w:eastAsia="SimSun"/>
                <w:sz w:val="24"/>
                <w:szCs w:val="24"/>
                <w:lang w:eastAsia="zh-CN"/>
              </w:rPr>
              <w:lastRenderedPageBreak/>
              <w:t>Stable disease</w:t>
            </w:r>
          </w:p>
        </w:tc>
        <w:tc>
          <w:tcPr>
            <w:tcW w:w="1526" w:type="pct"/>
            <w:tcBorders>
              <w:top w:val="single" w:sz="4" w:space="0" w:color="auto"/>
              <w:left w:val="single" w:sz="4" w:space="0" w:color="auto"/>
              <w:bottom w:val="single" w:sz="4" w:space="0" w:color="auto"/>
              <w:right w:val="single" w:sz="4" w:space="0" w:color="auto"/>
            </w:tcBorders>
            <w:hideMark/>
          </w:tcPr>
          <w:p w14:paraId="35236D6D"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34 (43)</w:t>
            </w:r>
          </w:p>
        </w:tc>
        <w:tc>
          <w:tcPr>
            <w:tcW w:w="1279" w:type="pct"/>
            <w:tcBorders>
              <w:top w:val="single" w:sz="4" w:space="0" w:color="auto"/>
              <w:left w:val="single" w:sz="4" w:space="0" w:color="auto"/>
              <w:bottom w:val="single" w:sz="4" w:space="0" w:color="auto"/>
              <w:right w:val="single" w:sz="4" w:space="0" w:color="auto"/>
            </w:tcBorders>
            <w:hideMark/>
          </w:tcPr>
          <w:p w14:paraId="2B29BC73"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29 (37)</w:t>
            </w:r>
          </w:p>
        </w:tc>
      </w:tr>
      <w:tr w:rsidR="00790817" w:rsidRPr="00497000" w14:paraId="5CB95D8D" w14:textId="77777777" w:rsidTr="00497000">
        <w:tc>
          <w:tcPr>
            <w:tcW w:w="2195" w:type="pct"/>
            <w:tcBorders>
              <w:top w:val="single" w:sz="4" w:space="0" w:color="auto"/>
              <w:left w:val="single" w:sz="4" w:space="0" w:color="auto"/>
              <w:bottom w:val="single" w:sz="4" w:space="0" w:color="auto"/>
              <w:right w:val="single" w:sz="4" w:space="0" w:color="auto"/>
            </w:tcBorders>
            <w:hideMark/>
          </w:tcPr>
          <w:p w14:paraId="622B6E4E" w14:textId="77777777" w:rsidR="00790817" w:rsidRPr="00497000" w:rsidRDefault="00790817">
            <w:pPr>
              <w:outlineLvl w:val="0"/>
              <w:rPr>
                <w:rFonts w:eastAsia="SimSun"/>
                <w:sz w:val="24"/>
                <w:szCs w:val="24"/>
                <w:lang w:eastAsia="zh-CN"/>
              </w:rPr>
            </w:pPr>
            <w:r w:rsidRPr="00497000">
              <w:rPr>
                <w:rFonts w:eastAsia="SimSun"/>
                <w:sz w:val="24"/>
                <w:szCs w:val="24"/>
                <w:lang w:eastAsia="zh-CN"/>
              </w:rPr>
              <w:t>Progressive disease</w:t>
            </w:r>
          </w:p>
        </w:tc>
        <w:tc>
          <w:tcPr>
            <w:tcW w:w="1526" w:type="pct"/>
            <w:tcBorders>
              <w:top w:val="single" w:sz="4" w:space="0" w:color="auto"/>
              <w:left w:val="single" w:sz="4" w:space="0" w:color="auto"/>
              <w:bottom w:val="single" w:sz="4" w:space="0" w:color="auto"/>
              <w:right w:val="single" w:sz="4" w:space="0" w:color="auto"/>
            </w:tcBorders>
            <w:hideMark/>
          </w:tcPr>
          <w:p w14:paraId="3733856C"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14 (18)</w:t>
            </w:r>
          </w:p>
        </w:tc>
        <w:tc>
          <w:tcPr>
            <w:tcW w:w="1279" w:type="pct"/>
            <w:tcBorders>
              <w:top w:val="single" w:sz="4" w:space="0" w:color="auto"/>
              <w:left w:val="single" w:sz="4" w:space="0" w:color="auto"/>
              <w:bottom w:val="single" w:sz="4" w:space="0" w:color="auto"/>
              <w:right w:val="single" w:sz="4" w:space="0" w:color="auto"/>
            </w:tcBorders>
            <w:hideMark/>
          </w:tcPr>
          <w:p w14:paraId="4E9246F7" w14:textId="77777777" w:rsidR="00790817" w:rsidRPr="00497000" w:rsidRDefault="00790817">
            <w:pPr>
              <w:jc w:val="center"/>
              <w:outlineLvl w:val="0"/>
              <w:rPr>
                <w:rFonts w:eastAsia="SimSun"/>
                <w:sz w:val="24"/>
                <w:szCs w:val="24"/>
                <w:lang w:eastAsia="zh-CN"/>
              </w:rPr>
            </w:pPr>
            <w:r w:rsidRPr="00497000">
              <w:rPr>
                <w:rFonts w:eastAsia="SimSun"/>
                <w:sz w:val="24"/>
                <w:szCs w:val="24"/>
                <w:lang w:eastAsia="zh-CN"/>
              </w:rPr>
              <w:t>19 (24)</w:t>
            </w:r>
          </w:p>
        </w:tc>
      </w:tr>
    </w:tbl>
    <w:p w14:paraId="4E46D2AC" w14:textId="3D02ADD3" w:rsidR="00790817" w:rsidRPr="008E3C43" w:rsidRDefault="00790817" w:rsidP="008E3C43">
      <w:pPr>
        <w:ind w:left="284" w:hanging="284"/>
        <w:outlineLvl w:val="0"/>
        <w:rPr>
          <w:sz w:val="20"/>
          <w:lang w:val="en-GB" w:eastAsia="en-US"/>
        </w:rPr>
      </w:pPr>
      <w:r w:rsidRPr="008E3C43">
        <w:rPr>
          <w:sz w:val="20"/>
          <w:vertAlign w:val="superscript"/>
          <w:lang w:val="en-US"/>
        </w:rPr>
        <w:t>a</w:t>
      </w:r>
      <w:r w:rsidRPr="008E3C43">
        <w:rPr>
          <w:sz w:val="20"/>
          <w:lang w:val="en-US"/>
        </w:rPr>
        <w:t xml:space="preserve"> </w:t>
      </w:r>
      <w:r w:rsidR="008E3C43" w:rsidRPr="008E3C43">
        <w:rPr>
          <w:sz w:val="20"/>
          <w:lang w:val="en-US"/>
        </w:rPr>
        <w:tab/>
      </w:r>
      <w:proofErr w:type="gramStart"/>
      <w:r w:rsidR="008E3C43" w:rsidRPr="008E3C43">
        <w:rPr>
          <w:sz w:val="20"/>
          <w:lang w:val="en-US"/>
        </w:rPr>
        <w:t>I</w:t>
      </w:r>
      <w:r w:rsidRPr="008E3C43">
        <w:rPr>
          <w:sz w:val="20"/>
          <w:lang w:val="en-US"/>
        </w:rPr>
        <w:t>n</w:t>
      </w:r>
      <w:proofErr w:type="gramEnd"/>
      <w:r w:rsidRPr="008E3C43">
        <w:rPr>
          <w:sz w:val="20"/>
          <w:lang w:val="en-US"/>
        </w:rPr>
        <w:t xml:space="preserve"> accord with EU censoring</w:t>
      </w:r>
    </w:p>
    <w:p w14:paraId="0E0CF245" w14:textId="4FFE47CA" w:rsidR="00790817" w:rsidRPr="008E3C43" w:rsidRDefault="00790817" w:rsidP="008E3C43">
      <w:pPr>
        <w:ind w:left="284" w:hanging="284"/>
        <w:outlineLvl w:val="0"/>
        <w:rPr>
          <w:sz w:val="20"/>
          <w:lang w:val="en-US"/>
        </w:rPr>
      </w:pPr>
      <w:r w:rsidRPr="008E3C43">
        <w:rPr>
          <w:sz w:val="20"/>
          <w:vertAlign w:val="superscript"/>
          <w:lang w:val="en-US"/>
        </w:rPr>
        <w:t>b</w:t>
      </w:r>
      <w:r w:rsidRPr="008E3C43">
        <w:rPr>
          <w:sz w:val="20"/>
          <w:lang w:val="en-US"/>
        </w:rPr>
        <w:t xml:space="preserve"> </w:t>
      </w:r>
      <w:r w:rsidR="008E3C43" w:rsidRPr="008E3C43">
        <w:rPr>
          <w:sz w:val="20"/>
          <w:lang w:val="en-US"/>
        </w:rPr>
        <w:tab/>
      </w:r>
      <w:r w:rsidRPr="008E3C43">
        <w:rPr>
          <w:sz w:val="20"/>
          <w:lang w:val="en-US"/>
        </w:rPr>
        <w:t>Stratification factors per IxRS comprise IMDC risk categories (intermediate risk, poor risk and bone metastasis (yes, no)</w:t>
      </w:r>
    </w:p>
    <w:p w14:paraId="21B6F61E" w14:textId="6914F71B" w:rsidR="00790817" w:rsidRPr="008E3C43" w:rsidRDefault="00790817" w:rsidP="008E3C43">
      <w:pPr>
        <w:ind w:left="284" w:hanging="284"/>
        <w:outlineLvl w:val="0"/>
        <w:rPr>
          <w:sz w:val="20"/>
          <w:lang w:val="en-US"/>
        </w:rPr>
      </w:pPr>
      <w:r w:rsidRPr="008E3C43">
        <w:rPr>
          <w:sz w:val="20"/>
          <w:vertAlign w:val="superscript"/>
          <w:lang w:val="en-US"/>
        </w:rPr>
        <w:t>c</w:t>
      </w:r>
      <w:r w:rsidRPr="008E3C43">
        <w:rPr>
          <w:sz w:val="20"/>
          <w:lang w:val="en-US"/>
        </w:rPr>
        <w:t xml:space="preserve"> </w:t>
      </w:r>
      <w:r w:rsidR="008E3C43" w:rsidRPr="008E3C43">
        <w:rPr>
          <w:sz w:val="20"/>
          <w:lang w:val="en-US"/>
        </w:rPr>
        <w:tab/>
      </w:r>
      <w:r w:rsidRPr="008E3C43">
        <w:rPr>
          <w:sz w:val="20"/>
          <w:lang w:val="en-US"/>
        </w:rPr>
        <w:t>Estimated using the Cox proportional hazard model adjusted for stratification factors per IxRS. Hazard ratio &lt; 1 indicates progression-free survival in favour of cabozantinib</w:t>
      </w:r>
    </w:p>
    <w:p w14:paraId="1780DCB8" w14:textId="77777777" w:rsidR="00790817" w:rsidRPr="00497000" w:rsidRDefault="00790817" w:rsidP="00790817">
      <w:pPr>
        <w:ind w:left="567" w:hanging="567"/>
        <w:rPr>
          <w:sz w:val="24"/>
          <w:szCs w:val="24"/>
          <w:lang w:val="en-US"/>
        </w:rPr>
      </w:pPr>
    </w:p>
    <w:p w14:paraId="07D82C14" w14:textId="77777777" w:rsidR="002C2142" w:rsidRDefault="00790817" w:rsidP="00497000">
      <w:pPr>
        <w:ind w:left="851"/>
        <w:rPr>
          <w:sz w:val="24"/>
          <w:szCs w:val="24"/>
          <w:lang w:val="en-US"/>
        </w:rPr>
      </w:pPr>
      <w:r w:rsidRPr="00497000">
        <w:rPr>
          <w:i/>
          <w:sz w:val="24"/>
          <w:szCs w:val="24"/>
          <w:u w:val="single"/>
          <w:lang w:val="en-US"/>
        </w:rPr>
        <w:t>Randomised phase 3 study of cabozantinib in combination with nivolumab vs. sunitinib (CA2099ER)</w:t>
      </w:r>
      <w:r w:rsidRPr="00497000">
        <w:rPr>
          <w:sz w:val="24"/>
          <w:szCs w:val="24"/>
          <w:lang w:val="en-US"/>
        </w:rPr>
        <w:t xml:space="preserve"> </w:t>
      </w:r>
    </w:p>
    <w:p w14:paraId="45A02E93" w14:textId="2B26BAC7" w:rsidR="00790817" w:rsidRPr="00497000" w:rsidRDefault="00790817" w:rsidP="00497000">
      <w:pPr>
        <w:ind w:left="851"/>
        <w:rPr>
          <w:sz w:val="24"/>
          <w:szCs w:val="24"/>
          <w:lang w:val="en-US"/>
        </w:rPr>
      </w:pPr>
      <w:r w:rsidRPr="00497000">
        <w:rPr>
          <w:sz w:val="24"/>
          <w:szCs w:val="24"/>
          <w:lang w:val="en-US"/>
        </w:rPr>
        <w:t xml:space="preserve">The safety and efficacy of cabozantinib 40 mg orally daily in combination with nivolumab 240 mg intravenously every 2 weeks for the first-line treatment of advanced/metastatic RCC was evaluated in a phase 3, randomised, open label study (CA2099ER). The study included patients (18 years or older) with advanced or metastatic RCC with a clear cell component, Karnofsky Performance Status (KPS) </w:t>
      </w:r>
      <w:r w:rsidRPr="00497000">
        <w:rPr>
          <w:sz w:val="24"/>
          <w:szCs w:val="24"/>
          <w:u w:val="single"/>
          <w:lang w:val="en-US"/>
        </w:rPr>
        <w:t>&gt;</w:t>
      </w:r>
      <w:r w:rsidRPr="00497000">
        <w:rPr>
          <w:sz w:val="24"/>
          <w:szCs w:val="24"/>
          <w:lang w:val="en-US"/>
        </w:rPr>
        <w:t xml:space="preserve"> 70%, and measurable disease as per RECIST v1.1 were included regardless of their PD-L1 status or IMDC risk group. The study excluded patients with autoimmune disease or other medical conditions requiring systemic immunosuppression, patients who had prior treatment with an anti-PD-1, anti PD-L1, anti-PD-L2, anti-CD137, or anti-CTLA-4 antibody, poorly controlled hypertension despite antihypertensive therapy, active brain metastases and uncontrolled adrenal insufficiency. Patients were stratified by IMDC prognostic score, PD-L1 tumour expression, and region. </w:t>
      </w:r>
    </w:p>
    <w:p w14:paraId="2D27A2EF" w14:textId="77777777" w:rsidR="00790817" w:rsidRPr="00497000" w:rsidRDefault="00790817" w:rsidP="00497000">
      <w:pPr>
        <w:ind w:left="851"/>
        <w:rPr>
          <w:sz w:val="24"/>
          <w:szCs w:val="24"/>
          <w:lang w:val="en-US"/>
        </w:rPr>
      </w:pPr>
    </w:p>
    <w:p w14:paraId="64A26305" w14:textId="77777777" w:rsidR="00790817" w:rsidRPr="00497000" w:rsidRDefault="00790817" w:rsidP="00497000">
      <w:pPr>
        <w:ind w:left="851"/>
        <w:rPr>
          <w:sz w:val="24"/>
          <w:szCs w:val="24"/>
          <w:lang w:val="en-US"/>
        </w:rPr>
      </w:pPr>
      <w:r w:rsidRPr="00497000">
        <w:rPr>
          <w:sz w:val="24"/>
          <w:szCs w:val="24"/>
          <w:lang w:val="en-US"/>
        </w:rPr>
        <w:t>A total of 651 patients were randomised to receive either cabozantinib 40 mg once daily orally in combination with nivolumab 240 mg (n=323) administered intravenously every 2 weeks or sunitinib (n = 328) 50 mg daily, administered orally for 4 weeks followed by 2 weeks off. Treatment continued until disease progression or unacceptable toxicity with nivolumab administration up to 24 months. Treatment beyond initial Investigator-assessed RECIST version 1.1-defined progression was permitted if the patient had a clinical benefit and was tolerating study drug, as determined by investigator. First tumour assessment post-baseline was performed at 12 weeks (± 7 days) following randomisation. Subsequent tumour assessments occurred at every 6 weeks (± 7 days) until Week 60, then every 12 weeks (± 14 days) until radiographic progression, confirmed by the Blinded Independent Central review (BICR). The primary efficacy outcome measure was PFS as determined by a BICR. Additional efficacy measures included OS and ORR as key secondary endpoints.</w:t>
      </w:r>
    </w:p>
    <w:p w14:paraId="44BD997F" w14:textId="77777777" w:rsidR="00790817" w:rsidRPr="00497000" w:rsidRDefault="00790817" w:rsidP="00497000">
      <w:pPr>
        <w:ind w:left="851"/>
        <w:rPr>
          <w:sz w:val="24"/>
          <w:szCs w:val="24"/>
          <w:lang w:val="en-US"/>
        </w:rPr>
      </w:pPr>
    </w:p>
    <w:p w14:paraId="38B67F72" w14:textId="77777777" w:rsidR="00790817" w:rsidRPr="00497000" w:rsidRDefault="00790817" w:rsidP="00497000">
      <w:pPr>
        <w:ind w:left="851"/>
        <w:rPr>
          <w:sz w:val="24"/>
          <w:szCs w:val="24"/>
          <w:lang w:val="en-US"/>
        </w:rPr>
      </w:pPr>
      <w:r w:rsidRPr="00497000">
        <w:rPr>
          <w:sz w:val="24"/>
          <w:szCs w:val="24"/>
          <w:lang w:val="en-US"/>
        </w:rPr>
        <w:t xml:space="preserve">Baseline characteristics were generally balanced between the two groups. The median age was 61 years (range: 28-90) with 38.4% </w:t>
      </w:r>
      <w:r w:rsidRPr="00497000">
        <w:rPr>
          <w:sz w:val="24"/>
          <w:szCs w:val="24"/>
        </w:rPr>
        <w:sym w:font="Symbol" w:char="F0B3"/>
      </w:r>
      <w:r w:rsidRPr="00497000">
        <w:rPr>
          <w:sz w:val="24"/>
          <w:szCs w:val="24"/>
          <w:lang w:val="en-US"/>
        </w:rPr>
        <w:t xml:space="preserve"> 65 years of age and 9.5% </w:t>
      </w:r>
      <w:r w:rsidRPr="00497000">
        <w:rPr>
          <w:sz w:val="24"/>
          <w:szCs w:val="24"/>
        </w:rPr>
        <w:sym w:font="Symbol" w:char="F0B3"/>
      </w:r>
      <w:r w:rsidRPr="00497000">
        <w:rPr>
          <w:sz w:val="24"/>
          <w:szCs w:val="24"/>
          <w:lang w:val="en-US"/>
        </w:rPr>
        <w:t xml:space="preserve"> 75 years of age. The majority of patients were male (73.9%) and white (81.9%). Eight percent of patients were Asian, 23.2% and 76.5% of patients had a baseline KPS of 70 to 80% and 90 to 100%, respectively. Patient distribution by IMDC risk categories was 22.6% favourable, 57.6% intermediate, and 19.7% poor. For tumour PD-L1 expression, 72.5% of patients had PD-L1 expression &lt; 1% or indeterminate and 24.9% of patients had PD-L1 expression ≥ 1%. 11.5% of patients had tumours with sarcomatoid features. The median duration of treatment was 14.26 months (range: 0.2-27.3 months) in cabozantinib with nivolumab-treated patients and was 9.23 months (range: 0.8-27.6 months) in sunitinib-treated patients.</w:t>
      </w:r>
    </w:p>
    <w:p w14:paraId="5990BFEB" w14:textId="77777777" w:rsidR="002C2142" w:rsidRDefault="002C2142" w:rsidP="00497000">
      <w:pPr>
        <w:ind w:left="851"/>
        <w:rPr>
          <w:sz w:val="24"/>
          <w:szCs w:val="24"/>
          <w:lang w:val="en-US"/>
        </w:rPr>
      </w:pPr>
    </w:p>
    <w:p w14:paraId="668946CE" w14:textId="0B1FAF32" w:rsidR="00790817" w:rsidRPr="00497000" w:rsidRDefault="00790817" w:rsidP="00497000">
      <w:pPr>
        <w:ind w:left="851"/>
        <w:rPr>
          <w:sz w:val="24"/>
          <w:szCs w:val="24"/>
          <w:lang w:val="en-US" w:eastAsia="en-US"/>
        </w:rPr>
      </w:pPr>
      <w:r w:rsidRPr="00497000">
        <w:rPr>
          <w:sz w:val="24"/>
          <w:szCs w:val="24"/>
          <w:lang w:val="en-US"/>
        </w:rPr>
        <w:t>The study demonstrated a statistically significant benefit in PFS, OS, and ORR for patients randomised to cabozantinib in combination with nivolumab as compared to sunitinib. Efficacy results from the primary analysis (minimum follow-up 10.6 months; median follow-up 18.1 months) are shown in Table 7.</w:t>
      </w:r>
    </w:p>
    <w:p w14:paraId="38CDFB42" w14:textId="77777777" w:rsidR="00790817" w:rsidRPr="002C2142" w:rsidRDefault="00790817" w:rsidP="00497000">
      <w:pPr>
        <w:ind w:left="851"/>
        <w:rPr>
          <w:sz w:val="24"/>
          <w:szCs w:val="24"/>
          <w:lang w:val="en-US"/>
        </w:rPr>
      </w:pPr>
    </w:p>
    <w:p w14:paraId="512CD896" w14:textId="77777777" w:rsidR="00790817" w:rsidRPr="00497000" w:rsidRDefault="00790817" w:rsidP="00790817">
      <w:pPr>
        <w:outlineLvl w:val="0"/>
        <w:rPr>
          <w:b/>
          <w:sz w:val="24"/>
          <w:szCs w:val="24"/>
        </w:rPr>
      </w:pPr>
      <w:r w:rsidRPr="00497000">
        <w:rPr>
          <w:b/>
          <w:sz w:val="24"/>
          <w:szCs w:val="24"/>
        </w:rPr>
        <w:t>Table 7: Efficacy results (CA2099ER)</w:t>
      </w:r>
    </w:p>
    <w:p w14:paraId="407DC284" w14:textId="211F8166" w:rsidR="00790817" w:rsidRPr="00497000" w:rsidRDefault="00790817" w:rsidP="00790817">
      <w:pPr>
        <w:outlineLvl w:val="0"/>
        <w:rPr>
          <w:b/>
          <w:sz w:val="24"/>
          <w:szCs w:val="24"/>
        </w:rPr>
      </w:pPr>
    </w:p>
    <w:tbl>
      <w:tblPr>
        <w:tblW w:w="5000" w:type="pct"/>
        <w:tblCellMar>
          <w:left w:w="0" w:type="dxa"/>
          <w:right w:w="0" w:type="dxa"/>
        </w:tblCellMar>
        <w:tblLook w:val="04A0" w:firstRow="1" w:lastRow="0" w:firstColumn="1" w:lastColumn="0" w:noHBand="0" w:noVBand="1"/>
      </w:tblPr>
      <w:tblGrid>
        <w:gridCol w:w="3210"/>
        <w:gridCol w:w="3453"/>
        <w:gridCol w:w="2965"/>
      </w:tblGrid>
      <w:tr w:rsidR="00790817" w:rsidRPr="00121ED6" w14:paraId="5E524EF3"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tcPr>
          <w:p w14:paraId="339C1B7E" w14:textId="77777777" w:rsidR="00790817" w:rsidRPr="00121ED6" w:rsidRDefault="00790817" w:rsidP="00121ED6">
            <w:pPr>
              <w:rPr>
                <w:sz w:val="24"/>
                <w:szCs w:val="24"/>
              </w:rPr>
            </w:pPr>
          </w:p>
        </w:tc>
        <w:tc>
          <w:tcPr>
            <w:tcW w:w="1793" w:type="pct"/>
            <w:tcBorders>
              <w:top w:val="single" w:sz="4" w:space="0" w:color="000000"/>
              <w:left w:val="single" w:sz="4" w:space="0" w:color="000000"/>
              <w:bottom w:val="single" w:sz="4" w:space="0" w:color="000000"/>
              <w:right w:val="single" w:sz="4" w:space="0" w:color="000000"/>
            </w:tcBorders>
            <w:hideMark/>
          </w:tcPr>
          <w:p w14:paraId="06D78CF0" w14:textId="77777777" w:rsidR="00790817" w:rsidRPr="00121ED6" w:rsidRDefault="00790817" w:rsidP="00121ED6">
            <w:pPr>
              <w:jc w:val="center"/>
              <w:rPr>
                <w:b/>
                <w:bCs/>
                <w:sz w:val="24"/>
                <w:szCs w:val="24"/>
              </w:rPr>
            </w:pPr>
            <w:r w:rsidRPr="00121ED6">
              <w:rPr>
                <w:b/>
                <w:bCs/>
                <w:sz w:val="24"/>
                <w:szCs w:val="24"/>
              </w:rPr>
              <w:t>nivolumab + cabozantinib</w:t>
            </w:r>
          </w:p>
          <w:p w14:paraId="164696B3" w14:textId="77777777" w:rsidR="00790817" w:rsidRPr="00121ED6" w:rsidRDefault="00790817" w:rsidP="00121ED6">
            <w:pPr>
              <w:jc w:val="center"/>
              <w:rPr>
                <w:b/>
                <w:bCs/>
                <w:sz w:val="24"/>
                <w:szCs w:val="24"/>
              </w:rPr>
            </w:pPr>
            <w:r w:rsidRPr="00121ED6">
              <w:rPr>
                <w:b/>
                <w:bCs/>
                <w:sz w:val="24"/>
                <w:szCs w:val="24"/>
              </w:rPr>
              <w:t>(n = 323)</w:t>
            </w:r>
          </w:p>
        </w:tc>
        <w:tc>
          <w:tcPr>
            <w:tcW w:w="1540" w:type="pct"/>
            <w:tcBorders>
              <w:top w:val="single" w:sz="4" w:space="0" w:color="000000"/>
              <w:left w:val="single" w:sz="4" w:space="0" w:color="000000"/>
              <w:bottom w:val="single" w:sz="4" w:space="0" w:color="000000"/>
              <w:right w:val="single" w:sz="4" w:space="0" w:color="000000"/>
            </w:tcBorders>
            <w:hideMark/>
          </w:tcPr>
          <w:p w14:paraId="2D101DC1" w14:textId="77777777" w:rsidR="00790817" w:rsidRPr="00121ED6" w:rsidRDefault="00790817" w:rsidP="00121ED6">
            <w:pPr>
              <w:jc w:val="center"/>
              <w:rPr>
                <w:b/>
                <w:bCs/>
                <w:sz w:val="24"/>
                <w:szCs w:val="24"/>
              </w:rPr>
            </w:pPr>
            <w:r w:rsidRPr="00121ED6">
              <w:rPr>
                <w:b/>
                <w:bCs/>
                <w:sz w:val="24"/>
                <w:szCs w:val="24"/>
              </w:rPr>
              <w:t>sunitinib (n = 328)</w:t>
            </w:r>
          </w:p>
        </w:tc>
      </w:tr>
      <w:tr w:rsidR="00790817" w:rsidRPr="00121ED6" w14:paraId="77CAEFE6"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16ABB851" w14:textId="77777777" w:rsidR="00790817" w:rsidRPr="00121ED6" w:rsidRDefault="00790817" w:rsidP="00121ED6">
            <w:pPr>
              <w:rPr>
                <w:b/>
                <w:bCs/>
                <w:sz w:val="24"/>
                <w:szCs w:val="24"/>
              </w:rPr>
            </w:pPr>
            <w:r w:rsidRPr="00121ED6">
              <w:rPr>
                <w:b/>
                <w:bCs/>
                <w:sz w:val="24"/>
                <w:szCs w:val="24"/>
              </w:rPr>
              <w:t>PFS per BICR</w:t>
            </w:r>
          </w:p>
        </w:tc>
        <w:tc>
          <w:tcPr>
            <w:tcW w:w="1793" w:type="pct"/>
            <w:tcBorders>
              <w:top w:val="single" w:sz="4" w:space="0" w:color="000000"/>
              <w:left w:val="single" w:sz="4" w:space="0" w:color="000000"/>
              <w:bottom w:val="single" w:sz="4" w:space="0" w:color="000000"/>
              <w:right w:val="single" w:sz="4" w:space="0" w:color="000000"/>
            </w:tcBorders>
          </w:tcPr>
          <w:p w14:paraId="54CAAE73" w14:textId="77777777" w:rsidR="00790817" w:rsidRPr="00121ED6" w:rsidRDefault="00790817" w:rsidP="00121ED6">
            <w:pPr>
              <w:jc w:val="center"/>
              <w:rPr>
                <w:sz w:val="24"/>
                <w:szCs w:val="24"/>
              </w:rPr>
            </w:pPr>
          </w:p>
        </w:tc>
        <w:tc>
          <w:tcPr>
            <w:tcW w:w="1540" w:type="pct"/>
            <w:tcBorders>
              <w:top w:val="single" w:sz="4" w:space="0" w:color="000000"/>
              <w:left w:val="single" w:sz="4" w:space="0" w:color="000000"/>
              <w:bottom w:val="single" w:sz="4" w:space="0" w:color="000000"/>
              <w:right w:val="single" w:sz="4" w:space="0" w:color="000000"/>
            </w:tcBorders>
          </w:tcPr>
          <w:p w14:paraId="7E93665D" w14:textId="77777777" w:rsidR="00790817" w:rsidRPr="00121ED6" w:rsidRDefault="00790817" w:rsidP="00121ED6">
            <w:pPr>
              <w:jc w:val="center"/>
              <w:rPr>
                <w:sz w:val="24"/>
                <w:szCs w:val="24"/>
              </w:rPr>
            </w:pPr>
          </w:p>
        </w:tc>
      </w:tr>
      <w:tr w:rsidR="00790817" w:rsidRPr="00121ED6" w14:paraId="22D305F9"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3F623CF8" w14:textId="77777777" w:rsidR="00790817" w:rsidRPr="00121ED6" w:rsidRDefault="00790817" w:rsidP="00121ED6">
            <w:pPr>
              <w:rPr>
                <w:sz w:val="24"/>
                <w:szCs w:val="24"/>
              </w:rPr>
            </w:pPr>
            <w:r w:rsidRPr="00121ED6">
              <w:rPr>
                <w:sz w:val="24"/>
                <w:szCs w:val="24"/>
              </w:rPr>
              <w:t xml:space="preserve">   Events</w:t>
            </w:r>
          </w:p>
        </w:tc>
        <w:tc>
          <w:tcPr>
            <w:tcW w:w="1793" w:type="pct"/>
            <w:tcBorders>
              <w:top w:val="single" w:sz="4" w:space="0" w:color="000000"/>
              <w:left w:val="single" w:sz="4" w:space="0" w:color="000000"/>
              <w:bottom w:val="single" w:sz="4" w:space="0" w:color="000000"/>
              <w:right w:val="single" w:sz="4" w:space="0" w:color="000000"/>
            </w:tcBorders>
            <w:hideMark/>
          </w:tcPr>
          <w:p w14:paraId="36C9DE05" w14:textId="77777777" w:rsidR="00790817" w:rsidRPr="00121ED6" w:rsidRDefault="00790817" w:rsidP="00121ED6">
            <w:pPr>
              <w:jc w:val="center"/>
              <w:rPr>
                <w:sz w:val="24"/>
                <w:szCs w:val="24"/>
              </w:rPr>
            </w:pPr>
            <w:r w:rsidRPr="00121ED6">
              <w:rPr>
                <w:sz w:val="24"/>
                <w:szCs w:val="24"/>
              </w:rPr>
              <w:t>144 (44.6%)</w:t>
            </w:r>
          </w:p>
        </w:tc>
        <w:tc>
          <w:tcPr>
            <w:tcW w:w="1540" w:type="pct"/>
            <w:tcBorders>
              <w:top w:val="single" w:sz="4" w:space="0" w:color="000000"/>
              <w:left w:val="single" w:sz="4" w:space="0" w:color="000000"/>
              <w:bottom w:val="single" w:sz="4" w:space="0" w:color="000000"/>
              <w:right w:val="single" w:sz="4" w:space="0" w:color="000000"/>
            </w:tcBorders>
            <w:hideMark/>
          </w:tcPr>
          <w:p w14:paraId="79573D2E" w14:textId="77777777" w:rsidR="00790817" w:rsidRPr="00121ED6" w:rsidRDefault="00790817" w:rsidP="00121ED6">
            <w:pPr>
              <w:jc w:val="center"/>
              <w:rPr>
                <w:sz w:val="24"/>
                <w:szCs w:val="24"/>
              </w:rPr>
            </w:pPr>
            <w:r w:rsidRPr="00121ED6">
              <w:rPr>
                <w:sz w:val="24"/>
                <w:szCs w:val="24"/>
              </w:rPr>
              <w:t>191 (58.2%)</w:t>
            </w:r>
          </w:p>
        </w:tc>
      </w:tr>
      <w:tr w:rsidR="00790817" w:rsidRPr="00121ED6" w14:paraId="67B68591"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1498E977" w14:textId="77777777" w:rsidR="00790817" w:rsidRPr="00121ED6" w:rsidRDefault="00790817" w:rsidP="00121ED6">
            <w:pPr>
              <w:ind w:left="416"/>
              <w:rPr>
                <w:position w:val="8"/>
                <w:sz w:val="24"/>
                <w:szCs w:val="24"/>
              </w:rPr>
            </w:pPr>
            <w:r w:rsidRPr="00121ED6">
              <w:rPr>
                <w:sz w:val="24"/>
                <w:szCs w:val="24"/>
              </w:rPr>
              <w:t>Hazard ratio</w:t>
            </w:r>
            <w:r w:rsidRPr="00121ED6">
              <w:rPr>
                <w:sz w:val="24"/>
                <w:szCs w:val="24"/>
                <w:vertAlign w:val="superscript"/>
              </w:rPr>
              <w:t>a</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4941430F" w14:textId="77777777" w:rsidR="00790817" w:rsidRPr="00121ED6" w:rsidRDefault="00790817" w:rsidP="00121ED6">
            <w:pPr>
              <w:jc w:val="center"/>
              <w:rPr>
                <w:sz w:val="24"/>
                <w:szCs w:val="24"/>
              </w:rPr>
            </w:pPr>
            <w:r w:rsidRPr="00121ED6">
              <w:rPr>
                <w:sz w:val="24"/>
                <w:szCs w:val="24"/>
              </w:rPr>
              <w:t>0.51</w:t>
            </w:r>
          </w:p>
        </w:tc>
      </w:tr>
      <w:tr w:rsidR="00790817" w:rsidRPr="00121ED6" w14:paraId="121E36A2"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602EF3D3" w14:textId="77777777" w:rsidR="00790817" w:rsidRPr="00121ED6" w:rsidRDefault="00790817" w:rsidP="00121ED6">
            <w:pPr>
              <w:ind w:left="416"/>
              <w:rPr>
                <w:sz w:val="24"/>
                <w:szCs w:val="24"/>
              </w:rPr>
            </w:pPr>
            <w:r w:rsidRPr="00121ED6">
              <w:rPr>
                <w:sz w:val="24"/>
                <w:szCs w:val="24"/>
              </w:rPr>
              <w:t>95% CI</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044CD1ED" w14:textId="77777777" w:rsidR="00790817" w:rsidRPr="00121ED6" w:rsidRDefault="00790817" w:rsidP="00121ED6">
            <w:pPr>
              <w:jc w:val="center"/>
              <w:rPr>
                <w:sz w:val="24"/>
                <w:szCs w:val="24"/>
              </w:rPr>
            </w:pPr>
            <w:r w:rsidRPr="00121ED6">
              <w:rPr>
                <w:sz w:val="24"/>
                <w:szCs w:val="24"/>
              </w:rPr>
              <w:t>(0.41, 0.64)</w:t>
            </w:r>
          </w:p>
        </w:tc>
      </w:tr>
      <w:tr w:rsidR="00790817" w:rsidRPr="00121ED6" w14:paraId="61574B56"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C22ADE8" w14:textId="77777777" w:rsidR="00790817" w:rsidRPr="00121ED6" w:rsidRDefault="00790817" w:rsidP="00121ED6">
            <w:pPr>
              <w:ind w:left="416"/>
              <w:rPr>
                <w:position w:val="8"/>
                <w:sz w:val="24"/>
                <w:szCs w:val="24"/>
              </w:rPr>
            </w:pPr>
            <w:r w:rsidRPr="00121ED6">
              <w:rPr>
                <w:sz w:val="24"/>
                <w:szCs w:val="24"/>
              </w:rPr>
              <w:t>p-value</w:t>
            </w:r>
            <w:r w:rsidRPr="00121ED6">
              <w:rPr>
                <w:sz w:val="24"/>
                <w:szCs w:val="24"/>
                <w:vertAlign w:val="superscript"/>
              </w:rPr>
              <w:t>b, c</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49767AF1" w14:textId="77777777" w:rsidR="00790817" w:rsidRPr="00121ED6" w:rsidRDefault="00790817" w:rsidP="00121ED6">
            <w:pPr>
              <w:jc w:val="center"/>
              <w:rPr>
                <w:sz w:val="24"/>
                <w:szCs w:val="24"/>
              </w:rPr>
            </w:pPr>
            <w:r w:rsidRPr="00121ED6">
              <w:rPr>
                <w:sz w:val="24"/>
                <w:szCs w:val="24"/>
              </w:rPr>
              <w:t>&lt; 0.0001</w:t>
            </w:r>
          </w:p>
        </w:tc>
      </w:tr>
      <w:tr w:rsidR="00790817" w:rsidRPr="00121ED6" w14:paraId="21F734CE"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6CF20FA3" w14:textId="77777777" w:rsidR="00790817" w:rsidRPr="00121ED6" w:rsidRDefault="00790817" w:rsidP="00121ED6">
            <w:pPr>
              <w:rPr>
                <w:position w:val="8"/>
                <w:sz w:val="24"/>
                <w:szCs w:val="24"/>
              </w:rPr>
            </w:pPr>
            <w:r w:rsidRPr="00121ED6">
              <w:rPr>
                <w:sz w:val="24"/>
                <w:szCs w:val="24"/>
              </w:rPr>
              <w:t xml:space="preserve">   Median (95% </w:t>
            </w:r>
            <w:proofErr w:type="gramStart"/>
            <w:r w:rsidRPr="00121ED6">
              <w:rPr>
                <w:sz w:val="24"/>
                <w:szCs w:val="24"/>
              </w:rPr>
              <w:t>CI)</w:t>
            </w:r>
            <w:r w:rsidRPr="00121ED6">
              <w:rPr>
                <w:sz w:val="24"/>
                <w:szCs w:val="24"/>
                <w:vertAlign w:val="superscript"/>
              </w:rPr>
              <w:t>d</w:t>
            </w:r>
            <w:proofErr w:type="gramEnd"/>
          </w:p>
        </w:tc>
        <w:tc>
          <w:tcPr>
            <w:tcW w:w="1793" w:type="pct"/>
            <w:tcBorders>
              <w:top w:val="single" w:sz="4" w:space="0" w:color="000000"/>
              <w:left w:val="single" w:sz="4" w:space="0" w:color="000000"/>
              <w:bottom w:val="single" w:sz="4" w:space="0" w:color="000000"/>
              <w:right w:val="single" w:sz="4" w:space="0" w:color="000000"/>
            </w:tcBorders>
            <w:hideMark/>
          </w:tcPr>
          <w:p w14:paraId="1D4EC18D" w14:textId="77777777" w:rsidR="00790817" w:rsidRPr="00121ED6" w:rsidRDefault="00790817" w:rsidP="00121ED6">
            <w:pPr>
              <w:jc w:val="center"/>
              <w:rPr>
                <w:sz w:val="24"/>
                <w:szCs w:val="24"/>
              </w:rPr>
            </w:pPr>
            <w:r w:rsidRPr="00121ED6">
              <w:rPr>
                <w:sz w:val="24"/>
                <w:szCs w:val="24"/>
              </w:rPr>
              <w:t>16.59 (12.45, 24.94)</w:t>
            </w:r>
          </w:p>
        </w:tc>
        <w:tc>
          <w:tcPr>
            <w:tcW w:w="1540" w:type="pct"/>
            <w:tcBorders>
              <w:top w:val="single" w:sz="4" w:space="0" w:color="000000"/>
              <w:left w:val="single" w:sz="4" w:space="0" w:color="000000"/>
              <w:bottom w:val="single" w:sz="4" w:space="0" w:color="000000"/>
              <w:right w:val="single" w:sz="4" w:space="0" w:color="000000"/>
            </w:tcBorders>
            <w:hideMark/>
          </w:tcPr>
          <w:p w14:paraId="7163EFE6" w14:textId="77777777" w:rsidR="00790817" w:rsidRPr="00121ED6" w:rsidRDefault="00790817" w:rsidP="00121ED6">
            <w:pPr>
              <w:jc w:val="center"/>
              <w:rPr>
                <w:sz w:val="24"/>
                <w:szCs w:val="24"/>
              </w:rPr>
            </w:pPr>
            <w:r w:rsidRPr="00121ED6">
              <w:rPr>
                <w:sz w:val="24"/>
                <w:szCs w:val="24"/>
              </w:rPr>
              <w:t>8.31 (6.97, 9.69)</w:t>
            </w:r>
          </w:p>
        </w:tc>
      </w:tr>
      <w:tr w:rsidR="00790817" w:rsidRPr="00121ED6" w14:paraId="340E8672"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3B18C31" w14:textId="77777777" w:rsidR="00790817" w:rsidRPr="00121ED6" w:rsidRDefault="00790817" w:rsidP="00121ED6">
            <w:pPr>
              <w:rPr>
                <w:b/>
                <w:bCs/>
                <w:sz w:val="24"/>
                <w:szCs w:val="24"/>
              </w:rPr>
            </w:pPr>
            <w:r w:rsidRPr="00121ED6">
              <w:rPr>
                <w:b/>
                <w:bCs/>
                <w:sz w:val="24"/>
                <w:szCs w:val="24"/>
              </w:rPr>
              <w:t>OS</w:t>
            </w:r>
          </w:p>
        </w:tc>
        <w:tc>
          <w:tcPr>
            <w:tcW w:w="1793" w:type="pct"/>
            <w:tcBorders>
              <w:top w:val="single" w:sz="4" w:space="0" w:color="000000"/>
              <w:left w:val="single" w:sz="4" w:space="0" w:color="000000"/>
              <w:bottom w:val="single" w:sz="4" w:space="0" w:color="000000"/>
              <w:right w:val="single" w:sz="4" w:space="0" w:color="000000"/>
            </w:tcBorders>
          </w:tcPr>
          <w:p w14:paraId="6D5C06F8" w14:textId="77777777" w:rsidR="00790817" w:rsidRPr="00121ED6" w:rsidRDefault="00790817" w:rsidP="00121ED6">
            <w:pPr>
              <w:rPr>
                <w:sz w:val="24"/>
                <w:szCs w:val="24"/>
              </w:rPr>
            </w:pPr>
          </w:p>
        </w:tc>
        <w:tc>
          <w:tcPr>
            <w:tcW w:w="1540" w:type="pct"/>
            <w:tcBorders>
              <w:top w:val="single" w:sz="4" w:space="0" w:color="000000"/>
              <w:left w:val="single" w:sz="4" w:space="0" w:color="000000"/>
              <w:bottom w:val="single" w:sz="4" w:space="0" w:color="000000"/>
              <w:right w:val="single" w:sz="4" w:space="0" w:color="000000"/>
            </w:tcBorders>
          </w:tcPr>
          <w:p w14:paraId="7E8449C2" w14:textId="77777777" w:rsidR="00790817" w:rsidRPr="00121ED6" w:rsidRDefault="00790817" w:rsidP="00121ED6">
            <w:pPr>
              <w:rPr>
                <w:sz w:val="24"/>
                <w:szCs w:val="24"/>
              </w:rPr>
            </w:pPr>
          </w:p>
        </w:tc>
      </w:tr>
      <w:tr w:rsidR="00790817" w:rsidRPr="00121ED6" w14:paraId="2ACFF72A"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C489DB4" w14:textId="77777777" w:rsidR="00790817" w:rsidRPr="00121ED6" w:rsidRDefault="00790817" w:rsidP="00121ED6">
            <w:pPr>
              <w:rPr>
                <w:sz w:val="24"/>
                <w:szCs w:val="24"/>
              </w:rPr>
            </w:pPr>
            <w:r w:rsidRPr="00121ED6">
              <w:rPr>
                <w:sz w:val="24"/>
                <w:szCs w:val="24"/>
              </w:rPr>
              <w:t xml:space="preserve">   Events</w:t>
            </w:r>
          </w:p>
        </w:tc>
        <w:tc>
          <w:tcPr>
            <w:tcW w:w="1793" w:type="pct"/>
            <w:tcBorders>
              <w:top w:val="single" w:sz="4" w:space="0" w:color="000000"/>
              <w:left w:val="single" w:sz="4" w:space="0" w:color="000000"/>
              <w:bottom w:val="single" w:sz="4" w:space="0" w:color="000000"/>
              <w:right w:val="single" w:sz="4" w:space="0" w:color="000000"/>
            </w:tcBorders>
            <w:hideMark/>
          </w:tcPr>
          <w:p w14:paraId="78D6D782" w14:textId="77777777" w:rsidR="00790817" w:rsidRPr="00121ED6" w:rsidRDefault="00790817" w:rsidP="00121ED6">
            <w:pPr>
              <w:jc w:val="center"/>
              <w:rPr>
                <w:sz w:val="24"/>
                <w:szCs w:val="24"/>
              </w:rPr>
            </w:pPr>
            <w:r w:rsidRPr="00121ED6">
              <w:rPr>
                <w:sz w:val="24"/>
                <w:szCs w:val="24"/>
              </w:rPr>
              <w:t>67 (20.7%)</w:t>
            </w:r>
          </w:p>
        </w:tc>
        <w:tc>
          <w:tcPr>
            <w:tcW w:w="1540" w:type="pct"/>
            <w:tcBorders>
              <w:top w:val="single" w:sz="4" w:space="0" w:color="000000"/>
              <w:left w:val="single" w:sz="4" w:space="0" w:color="000000"/>
              <w:bottom w:val="single" w:sz="4" w:space="0" w:color="000000"/>
              <w:right w:val="single" w:sz="4" w:space="0" w:color="000000"/>
            </w:tcBorders>
            <w:hideMark/>
          </w:tcPr>
          <w:p w14:paraId="65167D40" w14:textId="77777777" w:rsidR="00790817" w:rsidRPr="00121ED6" w:rsidRDefault="00790817" w:rsidP="00121ED6">
            <w:pPr>
              <w:jc w:val="center"/>
              <w:rPr>
                <w:sz w:val="24"/>
                <w:szCs w:val="24"/>
              </w:rPr>
            </w:pPr>
            <w:r w:rsidRPr="00121ED6">
              <w:rPr>
                <w:sz w:val="24"/>
                <w:szCs w:val="24"/>
              </w:rPr>
              <w:t>99 (30.2%)</w:t>
            </w:r>
          </w:p>
        </w:tc>
      </w:tr>
      <w:tr w:rsidR="00790817" w:rsidRPr="00121ED6" w14:paraId="633D04B9"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0749C3DA" w14:textId="77777777" w:rsidR="00790817" w:rsidRPr="00121ED6" w:rsidRDefault="00790817" w:rsidP="00121ED6">
            <w:pPr>
              <w:ind w:left="416"/>
              <w:rPr>
                <w:position w:val="8"/>
                <w:sz w:val="24"/>
                <w:szCs w:val="24"/>
              </w:rPr>
            </w:pPr>
            <w:r w:rsidRPr="00121ED6">
              <w:rPr>
                <w:sz w:val="24"/>
                <w:szCs w:val="24"/>
              </w:rPr>
              <w:t>Hazard ratio</w:t>
            </w:r>
            <w:r w:rsidRPr="00121ED6">
              <w:rPr>
                <w:sz w:val="24"/>
                <w:szCs w:val="24"/>
                <w:vertAlign w:val="superscript"/>
              </w:rPr>
              <w:t>a</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33EB4183" w14:textId="77777777" w:rsidR="00790817" w:rsidRPr="00121ED6" w:rsidRDefault="00790817" w:rsidP="00121ED6">
            <w:pPr>
              <w:jc w:val="center"/>
              <w:rPr>
                <w:sz w:val="24"/>
                <w:szCs w:val="24"/>
              </w:rPr>
            </w:pPr>
            <w:r w:rsidRPr="00121ED6">
              <w:rPr>
                <w:sz w:val="24"/>
                <w:szCs w:val="24"/>
              </w:rPr>
              <w:t>0.60</w:t>
            </w:r>
          </w:p>
        </w:tc>
      </w:tr>
      <w:tr w:rsidR="00790817" w:rsidRPr="00121ED6" w14:paraId="68B8406B"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36EB07A5" w14:textId="77777777" w:rsidR="00790817" w:rsidRPr="00121ED6" w:rsidRDefault="00790817" w:rsidP="00121ED6">
            <w:pPr>
              <w:ind w:left="416"/>
              <w:rPr>
                <w:sz w:val="24"/>
                <w:szCs w:val="24"/>
              </w:rPr>
            </w:pPr>
            <w:r w:rsidRPr="00121ED6">
              <w:rPr>
                <w:sz w:val="24"/>
                <w:szCs w:val="24"/>
              </w:rPr>
              <w:t>98.89% CI</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719127FE" w14:textId="77777777" w:rsidR="00790817" w:rsidRPr="00121ED6" w:rsidRDefault="00790817" w:rsidP="00121ED6">
            <w:pPr>
              <w:jc w:val="center"/>
              <w:rPr>
                <w:sz w:val="24"/>
                <w:szCs w:val="24"/>
              </w:rPr>
            </w:pPr>
            <w:r w:rsidRPr="00121ED6">
              <w:rPr>
                <w:sz w:val="24"/>
                <w:szCs w:val="24"/>
              </w:rPr>
              <w:t>(0.40, 0.89)</w:t>
            </w:r>
          </w:p>
        </w:tc>
      </w:tr>
      <w:tr w:rsidR="00790817" w:rsidRPr="00121ED6" w14:paraId="55BECC41"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7F8C4087" w14:textId="77777777" w:rsidR="00790817" w:rsidRPr="00121ED6" w:rsidRDefault="00790817" w:rsidP="00121ED6">
            <w:pPr>
              <w:ind w:left="416"/>
              <w:rPr>
                <w:position w:val="8"/>
                <w:sz w:val="24"/>
                <w:szCs w:val="24"/>
              </w:rPr>
            </w:pPr>
            <w:r w:rsidRPr="00121ED6">
              <w:rPr>
                <w:sz w:val="24"/>
                <w:szCs w:val="24"/>
              </w:rPr>
              <w:t>p-</w:t>
            </w:r>
            <w:proofErr w:type="gramStart"/>
            <w:r w:rsidRPr="00121ED6">
              <w:rPr>
                <w:sz w:val="24"/>
                <w:szCs w:val="24"/>
              </w:rPr>
              <w:t>value</w:t>
            </w:r>
            <w:r w:rsidRPr="00121ED6">
              <w:rPr>
                <w:sz w:val="24"/>
                <w:szCs w:val="24"/>
                <w:vertAlign w:val="superscript"/>
              </w:rPr>
              <w:t>b,c</w:t>
            </w:r>
            <w:proofErr w:type="gramEnd"/>
            <w:r w:rsidRPr="00121ED6">
              <w:rPr>
                <w:sz w:val="24"/>
                <w:szCs w:val="24"/>
                <w:vertAlign w:val="superscript"/>
              </w:rPr>
              <w:t>,e</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42947E51" w14:textId="77777777" w:rsidR="00790817" w:rsidRPr="00121ED6" w:rsidRDefault="00790817" w:rsidP="00121ED6">
            <w:pPr>
              <w:jc w:val="center"/>
              <w:rPr>
                <w:sz w:val="24"/>
                <w:szCs w:val="24"/>
              </w:rPr>
            </w:pPr>
            <w:r w:rsidRPr="00121ED6">
              <w:rPr>
                <w:sz w:val="24"/>
                <w:szCs w:val="24"/>
              </w:rPr>
              <w:t>0.0010</w:t>
            </w:r>
          </w:p>
        </w:tc>
      </w:tr>
      <w:tr w:rsidR="00790817" w:rsidRPr="00121ED6" w14:paraId="6787097E"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13AEC9DC" w14:textId="77777777" w:rsidR="00790817" w:rsidRPr="00121ED6" w:rsidRDefault="00790817" w:rsidP="00121ED6">
            <w:pPr>
              <w:rPr>
                <w:sz w:val="24"/>
                <w:szCs w:val="24"/>
              </w:rPr>
            </w:pPr>
            <w:r w:rsidRPr="00121ED6">
              <w:rPr>
                <w:sz w:val="24"/>
                <w:szCs w:val="24"/>
              </w:rPr>
              <w:t xml:space="preserve">   Median (95% CI)</w:t>
            </w:r>
          </w:p>
        </w:tc>
        <w:tc>
          <w:tcPr>
            <w:tcW w:w="1793" w:type="pct"/>
            <w:tcBorders>
              <w:top w:val="single" w:sz="4" w:space="0" w:color="000000"/>
              <w:left w:val="single" w:sz="4" w:space="0" w:color="000000"/>
              <w:bottom w:val="single" w:sz="4" w:space="0" w:color="000000"/>
              <w:right w:val="single" w:sz="4" w:space="0" w:color="000000"/>
            </w:tcBorders>
            <w:hideMark/>
          </w:tcPr>
          <w:p w14:paraId="3382B425" w14:textId="77777777" w:rsidR="00790817" w:rsidRPr="00121ED6" w:rsidRDefault="00790817" w:rsidP="00121ED6">
            <w:pPr>
              <w:jc w:val="center"/>
              <w:rPr>
                <w:sz w:val="24"/>
                <w:szCs w:val="24"/>
              </w:rPr>
            </w:pPr>
            <w:r w:rsidRPr="00121ED6">
              <w:rPr>
                <w:sz w:val="24"/>
                <w:szCs w:val="24"/>
              </w:rPr>
              <w:t>N.E.</w:t>
            </w:r>
          </w:p>
        </w:tc>
        <w:tc>
          <w:tcPr>
            <w:tcW w:w="1540" w:type="pct"/>
            <w:tcBorders>
              <w:top w:val="single" w:sz="4" w:space="0" w:color="000000"/>
              <w:left w:val="single" w:sz="4" w:space="0" w:color="000000"/>
              <w:bottom w:val="single" w:sz="4" w:space="0" w:color="000000"/>
              <w:right w:val="single" w:sz="4" w:space="0" w:color="000000"/>
            </w:tcBorders>
            <w:hideMark/>
          </w:tcPr>
          <w:p w14:paraId="3845C443" w14:textId="77777777" w:rsidR="00790817" w:rsidRPr="00121ED6" w:rsidRDefault="00790817" w:rsidP="00121ED6">
            <w:pPr>
              <w:jc w:val="center"/>
              <w:rPr>
                <w:sz w:val="24"/>
                <w:szCs w:val="24"/>
              </w:rPr>
            </w:pPr>
            <w:r w:rsidRPr="00121ED6">
              <w:rPr>
                <w:sz w:val="24"/>
                <w:szCs w:val="24"/>
              </w:rPr>
              <w:t>N.E. (22.6, N.E.)</w:t>
            </w:r>
          </w:p>
        </w:tc>
      </w:tr>
      <w:tr w:rsidR="00790817" w:rsidRPr="00121ED6" w14:paraId="59F4A9EE"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428407BB" w14:textId="77777777" w:rsidR="00790817" w:rsidRPr="00121ED6" w:rsidRDefault="00790817" w:rsidP="00121ED6">
            <w:pPr>
              <w:rPr>
                <w:sz w:val="24"/>
                <w:szCs w:val="24"/>
              </w:rPr>
            </w:pPr>
            <w:r w:rsidRPr="00121ED6">
              <w:rPr>
                <w:sz w:val="24"/>
                <w:szCs w:val="24"/>
              </w:rPr>
              <w:t xml:space="preserve">   Rate (95% CI)</w:t>
            </w:r>
          </w:p>
        </w:tc>
        <w:tc>
          <w:tcPr>
            <w:tcW w:w="1793" w:type="pct"/>
            <w:tcBorders>
              <w:top w:val="single" w:sz="4" w:space="0" w:color="000000"/>
              <w:left w:val="single" w:sz="4" w:space="0" w:color="000000"/>
              <w:bottom w:val="single" w:sz="4" w:space="0" w:color="000000"/>
              <w:right w:val="single" w:sz="4" w:space="0" w:color="000000"/>
            </w:tcBorders>
          </w:tcPr>
          <w:p w14:paraId="5E296C6B" w14:textId="77777777" w:rsidR="00790817" w:rsidRPr="00121ED6" w:rsidRDefault="00790817" w:rsidP="00121ED6">
            <w:pPr>
              <w:rPr>
                <w:sz w:val="24"/>
                <w:szCs w:val="24"/>
              </w:rPr>
            </w:pPr>
          </w:p>
        </w:tc>
        <w:tc>
          <w:tcPr>
            <w:tcW w:w="1540" w:type="pct"/>
            <w:tcBorders>
              <w:top w:val="single" w:sz="4" w:space="0" w:color="000000"/>
              <w:left w:val="single" w:sz="4" w:space="0" w:color="000000"/>
              <w:bottom w:val="single" w:sz="4" w:space="0" w:color="000000"/>
              <w:right w:val="single" w:sz="4" w:space="0" w:color="000000"/>
            </w:tcBorders>
          </w:tcPr>
          <w:p w14:paraId="76313CC1" w14:textId="77777777" w:rsidR="00790817" w:rsidRPr="00121ED6" w:rsidRDefault="00790817" w:rsidP="00121ED6">
            <w:pPr>
              <w:rPr>
                <w:sz w:val="24"/>
                <w:szCs w:val="24"/>
              </w:rPr>
            </w:pPr>
          </w:p>
        </w:tc>
      </w:tr>
      <w:tr w:rsidR="00790817" w:rsidRPr="00121ED6" w14:paraId="5C92292E"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1A27E601" w14:textId="77777777" w:rsidR="00790817" w:rsidRPr="00121ED6" w:rsidRDefault="00790817" w:rsidP="00121ED6">
            <w:pPr>
              <w:rPr>
                <w:sz w:val="24"/>
                <w:szCs w:val="24"/>
              </w:rPr>
            </w:pPr>
            <w:r w:rsidRPr="00121ED6">
              <w:rPr>
                <w:sz w:val="24"/>
                <w:szCs w:val="24"/>
              </w:rPr>
              <w:t xml:space="preserve">   At 6 months</w:t>
            </w:r>
          </w:p>
        </w:tc>
        <w:tc>
          <w:tcPr>
            <w:tcW w:w="1793" w:type="pct"/>
            <w:tcBorders>
              <w:top w:val="single" w:sz="4" w:space="0" w:color="000000"/>
              <w:left w:val="single" w:sz="4" w:space="0" w:color="000000"/>
              <w:bottom w:val="single" w:sz="4" w:space="0" w:color="000000"/>
              <w:right w:val="single" w:sz="4" w:space="0" w:color="000000"/>
            </w:tcBorders>
            <w:hideMark/>
          </w:tcPr>
          <w:p w14:paraId="07AF8657" w14:textId="77777777" w:rsidR="00790817" w:rsidRPr="00121ED6" w:rsidRDefault="00790817" w:rsidP="00121ED6">
            <w:pPr>
              <w:jc w:val="center"/>
              <w:rPr>
                <w:sz w:val="24"/>
                <w:szCs w:val="24"/>
              </w:rPr>
            </w:pPr>
            <w:r w:rsidRPr="00121ED6">
              <w:rPr>
                <w:sz w:val="24"/>
                <w:szCs w:val="24"/>
              </w:rPr>
              <w:t>93.1 (89.7, 95.4)</w:t>
            </w:r>
          </w:p>
        </w:tc>
        <w:tc>
          <w:tcPr>
            <w:tcW w:w="1540" w:type="pct"/>
            <w:tcBorders>
              <w:top w:val="single" w:sz="4" w:space="0" w:color="000000"/>
              <w:left w:val="single" w:sz="4" w:space="0" w:color="000000"/>
              <w:bottom w:val="single" w:sz="4" w:space="0" w:color="000000"/>
              <w:right w:val="single" w:sz="4" w:space="0" w:color="000000"/>
            </w:tcBorders>
            <w:hideMark/>
          </w:tcPr>
          <w:p w14:paraId="73C16024" w14:textId="77777777" w:rsidR="00790817" w:rsidRPr="00121ED6" w:rsidRDefault="00790817" w:rsidP="00121ED6">
            <w:pPr>
              <w:jc w:val="center"/>
              <w:rPr>
                <w:sz w:val="24"/>
                <w:szCs w:val="24"/>
              </w:rPr>
            </w:pPr>
            <w:r w:rsidRPr="00121ED6">
              <w:rPr>
                <w:sz w:val="24"/>
                <w:szCs w:val="24"/>
              </w:rPr>
              <w:t>86.2 (81.9,89.5)</w:t>
            </w:r>
          </w:p>
        </w:tc>
      </w:tr>
      <w:tr w:rsidR="00790817" w:rsidRPr="00121ED6" w14:paraId="65091AD8"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6E42BD53" w14:textId="77777777" w:rsidR="00790817" w:rsidRPr="00121ED6" w:rsidRDefault="00790817" w:rsidP="00121ED6">
            <w:pPr>
              <w:rPr>
                <w:b/>
                <w:bCs/>
                <w:sz w:val="24"/>
                <w:szCs w:val="24"/>
              </w:rPr>
            </w:pPr>
            <w:r w:rsidRPr="00121ED6">
              <w:rPr>
                <w:b/>
                <w:bCs/>
                <w:sz w:val="24"/>
                <w:szCs w:val="24"/>
              </w:rPr>
              <w:t>ORR per BICR (CR + PR)</w:t>
            </w:r>
          </w:p>
        </w:tc>
        <w:tc>
          <w:tcPr>
            <w:tcW w:w="1793" w:type="pct"/>
            <w:tcBorders>
              <w:top w:val="single" w:sz="4" w:space="0" w:color="000000"/>
              <w:left w:val="single" w:sz="4" w:space="0" w:color="000000"/>
              <w:bottom w:val="single" w:sz="4" w:space="0" w:color="000000"/>
              <w:right w:val="single" w:sz="4" w:space="0" w:color="000000"/>
            </w:tcBorders>
            <w:hideMark/>
          </w:tcPr>
          <w:p w14:paraId="1165FD69" w14:textId="77777777" w:rsidR="00790817" w:rsidRPr="00121ED6" w:rsidRDefault="00790817" w:rsidP="00121ED6">
            <w:pPr>
              <w:jc w:val="center"/>
              <w:rPr>
                <w:sz w:val="24"/>
                <w:szCs w:val="24"/>
              </w:rPr>
            </w:pPr>
            <w:r w:rsidRPr="00121ED6">
              <w:rPr>
                <w:sz w:val="24"/>
                <w:szCs w:val="24"/>
              </w:rPr>
              <w:t>180 (55.7%)</w:t>
            </w:r>
          </w:p>
        </w:tc>
        <w:tc>
          <w:tcPr>
            <w:tcW w:w="1540" w:type="pct"/>
            <w:tcBorders>
              <w:top w:val="single" w:sz="4" w:space="0" w:color="000000"/>
              <w:left w:val="single" w:sz="4" w:space="0" w:color="000000"/>
              <w:bottom w:val="single" w:sz="4" w:space="0" w:color="000000"/>
              <w:right w:val="single" w:sz="4" w:space="0" w:color="000000"/>
            </w:tcBorders>
            <w:hideMark/>
          </w:tcPr>
          <w:p w14:paraId="10B75A1F" w14:textId="77777777" w:rsidR="00790817" w:rsidRPr="00121ED6" w:rsidRDefault="00790817" w:rsidP="00121ED6">
            <w:pPr>
              <w:jc w:val="center"/>
              <w:rPr>
                <w:sz w:val="24"/>
                <w:szCs w:val="24"/>
              </w:rPr>
            </w:pPr>
            <w:r w:rsidRPr="00121ED6">
              <w:rPr>
                <w:sz w:val="24"/>
                <w:szCs w:val="24"/>
              </w:rPr>
              <w:t>89 (27.1%)</w:t>
            </w:r>
          </w:p>
        </w:tc>
      </w:tr>
      <w:tr w:rsidR="00790817" w:rsidRPr="00121ED6" w14:paraId="3F3CFE55"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957CA87" w14:textId="77777777" w:rsidR="00790817" w:rsidRPr="00121ED6" w:rsidRDefault="00790817" w:rsidP="00121ED6">
            <w:pPr>
              <w:ind w:left="416"/>
              <w:rPr>
                <w:position w:val="8"/>
                <w:sz w:val="24"/>
                <w:szCs w:val="24"/>
              </w:rPr>
            </w:pPr>
            <w:r w:rsidRPr="00121ED6">
              <w:rPr>
                <w:sz w:val="24"/>
                <w:szCs w:val="24"/>
              </w:rPr>
              <w:t xml:space="preserve">(95% </w:t>
            </w:r>
            <w:proofErr w:type="gramStart"/>
            <w:r w:rsidRPr="00121ED6">
              <w:rPr>
                <w:sz w:val="24"/>
                <w:szCs w:val="24"/>
              </w:rPr>
              <w:t>CI)</w:t>
            </w:r>
            <w:r w:rsidRPr="00121ED6">
              <w:rPr>
                <w:sz w:val="24"/>
                <w:szCs w:val="24"/>
                <w:vertAlign w:val="superscript"/>
              </w:rPr>
              <w:t>f</w:t>
            </w:r>
            <w:proofErr w:type="gramEnd"/>
          </w:p>
        </w:tc>
        <w:tc>
          <w:tcPr>
            <w:tcW w:w="1793" w:type="pct"/>
            <w:tcBorders>
              <w:top w:val="single" w:sz="4" w:space="0" w:color="000000"/>
              <w:left w:val="single" w:sz="4" w:space="0" w:color="000000"/>
              <w:bottom w:val="single" w:sz="4" w:space="0" w:color="000000"/>
              <w:right w:val="single" w:sz="4" w:space="0" w:color="000000"/>
            </w:tcBorders>
            <w:hideMark/>
          </w:tcPr>
          <w:p w14:paraId="280172C3" w14:textId="77777777" w:rsidR="00790817" w:rsidRPr="00121ED6" w:rsidRDefault="00790817" w:rsidP="00121ED6">
            <w:pPr>
              <w:jc w:val="center"/>
              <w:rPr>
                <w:sz w:val="24"/>
                <w:szCs w:val="24"/>
              </w:rPr>
            </w:pPr>
            <w:r w:rsidRPr="00121ED6">
              <w:rPr>
                <w:sz w:val="24"/>
                <w:szCs w:val="24"/>
              </w:rPr>
              <w:t>(50.1, 61.2)</w:t>
            </w:r>
          </w:p>
        </w:tc>
        <w:tc>
          <w:tcPr>
            <w:tcW w:w="1540" w:type="pct"/>
            <w:tcBorders>
              <w:top w:val="single" w:sz="4" w:space="0" w:color="000000"/>
              <w:left w:val="single" w:sz="4" w:space="0" w:color="000000"/>
              <w:bottom w:val="single" w:sz="4" w:space="0" w:color="000000"/>
              <w:right w:val="single" w:sz="4" w:space="0" w:color="000000"/>
            </w:tcBorders>
            <w:hideMark/>
          </w:tcPr>
          <w:p w14:paraId="5A9C74E3" w14:textId="77777777" w:rsidR="00790817" w:rsidRPr="00121ED6" w:rsidRDefault="00790817" w:rsidP="00121ED6">
            <w:pPr>
              <w:jc w:val="center"/>
              <w:rPr>
                <w:sz w:val="24"/>
                <w:szCs w:val="24"/>
              </w:rPr>
            </w:pPr>
            <w:r w:rsidRPr="00121ED6">
              <w:rPr>
                <w:sz w:val="24"/>
                <w:szCs w:val="24"/>
              </w:rPr>
              <w:t>(22.4, 32.3)</w:t>
            </w:r>
          </w:p>
        </w:tc>
      </w:tr>
      <w:tr w:rsidR="00790817" w:rsidRPr="00121ED6" w14:paraId="1BA89C61"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1F5E2DD" w14:textId="77777777" w:rsidR="00790817" w:rsidRPr="002922BC" w:rsidRDefault="00790817" w:rsidP="00121ED6">
            <w:pPr>
              <w:rPr>
                <w:position w:val="8"/>
                <w:sz w:val="24"/>
                <w:szCs w:val="24"/>
                <w:lang w:val="en-US"/>
              </w:rPr>
            </w:pPr>
            <w:r w:rsidRPr="00121ED6">
              <w:rPr>
                <w:sz w:val="24"/>
                <w:szCs w:val="24"/>
              </w:rPr>
              <w:t xml:space="preserve">   </w:t>
            </w:r>
            <w:r w:rsidRPr="002922BC">
              <w:rPr>
                <w:sz w:val="24"/>
                <w:szCs w:val="24"/>
                <w:lang w:val="en-US"/>
              </w:rPr>
              <w:t xml:space="preserve">Difference in ORR (95% </w:t>
            </w:r>
            <w:proofErr w:type="gramStart"/>
            <w:r w:rsidRPr="002922BC">
              <w:rPr>
                <w:sz w:val="24"/>
                <w:szCs w:val="24"/>
                <w:lang w:val="en-US"/>
              </w:rPr>
              <w:t>CI)</w:t>
            </w:r>
            <w:r w:rsidRPr="002922BC">
              <w:rPr>
                <w:sz w:val="24"/>
                <w:szCs w:val="24"/>
                <w:vertAlign w:val="superscript"/>
                <w:lang w:val="en-US"/>
              </w:rPr>
              <w:t>g</w:t>
            </w:r>
            <w:proofErr w:type="gramEnd"/>
          </w:p>
        </w:tc>
        <w:tc>
          <w:tcPr>
            <w:tcW w:w="3333" w:type="pct"/>
            <w:gridSpan w:val="2"/>
            <w:tcBorders>
              <w:top w:val="single" w:sz="4" w:space="0" w:color="000000"/>
              <w:left w:val="single" w:sz="4" w:space="0" w:color="000000"/>
              <w:bottom w:val="single" w:sz="4" w:space="0" w:color="000000"/>
              <w:right w:val="single" w:sz="4" w:space="0" w:color="000000"/>
            </w:tcBorders>
            <w:hideMark/>
          </w:tcPr>
          <w:p w14:paraId="710D05E8" w14:textId="77777777" w:rsidR="00790817" w:rsidRPr="00121ED6" w:rsidRDefault="00790817" w:rsidP="00121ED6">
            <w:pPr>
              <w:jc w:val="center"/>
              <w:rPr>
                <w:sz w:val="24"/>
                <w:szCs w:val="24"/>
              </w:rPr>
            </w:pPr>
            <w:r w:rsidRPr="00121ED6">
              <w:rPr>
                <w:sz w:val="24"/>
                <w:szCs w:val="24"/>
              </w:rPr>
              <w:t>28.6 (21.7, 35.6)</w:t>
            </w:r>
          </w:p>
        </w:tc>
      </w:tr>
      <w:tr w:rsidR="00790817" w:rsidRPr="00121ED6" w14:paraId="38284391"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E83FBE6" w14:textId="77777777" w:rsidR="00790817" w:rsidRPr="00121ED6" w:rsidRDefault="00790817" w:rsidP="00121ED6">
            <w:pPr>
              <w:ind w:left="416"/>
              <w:rPr>
                <w:position w:val="8"/>
                <w:sz w:val="24"/>
                <w:szCs w:val="24"/>
              </w:rPr>
            </w:pPr>
            <w:r w:rsidRPr="00121ED6">
              <w:rPr>
                <w:sz w:val="24"/>
                <w:szCs w:val="24"/>
              </w:rPr>
              <w:t>p-value</w:t>
            </w:r>
            <w:r w:rsidRPr="00121ED6">
              <w:rPr>
                <w:sz w:val="24"/>
                <w:szCs w:val="24"/>
                <w:vertAlign w:val="superscript"/>
              </w:rPr>
              <w:t>h</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1863650C" w14:textId="77777777" w:rsidR="00790817" w:rsidRPr="00121ED6" w:rsidRDefault="00790817" w:rsidP="00121ED6">
            <w:pPr>
              <w:jc w:val="center"/>
              <w:rPr>
                <w:sz w:val="24"/>
                <w:szCs w:val="24"/>
              </w:rPr>
            </w:pPr>
            <w:r w:rsidRPr="00121ED6">
              <w:rPr>
                <w:sz w:val="24"/>
                <w:szCs w:val="24"/>
              </w:rPr>
              <w:t>&lt; 0.0001</w:t>
            </w:r>
          </w:p>
        </w:tc>
      </w:tr>
      <w:tr w:rsidR="00790817" w:rsidRPr="00121ED6" w14:paraId="339F7988"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7BB4F314" w14:textId="77777777" w:rsidR="00790817" w:rsidRPr="00121ED6" w:rsidRDefault="00790817" w:rsidP="00121ED6">
            <w:pPr>
              <w:rPr>
                <w:sz w:val="24"/>
                <w:szCs w:val="24"/>
              </w:rPr>
            </w:pPr>
            <w:r w:rsidRPr="00121ED6">
              <w:rPr>
                <w:sz w:val="24"/>
                <w:szCs w:val="24"/>
              </w:rPr>
              <w:t xml:space="preserve">   Complete response (CR)</w:t>
            </w:r>
          </w:p>
        </w:tc>
        <w:tc>
          <w:tcPr>
            <w:tcW w:w="1793" w:type="pct"/>
            <w:tcBorders>
              <w:top w:val="single" w:sz="4" w:space="0" w:color="000000"/>
              <w:left w:val="single" w:sz="4" w:space="0" w:color="000000"/>
              <w:bottom w:val="single" w:sz="4" w:space="0" w:color="000000"/>
              <w:right w:val="single" w:sz="4" w:space="0" w:color="000000"/>
            </w:tcBorders>
            <w:hideMark/>
          </w:tcPr>
          <w:p w14:paraId="67DE4B90" w14:textId="77777777" w:rsidR="00790817" w:rsidRPr="00121ED6" w:rsidRDefault="00790817" w:rsidP="00121ED6">
            <w:pPr>
              <w:jc w:val="center"/>
              <w:rPr>
                <w:sz w:val="24"/>
                <w:szCs w:val="24"/>
              </w:rPr>
            </w:pPr>
            <w:r w:rsidRPr="00121ED6">
              <w:rPr>
                <w:sz w:val="24"/>
                <w:szCs w:val="24"/>
              </w:rPr>
              <w:t>26 (8.0%)</w:t>
            </w:r>
          </w:p>
        </w:tc>
        <w:tc>
          <w:tcPr>
            <w:tcW w:w="1540" w:type="pct"/>
            <w:tcBorders>
              <w:top w:val="single" w:sz="4" w:space="0" w:color="000000"/>
              <w:left w:val="single" w:sz="4" w:space="0" w:color="000000"/>
              <w:bottom w:val="single" w:sz="4" w:space="0" w:color="000000"/>
              <w:right w:val="single" w:sz="4" w:space="0" w:color="000000"/>
            </w:tcBorders>
            <w:hideMark/>
          </w:tcPr>
          <w:p w14:paraId="5605B28C" w14:textId="77777777" w:rsidR="00790817" w:rsidRPr="00121ED6" w:rsidRDefault="00790817" w:rsidP="00121ED6">
            <w:pPr>
              <w:jc w:val="center"/>
              <w:rPr>
                <w:sz w:val="24"/>
                <w:szCs w:val="24"/>
              </w:rPr>
            </w:pPr>
            <w:r w:rsidRPr="00121ED6">
              <w:rPr>
                <w:sz w:val="24"/>
                <w:szCs w:val="24"/>
              </w:rPr>
              <w:t>15 (4.6%)</w:t>
            </w:r>
          </w:p>
        </w:tc>
      </w:tr>
      <w:tr w:rsidR="00790817" w:rsidRPr="00121ED6" w14:paraId="200AB773"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080613A0" w14:textId="77777777" w:rsidR="00790817" w:rsidRPr="00121ED6" w:rsidRDefault="00790817" w:rsidP="00121ED6">
            <w:pPr>
              <w:rPr>
                <w:sz w:val="24"/>
                <w:szCs w:val="24"/>
              </w:rPr>
            </w:pPr>
            <w:r w:rsidRPr="00121ED6">
              <w:rPr>
                <w:sz w:val="24"/>
                <w:szCs w:val="24"/>
              </w:rPr>
              <w:t xml:space="preserve">   Partial response (PR)</w:t>
            </w:r>
          </w:p>
        </w:tc>
        <w:tc>
          <w:tcPr>
            <w:tcW w:w="1793" w:type="pct"/>
            <w:tcBorders>
              <w:top w:val="single" w:sz="4" w:space="0" w:color="000000"/>
              <w:left w:val="single" w:sz="4" w:space="0" w:color="000000"/>
              <w:bottom w:val="single" w:sz="4" w:space="0" w:color="000000"/>
              <w:right w:val="single" w:sz="4" w:space="0" w:color="000000"/>
            </w:tcBorders>
            <w:hideMark/>
          </w:tcPr>
          <w:p w14:paraId="6C2BA3F5" w14:textId="77777777" w:rsidR="00790817" w:rsidRPr="00121ED6" w:rsidRDefault="00790817" w:rsidP="00121ED6">
            <w:pPr>
              <w:jc w:val="center"/>
              <w:rPr>
                <w:sz w:val="24"/>
                <w:szCs w:val="24"/>
              </w:rPr>
            </w:pPr>
            <w:r w:rsidRPr="00121ED6">
              <w:rPr>
                <w:sz w:val="24"/>
                <w:szCs w:val="24"/>
              </w:rPr>
              <w:t>154 (47.7%)</w:t>
            </w:r>
          </w:p>
        </w:tc>
        <w:tc>
          <w:tcPr>
            <w:tcW w:w="1540" w:type="pct"/>
            <w:tcBorders>
              <w:top w:val="single" w:sz="4" w:space="0" w:color="000000"/>
              <w:left w:val="single" w:sz="4" w:space="0" w:color="000000"/>
              <w:bottom w:val="single" w:sz="4" w:space="0" w:color="000000"/>
              <w:right w:val="single" w:sz="4" w:space="0" w:color="000000"/>
            </w:tcBorders>
            <w:hideMark/>
          </w:tcPr>
          <w:p w14:paraId="613DEF1B" w14:textId="77777777" w:rsidR="00790817" w:rsidRPr="00121ED6" w:rsidRDefault="00790817" w:rsidP="00121ED6">
            <w:pPr>
              <w:jc w:val="center"/>
              <w:rPr>
                <w:sz w:val="24"/>
                <w:szCs w:val="24"/>
              </w:rPr>
            </w:pPr>
            <w:r w:rsidRPr="00121ED6">
              <w:rPr>
                <w:sz w:val="24"/>
                <w:szCs w:val="24"/>
              </w:rPr>
              <w:t>74 (22.6%)</w:t>
            </w:r>
          </w:p>
        </w:tc>
      </w:tr>
      <w:tr w:rsidR="00790817" w:rsidRPr="00121ED6" w14:paraId="27126252"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562C8C0B" w14:textId="77777777" w:rsidR="00790817" w:rsidRPr="00121ED6" w:rsidRDefault="00790817" w:rsidP="00121ED6">
            <w:pPr>
              <w:rPr>
                <w:sz w:val="24"/>
                <w:szCs w:val="24"/>
              </w:rPr>
            </w:pPr>
            <w:r w:rsidRPr="00121ED6">
              <w:rPr>
                <w:sz w:val="24"/>
                <w:szCs w:val="24"/>
              </w:rPr>
              <w:t xml:space="preserve">   Stable disease (SD)</w:t>
            </w:r>
          </w:p>
        </w:tc>
        <w:tc>
          <w:tcPr>
            <w:tcW w:w="1793" w:type="pct"/>
            <w:tcBorders>
              <w:top w:val="single" w:sz="4" w:space="0" w:color="000000"/>
              <w:left w:val="single" w:sz="4" w:space="0" w:color="000000"/>
              <w:bottom w:val="single" w:sz="4" w:space="0" w:color="000000"/>
              <w:right w:val="single" w:sz="4" w:space="0" w:color="000000"/>
            </w:tcBorders>
            <w:hideMark/>
          </w:tcPr>
          <w:p w14:paraId="060576F7" w14:textId="77777777" w:rsidR="00790817" w:rsidRPr="00121ED6" w:rsidRDefault="00790817" w:rsidP="00121ED6">
            <w:pPr>
              <w:jc w:val="center"/>
              <w:rPr>
                <w:sz w:val="24"/>
                <w:szCs w:val="24"/>
              </w:rPr>
            </w:pPr>
            <w:r w:rsidRPr="00121ED6">
              <w:rPr>
                <w:sz w:val="24"/>
                <w:szCs w:val="24"/>
              </w:rPr>
              <w:t>104 (32.2%)</w:t>
            </w:r>
          </w:p>
        </w:tc>
        <w:tc>
          <w:tcPr>
            <w:tcW w:w="1540" w:type="pct"/>
            <w:tcBorders>
              <w:top w:val="single" w:sz="4" w:space="0" w:color="000000"/>
              <w:left w:val="single" w:sz="4" w:space="0" w:color="000000"/>
              <w:bottom w:val="single" w:sz="4" w:space="0" w:color="000000"/>
              <w:right w:val="single" w:sz="4" w:space="0" w:color="000000"/>
            </w:tcBorders>
            <w:hideMark/>
          </w:tcPr>
          <w:p w14:paraId="1AB1839A" w14:textId="77777777" w:rsidR="00790817" w:rsidRPr="00121ED6" w:rsidRDefault="00790817" w:rsidP="00121ED6">
            <w:pPr>
              <w:jc w:val="center"/>
              <w:rPr>
                <w:sz w:val="24"/>
                <w:szCs w:val="24"/>
              </w:rPr>
            </w:pPr>
            <w:r w:rsidRPr="00121ED6">
              <w:rPr>
                <w:sz w:val="24"/>
                <w:szCs w:val="24"/>
              </w:rPr>
              <w:t>138 (42.1%)</w:t>
            </w:r>
          </w:p>
        </w:tc>
      </w:tr>
      <w:tr w:rsidR="00790817" w:rsidRPr="00121ED6" w14:paraId="667C980E"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0752A02F" w14:textId="77777777" w:rsidR="00790817" w:rsidRPr="00121ED6" w:rsidRDefault="00790817" w:rsidP="00121ED6">
            <w:pPr>
              <w:rPr>
                <w:b/>
                <w:bCs/>
                <w:position w:val="8"/>
                <w:sz w:val="24"/>
                <w:szCs w:val="24"/>
              </w:rPr>
            </w:pPr>
            <w:r w:rsidRPr="00121ED6">
              <w:rPr>
                <w:b/>
                <w:bCs/>
                <w:sz w:val="24"/>
                <w:szCs w:val="24"/>
              </w:rPr>
              <w:t>Median duration of response</w:t>
            </w:r>
            <w:r w:rsidRPr="00121ED6">
              <w:rPr>
                <w:b/>
                <w:sz w:val="24"/>
                <w:szCs w:val="24"/>
                <w:vertAlign w:val="superscript"/>
              </w:rPr>
              <w:t>d</w:t>
            </w:r>
          </w:p>
        </w:tc>
        <w:tc>
          <w:tcPr>
            <w:tcW w:w="1793" w:type="pct"/>
            <w:tcBorders>
              <w:top w:val="single" w:sz="4" w:space="0" w:color="000000"/>
              <w:left w:val="single" w:sz="4" w:space="0" w:color="000000"/>
              <w:bottom w:val="single" w:sz="4" w:space="0" w:color="000000"/>
              <w:right w:val="single" w:sz="4" w:space="0" w:color="000000"/>
            </w:tcBorders>
          </w:tcPr>
          <w:p w14:paraId="07D7EDFD" w14:textId="77777777" w:rsidR="00790817" w:rsidRPr="00121ED6" w:rsidRDefault="00790817" w:rsidP="00121ED6">
            <w:pPr>
              <w:jc w:val="center"/>
              <w:rPr>
                <w:sz w:val="24"/>
                <w:szCs w:val="24"/>
              </w:rPr>
            </w:pPr>
          </w:p>
        </w:tc>
        <w:tc>
          <w:tcPr>
            <w:tcW w:w="1540" w:type="pct"/>
            <w:tcBorders>
              <w:top w:val="single" w:sz="4" w:space="0" w:color="000000"/>
              <w:left w:val="single" w:sz="4" w:space="0" w:color="000000"/>
              <w:bottom w:val="single" w:sz="4" w:space="0" w:color="000000"/>
              <w:right w:val="single" w:sz="4" w:space="0" w:color="000000"/>
            </w:tcBorders>
          </w:tcPr>
          <w:p w14:paraId="01D1BE42" w14:textId="77777777" w:rsidR="00790817" w:rsidRPr="00121ED6" w:rsidRDefault="00790817" w:rsidP="00121ED6">
            <w:pPr>
              <w:jc w:val="center"/>
              <w:rPr>
                <w:sz w:val="24"/>
                <w:szCs w:val="24"/>
              </w:rPr>
            </w:pPr>
          </w:p>
        </w:tc>
      </w:tr>
      <w:tr w:rsidR="00790817" w:rsidRPr="00121ED6" w14:paraId="191EF045"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54E24620" w14:textId="77777777" w:rsidR="00790817" w:rsidRPr="00121ED6" w:rsidRDefault="00790817" w:rsidP="00121ED6">
            <w:pPr>
              <w:rPr>
                <w:sz w:val="24"/>
                <w:szCs w:val="24"/>
              </w:rPr>
            </w:pPr>
            <w:r w:rsidRPr="00121ED6">
              <w:rPr>
                <w:sz w:val="24"/>
                <w:szCs w:val="24"/>
              </w:rPr>
              <w:t xml:space="preserve">   Months (range)</w:t>
            </w:r>
          </w:p>
        </w:tc>
        <w:tc>
          <w:tcPr>
            <w:tcW w:w="1793" w:type="pct"/>
            <w:tcBorders>
              <w:top w:val="single" w:sz="4" w:space="0" w:color="000000"/>
              <w:left w:val="single" w:sz="4" w:space="0" w:color="000000"/>
              <w:bottom w:val="single" w:sz="4" w:space="0" w:color="000000"/>
              <w:right w:val="single" w:sz="4" w:space="0" w:color="000000"/>
            </w:tcBorders>
            <w:hideMark/>
          </w:tcPr>
          <w:p w14:paraId="07A91FD5" w14:textId="77777777" w:rsidR="00790817" w:rsidRPr="00121ED6" w:rsidRDefault="00790817" w:rsidP="00121ED6">
            <w:pPr>
              <w:jc w:val="center"/>
              <w:rPr>
                <w:sz w:val="24"/>
                <w:szCs w:val="24"/>
              </w:rPr>
            </w:pPr>
            <w:r w:rsidRPr="00121ED6">
              <w:rPr>
                <w:sz w:val="24"/>
                <w:szCs w:val="24"/>
              </w:rPr>
              <w:t>20.17 (17.31, N.E.)</w:t>
            </w:r>
          </w:p>
        </w:tc>
        <w:tc>
          <w:tcPr>
            <w:tcW w:w="1540" w:type="pct"/>
            <w:tcBorders>
              <w:top w:val="single" w:sz="4" w:space="0" w:color="000000"/>
              <w:left w:val="single" w:sz="4" w:space="0" w:color="000000"/>
              <w:bottom w:val="single" w:sz="4" w:space="0" w:color="000000"/>
              <w:right w:val="single" w:sz="4" w:space="0" w:color="000000"/>
            </w:tcBorders>
            <w:hideMark/>
          </w:tcPr>
          <w:p w14:paraId="7E36D88F" w14:textId="77777777" w:rsidR="00790817" w:rsidRPr="00121ED6" w:rsidRDefault="00790817" w:rsidP="00121ED6">
            <w:pPr>
              <w:jc w:val="center"/>
              <w:rPr>
                <w:sz w:val="24"/>
                <w:szCs w:val="24"/>
              </w:rPr>
            </w:pPr>
            <w:r w:rsidRPr="00121ED6">
              <w:rPr>
                <w:sz w:val="24"/>
                <w:szCs w:val="24"/>
              </w:rPr>
              <w:t>11.47 (8.31, 18.43)</w:t>
            </w:r>
          </w:p>
        </w:tc>
      </w:tr>
      <w:tr w:rsidR="00790817" w:rsidRPr="00121ED6" w14:paraId="16F218C3"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52F44688" w14:textId="77777777" w:rsidR="00790817" w:rsidRPr="00121ED6" w:rsidRDefault="00790817" w:rsidP="00121ED6">
            <w:pPr>
              <w:rPr>
                <w:b/>
                <w:bCs/>
                <w:sz w:val="24"/>
                <w:szCs w:val="24"/>
              </w:rPr>
            </w:pPr>
            <w:r w:rsidRPr="00121ED6">
              <w:rPr>
                <w:b/>
                <w:bCs/>
                <w:sz w:val="24"/>
                <w:szCs w:val="24"/>
              </w:rPr>
              <w:t>Median time to response</w:t>
            </w:r>
          </w:p>
        </w:tc>
        <w:tc>
          <w:tcPr>
            <w:tcW w:w="1793" w:type="pct"/>
            <w:tcBorders>
              <w:top w:val="single" w:sz="4" w:space="0" w:color="000000"/>
              <w:left w:val="single" w:sz="4" w:space="0" w:color="000000"/>
              <w:bottom w:val="single" w:sz="4" w:space="0" w:color="000000"/>
              <w:right w:val="single" w:sz="4" w:space="0" w:color="000000"/>
            </w:tcBorders>
          </w:tcPr>
          <w:p w14:paraId="0042A37B" w14:textId="77777777" w:rsidR="00790817" w:rsidRPr="00121ED6" w:rsidRDefault="00790817" w:rsidP="00121ED6">
            <w:pPr>
              <w:jc w:val="center"/>
              <w:rPr>
                <w:sz w:val="24"/>
                <w:szCs w:val="24"/>
              </w:rPr>
            </w:pPr>
          </w:p>
        </w:tc>
        <w:tc>
          <w:tcPr>
            <w:tcW w:w="1540" w:type="pct"/>
            <w:tcBorders>
              <w:top w:val="single" w:sz="4" w:space="0" w:color="000000"/>
              <w:left w:val="single" w:sz="4" w:space="0" w:color="000000"/>
              <w:bottom w:val="single" w:sz="4" w:space="0" w:color="000000"/>
              <w:right w:val="single" w:sz="4" w:space="0" w:color="000000"/>
            </w:tcBorders>
          </w:tcPr>
          <w:p w14:paraId="17865185" w14:textId="77777777" w:rsidR="00790817" w:rsidRPr="00121ED6" w:rsidRDefault="00790817" w:rsidP="00121ED6">
            <w:pPr>
              <w:jc w:val="center"/>
              <w:rPr>
                <w:sz w:val="24"/>
                <w:szCs w:val="24"/>
              </w:rPr>
            </w:pPr>
          </w:p>
        </w:tc>
      </w:tr>
      <w:tr w:rsidR="00790817" w:rsidRPr="00121ED6" w14:paraId="50BFBE5A" w14:textId="77777777" w:rsidTr="002C2142">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60ACB095" w14:textId="77777777" w:rsidR="00790817" w:rsidRPr="00121ED6" w:rsidRDefault="00790817" w:rsidP="00121ED6">
            <w:pPr>
              <w:rPr>
                <w:sz w:val="24"/>
                <w:szCs w:val="24"/>
              </w:rPr>
            </w:pPr>
            <w:r w:rsidRPr="00121ED6">
              <w:rPr>
                <w:sz w:val="24"/>
                <w:szCs w:val="24"/>
              </w:rPr>
              <w:t xml:space="preserve">   Months (range)</w:t>
            </w:r>
          </w:p>
        </w:tc>
        <w:tc>
          <w:tcPr>
            <w:tcW w:w="1793" w:type="pct"/>
            <w:tcBorders>
              <w:top w:val="single" w:sz="4" w:space="0" w:color="000000"/>
              <w:left w:val="single" w:sz="4" w:space="0" w:color="000000"/>
              <w:bottom w:val="single" w:sz="4" w:space="0" w:color="000000"/>
              <w:right w:val="single" w:sz="4" w:space="0" w:color="000000"/>
            </w:tcBorders>
            <w:hideMark/>
          </w:tcPr>
          <w:p w14:paraId="5BFF3BEB" w14:textId="77777777" w:rsidR="00790817" w:rsidRPr="00121ED6" w:rsidRDefault="00790817" w:rsidP="00121ED6">
            <w:pPr>
              <w:jc w:val="center"/>
              <w:rPr>
                <w:sz w:val="24"/>
                <w:szCs w:val="24"/>
              </w:rPr>
            </w:pPr>
            <w:r w:rsidRPr="00121ED6">
              <w:rPr>
                <w:sz w:val="24"/>
                <w:szCs w:val="24"/>
              </w:rPr>
              <w:t>2.83 (1.0-19.4)</w:t>
            </w:r>
          </w:p>
        </w:tc>
        <w:tc>
          <w:tcPr>
            <w:tcW w:w="1540" w:type="pct"/>
            <w:tcBorders>
              <w:top w:val="single" w:sz="4" w:space="0" w:color="000000"/>
              <w:left w:val="single" w:sz="4" w:space="0" w:color="000000"/>
              <w:bottom w:val="single" w:sz="4" w:space="0" w:color="000000"/>
              <w:right w:val="single" w:sz="4" w:space="0" w:color="000000"/>
            </w:tcBorders>
            <w:hideMark/>
          </w:tcPr>
          <w:p w14:paraId="69AA9916" w14:textId="77777777" w:rsidR="00790817" w:rsidRPr="00121ED6" w:rsidRDefault="00790817" w:rsidP="00121ED6">
            <w:pPr>
              <w:jc w:val="center"/>
              <w:rPr>
                <w:sz w:val="24"/>
                <w:szCs w:val="24"/>
              </w:rPr>
            </w:pPr>
            <w:r w:rsidRPr="00121ED6">
              <w:rPr>
                <w:sz w:val="24"/>
                <w:szCs w:val="24"/>
              </w:rPr>
              <w:t>4.17 (1.7-12.3)</w:t>
            </w:r>
          </w:p>
        </w:tc>
      </w:tr>
    </w:tbl>
    <w:p w14:paraId="66F668F8" w14:textId="53E1AB98" w:rsidR="00790817" w:rsidRPr="002922BC" w:rsidRDefault="00790817" w:rsidP="00121ED6">
      <w:pPr>
        <w:ind w:left="284" w:hanging="284"/>
        <w:rPr>
          <w:sz w:val="20"/>
          <w:lang w:val="en-US"/>
        </w:rPr>
      </w:pPr>
      <w:r w:rsidRPr="002922BC">
        <w:rPr>
          <w:sz w:val="20"/>
          <w:vertAlign w:val="superscript"/>
          <w:lang w:val="en-US"/>
        </w:rPr>
        <w:t xml:space="preserve">a </w:t>
      </w:r>
      <w:r w:rsidR="002F0F96" w:rsidRPr="002922BC">
        <w:rPr>
          <w:sz w:val="20"/>
          <w:lang w:val="en-US"/>
        </w:rPr>
        <w:tab/>
      </w:r>
      <w:r w:rsidRPr="002922BC">
        <w:rPr>
          <w:sz w:val="20"/>
          <w:lang w:val="en-US"/>
        </w:rPr>
        <w:t>Stratified Cox proportional hazards model. Hazard ratio is nivolumab and cabozantinib over sunitinib.</w:t>
      </w:r>
    </w:p>
    <w:p w14:paraId="1625EFFA" w14:textId="1380C6CE" w:rsidR="00790817" w:rsidRPr="002922BC" w:rsidRDefault="00790817" w:rsidP="00121ED6">
      <w:pPr>
        <w:ind w:left="284" w:hanging="284"/>
        <w:rPr>
          <w:sz w:val="20"/>
          <w:lang w:val="en-US"/>
        </w:rPr>
      </w:pPr>
      <w:r w:rsidRPr="002922BC">
        <w:rPr>
          <w:sz w:val="20"/>
          <w:vertAlign w:val="superscript"/>
          <w:lang w:val="en-US"/>
        </w:rPr>
        <w:t>b</w:t>
      </w:r>
      <w:r w:rsidRPr="002922BC">
        <w:rPr>
          <w:sz w:val="20"/>
          <w:lang w:val="en-US"/>
        </w:rPr>
        <w:t xml:space="preserve"> </w:t>
      </w:r>
      <w:r w:rsidR="002F0F96" w:rsidRPr="002922BC">
        <w:rPr>
          <w:sz w:val="20"/>
          <w:lang w:val="en-US"/>
        </w:rPr>
        <w:tab/>
      </w:r>
      <w:r w:rsidRPr="002922BC">
        <w:rPr>
          <w:sz w:val="20"/>
          <w:lang w:val="en-US"/>
        </w:rPr>
        <w:t>2-sided p-values from stratified regular log-rank test.</w:t>
      </w:r>
    </w:p>
    <w:p w14:paraId="4874034A" w14:textId="05050669" w:rsidR="00790817" w:rsidRPr="002922BC" w:rsidRDefault="00790817" w:rsidP="00121ED6">
      <w:pPr>
        <w:ind w:left="284" w:hanging="284"/>
        <w:rPr>
          <w:sz w:val="20"/>
          <w:lang w:val="en-US"/>
        </w:rPr>
      </w:pPr>
      <w:r w:rsidRPr="002922BC">
        <w:rPr>
          <w:sz w:val="20"/>
          <w:vertAlign w:val="superscript"/>
          <w:lang w:val="en-US"/>
        </w:rPr>
        <w:t>c</w:t>
      </w:r>
      <w:r w:rsidRPr="002922BC">
        <w:rPr>
          <w:sz w:val="20"/>
          <w:lang w:val="en-US"/>
        </w:rPr>
        <w:t xml:space="preserve"> </w:t>
      </w:r>
      <w:r w:rsidR="002F0F96" w:rsidRPr="002922BC">
        <w:rPr>
          <w:sz w:val="20"/>
          <w:lang w:val="en-US"/>
        </w:rPr>
        <w:tab/>
      </w:r>
      <w:r w:rsidRPr="002922BC">
        <w:rPr>
          <w:sz w:val="20"/>
          <w:lang w:val="en-US"/>
        </w:rPr>
        <w:t>Log-rank test stratified by IMDC prognostic risk score (0, 1-2, 3-6), PD-L1 tumour expression (</w:t>
      </w:r>
      <w:r w:rsidR="002F0F96" w:rsidRPr="002922BC">
        <w:rPr>
          <w:sz w:val="20"/>
          <w:lang w:val="en-US"/>
        </w:rPr>
        <w:t>≥</w:t>
      </w:r>
      <w:r w:rsidRPr="002922BC">
        <w:rPr>
          <w:sz w:val="20"/>
          <w:lang w:val="en-US"/>
        </w:rPr>
        <w:t>1% versus &lt;1% or indeterminate) and region (US/Canada/W Europe/N Europe, ROW) as entered in the IRT.</w:t>
      </w:r>
    </w:p>
    <w:p w14:paraId="25AF13F0" w14:textId="0EA8A5D0" w:rsidR="00790817" w:rsidRPr="002922BC" w:rsidRDefault="00790817" w:rsidP="00121ED6">
      <w:pPr>
        <w:ind w:left="284" w:hanging="284"/>
        <w:rPr>
          <w:sz w:val="20"/>
          <w:lang w:val="en-US"/>
        </w:rPr>
      </w:pPr>
      <w:r w:rsidRPr="002922BC">
        <w:rPr>
          <w:sz w:val="20"/>
          <w:vertAlign w:val="superscript"/>
          <w:lang w:val="en-US"/>
        </w:rPr>
        <w:t>d</w:t>
      </w:r>
      <w:r w:rsidRPr="002922BC">
        <w:rPr>
          <w:sz w:val="20"/>
          <w:lang w:val="en-US"/>
        </w:rPr>
        <w:t xml:space="preserve"> </w:t>
      </w:r>
      <w:r w:rsidR="002F0F96" w:rsidRPr="002922BC">
        <w:rPr>
          <w:sz w:val="20"/>
          <w:lang w:val="en-US"/>
        </w:rPr>
        <w:tab/>
      </w:r>
      <w:r w:rsidRPr="002922BC">
        <w:rPr>
          <w:sz w:val="20"/>
          <w:lang w:val="en-US"/>
        </w:rPr>
        <w:t>Based on Kaplan-Meier estimates.</w:t>
      </w:r>
    </w:p>
    <w:p w14:paraId="489CA0CC" w14:textId="76EDE624" w:rsidR="00790817" w:rsidRPr="002922BC" w:rsidRDefault="00790817" w:rsidP="00121ED6">
      <w:pPr>
        <w:ind w:left="284" w:hanging="284"/>
        <w:rPr>
          <w:sz w:val="20"/>
          <w:lang w:val="en-US"/>
        </w:rPr>
      </w:pPr>
      <w:r w:rsidRPr="002922BC">
        <w:rPr>
          <w:sz w:val="20"/>
          <w:vertAlign w:val="superscript"/>
          <w:lang w:val="en-US"/>
        </w:rPr>
        <w:t>e</w:t>
      </w:r>
      <w:r w:rsidRPr="002922BC">
        <w:rPr>
          <w:sz w:val="20"/>
          <w:lang w:val="en-US"/>
        </w:rPr>
        <w:t xml:space="preserve"> </w:t>
      </w:r>
      <w:r w:rsidR="002F0F96" w:rsidRPr="002922BC">
        <w:rPr>
          <w:sz w:val="20"/>
          <w:lang w:val="en-US"/>
        </w:rPr>
        <w:tab/>
      </w:r>
      <w:r w:rsidRPr="002922BC">
        <w:rPr>
          <w:sz w:val="20"/>
          <w:lang w:val="en-US"/>
        </w:rPr>
        <w:t>Boundary for statistical significance p-value &lt;0.0111.</w:t>
      </w:r>
    </w:p>
    <w:p w14:paraId="3BD19E4E" w14:textId="1FA2DB28" w:rsidR="00790817" w:rsidRPr="002922BC" w:rsidRDefault="00790817" w:rsidP="00121ED6">
      <w:pPr>
        <w:ind w:left="284" w:hanging="284"/>
        <w:rPr>
          <w:sz w:val="20"/>
          <w:lang w:val="en-US"/>
        </w:rPr>
      </w:pPr>
      <w:r w:rsidRPr="002922BC">
        <w:rPr>
          <w:sz w:val="20"/>
          <w:vertAlign w:val="superscript"/>
          <w:lang w:val="en-US"/>
        </w:rPr>
        <w:t>f</w:t>
      </w:r>
      <w:r w:rsidRPr="002922BC">
        <w:rPr>
          <w:sz w:val="20"/>
          <w:lang w:val="en-US"/>
        </w:rPr>
        <w:t xml:space="preserve"> </w:t>
      </w:r>
      <w:r w:rsidR="002F0F96" w:rsidRPr="002922BC">
        <w:rPr>
          <w:sz w:val="20"/>
          <w:lang w:val="en-US"/>
        </w:rPr>
        <w:tab/>
      </w:r>
      <w:r w:rsidRPr="002922BC">
        <w:rPr>
          <w:sz w:val="20"/>
          <w:lang w:val="en-US"/>
        </w:rPr>
        <w:t>CI based on the Clopper and Pearson method.</w:t>
      </w:r>
    </w:p>
    <w:p w14:paraId="73B2FB43" w14:textId="45BE4C8C" w:rsidR="00790817" w:rsidRPr="002922BC" w:rsidRDefault="00790817" w:rsidP="00121ED6">
      <w:pPr>
        <w:ind w:left="284" w:hanging="284"/>
        <w:rPr>
          <w:sz w:val="20"/>
          <w:lang w:val="en-US"/>
        </w:rPr>
      </w:pPr>
      <w:r w:rsidRPr="002922BC">
        <w:rPr>
          <w:sz w:val="20"/>
          <w:vertAlign w:val="superscript"/>
          <w:lang w:val="en-US"/>
        </w:rPr>
        <w:t xml:space="preserve">g </w:t>
      </w:r>
      <w:r w:rsidR="002F0F96" w:rsidRPr="002922BC">
        <w:rPr>
          <w:sz w:val="20"/>
          <w:lang w:val="en-US"/>
        </w:rPr>
        <w:tab/>
      </w:r>
      <w:r w:rsidRPr="002922BC">
        <w:rPr>
          <w:sz w:val="20"/>
          <w:lang w:val="en-US"/>
        </w:rPr>
        <w:t>Strata adjusted difference in objective response rate (nivolumab+cabozantinib - Sunitinib) based on DerSimonian and Laird</w:t>
      </w:r>
    </w:p>
    <w:p w14:paraId="345E2CE1" w14:textId="308B677C" w:rsidR="00790817" w:rsidRPr="002922BC" w:rsidRDefault="00790817" w:rsidP="00121ED6">
      <w:pPr>
        <w:ind w:left="284" w:hanging="284"/>
        <w:rPr>
          <w:sz w:val="20"/>
          <w:lang w:val="en-US"/>
        </w:rPr>
      </w:pPr>
      <w:r w:rsidRPr="002922BC">
        <w:rPr>
          <w:sz w:val="20"/>
          <w:lang w:val="en-US"/>
        </w:rPr>
        <w:t xml:space="preserve">h </w:t>
      </w:r>
      <w:r w:rsidR="002F0F96" w:rsidRPr="002922BC">
        <w:rPr>
          <w:sz w:val="20"/>
          <w:lang w:val="en-US"/>
        </w:rPr>
        <w:tab/>
      </w:r>
      <w:r w:rsidRPr="002922BC">
        <w:rPr>
          <w:sz w:val="20"/>
          <w:lang w:val="en-US"/>
        </w:rPr>
        <w:t>2-sided p-value from CMH test.</w:t>
      </w:r>
    </w:p>
    <w:p w14:paraId="1BEC912D" w14:textId="77777777" w:rsidR="00790817" w:rsidRPr="002922BC" w:rsidRDefault="00790817" w:rsidP="00121ED6">
      <w:pPr>
        <w:rPr>
          <w:sz w:val="20"/>
          <w:lang w:val="en-US"/>
        </w:rPr>
      </w:pPr>
      <w:r w:rsidRPr="002922BC">
        <w:rPr>
          <w:sz w:val="20"/>
          <w:lang w:val="en-US"/>
        </w:rPr>
        <w:t>NE = non-estimable</w:t>
      </w:r>
    </w:p>
    <w:p w14:paraId="5D8A323A" w14:textId="77777777" w:rsidR="00790817" w:rsidRPr="00497000" w:rsidRDefault="00790817" w:rsidP="00790817">
      <w:pPr>
        <w:outlineLvl w:val="0"/>
        <w:rPr>
          <w:b/>
          <w:sz w:val="24"/>
          <w:szCs w:val="24"/>
          <w:lang w:val="en-US"/>
        </w:rPr>
      </w:pPr>
    </w:p>
    <w:p w14:paraId="19B5D4D5" w14:textId="77777777" w:rsidR="00790817" w:rsidRPr="002922BC" w:rsidRDefault="00790817" w:rsidP="00497000">
      <w:pPr>
        <w:ind w:left="851"/>
        <w:rPr>
          <w:sz w:val="24"/>
          <w:szCs w:val="24"/>
          <w:lang w:val="en-US"/>
        </w:rPr>
      </w:pPr>
      <w:r w:rsidRPr="002922BC">
        <w:rPr>
          <w:sz w:val="24"/>
          <w:szCs w:val="24"/>
          <w:lang w:val="en-US"/>
        </w:rPr>
        <w:t>The primary analysis of PFS included censoring for new anti-cancer treatment (Table 7). Results for PFS with and without censoring for new anti-cancer treatment were consistent.</w:t>
      </w:r>
    </w:p>
    <w:p w14:paraId="6FB2A939" w14:textId="77777777" w:rsidR="00790817" w:rsidRPr="002922BC" w:rsidRDefault="00790817" w:rsidP="00497000">
      <w:pPr>
        <w:ind w:left="851"/>
        <w:rPr>
          <w:sz w:val="24"/>
          <w:szCs w:val="24"/>
          <w:lang w:val="en-US"/>
        </w:rPr>
      </w:pPr>
    </w:p>
    <w:p w14:paraId="3412D23D" w14:textId="77777777" w:rsidR="00790817" w:rsidRPr="002922BC" w:rsidRDefault="00790817" w:rsidP="00497000">
      <w:pPr>
        <w:ind w:left="851"/>
        <w:rPr>
          <w:sz w:val="24"/>
          <w:szCs w:val="24"/>
          <w:lang w:val="en-US"/>
        </w:rPr>
      </w:pPr>
      <w:r w:rsidRPr="002922BC">
        <w:rPr>
          <w:sz w:val="24"/>
          <w:szCs w:val="24"/>
          <w:lang w:val="en-US"/>
        </w:rPr>
        <w:t>PFS benefit was observed in the cabozantinib in combination with nivolumab arm vs. sunitinib regardless of tumour PD L1 expression. Median PFS for tumour PD L1 expression ≥ 1% was 13.08 for cabozantinib in combination with nivolumab, and was 4.67 months in the sunitinib arm (HR = 0.45; 95% CI: 0.29, 0.68). For tumour PD L1 expression &lt; 1%, the median PFS was 19.84 months for the cabozantinib in combination with nivolumab, and 9.26 months in the sunitinib arm (HR = 0.50; 95% CI: 0.38, 0.65).</w:t>
      </w:r>
    </w:p>
    <w:p w14:paraId="5118429B" w14:textId="77777777" w:rsidR="00790817" w:rsidRPr="002922BC" w:rsidRDefault="00790817" w:rsidP="00497000">
      <w:pPr>
        <w:ind w:left="851"/>
        <w:rPr>
          <w:sz w:val="24"/>
          <w:szCs w:val="24"/>
          <w:lang w:val="en-US"/>
        </w:rPr>
      </w:pPr>
    </w:p>
    <w:p w14:paraId="2AC002FC" w14:textId="77777777" w:rsidR="00790817" w:rsidRPr="002922BC" w:rsidRDefault="00790817" w:rsidP="00497000">
      <w:pPr>
        <w:ind w:left="851"/>
        <w:rPr>
          <w:sz w:val="24"/>
          <w:szCs w:val="24"/>
          <w:lang w:val="en-US"/>
        </w:rPr>
      </w:pPr>
      <w:r w:rsidRPr="002922BC">
        <w:rPr>
          <w:sz w:val="24"/>
          <w:szCs w:val="24"/>
          <w:lang w:val="en-US"/>
        </w:rPr>
        <w:lastRenderedPageBreak/>
        <w:t>PFS benefit was observed in the cabozantinib in combination with nivolumab arm vs. sunitinib regardless of the (IMDC) risk category. Median PFS for the favourable risk group was not reached for cabozantinib in combination with nivolumab, and was 12.81 months in the sunitinib arm (HR = 0.60; 95% CI: 0.37, 0.98). Median PFS for the intermediate risk group was 17.71 months for cabozantinib in combination with nivolumab and was 8.38 months in the sunitinib arm (HR = 0.54; 95% CI: 0.41, 0.73). Median PFS for the poor risk group was 12.29 months for cabozantinib in combination with nivolumab and was 4.21 months in the sunitinib arm (HR = 0.36; 95% CI: 0.23, 0.58).</w:t>
      </w:r>
    </w:p>
    <w:p w14:paraId="233F4CC0" w14:textId="77777777" w:rsidR="00790817" w:rsidRPr="002922BC" w:rsidRDefault="00790817" w:rsidP="00497000">
      <w:pPr>
        <w:ind w:left="851"/>
        <w:rPr>
          <w:sz w:val="24"/>
          <w:szCs w:val="24"/>
          <w:lang w:val="en-US"/>
        </w:rPr>
      </w:pPr>
    </w:p>
    <w:p w14:paraId="3CE28421" w14:textId="31ECCF2C" w:rsidR="00790817" w:rsidRPr="002922BC" w:rsidRDefault="00790817" w:rsidP="00497000">
      <w:pPr>
        <w:ind w:left="851"/>
        <w:rPr>
          <w:sz w:val="24"/>
          <w:szCs w:val="24"/>
          <w:lang w:val="en-US"/>
        </w:rPr>
      </w:pPr>
      <w:r w:rsidRPr="002922BC">
        <w:rPr>
          <w:sz w:val="24"/>
          <w:szCs w:val="24"/>
          <w:lang w:val="en-US"/>
        </w:rPr>
        <w:t>An updated PFS and OS analysis were performed when all patients had a minimum follow-up of 16 months and a median follow-up of 23.5 months (see figures 4 and 5). The PFS hazard ratio was</w:t>
      </w:r>
      <w:r w:rsidR="00121ED6" w:rsidRPr="002922BC">
        <w:rPr>
          <w:sz w:val="24"/>
          <w:szCs w:val="24"/>
          <w:lang w:val="en-US"/>
        </w:rPr>
        <w:t xml:space="preserve"> </w:t>
      </w:r>
      <w:r w:rsidRPr="002922BC">
        <w:rPr>
          <w:sz w:val="24"/>
          <w:szCs w:val="24"/>
          <w:lang w:val="en-US"/>
        </w:rPr>
        <w:t>0.52 (95% CI: 0.43; 0.64). The OS hazard ratio was 0.66 (95% CI: 0.50; 0.87). Updated efficacy data (PFS and OS) in subgroups for the IMDC risk categories and PD-L1 expression levels confirmed the original results. With the updated analysis, median PFS is reached for the favourable risk group.</w:t>
      </w:r>
    </w:p>
    <w:p w14:paraId="1BDC0521" w14:textId="77777777" w:rsidR="00790817" w:rsidRPr="002F0F96" w:rsidRDefault="00790817" w:rsidP="00790817">
      <w:pPr>
        <w:outlineLvl w:val="0"/>
        <w:rPr>
          <w:sz w:val="24"/>
          <w:szCs w:val="24"/>
          <w:lang w:val="en-US"/>
        </w:rPr>
      </w:pPr>
    </w:p>
    <w:p w14:paraId="62BD72F1" w14:textId="77777777" w:rsidR="00790817" w:rsidRPr="00497000" w:rsidRDefault="00790817" w:rsidP="00F807BE">
      <w:pPr>
        <w:keepNext/>
        <w:outlineLvl w:val="0"/>
        <w:rPr>
          <w:rFonts w:eastAsia="SimSun"/>
          <w:b/>
          <w:color w:val="00B050"/>
          <w:sz w:val="24"/>
          <w:szCs w:val="24"/>
          <w:lang w:val="en-US" w:eastAsia="zh-CN"/>
        </w:rPr>
      </w:pPr>
      <w:r w:rsidRPr="00497000">
        <w:rPr>
          <w:b/>
          <w:sz w:val="24"/>
          <w:szCs w:val="24"/>
          <w:lang w:val="en-US"/>
        </w:rPr>
        <w:t>Figure 4: Kaplan-Meier curves of PFS (CA2099ER</w:t>
      </w:r>
      <w:r w:rsidRPr="00497000">
        <w:rPr>
          <w:sz w:val="24"/>
          <w:szCs w:val="24"/>
          <w:lang w:val="en-US"/>
        </w:rPr>
        <w:t>)</w:t>
      </w:r>
    </w:p>
    <w:p w14:paraId="18EF6AFC" w14:textId="77777777" w:rsidR="00790817" w:rsidRPr="00497000" w:rsidRDefault="00790817" w:rsidP="00F807BE">
      <w:pPr>
        <w:keepNext/>
        <w:outlineLvl w:val="0"/>
        <w:rPr>
          <w:b/>
          <w:sz w:val="24"/>
          <w:szCs w:val="24"/>
          <w:lang w:val="en-US" w:eastAsia="en-US"/>
        </w:rPr>
      </w:pPr>
    </w:p>
    <w:p w14:paraId="33E7FA73" w14:textId="77A761D2" w:rsidR="00790817" w:rsidRPr="00497000" w:rsidRDefault="00790817" w:rsidP="00F807BE">
      <w:pPr>
        <w:keepNext/>
        <w:outlineLvl w:val="0"/>
        <w:rPr>
          <w:noProof/>
          <w:sz w:val="24"/>
          <w:szCs w:val="24"/>
          <w:lang w:eastAsia="en-GB"/>
        </w:rPr>
      </w:pPr>
      <w:r w:rsidRPr="00497000">
        <w:rPr>
          <w:noProof/>
          <w:sz w:val="24"/>
          <w:szCs w:val="24"/>
          <w:lang w:eastAsia="en-GB"/>
        </w:rPr>
        <w:drawing>
          <wp:inline distT="0" distB="0" distL="0" distR="0" wp14:anchorId="70EA03AE" wp14:editId="16D1549A">
            <wp:extent cx="5760720" cy="5044440"/>
            <wp:effectExtent l="0" t="0" r="0" b="381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044440"/>
                    </a:xfrm>
                    <a:prstGeom prst="rect">
                      <a:avLst/>
                    </a:prstGeom>
                    <a:noFill/>
                    <a:ln>
                      <a:noFill/>
                    </a:ln>
                  </pic:spPr>
                </pic:pic>
              </a:graphicData>
            </a:graphic>
          </wp:inline>
        </w:drawing>
      </w:r>
    </w:p>
    <w:p w14:paraId="657FCA64" w14:textId="77777777" w:rsidR="00790817" w:rsidRPr="00497000" w:rsidRDefault="00790817" w:rsidP="00790817">
      <w:pPr>
        <w:outlineLvl w:val="0"/>
        <w:rPr>
          <w:b/>
          <w:sz w:val="24"/>
          <w:szCs w:val="24"/>
          <w:lang w:eastAsia="en-US"/>
        </w:rPr>
      </w:pPr>
    </w:p>
    <w:p w14:paraId="0E86FB05" w14:textId="39B7E85E" w:rsidR="00790817" w:rsidRPr="00497000" w:rsidRDefault="00790817" w:rsidP="00F807BE">
      <w:pPr>
        <w:keepNext/>
        <w:outlineLvl w:val="0"/>
        <w:rPr>
          <w:rFonts w:eastAsia="SimSun"/>
          <w:color w:val="00B050"/>
          <w:sz w:val="24"/>
          <w:szCs w:val="24"/>
          <w:highlight w:val="yellow"/>
          <w:lang w:val="en-US" w:eastAsia="zh-CN"/>
        </w:rPr>
      </w:pPr>
      <w:r w:rsidRPr="00497000">
        <w:rPr>
          <w:b/>
          <w:sz w:val="24"/>
          <w:szCs w:val="24"/>
          <w:lang w:val="en-US"/>
        </w:rPr>
        <w:lastRenderedPageBreak/>
        <w:t>Figure 5: Kaplan Meier curves of OS (CA2099ER</w:t>
      </w:r>
      <w:r w:rsidRPr="00497000">
        <w:rPr>
          <w:sz w:val="24"/>
          <w:szCs w:val="24"/>
          <w:lang w:val="en-US"/>
        </w:rPr>
        <w:t>)</w:t>
      </w:r>
    </w:p>
    <w:p w14:paraId="451CE8F9" w14:textId="77777777" w:rsidR="00790817" w:rsidRPr="00497000" w:rsidRDefault="00790817" w:rsidP="00F807BE">
      <w:pPr>
        <w:keepNext/>
        <w:outlineLvl w:val="0"/>
        <w:rPr>
          <w:noProof/>
          <w:sz w:val="24"/>
          <w:szCs w:val="24"/>
          <w:lang w:val="en-US" w:eastAsia="en-GB"/>
        </w:rPr>
      </w:pPr>
    </w:p>
    <w:p w14:paraId="012283D5" w14:textId="5984E8E3" w:rsidR="00790817" w:rsidRPr="00497000" w:rsidRDefault="00790817" w:rsidP="00F807BE">
      <w:pPr>
        <w:keepNext/>
        <w:outlineLvl w:val="0"/>
        <w:rPr>
          <w:noProof/>
          <w:sz w:val="24"/>
          <w:szCs w:val="24"/>
          <w:lang w:eastAsia="en-GB"/>
        </w:rPr>
      </w:pPr>
      <w:r w:rsidRPr="00497000">
        <w:rPr>
          <w:noProof/>
          <w:sz w:val="24"/>
          <w:szCs w:val="24"/>
          <w:lang w:eastAsia="en-GB"/>
        </w:rPr>
        <w:drawing>
          <wp:inline distT="0" distB="0" distL="0" distR="0" wp14:anchorId="5C9C2BC3" wp14:editId="3D9A0A2B">
            <wp:extent cx="5760720" cy="505206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5052060"/>
                    </a:xfrm>
                    <a:prstGeom prst="rect">
                      <a:avLst/>
                    </a:prstGeom>
                    <a:noFill/>
                    <a:ln>
                      <a:noFill/>
                    </a:ln>
                  </pic:spPr>
                </pic:pic>
              </a:graphicData>
            </a:graphic>
          </wp:inline>
        </w:drawing>
      </w:r>
    </w:p>
    <w:p w14:paraId="24284105" w14:textId="77777777" w:rsidR="00790817" w:rsidRPr="00497000" w:rsidRDefault="00790817" w:rsidP="00497000">
      <w:pPr>
        <w:ind w:left="851"/>
        <w:rPr>
          <w:sz w:val="24"/>
          <w:szCs w:val="24"/>
        </w:rPr>
      </w:pPr>
    </w:p>
    <w:p w14:paraId="375330F7" w14:textId="77777777" w:rsidR="00790817" w:rsidRPr="002922BC" w:rsidRDefault="00790817" w:rsidP="00497000">
      <w:pPr>
        <w:ind w:left="851"/>
        <w:rPr>
          <w:i/>
          <w:sz w:val="24"/>
          <w:szCs w:val="24"/>
          <w:lang w:val="en-US"/>
        </w:rPr>
      </w:pPr>
      <w:r w:rsidRPr="002922BC">
        <w:rPr>
          <w:i/>
          <w:sz w:val="24"/>
          <w:szCs w:val="24"/>
          <w:lang w:val="en-US"/>
        </w:rPr>
        <w:t>Hepatocellular carcinoma</w:t>
      </w:r>
    </w:p>
    <w:p w14:paraId="0D8A3209" w14:textId="77777777" w:rsidR="00790817" w:rsidRPr="002922BC" w:rsidRDefault="00790817" w:rsidP="00497000">
      <w:pPr>
        <w:ind w:left="851"/>
        <w:rPr>
          <w:i/>
          <w:sz w:val="24"/>
          <w:szCs w:val="24"/>
          <w:u w:val="single"/>
          <w:lang w:val="en-US"/>
        </w:rPr>
      </w:pPr>
      <w:r w:rsidRPr="002922BC">
        <w:rPr>
          <w:i/>
          <w:sz w:val="24"/>
          <w:szCs w:val="24"/>
          <w:u w:val="single"/>
          <w:lang w:val="en-US"/>
        </w:rPr>
        <w:t>Controlled study in patients who have received sorafenib (CELESTIAL)</w:t>
      </w:r>
    </w:p>
    <w:p w14:paraId="09AE4B34" w14:textId="77777777" w:rsidR="00790817" w:rsidRPr="002922BC" w:rsidRDefault="00790817" w:rsidP="00497000">
      <w:pPr>
        <w:ind w:left="851"/>
        <w:rPr>
          <w:sz w:val="24"/>
          <w:szCs w:val="24"/>
          <w:lang w:val="en-US"/>
        </w:rPr>
      </w:pPr>
      <w:r w:rsidRPr="002922BC">
        <w:rPr>
          <w:sz w:val="24"/>
          <w:szCs w:val="24"/>
          <w:lang w:val="en-US"/>
        </w:rPr>
        <w:t>The safety and efficacy of cabozantinib were evaluated in a randomized, double-blind, placebo-- controlled phase 3 study (CELESTIAL). Patients (N=707) with HCC not amenable to curative treatment and who had previously received sorafenib for advanced disease were randomized (2:1) to receive cabozantinib (N=470) or placebo (N=237). Patients could have received one other prior systemic therapy for advanced disease in addition to sorafenib. Randomization was stratified by aetiology of disease (HBV [with or without HCV], HCV [without HBV], or other), geographic region (Asia, other regions) and by presence of extrahepatic spread of disease and/or macrovascular invasions (Yes, No).</w:t>
      </w:r>
    </w:p>
    <w:p w14:paraId="7E87CBC0" w14:textId="77777777" w:rsidR="00790817" w:rsidRPr="002922BC" w:rsidRDefault="00790817" w:rsidP="00497000">
      <w:pPr>
        <w:ind w:left="851"/>
        <w:rPr>
          <w:sz w:val="24"/>
          <w:szCs w:val="24"/>
          <w:lang w:val="en-US"/>
        </w:rPr>
      </w:pPr>
    </w:p>
    <w:p w14:paraId="3AA077FE" w14:textId="77777777" w:rsidR="00790817" w:rsidRPr="002922BC" w:rsidRDefault="00790817" w:rsidP="00497000">
      <w:pPr>
        <w:ind w:left="851"/>
        <w:rPr>
          <w:sz w:val="24"/>
          <w:szCs w:val="24"/>
          <w:lang w:val="en-US"/>
        </w:rPr>
      </w:pPr>
      <w:r w:rsidRPr="002922BC">
        <w:rPr>
          <w:sz w:val="24"/>
          <w:szCs w:val="24"/>
          <w:lang w:val="en-US"/>
        </w:rPr>
        <w:t>The primary efficacy endpoint was overall survival (OS). Secondary efficacy endpoints were progression-free survival (PFS) and objective response rate (ORR), as assessed by the investigator using Response Evaluation Criteria in Solid Tumours (RECIST) 1.1. Tumour assessments were conducted every 8 weeks. Subjects continued blinded study treatment after radiological disease progression whilst they experienced clinical benefit or until the need for subsequent systemic or liver- directed local anticancer therapy. Crossover from placebo to cabozantinib was not allowed during the blinded treatment phase.</w:t>
      </w:r>
    </w:p>
    <w:p w14:paraId="39280CD6" w14:textId="77777777" w:rsidR="00790817" w:rsidRPr="002922BC" w:rsidRDefault="00790817" w:rsidP="00497000">
      <w:pPr>
        <w:ind w:left="851"/>
        <w:rPr>
          <w:rFonts w:eastAsia="SimSun"/>
          <w:sz w:val="24"/>
          <w:szCs w:val="24"/>
          <w:highlight w:val="yellow"/>
          <w:lang w:val="en-US"/>
        </w:rPr>
      </w:pPr>
    </w:p>
    <w:p w14:paraId="5081451C" w14:textId="77777777" w:rsidR="00790817" w:rsidRPr="002922BC" w:rsidRDefault="00790817" w:rsidP="00497000">
      <w:pPr>
        <w:ind w:left="851"/>
        <w:rPr>
          <w:sz w:val="24"/>
          <w:szCs w:val="24"/>
          <w:lang w:val="en-US"/>
        </w:rPr>
      </w:pPr>
      <w:r w:rsidRPr="002922BC">
        <w:rPr>
          <w:sz w:val="24"/>
          <w:szCs w:val="24"/>
          <w:lang w:val="en-US"/>
        </w:rPr>
        <w:lastRenderedPageBreak/>
        <w:t>The baseline demographic and disease characteristics were similar between the cabozantinib and placebo arms and are shown below for all 707 randomised patients.</w:t>
      </w:r>
    </w:p>
    <w:p w14:paraId="17461B79" w14:textId="53D95C53" w:rsidR="00790817" w:rsidRPr="002922BC" w:rsidRDefault="00790817" w:rsidP="00497000">
      <w:pPr>
        <w:ind w:left="851"/>
        <w:rPr>
          <w:sz w:val="24"/>
          <w:szCs w:val="24"/>
          <w:lang w:val="en-US"/>
        </w:rPr>
      </w:pPr>
      <w:r w:rsidRPr="002922BC">
        <w:rPr>
          <w:sz w:val="24"/>
          <w:szCs w:val="24"/>
          <w:lang w:val="en-US"/>
        </w:rPr>
        <w:t xml:space="preserve">The majority of patients (82%) were male: the median age was 64 years. </w:t>
      </w:r>
      <w:r w:rsidRPr="008A3BF7">
        <w:rPr>
          <w:sz w:val="24"/>
          <w:szCs w:val="24"/>
          <w:lang w:val="en-US"/>
        </w:rPr>
        <w:t>The majority of patients</w:t>
      </w:r>
      <w:r w:rsidR="008A3BF7" w:rsidRPr="008A3BF7">
        <w:rPr>
          <w:sz w:val="24"/>
          <w:szCs w:val="24"/>
          <w:lang w:val="en-US"/>
        </w:rPr>
        <w:t xml:space="preserve"> </w:t>
      </w:r>
      <w:r w:rsidRPr="008A3BF7">
        <w:rPr>
          <w:sz w:val="24"/>
          <w:szCs w:val="24"/>
          <w:lang w:val="en-US"/>
        </w:rPr>
        <w:t xml:space="preserve">(56%) were Caucasian and 34% of patients were Asian. </w:t>
      </w:r>
      <w:r w:rsidRPr="002922BC">
        <w:rPr>
          <w:sz w:val="24"/>
          <w:szCs w:val="24"/>
          <w:lang w:val="en-US"/>
        </w:rPr>
        <w:t>Fifty three percent (53%) of patients had ECOG performance status (PS) 0 and 47% had ECOG PS 1. Almost all patients (99%) were Child Pugh A and 1% were Child Pugh B. Aetiology for HCC included 38% hepatitis B virus (HBV), 21% hepatitis C virus (HCV), 40% other (neither HBV nor HCV). Seventy-eight percent (78%) had macroscopic vascular invasion and/ or extra-hepatic tumour spread, 41% had alfa-fetoprotein (AFP) levels ≥400</w:t>
      </w:r>
      <w:r w:rsidRPr="00497000">
        <w:rPr>
          <w:sz w:val="24"/>
          <w:szCs w:val="24"/>
        </w:rPr>
        <w:t>μ</w:t>
      </w:r>
      <w:r w:rsidRPr="002922BC">
        <w:rPr>
          <w:sz w:val="24"/>
          <w:szCs w:val="24"/>
          <w:lang w:val="en-US"/>
        </w:rPr>
        <w:t>g/L, 44% had been treated by loco-regional transarterial embolisation or chemoinfusion procedures, 37% had radiotherapy prior to cabozantinib treatment. Median duration of sorafenib treatment was 5.32 months. Seventy-two percent (72%) of patients had received 1 and 28% had received 2 prior systemic therapy regimens for advanced disease.</w:t>
      </w:r>
    </w:p>
    <w:p w14:paraId="7798B2D1" w14:textId="77777777" w:rsidR="00790817" w:rsidRPr="002922BC" w:rsidRDefault="00790817" w:rsidP="00497000">
      <w:pPr>
        <w:ind w:left="851"/>
        <w:rPr>
          <w:sz w:val="24"/>
          <w:szCs w:val="24"/>
          <w:lang w:val="en-US"/>
        </w:rPr>
      </w:pPr>
      <w:r w:rsidRPr="002922BC">
        <w:rPr>
          <w:sz w:val="24"/>
          <w:szCs w:val="24"/>
          <w:lang w:val="en-US"/>
        </w:rPr>
        <w:t>A statistically significant improvement in OS was demonstrated for cabozantinib compared to placebo (Table 8 and Figure 6).</w:t>
      </w:r>
    </w:p>
    <w:p w14:paraId="3810EF2B" w14:textId="77777777" w:rsidR="00790817" w:rsidRPr="002922BC" w:rsidRDefault="00790817" w:rsidP="00497000">
      <w:pPr>
        <w:ind w:left="851"/>
        <w:rPr>
          <w:sz w:val="24"/>
          <w:szCs w:val="24"/>
          <w:lang w:val="en-US"/>
        </w:rPr>
      </w:pPr>
    </w:p>
    <w:p w14:paraId="7CB4062E" w14:textId="77777777" w:rsidR="00790817" w:rsidRPr="002922BC" w:rsidRDefault="00790817" w:rsidP="00497000">
      <w:pPr>
        <w:ind w:left="851"/>
        <w:rPr>
          <w:sz w:val="24"/>
          <w:szCs w:val="24"/>
          <w:lang w:val="en-US"/>
        </w:rPr>
      </w:pPr>
      <w:r w:rsidRPr="002922BC">
        <w:rPr>
          <w:sz w:val="24"/>
          <w:szCs w:val="24"/>
          <w:lang w:val="en-US"/>
        </w:rPr>
        <w:t>PFS and ORR findings are summarized in Table 8.</w:t>
      </w:r>
    </w:p>
    <w:p w14:paraId="215E1071" w14:textId="77777777" w:rsidR="00790817" w:rsidRPr="002922BC" w:rsidRDefault="00790817" w:rsidP="00497000">
      <w:pPr>
        <w:ind w:left="851"/>
        <w:rPr>
          <w:sz w:val="24"/>
          <w:szCs w:val="24"/>
          <w:lang w:val="en-US"/>
        </w:rPr>
      </w:pPr>
    </w:p>
    <w:p w14:paraId="30A99119" w14:textId="28FD3AA9" w:rsidR="00790817" w:rsidRPr="00497000" w:rsidRDefault="00790817" w:rsidP="00790817">
      <w:pPr>
        <w:outlineLvl w:val="0"/>
        <w:rPr>
          <w:rFonts w:eastAsia="SimSun"/>
          <w:b/>
          <w:color w:val="00B050"/>
          <w:sz w:val="24"/>
          <w:szCs w:val="24"/>
          <w:highlight w:val="yellow"/>
          <w:lang w:val="en-US" w:eastAsia="zh-CN"/>
        </w:rPr>
      </w:pPr>
      <w:r w:rsidRPr="00497000">
        <w:rPr>
          <w:b/>
          <w:sz w:val="24"/>
          <w:szCs w:val="24"/>
          <w:lang w:val="en-US"/>
        </w:rPr>
        <w:t>Table 8: Efficacy results in HCC (ITT population, CELESTIAL</w:t>
      </w:r>
    </w:p>
    <w:p w14:paraId="40DF01BF" w14:textId="77777777" w:rsidR="004928A7" w:rsidRPr="00497000" w:rsidRDefault="004928A7" w:rsidP="00790817">
      <w:pPr>
        <w:outlineLvl w:val="0"/>
        <w:rPr>
          <w:b/>
          <w:sz w:val="24"/>
          <w:szCs w:val="24"/>
          <w:lang w:val="en-US" w:eastAsia="en-US"/>
        </w:rPr>
      </w:pPr>
    </w:p>
    <w:tbl>
      <w:tblPr>
        <w:tblW w:w="5000" w:type="pct"/>
        <w:tblCellMar>
          <w:left w:w="0" w:type="dxa"/>
          <w:right w:w="0" w:type="dxa"/>
        </w:tblCellMar>
        <w:tblLook w:val="04A0" w:firstRow="1" w:lastRow="0" w:firstColumn="1" w:lastColumn="0" w:noHBand="0" w:noVBand="1"/>
      </w:tblPr>
      <w:tblGrid>
        <w:gridCol w:w="4386"/>
        <w:gridCol w:w="2619"/>
        <w:gridCol w:w="2623"/>
      </w:tblGrid>
      <w:tr w:rsidR="00790817" w:rsidRPr="004928A7" w14:paraId="4A5C0B93" w14:textId="77777777" w:rsidTr="00172917">
        <w:trPr>
          <w:trHeight w:val="506"/>
        </w:trPr>
        <w:tc>
          <w:tcPr>
            <w:tcW w:w="2278" w:type="pct"/>
            <w:tcBorders>
              <w:top w:val="single" w:sz="4" w:space="0" w:color="000000"/>
              <w:left w:val="single" w:sz="4" w:space="0" w:color="000000"/>
              <w:bottom w:val="single" w:sz="4" w:space="0" w:color="000000"/>
              <w:right w:val="single" w:sz="4" w:space="0" w:color="000000"/>
            </w:tcBorders>
          </w:tcPr>
          <w:p w14:paraId="7A5EE742" w14:textId="77777777" w:rsidR="00790817" w:rsidRPr="004928A7" w:rsidRDefault="00790817" w:rsidP="00172917">
            <w:pPr>
              <w:rPr>
                <w:sz w:val="24"/>
                <w:szCs w:val="24"/>
                <w:lang w:val="en-US"/>
              </w:rPr>
            </w:pPr>
          </w:p>
        </w:tc>
        <w:tc>
          <w:tcPr>
            <w:tcW w:w="1360" w:type="pct"/>
            <w:tcBorders>
              <w:top w:val="single" w:sz="4" w:space="0" w:color="000000"/>
              <w:left w:val="single" w:sz="4" w:space="0" w:color="000000"/>
              <w:bottom w:val="single" w:sz="4" w:space="0" w:color="000000"/>
              <w:right w:val="single" w:sz="4" w:space="0" w:color="000000"/>
            </w:tcBorders>
            <w:hideMark/>
          </w:tcPr>
          <w:p w14:paraId="25DAC30B" w14:textId="77777777" w:rsidR="00790817" w:rsidRPr="004928A7" w:rsidRDefault="00790817" w:rsidP="004928A7">
            <w:pPr>
              <w:jc w:val="center"/>
              <w:rPr>
                <w:b/>
                <w:bCs/>
                <w:sz w:val="24"/>
                <w:szCs w:val="24"/>
              </w:rPr>
            </w:pPr>
            <w:r w:rsidRPr="004928A7">
              <w:rPr>
                <w:b/>
                <w:sz w:val="24"/>
                <w:szCs w:val="24"/>
              </w:rPr>
              <w:t>Cabozantinib</w:t>
            </w:r>
            <w:r w:rsidRPr="004928A7">
              <w:rPr>
                <w:b/>
                <w:bCs/>
                <w:sz w:val="24"/>
                <w:szCs w:val="24"/>
              </w:rPr>
              <w:t xml:space="preserve"> (N=470)</w:t>
            </w:r>
          </w:p>
        </w:tc>
        <w:tc>
          <w:tcPr>
            <w:tcW w:w="1362" w:type="pct"/>
            <w:tcBorders>
              <w:top w:val="single" w:sz="4" w:space="0" w:color="000000"/>
              <w:left w:val="single" w:sz="4" w:space="0" w:color="000000"/>
              <w:bottom w:val="single" w:sz="4" w:space="0" w:color="000000"/>
              <w:right w:val="single" w:sz="4" w:space="0" w:color="000000"/>
            </w:tcBorders>
            <w:hideMark/>
          </w:tcPr>
          <w:p w14:paraId="54793E68" w14:textId="77777777" w:rsidR="00790817" w:rsidRPr="004928A7" w:rsidRDefault="00790817" w:rsidP="004928A7">
            <w:pPr>
              <w:jc w:val="center"/>
              <w:rPr>
                <w:b/>
                <w:bCs/>
                <w:sz w:val="24"/>
                <w:szCs w:val="24"/>
              </w:rPr>
            </w:pPr>
            <w:r w:rsidRPr="004928A7">
              <w:rPr>
                <w:b/>
                <w:bCs/>
                <w:sz w:val="24"/>
                <w:szCs w:val="24"/>
              </w:rPr>
              <w:t>Placebo (N=237)</w:t>
            </w:r>
          </w:p>
        </w:tc>
      </w:tr>
      <w:tr w:rsidR="00790817" w:rsidRPr="004928A7" w14:paraId="2F96FBAE" w14:textId="77777777" w:rsidTr="00172917">
        <w:trPr>
          <w:trHeight w:val="251"/>
        </w:trPr>
        <w:tc>
          <w:tcPr>
            <w:tcW w:w="5000" w:type="pct"/>
            <w:gridSpan w:val="3"/>
            <w:tcBorders>
              <w:top w:val="single" w:sz="4" w:space="0" w:color="000000"/>
              <w:left w:val="single" w:sz="4" w:space="0" w:color="000000"/>
              <w:bottom w:val="single" w:sz="4" w:space="0" w:color="000000"/>
              <w:right w:val="single" w:sz="4" w:space="0" w:color="000000"/>
            </w:tcBorders>
            <w:hideMark/>
          </w:tcPr>
          <w:p w14:paraId="4834E08A" w14:textId="77777777" w:rsidR="00790817" w:rsidRPr="004928A7" w:rsidRDefault="00790817" w:rsidP="004928A7">
            <w:pPr>
              <w:rPr>
                <w:b/>
                <w:sz w:val="24"/>
                <w:szCs w:val="24"/>
                <w:u w:val="single"/>
              </w:rPr>
            </w:pPr>
            <w:r w:rsidRPr="004928A7">
              <w:rPr>
                <w:b/>
                <w:sz w:val="24"/>
                <w:szCs w:val="24"/>
                <w:u w:val="single"/>
              </w:rPr>
              <w:t>Overall survival</w:t>
            </w:r>
          </w:p>
        </w:tc>
      </w:tr>
      <w:tr w:rsidR="00790817" w:rsidRPr="004928A7" w14:paraId="54BA2207" w14:textId="77777777" w:rsidTr="00172917">
        <w:trPr>
          <w:trHeight w:val="253"/>
        </w:trPr>
        <w:tc>
          <w:tcPr>
            <w:tcW w:w="2278" w:type="pct"/>
            <w:tcBorders>
              <w:top w:val="single" w:sz="4" w:space="0" w:color="000000"/>
              <w:left w:val="single" w:sz="4" w:space="0" w:color="000000"/>
              <w:bottom w:val="single" w:sz="4" w:space="0" w:color="000000"/>
              <w:right w:val="single" w:sz="4" w:space="0" w:color="000000"/>
            </w:tcBorders>
            <w:hideMark/>
          </w:tcPr>
          <w:p w14:paraId="4E420B1E" w14:textId="77777777" w:rsidR="00790817" w:rsidRPr="004928A7" w:rsidRDefault="00790817" w:rsidP="00172917">
            <w:pPr>
              <w:rPr>
                <w:sz w:val="24"/>
                <w:szCs w:val="24"/>
              </w:rPr>
            </w:pPr>
            <w:r w:rsidRPr="004928A7">
              <w:rPr>
                <w:sz w:val="24"/>
                <w:szCs w:val="24"/>
              </w:rPr>
              <w:t>Median OS (95% CI), months</w:t>
            </w:r>
          </w:p>
        </w:tc>
        <w:tc>
          <w:tcPr>
            <w:tcW w:w="1360" w:type="pct"/>
            <w:tcBorders>
              <w:top w:val="single" w:sz="4" w:space="0" w:color="000000"/>
              <w:left w:val="single" w:sz="4" w:space="0" w:color="000000"/>
              <w:bottom w:val="single" w:sz="4" w:space="0" w:color="000000"/>
              <w:right w:val="single" w:sz="4" w:space="0" w:color="000000"/>
            </w:tcBorders>
            <w:hideMark/>
          </w:tcPr>
          <w:p w14:paraId="56B14D9F" w14:textId="77777777" w:rsidR="00790817" w:rsidRPr="004928A7" w:rsidRDefault="00790817" w:rsidP="004928A7">
            <w:pPr>
              <w:jc w:val="center"/>
              <w:rPr>
                <w:sz w:val="24"/>
                <w:szCs w:val="24"/>
              </w:rPr>
            </w:pPr>
            <w:r w:rsidRPr="004928A7">
              <w:rPr>
                <w:sz w:val="24"/>
                <w:szCs w:val="24"/>
              </w:rPr>
              <w:t>10.2 (9.1, 12.0)</w:t>
            </w:r>
          </w:p>
        </w:tc>
        <w:tc>
          <w:tcPr>
            <w:tcW w:w="1362" w:type="pct"/>
            <w:tcBorders>
              <w:top w:val="single" w:sz="4" w:space="0" w:color="000000"/>
              <w:left w:val="single" w:sz="4" w:space="0" w:color="000000"/>
              <w:bottom w:val="single" w:sz="4" w:space="0" w:color="000000"/>
              <w:right w:val="single" w:sz="4" w:space="0" w:color="000000"/>
            </w:tcBorders>
            <w:hideMark/>
          </w:tcPr>
          <w:p w14:paraId="6AFBB0CA" w14:textId="77777777" w:rsidR="00790817" w:rsidRPr="004928A7" w:rsidRDefault="00790817" w:rsidP="004928A7">
            <w:pPr>
              <w:jc w:val="center"/>
              <w:rPr>
                <w:sz w:val="24"/>
                <w:szCs w:val="24"/>
              </w:rPr>
            </w:pPr>
            <w:r w:rsidRPr="004928A7">
              <w:rPr>
                <w:sz w:val="24"/>
                <w:szCs w:val="24"/>
              </w:rPr>
              <w:t>8.0 (6.8, 9.4)</w:t>
            </w:r>
          </w:p>
        </w:tc>
      </w:tr>
      <w:tr w:rsidR="004928A7" w:rsidRPr="004928A7" w14:paraId="3128B087" w14:textId="77777777" w:rsidTr="00172917">
        <w:trPr>
          <w:trHeight w:val="253"/>
        </w:trPr>
        <w:tc>
          <w:tcPr>
            <w:tcW w:w="2278" w:type="pct"/>
            <w:tcBorders>
              <w:top w:val="single" w:sz="4" w:space="0" w:color="000000"/>
              <w:left w:val="single" w:sz="4" w:space="0" w:color="000000"/>
              <w:bottom w:val="single" w:sz="4" w:space="0" w:color="000000"/>
              <w:right w:val="single" w:sz="4" w:space="0" w:color="000000"/>
            </w:tcBorders>
          </w:tcPr>
          <w:p w14:paraId="2A6E3DBF" w14:textId="0273BDA8" w:rsidR="004928A7" w:rsidRPr="004928A7" w:rsidRDefault="004928A7" w:rsidP="00172917">
            <w:pPr>
              <w:rPr>
                <w:sz w:val="24"/>
                <w:szCs w:val="24"/>
              </w:rPr>
            </w:pPr>
            <w:r w:rsidRPr="004928A7">
              <w:rPr>
                <w:sz w:val="24"/>
                <w:szCs w:val="24"/>
              </w:rPr>
              <w:t xml:space="preserve">HR (95 % CI </w:t>
            </w:r>
            <w:r w:rsidRPr="004928A7">
              <w:rPr>
                <w:sz w:val="24"/>
                <w:szCs w:val="24"/>
                <w:vertAlign w:val="superscript"/>
              </w:rPr>
              <w:t>1,2</w:t>
            </w:r>
          </w:p>
        </w:tc>
        <w:tc>
          <w:tcPr>
            <w:tcW w:w="1360" w:type="pct"/>
            <w:tcBorders>
              <w:top w:val="single" w:sz="4" w:space="0" w:color="000000"/>
              <w:left w:val="single" w:sz="4" w:space="0" w:color="000000"/>
              <w:bottom w:val="single" w:sz="4" w:space="0" w:color="000000"/>
              <w:right w:val="single" w:sz="4" w:space="0" w:color="000000"/>
            </w:tcBorders>
          </w:tcPr>
          <w:p w14:paraId="62438AD9" w14:textId="77777777" w:rsidR="004928A7" w:rsidRPr="004928A7" w:rsidRDefault="004928A7" w:rsidP="004928A7">
            <w:pPr>
              <w:jc w:val="center"/>
              <w:rPr>
                <w:sz w:val="24"/>
                <w:szCs w:val="24"/>
              </w:rPr>
            </w:pPr>
          </w:p>
        </w:tc>
        <w:tc>
          <w:tcPr>
            <w:tcW w:w="1362" w:type="pct"/>
            <w:tcBorders>
              <w:top w:val="single" w:sz="4" w:space="0" w:color="000000"/>
              <w:left w:val="single" w:sz="4" w:space="0" w:color="000000"/>
              <w:bottom w:val="single" w:sz="4" w:space="0" w:color="000000"/>
              <w:right w:val="single" w:sz="4" w:space="0" w:color="000000"/>
            </w:tcBorders>
          </w:tcPr>
          <w:p w14:paraId="54328517" w14:textId="77777777" w:rsidR="004928A7" w:rsidRPr="004928A7" w:rsidRDefault="004928A7" w:rsidP="004928A7">
            <w:pPr>
              <w:jc w:val="center"/>
              <w:rPr>
                <w:sz w:val="24"/>
                <w:szCs w:val="24"/>
              </w:rPr>
            </w:pPr>
          </w:p>
        </w:tc>
      </w:tr>
      <w:tr w:rsidR="00790817" w:rsidRPr="004928A7" w14:paraId="311EC165" w14:textId="77777777" w:rsidTr="00172917">
        <w:trPr>
          <w:trHeight w:val="253"/>
        </w:trPr>
        <w:tc>
          <w:tcPr>
            <w:tcW w:w="2278" w:type="pct"/>
            <w:tcBorders>
              <w:top w:val="single" w:sz="4" w:space="0" w:color="000000"/>
              <w:left w:val="single" w:sz="4" w:space="0" w:color="000000"/>
              <w:bottom w:val="single" w:sz="4" w:space="0" w:color="000000"/>
              <w:right w:val="single" w:sz="4" w:space="0" w:color="000000"/>
            </w:tcBorders>
            <w:hideMark/>
          </w:tcPr>
          <w:p w14:paraId="0A467543" w14:textId="77777777" w:rsidR="00790817" w:rsidRPr="004928A7" w:rsidRDefault="00790817" w:rsidP="00172917">
            <w:pPr>
              <w:rPr>
                <w:position w:val="8"/>
                <w:sz w:val="24"/>
                <w:szCs w:val="24"/>
              </w:rPr>
            </w:pPr>
            <w:r w:rsidRPr="004928A7">
              <w:rPr>
                <w:sz w:val="24"/>
                <w:szCs w:val="24"/>
              </w:rPr>
              <w:t>p-value</w:t>
            </w:r>
            <w:r w:rsidRPr="004928A7">
              <w:rPr>
                <w:sz w:val="24"/>
                <w:szCs w:val="24"/>
                <w:vertAlign w:val="superscript"/>
              </w:rPr>
              <w:t>1</w:t>
            </w:r>
          </w:p>
        </w:tc>
        <w:tc>
          <w:tcPr>
            <w:tcW w:w="2722" w:type="pct"/>
            <w:gridSpan w:val="2"/>
            <w:tcBorders>
              <w:top w:val="single" w:sz="4" w:space="0" w:color="000000"/>
              <w:left w:val="single" w:sz="4" w:space="0" w:color="000000"/>
              <w:bottom w:val="single" w:sz="4" w:space="0" w:color="000000"/>
              <w:right w:val="single" w:sz="4" w:space="0" w:color="000000"/>
            </w:tcBorders>
            <w:hideMark/>
          </w:tcPr>
          <w:p w14:paraId="4C0D3107" w14:textId="77777777" w:rsidR="00790817" w:rsidRPr="004928A7" w:rsidRDefault="00790817" w:rsidP="004928A7">
            <w:pPr>
              <w:jc w:val="center"/>
              <w:rPr>
                <w:sz w:val="24"/>
                <w:szCs w:val="24"/>
              </w:rPr>
            </w:pPr>
            <w:r w:rsidRPr="004928A7">
              <w:rPr>
                <w:sz w:val="24"/>
                <w:szCs w:val="24"/>
              </w:rPr>
              <w:t>p=0.0049</w:t>
            </w:r>
          </w:p>
        </w:tc>
      </w:tr>
      <w:tr w:rsidR="00790817" w:rsidRPr="004928A7" w14:paraId="5EEC185F" w14:textId="77777777" w:rsidTr="00172917">
        <w:trPr>
          <w:trHeight w:val="234"/>
        </w:trPr>
        <w:tc>
          <w:tcPr>
            <w:tcW w:w="5000" w:type="pct"/>
            <w:gridSpan w:val="3"/>
            <w:tcBorders>
              <w:top w:val="single" w:sz="4" w:space="0" w:color="000000"/>
              <w:left w:val="single" w:sz="4" w:space="0" w:color="000000"/>
              <w:bottom w:val="single" w:sz="4" w:space="0" w:color="000000"/>
              <w:right w:val="single" w:sz="4" w:space="0" w:color="000000"/>
            </w:tcBorders>
            <w:hideMark/>
          </w:tcPr>
          <w:p w14:paraId="03EE1018" w14:textId="77777777" w:rsidR="00790817" w:rsidRPr="004928A7" w:rsidRDefault="00790817" w:rsidP="00172917">
            <w:pPr>
              <w:rPr>
                <w:b/>
                <w:bCs/>
                <w:position w:val="8"/>
                <w:sz w:val="24"/>
                <w:szCs w:val="24"/>
              </w:rPr>
            </w:pPr>
            <w:r w:rsidRPr="004928A7">
              <w:rPr>
                <w:b/>
                <w:bCs/>
                <w:sz w:val="24"/>
                <w:szCs w:val="24"/>
              </w:rPr>
              <w:t>Progression-free survival (PFS)</w:t>
            </w:r>
            <w:r w:rsidRPr="004928A7">
              <w:rPr>
                <w:sz w:val="24"/>
                <w:szCs w:val="24"/>
                <w:vertAlign w:val="superscript"/>
              </w:rPr>
              <w:t>3</w:t>
            </w:r>
          </w:p>
        </w:tc>
      </w:tr>
      <w:tr w:rsidR="00790817" w:rsidRPr="004928A7" w14:paraId="1BA489B4" w14:textId="77777777" w:rsidTr="00172917">
        <w:trPr>
          <w:trHeight w:val="236"/>
        </w:trPr>
        <w:tc>
          <w:tcPr>
            <w:tcW w:w="2278" w:type="pct"/>
            <w:tcBorders>
              <w:top w:val="thinThickMediumGap" w:sz="6" w:space="0" w:color="000000"/>
              <w:left w:val="single" w:sz="4" w:space="0" w:color="000000"/>
              <w:bottom w:val="single" w:sz="4" w:space="0" w:color="000000"/>
              <w:right w:val="single" w:sz="4" w:space="0" w:color="000000"/>
            </w:tcBorders>
            <w:hideMark/>
          </w:tcPr>
          <w:p w14:paraId="226FE26F" w14:textId="77777777" w:rsidR="00790817" w:rsidRPr="002922BC" w:rsidRDefault="00790817" w:rsidP="00172917">
            <w:pPr>
              <w:rPr>
                <w:sz w:val="24"/>
                <w:szCs w:val="24"/>
                <w:lang w:val="en-US"/>
              </w:rPr>
            </w:pPr>
            <w:r w:rsidRPr="002922BC">
              <w:rPr>
                <w:sz w:val="24"/>
                <w:szCs w:val="24"/>
                <w:lang w:val="en-US"/>
              </w:rPr>
              <w:t>Median PFS in months (95% CI)</w:t>
            </w:r>
          </w:p>
        </w:tc>
        <w:tc>
          <w:tcPr>
            <w:tcW w:w="1360" w:type="pct"/>
            <w:tcBorders>
              <w:top w:val="single" w:sz="4" w:space="0" w:color="000000"/>
              <w:left w:val="single" w:sz="4" w:space="0" w:color="000000"/>
              <w:bottom w:val="single" w:sz="4" w:space="0" w:color="000000"/>
              <w:right w:val="single" w:sz="4" w:space="0" w:color="000000"/>
            </w:tcBorders>
            <w:hideMark/>
          </w:tcPr>
          <w:p w14:paraId="394E81B5" w14:textId="77777777" w:rsidR="00790817" w:rsidRPr="004928A7" w:rsidRDefault="00790817" w:rsidP="004928A7">
            <w:pPr>
              <w:jc w:val="center"/>
              <w:rPr>
                <w:sz w:val="24"/>
                <w:szCs w:val="24"/>
              </w:rPr>
            </w:pPr>
            <w:r w:rsidRPr="004928A7">
              <w:rPr>
                <w:sz w:val="24"/>
                <w:szCs w:val="24"/>
              </w:rPr>
              <w:t>5.2 (4.0, 5.5)</w:t>
            </w:r>
          </w:p>
        </w:tc>
        <w:tc>
          <w:tcPr>
            <w:tcW w:w="1362" w:type="pct"/>
            <w:tcBorders>
              <w:top w:val="single" w:sz="4" w:space="0" w:color="000000"/>
              <w:left w:val="single" w:sz="4" w:space="0" w:color="000000"/>
              <w:bottom w:val="single" w:sz="4" w:space="0" w:color="000000"/>
              <w:right w:val="single" w:sz="4" w:space="0" w:color="000000"/>
            </w:tcBorders>
            <w:hideMark/>
          </w:tcPr>
          <w:p w14:paraId="13D2DE3D" w14:textId="77777777" w:rsidR="00790817" w:rsidRPr="004928A7" w:rsidRDefault="00790817" w:rsidP="004928A7">
            <w:pPr>
              <w:jc w:val="center"/>
              <w:rPr>
                <w:sz w:val="24"/>
                <w:szCs w:val="24"/>
              </w:rPr>
            </w:pPr>
            <w:r w:rsidRPr="004928A7">
              <w:rPr>
                <w:sz w:val="24"/>
                <w:szCs w:val="24"/>
              </w:rPr>
              <w:t>1.9 (1.9, 1.9)</w:t>
            </w:r>
          </w:p>
        </w:tc>
      </w:tr>
      <w:tr w:rsidR="00790817" w:rsidRPr="004928A7" w14:paraId="26E2786E" w14:textId="77777777" w:rsidTr="00172917">
        <w:trPr>
          <w:trHeight w:val="253"/>
        </w:trPr>
        <w:tc>
          <w:tcPr>
            <w:tcW w:w="2278" w:type="pct"/>
            <w:tcBorders>
              <w:top w:val="single" w:sz="4" w:space="0" w:color="000000"/>
              <w:left w:val="single" w:sz="4" w:space="0" w:color="000000"/>
              <w:bottom w:val="single" w:sz="4" w:space="0" w:color="000000"/>
              <w:right w:val="single" w:sz="4" w:space="0" w:color="000000"/>
            </w:tcBorders>
            <w:hideMark/>
          </w:tcPr>
          <w:p w14:paraId="12437311" w14:textId="77777777" w:rsidR="00790817" w:rsidRPr="004928A7" w:rsidRDefault="00790817" w:rsidP="00172917">
            <w:pPr>
              <w:rPr>
                <w:position w:val="8"/>
                <w:sz w:val="24"/>
                <w:szCs w:val="24"/>
              </w:rPr>
            </w:pPr>
            <w:r w:rsidRPr="004928A7">
              <w:rPr>
                <w:sz w:val="24"/>
                <w:szCs w:val="24"/>
              </w:rPr>
              <w:t>HR (95% CI)</w:t>
            </w:r>
            <w:r w:rsidRPr="004928A7">
              <w:rPr>
                <w:sz w:val="24"/>
                <w:szCs w:val="24"/>
                <w:vertAlign w:val="superscript"/>
              </w:rPr>
              <w:t>1</w:t>
            </w:r>
          </w:p>
        </w:tc>
        <w:tc>
          <w:tcPr>
            <w:tcW w:w="2722" w:type="pct"/>
            <w:gridSpan w:val="2"/>
            <w:tcBorders>
              <w:top w:val="single" w:sz="4" w:space="0" w:color="000000"/>
              <w:left w:val="single" w:sz="4" w:space="0" w:color="000000"/>
              <w:bottom w:val="single" w:sz="4" w:space="0" w:color="000000"/>
              <w:right w:val="single" w:sz="4" w:space="0" w:color="000000"/>
            </w:tcBorders>
            <w:hideMark/>
          </w:tcPr>
          <w:p w14:paraId="40A22140" w14:textId="77777777" w:rsidR="00790817" w:rsidRPr="004928A7" w:rsidRDefault="00790817" w:rsidP="004928A7">
            <w:pPr>
              <w:jc w:val="center"/>
              <w:rPr>
                <w:sz w:val="24"/>
                <w:szCs w:val="24"/>
              </w:rPr>
            </w:pPr>
            <w:r w:rsidRPr="004928A7">
              <w:rPr>
                <w:sz w:val="24"/>
                <w:szCs w:val="24"/>
              </w:rPr>
              <w:t>0.44 (0.36, 0.52)</w:t>
            </w:r>
          </w:p>
        </w:tc>
      </w:tr>
      <w:tr w:rsidR="00790817" w:rsidRPr="004928A7" w14:paraId="16B39609" w14:textId="77777777" w:rsidTr="00172917">
        <w:trPr>
          <w:trHeight w:val="252"/>
        </w:trPr>
        <w:tc>
          <w:tcPr>
            <w:tcW w:w="2278" w:type="pct"/>
            <w:tcBorders>
              <w:top w:val="single" w:sz="4" w:space="0" w:color="000000"/>
              <w:left w:val="single" w:sz="4" w:space="0" w:color="000000"/>
              <w:bottom w:val="single" w:sz="4" w:space="0" w:color="000000"/>
              <w:right w:val="single" w:sz="4" w:space="0" w:color="000000"/>
            </w:tcBorders>
            <w:hideMark/>
          </w:tcPr>
          <w:p w14:paraId="5932E82E" w14:textId="77777777" w:rsidR="00790817" w:rsidRPr="004928A7" w:rsidRDefault="00790817" w:rsidP="00172917">
            <w:pPr>
              <w:rPr>
                <w:position w:val="8"/>
                <w:sz w:val="24"/>
                <w:szCs w:val="24"/>
              </w:rPr>
            </w:pPr>
            <w:r w:rsidRPr="004928A7">
              <w:rPr>
                <w:sz w:val="24"/>
                <w:szCs w:val="24"/>
              </w:rPr>
              <w:t>p-value</w:t>
            </w:r>
            <w:r w:rsidRPr="004928A7">
              <w:rPr>
                <w:sz w:val="24"/>
                <w:szCs w:val="24"/>
                <w:vertAlign w:val="superscript"/>
              </w:rPr>
              <w:t>1</w:t>
            </w:r>
          </w:p>
        </w:tc>
        <w:tc>
          <w:tcPr>
            <w:tcW w:w="2722" w:type="pct"/>
            <w:gridSpan w:val="2"/>
            <w:tcBorders>
              <w:top w:val="single" w:sz="4" w:space="0" w:color="000000"/>
              <w:left w:val="single" w:sz="4" w:space="0" w:color="000000"/>
              <w:bottom w:val="single" w:sz="4" w:space="0" w:color="000000"/>
              <w:right w:val="single" w:sz="4" w:space="0" w:color="000000"/>
            </w:tcBorders>
            <w:hideMark/>
          </w:tcPr>
          <w:p w14:paraId="11020CD9" w14:textId="77777777" w:rsidR="00790817" w:rsidRPr="004928A7" w:rsidRDefault="00790817" w:rsidP="004928A7">
            <w:pPr>
              <w:jc w:val="center"/>
              <w:rPr>
                <w:sz w:val="24"/>
                <w:szCs w:val="24"/>
              </w:rPr>
            </w:pPr>
            <w:r w:rsidRPr="004928A7">
              <w:rPr>
                <w:sz w:val="24"/>
                <w:szCs w:val="24"/>
              </w:rPr>
              <w:t>p&lt;0.0001</w:t>
            </w:r>
          </w:p>
        </w:tc>
      </w:tr>
      <w:tr w:rsidR="00790817" w:rsidRPr="002922BC" w14:paraId="50850DCF" w14:textId="77777777" w:rsidTr="00172917">
        <w:trPr>
          <w:trHeight w:val="506"/>
        </w:trPr>
        <w:tc>
          <w:tcPr>
            <w:tcW w:w="2278" w:type="pct"/>
            <w:tcBorders>
              <w:top w:val="single" w:sz="4" w:space="0" w:color="000000"/>
              <w:left w:val="single" w:sz="4" w:space="0" w:color="000000"/>
              <w:bottom w:val="single" w:sz="4" w:space="0" w:color="000000"/>
              <w:right w:val="single" w:sz="4" w:space="0" w:color="000000"/>
            </w:tcBorders>
            <w:hideMark/>
          </w:tcPr>
          <w:p w14:paraId="028F8967" w14:textId="77777777" w:rsidR="00790817" w:rsidRPr="002922BC" w:rsidRDefault="00790817" w:rsidP="004928A7">
            <w:pPr>
              <w:rPr>
                <w:b/>
                <w:sz w:val="24"/>
                <w:szCs w:val="24"/>
                <w:u w:val="single"/>
                <w:lang w:val="en-US"/>
              </w:rPr>
            </w:pPr>
            <w:r w:rsidRPr="002922BC">
              <w:rPr>
                <w:b/>
                <w:sz w:val="24"/>
                <w:szCs w:val="24"/>
                <w:u w:val="single"/>
                <w:lang w:val="en-US"/>
              </w:rPr>
              <w:t xml:space="preserve">Kaplan-Meier landmark estimates of percent of </w:t>
            </w:r>
            <w:proofErr w:type="gramStart"/>
            <w:r w:rsidRPr="002922BC">
              <w:rPr>
                <w:b/>
                <w:sz w:val="24"/>
                <w:szCs w:val="24"/>
                <w:u w:val="single"/>
                <w:lang w:val="en-US"/>
              </w:rPr>
              <w:t>subjects</w:t>
            </w:r>
            <w:proofErr w:type="gramEnd"/>
            <w:r w:rsidRPr="002922BC">
              <w:rPr>
                <w:b/>
                <w:sz w:val="24"/>
                <w:szCs w:val="24"/>
                <w:u w:val="single"/>
                <w:lang w:val="en-US"/>
              </w:rPr>
              <w:t xml:space="preserve"> event-free at 3 months</w:t>
            </w:r>
          </w:p>
        </w:tc>
        <w:tc>
          <w:tcPr>
            <w:tcW w:w="2722" w:type="pct"/>
            <w:gridSpan w:val="2"/>
            <w:tcBorders>
              <w:top w:val="single" w:sz="4" w:space="0" w:color="000000"/>
              <w:left w:val="single" w:sz="4" w:space="0" w:color="000000"/>
              <w:bottom w:val="single" w:sz="4" w:space="0" w:color="000000"/>
              <w:right w:val="single" w:sz="4" w:space="0" w:color="000000"/>
            </w:tcBorders>
          </w:tcPr>
          <w:p w14:paraId="5796D563" w14:textId="77777777" w:rsidR="00790817" w:rsidRPr="002922BC" w:rsidRDefault="00790817" w:rsidP="00172917">
            <w:pPr>
              <w:rPr>
                <w:sz w:val="24"/>
                <w:szCs w:val="24"/>
                <w:lang w:val="en-US"/>
              </w:rPr>
            </w:pPr>
          </w:p>
        </w:tc>
      </w:tr>
      <w:tr w:rsidR="00790817" w:rsidRPr="004928A7" w14:paraId="22DC705E" w14:textId="77777777" w:rsidTr="00172917">
        <w:trPr>
          <w:trHeight w:val="251"/>
        </w:trPr>
        <w:tc>
          <w:tcPr>
            <w:tcW w:w="2278" w:type="pct"/>
            <w:tcBorders>
              <w:top w:val="single" w:sz="4" w:space="0" w:color="000000"/>
              <w:left w:val="single" w:sz="4" w:space="0" w:color="000000"/>
              <w:bottom w:val="single" w:sz="4" w:space="0" w:color="000000"/>
              <w:right w:val="single" w:sz="4" w:space="0" w:color="000000"/>
            </w:tcBorders>
            <w:hideMark/>
          </w:tcPr>
          <w:p w14:paraId="1B6F9CB0" w14:textId="77777777" w:rsidR="00790817" w:rsidRPr="004928A7" w:rsidRDefault="00790817" w:rsidP="00172917">
            <w:pPr>
              <w:rPr>
                <w:sz w:val="24"/>
                <w:szCs w:val="24"/>
              </w:rPr>
            </w:pPr>
            <w:r w:rsidRPr="004928A7">
              <w:rPr>
                <w:sz w:val="24"/>
                <w:szCs w:val="24"/>
              </w:rPr>
              <w:t>% (95% CI)</w:t>
            </w:r>
          </w:p>
        </w:tc>
        <w:tc>
          <w:tcPr>
            <w:tcW w:w="1360" w:type="pct"/>
            <w:tcBorders>
              <w:top w:val="single" w:sz="4" w:space="0" w:color="000000"/>
              <w:left w:val="single" w:sz="4" w:space="0" w:color="000000"/>
              <w:bottom w:val="single" w:sz="4" w:space="0" w:color="000000"/>
              <w:right w:val="single" w:sz="4" w:space="0" w:color="000000"/>
            </w:tcBorders>
            <w:hideMark/>
          </w:tcPr>
          <w:p w14:paraId="23DAC14A" w14:textId="77777777" w:rsidR="00790817" w:rsidRPr="004928A7" w:rsidRDefault="00790817" w:rsidP="004928A7">
            <w:pPr>
              <w:jc w:val="center"/>
              <w:rPr>
                <w:sz w:val="24"/>
                <w:szCs w:val="24"/>
              </w:rPr>
            </w:pPr>
            <w:r w:rsidRPr="004928A7">
              <w:rPr>
                <w:sz w:val="24"/>
                <w:szCs w:val="24"/>
              </w:rPr>
              <w:t>67.0% (62.2%, 71.3%)</w:t>
            </w:r>
          </w:p>
        </w:tc>
        <w:tc>
          <w:tcPr>
            <w:tcW w:w="1362" w:type="pct"/>
            <w:tcBorders>
              <w:top w:val="single" w:sz="4" w:space="0" w:color="000000"/>
              <w:left w:val="single" w:sz="4" w:space="0" w:color="000000"/>
              <w:bottom w:val="single" w:sz="4" w:space="0" w:color="000000"/>
              <w:right w:val="single" w:sz="4" w:space="0" w:color="000000"/>
            </w:tcBorders>
            <w:hideMark/>
          </w:tcPr>
          <w:p w14:paraId="1A35F3F3" w14:textId="77777777" w:rsidR="00790817" w:rsidRPr="004928A7" w:rsidRDefault="00790817" w:rsidP="004928A7">
            <w:pPr>
              <w:jc w:val="center"/>
              <w:rPr>
                <w:sz w:val="24"/>
                <w:szCs w:val="24"/>
              </w:rPr>
            </w:pPr>
            <w:r w:rsidRPr="004928A7">
              <w:rPr>
                <w:sz w:val="24"/>
                <w:szCs w:val="24"/>
              </w:rPr>
              <w:t>33.3% (27.1%, 39.7%)</w:t>
            </w:r>
          </w:p>
        </w:tc>
      </w:tr>
      <w:tr w:rsidR="00790817" w:rsidRPr="004928A7" w14:paraId="20E34277" w14:textId="77777777" w:rsidTr="00172917">
        <w:trPr>
          <w:trHeight w:val="251"/>
        </w:trPr>
        <w:tc>
          <w:tcPr>
            <w:tcW w:w="5000" w:type="pct"/>
            <w:gridSpan w:val="3"/>
            <w:tcBorders>
              <w:top w:val="single" w:sz="4" w:space="0" w:color="000000"/>
              <w:left w:val="single" w:sz="4" w:space="0" w:color="000000"/>
              <w:bottom w:val="single" w:sz="4" w:space="0" w:color="000000"/>
              <w:right w:val="single" w:sz="4" w:space="0" w:color="000000"/>
            </w:tcBorders>
            <w:hideMark/>
          </w:tcPr>
          <w:p w14:paraId="7DCF9DBC" w14:textId="77777777" w:rsidR="00790817" w:rsidRPr="004928A7" w:rsidRDefault="00790817" w:rsidP="00172917">
            <w:pPr>
              <w:rPr>
                <w:b/>
                <w:bCs/>
                <w:position w:val="8"/>
                <w:sz w:val="24"/>
                <w:szCs w:val="24"/>
              </w:rPr>
            </w:pPr>
            <w:r w:rsidRPr="004928A7">
              <w:rPr>
                <w:b/>
                <w:bCs/>
                <w:sz w:val="24"/>
                <w:szCs w:val="24"/>
              </w:rPr>
              <w:t>Objective response rate n (%)</w:t>
            </w:r>
            <w:r w:rsidRPr="004928A7">
              <w:rPr>
                <w:sz w:val="24"/>
                <w:szCs w:val="24"/>
                <w:vertAlign w:val="superscript"/>
              </w:rPr>
              <w:t>3</w:t>
            </w:r>
          </w:p>
        </w:tc>
      </w:tr>
      <w:tr w:rsidR="00790817" w:rsidRPr="004928A7" w14:paraId="4F0B0709" w14:textId="77777777" w:rsidTr="00172917">
        <w:trPr>
          <w:trHeight w:val="253"/>
        </w:trPr>
        <w:tc>
          <w:tcPr>
            <w:tcW w:w="2278" w:type="pct"/>
            <w:tcBorders>
              <w:top w:val="single" w:sz="4" w:space="0" w:color="000000"/>
              <w:left w:val="single" w:sz="4" w:space="0" w:color="000000"/>
              <w:bottom w:val="single" w:sz="4" w:space="0" w:color="000000"/>
              <w:right w:val="single" w:sz="4" w:space="0" w:color="000000"/>
            </w:tcBorders>
            <w:hideMark/>
          </w:tcPr>
          <w:p w14:paraId="49798ACC" w14:textId="77777777" w:rsidR="00790817" w:rsidRPr="004928A7" w:rsidRDefault="00790817" w:rsidP="00172917">
            <w:pPr>
              <w:rPr>
                <w:sz w:val="24"/>
                <w:szCs w:val="24"/>
              </w:rPr>
            </w:pPr>
            <w:r w:rsidRPr="004928A7">
              <w:rPr>
                <w:sz w:val="24"/>
                <w:szCs w:val="24"/>
              </w:rPr>
              <w:t>Complete responses (CR)</w:t>
            </w:r>
          </w:p>
        </w:tc>
        <w:tc>
          <w:tcPr>
            <w:tcW w:w="1360" w:type="pct"/>
            <w:tcBorders>
              <w:top w:val="single" w:sz="4" w:space="0" w:color="000000"/>
              <w:left w:val="single" w:sz="4" w:space="0" w:color="000000"/>
              <w:bottom w:val="single" w:sz="4" w:space="0" w:color="000000"/>
              <w:right w:val="single" w:sz="4" w:space="0" w:color="000000"/>
            </w:tcBorders>
            <w:hideMark/>
          </w:tcPr>
          <w:p w14:paraId="56CE9D75" w14:textId="77777777" w:rsidR="00790817" w:rsidRPr="004928A7" w:rsidRDefault="00790817" w:rsidP="004928A7">
            <w:pPr>
              <w:jc w:val="center"/>
              <w:rPr>
                <w:sz w:val="24"/>
                <w:szCs w:val="24"/>
              </w:rPr>
            </w:pPr>
            <w:r w:rsidRPr="004928A7">
              <w:rPr>
                <w:sz w:val="24"/>
                <w:szCs w:val="24"/>
              </w:rPr>
              <w:t>0</w:t>
            </w:r>
          </w:p>
        </w:tc>
        <w:tc>
          <w:tcPr>
            <w:tcW w:w="1362" w:type="pct"/>
            <w:tcBorders>
              <w:top w:val="single" w:sz="4" w:space="0" w:color="000000"/>
              <w:left w:val="single" w:sz="4" w:space="0" w:color="000000"/>
              <w:bottom w:val="single" w:sz="4" w:space="0" w:color="000000"/>
              <w:right w:val="single" w:sz="4" w:space="0" w:color="000000"/>
            </w:tcBorders>
            <w:hideMark/>
          </w:tcPr>
          <w:p w14:paraId="4F7B7A2E" w14:textId="77777777" w:rsidR="00790817" w:rsidRPr="004928A7" w:rsidRDefault="00790817" w:rsidP="004928A7">
            <w:pPr>
              <w:jc w:val="center"/>
              <w:rPr>
                <w:sz w:val="24"/>
                <w:szCs w:val="24"/>
              </w:rPr>
            </w:pPr>
            <w:r w:rsidRPr="004928A7">
              <w:rPr>
                <w:sz w:val="24"/>
                <w:szCs w:val="24"/>
              </w:rPr>
              <w:t>0</w:t>
            </w:r>
          </w:p>
        </w:tc>
      </w:tr>
      <w:tr w:rsidR="00790817" w:rsidRPr="004928A7" w14:paraId="626074C3" w14:textId="77777777" w:rsidTr="00172917">
        <w:trPr>
          <w:trHeight w:val="251"/>
        </w:trPr>
        <w:tc>
          <w:tcPr>
            <w:tcW w:w="2278" w:type="pct"/>
            <w:tcBorders>
              <w:top w:val="single" w:sz="4" w:space="0" w:color="000000"/>
              <w:left w:val="single" w:sz="4" w:space="0" w:color="000000"/>
              <w:bottom w:val="single" w:sz="4" w:space="0" w:color="000000"/>
              <w:right w:val="single" w:sz="4" w:space="0" w:color="000000"/>
            </w:tcBorders>
            <w:hideMark/>
          </w:tcPr>
          <w:p w14:paraId="7519B351" w14:textId="77777777" w:rsidR="00790817" w:rsidRPr="004928A7" w:rsidRDefault="00790817" w:rsidP="00172917">
            <w:pPr>
              <w:rPr>
                <w:sz w:val="24"/>
                <w:szCs w:val="24"/>
              </w:rPr>
            </w:pPr>
            <w:r w:rsidRPr="004928A7">
              <w:rPr>
                <w:sz w:val="24"/>
                <w:szCs w:val="24"/>
              </w:rPr>
              <w:t>Partial responses (PR)</w:t>
            </w:r>
          </w:p>
        </w:tc>
        <w:tc>
          <w:tcPr>
            <w:tcW w:w="1360" w:type="pct"/>
            <w:tcBorders>
              <w:top w:val="single" w:sz="4" w:space="0" w:color="000000"/>
              <w:left w:val="single" w:sz="4" w:space="0" w:color="000000"/>
              <w:bottom w:val="single" w:sz="4" w:space="0" w:color="000000"/>
              <w:right w:val="single" w:sz="4" w:space="0" w:color="000000"/>
            </w:tcBorders>
            <w:hideMark/>
          </w:tcPr>
          <w:p w14:paraId="76011C77" w14:textId="77777777" w:rsidR="00790817" w:rsidRPr="004928A7" w:rsidRDefault="00790817" w:rsidP="004928A7">
            <w:pPr>
              <w:jc w:val="center"/>
              <w:rPr>
                <w:sz w:val="24"/>
                <w:szCs w:val="24"/>
              </w:rPr>
            </w:pPr>
            <w:r w:rsidRPr="004928A7">
              <w:rPr>
                <w:sz w:val="24"/>
                <w:szCs w:val="24"/>
              </w:rPr>
              <w:t>18 (4)</w:t>
            </w:r>
          </w:p>
        </w:tc>
        <w:tc>
          <w:tcPr>
            <w:tcW w:w="1362" w:type="pct"/>
            <w:tcBorders>
              <w:top w:val="single" w:sz="4" w:space="0" w:color="000000"/>
              <w:left w:val="single" w:sz="4" w:space="0" w:color="000000"/>
              <w:bottom w:val="single" w:sz="4" w:space="0" w:color="000000"/>
              <w:right w:val="single" w:sz="4" w:space="0" w:color="000000"/>
            </w:tcBorders>
            <w:hideMark/>
          </w:tcPr>
          <w:p w14:paraId="23ADECC1" w14:textId="77777777" w:rsidR="00790817" w:rsidRPr="004928A7" w:rsidRDefault="00790817" w:rsidP="004928A7">
            <w:pPr>
              <w:jc w:val="center"/>
              <w:rPr>
                <w:sz w:val="24"/>
                <w:szCs w:val="24"/>
              </w:rPr>
            </w:pPr>
            <w:r w:rsidRPr="004928A7">
              <w:rPr>
                <w:sz w:val="24"/>
                <w:szCs w:val="24"/>
              </w:rPr>
              <w:t>1 (0.4)</w:t>
            </w:r>
          </w:p>
        </w:tc>
      </w:tr>
      <w:tr w:rsidR="00790817" w:rsidRPr="004928A7" w14:paraId="4F5381F5" w14:textId="77777777" w:rsidTr="00172917">
        <w:trPr>
          <w:trHeight w:val="254"/>
        </w:trPr>
        <w:tc>
          <w:tcPr>
            <w:tcW w:w="2278" w:type="pct"/>
            <w:tcBorders>
              <w:top w:val="single" w:sz="4" w:space="0" w:color="000000"/>
              <w:left w:val="single" w:sz="4" w:space="0" w:color="000000"/>
              <w:bottom w:val="single" w:sz="4" w:space="0" w:color="000000"/>
              <w:right w:val="single" w:sz="4" w:space="0" w:color="000000"/>
            </w:tcBorders>
            <w:hideMark/>
          </w:tcPr>
          <w:p w14:paraId="296C5613" w14:textId="77777777" w:rsidR="00790817" w:rsidRPr="004928A7" w:rsidRDefault="00790817" w:rsidP="00172917">
            <w:pPr>
              <w:rPr>
                <w:sz w:val="24"/>
                <w:szCs w:val="24"/>
              </w:rPr>
            </w:pPr>
            <w:r w:rsidRPr="004928A7">
              <w:rPr>
                <w:sz w:val="24"/>
                <w:szCs w:val="24"/>
              </w:rPr>
              <w:t>ORR (CR+PR)</w:t>
            </w:r>
          </w:p>
        </w:tc>
        <w:tc>
          <w:tcPr>
            <w:tcW w:w="1360" w:type="pct"/>
            <w:tcBorders>
              <w:top w:val="single" w:sz="4" w:space="0" w:color="000000"/>
              <w:left w:val="single" w:sz="4" w:space="0" w:color="000000"/>
              <w:bottom w:val="single" w:sz="4" w:space="0" w:color="000000"/>
              <w:right w:val="single" w:sz="4" w:space="0" w:color="000000"/>
            </w:tcBorders>
            <w:hideMark/>
          </w:tcPr>
          <w:p w14:paraId="3C2EECB2" w14:textId="77777777" w:rsidR="00790817" w:rsidRPr="004928A7" w:rsidRDefault="00790817" w:rsidP="004928A7">
            <w:pPr>
              <w:jc w:val="center"/>
              <w:rPr>
                <w:sz w:val="24"/>
                <w:szCs w:val="24"/>
              </w:rPr>
            </w:pPr>
            <w:r w:rsidRPr="004928A7">
              <w:rPr>
                <w:sz w:val="24"/>
                <w:szCs w:val="24"/>
              </w:rPr>
              <w:t>18 (4)</w:t>
            </w:r>
          </w:p>
        </w:tc>
        <w:tc>
          <w:tcPr>
            <w:tcW w:w="1362" w:type="pct"/>
            <w:tcBorders>
              <w:top w:val="single" w:sz="4" w:space="0" w:color="000000"/>
              <w:left w:val="single" w:sz="4" w:space="0" w:color="000000"/>
              <w:bottom w:val="single" w:sz="4" w:space="0" w:color="000000"/>
              <w:right w:val="single" w:sz="4" w:space="0" w:color="000000"/>
            </w:tcBorders>
            <w:hideMark/>
          </w:tcPr>
          <w:p w14:paraId="6F3B41AD" w14:textId="77777777" w:rsidR="00790817" w:rsidRPr="004928A7" w:rsidRDefault="00790817" w:rsidP="004928A7">
            <w:pPr>
              <w:jc w:val="center"/>
              <w:rPr>
                <w:sz w:val="24"/>
                <w:szCs w:val="24"/>
              </w:rPr>
            </w:pPr>
            <w:r w:rsidRPr="004928A7">
              <w:rPr>
                <w:sz w:val="24"/>
                <w:szCs w:val="24"/>
              </w:rPr>
              <w:t>1 (0.4)</w:t>
            </w:r>
          </w:p>
        </w:tc>
      </w:tr>
      <w:tr w:rsidR="00790817" w:rsidRPr="004928A7" w14:paraId="1574A9D9" w14:textId="77777777" w:rsidTr="00172917">
        <w:trPr>
          <w:trHeight w:val="253"/>
        </w:trPr>
        <w:tc>
          <w:tcPr>
            <w:tcW w:w="2278" w:type="pct"/>
            <w:tcBorders>
              <w:top w:val="single" w:sz="4" w:space="0" w:color="000000"/>
              <w:left w:val="single" w:sz="4" w:space="0" w:color="000000"/>
              <w:bottom w:val="single" w:sz="4" w:space="0" w:color="000000"/>
              <w:right w:val="single" w:sz="4" w:space="0" w:color="000000"/>
            </w:tcBorders>
            <w:hideMark/>
          </w:tcPr>
          <w:p w14:paraId="51AD7470" w14:textId="77777777" w:rsidR="00790817" w:rsidRPr="004928A7" w:rsidRDefault="00790817" w:rsidP="00172917">
            <w:pPr>
              <w:rPr>
                <w:position w:val="8"/>
                <w:sz w:val="24"/>
                <w:szCs w:val="24"/>
              </w:rPr>
            </w:pPr>
            <w:r w:rsidRPr="004928A7">
              <w:rPr>
                <w:sz w:val="24"/>
                <w:szCs w:val="24"/>
              </w:rPr>
              <w:t>p-value</w:t>
            </w:r>
            <w:r w:rsidRPr="004928A7">
              <w:rPr>
                <w:sz w:val="24"/>
                <w:szCs w:val="24"/>
                <w:vertAlign w:val="superscript"/>
              </w:rPr>
              <w:t>1,4</w:t>
            </w:r>
          </w:p>
        </w:tc>
        <w:tc>
          <w:tcPr>
            <w:tcW w:w="2722" w:type="pct"/>
            <w:gridSpan w:val="2"/>
            <w:tcBorders>
              <w:top w:val="single" w:sz="4" w:space="0" w:color="000000"/>
              <w:left w:val="single" w:sz="4" w:space="0" w:color="000000"/>
              <w:bottom w:val="single" w:sz="4" w:space="0" w:color="000000"/>
              <w:right w:val="single" w:sz="4" w:space="0" w:color="000000"/>
            </w:tcBorders>
            <w:hideMark/>
          </w:tcPr>
          <w:p w14:paraId="0658BDC4" w14:textId="77777777" w:rsidR="00790817" w:rsidRPr="004928A7" w:rsidRDefault="00790817" w:rsidP="004928A7">
            <w:pPr>
              <w:jc w:val="center"/>
              <w:rPr>
                <w:sz w:val="24"/>
                <w:szCs w:val="24"/>
              </w:rPr>
            </w:pPr>
            <w:r w:rsidRPr="004928A7">
              <w:rPr>
                <w:sz w:val="24"/>
                <w:szCs w:val="24"/>
              </w:rPr>
              <w:t>p=0.0086</w:t>
            </w:r>
          </w:p>
        </w:tc>
      </w:tr>
      <w:tr w:rsidR="00790817" w:rsidRPr="004928A7" w14:paraId="0F5C4FEF" w14:textId="77777777" w:rsidTr="00172917">
        <w:trPr>
          <w:trHeight w:val="251"/>
        </w:trPr>
        <w:tc>
          <w:tcPr>
            <w:tcW w:w="2278" w:type="pct"/>
            <w:tcBorders>
              <w:top w:val="single" w:sz="4" w:space="0" w:color="000000"/>
              <w:left w:val="single" w:sz="4" w:space="0" w:color="000000"/>
              <w:bottom w:val="single" w:sz="4" w:space="0" w:color="000000"/>
              <w:right w:val="single" w:sz="4" w:space="0" w:color="000000"/>
            </w:tcBorders>
            <w:hideMark/>
          </w:tcPr>
          <w:p w14:paraId="37A4B2AA" w14:textId="77777777" w:rsidR="00790817" w:rsidRPr="004928A7" w:rsidRDefault="00790817" w:rsidP="00172917">
            <w:pPr>
              <w:rPr>
                <w:sz w:val="24"/>
                <w:szCs w:val="24"/>
              </w:rPr>
            </w:pPr>
            <w:r w:rsidRPr="004928A7">
              <w:rPr>
                <w:sz w:val="24"/>
                <w:szCs w:val="24"/>
              </w:rPr>
              <w:t>Stable disease</w:t>
            </w:r>
          </w:p>
        </w:tc>
        <w:tc>
          <w:tcPr>
            <w:tcW w:w="1360" w:type="pct"/>
            <w:tcBorders>
              <w:top w:val="single" w:sz="4" w:space="0" w:color="000000"/>
              <w:left w:val="single" w:sz="4" w:space="0" w:color="000000"/>
              <w:bottom w:val="single" w:sz="4" w:space="0" w:color="000000"/>
              <w:right w:val="single" w:sz="4" w:space="0" w:color="000000"/>
            </w:tcBorders>
            <w:hideMark/>
          </w:tcPr>
          <w:p w14:paraId="4466EC83" w14:textId="77777777" w:rsidR="00790817" w:rsidRPr="004928A7" w:rsidRDefault="00790817" w:rsidP="004928A7">
            <w:pPr>
              <w:jc w:val="center"/>
              <w:rPr>
                <w:sz w:val="24"/>
                <w:szCs w:val="24"/>
              </w:rPr>
            </w:pPr>
            <w:r w:rsidRPr="004928A7">
              <w:rPr>
                <w:sz w:val="24"/>
                <w:szCs w:val="24"/>
              </w:rPr>
              <w:t>282 (60)</w:t>
            </w:r>
          </w:p>
        </w:tc>
        <w:tc>
          <w:tcPr>
            <w:tcW w:w="1362" w:type="pct"/>
            <w:tcBorders>
              <w:top w:val="single" w:sz="4" w:space="0" w:color="000000"/>
              <w:left w:val="single" w:sz="4" w:space="0" w:color="000000"/>
              <w:bottom w:val="single" w:sz="4" w:space="0" w:color="000000"/>
              <w:right w:val="single" w:sz="4" w:space="0" w:color="000000"/>
            </w:tcBorders>
            <w:hideMark/>
          </w:tcPr>
          <w:p w14:paraId="3B8C45BE" w14:textId="77777777" w:rsidR="00790817" w:rsidRPr="004928A7" w:rsidRDefault="00790817" w:rsidP="004928A7">
            <w:pPr>
              <w:jc w:val="center"/>
              <w:rPr>
                <w:sz w:val="24"/>
                <w:szCs w:val="24"/>
              </w:rPr>
            </w:pPr>
            <w:r w:rsidRPr="004928A7">
              <w:rPr>
                <w:sz w:val="24"/>
                <w:szCs w:val="24"/>
              </w:rPr>
              <w:t>78 (33)</w:t>
            </w:r>
          </w:p>
        </w:tc>
      </w:tr>
      <w:tr w:rsidR="00790817" w:rsidRPr="004928A7" w14:paraId="15EFF8F9" w14:textId="77777777" w:rsidTr="00172917">
        <w:trPr>
          <w:trHeight w:val="253"/>
        </w:trPr>
        <w:tc>
          <w:tcPr>
            <w:tcW w:w="2278" w:type="pct"/>
            <w:tcBorders>
              <w:top w:val="single" w:sz="4" w:space="0" w:color="000000"/>
              <w:left w:val="single" w:sz="4" w:space="0" w:color="000000"/>
              <w:bottom w:val="single" w:sz="4" w:space="0" w:color="000000"/>
              <w:right w:val="single" w:sz="4" w:space="0" w:color="000000"/>
            </w:tcBorders>
            <w:hideMark/>
          </w:tcPr>
          <w:p w14:paraId="6373495B" w14:textId="77777777" w:rsidR="00790817" w:rsidRPr="004928A7" w:rsidRDefault="00790817" w:rsidP="00172917">
            <w:pPr>
              <w:rPr>
                <w:sz w:val="24"/>
                <w:szCs w:val="24"/>
              </w:rPr>
            </w:pPr>
            <w:r w:rsidRPr="004928A7">
              <w:rPr>
                <w:sz w:val="24"/>
                <w:szCs w:val="24"/>
              </w:rPr>
              <w:t>Progressive disease</w:t>
            </w:r>
          </w:p>
        </w:tc>
        <w:tc>
          <w:tcPr>
            <w:tcW w:w="1360" w:type="pct"/>
            <w:tcBorders>
              <w:top w:val="single" w:sz="4" w:space="0" w:color="000000"/>
              <w:left w:val="single" w:sz="4" w:space="0" w:color="000000"/>
              <w:bottom w:val="single" w:sz="4" w:space="0" w:color="000000"/>
              <w:right w:val="single" w:sz="4" w:space="0" w:color="000000"/>
            </w:tcBorders>
            <w:hideMark/>
          </w:tcPr>
          <w:p w14:paraId="58D2177A" w14:textId="77777777" w:rsidR="00790817" w:rsidRPr="004928A7" w:rsidRDefault="00790817" w:rsidP="004928A7">
            <w:pPr>
              <w:jc w:val="center"/>
              <w:rPr>
                <w:sz w:val="24"/>
                <w:szCs w:val="24"/>
              </w:rPr>
            </w:pPr>
            <w:r w:rsidRPr="004928A7">
              <w:rPr>
                <w:sz w:val="24"/>
                <w:szCs w:val="24"/>
              </w:rPr>
              <w:t>98 (21)</w:t>
            </w:r>
          </w:p>
        </w:tc>
        <w:tc>
          <w:tcPr>
            <w:tcW w:w="1362" w:type="pct"/>
            <w:tcBorders>
              <w:top w:val="single" w:sz="4" w:space="0" w:color="000000"/>
              <w:left w:val="single" w:sz="4" w:space="0" w:color="000000"/>
              <w:bottom w:val="single" w:sz="4" w:space="0" w:color="000000"/>
              <w:right w:val="single" w:sz="4" w:space="0" w:color="000000"/>
            </w:tcBorders>
            <w:hideMark/>
          </w:tcPr>
          <w:p w14:paraId="0EDB80FC" w14:textId="77777777" w:rsidR="00790817" w:rsidRPr="004928A7" w:rsidRDefault="00790817" w:rsidP="004928A7">
            <w:pPr>
              <w:jc w:val="center"/>
              <w:rPr>
                <w:sz w:val="24"/>
                <w:szCs w:val="24"/>
              </w:rPr>
            </w:pPr>
            <w:r w:rsidRPr="004928A7">
              <w:rPr>
                <w:sz w:val="24"/>
                <w:szCs w:val="24"/>
              </w:rPr>
              <w:t>131 (55)</w:t>
            </w:r>
          </w:p>
        </w:tc>
      </w:tr>
    </w:tbl>
    <w:p w14:paraId="322F2F7D" w14:textId="30B350BD" w:rsidR="00790817" w:rsidRPr="002922BC" w:rsidRDefault="00790817" w:rsidP="00172917">
      <w:pPr>
        <w:ind w:left="284" w:hanging="284"/>
        <w:rPr>
          <w:sz w:val="20"/>
          <w:lang w:val="en-US"/>
        </w:rPr>
      </w:pPr>
      <w:r w:rsidRPr="002922BC">
        <w:rPr>
          <w:sz w:val="20"/>
          <w:vertAlign w:val="superscript"/>
          <w:lang w:val="en-US"/>
        </w:rPr>
        <w:t>1</w:t>
      </w:r>
      <w:r w:rsidR="00172917" w:rsidRPr="002922BC">
        <w:rPr>
          <w:sz w:val="20"/>
          <w:lang w:val="en-US"/>
        </w:rPr>
        <w:tab/>
      </w:r>
      <w:r w:rsidRPr="002922BC">
        <w:rPr>
          <w:sz w:val="20"/>
          <w:lang w:val="en-US"/>
        </w:rPr>
        <w:t>2-sided stratified log-rank test with aetiology of disease (HBV [with or without HCV], HCV [without HBV], or other), geographic region (Asia, other regions), and presence of extrahepatic spread of disease and/or macrovascular invasion (Yes, No) as stratification factors (per IVRS data)</w:t>
      </w:r>
    </w:p>
    <w:p w14:paraId="573DAFBE" w14:textId="6A2D377A" w:rsidR="00790817" w:rsidRPr="002922BC" w:rsidRDefault="00790817" w:rsidP="00172917">
      <w:pPr>
        <w:ind w:left="284" w:hanging="284"/>
        <w:rPr>
          <w:sz w:val="20"/>
          <w:lang w:val="en-US"/>
        </w:rPr>
      </w:pPr>
      <w:r w:rsidRPr="002922BC">
        <w:rPr>
          <w:sz w:val="20"/>
          <w:vertAlign w:val="superscript"/>
          <w:lang w:val="en-US"/>
        </w:rPr>
        <w:t>2</w:t>
      </w:r>
      <w:r w:rsidR="00172917" w:rsidRPr="002922BC">
        <w:rPr>
          <w:sz w:val="20"/>
          <w:lang w:val="en-US"/>
        </w:rPr>
        <w:tab/>
      </w:r>
      <w:r w:rsidRPr="002922BC">
        <w:rPr>
          <w:sz w:val="20"/>
          <w:lang w:val="en-US"/>
        </w:rPr>
        <w:t>estimated using the Cox proportional-hazard model</w:t>
      </w:r>
    </w:p>
    <w:p w14:paraId="748BE3FD" w14:textId="63B634D6" w:rsidR="00790817" w:rsidRPr="002922BC" w:rsidRDefault="00790817" w:rsidP="00172917">
      <w:pPr>
        <w:ind w:left="284" w:hanging="284"/>
        <w:rPr>
          <w:sz w:val="20"/>
          <w:lang w:val="en-US"/>
        </w:rPr>
      </w:pPr>
      <w:r w:rsidRPr="002922BC">
        <w:rPr>
          <w:sz w:val="20"/>
          <w:vertAlign w:val="superscript"/>
          <w:lang w:val="en-US"/>
        </w:rPr>
        <w:t>3</w:t>
      </w:r>
      <w:r w:rsidR="00172917" w:rsidRPr="002922BC">
        <w:rPr>
          <w:sz w:val="20"/>
          <w:lang w:val="en-US"/>
        </w:rPr>
        <w:tab/>
      </w:r>
      <w:r w:rsidRPr="002922BC">
        <w:rPr>
          <w:sz w:val="20"/>
          <w:lang w:val="en-US"/>
        </w:rPr>
        <w:t>as assessed by investigator per RECIST 1.1</w:t>
      </w:r>
    </w:p>
    <w:p w14:paraId="35B64431" w14:textId="6015D6B3" w:rsidR="00790817" w:rsidRPr="002922BC" w:rsidRDefault="00790817" w:rsidP="00172917">
      <w:pPr>
        <w:ind w:left="284" w:hanging="284"/>
        <w:rPr>
          <w:sz w:val="20"/>
          <w:lang w:val="en-US"/>
        </w:rPr>
      </w:pPr>
      <w:r w:rsidRPr="002922BC">
        <w:rPr>
          <w:sz w:val="20"/>
          <w:vertAlign w:val="superscript"/>
          <w:lang w:val="en-US"/>
        </w:rPr>
        <w:t>4</w:t>
      </w:r>
      <w:r w:rsidR="00172917" w:rsidRPr="002922BC">
        <w:rPr>
          <w:sz w:val="20"/>
          <w:lang w:val="en-US"/>
        </w:rPr>
        <w:tab/>
      </w:r>
      <w:r w:rsidRPr="002922BC">
        <w:rPr>
          <w:sz w:val="20"/>
          <w:lang w:val="en-US"/>
        </w:rPr>
        <w:t>stratified Cochran-Mantel-Haenszel (CMH) test</w:t>
      </w:r>
    </w:p>
    <w:p w14:paraId="6F473EE8" w14:textId="77777777" w:rsidR="00790817" w:rsidRPr="00172917" w:rsidRDefault="00790817" w:rsidP="00790817">
      <w:pPr>
        <w:outlineLvl w:val="0"/>
        <w:rPr>
          <w:sz w:val="24"/>
          <w:szCs w:val="24"/>
          <w:lang w:val="en-US"/>
        </w:rPr>
      </w:pPr>
    </w:p>
    <w:p w14:paraId="1B454FF5" w14:textId="77777777" w:rsidR="00790817" w:rsidRPr="00497000" w:rsidRDefault="00790817" w:rsidP="004928A7">
      <w:pPr>
        <w:keepNext/>
        <w:outlineLvl w:val="0"/>
        <w:rPr>
          <w:rFonts w:eastAsia="SimSun"/>
          <w:b/>
          <w:color w:val="00B050"/>
          <w:sz w:val="24"/>
          <w:szCs w:val="24"/>
          <w:highlight w:val="yellow"/>
          <w:lang w:val="en-US" w:eastAsia="zh-CN"/>
        </w:rPr>
      </w:pPr>
      <w:r w:rsidRPr="00497000">
        <w:rPr>
          <w:b/>
          <w:sz w:val="24"/>
          <w:szCs w:val="24"/>
          <w:lang w:val="en-US"/>
        </w:rPr>
        <w:lastRenderedPageBreak/>
        <w:t>Figure 6: Kaplan-Meier curve of overall survival (CELESTIAL)</w:t>
      </w:r>
    </w:p>
    <w:p w14:paraId="4D191F47" w14:textId="77777777" w:rsidR="00790817" w:rsidRPr="00497000" w:rsidRDefault="00790817" w:rsidP="004928A7">
      <w:pPr>
        <w:keepNext/>
        <w:outlineLvl w:val="0"/>
        <w:rPr>
          <w:b/>
          <w:sz w:val="24"/>
          <w:szCs w:val="24"/>
          <w:lang w:val="en-US" w:eastAsia="en-US"/>
        </w:rPr>
      </w:pPr>
    </w:p>
    <w:p w14:paraId="57D1C640" w14:textId="4CFEF949" w:rsidR="00790817" w:rsidRPr="00497000" w:rsidRDefault="00790817" w:rsidP="004928A7">
      <w:pPr>
        <w:keepNext/>
        <w:outlineLvl w:val="0"/>
        <w:rPr>
          <w:b/>
          <w:sz w:val="24"/>
          <w:szCs w:val="24"/>
        </w:rPr>
      </w:pPr>
      <w:r w:rsidRPr="00497000">
        <w:rPr>
          <w:noProof/>
          <w:sz w:val="24"/>
          <w:szCs w:val="24"/>
          <w:lang w:eastAsia="en-GB"/>
        </w:rPr>
        <w:drawing>
          <wp:inline distT="0" distB="0" distL="0" distR="0" wp14:anchorId="6E47B3ED" wp14:editId="20649042">
            <wp:extent cx="5760720" cy="34518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451860"/>
                    </a:xfrm>
                    <a:prstGeom prst="rect">
                      <a:avLst/>
                    </a:prstGeom>
                    <a:noFill/>
                    <a:ln>
                      <a:noFill/>
                    </a:ln>
                  </pic:spPr>
                </pic:pic>
              </a:graphicData>
            </a:graphic>
          </wp:inline>
        </w:drawing>
      </w:r>
    </w:p>
    <w:p w14:paraId="25AF6ED3" w14:textId="77777777" w:rsidR="00790817" w:rsidRPr="00497000" w:rsidRDefault="00790817" w:rsidP="00790817">
      <w:pPr>
        <w:ind w:left="567" w:hanging="567"/>
        <w:rPr>
          <w:sz w:val="24"/>
          <w:szCs w:val="24"/>
        </w:rPr>
      </w:pPr>
    </w:p>
    <w:p w14:paraId="01ABDB68" w14:textId="77777777" w:rsidR="002922BC" w:rsidRDefault="002922BC" w:rsidP="004928A7">
      <w:pPr>
        <w:keepNext/>
        <w:ind w:left="567" w:hanging="567"/>
        <w:rPr>
          <w:b/>
          <w:sz w:val="24"/>
          <w:szCs w:val="24"/>
          <w:lang w:val="en-US"/>
        </w:rPr>
      </w:pPr>
    </w:p>
    <w:p w14:paraId="40A60DF9" w14:textId="5A2CBF18" w:rsidR="00790817" w:rsidRPr="00497000" w:rsidRDefault="00790817" w:rsidP="004928A7">
      <w:pPr>
        <w:keepNext/>
        <w:ind w:left="567" w:hanging="567"/>
        <w:rPr>
          <w:sz w:val="24"/>
          <w:szCs w:val="24"/>
          <w:lang w:val="en-US"/>
        </w:rPr>
      </w:pPr>
      <w:r w:rsidRPr="00497000">
        <w:rPr>
          <w:b/>
          <w:sz w:val="24"/>
          <w:szCs w:val="24"/>
          <w:lang w:val="en-US"/>
        </w:rPr>
        <w:t>Figure 7: Kaplan Meier curve for progression-free survival (CELESTIAL</w:t>
      </w:r>
      <w:r w:rsidRPr="00497000">
        <w:rPr>
          <w:sz w:val="24"/>
          <w:szCs w:val="24"/>
          <w:lang w:val="en-US"/>
        </w:rPr>
        <w:t>)</w:t>
      </w:r>
    </w:p>
    <w:p w14:paraId="3D72D9A1" w14:textId="77777777" w:rsidR="00790817" w:rsidRPr="00497000" w:rsidRDefault="00790817" w:rsidP="004928A7">
      <w:pPr>
        <w:keepNext/>
        <w:ind w:left="567" w:hanging="567"/>
        <w:rPr>
          <w:sz w:val="24"/>
          <w:szCs w:val="24"/>
          <w:lang w:val="en-US"/>
        </w:rPr>
      </w:pPr>
    </w:p>
    <w:p w14:paraId="7A13DCF6" w14:textId="42DAB7C2" w:rsidR="00790817" w:rsidRPr="00497000" w:rsidRDefault="00790817" w:rsidP="004928A7">
      <w:pPr>
        <w:keepNext/>
        <w:ind w:left="567" w:hanging="567"/>
        <w:jc w:val="center"/>
        <w:rPr>
          <w:noProof/>
          <w:sz w:val="24"/>
          <w:szCs w:val="24"/>
          <w:lang w:eastAsia="en-GB"/>
        </w:rPr>
      </w:pPr>
      <w:r w:rsidRPr="00497000">
        <w:rPr>
          <w:noProof/>
          <w:sz w:val="24"/>
          <w:szCs w:val="24"/>
          <w:lang w:eastAsia="en-GB"/>
        </w:rPr>
        <w:drawing>
          <wp:inline distT="0" distB="0" distL="0" distR="0" wp14:anchorId="4FCE6E01" wp14:editId="50AAC880">
            <wp:extent cx="5760720" cy="34747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474720"/>
                    </a:xfrm>
                    <a:prstGeom prst="rect">
                      <a:avLst/>
                    </a:prstGeom>
                    <a:noFill/>
                    <a:ln>
                      <a:noFill/>
                    </a:ln>
                  </pic:spPr>
                </pic:pic>
              </a:graphicData>
            </a:graphic>
          </wp:inline>
        </w:drawing>
      </w:r>
    </w:p>
    <w:p w14:paraId="6710C3A6" w14:textId="77777777" w:rsidR="00790817" w:rsidRPr="00497000" w:rsidRDefault="00790817" w:rsidP="00497000">
      <w:pPr>
        <w:rPr>
          <w:noProof/>
          <w:sz w:val="24"/>
          <w:szCs w:val="24"/>
          <w:lang w:eastAsia="en-GB"/>
        </w:rPr>
      </w:pPr>
    </w:p>
    <w:p w14:paraId="25C026BF" w14:textId="7E3E4740" w:rsidR="00790817" w:rsidRPr="002922BC" w:rsidRDefault="00790817" w:rsidP="00497000">
      <w:pPr>
        <w:ind w:left="851"/>
        <w:rPr>
          <w:sz w:val="24"/>
          <w:szCs w:val="24"/>
          <w:lang w:val="en-US"/>
        </w:rPr>
      </w:pPr>
      <w:r w:rsidRPr="004928A7">
        <w:rPr>
          <w:sz w:val="24"/>
          <w:szCs w:val="24"/>
          <w:lang w:val="en-US"/>
        </w:rPr>
        <w:t xml:space="preserve">The incidence of systemic non-radiation and local liver-directed systemic non-protocol anticancer therapy (NPACT) was 26% in the cabozantinib arm and 33% in the placebo arm. </w:t>
      </w:r>
      <w:r w:rsidRPr="002922BC">
        <w:rPr>
          <w:sz w:val="24"/>
          <w:szCs w:val="24"/>
          <w:lang w:val="en-US"/>
        </w:rPr>
        <w:t xml:space="preserve">Subjects receiving these therapies had to discontinue study treatment. </w:t>
      </w:r>
      <w:r w:rsidRPr="004928A7">
        <w:rPr>
          <w:sz w:val="24"/>
          <w:szCs w:val="24"/>
          <w:lang w:val="en-US"/>
        </w:rPr>
        <w:t>An exploratory OS analysis censoring for the use</w:t>
      </w:r>
      <w:r w:rsidR="004928A7" w:rsidRPr="004928A7">
        <w:rPr>
          <w:sz w:val="24"/>
          <w:szCs w:val="24"/>
          <w:lang w:val="en-US"/>
        </w:rPr>
        <w:t xml:space="preserve"> </w:t>
      </w:r>
      <w:r w:rsidRPr="004928A7">
        <w:rPr>
          <w:sz w:val="24"/>
          <w:szCs w:val="24"/>
          <w:lang w:val="en-US"/>
        </w:rPr>
        <w:t>of NPACT supported the primary analysis: the HR, adjusted for stratification factors (per IxRS), was</w:t>
      </w:r>
      <w:r w:rsidR="004928A7">
        <w:rPr>
          <w:sz w:val="24"/>
          <w:szCs w:val="24"/>
          <w:lang w:val="en-US"/>
        </w:rPr>
        <w:t xml:space="preserve"> </w:t>
      </w:r>
      <w:r w:rsidRPr="004928A7">
        <w:rPr>
          <w:sz w:val="24"/>
          <w:szCs w:val="24"/>
          <w:lang w:val="en-US"/>
        </w:rPr>
        <w:t xml:space="preserve">0.66 (95% CI: 0.52, 0.84; stratified </w:t>
      </w:r>
      <w:r w:rsidRPr="004928A7">
        <w:rPr>
          <w:sz w:val="24"/>
          <w:szCs w:val="24"/>
          <w:lang w:val="en-US"/>
        </w:rPr>
        <w:lastRenderedPageBreak/>
        <w:t xml:space="preserve">logrank p-value = 0.0005). </w:t>
      </w:r>
      <w:r w:rsidRPr="002922BC">
        <w:rPr>
          <w:sz w:val="24"/>
          <w:szCs w:val="24"/>
          <w:lang w:val="en-US"/>
        </w:rPr>
        <w:t>The Kaplan- Meier estimates for median duration of OS were 11.1 months in the cabozantinib arm versus 6.9 months in the placebo arm, an estimated 4.2-month difference in the medians.</w:t>
      </w:r>
    </w:p>
    <w:p w14:paraId="579B238F" w14:textId="77777777" w:rsidR="00790817" w:rsidRPr="002922BC" w:rsidRDefault="00790817" w:rsidP="00497000">
      <w:pPr>
        <w:ind w:left="851"/>
        <w:rPr>
          <w:sz w:val="24"/>
          <w:szCs w:val="24"/>
          <w:lang w:val="en-US"/>
        </w:rPr>
      </w:pPr>
    </w:p>
    <w:p w14:paraId="75B00B4C" w14:textId="77777777" w:rsidR="00790817" w:rsidRPr="002922BC" w:rsidRDefault="00790817" w:rsidP="00497000">
      <w:pPr>
        <w:ind w:left="851"/>
        <w:rPr>
          <w:sz w:val="24"/>
          <w:szCs w:val="24"/>
          <w:lang w:val="en-US"/>
        </w:rPr>
      </w:pPr>
      <w:r w:rsidRPr="002922BC">
        <w:rPr>
          <w:sz w:val="24"/>
          <w:szCs w:val="24"/>
          <w:lang w:val="en-US"/>
        </w:rPr>
        <w:t>Non-disease specific quality of life (QoL) was assessed using the EuroQoL EQ-5D-5L. A negative effect of cabozantinib versus placebo on the EQ-5D utility index score was observed during the first weeks of treatment. Only limited QoL data are available after this period.</w:t>
      </w:r>
    </w:p>
    <w:p w14:paraId="7DAE6774" w14:textId="77777777" w:rsidR="00790817" w:rsidRPr="002922BC" w:rsidRDefault="00790817" w:rsidP="00497000">
      <w:pPr>
        <w:ind w:left="851"/>
        <w:rPr>
          <w:sz w:val="24"/>
          <w:szCs w:val="24"/>
          <w:lang w:val="en-US"/>
        </w:rPr>
      </w:pPr>
    </w:p>
    <w:p w14:paraId="26C3CF4B" w14:textId="77777777" w:rsidR="00790817" w:rsidRPr="002922BC" w:rsidRDefault="00790817" w:rsidP="00497000">
      <w:pPr>
        <w:ind w:left="851"/>
        <w:rPr>
          <w:i/>
          <w:iCs/>
          <w:sz w:val="24"/>
          <w:szCs w:val="24"/>
          <w:lang w:val="en-US"/>
        </w:rPr>
      </w:pPr>
      <w:r w:rsidRPr="002922BC">
        <w:rPr>
          <w:i/>
          <w:iCs/>
          <w:sz w:val="24"/>
          <w:szCs w:val="24"/>
          <w:lang w:val="en-US"/>
        </w:rPr>
        <w:t>Differentiated thyroid carcinoma (DTC)</w:t>
      </w:r>
    </w:p>
    <w:p w14:paraId="40F4375A" w14:textId="64D4A4E5" w:rsidR="00790817" w:rsidRPr="00121ED6" w:rsidRDefault="00790817" w:rsidP="00497000">
      <w:pPr>
        <w:ind w:left="851"/>
        <w:rPr>
          <w:iCs/>
          <w:sz w:val="24"/>
          <w:szCs w:val="24"/>
          <w:u w:val="single"/>
          <w:lang w:val="en-US"/>
        </w:rPr>
      </w:pPr>
      <w:r w:rsidRPr="00121ED6">
        <w:rPr>
          <w:iCs/>
          <w:sz w:val="24"/>
          <w:szCs w:val="24"/>
          <w:u w:val="single"/>
          <w:lang w:val="en-US"/>
        </w:rPr>
        <w:t>Placebo-Controlled study in adult patients who have received prior systemic therapy and are refractory or not eligible to radioactive iodine (COSMIC-311)</w:t>
      </w:r>
    </w:p>
    <w:p w14:paraId="73FC5FFE" w14:textId="77777777" w:rsidR="00790817" w:rsidRPr="002922BC" w:rsidRDefault="00790817" w:rsidP="00497000">
      <w:pPr>
        <w:ind w:left="851"/>
        <w:rPr>
          <w:sz w:val="24"/>
          <w:szCs w:val="24"/>
          <w:lang w:val="en-US"/>
        </w:rPr>
      </w:pPr>
      <w:r w:rsidRPr="002922BC">
        <w:rPr>
          <w:sz w:val="24"/>
          <w:szCs w:val="24"/>
          <w:lang w:val="en-US"/>
        </w:rPr>
        <w:t>The safety and efficacy of Cabozantinib was evaluated in COSMIC-311, a randomised (2:1), double-blind, placebo-controlled, multicenter trial in adult patients with locally advanced or metastatic disease with differentiated thyroid cancer that had progressed following up to two prior VEGFR-targeting therapy (including, but not limited to, lenvatinib or sorafenib) and were radioactive iodine-refractory or not eligible. Patients with measurable disease and documented radiographic progression per RECIST 1.1 per the Investigator, during or following treatment with VEGFR- targeting TKI, were randomised (N=258) to receive cabozantinib 60 mg orally once daily (N=170) or placebo (N=88).</w:t>
      </w:r>
    </w:p>
    <w:p w14:paraId="33FB8D7C" w14:textId="77777777" w:rsidR="00790817" w:rsidRPr="002922BC" w:rsidRDefault="00790817" w:rsidP="00497000">
      <w:pPr>
        <w:ind w:left="851"/>
        <w:rPr>
          <w:sz w:val="24"/>
          <w:szCs w:val="24"/>
          <w:lang w:val="en-US"/>
        </w:rPr>
      </w:pPr>
    </w:p>
    <w:p w14:paraId="546F8B6A" w14:textId="77777777" w:rsidR="00790817" w:rsidRPr="002922BC" w:rsidRDefault="00790817" w:rsidP="00497000">
      <w:pPr>
        <w:ind w:left="851"/>
        <w:rPr>
          <w:sz w:val="24"/>
          <w:szCs w:val="24"/>
          <w:lang w:val="en-US"/>
        </w:rPr>
      </w:pPr>
      <w:r w:rsidRPr="002922BC">
        <w:rPr>
          <w:sz w:val="24"/>
          <w:szCs w:val="24"/>
          <w:lang w:val="en-US"/>
        </w:rPr>
        <w:t>Randomisation was stratified by prior receipt of lenvatinib (yes vs. no) and age (≤ 65 years vs. &gt; 65 years). Eligible patients randomised to placebo were allowed to cross-over to cabozantinib upon confirmation of progressive disease by blinded independent radiology review committee (BIRC).</w:t>
      </w:r>
    </w:p>
    <w:p w14:paraId="56443248" w14:textId="77777777" w:rsidR="00790817" w:rsidRPr="002922BC" w:rsidRDefault="00790817" w:rsidP="00497000">
      <w:pPr>
        <w:ind w:left="851"/>
        <w:rPr>
          <w:sz w:val="24"/>
          <w:szCs w:val="24"/>
          <w:lang w:val="en-US"/>
        </w:rPr>
      </w:pPr>
      <w:r w:rsidRPr="002922BC">
        <w:rPr>
          <w:sz w:val="24"/>
          <w:szCs w:val="24"/>
          <w:lang w:val="en-US"/>
        </w:rPr>
        <w:t>Subjects continued blinded study treatment as long as they experienced clinical benefit or until there was unacceptable toxicity. The primary efficacy outcome measures were progression-free survival (PFS) in the ITT population, and objective response rate (ORR) in the first 100 randomised patients, as assessed by BIRC per RECIST 1.1. Tumour assessments were conducted every 8 weeks after randomisation during the first 12 months on study, then every 12 weeks thereafter. Overall survival (OS) was an additional endpoint.</w:t>
      </w:r>
    </w:p>
    <w:p w14:paraId="1149C6A8" w14:textId="77777777" w:rsidR="00790817" w:rsidRPr="002922BC" w:rsidRDefault="00790817" w:rsidP="00497000">
      <w:pPr>
        <w:ind w:left="851"/>
        <w:rPr>
          <w:sz w:val="24"/>
          <w:szCs w:val="24"/>
          <w:lang w:val="en-US"/>
        </w:rPr>
      </w:pPr>
    </w:p>
    <w:p w14:paraId="5656CDFB" w14:textId="052D2770" w:rsidR="00790817" w:rsidRPr="002922BC" w:rsidRDefault="00790817" w:rsidP="00497000">
      <w:pPr>
        <w:ind w:left="851"/>
        <w:rPr>
          <w:sz w:val="24"/>
          <w:szCs w:val="24"/>
          <w:lang w:val="en-US"/>
        </w:rPr>
      </w:pPr>
      <w:r w:rsidRPr="002922BC">
        <w:rPr>
          <w:sz w:val="24"/>
          <w:szCs w:val="24"/>
          <w:lang w:val="en-US"/>
        </w:rPr>
        <w:t xml:space="preserve">The primary analysis of PFS included 187 randomised patients, 125 to cabozantinib and 62 to placebo. Baseline demographics and disease characteristics were generally balanced for both treatment groups. </w:t>
      </w:r>
      <w:r w:rsidRPr="00121ED6">
        <w:rPr>
          <w:sz w:val="24"/>
          <w:szCs w:val="24"/>
          <w:lang w:val="en-US"/>
        </w:rPr>
        <w:t>The median age was 66 years (range 32 to 85 years), 51% being ≥</w:t>
      </w:r>
      <w:r w:rsidR="00121ED6" w:rsidRPr="00121ED6">
        <w:rPr>
          <w:sz w:val="24"/>
          <w:szCs w:val="24"/>
          <w:lang w:val="en-US"/>
        </w:rPr>
        <w:t> </w:t>
      </w:r>
      <w:r w:rsidRPr="00121ED6">
        <w:rPr>
          <w:sz w:val="24"/>
          <w:szCs w:val="24"/>
          <w:lang w:val="en-US"/>
        </w:rPr>
        <w:t xml:space="preserve">65 years of age, 13% being ≥ 75 years of age. </w:t>
      </w:r>
      <w:r w:rsidRPr="002922BC">
        <w:rPr>
          <w:sz w:val="24"/>
          <w:szCs w:val="24"/>
          <w:lang w:val="en-US"/>
        </w:rPr>
        <w:t>The majority of patients were white (70%), 18% of patients were Asian and 55% were female. Histologically, 55% had a confirmed diagnosis of papillary thyroid carcinoma, 48% had follicular thyroid carcinoma including 17% patients with Hürthle cell thyroid cancer.</w:t>
      </w:r>
    </w:p>
    <w:p w14:paraId="5B2903CD" w14:textId="77777777" w:rsidR="00790817" w:rsidRPr="002922BC" w:rsidRDefault="00790817" w:rsidP="00497000">
      <w:pPr>
        <w:ind w:left="851"/>
        <w:rPr>
          <w:sz w:val="24"/>
          <w:szCs w:val="24"/>
          <w:lang w:val="en-US"/>
        </w:rPr>
      </w:pPr>
      <w:r w:rsidRPr="002922BC">
        <w:rPr>
          <w:sz w:val="24"/>
          <w:szCs w:val="24"/>
          <w:lang w:val="en-US"/>
        </w:rPr>
        <w:t>Metastases were present in 95% of the patients: lungs in 68%, lymph nodes in 67%, bone in 29%, pleura in 18% and liver in 15%. Five patients had not received prior RAI due to ineligibility, 63% had received prior lenvatinib, 60% had received prior sorafenib and 23% had received both sorafenib and lenvatinib. Baseline ECOG performance status was 0 (48%) or 1 (52%).</w:t>
      </w:r>
    </w:p>
    <w:p w14:paraId="4F83C5B5" w14:textId="77777777" w:rsidR="00790817" w:rsidRPr="002922BC" w:rsidRDefault="00790817" w:rsidP="00497000">
      <w:pPr>
        <w:ind w:left="851"/>
        <w:rPr>
          <w:sz w:val="24"/>
          <w:szCs w:val="24"/>
          <w:lang w:val="en-US"/>
        </w:rPr>
      </w:pPr>
      <w:r w:rsidRPr="002922BC">
        <w:rPr>
          <w:sz w:val="24"/>
          <w:szCs w:val="24"/>
          <w:lang w:val="en-US"/>
        </w:rPr>
        <w:t>The median duration of treatment was 4.4 months in the cabozantinib arm and 2.3 months in the placebo arm.</w:t>
      </w:r>
    </w:p>
    <w:p w14:paraId="0D44A2B9" w14:textId="77777777" w:rsidR="00790817" w:rsidRPr="002922BC" w:rsidRDefault="00790817" w:rsidP="00497000">
      <w:pPr>
        <w:ind w:left="851"/>
        <w:rPr>
          <w:sz w:val="24"/>
          <w:szCs w:val="24"/>
          <w:lang w:val="en-US"/>
        </w:rPr>
      </w:pPr>
    </w:p>
    <w:p w14:paraId="1D235140" w14:textId="77777777" w:rsidR="00790817" w:rsidRPr="002922BC" w:rsidRDefault="00790817" w:rsidP="00497000">
      <w:pPr>
        <w:ind w:left="851"/>
        <w:rPr>
          <w:sz w:val="24"/>
          <w:szCs w:val="24"/>
          <w:lang w:val="en-US"/>
        </w:rPr>
      </w:pPr>
      <w:r w:rsidRPr="002922BC">
        <w:rPr>
          <w:sz w:val="24"/>
          <w:szCs w:val="24"/>
          <w:lang w:val="en-US"/>
        </w:rPr>
        <w:t xml:space="preserve">The results of the primary analysis (with a cut-off date of 19 August 2020 and median follow up 6.2 months for the PFS), and the updated analysis (with a cut-off date of 08 February 2021 and median follow-up 10.1 months for the PFS) are presented in Table 9. The trial did not demonstrate a statistically significant improvement in ORR for patients </w:t>
      </w:r>
      <w:r w:rsidRPr="002922BC">
        <w:rPr>
          <w:sz w:val="24"/>
          <w:szCs w:val="24"/>
          <w:lang w:val="en-US"/>
        </w:rPr>
        <w:lastRenderedPageBreak/>
        <w:t>randomised to cabozantinib (n=67) compared with placebo (n=33): 15% vs. 0%. The trial demonstrated a statistically significant improvement in PFS (median follow up 6.2 months) for patients randomised to cabozantinib (n=125) compared with placebo (n=62).</w:t>
      </w:r>
    </w:p>
    <w:p w14:paraId="6EF0C702" w14:textId="77777777" w:rsidR="00790817" w:rsidRPr="002922BC" w:rsidRDefault="00790817" w:rsidP="00497000">
      <w:pPr>
        <w:ind w:left="851"/>
        <w:rPr>
          <w:sz w:val="24"/>
          <w:szCs w:val="24"/>
          <w:lang w:val="en-US"/>
        </w:rPr>
      </w:pPr>
      <w:r w:rsidRPr="002922BC">
        <w:rPr>
          <w:sz w:val="24"/>
          <w:szCs w:val="24"/>
          <w:lang w:val="en-US"/>
        </w:rPr>
        <w:t>An updated analysis of PFS and OS (median follow up 10.1 months) was performed including 258 randomised patients, 170 to cabozantinib and 88 to placebo.</w:t>
      </w:r>
    </w:p>
    <w:p w14:paraId="260F91DD" w14:textId="77777777" w:rsidR="00790817" w:rsidRPr="002922BC" w:rsidRDefault="00790817" w:rsidP="00497000">
      <w:pPr>
        <w:ind w:left="851"/>
        <w:rPr>
          <w:sz w:val="24"/>
          <w:szCs w:val="24"/>
          <w:lang w:val="en-US"/>
        </w:rPr>
      </w:pPr>
      <w:r w:rsidRPr="002922BC">
        <w:rPr>
          <w:sz w:val="24"/>
          <w:szCs w:val="24"/>
          <w:lang w:val="en-US"/>
        </w:rPr>
        <w:t>The overall survival analysis was confounded as placebo-treated subjects with confirmed disease progression had the option to cross over to cabozantinib.</w:t>
      </w:r>
    </w:p>
    <w:p w14:paraId="3E5B81C2" w14:textId="77777777" w:rsidR="00790817" w:rsidRPr="002922BC" w:rsidRDefault="00790817" w:rsidP="00497000">
      <w:pPr>
        <w:ind w:left="851"/>
        <w:rPr>
          <w:sz w:val="24"/>
          <w:szCs w:val="24"/>
          <w:lang w:val="en-US"/>
        </w:rPr>
      </w:pPr>
    </w:p>
    <w:p w14:paraId="578DCB56" w14:textId="77777777" w:rsidR="00790817" w:rsidRPr="004928A7" w:rsidRDefault="00790817" w:rsidP="004928A7">
      <w:pPr>
        <w:rPr>
          <w:b/>
          <w:sz w:val="24"/>
          <w:szCs w:val="24"/>
          <w:lang w:val="en-GB"/>
        </w:rPr>
      </w:pPr>
      <w:r w:rsidRPr="004928A7">
        <w:rPr>
          <w:b/>
          <w:sz w:val="24"/>
          <w:szCs w:val="24"/>
          <w:lang w:val="en-GB"/>
        </w:rPr>
        <w:t>Table 9: Efficacy Results from COSMIC-311</w:t>
      </w:r>
    </w:p>
    <w:p w14:paraId="75BE969A" w14:textId="77777777" w:rsidR="00790817" w:rsidRPr="00497000" w:rsidRDefault="00790817" w:rsidP="00790817">
      <w:pPr>
        <w:rPr>
          <w:sz w:val="24"/>
          <w:szCs w:val="24"/>
          <w:lang w:val="en-GB"/>
        </w:rPr>
      </w:pPr>
    </w:p>
    <w:tbl>
      <w:tblPr>
        <w:tblW w:w="5000" w:type="pct"/>
        <w:tblCellMar>
          <w:left w:w="0" w:type="dxa"/>
          <w:right w:w="0" w:type="dxa"/>
        </w:tblCellMar>
        <w:tblLook w:val="04A0" w:firstRow="1" w:lastRow="0" w:firstColumn="1" w:lastColumn="0" w:noHBand="0" w:noVBand="1"/>
      </w:tblPr>
      <w:tblGrid>
        <w:gridCol w:w="3042"/>
        <w:gridCol w:w="1714"/>
        <w:gridCol w:w="1616"/>
        <w:gridCol w:w="1664"/>
        <w:gridCol w:w="1592"/>
      </w:tblGrid>
      <w:tr w:rsidR="00790817" w:rsidRPr="00497000" w14:paraId="144DDF78" w14:textId="77777777" w:rsidTr="00497000">
        <w:trPr>
          <w:trHeight w:val="253"/>
        </w:trPr>
        <w:tc>
          <w:tcPr>
            <w:tcW w:w="1580" w:type="pct"/>
            <w:tcBorders>
              <w:top w:val="single" w:sz="4" w:space="0" w:color="000000"/>
              <w:left w:val="single" w:sz="4" w:space="0" w:color="000000"/>
              <w:bottom w:val="single" w:sz="4" w:space="0" w:color="000000"/>
              <w:right w:val="single" w:sz="4" w:space="0" w:color="000000"/>
            </w:tcBorders>
          </w:tcPr>
          <w:p w14:paraId="2BA49585" w14:textId="77777777" w:rsidR="00790817" w:rsidRPr="002922BC" w:rsidRDefault="00790817" w:rsidP="004928A7">
            <w:pPr>
              <w:jc w:val="center"/>
              <w:rPr>
                <w:lang w:val="en-US"/>
              </w:rPr>
            </w:pPr>
          </w:p>
        </w:tc>
        <w:tc>
          <w:tcPr>
            <w:tcW w:w="1729" w:type="pct"/>
            <w:gridSpan w:val="2"/>
            <w:tcBorders>
              <w:top w:val="single" w:sz="4" w:space="0" w:color="000000"/>
              <w:left w:val="single" w:sz="4" w:space="0" w:color="000000"/>
              <w:bottom w:val="single" w:sz="4" w:space="0" w:color="000000"/>
              <w:right w:val="single" w:sz="4" w:space="0" w:color="000000"/>
            </w:tcBorders>
            <w:hideMark/>
          </w:tcPr>
          <w:p w14:paraId="6408E7A8" w14:textId="77777777" w:rsidR="00790817" w:rsidRPr="00497000" w:rsidRDefault="00790817" w:rsidP="004928A7">
            <w:pPr>
              <w:jc w:val="center"/>
              <w:rPr>
                <w:b/>
                <w:bCs/>
              </w:rPr>
            </w:pPr>
            <w:r w:rsidRPr="00497000">
              <w:rPr>
                <w:b/>
                <w:bCs/>
              </w:rPr>
              <w:t>Primary Analysis</w:t>
            </w:r>
            <w:r w:rsidRPr="004928A7">
              <w:rPr>
                <w:vertAlign w:val="superscript"/>
              </w:rPr>
              <w:t xml:space="preserve">1 </w:t>
            </w:r>
            <w:r w:rsidRPr="00497000">
              <w:rPr>
                <w:b/>
                <w:bCs/>
              </w:rPr>
              <w:t>(ITT)</w:t>
            </w:r>
          </w:p>
        </w:tc>
        <w:tc>
          <w:tcPr>
            <w:tcW w:w="1691" w:type="pct"/>
            <w:gridSpan w:val="2"/>
            <w:tcBorders>
              <w:top w:val="single" w:sz="4" w:space="0" w:color="000000"/>
              <w:left w:val="single" w:sz="4" w:space="0" w:color="000000"/>
              <w:bottom w:val="single" w:sz="4" w:space="0" w:color="000000"/>
              <w:right w:val="single" w:sz="4" w:space="0" w:color="000000"/>
            </w:tcBorders>
            <w:hideMark/>
          </w:tcPr>
          <w:p w14:paraId="44ABF7CA" w14:textId="77777777" w:rsidR="00790817" w:rsidRPr="00497000" w:rsidRDefault="00790817" w:rsidP="004928A7">
            <w:pPr>
              <w:jc w:val="center"/>
              <w:rPr>
                <w:b/>
                <w:bCs/>
              </w:rPr>
            </w:pPr>
            <w:r w:rsidRPr="00497000">
              <w:rPr>
                <w:b/>
                <w:bCs/>
              </w:rPr>
              <w:t>Updated Analysis</w:t>
            </w:r>
            <w:r w:rsidRPr="004928A7">
              <w:rPr>
                <w:vertAlign w:val="superscript"/>
              </w:rPr>
              <w:t xml:space="preserve">2 </w:t>
            </w:r>
            <w:r w:rsidRPr="00497000">
              <w:rPr>
                <w:b/>
                <w:bCs/>
              </w:rPr>
              <w:t>(Full ITT)</w:t>
            </w:r>
          </w:p>
        </w:tc>
      </w:tr>
      <w:tr w:rsidR="00790817" w:rsidRPr="00497000" w14:paraId="62A17B27" w14:textId="77777777" w:rsidTr="00497000">
        <w:trPr>
          <w:trHeight w:val="506"/>
        </w:trPr>
        <w:tc>
          <w:tcPr>
            <w:tcW w:w="1580" w:type="pct"/>
            <w:tcBorders>
              <w:top w:val="single" w:sz="4" w:space="0" w:color="000000"/>
              <w:left w:val="single" w:sz="4" w:space="0" w:color="000000"/>
              <w:bottom w:val="single" w:sz="4" w:space="0" w:color="000000"/>
              <w:right w:val="single" w:sz="4" w:space="0" w:color="000000"/>
            </w:tcBorders>
          </w:tcPr>
          <w:p w14:paraId="0A82C554" w14:textId="77777777" w:rsidR="00790817" w:rsidRPr="00497000" w:rsidRDefault="00790817" w:rsidP="004928A7">
            <w:pPr>
              <w:jc w:val="center"/>
            </w:pPr>
          </w:p>
        </w:tc>
        <w:tc>
          <w:tcPr>
            <w:tcW w:w="890" w:type="pct"/>
            <w:tcBorders>
              <w:top w:val="single" w:sz="4" w:space="0" w:color="000000"/>
              <w:left w:val="single" w:sz="4" w:space="0" w:color="000000"/>
              <w:bottom w:val="single" w:sz="4" w:space="0" w:color="000000"/>
              <w:right w:val="single" w:sz="4" w:space="0" w:color="000000"/>
            </w:tcBorders>
            <w:hideMark/>
          </w:tcPr>
          <w:p w14:paraId="55D8ECF9" w14:textId="5E67E7F4" w:rsidR="00790817" w:rsidRPr="00497000" w:rsidRDefault="00790817" w:rsidP="004928A7">
            <w:pPr>
              <w:jc w:val="center"/>
              <w:rPr>
                <w:b/>
                <w:bCs/>
              </w:rPr>
            </w:pPr>
            <w:r w:rsidRPr="00497000">
              <w:rPr>
                <w:b/>
              </w:rPr>
              <w:t>Cabozantinib</w:t>
            </w:r>
          </w:p>
          <w:p w14:paraId="7E07F4E7" w14:textId="77777777" w:rsidR="00790817" w:rsidRPr="00497000" w:rsidRDefault="00790817" w:rsidP="004928A7">
            <w:pPr>
              <w:jc w:val="center"/>
              <w:rPr>
                <w:b/>
                <w:bCs/>
              </w:rPr>
            </w:pPr>
            <w:r w:rsidRPr="00497000">
              <w:rPr>
                <w:b/>
                <w:bCs/>
              </w:rPr>
              <w:t>(n=125)</w:t>
            </w:r>
          </w:p>
        </w:tc>
        <w:tc>
          <w:tcPr>
            <w:tcW w:w="839" w:type="pct"/>
            <w:tcBorders>
              <w:top w:val="single" w:sz="4" w:space="0" w:color="000000"/>
              <w:left w:val="single" w:sz="4" w:space="0" w:color="000000"/>
              <w:bottom w:val="single" w:sz="4" w:space="0" w:color="000000"/>
              <w:right w:val="single" w:sz="4" w:space="0" w:color="000000"/>
            </w:tcBorders>
            <w:hideMark/>
          </w:tcPr>
          <w:p w14:paraId="124B4A11" w14:textId="533A5DCC" w:rsidR="00790817" w:rsidRPr="00497000" w:rsidRDefault="00790817" w:rsidP="004928A7">
            <w:pPr>
              <w:jc w:val="center"/>
              <w:rPr>
                <w:b/>
                <w:bCs/>
              </w:rPr>
            </w:pPr>
            <w:r w:rsidRPr="00497000">
              <w:rPr>
                <w:b/>
                <w:bCs/>
              </w:rPr>
              <w:t>Placebo</w:t>
            </w:r>
          </w:p>
          <w:p w14:paraId="6D65234C" w14:textId="77777777" w:rsidR="00790817" w:rsidRPr="00497000" w:rsidRDefault="00790817" w:rsidP="004928A7">
            <w:pPr>
              <w:jc w:val="center"/>
              <w:rPr>
                <w:b/>
                <w:bCs/>
              </w:rPr>
            </w:pPr>
            <w:r w:rsidRPr="00497000">
              <w:rPr>
                <w:b/>
                <w:bCs/>
              </w:rPr>
              <w:t>(n=62)</w:t>
            </w:r>
          </w:p>
        </w:tc>
        <w:tc>
          <w:tcPr>
            <w:tcW w:w="864" w:type="pct"/>
            <w:tcBorders>
              <w:top w:val="single" w:sz="4" w:space="0" w:color="000000"/>
              <w:left w:val="single" w:sz="4" w:space="0" w:color="000000"/>
              <w:bottom w:val="single" w:sz="4" w:space="0" w:color="000000"/>
              <w:right w:val="single" w:sz="4" w:space="0" w:color="000000"/>
            </w:tcBorders>
            <w:hideMark/>
          </w:tcPr>
          <w:p w14:paraId="5C08127E" w14:textId="736CE071" w:rsidR="00790817" w:rsidRPr="00497000" w:rsidRDefault="00790817" w:rsidP="004928A7">
            <w:pPr>
              <w:jc w:val="center"/>
              <w:rPr>
                <w:b/>
                <w:bCs/>
              </w:rPr>
            </w:pPr>
            <w:r w:rsidRPr="00497000">
              <w:rPr>
                <w:b/>
              </w:rPr>
              <w:t>Cabozantinib</w:t>
            </w:r>
            <w:r w:rsidRPr="00497000">
              <w:rPr>
                <w:b/>
                <w:bCs/>
              </w:rPr>
              <w:t xml:space="preserve"> (n=170)</w:t>
            </w:r>
          </w:p>
        </w:tc>
        <w:tc>
          <w:tcPr>
            <w:tcW w:w="827" w:type="pct"/>
            <w:tcBorders>
              <w:top w:val="single" w:sz="4" w:space="0" w:color="000000"/>
              <w:left w:val="single" w:sz="4" w:space="0" w:color="000000"/>
              <w:bottom w:val="single" w:sz="4" w:space="0" w:color="000000"/>
              <w:right w:val="single" w:sz="4" w:space="0" w:color="000000"/>
            </w:tcBorders>
            <w:hideMark/>
          </w:tcPr>
          <w:p w14:paraId="3CBA5D97" w14:textId="77777777" w:rsidR="00790817" w:rsidRPr="00497000" w:rsidRDefault="00790817" w:rsidP="004928A7">
            <w:pPr>
              <w:jc w:val="center"/>
              <w:rPr>
                <w:b/>
                <w:bCs/>
              </w:rPr>
            </w:pPr>
            <w:r w:rsidRPr="00497000">
              <w:rPr>
                <w:b/>
                <w:bCs/>
              </w:rPr>
              <w:t>Placebo</w:t>
            </w:r>
          </w:p>
          <w:p w14:paraId="54A54052" w14:textId="77777777" w:rsidR="00790817" w:rsidRPr="00497000" w:rsidRDefault="00790817" w:rsidP="004928A7">
            <w:pPr>
              <w:jc w:val="center"/>
              <w:rPr>
                <w:b/>
                <w:bCs/>
              </w:rPr>
            </w:pPr>
            <w:r w:rsidRPr="00497000">
              <w:rPr>
                <w:b/>
                <w:bCs/>
              </w:rPr>
              <w:t>(n=88)</w:t>
            </w:r>
          </w:p>
        </w:tc>
      </w:tr>
      <w:tr w:rsidR="00790817" w:rsidRPr="00497000" w14:paraId="74A14377" w14:textId="77777777" w:rsidTr="00497000">
        <w:trPr>
          <w:trHeight w:val="505"/>
        </w:trPr>
        <w:tc>
          <w:tcPr>
            <w:tcW w:w="1580" w:type="pct"/>
            <w:tcBorders>
              <w:top w:val="single" w:sz="4" w:space="0" w:color="000000"/>
              <w:left w:val="single" w:sz="4" w:space="0" w:color="000000"/>
              <w:bottom w:val="single" w:sz="4" w:space="0" w:color="000000"/>
              <w:right w:val="single" w:sz="4" w:space="0" w:color="000000"/>
            </w:tcBorders>
            <w:hideMark/>
          </w:tcPr>
          <w:p w14:paraId="67FE808D" w14:textId="77777777" w:rsidR="00790817" w:rsidRPr="00497000" w:rsidRDefault="00790817" w:rsidP="004928A7">
            <w:pPr>
              <w:rPr>
                <w:b/>
                <w:bCs/>
              </w:rPr>
            </w:pPr>
            <w:r w:rsidRPr="00497000">
              <w:rPr>
                <w:b/>
                <w:bCs/>
              </w:rPr>
              <w:t>Progression-Free Survival*</w:t>
            </w:r>
          </w:p>
        </w:tc>
        <w:tc>
          <w:tcPr>
            <w:tcW w:w="890" w:type="pct"/>
            <w:tcBorders>
              <w:top w:val="single" w:sz="4" w:space="0" w:color="000000"/>
              <w:left w:val="single" w:sz="4" w:space="0" w:color="000000"/>
              <w:bottom w:val="single" w:sz="4" w:space="0" w:color="000000"/>
              <w:right w:val="single" w:sz="4" w:space="0" w:color="000000"/>
            </w:tcBorders>
          </w:tcPr>
          <w:p w14:paraId="299684F4" w14:textId="77777777" w:rsidR="00790817" w:rsidRPr="00497000" w:rsidRDefault="00790817" w:rsidP="004928A7"/>
        </w:tc>
        <w:tc>
          <w:tcPr>
            <w:tcW w:w="839" w:type="pct"/>
            <w:tcBorders>
              <w:top w:val="single" w:sz="4" w:space="0" w:color="000000"/>
              <w:left w:val="single" w:sz="4" w:space="0" w:color="000000"/>
              <w:bottom w:val="single" w:sz="4" w:space="0" w:color="000000"/>
              <w:right w:val="single" w:sz="4" w:space="0" w:color="000000"/>
            </w:tcBorders>
          </w:tcPr>
          <w:p w14:paraId="0E77556B" w14:textId="77777777" w:rsidR="00790817" w:rsidRPr="00497000" w:rsidRDefault="00790817" w:rsidP="004928A7"/>
        </w:tc>
        <w:tc>
          <w:tcPr>
            <w:tcW w:w="864" w:type="pct"/>
            <w:tcBorders>
              <w:top w:val="single" w:sz="4" w:space="0" w:color="000000"/>
              <w:left w:val="single" w:sz="4" w:space="0" w:color="000000"/>
              <w:bottom w:val="single" w:sz="4" w:space="0" w:color="000000"/>
              <w:right w:val="single" w:sz="4" w:space="0" w:color="000000"/>
            </w:tcBorders>
          </w:tcPr>
          <w:p w14:paraId="13149602" w14:textId="77777777" w:rsidR="00790817" w:rsidRPr="00497000" w:rsidRDefault="00790817" w:rsidP="004928A7"/>
        </w:tc>
        <w:tc>
          <w:tcPr>
            <w:tcW w:w="827" w:type="pct"/>
            <w:tcBorders>
              <w:top w:val="single" w:sz="4" w:space="0" w:color="000000"/>
              <w:left w:val="single" w:sz="4" w:space="0" w:color="000000"/>
              <w:bottom w:val="single" w:sz="4" w:space="0" w:color="000000"/>
              <w:right w:val="single" w:sz="4" w:space="0" w:color="000000"/>
            </w:tcBorders>
          </w:tcPr>
          <w:p w14:paraId="17CB7DAE" w14:textId="77777777" w:rsidR="00790817" w:rsidRPr="00497000" w:rsidRDefault="00790817" w:rsidP="004928A7"/>
        </w:tc>
      </w:tr>
      <w:tr w:rsidR="00790817" w:rsidRPr="00497000" w14:paraId="076A67D2" w14:textId="77777777" w:rsidTr="00497000">
        <w:trPr>
          <w:trHeight w:val="251"/>
        </w:trPr>
        <w:tc>
          <w:tcPr>
            <w:tcW w:w="1580" w:type="pct"/>
            <w:tcBorders>
              <w:top w:val="single" w:sz="4" w:space="0" w:color="000000"/>
              <w:left w:val="single" w:sz="4" w:space="0" w:color="000000"/>
              <w:bottom w:val="single" w:sz="4" w:space="0" w:color="000000"/>
              <w:right w:val="single" w:sz="4" w:space="0" w:color="000000"/>
            </w:tcBorders>
            <w:hideMark/>
          </w:tcPr>
          <w:p w14:paraId="69A62277" w14:textId="77777777" w:rsidR="00790817" w:rsidRPr="00497000" w:rsidRDefault="00790817" w:rsidP="004928A7">
            <w:r w:rsidRPr="00497000">
              <w:t>Number of Events, (%)</w:t>
            </w:r>
          </w:p>
        </w:tc>
        <w:tc>
          <w:tcPr>
            <w:tcW w:w="890" w:type="pct"/>
            <w:tcBorders>
              <w:top w:val="single" w:sz="4" w:space="0" w:color="000000"/>
              <w:left w:val="single" w:sz="4" w:space="0" w:color="000000"/>
              <w:bottom w:val="single" w:sz="4" w:space="0" w:color="000000"/>
              <w:right w:val="single" w:sz="4" w:space="0" w:color="000000"/>
            </w:tcBorders>
            <w:hideMark/>
          </w:tcPr>
          <w:p w14:paraId="25852159" w14:textId="77777777" w:rsidR="00790817" w:rsidRPr="00497000" w:rsidRDefault="00790817" w:rsidP="004928A7">
            <w:pPr>
              <w:jc w:val="center"/>
            </w:pPr>
            <w:r w:rsidRPr="00497000">
              <w:t>31 (25)</w:t>
            </w:r>
          </w:p>
        </w:tc>
        <w:tc>
          <w:tcPr>
            <w:tcW w:w="839" w:type="pct"/>
            <w:tcBorders>
              <w:top w:val="single" w:sz="4" w:space="0" w:color="000000"/>
              <w:left w:val="single" w:sz="4" w:space="0" w:color="000000"/>
              <w:bottom w:val="single" w:sz="4" w:space="0" w:color="000000"/>
              <w:right w:val="single" w:sz="4" w:space="0" w:color="000000"/>
            </w:tcBorders>
            <w:hideMark/>
          </w:tcPr>
          <w:p w14:paraId="7F5D1F4E" w14:textId="77777777" w:rsidR="00790817" w:rsidRPr="00497000" w:rsidRDefault="00790817" w:rsidP="004928A7">
            <w:pPr>
              <w:jc w:val="center"/>
            </w:pPr>
            <w:r w:rsidRPr="00497000">
              <w:t>43 (69)</w:t>
            </w:r>
          </w:p>
        </w:tc>
        <w:tc>
          <w:tcPr>
            <w:tcW w:w="864" w:type="pct"/>
            <w:tcBorders>
              <w:top w:val="single" w:sz="4" w:space="0" w:color="000000"/>
              <w:left w:val="single" w:sz="4" w:space="0" w:color="000000"/>
              <w:bottom w:val="single" w:sz="4" w:space="0" w:color="000000"/>
              <w:right w:val="single" w:sz="4" w:space="0" w:color="000000"/>
            </w:tcBorders>
            <w:hideMark/>
          </w:tcPr>
          <w:p w14:paraId="3286FA95" w14:textId="77777777" w:rsidR="00790817" w:rsidRPr="00497000" w:rsidRDefault="00790817" w:rsidP="004928A7">
            <w:pPr>
              <w:jc w:val="center"/>
            </w:pPr>
            <w:r w:rsidRPr="00497000">
              <w:t>62 (36)</w:t>
            </w:r>
          </w:p>
        </w:tc>
        <w:tc>
          <w:tcPr>
            <w:tcW w:w="827" w:type="pct"/>
            <w:tcBorders>
              <w:top w:val="single" w:sz="4" w:space="0" w:color="000000"/>
              <w:left w:val="single" w:sz="4" w:space="0" w:color="000000"/>
              <w:bottom w:val="single" w:sz="4" w:space="0" w:color="000000"/>
              <w:right w:val="single" w:sz="4" w:space="0" w:color="000000"/>
            </w:tcBorders>
            <w:hideMark/>
          </w:tcPr>
          <w:p w14:paraId="7F47FAB8" w14:textId="77777777" w:rsidR="00790817" w:rsidRPr="00497000" w:rsidRDefault="00790817" w:rsidP="004928A7">
            <w:pPr>
              <w:jc w:val="center"/>
            </w:pPr>
            <w:r w:rsidRPr="00497000">
              <w:t>69 (78)</w:t>
            </w:r>
          </w:p>
        </w:tc>
      </w:tr>
      <w:tr w:rsidR="00790817" w:rsidRPr="00497000" w14:paraId="308C6C22" w14:textId="77777777" w:rsidTr="00497000">
        <w:trPr>
          <w:trHeight w:val="253"/>
        </w:trPr>
        <w:tc>
          <w:tcPr>
            <w:tcW w:w="1580" w:type="pct"/>
            <w:tcBorders>
              <w:top w:val="single" w:sz="4" w:space="0" w:color="000000"/>
              <w:left w:val="single" w:sz="4" w:space="0" w:color="000000"/>
              <w:bottom w:val="single" w:sz="4" w:space="0" w:color="000000"/>
              <w:right w:val="single" w:sz="4" w:space="0" w:color="000000"/>
            </w:tcBorders>
            <w:hideMark/>
          </w:tcPr>
          <w:p w14:paraId="181DAA40" w14:textId="77777777" w:rsidR="00790817" w:rsidRPr="00497000" w:rsidRDefault="00790817" w:rsidP="004928A7">
            <w:pPr>
              <w:ind w:left="416"/>
            </w:pPr>
            <w:r w:rsidRPr="00497000">
              <w:t>Progressive Disease</w:t>
            </w:r>
          </w:p>
        </w:tc>
        <w:tc>
          <w:tcPr>
            <w:tcW w:w="890" w:type="pct"/>
            <w:tcBorders>
              <w:top w:val="single" w:sz="4" w:space="0" w:color="000000"/>
              <w:left w:val="single" w:sz="4" w:space="0" w:color="000000"/>
              <w:bottom w:val="single" w:sz="4" w:space="0" w:color="000000"/>
              <w:right w:val="single" w:sz="4" w:space="0" w:color="000000"/>
            </w:tcBorders>
            <w:hideMark/>
          </w:tcPr>
          <w:p w14:paraId="45190D40" w14:textId="77777777" w:rsidR="00790817" w:rsidRPr="00497000" w:rsidRDefault="00790817" w:rsidP="004928A7">
            <w:pPr>
              <w:jc w:val="center"/>
            </w:pPr>
            <w:r w:rsidRPr="00497000">
              <w:t>25 (20)</w:t>
            </w:r>
          </w:p>
        </w:tc>
        <w:tc>
          <w:tcPr>
            <w:tcW w:w="839" w:type="pct"/>
            <w:tcBorders>
              <w:top w:val="single" w:sz="4" w:space="0" w:color="000000"/>
              <w:left w:val="single" w:sz="4" w:space="0" w:color="000000"/>
              <w:bottom w:val="single" w:sz="4" w:space="0" w:color="000000"/>
              <w:right w:val="single" w:sz="4" w:space="0" w:color="000000"/>
            </w:tcBorders>
            <w:hideMark/>
          </w:tcPr>
          <w:p w14:paraId="6D1E2C56" w14:textId="77777777" w:rsidR="00790817" w:rsidRPr="00497000" w:rsidRDefault="00790817" w:rsidP="004928A7">
            <w:pPr>
              <w:jc w:val="center"/>
            </w:pPr>
            <w:r w:rsidRPr="00497000">
              <w:t>41 (66)</w:t>
            </w:r>
          </w:p>
        </w:tc>
        <w:tc>
          <w:tcPr>
            <w:tcW w:w="864" w:type="pct"/>
            <w:tcBorders>
              <w:top w:val="single" w:sz="4" w:space="0" w:color="000000"/>
              <w:left w:val="single" w:sz="4" w:space="0" w:color="000000"/>
              <w:bottom w:val="single" w:sz="4" w:space="0" w:color="000000"/>
              <w:right w:val="single" w:sz="4" w:space="0" w:color="000000"/>
            </w:tcBorders>
            <w:hideMark/>
          </w:tcPr>
          <w:p w14:paraId="3997C226" w14:textId="77777777" w:rsidR="00790817" w:rsidRPr="00497000" w:rsidRDefault="00790817" w:rsidP="004928A7">
            <w:pPr>
              <w:jc w:val="center"/>
            </w:pPr>
            <w:r w:rsidRPr="00497000">
              <w:t>50 (29)</w:t>
            </w:r>
          </w:p>
        </w:tc>
        <w:tc>
          <w:tcPr>
            <w:tcW w:w="827" w:type="pct"/>
            <w:tcBorders>
              <w:top w:val="single" w:sz="4" w:space="0" w:color="000000"/>
              <w:left w:val="single" w:sz="4" w:space="0" w:color="000000"/>
              <w:bottom w:val="single" w:sz="4" w:space="0" w:color="000000"/>
              <w:right w:val="single" w:sz="4" w:space="0" w:color="000000"/>
            </w:tcBorders>
            <w:hideMark/>
          </w:tcPr>
          <w:p w14:paraId="0DFFFCA8" w14:textId="77777777" w:rsidR="00790817" w:rsidRPr="00497000" w:rsidRDefault="00790817" w:rsidP="004928A7">
            <w:pPr>
              <w:jc w:val="center"/>
            </w:pPr>
            <w:r w:rsidRPr="00497000">
              <w:t>65 (74)</w:t>
            </w:r>
          </w:p>
        </w:tc>
      </w:tr>
      <w:tr w:rsidR="00790817" w:rsidRPr="00497000" w14:paraId="001EC9EF" w14:textId="77777777" w:rsidTr="00497000">
        <w:trPr>
          <w:trHeight w:val="251"/>
        </w:trPr>
        <w:tc>
          <w:tcPr>
            <w:tcW w:w="1580" w:type="pct"/>
            <w:tcBorders>
              <w:top w:val="single" w:sz="4" w:space="0" w:color="000000"/>
              <w:left w:val="single" w:sz="4" w:space="0" w:color="000000"/>
              <w:bottom w:val="single" w:sz="4" w:space="0" w:color="000000"/>
              <w:right w:val="single" w:sz="4" w:space="0" w:color="000000"/>
            </w:tcBorders>
            <w:hideMark/>
          </w:tcPr>
          <w:p w14:paraId="161D298C" w14:textId="77777777" w:rsidR="00790817" w:rsidRPr="00497000" w:rsidRDefault="00790817" w:rsidP="004928A7">
            <w:pPr>
              <w:ind w:left="416"/>
            </w:pPr>
            <w:r w:rsidRPr="00497000">
              <w:t>Death</w:t>
            </w:r>
          </w:p>
        </w:tc>
        <w:tc>
          <w:tcPr>
            <w:tcW w:w="890" w:type="pct"/>
            <w:tcBorders>
              <w:top w:val="single" w:sz="4" w:space="0" w:color="000000"/>
              <w:left w:val="single" w:sz="4" w:space="0" w:color="000000"/>
              <w:bottom w:val="single" w:sz="4" w:space="0" w:color="000000"/>
              <w:right w:val="single" w:sz="4" w:space="0" w:color="000000"/>
            </w:tcBorders>
            <w:hideMark/>
          </w:tcPr>
          <w:p w14:paraId="77CFA77D" w14:textId="77777777" w:rsidR="00790817" w:rsidRPr="00497000" w:rsidRDefault="00790817" w:rsidP="004928A7">
            <w:pPr>
              <w:jc w:val="center"/>
            </w:pPr>
            <w:r w:rsidRPr="00497000">
              <w:t>6 (4.8)</w:t>
            </w:r>
          </w:p>
        </w:tc>
        <w:tc>
          <w:tcPr>
            <w:tcW w:w="839" w:type="pct"/>
            <w:tcBorders>
              <w:top w:val="single" w:sz="4" w:space="0" w:color="000000"/>
              <w:left w:val="single" w:sz="4" w:space="0" w:color="000000"/>
              <w:bottom w:val="single" w:sz="4" w:space="0" w:color="000000"/>
              <w:right w:val="single" w:sz="4" w:space="0" w:color="000000"/>
            </w:tcBorders>
            <w:hideMark/>
          </w:tcPr>
          <w:p w14:paraId="7459591F" w14:textId="77777777" w:rsidR="00790817" w:rsidRPr="00497000" w:rsidRDefault="00790817" w:rsidP="004928A7">
            <w:pPr>
              <w:jc w:val="center"/>
            </w:pPr>
            <w:r w:rsidRPr="00497000">
              <w:t>2 (3.2)</w:t>
            </w:r>
          </w:p>
        </w:tc>
        <w:tc>
          <w:tcPr>
            <w:tcW w:w="864" w:type="pct"/>
            <w:tcBorders>
              <w:top w:val="single" w:sz="4" w:space="0" w:color="000000"/>
              <w:left w:val="single" w:sz="4" w:space="0" w:color="000000"/>
              <w:bottom w:val="single" w:sz="4" w:space="0" w:color="000000"/>
              <w:right w:val="single" w:sz="4" w:space="0" w:color="000000"/>
            </w:tcBorders>
            <w:hideMark/>
          </w:tcPr>
          <w:p w14:paraId="22BCFE10" w14:textId="77777777" w:rsidR="00790817" w:rsidRPr="00497000" w:rsidRDefault="00790817" w:rsidP="004928A7">
            <w:pPr>
              <w:jc w:val="center"/>
            </w:pPr>
            <w:r w:rsidRPr="00497000">
              <w:t>12 (7.1)</w:t>
            </w:r>
          </w:p>
        </w:tc>
        <w:tc>
          <w:tcPr>
            <w:tcW w:w="827" w:type="pct"/>
            <w:tcBorders>
              <w:top w:val="single" w:sz="4" w:space="0" w:color="000000"/>
              <w:left w:val="single" w:sz="4" w:space="0" w:color="000000"/>
              <w:bottom w:val="single" w:sz="4" w:space="0" w:color="000000"/>
              <w:right w:val="single" w:sz="4" w:space="0" w:color="000000"/>
            </w:tcBorders>
            <w:hideMark/>
          </w:tcPr>
          <w:p w14:paraId="476B72C5" w14:textId="77777777" w:rsidR="00790817" w:rsidRPr="00497000" w:rsidRDefault="00790817" w:rsidP="004928A7">
            <w:pPr>
              <w:jc w:val="center"/>
            </w:pPr>
            <w:r w:rsidRPr="00497000">
              <w:t>4 (4.5)</w:t>
            </w:r>
          </w:p>
        </w:tc>
      </w:tr>
      <w:tr w:rsidR="00790817" w:rsidRPr="00497000" w14:paraId="7A950574" w14:textId="77777777" w:rsidTr="00497000">
        <w:trPr>
          <w:trHeight w:val="505"/>
        </w:trPr>
        <w:tc>
          <w:tcPr>
            <w:tcW w:w="1580" w:type="pct"/>
            <w:tcBorders>
              <w:top w:val="single" w:sz="4" w:space="0" w:color="000000"/>
              <w:left w:val="single" w:sz="4" w:space="0" w:color="000000"/>
              <w:bottom w:val="single" w:sz="4" w:space="0" w:color="000000"/>
              <w:right w:val="single" w:sz="4" w:space="0" w:color="000000"/>
            </w:tcBorders>
            <w:hideMark/>
          </w:tcPr>
          <w:p w14:paraId="38358B8C" w14:textId="77777777" w:rsidR="00790817" w:rsidRPr="002922BC" w:rsidRDefault="00790817" w:rsidP="004928A7">
            <w:pPr>
              <w:rPr>
                <w:lang w:val="en-US"/>
              </w:rPr>
            </w:pPr>
            <w:r w:rsidRPr="002922BC">
              <w:rPr>
                <w:lang w:val="en-US"/>
              </w:rPr>
              <w:t>Median PFS in Months (96% CI)</w:t>
            </w:r>
          </w:p>
        </w:tc>
        <w:tc>
          <w:tcPr>
            <w:tcW w:w="890" w:type="pct"/>
            <w:tcBorders>
              <w:top w:val="single" w:sz="4" w:space="0" w:color="000000"/>
              <w:left w:val="single" w:sz="4" w:space="0" w:color="000000"/>
              <w:bottom w:val="single" w:sz="4" w:space="0" w:color="000000"/>
              <w:right w:val="single" w:sz="4" w:space="0" w:color="000000"/>
            </w:tcBorders>
            <w:hideMark/>
          </w:tcPr>
          <w:p w14:paraId="79375CC3" w14:textId="77777777" w:rsidR="00790817" w:rsidRPr="00497000" w:rsidRDefault="00790817" w:rsidP="004928A7">
            <w:pPr>
              <w:jc w:val="center"/>
            </w:pPr>
            <w:r w:rsidRPr="00497000">
              <w:t>NE (5.7, NE)</w:t>
            </w:r>
          </w:p>
        </w:tc>
        <w:tc>
          <w:tcPr>
            <w:tcW w:w="839" w:type="pct"/>
            <w:tcBorders>
              <w:top w:val="single" w:sz="4" w:space="0" w:color="000000"/>
              <w:left w:val="single" w:sz="4" w:space="0" w:color="000000"/>
              <w:bottom w:val="single" w:sz="4" w:space="0" w:color="000000"/>
              <w:right w:val="single" w:sz="4" w:space="0" w:color="000000"/>
            </w:tcBorders>
            <w:hideMark/>
          </w:tcPr>
          <w:p w14:paraId="5BEEAA70" w14:textId="77777777" w:rsidR="00790817" w:rsidRPr="00497000" w:rsidRDefault="00790817" w:rsidP="004928A7">
            <w:pPr>
              <w:jc w:val="center"/>
            </w:pPr>
            <w:r w:rsidRPr="00497000">
              <w:t>1.9 (1.8, 3.6)</w:t>
            </w:r>
          </w:p>
        </w:tc>
        <w:tc>
          <w:tcPr>
            <w:tcW w:w="864" w:type="pct"/>
            <w:tcBorders>
              <w:top w:val="single" w:sz="4" w:space="0" w:color="000000"/>
              <w:left w:val="single" w:sz="4" w:space="0" w:color="000000"/>
              <w:bottom w:val="single" w:sz="4" w:space="0" w:color="000000"/>
              <w:right w:val="single" w:sz="4" w:space="0" w:color="000000"/>
            </w:tcBorders>
            <w:hideMark/>
          </w:tcPr>
          <w:p w14:paraId="6E0D5F6E" w14:textId="77777777" w:rsidR="00790817" w:rsidRPr="00497000" w:rsidRDefault="00790817" w:rsidP="004928A7">
            <w:pPr>
              <w:jc w:val="center"/>
            </w:pPr>
            <w:r w:rsidRPr="00497000">
              <w:t>11.0 (7.4, 13.8)</w:t>
            </w:r>
          </w:p>
        </w:tc>
        <w:tc>
          <w:tcPr>
            <w:tcW w:w="827" w:type="pct"/>
            <w:tcBorders>
              <w:top w:val="single" w:sz="4" w:space="0" w:color="000000"/>
              <w:left w:val="single" w:sz="4" w:space="0" w:color="000000"/>
              <w:bottom w:val="single" w:sz="4" w:space="0" w:color="000000"/>
              <w:right w:val="single" w:sz="4" w:space="0" w:color="000000"/>
            </w:tcBorders>
            <w:hideMark/>
          </w:tcPr>
          <w:p w14:paraId="1212E983" w14:textId="77777777" w:rsidR="00790817" w:rsidRPr="00497000" w:rsidRDefault="00790817" w:rsidP="004928A7">
            <w:pPr>
              <w:jc w:val="center"/>
            </w:pPr>
            <w:r w:rsidRPr="00497000">
              <w:t>1.9 (1.9, 3.7)</w:t>
            </w:r>
          </w:p>
        </w:tc>
      </w:tr>
      <w:tr w:rsidR="00790817" w:rsidRPr="00497000" w14:paraId="533E0198" w14:textId="77777777" w:rsidTr="00497000">
        <w:trPr>
          <w:trHeight w:val="252"/>
        </w:trPr>
        <w:tc>
          <w:tcPr>
            <w:tcW w:w="1580" w:type="pct"/>
            <w:tcBorders>
              <w:top w:val="single" w:sz="4" w:space="0" w:color="000000"/>
              <w:left w:val="single" w:sz="4" w:space="0" w:color="000000"/>
              <w:bottom w:val="single" w:sz="4" w:space="0" w:color="000000"/>
              <w:right w:val="single" w:sz="4" w:space="0" w:color="000000"/>
            </w:tcBorders>
            <w:hideMark/>
          </w:tcPr>
          <w:p w14:paraId="41FF1C31" w14:textId="77777777" w:rsidR="00790817" w:rsidRPr="00497000" w:rsidRDefault="00790817" w:rsidP="004928A7">
            <w:pPr>
              <w:rPr>
                <w:position w:val="8"/>
              </w:rPr>
            </w:pPr>
            <w:r w:rsidRPr="00497000">
              <w:t>Hazard Ratio (96% CI)</w:t>
            </w:r>
            <w:r w:rsidRPr="004928A7">
              <w:rPr>
                <w:vertAlign w:val="superscript"/>
              </w:rPr>
              <w:t>3</w:t>
            </w:r>
          </w:p>
        </w:tc>
        <w:tc>
          <w:tcPr>
            <w:tcW w:w="1729" w:type="pct"/>
            <w:gridSpan w:val="2"/>
            <w:tcBorders>
              <w:top w:val="single" w:sz="4" w:space="0" w:color="000000"/>
              <w:left w:val="single" w:sz="4" w:space="0" w:color="000000"/>
              <w:bottom w:val="single" w:sz="4" w:space="0" w:color="000000"/>
              <w:right w:val="single" w:sz="4" w:space="0" w:color="000000"/>
            </w:tcBorders>
            <w:hideMark/>
          </w:tcPr>
          <w:p w14:paraId="72E950C0" w14:textId="77777777" w:rsidR="00790817" w:rsidRPr="00497000" w:rsidRDefault="00790817" w:rsidP="004928A7">
            <w:pPr>
              <w:jc w:val="center"/>
            </w:pPr>
            <w:r w:rsidRPr="00497000">
              <w:t>0.22 (0.13, 0.36)</w:t>
            </w:r>
          </w:p>
        </w:tc>
        <w:tc>
          <w:tcPr>
            <w:tcW w:w="1691" w:type="pct"/>
            <w:gridSpan w:val="2"/>
            <w:tcBorders>
              <w:top w:val="single" w:sz="4" w:space="0" w:color="000000"/>
              <w:left w:val="single" w:sz="4" w:space="0" w:color="000000"/>
              <w:bottom w:val="single" w:sz="4" w:space="0" w:color="000000"/>
              <w:right w:val="single" w:sz="4" w:space="0" w:color="000000"/>
            </w:tcBorders>
            <w:hideMark/>
          </w:tcPr>
          <w:p w14:paraId="7BCBC47E" w14:textId="77777777" w:rsidR="00790817" w:rsidRPr="00497000" w:rsidRDefault="00790817" w:rsidP="004928A7">
            <w:pPr>
              <w:jc w:val="center"/>
            </w:pPr>
            <w:r w:rsidRPr="00497000">
              <w:t>0.22 (0.15, 0.32)</w:t>
            </w:r>
          </w:p>
        </w:tc>
      </w:tr>
      <w:tr w:rsidR="00790817" w:rsidRPr="00497000" w14:paraId="358351A3" w14:textId="77777777" w:rsidTr="00497000">
        <w:trPr>
          <w:trHeight w:val="251"/>
        </w:trPr>
        <w:tc>
          <w:tcPr>
            <w:tcW w:w="1580" w:type="pct"/>
            <w:tcBorders>
              <w:top w:val="single" w:sz="4" w:space="0" w:color="000000"/>
              <w:left w:val="single" w:sz="4" w:space="0" w:color="000000"/>
              <w:bottom w:val="single" w:sz="4" w:space="0" w:color="000000"/>
              <w:right w:val="single" w:sz="4" w:space="0" w:color="000000"/>
            </w:tcBorders>
            <w:hideMark/>
          </w:tcPr>
          <w:p w14:paraId="0CD00CBF" w14:textId="77777777" w:rsidR="00790817" w:rsidRPr="00497000" w:rsidRDefault="00790817" w:rsidP="004928A7">
            <w:pPr>
              <w:rPr>
                <w:position w:val="8"/>
              </w:rPr>
            </w:pPr>
            <w:r w:rsidRPr="00497000">
              <w:t>p-value</w:t>
            </w:r>
            <w:r w:rsidRPr="004928A7">
              <w:rPr>
                <w:vertAlign w:val="superscript"/>
              </w:rPr>
              <w:t>4</w:t>
            </w:r>
          </w:p>
        </w:tc>
        <w:tc>
          <w:tcPr>
            <w:tcW w:w="1729" w:type="pct"/>
            <w:gridSpan w:val="2"/>
            <w:tcBorders>
              <w:top w:val="single" w:sz="4" w:space="0" w:color="000000"/>
              <w:left w:val="single" w:sz="4" w:space="0" w:color="000000"/>
              <w:bottom w:val="single" w:sz="4" w:space="0" w:color="000000"/>
              <w:right w:val="single" w:sz="4" w:space="0" w:color="000000"/>
            </w:tcBorders>
            <w:hideMark/>
          </w:tcPr>
          <w:p w14:paraId="2485BDC6" w14:textId="77777777" w:rsidR="00790817" w:rsidRPr="00497000" w:rsidRDefault="00790817" w:rsidP="004928A7">
            <w:pPr>
              <w:jc w:val="center"/>
            </w:pPr>
            <w:r w:rsidRPr="00497000">
              <w:t>&lt; 0.0001</w:t>
            </w:r>
          </w:p>
        </w:tc>
        <w:tc>
          <w:tcPr>
            <w:tcW w:w="1691" w:type="pct"/>
            <w:gridSpan w:val="2"/>
            <w:tcBorders>
              <w:top w:val="single" w:sz="4" w:space="0" w:color="000000"/>
              <w:left w:val="single" w:sz="4" w:space="0" w:color="000000"/>
              <w:bottom w:val="single" w:sz="4" w:space="0" w:color="000000"/>
              <w:right w:val="single" w:sz="4" w:space="0" w:color="000000"/>
            </w:tcBorders>
          </w:tcPr>
          <w:p w14:paraId="39CE2C39" w14:textId="77777777" w:rsidR="00790817" w:rsidRPr="00497000" w:rsidRDefault="00790817" w:rsidP="004928A7">
            <w:pPr>
              <w:jc w:val="center"/>
            </w:pPr>
          </w:p>
        </w:tc>
      </w:tr>
      <w:tr w:rsidR="00790817" w:rsidRPr="00497000" w14:paraId="468D243B" w14:textId="77777777" w:rsidTr="00497000">
        <w:trPr>
          <w:trHeight w:val="254"/>
        </w:trPr>
        <w:tc>
          <w:tcPr>
            <w:tcW w:w="1580" w:type="pct"/>
            <w:tcBorders>
              <w:top w:val="single" w:sz="4" w:space="0" w:color="000000"/>
              <w:left w:val="single" w:sz="4" w:space="0" w:color="000000"/>
              <w:bottom w:val="single" w:sz="4" w:space="0" w:color="000000"/>
              <w:right w:val="single" w:sz="4" w:space="0" w:color="000000"/>
            </w:tcBorders>
            <w:hideMark/>
          </w:tcPr>
          <w:p w14:paraId="09DFA645" w14:textId="77777777" w:rsidR="00790817" w:rsidRPr="00497000" w:rsidRDefault="00790817" w:rsidP="004928A7">
            <w:pPr>
              <w:rPr>
                <w:b/>
                <w:bCs/>
              </w:rPr>
            </w:pPr>
            <w:r w:rsidRPr="00497000">
              <w:rPr>
                <w:b/>
                <w:bCs/>
              </w:rPr>
              <w:t>Overall Survival</w:t>
            </w:r>
          </w:p>
        </w:tc>
        <w:tc>
          <w:tcPr>
            <w:tcW w:w="1729" w:type="pct"/>
            <w:gridSpan w:val="2"/>
            <w:tcBorders>
              <w:top w:val="single" w:sz="4" w:space="0" w:color="000000"/>
              <w:left w:val="single" w:sz="4" w:space="0" w:color="000000"/>
              <w:bottom w:val="single" w:sz="4" w:space="0" w:color="000000"/>
              <w:right w:val="single" w:sz="4" w:space="0" w:color="000000"/>
            </w:tcBorders>
          </w:tcPr>
          <w:p w14:paraId="63FA668D" w14:textId="77777777" w:rsidR="00790817" w:rsidRPr="00497000" w:rsidRDefault="00790817" w:rsidP="004928A7">
            <w:pPr>
              <w:jc w:val="center"/>
            </w:pPr>
          </w:p>
        </w:tc>
        <w:tc>
          <w:tcPr>
            <w:tcW w:w="864" w:type="pct"/>
            <w:tcBorders>
              <w:top w:val="single" w:sz="4" w:space="0" w:color="000000"/>
              <w:left w:val="single" w:sz="4" w:space="0" w:color="000000"/>
              <w:bottom w:val="single" w:sz="4" w:space="0" w:color="000000"/>
              <w:right w:val="single" w:sz="4" w:space="0" w:color="000000"/>
            </w:tcBorders>
          </w:tcPr>
          <w:p w14:paraId="183D25FD" w14:textId="77777777" w:rsidR="00790817" w:rsidRPr="00497000" w:rsidRDefault="00790817" w:rsidP="004928A7">
            <w:pPr>
              <w:jc w:val="center"/>
            </w:pPr>
          </w:p>
        </w:tc>
        <w:tc>
          <w:tcPr>
            <w:tcW w:w="827" w:type="pct"/>
            <w:tcBorders>
              <w:top w:val="single" w:sz="4" w:space="0" w:color="000000"/>
              <w:left w:val="single" w:sz="4" w:space="0" w:color="000000"/>
              <w:bottom w:val="single" w:sz="4" w:space="0" w:color="000000"/>
              <w:right w:val="single" w:sz="4" w:space="0" w:color="000000"/>
            </w:tcBorders>
          </w:tcPr>
          <w:p w14:paraId="7CE70A90" w14:textId="77777777" w:rsidR="00790817" w:rsidRPr="00497000" w:rsidRDefault="00790817" w:rsidP="004928A7">
            <w:pPr>
              <w:jc w:val="center"/>
            </w:pPr>
          </w:p>
        </w:tc>
      </w:tr>
      <w:tr w:rsidR="00790817" w:rsidRPr="00497000" w14:paraId="471BB85B" w14:textId="77777777" w:rsidTr="00497000">
        <w:trPr>
          <w:trHeight w:val="253"/>
        </w:trPr>
        <w:tc>
          <w:tcPr>
            <w:tcW w:w="1580" w:type="pct"/>
            <w:tcBorders>
              <w:top w:val="single" w:sz="4" w:space="0" w:color="000000"/>
              <w:left w:val="single" w:sz="4" w:space="0" w:color="000000"/>
              <w:bottom w:val="single" w:sz="4" w:space="0" w:color="000000"/>
              <w:right w:val="single" w:sz="4" w:space="0" w:color="000000"/>
            </w:tcBorders>
            <w:hideMark/>
          </w:tcPr>
          <w:p w14:paraId="2FB3D742" w14:textId="77777777" w:rsidR="00790817" w:rsidRPr="00497000" w:rsidRDefault="00790817" w:rsidP="004928A7">
            <w:r w:rsidRPr="00497000">
              <w:t>Events, n (%)</w:t>
            </w:r>
          </w:p>
        </w:tc>
        <w:tc>
          <w:tcPr>
            <w:tcW w:w="890" w:type="pct"/>
            <w:tcBorders>
              <w:top w:val="single" w:sz="4" w:space="0" w:color="000000"/>
              <w:left w:val="single" w:sz="4" w:space="0" w:color="000000"/>
              <w:bottom w:val="single" w:sz="4" w:space="0" w:color="000000"/>
              <w:right w:val="single" w:sz="4" w:space="0" w:color="000000"/>
            </w:tcBorders>
            <w:hideMark/>
          </w:tcPr>
          <w:p w14:paraId="2155C111" w14:textId="77777777" w:rsidR="00790817" w:rsidRPr="00497000" w:rsidRDefault="00790817" w:rsidP="004928A7">
            <w:pPr>
              <w:jc w:val="center"/>
            </w:pPr>
            <w:r w:rsidRPr="00497000">
              <w:t>17 (14)</w:t>
            </w:r>
          </w:p>
        </w:tc>
        <w:tc>
          <w:tcPr>
            <w:tcW w:w="839" w:type="pct"/>
            <w:tcBorders>
              <w:top w:val="single" w:sz="4" w:space="0" w:color="000000"/>
              <w:left w:val="single" w:sz="4" w:space="0" w:color="000000"/>
              <w:bottom w:val="single" w:sz="4" w:space="0" w:color="000000"/>
              <w:right w:val="single" w:sz="4" w:space="0" w:color="000000"/>
            </w:tcBorders>
            <w:hideMark/>
          </w:tcPr>
          <w:p w14:paraId="71DC6497" w14:textId="77777777" w:rsidR="00790817" w:rsidRPr="00497000" w:rsidRDefault="00790817" w:rsidP="004928A7">
            <w:pPr>
              <w:jc w:val="center"/>
            </w:pPr>
            <w:r w:rsidRPr="00497000">
              <w:t>14 (23)</w:t>
            </w:r>
          </w:p>
        </w:tc>
        <w:tc>
          <w:tcPr>
            <w:tcW w:w="864" w:type="pct"/>
            <w:tcBorders>
              <w:top w:val="single" w:sz="4" w:space="0" w:color="000000"/>
              <w:left w:val="single" w:sz="4" w:space="0" w:color="000000"/>
              <w:bottom w:val="single" w:sz="4" w:space="0" w:color="000000"/>
              <w:right w:val="single" w:sz="4" w:space="0" w:color="000000"/>
            </w:tcBorders>
            <w:hideMark/>
          </w:tcPr>
          <w:p w14:paraId="2F0BF6A2" w14:textId="77777777" w:rsidR="00790817" w:rsidRPr="00497000" w:rsidRDefault="00790817" w:rsidP="004928A7">
            <w:pPr>
              <w:jc w:val="center"/>
            </w:pPr>
            <w:r w:rsidRPr="00497000">
              <w:t>37 (22)</w:t>
            </w:r>
          </w:p>
        </w:tc>
        <w:tc>
          <w:tcPr>
            <w:tcW w:w="827" w:type="pct"/>
            <w:tcBorders>
              <w:top w:val="single" w:sz="4" w:space="0" w:color="000000"/>
              <w:left w:val="single" w:sz="4" w:space="0" w:color="000000"/>
              <w:bottom w:val="single" w:sz="4" w:space="0" w:color="000000"/>
              <w:right w:val="single" w:sz="4" w:space="0" w:color="000000"/>
            </w:tcBorders>
            <w:hideMark/>
          </w:tcPr>
          <w:p w14:paraId="79016F67" w14:textId="77777777" w:rsidR="00790817" w:rsidRPr="00497000" w:rsidRDefault="00790817" w:rsidP="004928A7">
            <w:pPr>
              <w:jc w:val="center"/>
            </w:pPr>
            <w:r w:rsidRPr="00497000">
              <w:t>21 (24)</w:t>
            </w:r>
          </w:p>
        </w:tc>
      </w:tr>
      <w:tr w:rsidR="00790817" w:rsidRPr="00497000" w14:paraId="1D3D5451" w14:textId="77777777" w:rsidTr="00497000">
        <w:trPr>
          <w:trHeight w:val="251"/>
        </w:trPr>
        <w:tc>
          <w:tcPr>
            <w:tcW w:w="1580" w:type="pct"/>
            <w:tcBorders>
              <w:top w:val="single" w:sz="4" w:space="0" w:color="000000"/>
              <w:left w:val="single" w:sz="4" w:space="0" w:color="000000"/>
              <w:bottom w:val="single" w:sz="4" w:space="0" w:color="000000"/>
              <w:right w:val="single" w:sz="4" w:space="0" w:color="000000"/>
            </w:tcBorders>
          </w:tcPr>
          <w:p w14:paraId="0D7C514E" w14:textId="77777777" w:rsidR="00790817" w:rsidRPr="00497000" w:rsidRDefault="00790817" w:rsidP="004928A7"/>
        </w:tc>
        <w:tc>
          <w:tcPr>
            <w:tcW w:w="890" w:type="pct"/>
            <w:tcBorders>
              <w:top w:val="single" w:sz="4" w:space="0" w:color="000000"/>
              <w:left w:val="single" w:sz="4" w:space="0" w:color="000000"/>
              <w:bottom w:val="single" w:sz="4" w:space="0" w:color="000000"/>
              <w:right w:val="single" w:sz="4" w:space="0" w:color="000000"/>
            </w:tcBorders>
          </w:tcPr>
          <w:p w14:paraId="7547D36E" w14:textId="77777777" w:rsidR="00790817" w:rsidRPr="00497000" w:rsidRDefault="00790817" w:rsidP="004928A7">
            <w:pPr>
              <w:jc w:val="center"/>
            </w:pPr>
          </w:p>
        </w:tc>
        <w:tc>
          <w:tcPr>
            <w:tcW w:w="839" w:type="pct"/>
            <w:tcBorders>
              <w:top w:val="single" w:sz="4" w:space="0" w:color="000000"/>
              <w:left w:val="single" w:sz="4" w:space="0" w:color="000000"/>
              <w:bottom w:val="single" w:sz="4" w:space="0" w:color="000000"/>
              <w:right w:val="single" w:sz="4" w:space="0" w:color="000000"/>
            </w:tcBorders>
          </w:tcPr>
          <w:p w14:paraId="5F8728B5" w14:textId="77777777" w:rsidR="00790817" w:rsidRPr="00497000" w:rsidRDefault="00790817" w:rsidP="004928A7">
            <w:pPr>
              <w:jc w:val="center"/>
            </w:pPr>
          </w:p>
        </w:tc>
        <w:tc>
          <w:tcPr>
            <w:tcW w:w="864" w:type="pct"/>
            <w:tcBorders>
              <w:top w:val="single" w:sz="4" w:space="0" w:color="000000"/>
              <w:left w:val="single" w:sz="4" w:space="0" w:color="000000"/>
              <w:bottom w:val="single" w:sz="4" w:space="0" w:color="000000"/>
              <w:right w:val="single" w:sz="4" w:space="0" w:color="000000"/>
            </w:tcBorders>
          </w:tcPr>
          <w:p w14:paraId="5F318A6F" w14:textId="77777777" w:rsidR="00790817" w:rsidRPr="00497000" w:rsidRDefault="00790817" w:rsidP="004928A7">
            <w:pPr>
              <w:jc w:val="center"/>
            </w:pPr>
          </w:p>
        </w:tc>
        <w:tc>
          <w:tcPr>
            <w:tcW w:w="827" w:type="pct"/>
            <w:tcBorders>
              <w:top w:val="single" w:sz="4" w:space="0" w:color="000000"/>
              <w:left w:val="single" w:sz="4" w:space="0" w:color="000000"/>
              <w:bottom w:val="single" w:sz="4" w:space="0" w:color="000000"/>
              <w:right w:val="single" w:sz="4" w:space="0" w:color="000000"/>
            </w:tcBorders>
          </w:tcPr>
          <w:p w14:paraId="0A98A6A2" w14:textId="77777777" w:rsidR="00790817" w:rsidRPr="00497000" w:rsidRDefault="00790817" w:rsidP="004928A7">
            <w:pPr>
              <w:jc w:val="center"/>
            </w:pPr>
          </w:p>
        </w:tc>
      </w:tr>
      <w:tr w:rsidR="00790817" w:rsidRPr="00497000" w14:paraId="607CC250" w14:textId="77777777" w:rsidTr="00497000">
        <w:trPr>
          <w:trHeight w:val="253"/>
        </w:trPr>
        <w:tc>
          <w:tcPr>
            <w:tcW w:w="1580" w:type="pct"/>
            <w:tcBorders>
              <w:top w:val="single" w:sz="4" w:space="0" w:color="000000"/>
              <w:left w:val="single" w:sz="4" w:space="0" w:color="000000"/>
              <w:bottom w:val="single" w:sz="4" w:space="0" w:color="000000"/>
              <w:right w:val="single" w:sz="4" w:space="0" w:color="000000"/>
            </w:tcBorders>
            <w:hideMark/>
          </w:tcPr>
          <w:p w14:paraId="54D87B7F" w14:textId="77777777" w:rsidR="00790817" w:rsidRPr="00497000" w:rsidRDefault="00790817" w:rsidP="004928A7">
            <w:r w:rsidRPr="00497000">
              <w:t>Hazard Ratio</w:t>
            </w:r>
            <w:r w:rsidRPr="004928A7">
              <w:rPr>
                <w:vertAlign w:val="superscript"/>
              </w:rPr>
              <w:t xml:space="preserve">3 </w:t>
            </w:r>
            <w:r w:rsidRPr="00497000">
              <w:t>(95% CI)</w:t>
            </w:r>
          </w:p>
        </w:tc>
        <w:tc>
          <w:tcPr>
            <w:tcW w:w="1729" w:type="pct"/>
            <w:gridSpan w:val="2"/>
            <w:tcBorders>
              <w:top w:val="single" w:sz="4" w:space="0" w:color="000000"/>
              <w:left w:val="single" w:sz="4" w:space="0" w:color="000000"/>
              <w:bottom w:val="single" w:sz="4" w:space="0" w:color="000000"/>
              <w:right w:val="single" w:sz="4" w:space="0" w:color="000000"/>
            </w:tcBorders>
            <w:hideMark/>
          </w:tcPr>
          <w:p w14:paraId="10068956" w14:textId="77777777" w:rsidR="00790817" w:rsidRPr="00497000" w:rsidRDefault="00790817" w:rsidP="004928A7">
            <w:pPr>
              <w:jc w:val="center"/>
            </w:pPr>
            <w:r w:rsidRPr="00497000">
              <w:t>0.54 (0.27, 1.11)</w:t>
            </w:r>
          </w:p>
        </w:tc>
        <w:tc>
          <w:tcPr>
            <w:tcW w:w="1691" w:type="pct"/>
            <w:gridSpan w:val="2"/>
            <w:tcBorders>
              <w:top w:val="single" w:sz="4" w:space="0" w:color="000000"/>
              <w:left w:val="single" w:sz="4" w:space="0" w:color="000000"/>
              <w:bottom w:val="single" w:sz="4" w:space="0" w:color="000000"/>
              <w:right w:val="single" w:sz="4" w:space="0" w:color="000000"/>
            </w:tcBorders>
            <w:hideMark/>
          </w:tcPr>
          <w:p w14:paraId="65CF65AE" w14:textId="77777777" w:rsidR="00790817" w:rsidRPr="00497000" w:rsidRDefault="00790817" w:rsidP="004928A7">
            <w:pPr>
              <w:jc w:val="center"/>
            </w:pPr>
            <w:r w:rsidRPr="00497000">
              <w:t>0.76 (0.45, 1.31)</w:t>
            </w:r>
          </w:p>
        </w:tc>
      </w:tr>
      <w:tr w:rsidR="00790817" w:rsidRPr="00497000" w14:paraId="31151BFF" w14:textId="77777777" w:rsidTr="00497000">
        <w:trPr>
          <w:trHeight w:val="251"/>
        </w:trPr>
        <w:tc>
          <w:tcPr>
            <w:tcW w:w="1580" w:type="pct"/>
            <w:tcBorders>
              <w:top w:val="single" w:sz="4" w:space="0" w:color="000000"/>
              <w:left w:val="single" w:sz="4" w:space="0" w:color="000000"/>
              <w:bottom w:val="single" w:sz="4" w:space="0" w:color="000000"/>
              <w:right w:val="single" w:sz="4" w:space="0" w:color="000000"/>
            </w:tcBorders>
          </w:tcPr>
          <w:p w14:paraId="2D376BCD" w14:textId="77777777" w:rsidR="00790817" w:rsidRPr="00497000" w:rsidRDefault="00790817" w:rsidP="004928A7"/>
        </w:tc>
        <w:tc>
          <w:tcPr>
            <w:tcW w:w="3420" w:type="pct"/>
            <w:gridSpan w:val="4"/>
            <w:tcBorders>
              <w:top w:val="single" w:sz="4" w:space="0" w:color="000000"/>
              <w:left w:val="single" w:sz="4" w:space="0" w:color="000000"/>
              <w:bottom w:val="single" w:sz="4" w:space="0" w:color="000000"/>
              <w:right w:val="single" w:sz="4" w:space="0" w:color="000000"/>
            </w:tcBorders>
            <w:hideMark/>
          </w:tcPr>
          <w:p w14:paraId="422F7129" w14:textId="77777777" w:rsidR="00790817" w:rsidRPr="00497000" w:rsidRDefault="00790817" w:rsidP="004928A7">
            <w:pPr>
              <w:jc w:val="center"/>
              <w:rPr>
                <w:b/>
                <w:bCs/>
                <w:position w:val="8"/>
              </w:rPr>
            </w:pPr>
            <w:r w:rsidRPr="00497000">
              <w:rPr>
                <w:b/>
                <w:bCs/>
              </w:rPr>
              <w:t>Primary Analysis</w:t>
            </w:r>
            <w:r w:rsidRPr="004928A7">
              <w:rPr>
                <w:vertAlign w:val="superscript"/>
              </w:rPr>
              <w:t>1</w:t>
            </w:r>
          </w:p>
        </w:tc>
      </w:tr>
      <w:tr w:rsidR="00790817" w:rsidRPr="00497000" w14:paraId="3E121641" w14:textId="77777777" w:rsidTr="00497000">
        <w:trPr>
          <w:trHeight w:val="506"/>
        </w:trPr>
        <w:tc>
          <w:tcPr>
            <w:tcW w:w="1580" w:type="pct"/>
            <w:tcBorders>
              <w:top w:val="single" w:sz="4" w:space="0" w:color="000000"/>
              <w:left w:val="single" w:sz="4" w:space="0" w:color="000000"/>
              <w:bottom w:val="single" w:sz="4" w:space="0" w:color="000000"/>
              <w:right w:val="single" w:sz="4" w:space="0" w:color="000000"/>
            </w:tcBorders>
            <w:hideMark/>
          </w:tcPr>
          <w:p w14:paraId="11DFC0E8" w14:textId="77777777" w:rsidR="00790817" w:rsidRPr="00497000" w:rsidRDefault="00790817" w:rsidP="004928A7">
            <w:pPr>
              <w:rPr>
                <w:b/>
                <w:bCs/>
                <w:position w:val="8"/>
              </w:rPr>
            </w:pPr>
            <w:r w:rsidRPr="00497000">
              <w:rPr>
                <w:b/>
                <w:bCs/>
              </w:rPr>
              <w:t>Objective response rate (ORR)</w:t>
            </w:r>
            <w:r w:rsidRPr="004928A7">
              <w:rPr>
                <w:vertAlign w:val="superscript"/>
              </w:rPr>
              <w:t>5</w:t>
            </w:r>
          </w:p>
        </w:tc>
        <w:tc>
          <w:tcPr>
            <w:tcW w:w="1729" w:type="pct"/>
            <w:gridSpan w:val="2"/>
            <w:tcBorders>
              <w:top w:val="single" w:sz="4" w:space="0" w:color="000000"/>
              <w:left w:val="single" w:sz="4" w:space="0" w:color="000000"/>
              <w:bottom w:val="single" w:sz="4" w:space="0" w:color="000000"/>
              <w:right w:val="single" w:sz="4" w:space="0" w:color="000000"/>
            </w:tcBorders>
          </w:tcPr>
          <w:p w14:paraId="4FF851C2" w14:textId="77777777" w:rsidR="00790817" w:rsidRPr="00497000" w:rsidRDefault="00790817" w:rsidP="004928A7">
            <w:pPr>
              <w:jc w:val="center"/>
            </w:pPr>
          </w:p>
        </w:tc>
        <w:tc>
          <w:tcPr>
            <w:tcW w:w="1691" w:type="pct"/>
            <w:gridSpan w:val="2"/>
            <w:tcBorders>
              <w:top w:val="single" w:sz="4" w:space="0" w:color="000000"/>
              <w:left w:val="single" w:sz="4" w:space="0" w:color="000000"/>
              <w:bottom w:val="single" w:sz="4" w:space="0" w:color="000000"/>
              <w:right w:val="single" w:sz="4" w:space="0" w:color="000000"/>
            </w:tcBorders>
          </w:tcPr>
          <w:p w14:paraId="04655247" w14:textId="77777777" w:rsidR="00790817" w:rsidRPr="00497000" w:rsidRDefault="00790817" w:rsidP="004928A7">
            <w:pPr>
              <w:jc w:val="center"/>
            </w:pPr>
          </w:p>
        </w:tc>
      </w:tr>
      <w:tr w:rsidR="00790817" w:rsidRPr="00497000" w14:paraId="33C102A3" w14:textId="77777777" w:rsidTr="00497000">
        <w:trPr>
          <w:trHeight w:val="504"/>
        </w:trPr>
        <w:tc>
          <w:tcPr>
            <w:tcW w:w="1580" w:type="pct"/>
            <w:tcBorders>
              <w:top w:val="single" w:sz="4" w:space="0" w:color="000000"/>
              <w:left w:val="single" w:sz="4" w:space="0" w:color="000000"/>
              <w:bottom w:val="single" w:sz="4" w:space="0" w:color="000000"/>
              <w:right w:val="single" w:sz="4" w:space="0" w:color="000000"/>
            </w:tcBorders>
          </w:tcPr>
          <w:p w14:paraId="56EC98C0" w14:textId="77777777" w:rsidR="00790817" w:rsidRPr="00497000" w:rsidRDefault="00790817" w:rsidP="004928A7"/>
        </w:tc>
        <w:tc>
          <w:tcPr>
            <w:tcW w:w="1729" w:type="pct"/>
            <w:gridSpan w:val="2"/>
            <w:tcBorders>
              <w:top w:val="single" w:sz="4" w:space="0" w:color="000000"/>
              <w:left w:val="single" w:sz="4" w:space="0" w:color="000000"/>
              <w:bottom w:val="single" w:sz="4" w:space="0" w:color="000000"/>
              <w:right w:val="single" w:sz="4" w:space="0" w:color="000000"/>
            </w:tcBorders>
            <w:hideMark/>
          </w:tcPr>
          <w:p w14:paraId="4DACCF1F" w14:textId="77777777" w:rsidR="00790817" w:rsidRPr="00497000" w:rsidRDefault="00790817" w:rsidP="004928A7">
            <w:pPr>
              <w:jc w:val="center"/>
              <w:rPr>
                <w:b/>
                <w:bCs/>
              </w:rPr>
            </w:pPr>
            <w:r w:rsidRPr="00497000">
              <w:rPr>
                <w:b/>
              </w:rPr>
              <w:t>Cabozantinib</w:t>
            </w:r>
            <w:r w:rsidRPr="00497000">
              <w:rPr>
                <w:b/>
                <w:bCs/>
              </w:rPr>
              <w:t xml:space="preserve"> (n=67)</w:t>
            </w:r>
          </w:p>
        </w:tc>
        <w:tc>
          <w:tcPr>
            <w:tcW w:w="1691" w:type="pct"/>
            <w:gridSpan w:val="2"/>
            <w:tcBorders>
              <w:top w:val="single" w:sz="4" w:space="0" w:color="000000"/>
              <w:left w:val="single" w:sz="4" w:space="0" w:color="000000"/>
              <w:bottom w:val="single" w:sz="4" w:space="0" w:color="000000"/>
              <w:right w:val="single" w:sz="4" w:space="0" w:color="000000"/>
            </w:tcBorders>
            <w:hideMark/>
          </w:tcPr>
          <w:p w14:paraId="7992BC23" w14:textId="77777777" w:rsidR="00790817" w:rsidRPr="00497000" w:rsidRDefault="00790817" w:rsidP="004928A7">
            <w:pPr>
              <w:jc w:val="center"/>
              <w:rPr>
                <w:b/>
                <w:bCs/>
              </w:rPr>
            </w:pPr>
            <w:r w:rsidRPr="00497000">
              <w:rPr>
                <w:b/>
                <w:bCs/>
              </w:rPr>
              <w:t>Placebo</w:t>
            </w:r>
          </w:p>
          <w:p w14:paraId="0D488FCA" w14:textId="77777777" w:rsidR="00790817" w:rsidRPr="00497000" w:rsidRDefault="00790817" w:rsidP="004928A7">
            <w:pPr>
              <w:jc w:val="center"/>
              <w:rPr>
                <w:b/>
                <w:bCs/>
              </w:rPr>
            </w:pPr>
            <w:r w:rsidRPr="00497000">
              <w:rPr>
                <w:b/>
                <w:bCs/>
              </w:rPr>
              <w:t>(n=33)</w:t>
            </w:r>
          </w:p>
        </w:tc>
      </w:tr>
      <w:tr w:rsidR="00790817" w:rsidRPr="00497000" w14:paraId="683A217B" w14:textId="77777777" w:rsidTr="00497000">
        <w:trPr>
          <w:trHeight w:val="253"/>
        </w:trPr>
        <w:tc>
          <w:tcPr>
            <w:tcW w:w="1580" w:type="pct"/>
            <w:tcBorders>
              <w:top w:val="single" w:sz="4" w:space="0" w:color="000000"/>
              <w:left w:val="single" w:sz="4" w:space="0" w:color="000000"/>
              <w:bottom w:val="single" w:sz="4" w:space="0" w:color="000000"/>
              <w:right w:val="single" w:sz="4" w:space="0" w:color="000000"/>
            </w:tcBorders>
            <w:hideMark/>
          </w:tcPr>
          <w:p w14:paraId="0E8F0148" w14:textId="77777777" w:rsidR="00790817" w:rsidRPr="00497000" w:rsidRDefault="00790817" w:rsidP="004928A7">
            <w:r w:rsidRPr="00497000">
              <w:t>Overall response, (%)</w:t>
            </w:r>
          </w:p>
        </w:tc>
        <w:tc>
          <w:tcPr>
            <w:tcW w:w="1729" w:type="pct"/>
            <w:gridSpan w:val="2"/>
            <w:tcBorders>
              <w:top w:val="single" w:sz="4" w:space="0" w:color="000000"/>
              <w:left w:val="single" w:sz="4" w:space="0" w:color="000000"/>
              <w:bottom w:val="single" w:sz="4" w:space="0" w:color="000000"/>
              <w:right w:val="single" w:sz="4" w:space="0" w:color="000000"/>
            </w:tcBorders>
            <w:hideMark/>
          </w:tcPr>
          <w:p w14:paraId="1F30E75F" w14:textId="77777777" w:rsidR="00790817" w:rsidRPr="00497000" w:rsidRDefault="00790817" w:rsidP="004928A7">
            <w:pPr>
              <w:jc w:val="center"/>
            </w:pPr>
            <w:r w:rsidRPr="00497000">
              <w:t>10 (15)</w:t>
            </w:r>
          </w:p>
        </w:tc>
        <w:tc>
          <w:tcPr>
            <w:tcW w:w="1691" w:type="pct"/>
            <w:gridSpan w:val="2"/>
            <w:tcBorders>
              <w:top w:val="single" w:sz="4" w:space="0" w:color="000000"/>
              <w:left w:val="single" w:sz="4" w:space="0" w:color="000000"/>
              <w:bottom w:val="single" w:sz="4" w:space="0" w:color="000000"/>
              <w:right w:val="single" w:sz="4" w:space="0" w:color="000000"/>
            </w:tcBorders>
            <w:hideMark/>
          </w:tcPr>
          <w:p w14:paraId="3228F48A" w14:textId="77777777" w:rsidR="00790817" w:rsidRPr="00497000" w:rsidRDefault="00790817" w:rsidP="004928A7">
            <w:pPr>
              <w:jc w:val="center"/>
            </w:pPr>
            <w:r w:rsidRPr="00497000">
              <w:t>0 (0)</w:t>
            </w:r>
          </w:p>
        </w:tc>
      </w:tr>
      <w:tr w:rsidR="00790817" w:rsidRPr="00497000" w14:paraId="532D9C53" w14:textId="77777777" w:rsidTr="00497000">
        <w:trPr>
          <w:trHeight w:val="251"/>
        </w:trPr>
        <w:tc>
          <w:tcPr>
            <w:tcW w:w="1580" w:type="pct"/>
            <w:tcBorders>
              <w:top w:val="single" w:sz="4" w:space="0" w:color="000000"/>
              <w:left w:val="single" w:sz="4" w:space="0" w:color="000000"/>
              <w:bottom w:val="single" w:sz="4" w:space="0" w:color="000000"/>
              <w:right w:val="single" w:sz="4" w:space="0" w:color="000000"/>
            </w:tcBorders>
            <w:hideMark/>
          </w:tcPr>
          <w:p w14:paraId="1923533D" w14:textId="77777777" w:rsidR="00790817" w:rsidRPr="00497000" w:rsidRDefault="00790817" w:rsidP="004928A7">
            <w:pPr>
              <w:ind w:left="416"/>
            </w:pPr>
            <w:r w:rsidRPr="00497000">
              <w:t>Complete response</w:t>
            </w:r>
          </w:p>
        </w:tc>
        <w:tc>
          <w:tcPr>
            <w:tcW w:w="1729" w:type="pct"/>
            <w:gridSpan w:val="2"/>
            <w:tcBorders>
              <w:top w:val="single" w:sz="4" w:space="0" w:color="000000"/>
              <w:left w:val="single" w:sz="4" w:space="0" w:color="000000"/>
              <w:bottom w:val="single" w:sz="4" w:space="0" w:color="000000"/>
              <w:right w:val="single" w:sz="4" w:space="0" w:color="000000"/>
            </w:tcBorders>
            <w:hideMark/>
          </w:tcPr>
          <w:p w14:paraId="7B3CFFAE" w14:textId="77777777" w:rsidR="00790817" w:rsidRPr="00497000" w:rsidRDefault="00790817" w:rsidP="004928A7">
            <w:pPr>
              <w:jc w:val="center"/>
            </w:pPr>
            <w:r w:rsidRPr="00497000">
              <w:t>0</w:t>
            </w:r>
          </w:p>
        </w:tc>
        <w:tc>
          <w:tcPr>
            <w:tcW w:w="1691" w:type="pct"/>
            <w:gridSpan w:val="2"/>
            <w:tcBorders>
              <w:top w:val="single" w:sz="4" w:space="0" w:color="000000"/>
              <w:left w:val="single" w:sz="4" w:space="0" w:color="000000"/>
              <w:bottom w:val="single" w:sz="4" w:space="0" w:color="000000"/>
              <w:right w:val="single" w:sz="4" w:space="0" w:color="000000"/>
            </w:tcBorders>
            <w:hideMark/>
          </w:tcPr>
          <w:p w14:paraId="6E29C313" w14:textId="77777777" w:rsidR="00790817" w:rsidRPr="00497000" w:rsidRDefault="00790817" w:rsidP="004928A7">
            <w:pPr>
              <w:jc w:val="center"/>
            </w:pPr>
            <w:r w:rsidRPr="00497000">
              <w:t>0</w:t>
            </w:r>
          </w:p>
        </w:tc>
      </w:tr>
      <w:tr w:rsidR="00790817" w:rsidRPr="00497000" w14:paraId="30CA2888" w14:textId="77777777" w:rsidTr="00497000">
        <w:trPr>
          <w:trHeight w:val="253"/>
        </w:trPr>
        <w:tc>
          <w:tcPr>
            <w:tcW w:w="1580" w:type="pct"/>
            <w:tcBorders>
              <w:top w:val="single" w:sz="4" w:space="0" w:color="000000"/>
              <w:left w:val="single" w:sz="4" w:space="0" w:color="000000"/>
              <w:bottom w:val="single" w:sz="4" w:space="0" w:color="000000"/>
              <w:right w:val="single" w:sz="4" w:space="0" w:color="000000"/>
            </w:tcBorders>
            <w:hideMark/>
          </w:tcPr>
          <w:p w14:paraId="17D2EFB3" w14:textId="77777777" w:rsidR="00790817" w:rsidRPr="00497000" w:rsidRDefault="00790817" w:rsidP="004928A7">
            <w:pPr>
              <w:ind w:left="416"/>
            </w:pPr>
            <w:r w:rsidRPr="00497000">
              <w:t>Partial response</w:t>
            </w:r>
          </w:p>
        </w:tc>
        <w:tc>
          <w:tcPr>
            <w:tcW w:w="1729" w:type="pct"/>
            <w:gridSpan w:val="2"/>
            <w:tcBorders>
              <w:top w:val="single" w:sz="4" w:space="0" w:color="000000"/>
              <w:left w:val="single" w:sz="4" w:space="0" w:color="000000"/>
              <w:bottom w:val="single" w:sz="4" w:space="0" w:color="000000"/>
              <w:right w:val="single" w:sz="4" w:space="0" w:color="000000"/>
            </w:tcBorders>
            <w:hideMark/>
          </w:tcPr>
          <w:p w14:paraId="12426DD0" w14:textId="77777777" w:rsidR="00790817" w:rsidRPr="00497000" w:rsidRDefault="00790817" w:rsidP="004928A7">
            <w:pPr>
              <w:jc w:val="center"/>
            </w:pPr>
            <w:r w:rsidRPr="00497000">
              <w:t>10 (15)</w:t>
            </w:r>
          </w:p>
        </w:tc>
        <w:tc>
          <w:tcPr>
            <w:tcW w:w="1691" w:type="pct"/>
            <w:gridSpan w:val="2"/>
            <w:tcBorders>
              <w:top w:val="single" w:sz="4" w:space="0" w:color="000000"/>
              <w:left w:val="single" w:sz="4" w:space="0" w:color="000000"/>
              <w:bottom w:val="single" w:sz="4" w:space="0" w:color="000000"/>
              <w:right w:val="single" w:sz="4" w:space="0" w:color="000000"/>
            </w:tcBorders>
            <w:hideMark/>
          </w:tcPr>
          <w:p w14:paraId="197B787E" w14:textId="77777777" w:rsidR="00790817" w:rsidRPr="00497000" w:rsidRDefault="00790817" w:rsidP="004928A7">
            <w:pPr>
              <w:jc w:val="center"/>
            </w:pPr>
            <w:r w:rsidRPr="00497000">
              <w:t>0</w:t>
            </w:r>
          </w:p>
        </w:tc>
      </w:tr>
      <w:tr w:rsidR="00790817" w:rsidRPr="00497000" w14:paraId="7402FFB3" w14:textId="77777777" w:rsidTr="00497000">
        <w:trPr>
          <w:trHeight w:val="254"/>
        </w:trPr>
        <w:tc>
          <w:tcPr>
            <w:tcW w:w="1580" w:type="pct"/>
            <w:tcBorders>
              <w:top w:val="single" w:sz="4" w:space="0" w:color="000000"/>
              <w:left w:val="single" w:sz="4" w:space="0" w:color="000000"/>
              <w:bottom w:val="single" w:sz="4" w:space="0" w:color="000000"/>
              <w:right w:val="single" w:sz="4" w:space="0" w:color="000000"/>
            </w:tcBorders>
            <w:hideMark/>
          </w:tcPr>
          <w:p w14:paraId="5681AA11" w14:textId="77777777" w:rsidR="00790817" w:rsidRPr="00497000" w:rsidRDefault="00790817" w:rsidP="004928A7">
            <w:pPr>
              <w:ind w:left="416"/>
            </w:pPr>
            <w:r w:rsidRPr="00497000">
              <w:t>Stable disease</w:t>
            </w:r>
          </w:p>
        </w:tc>
        <w:tc>
          <w:tcPr>
            <w:tcW w:w="1729" w:type="pct"/>
            <w:gridSpan w:val="2"/>
            <w:tcBorders>
              <w:top w:val="single" w:sz="4" w:space="0" w:color="000000"/>
              <w:left w:val="single" w:sz="4" w:space="0" w:color="000000"/>
              <w:bottom w:val="single" w:sz="4" w:space="0" w:color="000000"/>
              <w:right w:val="single" w:sz="4" w:space="0" w:color="000000"/>
            </w:tcBorders>
            <w:hideMark/>
          </w:tcPr>
          <w:p w14:paraId="47664503" w14:textId="77777777" w:rsidR="00790817" w:rsidRPr="00497000" w:rsidRDefault="00790817" w:rsidP="004928A7">
            <w:pPr>
              <w:jc w:val="center"/>
            </w:pPr>
            <w:r w:rsidRPr="00497000">
              <w:t>46 (69)</w:t>
            </w:r>
          </w:p>
        </w:tc>
        <w:tc>
          <w:tcPr>
            <w:tcW w:w="1691" w:type="pct"/>
            <w:gridSpan w:val="2"/>
            <w:tcBorders>
              <w:top w:val="single" w:sz="4" w:space="0" w:color="000000"/>
              <w:left w:val="single" w:sz="4" w:space="0" w:color="000000"/>
              <w:bottom w:val="single" w:sz="4" w:space="0" w:color="000000"/>
              <w:right w:val="single" w:sz="4" w:space="0" w:color="000000"/>
            </w:tcBorders>
            <w:hideMark/>
          </w:tcPr>
          <w:p w14:paraId="39726114" w14:textId="77777777" w:rsidR="00790817" w:rsidRPr="00497000" w:rsidRDefault="00790817" w:rsidP="004928A7">
            <w:pPr>
              <w:jc w:val="center"/>
            </w:pPr>
            <w:r w:rsidRPr="00497000">
              <w:t>14 (42)</w:t>
            </w:r>
          </w:p>
        </w:tc>
      </w:tr>
      <w:tr w:rsidR="00790817" w:rsidRPr="00497000" w14:paraId="1E091674" w14:textId="77777777" w:rsidTr="00497000">
        <w:trPr>
          <w:trHeight w:val="251"/>
        </w:trPr>
        <w:tc>
          <w:tcPr>
            <w:tcW w:w="1580" w:type="pct"/>
            <w:tcBorders>
              <w:top w:val="single" w:sz="4" w:space="0" w:color="000000"/>
              <w:left w:val="single" w:sz="4" w:space="0" w:color="000000"/>
              <w:bottom w:val="single" w:sz="4" w:space="0" w:color="000000"/>
              <w:right w:val="single" w:sz="4" w:space="0" w:color="000000"/>
            </w:tcBorders>
            <w:hideMark/>
          </w:tcPr>
          <w:p w14:paraId="32186226" w14:textId="77777777" w:rsidR="00790817" w:rsidRPr="00497000" w:rsidRDefault="00790817" w:rsidP="004928A7">
            <w:pPr>
              <w:ind w:left="416"/>
            </w:pPr>
            <w:r w:rsidRPr="00497000">
              <w:t>Progressive disease</w:t>
            </w:r>
          </w:p>
        </w:tc>
        <w:tc>
          <w:tcPr>
            <w:tcW w:w="1729" w:type="pct"/>
            <w:gridSpan w:val="2"/>
            <w:tcBorders>
              <w:top w:val="single" w:sz="4" w:space="0" w:color="000000"/>
              <w:left w:val="single" w:sz="4" w:space="0" w:color="000000"/>
              <w:bottom w:val="single" w:sz="4" w:space="0" w:color="000000"/>
              <w:right w:val="single" w:sz="4" w:space="0" w:color="000000"/>
            </w:tcBorders>
            <w:hideMark/>
          </w:tcPr>
          <w:p w14:paraId="6C7A29D6" w14:textId="77777777" w:rsidR="00790817" w:rsidRPr="00497000" w:rsidRDefault="00790817" w:rsidP="004928A7">
            <w:pPr>
              <w:jc w:val="center"/>
            </w:pPr>
            <w:r w:rsidRPr="00497000">
              <w:t>4 (6)</w:t>
            </w:r>
          </w:p>
        </w:tc>
        <w:tc>
          <w:tcPr>
            <w:tcW w:w="1691" w:type="pct"/>
            <w:gridSpan w:val="2"/>
            <w:tcBorders>
              <w:top w:val="single" w:sz="4" w:space="0" w:color="000000"/>
              <w:left w:val="single" w:sz="4" w:space="0" w:color="000000"/>
              <w:bottom w:val="single" w:sz="4" w:space="0" w:color="000000"/>
              <w:right w:val="single" w:sz="4" w:space="0" w:color="000000"/>
            </w:tcBorders>
            <w:hideMark/>
          </w:tcPr>
          <w:p w14:paraId="25A3F55F" w14:textId="77777777" w:rsidR="00790817" w:rsidRPr="00497000" w:rsidRDefault="00790817" w:rsidP="004928A7">
            <w:pPr>
              <w:jc w:val="center"/>
            </w:pPr>
            <w:r w:rsidRPr="00497000">
              <w:t>18 (55)</w:t>
            </w:r>
          </w:p>
        </w:tc>
      </w:tr>
    </w:tbl>
    <w:p w14:paraId="5DAF2AEB" w14:textId="20AD76AE" w:rsidR="00790817" w:rsidRPr="002922BC" w:rsidRDefault="00790817" w:rsidP="004928A7">
      <w:pPr>
        <w:ind w:left="426" w:hanging="426"/>
        <w:rPr>
          <w:sz w:val="20"/>
          <w:lang w:val="en-US"/>
        </w:rPr>
      </w:pPr>
      <w:r w:rsidRPr="002922BC">
        <w:rPr>
          <w:sz w:val="20"/>
          <w:lang w:val="en-US"/>
        </w:rPr>
        <w:t xml:space="preserve">* </w:t>
      </w:r>
      <w:r w:rsidR="004928A7" w:rsidRPr="002922BC">
        <w:rPr>
          <w:sz w:val="20"/>
          <w:lang w:val="en-US"/>
        </w:rPr>
        <w:tab/>
      </w:r>
      <w:r w:rsidRPr="002922BC">
        <w:rPr>
          <w:sz w:val="20"/>
          <w:lang w:val="en-US"/>
        </w:rPr>
        <w:t>The primary analysis of PFS included censoring for new anti-cancer treatment. Results for PFS with and without censoring for new anti-cancer treatment were consistent.</w:t>
      </w:r>
    </w:p>
    <w:p w14:paraId="240E5DDA" w14:textId="77777777" w:rsidR="00790817" w:rsidRPr="002922BC" w:rsidRDefault="00790817" w:rsidP="004928A7">
      <w:pPr>
        <w:ind w:left="426" w:hanging="426"/>
        <w:rPr>
          <w:sz w:val="20"/>
          <w:lang w:val="en-US"/>
        </w:rPr>
      </w:pPr>
      <w:r w:rsidRPr="002922BC">
        <w:rPr>
          <w:sz w:val="20"/>
          <w:lang w:val="en-US"/>
        </w:rPr>
        <w:t>CI, confidence interval; NE, not evaluable</w:t>
      </w:r>
    </w:p>
    <w:p w14:paraId="56333DEC" w14:textId="39AEA3F0" w:rsidR="00790817" w:rsidRPr="002922BC" w:rsidRDefault="00790817" w:rsidP="004928A7">
      <w:pPr>
        <w:ind w:left="426" w:hanging="426"/>
        <w:rPr>
          <w:sz w:val="20"/>
          <w:lang w:val="en-US"/>
        </w:rPr>
      </w:pPr>
      <w:r w:rsidRPr="002922BC">
        <w:rPr>
          <w:sz w:val="20"/>
          <w:vertAlign w:val="superscript"/>
          <w:lang w:val="en-US"/>
        </w:rPr>
        <w:t>1</w:t>
      </w:r>
      <w:r w:rsidRPr="002922BC">
        <w:rPr>
          <w:sz w:val="20"/>
          <w:lang w:val="en-US"/>
        </w:rPr>
        <w:t xml:space="preserve"> </w:t>
      </w:r>
      <w:r w:rsidR="004928A7" w:rsidRPr="002922BC">
        <w:rPr>
          <w:sz w:val="20"/>
          <w:lang w:val="en-US"/>
        </w:rPr>
        <w:tab/>
      </w:r>
      <w:r w:rsidRPr="002922BC">
        <w:rPr>
          <w:sz w:val="20"/>
          <w:lang w:val="en-US"/>
        </w:rPr>
        <w:t>The cut-off date of the primary analysis is 19 August 2020.</w:t>
      </w:r>
    </w:p>
    <w:p w14:paraId="06DB7CC0" w14:textId="7BD406E6" w:rsidR="00790817" w:rsidRPr="002922BC" w:rsidRDefault="00790817" w:rsidP="004928A7">
      <w:pPr>
        <w:ind w:left="426" w:hanging="426"/>
        <w:rPr>
          <w:sz w:val="20"/>
          <w:lang w:val="en-US"/>
        </w:rPr>
      </w:pPr>
      <w:r w:rsidRPr="002922BC">
        <w:rPr>
          <w:sz w:val="20"/>
          <w:vertAlign w:val="superscript"/>
          <w:lang w:val="en-US"/>
        </w:rPr>
        <w:t xml:space="preserve">2 </w:t>
      </w:r>
      <w:r w:rsidR="004928A7" w:rsidRPr="002922BC">
        <w:rPr>
          <w:sz w:val="20"/>
          <w:lang w:val="en-US"/>
        </w:rPr>
        <w:tab/>
      </w:r>
      <w:r w:rsidRPr="002922BC">
        <w:rPr>
          <w:sz w:val="20"/>
          <w:lang w:val="en-US"/>
        </w:rPr>
        <w:t>The cut-off date of the secondary analysis is 08 February 2021.</w:t>
      </w:r>
    </w:p>
    <w:p w14:paraId="2D4D8873" w14:textId="1019A828" w:rsidR="00790817" w:rsidRPr="002922BC" w:rsidRDefault="00790817" w:rsidP="004928A7">
      <w:pPr>
        <w:ind w:left="426" w:hanging="426"/>
        <w:rPr>
          <w:sz w:val="20"/>
          <w:lang w:val="en-US"/>
        </w:rPr>
      </w:pPr>
      <w:r w:rsidRPr="002922BC">
        <w:rPr>
          <w:sz w:val="20"/>
          <w:vertAlign w:val="superscript"/>
          <w:lang w:val="en-US"/>
        </w:rPr>
        <w:t xml:space="preserve">3 </w:t>
      </w:r>
      <w:r w:rsidR="004928A7" w:rsidRPr="002922BC">
        <w:rPr>
          <w:sz w:val="20"/>
          <w:lang w:val="en-US"/>
        </w:rPr>
        <w:tab/>
      </w:r>
      <w:r w:rsidRPr="002922BC">
        <w:rPr>
          <w:sz w:val="20"/>
          <w:lang w:val="en-US"/>
        </w:rPr>
        <w:t>Estimated using the Cox proportional-hazard model.</w:t>
      </w:r>
    </w:p>
    <w:p w14:paraId="12786E2F" w14:textId="4354D116" w:rsidR="00790817" w:rsidRPr="002922BC" w:rsidRDefault="00790817" w:rsidP="004928A7">
      <w:pPr>
        <w:ind w:left="426" w:hanging="426"/>
        <w:rPr>
          <w:sz w:val="20"/>
          <w:lang w:val="en-US"/>
        </w:rPr>
      </w:pPr>
      <w:r w:rsidRPr="002922BC">
        <w:rPr>
          <w:sz w:val="20"/>
          <w:vertAlign w:val="superscript"/>
          <w:lang w:val="en-US"/>
        </w:rPr>
        <w:t xml:space="preserve">4 </w:t>
      </w:r>
      <w:r w:rsidR="004928A7" w:rsidRPr="002922BC">
        <w:rPr>
          <w:sz w:val="20"/>
          <w:lang w:val="en-US"/>
        </w:rPr>
        <w:tab/>
      </w:r>
      <w:r w:rsidRPr="002922BC">
        <w:rPr>
          <w:sz w:val="20"/>
          <w:lang w:val="en-US"/>
        </w:rPr>
        <w:t xml:space="preserve">Log-rank </w:t>
      </w:r>
      <w:proofErr w:type="gramStart"/>
      <w:r w:rsidRPr="002922BC">
        <w:rPr>
          <w:sz w:val="20"/>
          <w:lang w:val="en-US"/>
        </w:rPr>
        <w:t>test</w:t>
      </w:r>
      <w:proofErr w:type="gramEnd"/>
      <w:r w:rsidRPr="002922BC">
        <w:rPr>
          <w:sz w:val="20"/>
          <w:lang w:val="en-US"/>
        </w:rPr>
        <w:t xml:space="preserve"> stratified by receipt of prior lenvatinib (yes vs. no) and age (≤ 65 years vs. &gt; 65 years) as stratification factors (per IXRS data).</w:t>
      </w:r>
    </w:p>
    <w:p w14:paraId="3127C2B6" w14:textId="27E60891" w:rsidR="00790817" w:rsidRPr="002922BC" w:rsidRDefault="00790817" w:rsidP="004928A7">
      <w:pPr>
        <w:ind w:left="426" w:hanging="426"/>
        <w:rPr>
          <w:sz w:val="20"/>
          <w:lang w:val="en-US"/>
        </w:rPr>
      </w:pPr>
      <w:r w:rsidRPr="002922BC">
        <w:rPr>
          <w:sz w:val="20"/>
          <w:vertAlign w:val="superscript"/>
          <w:lang w:val="en-US"/>
        </w:rPr>
        <w:t>5</w:t>
      </w:r>
      <w:r w:rsidRPr="002922BC">
        <w:rPr>
          <w:sz w:val="20"/>
          <w:lang w:val="en-US"/>
        </w:rPr>
        <w:t xml:space="preserve"> </w:t>
      </w:r>
      <w:r w:rsidR="004928A7" w:rsidRPr="002922BC">
        <w:rPr>
          <w:sz w:val="20"/>
          <w:lang w:val="en-US"/>
        </w:rPr>
        <w:tab/>
      </w:r>
      <w:r w:rsidRPr="002922BC">
        <w:rPr>
          <w:sz w:val="20"/>
          <w:lang w:val="en-US"/>
        </w:rPr>
        <w:t>Based on the first 100 patients included in the study with a median follow-up of 8.9 months, n=67 in cabozantinib group and n=33 in placebo group. The improvement in ORR was not statistically significant.</w:t>
      </w:r>
    </w:p>
    <w:p w14:paraId="5D659E73" w14:textId="77777777" w:rsidR="00790817" w:rsidRPr="00497000" w:rsidRDefault="00790817" w:rsidP="00790817">
      <w:pPr>
        <w:tabs>
          <w:tab w:val="left" w:pos="426"/>
        </w:tabs>
        <w:ind w:right="1418"/>
        <w:rPr>
          <w:sz w:val="24"/>
          <w:szCs w:val="24"/>
          <w:lang w:val="en-US"/>
        </w:rPr>
      </w:pPr>
    </w:p>
    <w:p w14:paraId="11455A86" w14:textId="77777777" w:rsidR="00790817" w:rsidRPr="00497000" w:rsidRDefault="00790817" w:rsidP="004928A7">
      <w:pPr>
        <w:keepNext/>
        <w:ind w:right="1418"/>
        <w:outlineLvl w:val="0"/>
        <w:rPr>
          <w:b/>
          <w:sz w:val="24"/>
          <w:szCs w:val="24"/>
          <w:lang w:val="en-US"/>
        </w:rPr>
      </w:pPr>
      <w:r w:rsidRPr="00497000">
        <w:rPr>
          <w:b/>
          <w:sz w:val="24"/>
          <w:szCs w:val="24"/>
          <w:lang w:val="en-US"/>
        </w:rPr>
        <w:lastRenderedPageBreak/>
        <w:t>Figure 8: Kaplan-Meier Curve of Progression-Free Survival in COSMIC-311 (updated analysis [cut-off date: 08 February 2021], N=258)</w:t>
      </w:r>
    </w:p>
    <w:p w14:paraId="2CAE7F07" w14:textId="77777777" w:rsidR="00790817" w:rsidRPr="00497000" w:rsidRDefault="00790817" w:rsidP="004928A7">
      <w:pPr>
        <w:keepNext/>
        <w:ind w:right="1418"/>
        <w:outlineLvl w:val="0"/>
        <w:rPr>
          <w:b/>
          <w:sz w:val="24"/>
          <w:szCs w:val="24"/>
          <w:lang w:val="en-US"/>
        </w:rPr>
      </w:pPr>
    </w:p>
    <w:p w14:paraId="3D4BF9CC" w14:textId="360E0446" w:rsidR="00790817" w:rsidRPr="00497000" w:rsidRDefault="00790817" w:rsidP="004928A7">
      <w:pPr>
        <w:keepNext/>
        <w:outlineLvl w:val="0"/>
        <w:rPr>
          <w:noProof/>
          <w:sz w:val="24"/>
          <w:szCs w:val="24"/>
          <w:lang w:eastAsia="en-GB"/>
        </w:rPr>
      </w:pPr>
      <w:r w:rsidRPr="00497000">
        <w:rPr>
          <w:noProof/>
          <w:sz w:val="24"/>
          <w:szCs w:val="24"/>
          <w:lang w:eastAsia="en-GB"/>
        </w:rPr>
        <w:drawing>
          <wp:inline distT="0" distB="0" distL="0" distR="0" wp14:anchorId="3D5EED36" wp14:editId="4561051D">
            <wp:extent cx="5372100" cy="32232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223260"/>
                    </a:xfrm>
                    <a:prstGeom prst="rect">
                      <a:avLst/>
                    </a:prstGeom>
                    <a:noFill/>
                    <a:ln>
                      <a:noFill/>
                    </a:ln>
                  </pic:spPr>
                </pic:pic>
              </a:graphicData>
            </a:graphic>
          </wp:inline>
        </w:drawing>
      </w:r>
    </w:p>
    <w:p w14:paraId="6A5D3B8F" w14:textId="77777777" w:rsidR="00790817" w:rsidRPr="00497000" w:rsidRDefault="00790817" w:rsidP="00790817">
      <w:pPr>
        <w:outlineLvl w:val="0"/>
        <w:rPr>
          <w:noProof/>
          <w:sz w:val="24"/>
          <w:szCs w:val="24"/>
          <w:lang w:eastAsia="en-GB"/>
        </w:rPr>
      </w:pPr>
    </w:p>
    <w:p w14:paraId="15C2D057" w14:textId="77777777" w:rsidR="00790817" w:rsidRPr="004928A7" w:rsidRDefault="00790817" w:rsidP="00497000">
      <w:pPr>
        <w:ind w:left="851"/>
        <w:rPr>
          <w:sz w:val="24"/>
          <w:szCs w:val="24"/>
          <w:u w:val="single"/>
        </w:rPr>
      </w:pPr>
      <w:r w:rsidRPr="004928A7">
        <w:rPr>
          <w:sz w:val="24"/>
          <w:szCs w:val="24"/>
          <w:u w:val="single"/>
        </w:rPr>
        <w:t>Paediatric population</w:t>
      </w:r>
    </w:p>
    <w:p w14:paraId="6DBF68F4" w14:textId="77777777" w:rsidR="00790817" w:rsidRPr="002922BC" w:rsidRDefault="00790817" w:rsidP="00497000">
      <w:pPr>
        <w:ind w:left="851"/>
        <w:rPr>
          <w:sz w:val="24"/>
          <w:szCs w:val="24"/>
          <w:lang w:val="en-US"/>
        </w:rPr>
      </w:pPr>
      <w:r w:rsidRPr="002922BC">
        <w:rPr>
          <w:sz w:val="24"/>
          <w:szCs w:val="24"/>
          <w:lang w:val="en-US"/>
        </w:rPr>
        <w:t>The European Medicines Agency has deferred the obligation to submit the results of studies with Cabozantinib in one or more subsets of the paediatric population in treatment of solid malignant tumours (see section 4.2 for information on paediatric use).</w:t>
      </w:r>
    </w:p>
    <w:p w14:paraId="632A4031" w14:textId="77777777" w:rsidR="00790817" w:rsidRPr="002922BC" w:rsidRDefault="00790817" w:rsidP="00497000">
      <w:pPr>
        <w:ind w:left="851"/>
        <w:rPr>
          <w:sz w:val="24"/>
          <w:szCs w:val="24"/>
          <w:lang w:val="en-US"/>
        </w:rPr>
      </w:pPr>
    </w:p>
    <w:p w14:paraId="66ED72D6" w14:textId="77777777" w:rsidR="00790817" w:rsidRPr="002922BC" w:rsidRDefault="00790817" w:rsidP="00497000">
      <w:pPr>
        <w:ind w:left="851"/>
        <w:rPr>
          <w:i/>
          <w:iCs/>
          <w:sz w:val="24"/>
          <w:szCs w:val="24"/>
          <w:lang w:val="en-US"/>
        </w:rPr>
      </w:pPr>
      <w:r w:rsidRPr="002922BC">
        <w:rPr>
          <w:i/>
          <w:iCs/>
          <w:sz w:val="24"/>
          <w:szCs w:val="24"/>
          <w:lang w:val="en-US"/>
        </w:rPr>
        <w:t xml:space="preserve">ADVL 1211 </w:t>
      </w:r>
    </w:p>
    <w:p w14:paraId="3E5B702E" w14:textId="77777777" w:rsidR="00790817" w:rsidRPr="002922BC" w:rsidRDefault="00790817" w:rsidP="00497000">
      <w:pPr>
        <w:ind w:left="851"/>
        <w:rPr>
          <w:sz w:val="24"/>
          <w:szCs w:val="24"/>
          <w:lang w:val="en-US"/>
        </w:rPr>
      </w:pPr>
    </w:p>
    <w:p w14:paraId="54EB78E4" w14:textId="52C09B54" w:rsidR="00790817" w:rsidRPr="00A76E2C" w:rsidRDefault="00790817" w:rsidP="00497000">
      <w:pPr>
        <w:ind w:left="851"/>
        <w:rPr>
          <w:iCs/>
          <w:sz w:val="24"/>
          <w:szCs w:val="24"/>
          <w:lang w:val="en-US"/>
        </w:rPr>
      </w:pPr>
      <w:r w:rsidRPr="002922BC">
        <w:rPr>
          <w:iCs/>
          <w:sz w:val="24"/>
          <w:szCs w:val="24"/>
          <w:lang w:val="en-US"/>
        </w:rPr>
        <w:t xml:space="preserve">A phase 1 study (ADVL1211) of cabozantinib in paediatric patients with solid tumours has been conducted by the Children Oncology Group (COG). Eligible patients were ≥2 years and ≤18 years. </w:t>
      </w:r>
      <w:r w:rsidRPr="00121ED6">
        <w:rPr>
          <w:iCs/>
          <w:sz w:val="24"/>
          <w:szCs w:val="24"/>
          <w:lang w:val="en-US"/>
        </w:rPr>
        <w:t>This study enrolled patients at 3 dose levels: 30 mg/m</w:t>
      </w:r>
      <w:r w:rsidRPr="00672770">
        <w:rPr>
          <w:iCs/>
          <w:sz w:val="24"/>
          <w:szCs w:val="24"/>
          <w:vertAlign w:val="superscript"/>
          <w:lang w:val="en-US"/>
        </w:rPr>
        <w:t>2</w:t>
      </w:r>
      <w:r w:rsidRPr="00121ED6">
        <w:rPr>
          <w:iCs/>
          <w:sz w:val="24"/>
          <w:szCs w:val="24"/>
          <w:lang w:val="en-US"/>
        </w:rPr>
        <w:t>, 40 mg/m</w:t>
      </w:r>
      <w:r w:rsidRPr="00121ED6">
        <w:rPr>
          <w:iCs/>
          <w:sz w:val="24"/>
          <w:szCs w:val="24"/>
          <w:vertAlign w:val="superscript"/>
          <w:lang w:val="en-US"/>
        </w:rPr>
        <w:t>2</w:t>
      </w:r>
      <w:r w:rsidRPr="00121ED6">
        <w:rPr>
          <w:iCs/>
          <w:sz w:val="24"/>
          <w:szCs w:val="24"/>
          <w:lang w:val="en-US"/>
        </w:rPr>
        <w:t>, and 55</w:t>
      </w:r>
      <w:r w:rsidR="00121ED6" w:rsidRPr="00121ED6">
        <w:rPr>
          <w:iCs/>
          <w:sz w:val="24"/>
          <w:szCs w:val="24"/>
          <w:lang w:val="en-US"/>
        </w:rPr>
        <w:t> </w:t>
      </w:r>
      <w:r w:rsidRPr="00121ED6">
        <w:rPr>
          <w:iCs/>
          <w:sz w:val="24"/>
          <w:szCs w:val="24"/>
          <w:lang w:val="en-US"/>
        </w:rPr>
        <w:t>mg/m</w:t>
      </w:r>
      <w:r w:rsidRPr="00121ED6">
        <w:rPr>
          <w:iCs/>
          <w:sz w:val="24"/>
          <w:szCs w:val="24"/>
          <w:vertAlign w:val="superscript"/>
          <w:lang w:val="en-US"/>
        </w:rPr>
        <w:t>2</w:t>
      </w:r>
      <w:r w:rsidRPr="00121ED6">
        <w:rPr>
          <w:iCs/>
          <w:sz w:val="24"/>
          <w:szCs w:val="24"/>
          <w:lang w:val="en-US"/>
        </w:rPr>
        <w:t xml:space="preserve"> once daily on a continuous dosing schedule (weekly dosing by BSA and rounded to the nearest 20 mg). </w:t>
      </w:r>
      <w:r w:rsidRPr="00A76E2C">
        <w:rPr>
          <w:iCs/>
          <w:sz w:val="24"/>
          <w:szCs w:val="24"/>
          <w:lang w:val="en-US"/>
        </w:rPr>
        <w:t>Cabozantinib was dosed based on body surface area (BSA) according to a dosing nomogram</w:t>
      </w:r>
      <w:r w:rsidR="00A76E2C" w:rsidRPr="00A76E2C">
        <w:rPr>
          <w:iCs/>
          <w:sz w:val="24"/>
          <w:szCs w:val="24"/>
          <w:lang w:val="en-US"/>
        </w:rPr>
        <w:t>.</w:t>
      </w:r>
      <w:r w:rsidRPr="00A76E2C">
        <w:rPr>
          <w:iCs/>
          <w:sz w:val="24"/>
          <w:szCs w:val="24"/>
          <w:lang w:val="en-US"/>
        </w:rPr>
        <w:t xml:space="preserve"> </w:t>
      </w:r>
    </w:p>
    <w:p w14:paraId="6889970C" w14:textId="77777777" w:rsidR="00790817" w:rsidRPr="002922BC" w:rsidRDefault="00790817" w:rsidP="00497000">
      <w:pPr>
        <w:ind w:left="851"/>
        <w:rPr>
          <w:iCs/>
          <w:sz w:val="24"/>
          <w:szCs w:val="24"/>
          <w:lang w:val="en-US"/>
        </w:rPr>
      </w:pPr>
      <w:r w:rsidRPr="002922BC">
        <w:rPr>
          <w:iCs/>
          <w:sz w:val="24"/>
          <w:szCs w:val="24"/>
          <w:lang w:val="en-US"/>
        </w:rPr>
        <w:t xml:space="preserve">The objective was to define dose limiting toxicities (DLTs), to determine the recommended phase 2 dose (RP2D), to obtain preliminary pharmacokinetics data in children and to explore efficacy in solid tumours. Forty-one patients were enrolled, of whom 36 were fully evaluable. Patients had a variety of solid tumours: MTC (n=5), osteosarcoma (n=2), EWS (n=4), rhabdomyosarcoma (RMS) (n=2), other soft tissue sarcoma (STS) (n=4), Wilms tumour (WT) (n=2), hepatoblastoma (n=2), HCC (n=2), RCC (n=3), central nervous system (CNS) tumours (n=9), and others (n=6). </w:t>
      </w:r>
    </w:p>
    <w:p w14:paraId="0174877F" w14:textId="77777777" w:rsidR="00790817" w:rsidRPr="002922BC" w:rsidRDefault="00790817" w:rsidP="00497000">
      <w:pPr>
        <w:ind w:left="851"/>
        <w:rPr>
          <w:iCs/>
          <w:sz w:val="24"/>
          <w:szCs w:val="24"/>
          <w:lang w:val="en-US"/>
        </w:rPr>
      </w:pPr>
      <w:r w:rsidRPr="002922BC">
        <w:rPr>
          <w:iCs/>
          <w:sz w:val="24"/>
          <w:szCs w:val="24"/>
          <w:lang w:val="en-US"/>
        </w:rPr>
        <w:t>Of the 36 subjects in the evaluable population, four subjects (11.1%) had best overall response of PR and eight subjects (22.2%) had SD (lasting at least 6 cycles). Of the 12 subjects with PR or SD greater than or equal to 6 cycles 10 subjects were in the cabozantinib 40 mg/m</w:t>
      </w:r>
      <w:r w:rsidRPr="002922BC">
        <w:rPr>
          <w:iCs/>
          <w:sz w:val="24"/>
          <w:szCs w:val="24"/>
          <w:vertAlign w:val="superscript"/>
          <w:lang w:val="en-US"/>
        </w:rPr>
        <w:t>2</w:t>
      </w:r>
      <w:r w:rsidRPr="002922BC">
        <w:rPr>
          <w:iCs/>
          <w:sz w:val="24"/>
          <w:szCs w:val="24"/>
          <w:lang w:val="en-US"/>
        </w:rPr>
        <w:t xml:space="preserve"> or 55 mg/m</w:t>
      </w:r>
      <w:r w:rsidRPr="002922BC">
        <w:rPr>
          <w:iCs/>
          <w:sz w:val="24"/>
          <w:szCs w:val="24"/>
          <w:vertAlign w:val="superscript"/>
          <w:lang w:val="en-US"/>
        </w:rPr>
        <w:t>2</w:t>
      </w:r>
      <w:r w:rsidRPr="002922BC">
        <w:rPr>
          <w:iCs/>
          <w:sz w:val="24"/>
          <w:szCs w:val="24"/>
          <w:lang w:val="en-US"/>
        </w:rPr>
        <w:t xml:space="preserve"> groups (seven and three, respectively). </w:t>
      </w:r>
    </w:p>
    <w:p w14:paraId="6E7EC855" w14:textId="77777777" w:rsidR="00790817" w:rsidRPr="002922BC" w:rsidRDefault="00790817" w:rsidP="00497000">
      <w:pPr>
        <w:ind w:left="851"/>
        <w:rPr>
          <w:iCs/>
          <w:sz w:val="24"/>
          <w:szCs w:val="24"/>
          <w:lang w:val="en-US"/>
        </w:rPr>
      </w:pPr>
      <w:r w:rsidRPr="002922BC">
        <w:rPr>
          <w:iCs/>
          <w:sz w:val="24"/>
          <w:szCs w:val="24"/>
          <w:lang w:val="en-US"/>
        </w:rPr>
        <w:t xml:space="preserve">Based on central review, partial responses were seen in 2/5 patients with MTC, one patient with Wilms tumour, and one patient with clear cell sarcoma. </w:t>
      </w:r>
    </w:p>
    <w:p w14:paraId="10D863BD" w14:textId="4213C340" w:rsidR="00121ED6" w:rsidRPr="002922BC" w:rsidRDefault="00121ED6">
      <w:pPr>
        <w:rPr>
          <w:iCs/>
          <w:sz w:val="24"/>
          <w:szCs w:val="24"/>
          <w:lang w:val="en-US"/>
        </w:rPr>
      </w:pPr>
      <w:r w:rsidRPr="002922BC">
        <w:rPr>
          <w:iCs/>
          <w:sz w:val="24"/>
          <w:szCs w:val="24"/>
          <w:lang w:val="en-US"/>
        </w:rPr>
        <w:br w:type="page"/>
      </w:r>
    </w:p>
    <w:p w14:paraId="0B365102" w14:textId="77777777" w:rsidR="00790817" w:rsidRPr="002922BC" w:rsidRDefault="00790817" w:rsidP="00497000">
      <w:pPr>
        <w:ind w:left="851"/>
        <w:rPr>
          <w:iCs/>
          <w:sz w:val="24"/>
          <w:szCs w:val="24"/>
          <w:lang w:val="en-US"/>
        </w:rPr>
      </w:pPr>
    </w:p>
    <w:p w14:paraId="5876F63E" w14:textId="77777777" w:rsidR="00790817" w:rsidRPr="00A76E2C" w:rsidRDefault="00790817" w:rsidP="00497000">
      <w:pPr>
        <w:ind w:left="851"/>
        <w:rPr>
          <w:i/>
          <w:sz w:val="24"/>
          <w:szCs w:val="24"/>
        </w:rPr>
      </w:pPr>
      <w:r w:rsidRPr="00A76E2C">
        <w:rPr>
          <w:i/>
          <w:iCs/>
          <w:sz w:val="24"/>
          <w:szCs w:val="24"/>
        </w:rPr>
        <w:t xml:space="preserve">ADVL1622 </w:t>
      </w:r>
    </w:p>
    <w:p w14:paraId="66D18548" w14:textId="77777777" w:rsidR="00790817" w:rsidRPr="002922BC" w:rsidRDefault="00790817" w:rsidP="00497000">
      <w:pPr>
        <w:ind w:left="851"/>
        <w:rPr>
          <w:iCs/>
          <w:sz w:val="24"/>
          <w:szCs w:val="24"/>
          <w:lang w:val="en-US"/>
        </w:rPr>
      </w:pPr>
      <w:r w:rsidRPr="002922BC">
        <w:rPr>
          <w:iCs/>
          <w:sz w:val="24"/>
          <w:szCs w:val="24"/>
          <w:lang w:val="en-US"/>
        </w:rPr>
        <w:t>ADVL1622 assessed the activity of cabozantinib in selected pediatric solid tumors. This multicenter, open label two-stage phase 2 trial included the following solid tumour strata: non-osteosarcoma strata (including Ewing sarcoma, rhabdomyosarcoma (RMS), non-rhabdomyosarcoma soft tissue sarcomas (NRSTS) and Wilms tumour), osteosarcoma stratum and rare solid tumours strata (including medullary thyroid carcinoma (MTC), renal cell carcinoma (RCC), hepatocellular carcinoma (HCC), hepatoblastoma, adrenocortical carcinoma and other solid tumours). Cabozantinib was administered orally once daily on a continuous dosing schedule of 28-day cycles at a dose of 40 mg/m</w:t>
      </w:r>
      <w:r w:rsidRPr="002922BC">
        <w:rPr>
          <w:iCs/>
          <w:sz w:val="24"/>
          <w:szCs w:val="24"/>
          <w:vertAlign w:val="superscript"/>
          <w:lang w:val="en-US"/>
        </w:rPr>
        <w:t>2</w:t>
      </w:r>
      <w:r w:rsidRPr="002922BC">
        <w:rPr>
          <w:iCs/>
          <w:sz w:val="24"/>
          <w:szCs w:val="24"/>
          <w:lang w:val="en-US"/>
        </w:rPr>
        <w:t>/day (cumulative weekly dose of 280 mg/m</w:t>
      </w:r>
      <w:r w:rsidRPr="002922BC">
        <w:rPr>
          <w:iCs/>
          <w:sz w:val="24"/>
          <w:szCs w:val="24"/>
          <w:vertAlign w:val="superscript"/>
          <w:lang w:val="en-US"/>
        </w:rPr>
        <w:t>2</w:t>
      </w:r>
      <w:r w:rsidRPr="002922BC">
        <w:rPr>
          <w:iCs/>
          <w:sz w:val="24"/>
          <w:szCs w:val="24"/>
          <w:lang w:val="en-US"/>
        </w:rPr>
        <w:t xml:space="preserve"> using a dosing nomogram). Subjects were ≥2 and ≤30 years of age at the time of study entry for all strata except upper age limit of ≤18 years of age for MTC, RCC and HCC. </w:t>
      </w:r>
    </w:p>
    <w:p w14:paraId="0EF3166B" w14:textId="77777777" w:rsidR="00790817" w:rsidRPr="002922BC" w:rsidRDefault="00790817" w:rsidP="00497000">
      <w:pPr>
        <w:ind w:left="851"/>
        <w:rPr>
          <w:iCs/>
          <w:sz w:val="24"/>
          <w:szCs w:val="24"/>
          <w:lang w:val="en-US"/>
        </w:rPr>
      </w:pPr>
      <w:r w:rsidRPr="002922BC">
        <w:rPr>
          <w:iCs/>
          <w:sz w:val="24"/>
          <w:szCs w:val="24"/>
          <w:lang w:val="en-US"/>
        </w:rPr>
        <w:t>For non-osteosarcoma and rare tumors strata the primary endpoint was the objective response rate (ORR). For the osteosarcoma stratum, a two-stage design that incorporated dual endpoints of objective response (CR + PR) based on Response Evaluation Criteria in Solid Tumors (RECIST) version 1.1 criteria and treatment success as defined by SD for ≥4 months was utilized. The PK of cabozantinib in pediatric and adolescent subjects was assessed (please refer to section 5.2)</w:t>
      </w:r>
    </w:p>
    <w:p w14:paraId="1EAFB2A2" w14:textId="6C2D1A91" w:rsidR="00790817" w:rsidRPr="002922BC" w:rsidRDefault="00790817" w:rsidP="00497000">
      <w:pPr>
        <w:ind w:left="851"/>
        <w:rPr>
          <w:iCs/>
          <w:sz w:val="24"/>
          <w:szCs w:val="24"/>
          <w:lang w:val="en-US"/>
        </w:rPr>
      </w:pPr>
    </w:p>
    <w:p w14:paraId="5564A753" w14:textId="77777777" w:rsidR="00790817" w:rsidRPr="002922BC" w:rsidRDefault="00790817" w:rsidP="00497000">
      <w:pPr>
        <w:ind w:left="851"/>
        <w:rPr>
          <w:iCs/>
          <w:sz w:val="24"/>
          <w:szCs w:val="24"/>
          <w:lang w:val="en-US"/>
        </w:rPr>
      </w:pPr>
      <w:r w:rsidRPr="002922BC">
        <w:rPr>
          <w:iCs/>
          <w:sz w:val="24"/>
          <w:szCs w:val="24"/>
          <w:lang w:val="en-US"/>
        </w:rPr>
        <w:t xml:space="preserve">Efficacy Results Summary </w:t>
      </w:r>
    </w:p>
    <w:p w14:paraId="1173F705" w14:textId="77777777" w:rsidR="00790817" w:rsidRPr="002922BC" w:rsidRDefault="00790817" w:rsidP="00497000">
      <w:pPr>
        <w:ind w:left="851"/>
        <w:rPr>
          <w:iCs/>
          <w:sz w:val="24"/>
          <w:szCs w:val="24"/>
          <w:lang w:val="en-US"/>
        </w:rPr>
      </w:pPr>
    </w:p>
    <w:p w14:paraId="28D82275" w14:textId="77777777" w:rsidR="00790817" w:rsidRPr="002922BC" w:rsidRDefault="00790817" w:rsidP="00497000">
      <w:pPr>
        <w:ind w:left="851"/>
        <w:rPr>
          <w:iCs/>
          <w:sz w:val="24"/>
          <w:szCs w:val="24"/>
          <w:lang w:val="en-US"/>
        </w:rPr>
      </w:pPr>
      <w:r w:rsidRPr="002922BC">
        <w:rPr>
          <w:iCs/>
          <w:sz w:val="24"/>
          <w:szCs w:val="24"/>
          <w:lang w:val="en-US"/>
        </w:rPr>
        <w:t xml:space="preserve">At the data cutoff date (30 June 2021), 108/109 subjects had received at least one dose of cabozantinib. Each statistical cohort in the non-osteosarcoma strata included 13 subjects. No responses were observed in these statistical cohorts. The osteosarcoma stratum included in total 29 subjects including 17 children (aged 9 to 17 years) and 12 adults (aged 18 to 22 years). </w:t>
      </w:r>
    </w:p>
    <w:p w14:paraId="06AE995B" w14:textId="77777777" w:rsidR="00790817" w:rsidRPr="002922BC" w:rsidRDefault="00790817" w:rsidP="00497000">
      <w:pPr>
        <w:ind w:left="851"/>
        <w:rPr>
          <w:sz w:val="24"/>
          <w:szCs w:val="24"/>
          <w:lang w:val="en-US"/>
        </w:rPr>
      </w:pPr>
    </w:p>
    <w:p w14:paraId="733DEA08" w14:textId="77777777" w:rsidR="00790817" w:rsidRPr="002922BC" w:rsidRDefault="00790817" w:rsidP="00497000">
      <w:pPr>
        <w:ind w:left="851"/>
        <w:rPr>
          <w:sz w:val="24"/>
          <w:szCs w:val="24"/>
          <w:lang w:val="en-US"/>
        </w:rPr>
      </w:pPr>
      <w:r w:rsidRPr="002922BC">
        <w:rPr>
          <w:sz w:val="24"/>
          <w:szCs w:val="24"/>
          <w:lang w:val="en-US"/>
        </w:rPr>
        <w:t>In the osteosarcoma stratum, all subjects had received prior systemic therapy A PR was observed in one adult and one child. The Disease Control Rate (DCR) was 34.5% (95% CI: 17.9, 54.3).</w:t>
      </w:r>
    </w:p>
    <w:p w14:paraId="258C5C1D" w14:textId="77777777" w:rsidR="007C5D2A" w:rsidRPr="00497000" w:rsidRDefault="007C5D2A" w:rsidP="00497000">
      <w:pPr>
        <w:ind w:left="851"/>
        <w:rPr>
          <w:sz w:val="24"/>
          <w:szCs w:val="24"/>
          <w:lang w:val="en-GB"/>
        </w:rPr>
      </w:pPr>
    </w:p>
    <w:p w14:paraId="14B695FC" w14:textId="2926D1F3" w:rsidR="007C5D2A" w:rsidRPr="00497000" w:rsidRDefault="007C5D2A" w:rsidP="007C5D2A">
      <w:pPr>
        <w:tabs>
          <w:tab w:val="left" w:pos="851"/>
        </w:tabs>
        <w:ind w:left="851" w:hanging="851"/>
        <w:rPr>
          <w:b/>
          <w:sz w:val="24"/>
          <w:szCs w:val="24"/>
          <w:lang w:val="en-GB"/>
        </w:rPr>
      </w:pPr>
      <w:r w:rsidRPr="00497000">
        <w:rPr>
          <w:b/>
          <w:sz w:val="24"/>
          <w:szCs w:val="24"/>
          <w:lang w:val="en-GB"/>
        </w:rPr>
        <w:t>5.2</w:t>
      </w:r>
      <w:r w:rsidRPr="00497000">
        <w:rPr>
          <w:b/>
          <w:sz w:val="24"/>
          <w:szCs w:val="24"/>
          <w:lang w:val="en-GB"/>
        </w:rPr>
        <w:tab/>
        <w:t>Pharmacokinetic properties</w:t>
      </w:r>
    </w:p>
    <w:p w14:paraId="3BDED548" w14:textId="77777777" w:rsidR="00A76E2C" w:rsidRPr="002922BC" w:rsidRDefault="00A76E2C" w:rsidP="00497000">
      <w:pPr>
        <w:ind w:left="851"/>
        <w:rPr>
          <w:sz w:val="24"/>
          <w:szCs w:val="24"/>
          <w:lang w:val="en-US"/>
        </w:rPr>
      </w:pPr>
    </w:p>
    <w:p w14:paraId="67E33A59" w14:textId="1961113B" w:rsidR="00790817" w:rsidRPr="002922BC" w:rsidRDefault="00790817" w:rsidP="00497000">
      <w:pPr>
        <w:ind w:left="851"/>
        <w:rPr>
          <w:sz w:val="24"/>
          <w:szCs w:val="24"/>
          <w:u w:val="single"/>
          <w:lang w:val="en-US"/>
        </w:rPr>
      </w:pPr>
      <w:r w:rsidRPr="002922BC">
        <w:rPr>
          <w:sz w:val="24"/>
          <w:szCs w:val="24"/>
          <w:u w:val="single"/>
          <w:lang w:val="en-US"/>
        </w:rPr>
        <w:t>Absorption</w:t>
      </w:r>
    </w:p>
    <w:p w14:paraId="1342507C" w14:textId="35905AEC" w:rsidR="00790817" w:rsidRPr="00121ED6" w:rsidRDefault="00790817" w:rsidP="00497000">
      <w:pPr>
        <w:ind w:left="851"/>
        <w:rPr>
          <w:sz w:val="24"/>
          <w:szCs w:val="24"/>
          <w:lang w:val="en-US"/>
        </w:rPr>
      </w:pPr>
      <w:r w:rsidRPr="002922BC">
        <w:rPr>
          <w:sz w:val="24"/>
          <w:szCs w:val="24"/>
          <w:lang w:val="en-US"/>
        </w:rPr>
        <w:t xml:space="preserve">Following oral administration of cabozantinib, peak cabozantinib plasma concentrations are reached at 3 to 4 hours post-dose. </w:t>
      </w:r>
      <w:r w:rsidRPr="00121ED6">
        <w:rPr>
          <w:sz w:val="24"/>
          <w:szCs w:val="24"/>
          <w:lang w:val="en-US"/>
        </w:rPr>
        <w:t>Plasma-concentration time profiles show a second absorption peak approximately 24 hours after administration, which suggests that cabozantinib may undergo enterohepatic recirculation.</w:t>
      </w:r>
    </w:p>
    <w:p w14:paraId="72166AF4" w14:textId="77777777" w:rsidR="00790817" w:rsidRPr="00121ED6" w:rsidRDefault="00790817" w:rsidP="00497000">
      <w:pPr>
        <w:ind w:left="851"/>
        <w:rPr>
          <w:sz w:val="24"/>
          <w:szCs w:val="24"/>
          <w:lang w:val="en-US"/>
        </w:rPr>
      </w:pPr>
    </w:p>
    <w:p w14:paraId="6111FE89" w14:textId="77777777" w:rsidR="00790817" w:rsidRPr="002922BC" w:rsidRDefault="00790817" w:rsidP="00497000">
      <w:pPr>
        <w:ind w:left="851"/>
        <w:rPr>
          <w:sz w:val="24"/>
          <w:szCs w:val="24"/>
          <w:lang w:val="en-US"/>
        </w:rPr>
      </w:pPr>
      <w:r w:rsidRPr="002922BC">
        <w:rPr>
          <w:sz w:val="24"/>
          <w:szCs w:val="24"/>
          <w:lang w:val="en-US"/>
        </w:rPr>
        <w:t>Repeat daily dosing of cabozantinib at 140 mg for 19 days resulted in an approximately a 4- to 5-fold mean cabozantinib accumulation (based on AUC) compared to a single dose administration; steady state is achieved by approximately Day 15.</w:t>
      </w:r>
    </w:p>
    <w:p w14:paraId="0A5EBD31" w14:textId="77777777" w:rsidR="00790817" w:rsidRPr="002922BC" w:rsidRDefault="00790817" w:rsidP="00497000">
      <w:pPr>
        <w:ind w:left="851"/>
        <w:rPr>
          <w:sz w:val="24"/>
          <w:szCs w:val="24"/>
          <w:lang w:val="en-US"/>
        </w:rPr>
      </w:pPr>
    </w:p>
    <w:p w14:paraId="6F8CB818" w14:textId="77777777" w:rsidR="00790817" w:rsidRPr="002922BC" w:rsidRDefault="00790817" w:rsidP="00497000">
      <w:pPr>
        <w:ind w:left="851"/>
        <w:rPr>
          <w:sz w:val="24"/>
          <w:szCs w:val="24"/>
          <w:lang w:val="en-US"/>
        </w:rPr>
      </w:pPr>
      <w:r w:rsidRPr="002922BC">
        <w:rPr>
          <w:sz w:val="24"/>
          <w:szCs w:val="24"/>
          <w:lang w:val="en-US"/>
        </w:rPr>
        <w:t>A high-fat meal moderately increased C</w:t>
      </w:r>
      <w:r w:rsidRPr="002922BC">
        <w:rPr>
          <w:sz w:val="24"/>
          <w:szCs w:val="24"/>
          <w:vertAlign w:val="subscript"/>
          <w:lang w:val="en-US"/>
        </w:rPr>
        <w:t>max</w:t>
      </w:r>
      <w:r w:rsidRPr="002922BC">
        <w:rPr>
          <w:sz w:val="24"/>
          <w:szCs w:val="24"/>
          <w:lang w:val="en-US"/>
        </w:rPr>
        <w:t xml:space="preserve"> and AUC values (41% and 57%, respectively) relative to fasted conditions in healthy volunteers administered a single 140 mg oral cabozantinib dose. There is no information on the precise food-effect when taken 1 hour after administration of cabozantinib.</w:t>
      </w:r>
    </w:p>
    <w:p w14:paraId="047F72E0" w14:textId="77777777" w:rsidR="00790817" w:rsidRPr="002922BC" w:rsidRDefault="00790817" w:rsidP="00497000">
      <w:pPr>
        <w:ind w:left="851"/>
        <w:rPr>
          <w:sz w:val="24"/>
          <w:szCs w:val="24"/>
          <w:lang w:val="en-US"/>
        </w:rPr>
      </w:pPr>
    </w:p>
    <w:p w14:paraId="28669C1F" w14:textId="77777777" w:rsidR="00790817" w:rsidRPr="002922BC" w:rsidRDefault="00790817" w:rsidP="00497000">
      <w:pPr>
        <w:ind w:left="851"/>
        <w:rPr>
          <w:sz w:val="24"/>
          <w:szCs w:val="24"/>
          <w:lang w:val="en-US"/>
        </w:rPr>
      </w:pPr>
      <w:r w:rsidRPr="002922BC">
        <w:rPr>
          <w:sz w:val="24"/>
          <w:szCs w:val="24"/>
          <w:lang w:val="en-US"/>
        </w:rPr>
        <w:t xml:space="preserve">Bioequivalence could not be demonstrated between the cabozantinib capsule and tablet formulations following a single 140 mg dose in healthy subjects. A 19% increase in the </w:t>
      </w:r>
      <w:r w:rsidRPr="002922BC">
        <w:rPr>
          <w:sz w:val="24"/>
          <w:szCs w:val="24"/>
          <w:lang w:val="en-US"/>
        </w:rPr>
        <w:lastRenderedPageBreak/>
        <w:t>C</w:t>
      </w:r>
      <w:r w:rsidRPr="002922BC">
        <w:rPr>
          <w:sz w:val="24"/>
          <w:szCs w:val="24"/>
          <w:vertAlign w:val="subscript"/>
          <w:lang w:val="en-US"/>
        </w:rPr>
        <w:t>max</w:t>
      </w:r>
      <w:r w:rsidRPr="002922BC">
        <w:rPr>
          <w:sz w:val="24"/>
          <w:szCs w:val="24"/>
          <w:lang w:val="en-US"/>
        </w:rPr>
        <w:t xml:space="preserve"> of the tablet formulation compared to the capsule formulation was observed. A less than 10% difference in the AUC was observed between cabozantinib tablet and capsule formulations.</w:t>
      </w:r>
    </w:p>
    <w:p w14:paraId="75F0A32A" w14:textId="77777777" w:rsidR="00790817" w:rsidRPr="002922BC" w:rsidRDefault="00790817" w:rsidP="00497000">
      <w:pPr>
        <w:ind w:left="851"/>
        <w:rPr>
          <w:sz w:val="24"/>
          <w:szCs w:val="24"/>
          <w:lang w:val="en-US"/>
        </w:rPr>
      </w:pPr>
    </w:p>
    <w:p w14:paraId="2BB0726D" w14:textId="77777777" w:rsidR="00790817" w:rsidRPr="00A76E2C" w:rsidRDefault="00790817" w:rsidP="00497000">
      <w:pPr>
        <w:ind w:left="851"/>
        <w:rPr>
          <w:sz w:val="24"/>
          <w:szCs w:val="24"/>
          <w:u w:val="single"/>
        </w:rPr>
      </w:pPr>
      <w:r w:rsidRPr="00A76E2C">
        <w:rPr>
          <w:sz w:val="24"/>
          <w:szCs w:val="24"/>
          <w:u w:val="single"/>
        </w:rPr>
        <w:t>Distribution</w:t>
      </w:r>
    </w:p>
    <w:p w14:paraId="2B22964B" w14:textId="390CD689" w:rsidR="00790817" w:rsidRPr="002922BC" w:rsidRDefault="00790817" w:rsidP="00497000">
      <w:pPr>
        <w:ind w:left="851"/>
        <w:rPr>
          <w:sz w:val="24"/>
          <w:szCs w:val="24"/>
          <w:lang w:val="en-US"/>
        </w:rPr>
      </w:pPr>
      <w:r w:rsidRPr="002922BC">
        <w:rPr>
          <w:sz w:val="24"/>
          <w:szCs w:val="24"/>
          <w:lang w:val="en-US"/>
        </w:rPr>
        <w:t xml:space="preserve">Cabozantinib is highly protein bound </w:t>
      </w:r>
      <w:r w:rsidRPr="002922BC">
        <w:rPr>
          <w:iCs/>
          <w:sz w:val="24"/>
          <w:szCs w:val="24"/>
          <w:lang w:val="en-US"/>
        </w:rPr>
        <w:t xml:space="preserve">in vitro </w:t>
      </w:r>
      <w:r w:rsidRPr="002922BC">
        <w:rPr>
          <w:sz w:val="24"/>
          <w:szCs w:val="24"/>
          <w:lang w:val="en-US"/>
        </w:rPr>
        <w:t>in human plasma (≥ 99.7%). Based on the population-pharmacokinetic (PK) model, the volume of distribution of the central compartment (Vc/F) was estimated to be 212 L.</w:t>
      </w:r>
    </w:p>
    <w:p w14:paraId="68EC74CA" w14:textId="77777777" w:rsidR="00790817" w:rsidRPr="002922BC" w:rsidRDefault="00790817" w:rsidP="00497000">
      <w:pPr>
        <w:ind w:left="851"/>
        <w:rPr>
          <w:sz w:val="24"/>
          <w:szCs w:val="24"/>
          <w:lang w:val="en-US"/>
        </w:rPr>
      </w:pPr>
    </w:p>
    <w:p w14:paraId="52495667" w14:textId="77777777" w:rsidR="00790817" w:rsidRPr="002922BC" w:rsidRDefault="00790817" w:rsidP="00497000">
      <w:pPr>
        <w:ind w:left="851"/>
        <w:rPr>
          <w:sz w:val="24"/>
          <w:szCs w:val="24"/>
          <w:u w:val="single"/>
          <w:lang w:val="en-US"/>
        </w:rPr>
      </w:pPr>
      <w:r w:rsidRPr="002922BC">
        <w:rPr>
          <w:sz w:val="24"/>
          <w:szCs w:val="24"/>
          <w:u w:val="single"/>
          <w:lang w:val="en-US"/>
        </w:rPr>
        <w:t>Biotransformation</w:t>
      </w:r>
    </w:p>
    <w:p w14:paraId="62849245" w14:textId="77777777" w:rsidR="00790817" w:rsidRPr="002922BC" w:rsidRDefault="00790817" w:rsidP="00497000">
      <w:pPr>
        <w:ind w:left="851"/>
        <w:rPr>
          <w:sz w:val="24"/>
          <w:szCs w:val="24"/>
          <w:lang w:val="en-US"/>
        </w:rPr>
      </w:pPr>
      <w:r w:rsidRPr="002922BC">
        <w:rPr>
          <w:sz w:val="24"/>
          <w:szCs w:val="24"/>
          <w:lang w:val="en-US"/>
        </w:rPr>
        <w:t xml:space="preserve">Cabozantinib was metabolized </w:t>
      </w:r>
      <w:r w:rsidRPr="002922BC">
        <w:rPr>
          <w:iCs/>
          <w:sz w:val="24"/>
          <w:szCs w:val="24"/>
          <w:lang w:val="en-US"/>
        </w:rPr>
        <w:t>in vivo</w:t>
      </w:r>
      <w:r w:rsidRPr="002922BC">
        <w:rPr>
          <w:sz w:val="24"/>
          <w:szCs w:val="24"/>
          <w:lang w:val="en-US"/>
        </w:rPr>
        <w:t>. Four metabolites were present in plasma at exposures (AUC) greater than 10% of parent: XL184-N-oxide, XL184 amide cleavage product, XL184 monohydroxy sulfate, and 6-desmethyl amide cleavage product sulfate. Two non-conjugated metabolites (XL184- N-oxide and XL184 amide cleavage product), which possess &lt;1% of the on-target kinase inhibition potency of parent cabozantinib, each represent &lt;10% of total drug-related plasma exposure.</w:t>
      </w:r>
    </w:p>
    <w:p w14:paraId="12EC4DA4" w14:textId="77777777" w:rsidR="00790817" w:rsidRPr="002922BC" w:rsidRDefault="00790817" w:rsidP="00497000">
      <w:pPr>
        <w:ind w:left="851"/>
        <w:rPr>
          <w:sz w:val="24"/>
          <w:szCs w:val="24"/>
          <w:lang w:val="en-US"/>
        </w:rPr>
      </w:pPr>
    </w:p>
    <w:p w14:paraId="0E6B47A0" w14:textId="77777777" w:rsidR="00790817" w:rsidRPr="002922BC" w:rsidRDefault="00790817" w:rsidP="00497000">
      <w:pPr>
        <w:ind w:left="851"/>
        <w:rPr>
          <w:sz w:val="24"/>
          <w:szCs w:val="24"/>
          <w:lang w:val="en-US"/>
        </w:rPr>
      </w:pPr>
      <w:r w:rsidRPr="002922BC">
        <w:rPr>
          <w:sz w:val="24"/>
          <w:szCs w:val="24"/>
          <w:lang w:val="en-US"/>
        </w:rPr>
        <w:t xml:space="preserve">Cabozantinib is a substrate for CYP3A4 metabolism </w:t>
      </w:r>
      <w:r w:rsidRPr="002922BC">
        <w:rPr>
          <w:iCs/>
          <w:sz w:val="24"/>
          <w:szCs w:val="24"/>
          <w:lang w:val="en-US"/>
        </w:rPr>
        <w:t>in vitro</w:t>
      </w:r>
      <w:r w:rsidRPr="002922BC">
        <w:rPr>
          <w:sz w:val="24"/>
          <w:szCs w:val="24"/>
          <w:lang w:val="en-US"/>
        </w:rPr>
        <w:t>, as a neutralizing antibody to CYP3A4 inhibited formation of metabolite XL184 N-oxide by &gt;80% in a NADPH-catalysed human liver microsomal (HLM) incubation; in contrast, neutralizing antibodies to CYP1A2, CYP2A6, CYP2B6, CYP2C8, CYP2C19, CYP2D6 and CYP2E1 had no effect on cabozantinib metabolite formation. A neutralizing antibody to CYP2C9 showed a minimal effect on cabozantinib metabolite formation (ie, a &lt;20%</w:t>
      </w:r>
      <w:r w:rsidRPr="002922BC">
        <w:rPr>
          <w:spacing w:val="-5"/>
          <w:sz w:val="24"/>
          <w:szCs w:val="24"/>
          <w:lang w:val="en-US"/>
        </w:rPr>
        <w:t xml:space="preserve"> </w:t>
      </w:r>
      <w:r w:rsidRPr="002922BC">
        <w:rPr>
          <w:sz w:val="24"/>
          <w:szCs w:val="24"/>
          <w:lang w:val="en-US"/>
        </w:rPr>
        <w:t>reduction).</w:t>
      </w:r>
    </w:p>
    <w:p w14:paraId="44A77DB2" w14:textId="77777777" w:rsidR="00790817" w:rsidRPr="002922BC" w:rsidRDefault="00790817" w:rsidP="00497000">
      <w:pPr>
        <w:ind w:left="851"/>
        <w:rPr>
          <w:sz w:val="24"/>
          <w:szCs w:val="24"/>
          <w:lang w:val="en-US"/>
        </w:rPr>
      </w:pPr>
    </w:p>
    <w:p w14:paraId="688DF4D2" w14:textId="77777777" w:rsidR="00790817" w:rsidRPr="002922BC" w:rsidRDefault="00790817" w:rsidP="00497000">
      <w:pPr>
        <w:ind w:left="851"/>
        <w:rPr>
          <w:sz w:val="24"/>
          <w:szCs w:val="24"/>
          <w:u w:val="single"/>
          <w:lang w:val="en-US"/>
        </w:rPr>
      </w:pPr>
      <w:r w:rsidRPr="002922BC">
        <w:rPr>
          <w:sz w:val="24"/>
          <w:szCs w:val="24"/>
          <w:u w:val="single"/>
          <w:lang w:val="en-US"/>
        </w:rPr>
        <w:t>Elimination</w:t>
      </w:r>
    </w:p>
    <w:p w14:paraId="28F6105B" w14:textId="69CA8762" w:rsidR="00790817" w:rsidRPr="002922BC" w:rsidRDefault="00790817" w:rsidP="00497000">
      <w:pPr>
        <w:ind w:left="851"/>
        <w:rPr>
          <w:sz w:val="24"/>
          <w:szCs w:val="24"/>
          <w:lang w:val="en-US"/>
        </w:rPr>
      </w:pPr>
      <w:r w:rsidRPr="00121ED6">
        <w:rPr>
          <w:sz w:val="24"/>
          <w:szCs w:val="24"/>
          <w:lang w:val="en-US"/>
        </w:rPr>
        <w:t>In a population PK analysis of cabozantinib using data collected from 1883 patients and 140 healthy volunteers following oral administration of a range of doses from 20 to 140</w:t>
      </w:r>
      <w:r w:rsidR="00121ED6" w:rsidRPr="00121ED6">
        <w:rPr>
          <w:sz w:val="24"/>
          <w:szCs w:val="24"/>
          <w:lang w:val="en-US"/>
        </w:rPr>
        <w:t> </w:t>
      </w:r>
      <w:r w:rsidRPr="00121ED6">
        <w:rPr>
          <w:sz w:val="24"/>
          <w:szCs w:val="24"/>
          <w:lang w:val="en-US"/>
        </w:rPr>
        <w:t xml:space="preserve">mg, the plasma terminal half-life of cabozantinib is approximately 110 hours. </w:t>
      </w:r>
      <w:r w:rsidRPr="002922BC">
        <w:rPr>
          <w:sz w:val="24"/>
          <w:szCs w:val="24"/>
          <w:lang w:val="en-US"/>
        </w:rPr>
        <w:t xml:space="preserve">Mean clearance (CL/F) at steady-state was estimated to be 2.48 L/hr. Within a 48-day collection period after a single dose of </w:t>
      </w:r>
      <w:r w:rsidRPr="002922BC">
        <w:rPr>
          <w:sz w:val="24"/>
          <w:szCs w:val="24"/>
          <w:vertAlign w:val="superscript"/>
          <w:lang w:val="en-US"/>
        </w:rPr>
        <w:t>14</w:t>
      </w:r>
      <w:r w:rsidRPr="002922BC">
        <w:rPr>
          <w:sz w:val="24"/>
          <w:szCs w:val="24"/>
          <w:lang w:val="en-US"/>
        </w:rPr>
        <w:t>C-cabozantinib in healthy volunteers, approximately 81% of the total administered radioactivity was recovered with 54% in faeces and 27% in urine.</w:t>
      </w:r>
    </w:p>
    <w:p w14:paraId="02DE3466" w14:textId="77777777" w:rsidR="00790817" w:rsidRPr="002922BC" w:rsidRDefault="00790817" w:rsidP="00497000">
      <w:pPr>
        <w:ind w:left="851"/>
        <w:rPr>
          <w:sz w:val="24"/>
          <w:szCs w:val="24"/>
          <w:lang w:val="en-US"/>
        </w:rPr>
      </w:pPr>
    </w:p>
    <w:p w14:paraId="218CEF85" w14:textId="77777777" w:rsidR="00790817" w:rsidRPr="002922BC" w:rsidRDefault="00790817" w:rsidP="00497000">
      <w:pPr>
        <w:ind w:left="851"/>
        <w:rPr>
          <w:sz w:val="24"/>
          <w:szCs w:val="24"/>
          <w:u w:val="single"/>
          <w:lang w:val="en-US"/>
        </w:rPr>
      </w:pPr>
      <w:r w:rsidRPr="002922BC">
        <w:rPr>
          <w:sz w:val="24"/>
          <w:szCs w:val="24"/>
          <w:u w:val="single"/>
          <w:lang w:val="en-US"/>
        </w:rPr>
        <w:t>Pharmacokinetics in special patient populations</w:t>
      </w:r>
    </w:p>
    <w:p w14:paraId="36CD7937" w14:textId="77777777" w:rsidR="00790817" w:rsidRPr="002922BC" w:rsidRDefault="00790817" w:rsidP="00497000">
      <w:pPr>
        <w:ind w:left="851"/>
        <w:rPr>
          <w:sz w:val="24"/>
          <w:szCs w:val="24"/>
          <w:lang w:val="en-US"/>
        </w:rPr>
      </w:pPr>
    </w:p>
    <w:p w14:paraId="03B010CB" w14:textId="77777777" w:rsidR="00790817" w:rsidRPr="002922BC" w:rsidRDefault="00790817" w:rsidP="00497000">
      <w:pPr>
        <w:ind w:left="851"/>
        <w:rPr>
          <w:i/>
          <w:iCs/>
          <w:sz w:val="24"/>
          <w:szCs w:val="24"/>
          <w:u w:val="single"/>
          <w:lang w:val="en-US"/>
        </w:rPr>
      </w:pPr>
      <w:r w:rsidRPr="002922BC">
        <w:rPr>
          <w:i/>
          <w:iCs/>
          <w:sz w:val="24"/>
          <w:szCs w:val="24"/>
          <w:u w:val="single"/>
          <w:lang w:val="en-US"/>
        </w:rPr>
        <w:t>Renal impairment</w:t>
      </w:r>
    </w:p>
    <w:p w14:paraId="1480FF1C" w14:textId="77777777" w:rsidR="00790817" w:rsidRPr="002922BC" w:rsidRDefault="00790817" w:rsidP="00A76E2C">
      <w:pPr>
        <w:ind w:left="851"/>
        <w:rPr>
          <w:sz w:val="24"/>
          <w:szCs w:val="24"/>
          <w:lang w:val="en-US"/>
        </w:rPr>
      </w:pPr>
      <w:r w:rsidRPr="002922BC">
        <w:rPr>
          <w:sz w:val="24"/>
          <w:szCs w:val="24"/>
          <w:lang w:val="en-US"/>
        </w:rPr>
        <w:t>In a renal impairment study conducted with a single 60 mg dose of cabozantinib, the ratios of geometric LS mean for total plasma cabozantinib, C</w:t>
      </w:r>
      <w:r w:rsidRPr="002922BC">
        <w:rPr>
          <w:sz w:val="24"/>
          <w:szCs w:val="24"/>
          <w:vertAlign w:val="subscript"/>
          <w:lang w:val="en-US"/>
        </w:rPr>
        <w:t>max</w:t>
      </w:r>
      <w:r w:rsidRPr="002922BC">
        <w:rPr>
          <w:sz w:val="24"/>
          <w:szCs w:val="24"/>
          <w:lang w:val="en-US"/>
        </w:rPr>
        <w:t xml:space="preserve"> and AUC</w:t>
      </w:r>
      <w:r w:rsidRPr="002922BC">
        <w:rPr>
          <w:sz w:val="24"/>
          <w:szCs w:val="24"/>
          <w:vertAlign w:val="subscript"/>
          <w:lang w:val="en-US"/>
        </w:rPr>
        <w:t>0-inf</w:t>
      </w:r>
      <w:r w:rsidRPr="002922BC">
        <w:rPr>
          <w:sz w:val="24"/>
          <w:szCs w:val="24"/>
          <w:lang w:val="en-US"/>
        </w:rPr>
        <w:t xml:space="preserve"> were 19% and 30% higher, for subjects with mild renal impairment (90% CI for C</w:t>
      </w:r>
      <w:r w:rsidRPr="002922BC">
        <w:rPr>
          <w:sz w:val="24"/>
          <w:szCs w:val="24"/>
          <w:vertAlign w:val="subscript"/>
          <w:lang w:val="en-US"/>
        </w:rPr>
        <w:t>max</w:t>
      </w:r>
      <w:r w:rsidRPr="002922BC">
        <w:rPr>
          <w:sz w:val="24"/>
          <w:szCs w:val="24"/>
          <w:lang w:val="en-US"/>
        </w:rPr>
        <w:t xml:space="preserve"> 91.60% to 155.51%; AUC</w:t>
      </w:r>
      <w:r w:rsidRPr="002922BC">
        <w:rPr>
          <w:sz w:val="24"/>
          <w:szCs w:val="24"/>
          <w:vertAlign w:val="subscript"/>
          <w:lang w:val="en-US"/>
        </w:rPr>
        <w:t>0-inf</w:t>
      </w:r>
      <w:r w:rsidRPr="002922BC">
        <w:rPr>
          <w:sz w:val="24"/>
          <w:szCs w:val="24"/>
          <w:lang w:val="en-US"/>
        </w:rPr>
        <w:t xml:space="preserve"> 98.79% to 171.26%) and 2% and 6-7% higher (90% CI for C</w:t>
      </w:r>
      <w:r w:rsidRPr="002922BC">
        <w:rPr>
          <w:sz w:val="24"/>
          <w:szCs w:val="24"/>
          <w:vertAlign w:val="subscript"/>
          <w:lang w:val="en-US"/>
        </w:rPr>
        <w:t>max</w:t>
      </w:r>
      <w:r w:rsidRPr="002922BC">
        <w:rPr>
          <w:sz w:val="24"/>
          <w:szCs w:val="24"/>
          <w:lang w:val="en-US"/>
        </w:rPr>
        <w:t xml:space="preserve"> 78.64% to 133.52%; AUC</w:t>
      </w:r>
      <w:r w:rsidRPr="002922BC">
        <w:rPr>
          <w:sz w:val="24"/>
          <w:szCs w:val="24"/>
          <w:vertAlign w:val="subscript"/>
          <w:lang w:val="en-US"/>
        </w:rPr>
        <w:t>0-inf</w:t>
      </w:r>
      <w:r w:rsidRPr="002922BC">
        <w:rPr>
          <w:sz w:val="24"/>
          <w:szCs w:val="24"/>
          <w:lang w:val="en-US"/>
        </w:rPr>
        <w:t xml:space="preserve"> 79.61% to 140.11%), for subjects with moderate renal impairment compared to subjects with normal renal function. The geometric LS means for unbound plasma cabozantinib AUC</w:t>
      </w:r>
      <w:r w:rsidRPr="002922BC">
        <w:rPr>
          <w:sz w:val="24"/>
          <w:szCs w:val="24"/>
          <w:vertAlign w:val="subscript"/>
          <w:lang w:val="en-US"/>
        </w:rPr>
        <w:t xml:space="preserve">0-inf </w:t>
      </w:r>
      <w:r w:rsidRPr="002922BC">
        <w:rPr>
          <w:sz w:val="24"/>
          <w:szCs w:val="24"/>
          <w:lang w:val="en-US"/>
        </w:rPr>
        <w:t>was 0.2% higher for subjects with mild renal impairment (90% CI 55.9% to 180%) and 17% higher (90% CI 65.1% to 209.7%) for subjects with moderate renal impairment compared to subjects with normal renal function. Subjects with severe renal impairment have not been studied.</w:t>
      </w:r>
    </w:p>
    <w:p w14:paraId="33C793F6" w14:textId="77777777" w:rsidR="00790817" w:rsidRPr="002922BC" w:rsidRDefault="00790817" w:rsidP="00497000">
      <w:pPr>
        <w:ind w:left="851"/>
        <w:rPr>
          <w:sz w:val="24"/>
          <w:szCs w:val="24"/>
          <w:lang w:val="en-US"/>
        </w:rPr>
      </w:pPr>
    </w:p>
    <w:p w14:paraId="0A842674" w14:textId="77777777" w:rsidR="00790817" w:rsidRPr="002922BC" w:rsidRDefault="00790817" w:rsidP="00497000">
      <w:pPr>
        <w:ind w:left="851"/>
        <w:rPr>
          <w:i/>
          <w:iCs/>
          <w:sz w:val="24"/>
          <w:szCs w:val="24"/>
          <w:u w:val="single"/>
          <w:lang w:val="en-US"/>
        </w:rPr>
      </w:pPr>
      <w:r w:rsidRPr="002922BC">
        <w:rPr>
          <w:i/>
          <w:iCs/>
          <w:sz w:val="24"/>
          <w:szCs w:val="24"/>
          <w:u w:val="single"/>
          <w:lang w:val="en-US"/>
        </w:rPr>
        <w:t>Hepatic impairment</w:t>
      </w:r>
    </w:p>
    <w:p w14:paraId="0AC3DAB4" w14:textId="77777777" w:rsidR="00790817" w:rsidRPr="002922BC" w:rsidRDefault="00790817" w:rsidP="00497000">
      <w:pPr>
        <w:ind w:left="851"/>
        <w:rPr>
          <w:sz w:val="24"/>
          <w:szCs w:val="24"/>
          <w:lang w:val="en-US"/>
        </w:rPr>
      </w:pPr>
      <w:r w:rsidRPr="002922BC">
        <w:rPr>
          <w:sz w:val="24"/>
          <w:szCs w:val="24"/>
          <w:lang w:val="en-US"/>
        </w:rPr>
        <w:t xml:space="preserve">Based on an integrated population pharmacokinetic analysis of cabozantinib in healthy subjects and cancer patients (including HCC), no clinically significant difference in the mean cabozantinib plasma exposure was observed amongst subjects with normal liver function (n=1425) and mild hepatic impairment (n=558). There is limited data in patients </w:t>
      </w:r>
      <w:r w:rsidRPr="002922BC">
        <w:rPr>
          <w:sz w:val="24"/>
          <w:szCs w:val="24"/>
          <w:lang w:val="en-US"/>
        </w:rPr>
        <w:lastRenderedPageBreak/>
        <w:t>with moderate hepatic impairment (n=15) as per NCI-ODWG (National Cancer Institute – Organ Dysfunction working Group) criteria. The pharmacokinetics of cabozantinib was not evaluated in patients with severe hepatic impairment.</w:t>
      </w:r>
    </w:p>
    <w:p w14:paraId="16A9E577" w14:textId="77777777" w:rsidR="00790817" w:rsidRPr="002922BC" w:rsidRDefault="00790817" w:rsidP="00497000">
      <w:pPr>
        <w:ind w:left="851"/>
        <w:rPr>
          <w:sz w:val="24"/>
          <w:szCs w:val="24"/>
          <w:lang w:val="en-US"/>
        </w:rPr>
      </w:pPr>
    </w:p>
    <w:p w14:paraId="0ED4B0F1" w14:textId="77777777" w:rsidR="00790817" w:rsidRPr="002922BC" w:rsidRDefault="00790817" w:rsidP="00497000">
      <w:pPr>
        <w:ind w:left="851"/>
        <w:rPr>
          <w:i/>
          <w:iCs/>
          <w:sz w:val="24"/>
          <w:szCs w:val="24"/>
          <w:u w:val="single"/>
          <w:lang w:val="en-US"/>
        </w:rPr>
      </w:pPr>
      <w:r w:rsidRPr="002922BC">
        <w:rPr>
          <w:i/>
          <w:iCs/>
          <w:sz w:val="24"/>
          <w:szCs w:val="24"/>
          <w:u w:val="single"/>
          <w:lang w:val="en-US"/>
        </w:rPr>
        <w:t>Race</w:t>
      </w:r>
    </w:p>
    <w:p w14:paraId="1094D58F" w14:textId="77777777" w:rsidR="00790817" w:rsidRPr="002922BC" w:rsidRDefault="00790817" w:rsidP="00497000">
      <w:pPr>
        <w:ind w:left="851"/>
        <w:rPr>
          <w:sz w:val="24"/>
          <w:szCs w:val="24"/>
          <w:lang w:val="en-US"/>
        </w:rPr>
      </w:pPr>
      <w:r w:rsidRPr="002922BC">
        <w:rPr>
          <w:sz w:val="24"/>
          <w:szCs w:val="24"/>
          <w:lang w:val="en-US"/>
        </w:rPr>
        <w:t>A population PK analysis did not identify clinically relevant differences in PK of cabozantinib based on race.</w:t>
      </w:r>
    </w:p>
    <w:p w14:paraId="38D197C8" w14:textId="77777777" w:rsidR="00790817" w:rsidRPr="002922BC" w:rsidRDefault="00790817" w:rsidP="00497000">
      <w:pPr>
        <w:ind w:left="851"/>
        <w:rPr>
          <w:sz w:val="24"/>
          <w:szCs w:val="24"/>
          <w:lang w:val="en-US"/>
        </w:rPr>
      </w:pPr>
    </w:p>
    <w:p w14:paraId="5BB89C69" w14:textId="77777777" w:rsidR="00790817" w:rsidRPr="002922BC" w:rsidRDefault="00790817" w:rsidP="00497000">
      <w:pPr>
        <w:ind w:left="851"/>
        <w:rPr>
          <w:i/>
          <w:iCs/>
          <w:sz w:val="24"/>
          <w:szCs w:val="24"/>
          <w:u w:val="single"/>
          <w:lang w:val="en-US"/>
        </w:rPr>
      </w:pPr>
      <w:r w:rsidRPr="002922BC">
        <w:rPr>
          <w:i/>
          <w:iCs/>
          <w:sz w:val="24"/>
          <w:szCs w:val="24"/>
          <w:u w:val="single"/>
          <w:lang w:val="en-US"/>
        </w:rPr>
        <w:t>Paediatrics</w:t>
      </w:r>
    </w:p>
    <w:p w14:paraId="5455504B" w14:textId="249D4E70" w:rsidR="00790817" w:rsidRPr="00A76E2C" w:rsidRDefault="00790817" w:rsidP="00497000">
      <w:pPr>
        <w:ind w:left="851"/>
        <w:rPr>
          <w:sz w:val="24"/>
          <w:szCs w:val="24"/>
          <w:lang w:val="en-US"/>
        </w:rPr>
      </w:pPr>
      <w:r w:rsidRPr="00A76E2C">
        <w:rPr>
          <w:sz w:val="24"/>
          <w:szCs w:val="24"/>
          <w:lang w:val="en-US"/>
        </w:rPr>
        <w:t>Data obtained from simulation performed with the population pharmacokinetic model developed in healthy subjects as well as adult patients with different type of malignancies show that in adolescent patients aged 12 years and older, a dose of 40 mg of cabozantinib once daily for patients &lt; 40 kg, or a dose of 60 mg once daily in patients ≥ 40 kg results in a similar plasma exposure attained in adults treated with 60 mg of cabozantinib once daily (see section 4.2).</w:t>
      </w:r>
    </w:p>
    <w:p w14:paraId="67F63984" w14:textId="77777777" w:rsidR="00790817" w:rsidRPr="00A76E2C" w:rsidRDefault="00790817" w:rsidP="00497000">
      <w:pPr>
        <w:ind w:left="851"/>
        <w:rPr>
          <w:sz w:val="24"/>
          <w:szCs w:val="24"/>
          <w:lang w:val="en-US"/>
        </w:rPr>
      </w:pPr>
    </w:p>
    <w:p w14:paraId="6C0968D9" w14:textId="19B8B051" w:rsidR="00790817" w:rsidRPr="00121ED6" w:rsidRDefault="00790817" w:rsidP="00497000">
      <w:pPr>
        <w:ind w:left="851"/>
        <w:rPr>
          <w:sz w:val="24"/>
          <w:szCs w:val="24"/>
          <w:lang w:val="en-US"/>
        </w:rPr>
      </w:pPr>
      <w:r w:rsidRPr="002922BC">
        <w:rPr>
          <w:sz w:val="24"/>
          <w:szCs w:val="24"/>
          <w:lang w:val="en-US"/>
        </w:rPr>
        <w:t>In the two clinical studies conducted by the COG in paediatric patients with solid tumours (ADVL1211 and ADVL1622), cabozantinib was dosed based on body surface area (BSA) according to a dosing nomogram, using available 20 mg and 60 mg tablets intended for adults. Among the 55 patients, median age was 13 years (range: 4 to 18 years). A population PK analysis was built using PK data collected in both studies. The PK of cabozantinib was adequately described by a two-compartment model with first-</w:t>
      </w:r>
      <w:r w:rsidRPr="002922BC">
        <w:rPr>
          <w:color w:val="000000"/>
          <w:sz w:val="24"/>
          <w:szCs w:val="24"/>
          <w:lang w:val="en-US" w:eastAsia="en-GB"/>
        </w:rPr>
        <w:t xml:space="preserve"> </w:t>
      </w:r>
      <w:r w:rsidRPr="002922BC">
        <w:rPr>
          <w:sz w:val="24"/>
          <w:szCs w:val="24"/>
          <w:lang w:val="en-US"/>
        </w:rPr>
        <w:t xml:space="preserve">order elimination and first-order absorption processes. There was no evidence that age, sex, race ethnicity and tumour type affected cabozantinib PK in children and adolescent patients. Only BSA was found to be a significant predictor of cabozantinib PK. No dose dependency was seen in the developed model across the three tested dose levels (30, 40 and 55 mg/m²). </w:t>
      </w:r>
      <w:r w:rsidRPr="00121ED6">
        <w:rPr>
          <w:sz w:val="24"/>
          <w:szCs w:val="24"/>
          <w:lang w:val="en-US"/>
        </w:rPr>
        <w:t>The exposures in children and adolescent subjects following an administration of a BSA-based dose of 40mg/m² are similar to exposures in adults with a fixed dose of 60</w:t>
      </w:r>
      <w:r w:rsidR="00121ED6" w:rsidRPr="00121ED6">
        <w:rPr>
          <w:sz w:val="24"/>
          <w:szCs w:val="24"/>
          <w:lang w:val="en-US"/>
        </w:rPr>
        <w:t xml:space="preserve"> </w:t>
      </w:r>
      <w:r w:rsidRPr="00121ED6">
        <w:rPr>
          <w:sz w:val="24"/>
          <w:szCs w:val="24"/>
          <w:lang w:val="en-US"/>
        </w:rPr>
        <w:t>mg QD.</w:t>
      </w:r>
    </w:p>
    <w:p w14:paraId="36F5727F" w14:textId="77777777" w:rsidR="007C5D2A" w:rsidRPr="00497000" w:rsidRDefault="007C5D2A" w:rsidP="003E0341">
      <w:pPr>
        <w:tabs>
          <w:tab w:val="left" w:pos="851"/>
        </w:tabs>
        <w:ind w:left="851"/>
        <w:rPr>
          <w:sz w:val="24"/>
          <w:szCs w:val="24"/>
          <w:lang w:val="en-GB"/>
        </w:rPr>
      </w:pPr>
    </w:p>
    <w:p w14:paraId="01363CC5" w14:textId="77777777" w:rsidR="007C5D2A" w:rsidRPr="00497000" w:rsidRDefault="00180A12" w:rsidP="007C5D2A">
      <w:pPr>
        <w:tabs>
          <w:tab w:val="left" w:pos="851"/>
        </w:tabs>
        <w:ind w:left="851" w:hanging="851"/>
        <w:rPr>
          <w:b/>
          <w:sz w:val="24"/>
          <w:szCs w:val="24"/>
          <w:lang w:val="en-GB"/>
        </w:rPr>
      </w:pPr>
      <w:r w:rsidRPr="00497000">
        <w:rPr>
          <w:b/>
          <w:sz w:val="24"/>
          <w:szCs w:val="24"/>
          <w:lang w:val="en-GB"/>
        </w:rPr>
        <w:t>5.3</w:t>
      </w:r>
      <w:r w:rsidRPr="00497000">
        <w:rPr>
          <w:b/>
          <w:sz w:val="24"/>
          <w:szCs w:val="24"/>
          <w:lang w:val="en-GB"/>
        </w:rPr>
        <w:tab/>
        <w:t>Preclinical safety data</w:t>
      </w:r>
    </w:p>
    <w:p w14:paraId="3077EDB9" w14:textId="77777777" w:rsidR="00790817" w:rsidRPr="002922BC" w:rsidRDefault="00790817" w:rsidP="00497000">
      <w:pPr>
        <w:ind w:left="851"/>
        <w:rPr>
          <w:sz w:val="24"/>
          <w:szCs w:val="24"/>
          <w:lang w:val="en-US"/>
        </w:rPr>
      </w:pPr>
      <w:r w:rsidRPr="002922BC">
        <w:rPr>
          <w:sz w:val="24"/>
          <w:szCs w:val="24"/>
          <w:lang w:val="en-US"/>
        </w:rPr>
        <w:t>Adverse reactions not observed in clinical trials, but seen in animals at exposure levels similar to clinical exposure levels and with possible relevance to clinical use were as follows:</w:t>
      </w:r>
    </w:p>
    <w:p w14:paraId="03E7A05C" w14:textId="77777777" w:rsidR="00790817" w:rsidRPr="002922BC" w:rsidRDefault="00790817" w:rsidP="00497000">
      <w:pPr>
        <w:ind w:left="851"/>
        <w:rPr>
          <w:sz w:val="24"/>
          <w:szCs w:val="24"/>
          <w:lang w:val="en-US"/>
        </w:rPr>
      </w:pPr>
    </w:p>
    <w:p w14:paraId="67FFAE34" w14:textId="77777777" w:rsidR="00790817" w:rsidRPr="002922BC" w:rsidRDefault="00790817" w:rsidP="00497000">
      <w:pPr>
        <w:ind w:left="851"/>
        <w:rPr>
          <w:sz w:val="24"/>
          <w:szCs w:val="24"/>
          <w:lang w:val="en-US"/>
        </w:rPr>
      </w:pPr>
      <w:r w:rsidRPr="002922BC">
        <w:rPr>
          <w:sz w:val="24"/>
          <w:szCs w:val="24"/>
          <w:lang w:val="en-US"/>
        </w:rPr>
        <w:t>In rat and dog repeat-dose toxicity studies up to 6 months duration, target organs for toxicity were GI tract, bone marrow, lymphoid tissues, kidney, adrenal and reproductive tract tissues. The no observed adverse effect level (NOAEL) for these findings were below human clinical exposure levels at intended therapeutic dose.</w:t>
      </w:r>
    </w:p>
    <w:p w14:paraId="56CAF75A" w14:textId="77777777" w:rsidR="00790817" w:rsidRPr="002922BC" w:rsidRDefault="00790817" w:rsidP="00497000">
      <w:pPr>
        <w:ind w:left="851"/>
        <w:rPr>
          <w:sz w:val="24"/>
          <w:szCs w:val="24"/>
          <w:lang w:val="en-US"/>
        </w:rPr>
      </w:pPr>
    </w:p>
    <w:p w14:paraId="43801834" w14:textId="00F965ED" w:rsidR="00790817" w:rsidRPr="002922BC" w:rsidRDefault="00790817" w:rsidP="00497000">
      <w:pPr>
        <w:ind w:left="851"/>
        <w:rPr>
          <w:sz w:val="24"/>
          <w:szCs w:val="24"/>
          <w:lang w:val="en-US"/>
        </w:rPr>
      </w:pPr>
      <w:r w:rsidRPr="002922BC">
        <w:rPr>
          <w:sz w:val="24"/>
          <w:szCs w:val="24"/>
          <w:lang w:val="en-US"/>
        </w:rPr>
        <w:t xml:space="preserve">Cabozantinib has shown no mutagenic or clastogenic potential in a standard battery of genotoxicity assays. The carcinogenic potential of cabozantinib has been evaluated in two species: rasH2 transgenic mice and Sprague-Dawley rats. </w:t>
      </w:r>
      <w:r w:rsidRPr="00121ED6">
        <w:rPr>
          <w:sz w:val="24"/>
          <w:szCs w:val="24"/>
          <w:lang w:val="en-US"/>
        </w:rPr>
        <w:t>In the 2-year rat carcinogenicity study, cabozantinib-related neoplastic findings consisted of an increased incidence of benign pheochromocytoma, alone or in combination with malignant pheochromo</w:t>
      </w:r>
      <w:r w:rsidR="00121ED6" w:rsidRPr="00121ED6">
        <w:rPr>
          <w:sz w:val="24"/>
          <w:szCs w:val="24"/>
          <w:lang w:val="en-US"/>
        </w:rPr>
        <w:softHyphen/>
      </w:r>
      <w:r w:rsidRPr="00121ED6">
        <w:rPr>
          <w:sz w:val="24"/>
          <w:szCs w:val="24"/>
          <w:lang w:val="en-US"/>
        </w:rPr>
        <w:t xml:space="preserve">cytoma/complex malignant pheochromocytoma of the adrenal medulla in both sexes at exposures well below the intended exposure in humans. </w:t>
      </w:r>
      <w:r w:rsidRPr="002922BC">
        <w:rPr>
          <w:sz w:val="24"/>
          <w:szCs w:val="24"/>
          <w:lang w:val="en-US"/>
        </w:rPr>
        <w:t>The clinical relevance of the observed neoplastic lesions in rats is uncertain, but likely to be</w:t>
      </w:r>
      <w:r w:rsidRPr="002922BC">
        <w:rPr>
          <w:spacing w:val="-18"/>
          <w:sz w:val="24"/>
          <w:szCs w:val="24"/>
          <w:lang w:val="en-US"/>
        </w:rPr>
        <w:t xml:space="preserve"> </w:t>
      </w:r>
      <w:r w:rsidRPr="002922BC">
        <w:rPr>
          <w:sz w:val="24"/>
          <w:szCs w:val="24"/>
          <w:lang w:val="en-US"/>
        </w:rPr>
        <w:t>low.</w:t>
      </w:r>
    </w:p>
    <w:p w14:paraId="242D5AEF" w14:textId="77777777" w:rsidR="00790817" w:rsidRPr="002922BC" w:rsidRDefault="00790817" w:rsidP="00497000">
      <w:pPr>
        <w:ind w:left="851"/>
        <w:rPr>
          <w:sz w:val="24"/>
          <w:szCs w:val="24"/>
          <w:lang w:val="en-US"/>
        </w:rPr>
      </w:pPr>
      <w:r w:rsidRPr="002922BC">
        <w:rPr>
          <w:sz w:val="24"/>
          <w:szCs w:val="24"/>
          <w:lang w:val="en-US"/>
        </w:rPr>
        <w:t>Cabozantinib was not carcinogenic in the rasH2 mouse model at a slightly higher exposure than the intended human therapeutic exposure.</w:t>
      </w:r>
    </w:p>
    <w:p w14:paraId="7B0646B5" w14:textId="77777777" w:rsidR="00790817" w:rsidRPr="002922BC" w:rsidRDefault="00790817" w:rsidP="00497000">
      <w:pPr>
        <w:ind w:left="851"/>
        <w:rPr>
          <w:sz w:val="24"/>
          <w:szCs w:val="24"/>
          <w:lang w:val="en-US"/>
        </w:rPr>
      </w:pPr>
    </w:p>
    <w:p w14:paraId="3AD37D53" w14:textId="77777777" w:rsidR="00790817" w:rsidRPr="002922BC" w:rsidRDefault="00790817" w:rsidP="00497000">
      <w:pPr>
        <w:ind w:left="851"/>
        <w:rPr>
          <w:sz w:val="24"/>
          <w:szCs w:val="24"/>
          <w:lang w:val="en-US"/>
        </w:rPr>
      </w:pPr>
      <w:r w:rsidRPr="002922BC">
        <w:rPr>
          <w:sz w:val="24"/>
          <w:szCs w:val="24"/>
          <w:lang w:val="en-US"/>
        </w:rPr>
        <w:lastRenderedPageBreak/>
        <w:t>Fertility studies in rats have shown reduced male and female fertility. Further, hypospermatogenesis was observed in male dogs at exposure levels below human clinical exposure levels at intended therapeutic</w:t>
      </w:r>
      <w:r w:rsidRPr="002922BC">
        <w:rPr>
          <w:spacing w:val="-1"/>
          <w:sz w:val="24"/>
          <w:szCs w:val="24"/>
          <w:lang w:val="en-US"/>
        </w:rPr>
        <w:t xml:space="preserve"> </w:t>
      </w:r>
      <w:r w:rsidRPr="002922BC">
        <w:rPr>
          <w:sz w:val="24"/>
          <w:szCs w:val="24"/>
          <w:lang w:val="en-US"/>
        </w:rPr>
        <w:t>dose.</w:t>
      </w:r>
    </w:p>
    <w:p w14:paraId="5E7B9E76" w14:textId="77777777" w:rsidR="00790817" w:rsidRPr="002922BC" w:rsidRDefault="00790817" w:rsidP="00497000">
      <w:pPr>
        <w:ind w:left="851"/>
        <w:rPr>
          <w:sz w:val="24"/>
          <w:szCs w:val="24"/>
          <w:lang w:val="en-US"/>
        </w:rPr>
      </w:pPr>
    </w:p>
    <w:p w14:paraId="477AEF61" w14:textId="3C8F10A0" w:rsidR="00790817" w:rsidRPr="002922BC" w:rsidRDefault="00790817" w:rsidP="00497000">
      <w:pPr>
        <w:ind w:left="851"/>
        <w:rPr>
          <w:sz w:val="24"/>
          <w:szCs w:val="24"/>
          <w:lang w:val="en-US"/>
        </w:rPr>
      </w:pPr>
      <w:r w:rsidRPr="002922BC">
        <w:rPr>
          <w:sz w:val="24"/>
          <w:szCs w:val="24"/>
          <w:lang w:val="en-US"/>
        </w:rPr>
        <w:t>Embryo-foetal development studies were performed in rats and rabbits. In rats, cabozantinib caused postimplantation loss, foetal oedema, cleft palate/lip, dermal aplasia and kinked or rudimentary tail. In rabbits, cabozantinib produced foetal soft tissue changes (reduced spleen size, small or missing intermediate lung lobe) and increased foetal incidence of total malformations. NOAEL for embryo-foetal toxicity and teratogenic findings were below human clinical exposure levels at intended therapeutic</w:t>
      </w:r>
      <w:r w:rsidRPr="002922BC">
        <w:rPr>
          <w:spacing w:val="-1"/>
          <w:sz w:val="24"/>
          <w:szCs w:val="24"/>
          <w:lang w:val="en-US"/>
        </w:rPr>
        <w:t xml:space="preserve"> </w:t>
      </w:r>
      <w:r w:rsidRPr="002922BC">
        <w:rPr>
          <w:sz w:val="24"/>
          <w:szCs w:val="24"/>
          <w:lang w:val="en-US"/>
        </w:rPr>
        <w:t>dose.</w:t>
      </w:r>
    </w:p>
    <w:p w14:paraId="523E4643" w14:textId="77777777" w:rsidR="00790817" w:rsidRPr="002922BC" w:rsidRDefault="00790817" w:rsidP="00497000">
      <w:pPr>
        <w:ind w:left="851"/>
        <w:rPr>
          <w:sz w:val="24"/>
          <w:szCs w:val="24"/>
          <w:lang w:val="en-US"/>
        </w:rPr>
      </w:pPr>
    </w:p>
    <w:p w14:paraId="3A1A5301" w14:textId="7AC7F53C" w:rsidR="00790817" w:rsidRPr="00121ED6" w:rsidRDefault="00790817" w:rsidP="00497000">
      <w:pPr>
        <w:ind w:left="851"/>
        <w:rPr>
          <w:sz w:val="24"/>
          <w:szCs w:val="24"/>
          <w:lang w:val="en-US"/>
        </w:rPr>
      </w:pPr>
      <w:r w:rsidRPr="002922BC">
        <w:rPr>
          <w:sz w:val="24"/>
          <w:szCs w:val="24"/>
          <w:lang w:val="en-US"/>
        </w:rPr>
        <w:t>Juvenile rats (comparable to a &gt;</w:t>
      </w:r>
      <w:proofErr w:type="gramStart"/>
      <w:r w:rsidRPr="002922BC">
        <w:rPr>
          <w:sz w:val="24"/>
          <w:szCs w:val="24"/>
          <w:lang w:val="en-US"/>
        </w:rPr>
        <w:t>2 year-old</w:t>
      </w:r>
      <w:proofErr w:type="gramEnd"/>
      <w:r w:rsidRPr="002922BC">
        <w:rPr>
          <w:sz w:val="24"/>
          <w:szCs w:val="24"/>
          <w:lang w:val="en-US"/>
        </w:rPr>
        <w:t xml:space="preserve"> paediatric population) administered cabozantinib showed increased WBC parameters, decreased haematopoiesis, pubescent/immature female reproductive system (without delayed vaginal opening), tooth abnormalities, reduced bone mineral content and density, liver pigmentation and lymph node lymphoid hyperplasia. Findings in uterus/ovaries and decreased haematopoiesis appeared to be transient, while effects on bone parameters and liver pigmentation were sustained. </w:t>
      </w:r>
      <w:r w:rsidRPr="00121ED6">
        <w:rPr>
          <w:sz w:val="24"/>
          <w:szCs w:val="24"/>
          <w:lang w:val="en-US"/>
        </w:rPr>
        <w:t>Juvenile rats (correlating to a &lt;2-year paediatric population) showed similar treatment-related findings, with additional findings in male reproductive system (degeneration and/or atrophy of seminiferous tubules in testes, reduced luminal sperm in epididymis), and appeared to be more sensitive to cabozantinib-related toxicity at comparable dose levels.</w:t>
      </w:r>
    </w:p>
    <w:p w14:paraId="7F3DCE5B" w14:textId="77777777" w:rsidR="007C5D2A" w:rsidRPr="00121ED6" w:rsidRDefault="007C5D2A" w:rsidP="00497000">
      <w:pPr>
        <w:ind w:left="851"/>
        <w:rPr>
          <w:sz w:val="24"/>
          <w:szCs w:val="24"/>
          <w:lang w:val="en-US"/>
        </w:rPr>
      </w:pPr>
    </w:p>
    <w:p w14:paraId="012279D4" w14:textId="77777777" w:rsidR="007C5D2A" w:rsidRPr="00497000" w:rsidRDefault="007C5D2A" w:rsidP="003E0341">
      <w:pPr>
        <w:tabs>
          <w:tab w:val="left" w:pos="851"/>
        </w:tabs>
        <w:ind w:left="851"/>
        <w:rPr>
          <w:sz w:val="24"/>
          <w:szCs w:val="24"/>
          <w:lang w:val="en-GB"/>
        </w:rPr>
      </w:pPr>
    </w:p>
    <w:p w14:paraId="22A86028" w14:textId="77777777" w:rsidR="007C5D2A" w:rsidRPr="00497000" w:rsidRDefault="009925C9" w:rsidP="007C5D2A">
      <w:pPr>
        <w:ind w:left="851" w:hanging="851"/>
        <w:rPr>
          <w:b/>
          <w:sz w:val="24"/>
          <w:szCs w:val="24"/>
          <w:lang w:val="en-GB"/>
        </w:rPr>
      </w:pPr>
      <w:r w:rsidRPr="00497000">
        <w:rPr>
          <w:b/>
          <w:sz w:val="24"/>
          <w:szCs w:val="24"/>
          <w:lang w:val="en-GB"/>
        </w:rPr>
        <w:t>6.</w:t>
      </w:r>
      <w:r w:rsidR="007C5D2A" w:rsidRPr="00497000">
        <w:rPr>
          <w:b/>
          <w:sz w:val="24"/>
          <w:szCs w:val="24"/>
          <w:lang w:val="en-GB"/>
        </w:rPr>
        <w:tab/>
        <w:t>PHARMACEUTICAL PARTICULARS</w:t>
      </w:r>
    </w:p>
    <w:p w14:paraId="307DA378" w14:textId="77777777" w:rsidR="007C5D2A" w:rsidRPr="00497000" w:rsidRDefault="007C5D2A" w:rsidP="003E0341">
      <w:pPr>
        <w:tabs>
          <w:tab w:val="left" w:pos="851"/>
        </w:tabs>
        <w:ind w:left="851"/>
        <w:rPr>
          <w:sz w:val="24"/>
          <w:szCs w:val="24"/>
          <w:lang w:val="en-GB"/>
        </w:rPr>
      </w:pPr>
    </w:p>
    <w:p w14:paraId="5EF4F5C4" w14:textId="77777777" w:rsidR="007C5D2A" w:rsidRPr="00497000" w:rsidRDefault="007C5D2A" w:rsidP="007C5D2A">
      <w:pPr>
        <w:ind w:left="851" w:hanging="851"/>
        <w:rPr>
          <w:b/>
          <w:sz w:val="24"/>
          <w:szCs w:val="24"/>
          <w:lang w:val="en-GB"/>
        </w:rPr>
      </w:pPr>
      <w:r w:rsidRPr="00497000">
        <w:rPr>
          <w:b/>
          <w:sz w:val="24"/>
          <w:szCs w:val="24"/>
          <w:lang w:val="en-GB"/>
        </w:rPr>
        <w:t>6.1</w:t>
      </w:r>
      <w:r w:rsidRPr="00497000">
        <w:rPr>
          <w:b/>
          <w:sz w:val="24"/>
          <w:szCs w:val="24"/>
          <w:lang w:val="en-GB"/>
        </w:rPr>
        <w:tab/>
        <w:t>List of excipients</w:t>
      </w:r>
    </w:p>
    <w:p w14:paraId="6E45AD82" w14:textId="77777777" w:rsidR="00A76E2C" w:rsidRDefault="00A76E2C" w:rsidP="00497000">
      <w:pPr>
        <w:ind w:left="851"/>
        <w:rPr>
          <w:sz w:val="24"/>
          <w:szCs w:val="24"/>
          <w:lang w:val="en-US"/>
        </w:rPr>
      </w:pPr>
    </w:p>
    <w:p w14:paraId="53FF1FF5" w14:textId="41D6F36E" w:rsidR="00790817" w:rsidRPr="00A76E2C" w:rsidRDefault="00790817" w:rsidP="00497000">
      <w:pPr>
        <w:ind w:left="851"/>
        <w:rPr>
          <w:noProof/>
          <w:sz w:val="24"/>
          <w:szCs w:val="24"/>
          <w:u w:val="single"/>
          <w:lang w:val="en-US"/>
        </w:rPr>
      </w:pPr>
      <w:r w:rsidRPr="00A76E2C">
        <w:rPr>
          <w:sz w:val="24"/>
          <w:szCs w:val="24"/>
          <w:u w:val="single"/>
          <w:lang w:val="en-US"/>
        </w:rPr>
        <w:t>Tablet core</w:t>
      </w:r>
    </w:p>
    <w:p w14:paraId="7D79E094" w14:textId="77777777" w:rsidR="00790817" w:rsidRPr="00497000" w:rsidRDefault="00790817" w:rsidP="00497000">
      <w:pPr>
        <w:ind w:left="851"/>
        <w:rPr>
          <w:sz w:val="24"/>
          <w:szCs w:val="24"/>
          <w:lang w:val="en-US"/>
        </w:rPr>
      </w:pPr>
      <w:r w:rsidRPr="00497000">
        <w:rPr>
          <w:sz w:val="24"/>
          <w:szCs w:val="24"/>
          <w:lang w:val="en-US"/>
        </w:rPr>
        <w:t>Microcrystalline cellulose</w:t>
      </w:r>
    </w:p>
    <w:p w14:paraId="47A98128" w14:textId="77777777" w:rsidR="00790817" w:rsidRPr="00497000" w:rsidRDefault="00790817" w:rsidP="00497000">
      <w:pPr>
        <w:ind w:left="851"/>
        <w:rPr>
          <w:sz w:val="24"/>
          <w:szCs w:val="24"/>
          <w:lang w:val="en-US"/>
        </w:rPr>
      </w:pPr>
      <w:r w:rsidRPr="00497000">
        <w:rPr>
          <w:sz w:val="24"/>
          <w:szCs w:val="24"/>
          <w:lang w:val="en-US"/>
        </w:rPr>
        <w:t>Anhydrous lactose</w:t>
      </w:r>
    </w:p>
    <w:p w14:paraId="4CCCAAE1" w14:textId="77777777" w:rsidR="00790817" w:rsidRPr="00497000" w:rsidRDefault="00790817" w:rsidP="00497000">
      <w:pPr>
        <w:ind w:left="851"/>
        <w:rPr>
          <w:sz w:val="24"/>
          <w:szCs w:val="24"/>
          <w:lang w:val="en-US"/>
        </w:rPr>
      </w:pPr>
      <w:r w:rsidRPr="00497000">
        <w:rPr>
          <w:sz w:val="24"/>
          <w:szCs w:val="24"/>
          <w:lang w:val="en-US"/>
        </w:rPr>
        <w:t xml:space="preserve">Croscarmellose sodium </w:t>
      </w:r>
    </w:p>
    <w:p w14:paraId="62C4614A" w14:textId="77777777" w:rsidR="00790817" w:rsidRPr="00497000" w:rsidRDefault="00790817" w:rsidP="00497000">
      <w:pPr>
        <w:ind w:left="851"/>
        <w:rPr>
          <w:sz w:val="24"/>
          <w:szCs w:val="24"/>
          <w:lang w:val="en-US"/>
        </w:rPr>
      </w:pPr>
      <w:r w:rsidRPr="00497000">
        <w:rPr>
          <w:sz w:val="24"/>
          <w:szCs w:val="24"/>
          <w:lang w:val="en-US"/>
        </w:rPr>
        <w:t>Hydroxypropyl cellulose (E463)</w:t>
      </w:r>
    </w:p>
    <w:p w14:paraId="22D52EC6" w14:textId="77777777" w:rsidR="00790817" w:rsidRPr="00497000" w:rsidRDefault="00790817" w:rsidP="00497000">
      <w:pPr>
        <w:ind w:left="851"/>
        <w:rPr>
          <w:sz w:val="24"/>
          <w:szCs w:val="24"/>
          <w:lang w:val="en-US"/>
        </w:rPr>
      </w:pPr>
      <w:r w:rsidRPr="00497000">
        <w:rPr>
          <w:sz w:val="24"/>
          <w:szCs w:val="24"/>
          <w:lang w:val="en-US"/>
        </w:rPr>
        <w:t>Silica, Colloidal anhydrous</w:t>
      </w:r>
    </w:p>
    <w:p w14:paraId="67702211" w14:textId="77777777" w:rsidR="00790817" w:rsidRPr="00497000" w:rsidRDefault="00790817" w:rsidP="00497000">
      <w:pPr>
        <w:ind w:left="851"/>
        <w:rPr>
          <w:sz w:val="24"/>
          <w:szCs w:val="24"/>
          <w:lang w:val="en-US"/>
        </w:rPr>
      </w:pPr>
      <w:r w:rsidRPr="00497000">
        <w:rPr>
          <w:sz w:val="24"/>
          <w:szCs w:val="24"/>
          <w:lang w:val="en-US"/>
        </w:rPr>
        <w:t>Magnesium stearate</w:t>
      </w:r>
    </w:p>
    <w:p w14:paraId="53D7D299" w14:textId="77777777" w:rsidR="00790817" w:rsidRPr="00497000" w:rsidRDefault="00790817" w:rsidP="00497000">
      <w:pPr>
        <w:ind w:left="851"/>
        <w:rPr>
          <w:sz w:val="24"/>
          <w:szCs w:val="24"/>
          <w:lang w:val="en-US"/>
        </w:rPr>
      </w:pPr>
    </w:p>
    <w:p w14:paraId="19B70B0E" w14:textId="77777777" w:rsidR="00790817" w:rsidRPr="00A76E2C" w:rsidRDefault="00790817" w:rsidP="00497000">
      <w:pPr>
        <w:ind w:left="851"/>
        <w:rPr>
          <w:sz w:val="24"/>
          <w:szCs w:val="24"/>
          <w:u w:val="single"/>
          <w:lang w:val="en-US"/>
        </w:rPr>
      </w:pPr>
      <w:r w:rsidRPr="00A76E2C">
        <w:rPr>
          <w:sz w:val="24"/>
          <w:szCs w:val="24"/>
          <w:u w:val="single"/>
          <w:lang w:val="en-US"/>
        </w:rPr>
        <w:t>Tablet coating</w:t>
      </w:r>
    </w:p>
    <w:p w14:paraId="1E2FD8E7" w14:textId="77777777" w:rsidR="00790817" w:rsidRPr="00A76E2C" w:rsidRDefault="00790817" w:rsidP="00497000">
      <w:pPr>
        <w:ind w:left="851"/>
        <w:rPr>
          <w:i/>
          <w:sz w:val="24"/>
          <w:szCs w:val="24"/>
          <w:u w:val="single"/>
          <w:lang w:val="en-US"/>
        </w:rPr>
      </w:pPr>
      <w:r w:rsidRPr="00A76E2C">
        <w:rPr>
          <w:i/>
          <w:sz w:val="24"/>
          <w:szCs w:val="24"/>
          <w:u w:val="single"/>
          <w:lang w:val="en-US"/>
        </w:rPr>
        <w:t xml:space="preserve">20 mg </w:t>
      </w:r>
    </w:p>
    <w:p w14:paraId="2CA0CDF7" w14:textId="77777777" w:rsidR="00790817" w:rsidRPr="00497000" w:rsidRDefault="00790817" w:rsidP="00497000">
      <w:pPr>
        <w:ind w:left="851"/>
        <w:rPr>
          <w:sz w:val="24"/>
          <w:szCs w:val="24"/>
          <w:lang w:val="en-US"/>
        </w:rPr>
      </w:pPr>
      <w:r w:rsidRPr="00497000">
        <w:rPr>
          <w:sz w:val="24"/>
          <w:szCs w:val="24"/>
          <w:lang w:val="en-US"/>
        </w:rPr>
        <w:t>Polyvinyl alcohol part. hydrolized (E1203)</w:t>
      </w:r>
    </w:p>
    <w:p w14:paraId="300A517A" w14:textId="77777777" w:rsidR="00790817" w:rsidRPr="00497000" w:rsidRDefault="00790817" w:rsidP="00497000">
      <w:pPr>
        <w:ind w:left="851"/>
        <w:rPr>
          <w:sz w:val="24"/>
          <w:szCs w:val="24"/>
          <w:lang w:val="en-US"/>
        </w:rPr>
      </w:pPr>
      <w:r w:rsidRPr="00497000">
        <w:rPr>
          <w:sz w:val="24"/>
          <w:szCs w:val="24"/>
          <w:lang w:val="en-US"/>
        </w:rPr>
        <w:t>Titanium dioxide (E171)</w:t>
      </w:r>
    </w:p>
    <w:p w14:paraId="16E47982" w14:textId="77777777" w:rsidR="00790817" w:rsidRPr="00497000" w:rsidRDefault="00790817" w:rsidP="00497000">
      <w:pPr>
        <w:ind w:left="851"/>
        <w:rPr>
          <w:sz w:val="24"/>
          <w:szCs w:val="24"/>
          <w:lang w:val="en-US"/>
        </w:rPr>
      </w:pPr>
      <w:r w:rsidRPr="00497000">
        <w:rPr>
          <w:sz w:val="24"/>
          <w:szCs w:val="24"/>
          <w:lang w:val="en-US"/>
        </w:rPr>
        <w:t>Macrogol 3350 (E1521)</w:t>
      </w:r>
    </w:p>
    <w:p w14:paraId="56162EF1" w14:textId="77777777" w:rsidR="00790817" w:rsidRPr="00497000" w:rsidRDefault="00790817" w:rsidP="00497000">
      <w:pPr>
        <w:ind w:left="851"/>
        <w:rPr>
          <w:sz w:val="24"/>
          <w:szCs w:val="24"/>
          <w:lang w:val="en-US"/>
        </w:rPr>
      </w:pPr>
      <w:r w:rsidRPr="00497000">
        <w:rPr>
          <w:sz w:val="24"/>
          <w:szCs w:val="24"/>
          <w:lang w:val="en-US"/>
        </w:rPr>
        <w:t>Talc (E553b)</w:t>
      </w:r>
    </w:p>
    <w:p w14:paraId="2C13AEAA" w14:textId="77777777" w:rsidR="00790817" w:rsidRPr="00497000" w:rsidRDefault="00790817" w:rsidP="00497000">
      <w:pPr>
        <w:ind w:left="851"/>
        <w:rPr>
          <w:sz w:val="24"/>
          <w:szCs w:val="24"/>
          <w:lang w:val="en-US"/>
        </w:rPr>
      </w:pPr>
      <w:r w:rsidRPr="00497000">
        <w:rPr>
          <w:sz w:val="24"/>
          <w:szCs w:val="24"/>
          <w:lang w:val="en-US"/>
        </w:rPr>
        <w:t>Iron oxide yellow (E172)</w:t>
      </w:r>
    </w:p>
    <w:p w14:paraId="0A2084CE" w14:textId="77777777" w:rsidR="00790817" w:rsidRPr="00497000" w:rsidRDefault="00790817" w:rsidP="00497000">
      <w:pPr>
        <w:ind w:left="851"/>
        <w:rPr>
          <w:sz w:val="24"/>
          <w:szCs w:val="24"/>
          <w:lang w:val="en-US"/>
        </w:rPr>
      </w:pPr>
      <w:r w:rsidRPr="00497000">
        <w:rPr>
          <w:sz w:val="24"/>
          <w:szCs w:val="24"/>
          <w:lang w:val="en-US"/>
        </w:rPr>
        <w:t>Iron oxide red (E172)</w:t>
      </w:r>
    </w:p>
    <w:p w14:paraId="1C938C89" w14:textId="77777777" w:rsidR="00790817" w:rsidRPr="00497000" w:rsidRDefault="00790817" w:rsidP="00497000">
      <w:pPr>
        <w:ind w:left="851"/>
        <w:rPr>
          <w:sz w:val="24"/>
          <w:szCs w:val="24"/>
          <w:lang w:val="en-US"/>
        </w:rPr>
      </w:pPr>
    </w:p>
    <w:p w14:paraId="63831200" w14:textId="77777777" w:rsidR="00790817" w:rsidRPr="00A76E2C" w:rsidRDefault="00790817" w:rsidP="00497000">
      <w:pPr>
        <w:ind w:left="851"/>
        <w:rPr>
          <w:i/>
          <w:sz w:val="24"/>
          <w:szCs w:val="24"/>
          <w:u w:val="single"/>
          <w:lang w:val="en-US"/>
        </w:rPr>
      </w:pPr>
      <w:r w:rsidRPr="00A76E2C">
        <w:rPr>
          <w:i/>
          <w:sz w:val="24"/>
          <w:szCs w:val="24"/>
          <w:u w:val="single"/>
          <w:lang w:val="en-US"/>
        </w:rPr>
        <w:t xml:space="preserve">40 mg and 60 mg </w:t>
      </w:r>
    </w:p>
    <w:p w14:paraId="3656669D" w14:textId="77777777" w:rsidR="00790817" w:rsidRPr="00497000" w:rsidRDefault="00790817" w:rsidP="00497000">
      <w:pPr>
        <w:ind w:left="851"/>
        <w:rPr>
          <w:sz w:val="24"/>
          <w:szCs w:val="24"/>
          <w:lang w:val="en-US"/>
        </w:rPr>
      </w:pPr>
      <w:r w:rsidRPr="00497000">
        <w:rPr>
          <w:sz w:val="24"/>
          <w:szCs w:val="24"/>
          <w:lang w:val="en-US"/>
        </w:rPr>
        <w:t>Polyvinyl alcohol part. hydrolized (E1203)</w:t>
      </w:r>
    </w:p>
    <w:p w14:paraId="2BAB5BFE" w14:textId="77777777" w:rsidR="00790817" w:rsidRPr="00497000" w:rsidRDefault="00790817" w:rsidP="00497000">
      <w:pPr>
        <w:ind w:left="851"/>
        <w:rPr>
          <w:sz w:val="24"/>
          <w:szCs w:val="24"/>
          <w:lang w:val="en-US"/>
        </w:rPr>
      </w:pPr>
      <w:r w:rsidRPr="00497000">
        <w:rPr>
          <w:sz w:val="24"/>
          <w:szCs w:val="24"/>
          <w:lang w:val="en-US"/>
        </w:rPr>
        <w:t>Titanium dioxide (E171)</w:t>
      </w:r>
    </w:p>
    <w:p w14:paraId="67F4F9A3" w14:textId="77777777" w:rsidR="00790817" w:rsidRPr="00497000" w:rsidRDefault="00790817" w:rsidP="00497000">
      <w:pPr>
        <w:ind w:left="851"/>
        <w:rPr>
          <w:sz w:val="24"/>
          <w:szCs w:val="24"/>
          <w:lang w:val="en-US"/>
        </w:rPr>
      </w:pPr>
      <w:r w:rsidRPr="00497000">
        <w:rPr>
          <w:sz w:val="24"/>
          <w:szCs w:val="24"/>
          <w:lang w:val="en-US"/>
        </w:rPr>
        <w:t>Macrogol 3350 (E1521)</w:t>
      </w:r>
    </w:p>
    <w:p w14:paraId="3C19BE4D" w14:textId="77777777" w:rsidR="00790817" w:rsidRPr="00497000" w:rsidRDefault="00790817" w:rsidP="00497000">
      <w:pPr>
        <w:ind w:left="851"/>
        <w:rPr>
          <w:sz w:val="24"/>
          <w:szCs w:val="24"/>
          <w:lang w:val="en-US"/>
        </w:rPr>
      </w:pPr>
      <w:r w:rsidRPr="00497000">
        <w:rPr>
          <w:sz w:val="24"/>
          <w:szCs w:val="24"/>
          <w:lang w:val="en-US"/>
        </w:rPr>
        <w:t>Talc (E553b)</w:t>
      </w:r>
    </w:p>
    <w:p w14:paraId="42A672E1" w14:textId="77777777" w:rsidR="00790817" w:rsidRPr="00497000" w:rsidRDefault="00790817" w:rsidP="00497000">
      <w:pPr>
        <w:ind w:left="851"/>
        <w:rPr>
          <w:sz w:val="24"/>
          <w:szCs w:val="24"/>
          <w:lang w:val="en-US"/>
        </w:rPr>
      </w:pPr>
      <w:r w:rsidRPr="00497000">
        <w:rPr>
          <w:sz w:val="24"/>
          <w:szCs w:val="24"/>
          <w:lang w:val="en-US"/>
        </w:rPr>
        <w:t>Iron oxide yellow (E172)</w:t>
      </w:r>
    </w:p>
    <w:p w14:paraId="7206230F" w14:textId="77777777" w:rsidR="007C5D2A" w:rsidRPr="00497000" w:rsidRDefault="007C5D2A" w:rsidP="003D727E">
      <w:pPr>
        <w:tabs>
          <w:tab w:val="left" w:pos="851"/>
        </w:tabs>
        <w:ind w:left="851"/>
        <w:rPr>
          <w:sz w:val="24"/>
          <w:szCs w:val="24"/>
          <w:lang w:val="en-GB"/>
        </w:rPr>
      </w:pPr>
    </w:p>
    <w:p w14:paraId="707BFCA5" w14:textId="77777777" w:rsidR="007C5D2A" w:rsidRPr="00497000" w:rsidRDefault="007C5D2A" w:rsidP="007C5D2A">
      <w:pPr>
        <w:ind w:left="851" w:hanging="851"/>
        <w:rPr>
          <w:b/>
          <w:sz w:val="24"/>
          <w:szCs w:val="24"/>
          <w:lang w:val="en-GB"/>
        </w:rPr>
      </w:pPr>
      <w:r w:rsidRPr="00497000">
        <w:rPr>
          <w:b/>
          <w:sz w:val="24"/>
          <w:szCs w:val="24"/>
          <w:lang w:val="en-GB"/>
        </w:rPr>
        <w:t>6.2</w:t>
      </w:r>
      <w:r w:rsidRPr="00497000">
        <w:rPr>
          <w:b/>
          <w:sz w:val="24"/>
          <w:szCs w:val="24"/>
          <w:lang w:val="en-GB"/>
        </w:rPr>
        <w:tab/>
        <w:t>Incompatibilities</w:t>
      </w:r>
    </w:p>
    <w:p w14:paraId="5EA6C72A" w14:textId="77777777" w:rsidR="00790817" w:rsidRPr="002922BC" w:rsidRDefault="00790817" w:rsidP="00497000">
      <w:pPr>
        <w:ind w:left="851"/>
        <w:rPr>
          <w:sz w:val="24"/>
          <w:szCs w:val="24"/>
          <w:lang w:val="en-US"/>
        </w:rPr>
      </w:pPr>
      <w:r w:rsidRPr="002922BC">
        <w:rPr>
          <w:sz w:val="24"/>
          <w:szCs w:val="24"/>
          <w:lang w:val="en-US"/>
        </w:rPr>
        <w:t>Not applicable</w:t>
      </w:r>
      <w:r w:rsidRPr="002922BC">
        <w:rPr>
          <w:color w:val="00B050"/>
          <w:sz w:val="24"/>
          <w:szCs w:val="24"/>
          <w:lang w:val="en-US"/>
        </w:rPr>
        <w:t>.</w:t>
      </w:r>
    </w:p>
    <w:p w14:paraId="6BDF7831" w14:textId="77777777" w:rsidR="007C5D2A" w:rsidRPr="00497000" w:rsidRDefault="007C5D2A" w:rsidP="003E0341">
      <w:pPr>
        <w:tabs>
          <w:tab w:val="left" w:pos="851"/>
        </w:tabs>
        <w:ind w:left="851"/>
        <w:rPr>
          <w:sz w:val="24"/>
          <w:szCs w:val="24"/>
          <w:lang w:val="en-GB"/>
        </w:rPr>
      </w:pPr>
    </w:p>
    <w:p w14:paraId="7712DED7" w14:textId="77777777" w:rsidR="007C5D2A" w:rsidRPr="00497000" w:rsidRDefault="007C5D2A" w:rsidP="007C5D2A">
      <w:pPr>
        <w:ind w:left="851" w:hanging="851"/>
        <w:rPr>
          <w:b/>
          <w:sz w:val="24"/>
          <w:szCs w:val="24"/>
          <w:lang w:val="en-GB"/>
        </w:rPr>
      </w:pPr>
      <w:r w:rsidRPr="00497000">
        <w:rPr>
          <w:b/>
          <w:sz w:val="24"/>
          <w:szCs w:val="24"/>
          <w:lang w:val="en-GB"/>
        </w:rPr>
        <w:t>6.3</w:t>
      </w:r>
      <w:r w:rsidRPr="00497000">
        <w:rPr>
          <w:b/>
          <w:sz w:val="24"/>
          <w:szCs w:val="24"/>
          <w:lang w:val="en-GB"/>
        </w:rPr>
        <w:tab/>
        <w:t>Shelf</w:t>
      </w:r>
      <w:r w:rsidR="00B45DC5" w:rsidRPr="00497000">
        <w:rPr>
          <w:b/>
          <w:sz w:val="24"/>
          <w:szCs w:val="24"/>
          <w:lang w:val="en-GB"/>
        </w:rPr>
        <w:t xml:space="preserve"> </w:t>
      </w:r>
      <w:r w:rsidRPr="00497000">
        <w:rPr>
          <w:b/>
          <w:sz w:val="24"/>
          <w:szCs w:val="24"/>
          <w:lang w:val="en-GB"/>
        </w:rPr>
        <w:t>life</w:t>
      </w:r>
    </w:p>
    <w:p w14:paraId="20704828" w14:textId="77777777" w:rsidR="00790817" w:rsidRPr="00497000" w:rsidRDefault="00790817" w:rsidP="00497000">
      <w:pPr>
        <w:ind w:left="851"/>
        <w:rPr>
          <w:sz w:val="24"/>
          <w:szCs w:val="24"/>
          <w:lang w:val="en-US"/>
        </w:rPr>
      </w:pPr>
      <w:r w:rsidRPr="00497000">
        <w:rPr>
          <w:sz w:val="24"/>
          <w:szCs w:val="24"/>
          <w:lang w:val="en-US"/>
        </w:rPr>
        <w:t>2 years.</w:t>
      </w:r>
    </w:p>
    <w:p w14:paraId="3FABC184" w14:textId="77777777" w:rsidR="007C5D2A" w:rsidRPr="00497000" w:rsidRDefault="007C5D2A" w:rsidP="003E0341">
      <w:pPr>
        <w:tabs>
          <w:tab w:val="left" w:pos="851"/>
        </w:tabs>
        <w:ind w:left="851"/>
        <w:rPr>
          <w:sz w:val="24"/>
          <w:szCs w:val="24"/>
          <w:lang w:val="en-GB"/>
        </w:rPr>
      </w:pPr>
    </w:p>
    <w:p w14:paraId="3B2BA8D7" w14:textId="77777777" w:rsidR="007C5D2A" w:rsidRPr="00497000" w:rsidRDefault="007C5D2A" w:rsidP="007C5D2A">
      <w:pPr>
        <w:ind w:left="851" w:hanging="851"/>
        <w:rPr>
          <w:b/>
          <w:sz w:val="24"/>
          <w:szCs w:val="24"/>
          <w:lang w:val="en-GB"/>
        </w:rPr>
      </w:pPr>
      <w:r w:rsidRPr="00497000">
        <w:rPr>
          <w:b/>
          <w:sz w:val="24"/>
          <w:szCs w:val="24"/>
          <w:lang w:val="en-GB"/>
        </w:rPr>
        <w:t>6.4</w:t>
      </w:r>
      <w:r w:rsidRPr="00497000">
        <w:rPr>
          <w:b/>
          <w:sz w:val="24"/>
          <w:szCs w:val="24"/>
          <w:lang w:val="en-GB"/>
        </w:rPr>
        <w:tab/>
        <w:t>Special precautions for storage</w:t>
      </w:r>
    </w:p>
    <w:p w14:paraId="10D767E5" w14:textId="77777777" w:rsidR="00790817" w:rsidRPr="00497000" w:rsidRDefault="00790817" w:rsidP="00497000">
      <w:pPr>
        <w:ind w:left="851"/>
        <w:rPr>
          <w:sz w:val="24"/>
          <w:szCs w:val="24"/>
          <w:lang w:val="en-US"/>
        </w:rPr>
      </w:pPr>
      <w:r w:rsidRPr="00497000">
        <w:rPr>
          <w:sz w:val="24"/>
          <w:szCs w:val="24"/>
          <w:lang w:val="en-US"/>
        </w:rPr>
        <w:t>This medicinal product does not require any special storage conditions.</w:t>
      </w:r>
    </w:p>
    <w:p w14:paraId="30E7074C" w14:textId="77777777" w:rsidR="007C5D2A" w:rsidRPr="00497000" w:rsidRDefault="007C5D2A" w:rsidP="003E0341">
      <w:pPr>
        <w:tabs>
          <w:tab w:val="left" w:pos="851"/>
        </w:tabs>
        <w:ind w:left="851"/>
        <w:rPr>
          <w:sz w:val="24"/>
          <w:szCs w:val="24"/>
          <w:lang w:val="en-GB"/>
        </w:rPr>
      </w:pPr>
    </w:p>
    <w:p w14:paraId="2A0FC228" w14:textId="77777777" w:rsidR="007C5D2A" w:rsidRPr="00497000" w:rsidRDefault="007C5D2A" w:rsidP="007C5D2A">
      <w:pPr>
        <w:ind w:left="851" w:hanging="851"/>
        <w:rPr>
          <w:b/>
          <w:sz w:val="24"/>
          <w:szCs w:val="24"/>
          <w:lang w:val="en-GB"/>
        </w:rPr>
      </w:pPr>
      <w:r w:rsidRPr="00497000">
        <w:rPr>
          <w:b/>
          <w:sz w:val="24"/>
          <w:szCs w:val="24"/>
          <w:lang w:val="en-GB"/>
        </w:rPr>
        <w:t>6.5</w:t>
      </w:r>
      <w:r w:rsidRPr="00497000">
        <w:rPr>
          <w:b/>
          <w:sz w:val="24"/>
          <w:szCs w:val="24"/>
          <w:lang w:val="en-GB"/>
        </w:rPr>
        <w:tab/>
        <w:t>Nature and contents of container</w:t>
      </w:r>
    </w:p>
    <w:p w14:paraId="7106DEE8" w14:textId="5C894086" w:rsidR="00790817" w:rsidRPr="00497000" w:rsidRDefault="00790817" w:rsidP="00497000">
      <w:pPr>
        <w:ind w:left="851"/>
        <w:rPr>
          <w:sz w:val="24"/>
          <w:szCs w:val="24"/>
          <w:lang w:val="en-US"/>
        </w:rPr>
      </w:pPr>
      <w:r w:rsidRPr="00497000">
        <w:rPr>
          <w:sz w:val="24"/>
          <w:szCs w:val="24"/>
          <w:lang w:val="en-US"/>
        </w:rPr>
        <w:t>OPA/Alu/PVC – aluminium blister pack or unit-dose blister pack containing 30 tablets.</w:t>
      </w:r>
    </w:p>
    <w:p w14:paraId="2FA2622B" w14:textId="77777777" w:rsidR="00790817" w:rsidRPr="00497000" w:rsidRDefault="00790817" w:rsidP="00497000">
      <w:pPr>
        <w:ind w:left="851"/>
        <w:rPr>
          <w:sz w:val="24"/>
          <w:szCs w:val="24"/>
          <w:lang w:val="en-US"/>
        </w:rPr>
      </w:pPr>
    </w:p>
    <w:p w14:paraId="039CD714" w14:textId="77777777" w:rsidR="00790817" w:rsidRPr="00497000" w:rsidRDefault="00790817" w:rsidP="00497000">
      <w:pPr>
        <w:ind w:left="851"/>
        <w:rPr>
          <w:sz w:val="24"/>
          <w:szCs w:val="24"/>
          <w:u w:val="single"/>
          <w:lang w:val="en-US"/>
        </w:rPr>
      </w:pPr>
      <w:r w:rsidRPr="00497000">
        <w:rPr>
          <w:sz w:val="24"/>
          <w:szCs w:val="24"/>
          <w:lang w:val="en-US"/>
        </w:rPr>
        <w:t>HPDE Bottle with polypropylene child-resistant cap and silica gel desiccant containing 30 tablets.</w:t>
      </w:r>
    </w:p>
    <w:p w14:paraId="20E8175A" w14:textId="77777777" w:rsidR="007C5D2A" w:rsidRPr="00497000" w:rsidRDefault="007C5D2A" w:rsidP="003E0341">
      <w:pPr>
        <w:tabs>
          <w:tab w:val="left" w:pos="851"/>
        </w:tabs>
        <w:ind w:left="851"/>
        <w:rPr>
          <w:sz w:val="24"/>
          <w:szCs w:val="24"/>
          <w:lang w:val="en-GB"/>
        </w:rPr>
      </w:pPr>
    </w:p>
    <w:p w14:paraId="02D4ACD1" w14:textId="77777777" w:rsidR="007C5D2A" w:rsidRPr="00497000" w:rsidRDefault="007C5D2A" w:rsidP="007C5D2A">
      <w:pPr>
        <w:ind w:left="851" w:hanging="851"/>
        <w:rPr>
          <w:b/>
          <w:sz w:val="24"/>
          <w:szCs w:val="24"/>
          <w:lang w:val="en-GB"/>
        </w:rPr>
      </w:pPr>
      <w:r w:rsidRPr="00497000">
        <w:rPr>
          <w:b/>
          <w:sz w:val="24"/>
          <w:szCs w:val="24"/>
          <w:lang w:val="en-GB"/>
        </w:rPr>
        <w:t>6.6</w:t>
      </w:r>
      <w:r w:rsidRPr="00497000">
        <w:rPr>
          <w:b/>
          <w:sz w:val="24"/>
          <w:szCs w:val="24"/>
          <w:lang w:val="en-GB"/>
        </w:rPr>
        <w:tab/>
        <w:t>Special precautions for disposal and other handling</w:t>
      </w:r>
    </w:p>
    <w:p w14:paraId="5FAC4A73" w14:textId="77777777" w:rsidR="00790817" w:rsidRPr="00497000" w:rsidRDefault="00790817" w:rsidP="00497000">
      <w:pPr>
        <w:ind w:left="851"/>
        <w:rPr>
          <w:sz w:val="24"/>
          <w:szCs w:val="24"/>
          <w:lang w:val="en-US"/>
        </w:rPr>
      </w:pPr>
      <w:r w:rsidRPr="00497000">
        <w:rPr>
          <w:sz w:val="24"/>
          <w:szCs w:val="24"/>
          <w:lang w:val="en-US"/>
        </w:rPr>
        <w:t>Any unused medicinal product or waste material should be disposed of in accordance with local requirements</w:t>
      </w:r>
    </w:p>
    <w:p w14:paraId="14C90755" w14:textId="77777777" w:rsidR="007C5D2A" w:rsidRPr="00497000" w:rsidRDefault="007C5D2A" w:rsidP="00AB4376">
      <w:pPr>
        <w:tabs>
          <w:tab w:val="left" w:pos="851"/>
        </w:tabs>
        <w:ind w:left="851"/>
        <w:rPr>
          <w:sz w:val="24"/>
          <w:szCs w:val="24"/>
          <w:lang w:val="en-GB"/>
        </w:rPr>
      </w:pPr>
    </w:p>
    <w:p w14:paraId="7F2B1580" w14:textId="77777777" w:rsidR="007C5D2A" w:rsidRPr="00497000" w:rsidRDefault="007C5D2A" w:rsidP="007C5D2A">
      <w:pPr>
        <w:tabs>
          <w:tab w:val="left" w:pos="851"/>
        </w:tabs>
        <w:ind w:left="851" w:hanging="851"/>
        <w:jc w:val="both"/>
        <w:rPr>
          <w:b/>
          <w:sz w:val="24"/>
          <w:szCs w:val="24"/>
          <w:lang w:val="en-GB"/>
        </w:rPr>
      </w:pPr>
      <w:r w:rsidRPr="00497000">
        <w:rPr>
          <w:b/>
          <w:sz w:val="24"/>
          <w:szCs w:val="24"/>
          <w:lang w:val="en-GB"/>
        </w:rPr>
        <w:t>7.</w:t>
      </w:r>
      <w:r w:rsidRPr="00497000">
        <w:rPr>
          <w:b/>
          <w:sz w:val="24"/>
          <w:szCs w:val="24"/>
          <w:lang w:val="en-GB"/>
        </w:rPr>
        <w:tab/>
        <w:t>MARKETING AUTHORISATION HOLDER</w:t>
      </w:r>
    </w:p>
    <w:p w14:paraId="32E4D699" w14:textId="0F3992DB" w:rsidR="007C5D2A" w:rsidRPr="00497000" w:rsidRDefault="00A414A5" w:rsidP="00A85D26">
      <w:pPr>
        <w:tabs>
          <w:tab w:val="left" w:pos="851"/>
        </w:tabs>
        <w:ind w:left="851"/>
        <w:jc w:val="both"/>
        <w:rPr>
          <w:sz w:val="24"/>
          <w:szCs w:val="24"/>
          <w:lang w:val="en-GB"/>
        </w:rPr>
      </w:pPr>
      <w:r w:rsidRPr="00497000">
        <w:rPr>
          <w:sz w:val="24"/>
          <w:szCs w:val="24"/>
          <w:lang w:val="en-GB"/>
        </w:rPr>
        <w:t>Day Zero ehf.</w:t>
      </w:r>
    </w:p>
    <w:p w14:paraId="2EC39D59" w14:textId="714BADA0" w:rsidR="00A414A5" w:rsidRPr="00497000" w:rsidRDefault="00A414A5" w:rsidP="00A85D26">
      <w:pPr>
        <w:tabs>
          <w:tab w:val="left" w:pos="851"/>
        </w:tabs>
        <w:ind w:left="851"/>
        <w:jc w:val="both"/>
        <w:rPr>
          <w:sz w:val="24"/>
          <w:szCs w:val="24"/>
          <w:lang w:val="en-GB"/>
        </w:rPr>
      </w:pPr>
      <w:r w:rsidRPr="00497000">
        <w:rPr>
          <w:sz w:val="24"/>
          <w:szCs w:val="24"/>
          <w:lang w:val="en-GB"/>
        </w:rPr>
        <w:t>Fjarðargötu 13</w:t>
      </w:r>
    </w:p>
    <w:p w14:paraId="7F50B474" w14:textId="6705249F" w:rsidR="00A414A5" w:rsidRPr="00497000" w:rsidRDefault="00A414A5" w:rsidP="00A85D26">
      <w:pPr>
        <w:tabs>
          <w:tab w:val="left" w:pos="851"/>
        </w:tabs>
        <w:ind w:left="851"/>
        <w:jc w:val="both"/>
        <w:rPr>
          <w:sz w:val="24"/>
          <w:szCs w:val="24"/>
          <w:lang w:val="en-GB"/>
        </w:rPr>
      </w:pPr>
      <w:r w:rsidRPr="00497000">
        <w:rPr>
          <w:sz w:val="24"/>
          <w:szCs w:val="24"/>
          <w:lang w:val="en-GB"/>
        </w:rPr>
        <w:t>220 Hafnarfjördur</w:t>
      </w:r>
    </w:p>
    <w:p w14:paraId="4B5AE38B" w14:textId="644FB6A8" w:rsidR="00A414A5" w:rsidRPr="00497000" w:rsidRDefault="00A414A5" w:rsidP="00A85D26">
      <w:pPr>
        <w:tabs>
          <w:tab w:val="left" w:pos="851"/>
        </w:tabs>
        <w:ind w:left="851"/>
        <w:jc w:val="both"/>
        <w:rPr>
          <w:sz w:val="24"/>
          <w:szCs w:val="24"/>
          <w:lang w:val="en-GB"/>
        </w:rPr>
      </w:pPr>
      <w:r w:rsidRPr="00497000">
        <w:rPr>
          <w:sz w:val="24"/>
          <w:szCs w:val="24"/>
          <w:lang w:val="en-GB"/>
        </w:rPr>
        <w:t>Island</w:t>
      </w:r>
    </w:p>
    <w:p w14:paraId="524D02CD" w14:textId="77777777" w:rsidR="008A24F6" w:rsidRPr="00497000" w:rsidRDefault="008A24F6" w:rsidP="003E0341">
      <w:pPr>
        <w:tabs>
          <w:tab w:val="left" w:pos="851"/>
        </w:tabs>
        <w:ind w:left="851"/>
        <w:jc w:val="both"/>
        <w:rPr>
          <w:sz w:val="24"/>
          <w:szCs w:val="24"/>
          <w:lang w:val="en-GB"/>
        </w:rPr>
      </w:pPr>
    </w:p>
    <w:p w14:paraId="6F715167" w14:textId="77777777" w:rsidR="007C5D2A" w:rsidRPr="00497000" w:rsidRDefault="007C5D2A" w:rsidP="007C5D2A">
      <w:pPr>
        <w:ind w:left="851" w:hanging="851"/>
        <w:jc w:val="both"/>
        <w:rPr>
          <w:b/>
          <w:sz w:val="24"/>
          <w:szCs w:val="24"/>
          <w:lang w:val="en-GB"/>
        </w:rPr>
      </w:pPr>
      <w:r w:rsidRPr="00497000">
        <w:rPr>
          <w:b/>
          <w:sz w:val="24"/>
          <w:szCs w:val="24"/>
          <w:lang w:val="en-GB"/>
        </w:rPr>
        <w:t>8.</w:t>
      </w:r>
      <w:r w:rsidRPr="00497000">
        <w:rPr>
          <w:b/>
          <w:sz w:val="24"/>
          <w:szCs w:val="24"/>
          <w:lang w:val="en-GB"/>
        </w:rPr>
        <w:tab/>
        <w:t>MARKETING AUTHORISATION NUMBER(S)</w:t>
      </w:r>
    </w:p>
    <w:p w14:paraId="694CE1F0" w14:textId="01478CB5" w:rsidR="007C5D2A" w:rsidRPr="00497000" w:rsidRDefault="00790817" w:rsidP="00A85D26">
      <w:pPr>
        <w:tabs>
          <w:tab w:val="left" w:pos="851"/>
        </w:tabs>
        <w:ind w:left="851"/>
        <w:jc w:val="both"/>
        <w:rPr>
          <w:sz w:val="24"/>
          <w:szCs w:val="24"/>
          <w:lang w:val="en-GB"/>
        </w:rPr>
      </w:pPr>
      <w:r w:rsidRPr="00497000">
        <w:rPr>
          <w:sz w:val="24"/>
          <w:szCs w:val="24"/>
          <w:lang w:val="en-GB"/>
        </w:rPr>
        <w:t>20 mg:</w:t>
      </w:r>
      <w:r w:rsidR="00A76E2C">
        <w:rPr>
          <w:sz w:val="24"/>
          <w:szCs w:val="24"/>
          <w:lang w:val="en-GB"/>
        </w:rPr>
        <w:t xml:space="preserve"> 69425</w:t>
      </w:r>
    </w:p>
    <w:p w14:paraId="0A35073C" w14:textId="1987714A" w:rsidR="00790817" w:rsidRPr="00497000" w:rsidRDefault="00790817" w:rsidP="00A85D26">
      <w:pPr>
        <w:tabs>
          <w:tab w:val="left" w:pos="851"/>
        </w:tabs>
        <w:ind w:left="851"/>
        <w:jc w:val="both"/>
        <w:rPr>
          <w:sz w:val="24"/>
          <w:szCs w:val="24"/>
          <w:lang w:val="en-GB"/>
        </w:rPr>
      </w:pPr>
      <w:r w:rsidRPr="00497000">
        <w:rPr>
          <w:sz w:val="24"/>
          <w:szCs w:val="24"/>
          <w:lang w:val="en-GB"/>
        </w:rPr>
        <w:t>40 mg:</w:t>
      </w:r>
      <w:r w:rsidR="00A76E2C">
        <w:rPr>
          <w:sz w:val="24"/>
          <w:szCs w:val="24"/>
          <w:lang w:val="en-GB"/>
        </w:rPr>
        <w:t xml:space="preserve"> 69426</w:t>
      </w:r>
    </w:p>
    <w:p w14:paraId="1C06D9C6" w14:textId="1FBE079F" w:rsidR="00790817" w:rsidRPr="00497000" w:rsidRDefault="00790817" w:rsidP="00A85D26">
      <w:pPr>
        <w:tabs>
          <w:tab w:val="left" w:pos="851"/>
        </w:tabs>
        <w:ind w:left="851"/>
        <w:jc w:val="both"/>
        <w:rPr>
          <w:sz w:val="24"/>
          <w:szCs w:val="24"/>
          <w:lang w:val="en-GB"/>
        </w:rPr>
      </w:pPr>
      <w:r w:rsidRPr="00497000">
        <w:rPr>
          <w:sz w:val="24"/>
          <w:szCs w:val="24"/>
          <w:lang w:val="en-GB"/>
        </w:rPr>
        <w:t>60 mg:</w:t>
      </w:r>
      <w:r w:rsidR="00A76E2C">
        <w:rPr>
          <w:sz w:val="24"/>
          <w:szCs w:val="24"/>
          <w:lang w:val="en-GB"/>
        </w:rPr>
        <w:t xml:space="preserve"> 69427</w:t>
      </w:r>
    </w:p>
    <w:p w14:paraId="4584A867" w14:textId="77777777" w:rsidR="007C5D2A" w:rsidRPr="00497000" w:rsidRDefault="007C5D2A" w:rsidP="00180A12">
      <w:pPr>
        <w:tabs>
          <w:tab w:val="left" w:pos="851"/>
        </w:tabs>
        <w:ind w:left="851"/>
        <w:jc w:val="both"/>
        <w:rPr>
          <w:sz w:val="24"/>
          <w:szCs w:val="24"/>
          <w:lang w:val="en-GB"/>
        </w:rPr>
      </w:pPr>
    </w:p>
    <w:p w14:paraId="0D3D46B2" w14:textId="77777777" w:rsidR="007C5D2A" w:rsidRPr="00497000" w:rsidRDefault="007C5D2A" w:rsidP="007C5D2A">
      <w:pPr>
        <w:tabs>
          <w:tab w:val="left" w:pos="851"/>
        </w:tabs>
        <w:jc w:val="both"/>
        <w:rPr>
          <w:sz w:val="24"/>
          <w:szCs w:val="24"/>
          <w:lang w:val="en-GB"/>
        </w:rPr>
      </w:pPr>
      <w:r w:rsidRPr="00497000">
        <w:rPr>
          <w:b/>
          <w:sz w:val="24"/>
          <w:szCs w:val="24"/>
          <w:lang w:val="en-GB"/>
        </w:rPr>
        <w:t>9.</w:t>
      </w:r>
      <w:r w:rsidRPr="00497000">
        <w:rPr>
          <w:b/>
          <w:sz w:val="24"/>
          <w:szCs w:val="24"/>
          <w:lang w:val="en-GB"/>
        </w:rPr>
        <w:tab/>
        <w:t>DATE OF FIRST AUTHORISATION</w:t>
      </w:r>
    </w:p>
    <w:p w14:paraId="02CDD4E3" w14:textId="3BEC0DA7" w:rsidR="007C5D2A" w:rsidRPr="00497000" w:rsidRDefault="002922BC" w:rsidP="00A85D26">
      <w:pPr>
        <w:ind w:left="851"/>
        <w:jc w:val="both"/>
        <w:rPr>
          <w:sz w:val="24"/>
          <w:szCs w:val="24"/>
          <w:lang w:val="en-GB"/>
        </w:rPr>
      </w:pPr>
      <w:r>
        <w:rPr>
          <w:sz w:val="24"/>
          <w:szCs w:val="24"/>
          <w:lang w:val="en-GB"/>
        </w:rPr>
        <w:t>23 June 2025</w:t>
      </w:r>
    </w:p>
    <w:p w14:paraId="2D6CC11D" w14:textId="77777777" w:rsidR="007C5D2A" w:rsidRPr="00497000" w:rsidRDefault="007C5D2A" w:rsidP="003E0341">
      <w:pPr>
        <w:tabs>
          <w:tab w:val="left" w:pos="851"/>
        </w:tabs>
        <w:ind w:left="851"/>
        <w:jc w:val="both"/>
        <w:rPr>
          <w:sz w:val="24"/>
          <w:szCs w:val="24"/>
          <w:lang w:val="en-GB"/>
        </w:rPr>
      </w:pPr>
    </w:p>
    <w:p w14:paraId="4039354D" w14:textId="77777777" w:rsidR="007C5D2A" w:rsidRPr="00497000" w:rsidRDefault="007C5D2A" w:rsidP="007C5D2A">
      <w:pPr>
        <w:tabs>
          <w:tab w:val="left" w:pos="851"/>
        </w:tabs>
        <w:jc w:val="both"/>
        <w:rPr>
          <w:sz w:val="24"/>
          <w:szCs w:val="24"/>
          <w:lang w:val="en-GB"/>
        </w:rPr>
      </w:pPr>
      <w:r w:rsidRPr="00497000">
        <w:rPr>
          <w:b/>
          <w:sz w:val="24"/>
          <w:szCs w:val="24"/>
          <w:lang w:val="en-GB"/>
        </w:rPr>
        <w:t>10.</w:t>
      </w:r>
      <w:r w:rsidRPr="00497000">
        <w:rPr>
          <w:b/>
          <w:sz w:val="24"/>
          <w:szCs w:val="24"/>
          <w:lang w:val="en-GB"/>
        </w:rPr>
        <w:tab/>
        <w:t>DATE OF REVISION OF THE TEXT</w:t>
      </w:r>
    </w:p>
    <w:p w14:paraId="6DBEAB8E" w14:textId="7D0114EC" w:rsidR="007C5D2A" w:rsidRPr="00497000" w:rsidRDefault="00790817" w:rsidP="003E0341">
      <w:pPr>
        <w:tabs>
          <w:tab w:val="left" w:pos="851"/>
        </w:tabs>
        <w:ind w:left="851"/>
        <w:jc w:val="both"/>
        <w:rPr>
          <w:sz w:val="24"/>
          <w:szCs w:val="24"/>
          <w:lang w:val="en-GB"/>
        </w:rPr>
      </w:pPr>
      <w:r w:rsidRPr="00497000">
        <w:rPr>
          <w:sz w:val="24"/>
          <w:szCs w:val="24"/>
          <w:lang w:val="en-GB"/>
        </w:rPr>
        <w:t>-</w:t>
      </w:r>
    </w:p>
    <w:sectPr w:rsidR="007C5D2A" w:rsidRPr="00497000" w:rsidSect="004A3BF4">
      <w:headerReference w:type="even" r:id="rId16"/>
      <w:headerReference w:type="default" r:id="rId17"/>
      <w:footerReference w:type="even" r:id="rId18"/>
      <w:footerReference w:type="default" r:id="rId19"/>
      <w:headerReference w:type="first" r:id="rId20"/>
      <w:footerReference w:type="first" r:id="rId2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05A5C" w14:textId="77777777" w:rsidR="00831A6B" w:rsidRDefault="00831A6B">
      <w:r>
        <w:separator/>
      </w:r>
    </w:p>
  </w:endnote>
  <w:endnote w:type="continuationSeparator" w:id="0">
    <w:p w14:paraId="64903679" w14:textId="77777777" w:rsidR="00831A6B" w:rsidRDefault="0083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6913" w14:textId="77777777" w:rsidR="00831A6B" w:rsidRDefault="00831A6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BFC4" w14:textId="77777777" w:rsidR="00831A6B" w:rsidRDefault="00831A6B">
    <w:pPr>
      <w:pStyle w:val="Sidefod"/>
      <w:pBdr>
        <w:bottom w:val="single" w:sz="6" w:space="1" w:color="auto"/>
      </w:pBdr>
    </w:pPr>
  </w:p>
  <w:p w14:paraId="238B7E26" w14:textId="77777777" w:rsidR="00831A6B" w:rsidRDefault="00831A6B">
    <w:pPr>
      <w:pStyle w:val="Sidefod"/>
      <w:tabs>
        <w:tab w:val="clear" w:pos="4819"/>
        <w:tab w:val="left" w:pos="8647"/>
      </w:tabs>
      <w:rPr>
        <w:i/>
        <w:snapToGrid w:val="0"/>
        <w:sz w:val="18"/>
      </w:rPr>
    </w:pPr>
  </w:p>
  <w:p w14:paraId="39733745" w14:textId="2B7259CA" w:rsidR="00831A6B" w:rsidRDefault="00831A6B"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D429A">
      <w:rPr>
        <w:i/>
        <w:noProof/>
        <w:snapToGrid w:val="0"/>
        <w:sz w:val="18"/>
      </w:rPr>
      <w:t>Hasgobusno, filmovertrukne tabletter 20 mg, 40 mg og 60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3785" w14:textId="77777777" w:rsidR="00831A6B" w:rsidRDefault="00831A6B">
    <w:pPr>
      <w:pStyle w:val="Sidefod"/>
      <w:pBdr>
        <w:bottom w:val="single" w:sz="6" w:space="1" w:color="auto"/>
      </w:pBdr>
      <w:tabs>
        <w:tab w:val="clear" w:pos="4819"/>
        <w:tab w:val="left" w:pos="8789"/>
      </w:tabs>
      <w:rPr>
        <w:i/>
        <w:snapToGrid w:val="0"/>
        <w:sz w:val="18"/>
      </w:rPr>
    </w:pPr>
  </w:p>
  <w:p w14:paraId="139DB7B2" w14:textId="77777777" w:rsidR="00831A6B" w:rsidRDefault="00831A6B">
    <w:pPr>
      <w:pStyle w:val="Sidefod"/>
      <w:tabs>
        <w:tab w:val="clear" w:pos="4819"/>
        <w:tab w:val="left" w:pos="8789"/>
      </w:tabs>
      <w:rPr>
        <w:i/>
        <w:snapToGrid w:val="0"/>
        <w:sz w:val="18"/>
      </w:rPr>
    </w:pPr>
  </w:p>
  <w:p w14:paraId="249CDAFE" w14:textId="4F2A0823" w:rsidR="00831A6B" w:rsidRDefault="00831A6B">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D429A">
      <w:rPr>
        <w:i/>
        <w:noProof/>
        <w:snapToGrid w:val="0"/>
        <w:sz w:val="18"/>
      </w:rPr>
      <w:t>Hasgobusno, filmovertrukne tabletter 20 mg, 40 mg og 60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F0C5" w14:textId="77777777" w:rsidR="00831A6B" w:rsidRDefault="00831A6B">
      <w:r>
        <w:separator/>
      </w:r>
    </w:p>
  </w:footnote>
  <w:footnote w:type="continuationSeparator" w:id="0">
    <w:p w14:paraId="3D14CC60" w14:textId="77777777" w:rsidR="00831A6B" w:rsidRDefault="0083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B682" w14:textId="77777777" w:rsidR="00831A6B" w:rsidRDefault="00831A6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A251" w14:textId="77777777" w:rsidR="00831A6B" w:rsidRDefault="00831A6B">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DEEA" w14:textId="77777777" w:rsidR="00831A6B" w:rsidRDefault="00831A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06B16CB"/>
    <w:multiLevelType w:val="hybridMultilevel"/>
    <w:tmpl w:val="C276BA48"/>
    <w:lvl w:ilvl="0" w:tplc="1412420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14A2440F"/>
    <w:multiLevelType w:val="hybridMultilevel"/>
    <w:tmpl w:val="5A92060C"/>
    <w:lvl w:ilvl="0" w:tplc="F9E2FE70">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547FC4"/>
    <w:multiLevelType w:val="hybridMultilevel"/>
    <w:tmpl w:val="D3808812"/>
    <w:lvl w:ilvl="0" w:tplc="F9E2FE70">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4"/>
  </w:num>
  <w:num w:numId="2">
    <w:abstractNumId w:val="0"/>
  </w:num>
  <w:num w:numId="3">
    <w:abstractNumId w:val="6"/>
  </w:num>
  <w:num w:numId="4">
    <w:abstractNumId w:val="1"/>
  </w:num>
  <w:num w:numId="5">
    <w:abstractNumId w:val="5"/>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2A"/>
    <w:rsid w:val="00056601"/>
    <w:rsid w:val="000C3846"/>
    <w:rsid w:val="000C6218"/>
    <w:rsid w:val="000D3C9D"/>
    <w:rsid w:val="000F0D47"/>
    <w:rsid w:val="00121ED6"/>
    <w:rsid w:val="001242DE"/>
    <w:rsid w:val="00172917"/>
    <w:rsid w:val="00180A12"/>
    <w:rsid w:val="00214331"/>
    <w:rsid w:val="00214CF4"/>
    <w:rsid w:val="00281F03"/>
    <w:rsid w:val="002922BC"/>
    <w:rsid w:val="0029458A"/>
    <w:rsid w:val="002961FC"/>
    <w:rsid w:val="002A1587"/>
    <w:rsid w:val="002B27C5"/>
    <w:rsid w:val="002C2142"/>
    <w:rsid w:val="002F0F96"/>
    <w:rsid w:val="002F6D9C"/>
    <w:rsid w:val="00303008"/>
    <w:rsid w:val="00373B55"/>
    <w:rsid w:val="003D727E"/>
    <w:rsid w:val="003E0341"/>
    <w:rsid w:val="003E3402"/>
    <w:rsid w:val="003F4736"/>
    <w:rsid w:val="00401B49"/>
    <w:rsid w:val="0042292D"/>
    <w:rsid w:val="00437D5B"/>
    <w:rsid w:val="00440254"/>
    <w:rsid w:val="00463D2A"/>
    <w:rsid w:val="004860D3"/>
    <w:rsid w:val="004928A7"/>
    <w:rsid w:val="00497000"/>
    <w:rsid w:val="004A3BF4"/>
    <w:rsid w:val="004A5DB3"/>
    <w:rsid w:val="004E2863"/>
    <w:rsid w:val="005152D9"/>
    <w:rsid w:val="00533AD4"/>
    <w:rsid w:val="00534849"/>
    <w:rsid w:val="00560102"/>
    <w:rsid w:val="00562EA1"/>
    <w:rsid w:val="005A498B"/>
    <w:rsid w:val="00617BB8"/>
    <w:rsid w:val="006207FF"/>
    <w:rsid w:val="00672770"/>
    <w:rsid w:val="00680052"/>
    <w:rsid w:val="00683267"/>
    <w:rsid w:val="006844E9"/>
    <w:rsid w:val="006B3847"/>
    <w:rsid w:val="00720E32"/>
    <w:rsid w:val="0075453D"/>
    <w:rsid w:val="00790817"/>
    <w:rsid w:val="007A4CC6"/>
    <w:rsid w:val="007C3623"/>
    <w:rsid w:val="007C5D2A"/>
    <w:rsid w:val="007D429A"/>
    <w:rsid w:val="007F1E00"/>
    <w:rsid w:val="00827444"/>
    <w:rsid w:val="00831A6B"/>
    <w:rsid w:val="008400E3"/>
    <w:rsid w:val="00864538"/>
    <w:rsid w:val="00873B4F"/>
    <w:rsid w:val="008A24F6"/>
    <w:rsid w:val="008A3BF7"/>
    <w:rsid w:val="008E3C43"/>
    <w:rsid w:val="008E51AE"/>
    <w:rsid w:val="008F2F8C"/>
    <w:rsid w:val="009925C9"/>
    <w:rsid w:val="009E1D6F"/>
    <w:rsid w:val="00A179D0"/>
    <w:rsid w:val="00A358A3"/>
    <w:rsid w:val="00A414A5"/>
    <w:rsid w:val="00A46747"/>
    <w:rsid w:val="00A76E2C"/>
    <w:rsid w:val="00A80446"/>
    <w:rsid w:val="00A85D26"/>
    <w:rsid w:val="00A9153A"/>
    <w:rsid w:val="00AB4376"/>
    <w:rsid w:val="00AC033C"/>
    <w:rsid w:val="00AD2E36"/>
    <w:rsid w:val="00B45DC5"/>
    <w:rsid w:val="00BD3490"/>
    <w:rsid w:val="00C204BE"/>
    <w:rsid w:val="00C26226"/>
    <w:rsid w:val="00C3571D"/>
    <w:rsid w:val="00C54F0B"/>
    <w:rsid w:val="00C82621"/>
    <w:rsid w:val="00CB1423"/>
    <w:rsid w:val="00D02508"/>
    <w:rsid w:val="00D778CC"/>
    <w:rsid w:val="00D82FE9"/>
    <w:rsid w:val="00D97B77"/>
    <w:rsid w:val="00DB6A85"/>
    <w:rsid w:val="00DC0FE7"/>
    <w:rsid w:val="00E06B32"/>
    <w:rsid w:val="00E1290F"/>
    <w:rsid w:val="00E36A80"/>
    <w:rsid w:val="00EB21D7"/>
    <w:rsid w:val="00EE3EB7"/>
    <w:rsid w:val="00F57E16"/>
    <w:rsid w:val="00F60336"/>
    <w:rsid w:val="00F807BE"/>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D0459"/>
  <w15:chartTrackingRefBased/>
  <w15:docId w15:val="{01B07EDC-21D3-40EA-AE8E-E3FD3195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qFormat/>
    <w:rsid w:val="00790817"/>
    <w:pPr>
      <w:tabs>
        <w:tab w:val="left" w:pos="567"/>
      </w:tabs>
      <w:spacing w:before="240" w:after="120" w:line="260" w:lineRule="exact"/>
      <w:ind w:left="357" w:hanging="357"/>
      <w:outlineLvl w:val="0"/>
    </w:pPr>
    <w:rPr>
      <w:b/>
      <w:caps/>
      <w:sz w:val="26"/>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semiHidden/>
    <w:unhideWhenUsed/>
    <w:rsid w:val="009E1D6F"/>
    <w:rPr>
      <w:i/>
      <w:color w:val="008000"/>
      <w:sz w:val="22"/>
      <w:lang w:val="en-GB" w:eastAsia="en-US"/>
    </w:rPr>
  </w:style>
  <w:style w:type="character" w:customStyle="1" w:styleId="BrdtekstTegn">
    <w:name w:val="Brødtekst Tegn"/>
    <w:basedOn w:val="Standardskrifttypeiafsnit"/>
    <w:link w:val="Brdtekst"/>
    <w:semiHidden/>
    <w:rsid w:val="009E1D6F"/>
    <w:rPr>
      <w:i/>
      <w:color w:val="008000"/>
      <w:sz w:val="22"/>
      <w:lang w:val="en-GB" w:eastAsia="en-US"/>
    </w:rPr>
  </w:style>
  <w:style w:type="character" w:styleId="Hyperlink">
    <w:name w:val="Hyperlink"/>
    <w:semiHidden/>
    <w:unhideWhenUsed/>
    <w:rsid w:val="009E1D6F"/>
    <w:rPr>
      <w:color w:val="0000FF"/>
      <w:u w:val="single"/>
    </w:rPr>
  </w:style>
  <w:style w:type="character" w:customStyle="1" w:styleId="Overskrift1Tegn">
    <w:name w:val="Overskrift 1 Tegn"/>
    <w:basedOn w:val="Standardskrifttypeiafsnit"/>
    <w:link w:val="Overskrift1"/>
    <w:rsid w:val="00790817"/>
    <w:rPr>
      <w:b/>
      <w:caps/>
      <w:sz w:val="26"/>
      <w:lang w:val="en-US" w:eastAsia="en-US"/>
    </w:rPr>
  </w:style>
  <w:style w:type="paragraph" w:customStyle="1" w:styleId="TableParagraph">
    <w:name w:val="Table Paragraph"/>
    <w:basedOn w:val="Normal"/>
    <w:uiPriority w:val="1"/>
    <w:qFormat/>
    <w:rsid w:val="00790817"/>
    <w:pPr>
      <w:widowControl w:val="0"/>
      <w:autoSpaceDE w:val="0"/>
      <w:autoSpaceDN w:val="0"/>
      <w:adjustRightInd w:val="0"/>
      <w:spacing w:line="232" w:lineRule="exact"/>
      <w:ind w:left="107"/>
    </w:pPr>
    <w:rPr>
      <w:sz w:val="24"/>
      <w:szCs w:val="24"/>
      <w:lang w:val="en-GB" w:eastAsia="en-GB"/>
    </w:rPr>
  </w:style>
  <w:style w:type="paragraph" w:styleId="Listeafsnit">
    <w:name w:val="List Paragraph"/>
    <w:basedOn w:val="Normal"/>
    <w:uiPriority w:val="34"/>
    <w:qFormat/>
    <w:rsid w:val="00497000"/>
    <w:pPr>
      <w:ind w:left="720"/>
      <w:contextualSpacing/>
    </w:pPr>
  </w:style>
  <w:style w:type="table" w:styleId="Tabel-Gitter">
    <w:name w:val="Table Grid"/>
    <w:basedOn w:val="Tabel-Normal"/>
    <w:uiPriority w:val="59"/>
    <w:rsid w:val="00492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5215">
      <w:bodyDiv w:val="1"/>
      <w:marLeft w:val="0"/>
      <w:marRight w:val="0"/>
      <w:marTop w:val="0"/>
      <w:marBottom w:val="0"/>
      <w:divBdr>
        <w:top w:val="none" w:sz="0" w:space="0" w:color="auto"/>
        <w:left w:val="none" w:sz="0" w:space="0" w:color="auto"/>
        <w:bottom w:val="none" w:sz="0" w:space="0" w:color="auto"/>
        <w:right w:val="none" w:sz="0" w:space="0" w:color="auto"/>
      </w:divBdr>
    </w:div>
    <w:div w:id="141587017">
      <w:bodyDiv w:val="1"/>
      <w:marLeft w:val="0"/>
      <w:marRight w:val="0"/>
      <w:marTop w:val="0"/>
      <w:marBottom w:val="0"/>
      <w:divBdr>
        <w:top w:val="none" w:sz="0" w:space="0" w:color="auto"/>
        <w:left w:val="none" w:sz="0" w:space="0" w:color="auto"/>
        <w:bottom w:val="none" w:sz="0" w:space="0" w:color="auto"/>
        <w:right w:val="none" w:sz="0" w:space="0" w:color="auto"/>
      </w:divBdr>
    </w:div>
    <w:div w:id="478814653">
      <w:bodyDiv w:val="1"/>
      <w:marLeft w:val="0"/>
      <w:marRight w:val="0"/>
      <w:marTop w:val="0"/>
      <w:marBottom w:val="0"/>
      <w:divBdr>
        <w:top w:val="none" w:sz="0" w:space="0" w:color="auto"/>
        <w:left w:val="none" w:sz="0" w:space="0" w:color="auto"/>
        <w:bottom w:val="none" w:sz="0" w:space="0" w:color="auto"/>
        <w:right w:val="none" w:sz="0" w:space="0" w:color="auto"/>
      </w:divBdr>
    </w:div>
    <w:div w:id="517698144">
      <w:bodyDiv w:val="1"/>
      <w:marLeft w:val="0"/>
      <w:marRight w:val="0"/>
      <w:marTop w:val="0"/>
      <w:marBottom w:val="0"/>
      <w:divBdr>
        <w:top w:val="none" w:sz="0" w:space="0" w:color="auto"/>
        <w:left w:val="none" w:sz="0" w:space="0" w:color="auto"/>
        <w:bottom w:val="none" w:sz="0" w:space="0" w:color="auto"/>
        <w:right w:val="none" w:sz="0" w:space="0" w:color="auto"/>
      </w:divBdr>
    </w:div>
    <w:div w:id="731464393">
      <w:bodyDiv w:val="1"/>
      <w:marLeft w:val="0"/>
      <w:marRight w:val="0"/>
      <w:marTop w:val="0"/>
      <w:marBottom w:val="0"/>
      <w:divBdr>
        <w:top w:val="none" w:sz="0" w:space="0" w:color="auto"/>
        <w:left w:val="none" w:sz="0" w:space="0" w:color="auto"/>
        <w:bottom w:val="none" w:sz="0" w:space="0" w:color="auto"/>
        <w:right w:val="none" w:sz="0" w:space="0" w:color="auto"/>
      </w:divBdr>
    </w:div>
    <w:div w:id="772165356">
      <w:bodyDiv w:val="1"/>
      <w:marLeft w:val="0"/>
      <w:marRight w:val="0"/>
      <w:marTop w:val="0"/>
      <w:marBottom w:val="0"/>
      <w:divBdr>
        <w:top w:val="none" w:sz="0" w:space="0" w:color="auto"/>
        <w:left w:val="none" w:sz="0" w:space="0" w:color="auto"/>
        <w:bottom w:val="none" w:sz="0" w:space="0" w:color="auto"/>
        <w:right w:val="none" w:sz="0" w:space="0" w:color="auto"/>
      </w:divBdr>
    </w:div>
    <w:div w:id="863179354">
      <w:bodyDiv w:val="1"/>
      <w:marLeft w:val="0"/>
      <w:marRight w:val="0"/>
      <w:marTop w:val="0"/>
      <w:marBottom w:val="0"/>
      <w:divBdr>
        <w:top w:val="none" w:sz="0" w:space="0" w:color="auto"/>
        <w:left w:val="none" w:sz="0" w:space="0" w:color="auto"/>
        <w:bottom w:val="none" w:sz="0" w:space="0" w:color="auto"/>
        <w:right w:val="none" w:sz="0" w:space="0" w:color="auto"/>
      </w:divBdr>
    </w:div>
    <w:div w:id="874081311">
      <w:bodyDiv w:val="1"/>
      <w:marLeft w:val="0"/>
      <w:marRight w:val="0"/>
      <w:marTop w:val="0"/>
      <w:marBottom w:val="0"/>
      <w:divBdr>
        <w:top w:val="none" w:sz="0" w:space="0" w:color="auto"/>
        <w:left w:val="none" w:sz="0" w:space="0" w:color="auto"/>
        <w:bottom w:val="none" w:sz="0" w:space="0" w:color="auto"/>
        <w:right w:val="none" w:sz="0" w:space="0" w:color="auto"/>
      </w:divBdr>
    </w:div>
    <w:div w:id="886836641">
      <w:bodyDiv w:val="1"/>
      <w:marLeft w:val="0"/>
      <w:marRight w:val="0"/>
      <w:marTop w:val="0"/>
      <w:marBottom w:val="0"/>
      <w:divBdr>
        <w:top w:val="none" w:sz="0" w:space="0" w:color="auto"/>
        <w:left w:val="none" w:sz="0" w:space="0" w:color="auto"/>
        <w:bottom w:val="none" w:sz="0" w:space="0" w:color="auto"/>
        <w:right w:val="none" w:sz="0" w:space="0" w:color="auto"/>
      </w:divBdr>
    </w:div>
    <w:div w:id="1173691664">
      <w:bodyDiv w:val="1"/>
      <w:marLeft w:val="0"/>
      <w:marRight w:val="0"/>
      <w:marTop w:val="0"/>
      <w:marBottom w:val="0"/>
      <w:divBdr>
        <w:top w:val="none" w:sz="0" w:space="0" w:color="auto"/>
        <w:left w:val="none" w:sz="0" w:space="0" w:color="auto"/>
        <w:bottom w:val="none" w:sz="0" w:space="0" w:color="auto"/>
        <w:right w:val="none" w:sz="0" w:space="0" w:color="auto"/>
      </w:divBdr>
    </w:div>
    <w:div w:id="1195194550">
      <w:bodyDiv w:val="1"/>
      <w:marLeft w:val="0"/>
      <w:marRight w:val="0"/>
      <w:marTop w:val="0"/>
      <w:marBottom w:val="0"/>
      <w:divBdr>
        <w:top w:val="none" w:sz="0" w:space="0" w:color="auto"/>
        <w:left w:val="none" w:sz="0" w:space="0" w:color="auto"/>
        <w:bottom w:val="none" w:sz="0" w:space="0" w:color="auto"/>
        <w:right w:val="none" w:sz="0" w:space="0" w:color="auto"/>
      </w:divBdr>
    </w:div>
    <w:div w:id="1366368650">
      <w:bodyDiv w:val="1"/>
      <w:marLeft w:val="0"/>
      <w:marRight w:val="0"/>
      <w:marTop w:val="0"/>
      <w:marBottom w:val="0"/>
      <w:divBdr>
        <w:top w:val="none" w:sz="0" w:space="0" w:color="auto"/>
        <w:left w:val="none" w:sz="0" w:space="0" w:color="auto"/>
        <w:bottom w:val="none" w:sz="0" w:space="0" w:color="auto"/>
        <w:right w:val="none" w:sz="0" w:space="0" w:color="auto"/>
      </w:divBdr>
    </w:div>
    <w:div w:id="1482888651">
      <w:bodyDiv w:val="1"/>
      <w:marLeft w:val="0"/>
      <w:marRight w:val="0"/>
      <w:marTop w:val="0"/>
      <w:marBottom w:val="0"/>
      <w:divBdr>
        <w:top w:val="none" w:sz="0" w:space="0" w:color="auto"/>
        <w:left w:val="none" w:sz="0" w:space="0" w:color="auto"/>
        <w:bottom w:val="none" w:sz="0" w:space="0" w:color="auto"/>
        <w:right w:val="none" w:sz="0" w:space="0" w:color="auto"/>
      </w:divBdr>
    </w:div>
    <w:div w:id="1487555788">
      <w:bodyDiv w:val="1"/>
      <w:marLeft w:val="0"/>
      <w:marRight w:val="0"/>
      <w:marTop w:val="0"/>
      <w:marBottom w:val="0"/>
      <w:divBdr>
        <w:top w:val="none" w:sz="0" w:space="0" w:color="auto"/>
        <w:left w:val="none" w:sz="0" w:space="0" w:color="auto"/>
        <w:bottom w:val="none" w:sz="0" w:space="0" w:color="auto"/>
        <w:right w:val="none" w:sz="0" w:space="0" w:color="auto"/>
      </w:divBdr>
    </w:div>
    <w:div w:id="1586765824">
      <w:bodyDiv w:val="1"/>
      <w:marLeft w:val="0"/>
      <w:marRight w:val="0"/>
      <w:marTop w:val="0"/>
      <w:marBottom w:val="0"/>
      <w:divBdr>
        <w:top w:val="none" w:sz="0" w:space="0" w:color="auto"/>
        <w:left w:val="none" w:sz="0" w:space="0" w:color="auto"/>
        <w:bottom w:val="none" w:sz="0" w:space="0" w:color="auto"/>
        <w:right w:val="none" w:sz="0" w:space="0" w:color="auto"/>
      </w:divBdr>
    </w:div>
    <w:div w:id="1618873938">
      <w:bodyDiv w:val="1"/>
      <w:marLeft w:val="0"/>
      <w:marRight w:val="0"/>
      <w:marTop w:val="0"/>
      <w:marBottom w:val="0"/>
      <w:divBdr>
        <w:top w:val="none" w:sz="0" w:space="0" w:color="auto"/>
        <w:left w:val="none" w:sz="0" w:space="0" w:color="auto"/>
        <w:bottom w:val="none" w:sz="0" w:space="0" w:color="auto"/>
        <w:right w:val="none" w:sz="0" w:space="0" w:color="auto"/>
      </w:divBdr>
    </w:div>
    <w:div w:id="1651522470">
      <w:bodyDiv w:val="1"/>
      <w:marLeft w:val="0"/>
      <w:marRight w:val="0"/>
      <w:marTop w:val="0"/>
      <w:marBottom w:val="0"/>
      <w:divBdr>
        <w:top w:val="none" w:sz="0" w:space="0" w:color="auto"/>
        <w:left w:val="none" w:sz="0" w:space="0" w:color="auto"/>
        <w:bottom w:val="none" w:sz="0" w:space="0" w:color="auto"/>
        <w:right w:val="none" w:sz="0" w:space="0" w:color="auto"/>
      </w:divBdr>
    </w:div>
    <w:div w:id="1769108780">
      <w:bodyDiv w:val="1"/>
      <w:marLeft w:val="0"/>
      <w:marRight w:val="0"/>
      <w:marTop w:val="0"/>
      <w:marBottom w:val="0"/>
      <w:divBdr>
        <w:top w:val="none" w:sz="0" w:space="0" w:color="auto"/>
        <w:left w:val="none" w:sz="0" w:space="0" w:color="auto"/>
        <w:bottom w:val="none" w:sz="0" w:space="0" w:color="auto"/>
        <w:right w:val="none" w:sz="0" w:space="0" w:color="auto"/>
      </w:divBdr>
    </w:div>
    <w:div w:id="1913155042">
      <w:bodyDiv w:val="1"/>
      <w:marLeft w:val="0"/>
      <w:marRight w:val="0"/>
      <w:marTop w:val="0"/>
      <w:marBottom w:val="0"/>
      <w:divBdr>
        <w:top w:val="none" w:sz="0" w:space="0" w:color="auto"/>
        <w:left w:val="none" w:sz="0" w:space="0" w:color="auto"/>
        <w:bottom w:val="none" w:sz="0" w:space="0" w:color="auto"/>
        <w:right w:val="none" w:sz="0" w:space="0" w:color="auto"/>
      </w:divBdr>
    </w:div>
    <w:div w:id="2033453094">
      <w:bodyDiv w:val="1"/>
      <w:marLeft w:val="0"/>
      <w:marRight w:val="0"/>
      <w:marTop w:val="0"/>
      <w:marBottom w:val="0"/>
      <w:divBdr>
        <w:top w:val="none" w:sz="0" w:space="0" w:color="auto"/>
        <w:left w:val="none" w:sz="0" w:space="0" w:color="auto"/>
        <w:bottom w:val="none" w:sz="0" w:space="0" w:color="auto"/>
        <w:right w:val="none" w:sz="0" w:space="0" w:color="auto"/>
      </w:divBdr>
    </w:div>
    <w:div w:id="21252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209</TotalTime>
  <Pages>38</Pages>
  <Words>12938</Words>
  <Characters>78209</Characters>
  <Application>Microsoft Office Word</Application>
  <DocSecurity>0</DocSecurity>
  <Lines>651</Lines>
  <Paragraphs>181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2023040014, MT</dc:description>
  <cp:lastModifiedBy>Gitte Jørgensen</cp:lastModifiedBy>
  <cp:revision>13</cp:revision>
  <cp:lastPrinted>2006-02-24T09:31:00Z</cp:lastPrinted>
  <dcterms:created xsi:type="dcterms:W3CDTF">2025-06-20T09:51:00Z</dcterms:created>
  <dcterms:modified xsi:type="dcterms:W3CDTF">2025-06-23T10:50:00Z</dcterms:modified>
</cp:coreProperties>
</file>