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D6B" w:rsidRPr="00C84483" w:rsidRDefault="00EC5D6B" w:rsidP="00EC5D6B">
      <w:pPr>
        <w:rPr>
          <w:sz w:val="24"/>
          <w:szCs w:val="24"/>
        </w:rPr>
      </w:pPr>
      <w:r w:rsidRPr="008F49E1">
        <w:rPr>
          <w:noProof/>
          <w:sz w:val="24"/>
          <w:szCs w:val="24"/>
          <w:lang w:eastAsia="da-DK"/>
        </w:rPr>
        <w:drawing>
          <wp:inline distT="0" distB="0" distL="0" distR="0" wp14:anchorId="72F741FC" wp14:editId="12AB48D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EC5D6B" w:rsidRPr="00C84483" w:rsidRDefault="00EC5D6B" w:rsidP="00EC5D6B">
      <w:pPr>
        <w:pStyle w:val="Titel"/>
        <w:tabs>
          <w:tab w:val="right" w:pos="9356"/>
        </w:tabs>
        <w:jc w:val="left"/>
        <w:rPr>
          <w:b w:val="0"/>
          <w:szCs w:val="24"/>
          <w:lang w:eastAsia="en-US"/>
        </w:rPr>
      </w:pPr>
    </w:p>
    <w:p w:rsidR="00EC5D6B" w:rsidRPr="00C84483" w:rsidRDefault="00EC5D6B" w:rsidP="00EC5D6B">
      <w:pPr>
        <w:pStyle w:val="Titel"/>
        <w:tabs>
          <w:tab w:val="right" w:pos="9356"/>
        </w:tabs>
        <w:jc w:val="left"/>
        <w:rPr>
          <w:b w:val="0"/>
          <w:szCs w:val="24"/>
          <w:lang w:eastAsia="en-US"/>
        </w:rPr>
      </w:pPr>
      <w:r w:rsidRPr="00C84483">
        <w:rPr>
          <w:b w:val="0"/>
          <w:szCs w:val="24"/>
          <w:lang w:eastAsia="en-US"/>
        </w:rPr>
        <w:tab/>
      </w:r>
      <w:r w:rsidR="002C33E3">
        <w:rPr>
          <w:szCs w:val="24"/>
        </w:rPr>
        <w:t>20</w:t>
      </w:r>
      <w:r w:rsidR="003075C8">
        <w:rPr>
          <w:szCs w:val="24"/>
        </w:rPr>
        <w:t>. februar 202</w:t>
      </w:r>
      <w:r w:rsidR="002C33E3">
        <w:rPr>
          <w:szCs w:val="24"/>
        </w:rPr>
        <w:t>4</w:t>
      </w:r>
    </w:p>
    <w:p w:rsidR="00EC5D6B" w:rsidRPr="00C84483" w:rsidRDefault="00EC5D6B" w:rsidP="00EC5D6B">
      <w:pPr>
        <w:pStyle w:val="Titel"/>
        <w:jc w:val="left"/>
        <w:rPr>
          <w:b w:val="0"/>
          <w:szCs w:val="24"/>
        </w:rPr>
      </w:pPr>
    </w:p>
    <w:p w:rsidR="00EC5D6B" w:rsidRPr="00C84483" w:rsidRDefault="00EC5D6B" w:rsidP="00EC5D6B">
      <w:pPr>
        <w:pStyle w:val="Titel"/>
        <w:jc w:val="left"/>
        <w:rPr>
          <w:b w:val="0"/>
          <w:szCs w:val="24"/>
        </w:rPr>
      </w:pPr>
      <w:bookmarkStart w:id="0" w:name="_GoBack"/>
      <w:bookmarkEnd w:id="0"/>
    </w:p>
    <w:p w:rsidR="00EC5D6B" w:rsidRPr="00C84483" w:rsidRDefault="00EC5D6B" w:rsidP="00EC5D6B">
      <w:pPr>
        <w:jc w:val="center"/>
        <w:rPr>
          <w:b/>
          <w:sz w:val="24"/>
          <w:szCs w:val="24"/>
        </w:rPr>
      </w:pPr>
      <w:r w:rsidRPr="00C84483">
        <w:rPr>
          <w:b/>
          <w:sz w:val="24"/>
          <w:szCs w:val="24"/>
        </w:rPr>
        <w:t>PRODUKTRESUMÉ</w:t>
      </w:r>
    </w:p>
    <w:p w:rsidR="00EC5D6B" w:rsidRPr="00C84483" w:rsidRDefault="00EC5D6B" w:rsidP="00EC5D6B">
      <w:pPr>
        <w:jc w:val="center"/>
        <w:rPr>
          <w:b/>
          <w:sz w:val="24"/>
          <w:szCs w:val="24"/>
        </w:rPr>
      </w:pPr>
    </w:p>
    <w:p w:rsidR="00EC5D6B" w:rsidRPr="00C84483" w:rsidRDefault="00EC5D6B" w:rsidP="00EC5D6B">
      <w:pPr>
        <w:jc w:val="center"/>
        <w:rPr>
          <w:b/>
          <w:sz w:val="24"/>
          <w:szCs w:val="24"/>
        </w:rPr>
      </w:pPr>
      <w:r w:rsidRPr="00C84483">
        <w:rPr>
          <w:b/>
          <w:sz w:val="24"/>
          <w:szCs w:val="24"/>
        </w:rPr>
        <w:t>for</w:t>
      </w:r>
    </w:p>
    <w:p w:rsidR="00EC5D6B" w:rsidRPr="00C84483" w:rsidRDefault="0015642A" w:rsidP="0015642A">
      <w:pPr>
        <w:tabs>
          <w:tab w:val="left" w:pos="401"/>
        </w:tabs>
        <w:rPr>
          <w:b/>
          <w:sz w:val="24"/>
          <w:szCs w:val="24"/>
        </w:rPr>
      </w:pPr>
      <w:r>
        <w:rPr>
          <w:b/>
          <w:sz w:val="24"/>
          <w:szCs w:val="24"/>
        </w:rPr>
        <w:tab/>
      </w:r>
    </w:p>
    <w:p w:rsidR="00EC5D6B" w:rsidRPr="00C84483" w:rsidRDefault="00EC5D6B" w:rsidP="00EC5D6B">
      <w:pPr>
        <w:jc w:val="center"/>
        <w:rPr>
          <w:b/>
          <w:sz w:val="24"/>
          <w:szCs w:val="24"/>
        </w:rPr>
      </w:pPr>
      <w:proofErr w:type="spellStart"/>
      <w:r>
        <w:rPr>
          <w:b/>
          <w:sz w:val="24"/>
          <w:szCs w:val="24"/>
        </w:rPr>
        <w:t>Hepatect</w:t>
      </w:r>
      <w:proofErr w:type="spellEnd"/>
      <w:r>
        <w:rPr>
          <w:b/>
          <w:sz w:val="24"/>
          <w:szCs w:val="24"/>
        </w:rPr>
        <w:t xml:space="preserve"> CP, infusionsvæske, opløsning</w:t>
      </w:r>
    </w:p>
    <w:p w:rsidR="00EC5D6B" w:rsidRPr="00C84483" w:rsidRDefault="00EC5D6B" w:rsidP="00EC5D6B">
      <w:pPr>
        <w:jc w:val="both"/>
        <w:rPr>
          <w:sz w:val="24"/>
          <w:szCs w:val="24"/>
        </w:rPr>
      </w:pPr>
    </w:p>
    <w:p w:rsidR="00EC5D6B" w:rsidRPr="004041C5" w:rsidRDefault="00EC5D6B" w:rsidP="00EC5D6B">
      <w:pPr>
        <w:ind w:left="851" w:hanging="851"/>
        <w:jc w:val="both"/>
        <w:rPr>
          <w:sz w:val="24"/>
          <w:szCs w:val="24"/>
        </w:rPr>
      </w:pPr>
    </w:p>
    <w:p w:rsidR="00EC5D6B" w:rsidRPr="004041C5" w:rsidRDefault="00EC5D6B" w:rsidP="00EC5D6B">
      <w:pPr>
        <w:ind w:left="851" w:hanging="851"/>
        <w:rPr>
          <w:b/>
          <w:sz w:val="24"/>
          <w:szCs w:val="24"/>
        </w:rPr>
      </w:pPr>
      <w:r w:rsidRPr="004041C5">
        <w:rPr>
          <w:b/>
          <w:sz w:val="24"/>
          <w:szCs w:val="24"/>
        </w:rPr>
        <w:t>0.</w:t>
      </w:r>
      <w:r w:rsidRPr="004041C5">
        <w:rPr>
          <w:b/>
          <w:sz w:val="24"/>
          <w:szCs w:val="24"/>
        </w:rPr>
        <w:tab/>
        <w:t>D.SP.NR.</w:t>
      </w:r>
    </w:p>
    <w:p w:rsidR="00EC5D6B" w:rsidRPr="004041C5" w:rsidRDefault="00EC5D6B" w:rsidP="00EC5D6B">
      <w:pPr>
        <w:ind w:left="851" w:hanging="851"/>
        <w:rPr>
          <w:sz w:val="24"/>
          <w:szCs w:val="24"/>
        </w:rPr>
      </w:pPr>
      <w:r w:rsidRPr="004041C5">
        <w:rPr>
          <w:sz w:val="24"/>
          <w:szCs w:val="24"/>
        </w:rPr>
        <w:tab/>
        <w:t>28813</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1.</w:t>
      </w:r>
      <w:r w:rsidRPr="004041C5">
        <w:rPr>
          <w:b/>
          <w:sz w:val="24"/>
          <w:szCs w:val="24"/>
        </w:rPr>
        <w:tab/>
        <w:t>LÆGEMIDLETS NAVN</w:t>
      </w:r>
    </w:p>
    <w:p w:rsidR="00EC5D6B" w:rsidRPr="001F444A" w:rsidRDefault="001F444A" w:rsidP="001F444A">
      <w:pPr>
        <w:ind w:left="851"/>
      </w:pPr>
      <w:proofErr w:type="spellStart"/>
      <w:r w:rsidRPr="007566AF">
        <w:t>Hepatect</w:t>
      </w:r>
      <w:proofErr w:type="spellEnd"/>
      <w:r w:rsidRPr="007566AF">
        <w:t xml:space="preserve"> CP</w:t>
      </w:r>
      <w:r>
        <w:t xml:space="preserve"> </w:t>
      </w:r>
      <w:r w:rsidRPr="00EC5297">
        <w:t>50 I</w:t>
      </w:r>
      <w:r>
        <w:t>E</w:t>
      </w:r>
      <w:r w:rsidRPr="00EC5297">
        <w:t>/ ml infusionsvæske, opløsning</w:t>
      </w:r>
    </w:p>
    <w:p w:rsidR="00EC5D6B" w:rsidRPr="004041C5" w:rsidRDefault="00EC5D6B" w:rsidP="00EC5D6B">
      <w:pPr>
        <w:ind w:left="851" w:hanging="851"/>
        <w:rPr>
          <w:sz w:val="24"/>
          <w:szCs w:val="24"/>
        </w:rPr>
      </w:pPr>
      <w:r w:rsidRPr="004041C5">
        <w:rPr>
          <w:sz w:val="24"/>
          <w:szCs w:val="24"/>
        </w:rPr>
        <w:tab/>
      </w:r>
    </w:p>
    <w:p w:rsidR="00EC5D6B" w:rsidRPr="004041C5" w:rsidRDefault="00EC5D6B" w:rsidP="00EC5D6B">
      <w:pPr>
        <w:ind w:left="851" w:hanging="851"/>
        <w:rPr>
          <w:b/>
          <w:sz w:val="24"/>
          <w:szCs w:val="24"/>
        </w:rPr>
      </w:pPr>
      <w:r w:rsidRPr="004041C5">
        <w:rPr>
          <w:b/>
          <w:sz w:val="24"/>
          <w:szCs w:val="24"/>
        </w:rPr>
        <w:t>2.</w:t>
      </w:r>
      <w:r w:rsidRPr="004041C5">
        <w:rPr>
          <w:b/>
          <w:sz w:val="24"/>
          <w:szCs w:val="24"/>
        </w:rPr>
        <w:tab/>
        <w:t>KVALITATIV OG KVANTITATIV SAMMENSÆTNING</w:t>
      </w:r>
    </w:p>
    <w:p w:rsidR="001F444A" w:rsidRPr="001F444A" w:rsidRDefault="001F444A" w:rsidP="001F444A">
      <w:pPr>
        <w:pStyle w:val="Slutnotetekst"/>
        <w:widowControl/>
        <w:tabs>
          <w:tab w:val="clear" w:pos="567"/>
        </w:tabs>
        <w:ind w:left="851"/>
        <w:rPr>
          <w:sz w:val="24"/>
          <w:szCs w:val="24"/>
        </w:rPr>
      </w:pPr>
      <w:r w:rsidRPr="001F444A">
        <w:rPr>
          <w:sz w:val="24"/>
          <w:szCs w:val="24"/>
        </w:rPr>
        <w:t>Humant hepatitis B-</w:t>
      </w:r>
      <w:proofErr w:type="spellStart"/>
      <w:r w:rsidRPr="001F444A">
        <w:rPr>
          <w:sz w:val="24"/>
          <w:szCs w:val="24"/>
        </w:rPr>
        <w:t>immunoglobulin</w:t>
      </w:r>
      <w:proofErr w:type="spellEnd"/>
      <w:r w:rsidRPr="001F444A">
        <w:rPr>
          <w:sz w:val="24"/>
          <w:szCs w:val="24"/>
        </w:rPr>
        <w:t>.</w:t>
      </w:r>
    </w:p>
    <w:p w:rsidR="001F444A" w:rsidRPr="001F444A" w:rsidRDefault="001F444A" w:rsidP="001F444A">
      <w:pPr>
        <w:rPr>
          <w:sz w:val="24"/>
          <w:szCs w:val="24"/>
        </w:rPr>
      </w:pPr>
    </w:p>
    <w:p w:rsidR="001F444A" w:rsidRPr="001F444A" w:rsidRDefault="001F444A" w:rsidP="001F444A">
      <w:pPr>
        <w:ind w:left="851"/>
        <w:rPr>
          <w:sz w:val="24"/>
          <w:szCs w:val="24"/>
        </w:rPr>
      </w:pPr>
      <w:r w:rsidRPr="001F444A">
        <w:rPr>
          <w:sz w:val="24"/>
          <w:szCs w:val="24"/>
        </w:rPr>
        <w:t xml:space="preserve">Humant protein 50 g/l, hvoraf mindst 96 % er </w:t>
      </w:r>
      <w:proofErr w:type="spellStart"/>
      <w:r w:rsidRPr="001F444A">
        <w:rPr>
          <w:sz w:val="24"/>
          <w:szCs w:val="24"/>
        </w:rPr>
        <w:t>IgG</w:t>
      </w:r>
      <w:proofErr w:type="spellEnd"/>
      <w:r w:rsidRPr="001F444A">
        <w:rPr>
          <w:sz w:val="24"/>
          <w:szCs w:val="24"/>
        </w:rPr>
        <w:t>, med et indhold af antistoffer mod hepatitis-virus-overfladeantigen (</w:t>
      </w:r>
      <w:proofErr w:type="spellStart"/>
      <w:r w:rsidRPr="001F444A">
        <w:rPr>
          <w:sz w:val="24"/>
          <w:szCs w:val="24"/>
        </w:rPr>
        <w:t>HBs</w:t>
      </w:r>
      <w:proofErr w:type="spellEnd"/>
      <w:r w:rsidRPr="001F444A">
        <w:rPr>
          <w:sz w:val="24"/>
          <w:szCs w:val="24"/>
        </w:rPr>
        <w:t>) på 50 IE/ml</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Hvert hætteglas med 2 ml indeholder: 100 IE</w:t>
      </w:r>
    </w:p>
    <w:p w:rsidR="001F444A" w:rsidRPr="001F444A" w:rsidRDefault="001F444A" w:rsidP="001F444A">
      <w:pPr>
        <w:ind w:left="851"/>
        <w:rPr>
          <w:sz w:val="24"/>
          <w:szCs w:val="24"/>
        </w:rPr>
      </w:pPr>
      <w:r w:rsidRPr="001F444A">
        <w:rPr>
          <w:sz w:val="24"/>
          <w:szCs w:val="24"/>
        </w:rPr>
        <w:t>Hvert hætteglas med 10 ml indeholder: 500 IE</w:t>
      </w:r>
    </w:p>
    <w:p w:rsidR="001F444A" w:rsidRPr="001F444A" w:rsidRDefault="001F444A" w:rsidP="001F444A">
      <w:pPr>
        <w:ind w:left="851"/>
        <w:rPr>
          <w:sz w:val="24"/>
          <w:szCs w:val="24"/>
        </w:rPr>
      </w:pPr>
      <w:r w:rsidRPr="001F444A">
        <w:rPr>
          <w:sz w:val="24"/>
          <w:szCs w:val="24"/>
        </w:rPr>
        <w:t>Hvert hætteglas med 40 ml indeholder: 2000 IE</w:t>
      </w:r>
    </w:p>
    <w:p w:rsidR="001F444A" w:rsidRPr="001F444A" w:rsidRDefault="001F444A" w:rsidP="001F444A">
      <w:pPr>
        <w:ind w:left="851"/>
        <w:rPr>
          <w:sz w:val="24"/>
          <w:szCs w:val="24"/>
        </w:rPr>
      </w:pPr>
      <w:r w:rsidRPr="001F444A">
        <w:rPr>
          <w:sz w:val="24"/>
          <w:szCs w:val="24"/>
        </w:rPr>
        <w:t>Hvert hætteglas med 100 ml indeholder: 5000 IE</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Fordeling af </w:t>
      </w:r>
      <w:proofErr w:type="spellStart"/>
      <w:r w:rsidRPr="001F444A">
        <w:rPr>
          <w:sz w:val="24"/>
          <w:szCs w:val="24"/>
        </w:rPr>
        <w:t>IgG</w:t>
      </w:r>
      <w:proofErr w:type="spellEnd"/>
      <w:r w:rsidRPr="001F444A">
        <w:rPr>
          <w:sz w:val="24"/>
          <w:szCs w:val="24"/>
        </w:rPr>
        <w:t>-underklasser (cirka værdier):</w:t>
      </w:r>
    </w:p>
    <w:p w:rsidR="001F444A" w:rsidRPr="001F444A" w:rsidRDefault="001F444A" w:rsidP="001F444A">
      <w:pPr>
        <w:ind w:left="851"/>
        <w:rPr>
          <w:sz w:val="24"/>
          <w:szCs w:val="24"/>
        </w:rPr>
      </w:pPr>
      <w:r w:rsidRPr="001F444A">
        <w:rPr>
          <w:sz w:val="24"/>
          <w:szCs w:val="24"/>
        </w:rPr>
        <w:t xml:space="preserve">IgG1: </w:t>
      </w:r>
      <w:r w:rsidRPr="001F444A">
        <w:rPr>
          <w:sz w:val="24"/>
          <w:szCs w:val="24"/>
        </w:rPr>
        <w:tab/>
        <w:t>59 %</w:t>
      </w:r>
    </w:p>
    <w:p w:rsidR="001F444A" w:rsidRPr="001F444A" w:rsidRDefault="001F444A" w:rsidP="001F444A">
      <w:pPr>
        <w:ind w:left="851"/>
        <w:rPr>
          <w:sz w:val="24"/>
          <w:szCs w:val="24"/>
        </w:rPr>
      </w:pPr>
      <w:r w:rsidRPr="001F444A">
        <w:rPr>
          <w:sz w:val="24"/>
          <w:szCs w:val="24"/>
        </w:rPr>
        <w:t xml:space="preserve">IgG2: </w:t>
      </w:r>
      <w:r w:rsidRPr="001F444A">
        <w:rPr>
          <w:sz w:val="24"/>
          <w:szCs w:val="24"/>
        </w:rPr>
        <w:tab/>
        <w:t>35 %</w:t>
      </w:r>
    </w:p>
    <w:p w:rsidR="001F444A" w:rsidRPr="001F444A" w:rsidRDefault="001F444A" w:rsidP="001F444A">
      <w:pPr>
        <w:ind w:left="851"/>
        <w:rPr>
          <w:sz w:val="24"/>
          <w:szCs w:val="24"/>
        </w:rPr>
      </w:pPr>
      <w:r w:rsidRPr="001F444A">
        <w:rPr>
          <w:sz w:val="24"/>
          <w:szCs w:val="24"/>
        </w:rPr>
        <w:t>IgG3:</w:t>
      </w:r>
      <w:r w:rsidRPr="001F444A">
        <w:rPr>
          <w:sz w:val="24"/>
          <w:szCs w:val="24"/>
        </w:rPr>
        <w:tab/>
        <w:t>3 %</w:t>
      </w:r>
    </w:p>
    <w:p w:rsidR="001F444A" w:rsidRPr="001F444A" w:rsidRDefault="001F444A" w:rsidP="001F444A">
      <w:pPr>
        <w:ind w:left="851"/>
        <w:rPr>
          <w:sz w:val="24"/>
          <w:szCs w:val="24"/>
        </w:rPr>
      </w:pPr>
      <w:r w:rsidRPr="001F444A">
        <w:rPr>
          <w:sz w:val="24"/>
          <w:szCs w:val="24"/>
        </w:rPr>
        <w:t>IgG4</w:t>
      </w:r>
      <w:r w:rsidRPr="001F444A">
        <w:rPr>
          <w:sz w:val="24"/>
          <w:szCs w:val="24"/>
        </w:rPr>
        <w:tab/>
        <w:t>3 %</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Det maksimale </w:t>
      </w:r>
      <w:proofErr w:type="spellStart"/>
      <w:r w:rsidRPr="001F444A">
        <w:rPr>
          <w:sz w:val="24"/>
          <w:szCs w:val="24"/>
        </w:rPr>
        <w:t>IgA</w:t>
      </w:r>
      <w:proofErr w:type="spellEnd"/>
      <w:r w:rsidRPr="001F444A">
        <w:rPr>
          <w:sz w:val="24"/>
          <w:szCs w:val="24"/>
        </w:rPr>
        <w:t>-indhold er 2000 mikrogram/ml.</w:t>
      </w:r>
    </w:p>
    <w:p w:rsidR="001F444A" w:rsidRPr="001F444A" w:rsidRDefault="001F444A" w:rsidP="001F444A">
      <w:pPr>
        <w:ind w:left="851"/>
        <w:rPr>
          <w:sz w:val="24"/>
          <w:szCs w:val="24"/>
        </w:rPr>
      </w:pPr>
    </w:p>
    <w:p w:rsidR="00EC5D6B" w:rsidRPr="001F444A" w:rsidRDefault="001F444A" w:rsidP="001F444A">
      <w:pPr>
        <w:ind w:left="851"/>
        <w:rPr>
          <w:sz w:val="24"/>
          <w:szCs w:val="24"/>
        </w:rPr>
      </w:pPr>
      <w:r w:rsidRPr="001F444A">
        <w:rPr>
          <w:sz w:val="24"/>
          <w:szCs w:val="24"/>
        </w:rPr>
        <w:t>Alle hjælpestoffer er anført under pkt. 6.1.</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3.</w:t>
      </w:r>
      <w:r w:rsidRPr="004041C5">
        <w:rPr>
          <w:b/>
          <w:sz w:val="24"/>
          <w:szCs w:val="24"/>
        </w:rPr>
        <w:tab/>
        <w:t>LÆGEMIDDELFORM</w:t>
      </w:r>
    </w:p>
    <w:p w:rsidR="001F444A" w:rsidRPr="001F444A" w:rsidRDefault="001F444A" w:rsidP="001F444A">
      <w:pPr>
        <w:ind w:left="851"/>
        <w:rPr>
          <w:sz w:val="24"/>
        </w:rPr>
      </w:pPr>
      <w:r w:rsidRPr="001F444A">
        <w:rPr>
          <w:sz w:val="24"/>
        </w:rPr>
        <w:t>Infusionsvæske, opløsning.</w:t>
      </w:r>
    </w:p>
    <w:p w:rsidR="001F444A" w:rsidRPr="001F444A" w:rsidRDefault="001F444A" w:rsidP="001F444A">
      <w:pPr>
        <w:rPr>
          <w:sz w:val="24"/>
        </w:rPr>
      </w:pPr>
    </w:p>
    <w:p w:rsidR="00EC5D6B" w:rsidRPr="001F444A" w:rsidRDefault="001F444A" w:rsidP="001F444A">
      <w:pPr>
        <w:ind w:left="851"/>
        <w:rPr>
          <w:sz w:val="28"/>
          <w:szCs w:val="24"/>
        </w:rPr>
      </w:pPr>
      <w:r w:rsidRPr="001F444A">
        <w:rPr>
          <w:sz w:val="24"/>
        </w:rPr>
        <w:t>Opløsningen er klar eller let opaliserende og farveløs til lys gul.</w:t>
      </w:r>
    </w:p>
    <w:p w:rsidR="00EC5D6B" w:rsidRDefault="00EC5D6B" w:rsidP="00EC5D6B">
      <w:pPr>
        <w:rPr>
          <w:sz w:val="24"/>
          <w:szCs w:val="24"/>
        </w:rPr>
      </w:pPr>
      <w:r>
        <w:rPr>
          <w:sz w:val="24"/>
          <w:szCs w:val="24"/>
        </w:rPr>
        <w:br w:type="page"/>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4.</w:t>
      </w:r>
      <w:r w:rsidRPr="004041C5">
        <w:rPr>
          <w:b/>
          <w:sz w:val="24"/>
          <w:szCs w:val="24"/>
        </w:rPr>
        <w:tab/>
        <w:t>KLINISKE OPLYSNINGER</w:t>
      </w:r>
    </w:p>
    <w:p w:rsidR="00EC5D6B" w:rsidRPr="004041C5" w:rsidRDefault="00EC5D6B" w:rsidP="00EC5D6B">
      <w:pPr>
        <w:ind w:left="851" w:hanging="851"/>
        <w:rPr>
          <w:b/>
          <w:sz w:val="24"/>
          <w:szCs w:val="24"/>
        </w:rPr>
      </w:pPr>
    </w:p>
    <w:p w:rsidR="00EC5D6B" w:rsidRPr="004041C5" w:rsidRDefault="00EC5D6B" w:rsidP="00EC5D6B">
      <w:pPr>
        <w:ind w:left="851" w:hanging="851"/>
        <w:rPr>
          <w:b/>
          <w:sz w:val="24"/>
          <w:szCs w:val="24"/>
          <w:u w:val="single"/>
        </w:rPr>
      </w:pPr>
      <w:r w:rsidRPr="004041C5">
        <w:rPr>
          <w:b/>
          <w:sz w:val="24"/>
          <w:szCs w:val="24"/>
        </w:rPr>
        <w:t>4.1</w:t>
      </w:r>
      <w:r w:rsidRPr="004041C5">
        <w:rPr>
          <w:b/>
          <w:sz w:val="24"/>
          <w:szCs w:val="24"/>
        </w:rPr>
        <w:tab/>
        <w:t>Terapeutiske indikationer</w:t>
      </w:r>
    </w:p>
    <w:p w:rsidR="001F444A" w:rsidRPr="001F444A" w:rsidRDefault="001F444A" w:rsidP="001F444A">
      <w:pPr>
        <w:ind w:left="851"/>
        <w:rPr>
          <w:sz w:val="24"/>
          <w:szCs w:val="22"/>
        </w:rPr>
      </w:pPr>
      <w:r w:rsidRPr="001F444A">
        <w:rPr>
          <w:sz w:val="24"/>
        </w:rPr>
        <w:t>Forebyggelse af tilbagevendende infektion med hepatitis B-virus efter levertransplantation på grund af hepatitis B-induceret</w:t>
      </w:r>
      <w:r w:rsidRPr="001F444A">
        <w:rPr>
          <w:sz w:val="24"/>
          <w:szCs w:val="22"/>
        </w:rPr>
        <w:t xml:space="preserve"> </w:t>
      </w:r>
      <w:r w:rsidRPr="001F444A">
        <w:rPr>
          <w:sz w:val="24"/>
        </w:rPr>
        <w:t>leversvigt.</w:t>
      </w:r>
    </w:p>
    <w:p w:rsidR="001F444A" w:rsidRPr="001F444A" w:rsidRDefault="001F444A" w:rsidP="001F444A">
      <w:pPr>
        <w:ind w:left="851"/>
        <w:rPr>
          <w:sz w:val="24"/>
        </w:rPr>
      </w:pPr>
    </w:p>
    <w:p w:rsidR="001F444A" w:rsidRPr="001F444A" w:rsidRDefault="001F444A" w:rsidP="001F444A">
      <w:pPr>
        <w:ind w:left="851"/>
        <w:rPr>
          <w:sz w:val="24"/>
          <w:szCs w:val="22"/>
        </w:rPr>
      </w:pPr>
      <w:r w:rsidRPr="001F444A">
        <w:rPr>
          <w:sz w:val="24"/>
        </w:rPr>
        <w:t>Immunprofylakse af hepatitis B</w:t>
      </w:r>
    </w:p>
    <w:p w:rsidR="001F444A" w:rsidRPr="001F444A" w:rsidRDefault="001F444A" w:rsidP="001F444A">
      <w:pPr>
        <w:ind w:left="851"/>
        <w:rPr>
          <w:sz w:val="24"/>
          <w:szCs w:val="22"/>
        </w:rPr>
      </w:pPr>
    </w:p>
    <w:p w:rsidR="001F444A" w:rsidRPr="001F444A" w:rsidRDefault="001F444A" w:rsidP="001F444A">
      <w:pPr>
        <w:ind w:left="851"/>
        <w:rPr>
          <w:sz w:val="24"/>
          <w:szCs w:val="22"/>
        </w:rPr>
      </w:pPr>
      <w:r w:rsidRPr="001F444A">
        <w:rPr>
          <w:sz w:val="24"/>
        </w:rPr>
        <w:t>- I tilfælde af utilsigtet eksponering hos ikke-immuniserede personer (herunder personer, hvis vaccination ikke er</w:t>
      </w:r>
      <w:r w:rsidRPr="001F444A">
        <w:rPr>
          <w:sz w:val="24"/>
          <w:szCs w:val="22"/>
        </w:rPr>
        <w:t xml:space="preserve"> </w:t>
      </w:r>
      <w:r w:rsidRPr="001F444A">
        <w:rPr>
          <w:sz w:val="24"/>
        </w:rPr>
        <w:t>fuldstændig eller hvor status er ukendt).</w:t>
      </w:r>
    </w:p>
    <w:p w:rsidR="001F444A" w:rsidRPr="001F444A" w:rsidRDefault="001F444A" w:rsidP="001F444A">
      <w:pPr>
        <w:ind w:left="851"/>
        <w:rPr>
          <w:sz w:val="24"/>
          <w:szCs w:val="22"/>
        </w:rPr>
      </w:pPr>
    </w:p>
    <w:p w:rsidR="001F444A" w:rsidRPr="001F444A" w:rsidRDefault="001F444A" w:rsidP="001F444A">
      <w:pPr>
        <w:ind w:left="851"/>
        <w:rPr>
          <w:sz w:val="24"/>
          <w:szCs w:val="22"/>
        </w:rPr>
      </w:pPr>
      <w:r w:rsidRPr="001F444A">
        <w:rPr>
          <w:sz w:val="24"/>
        </w:rPr>
        <w:t>- Til hæmodialysepatienter, indtil vaccinationen bliver effektiv.</w:t>
      </w:r>
    </w:p>
    <w:p w:rsidR="001F444A" w:rsidRPr="001F444A" w:rsidRDefault="001F444A" w:rsidP="001F444A">
      <w:pPr>
        <w:ind w:left="851"/>
        <w:rPr>
          <w:sz w:val="24"/>
          <w:szCs w:val="22"/>
        </w:rPr>
      </w:pPr>
    </w:p>
    <w:p w:rsidR="001F444A" w:rsidRPr="001F444A" w:rsidRDefault="001F444A" w:rsidP="001F444A">
      <w:pPr>
        <w:ind w:left="851"/>
        <w:rPr>
          <w:sz w:val="24"/>
        </w:rPr>
      </w:pPr>
      <w:r w:rsidRPr="001F444A">
        <w:rPr>
          <w:sz w:val="24"/>
        </w:rPr>
        <w:t>- Til nyfødte, hvor moderen er bærer af hepatitis B-virus.</w:t>
      </w:r>
    </w:p>
    <w:p w:rsidR="001F444A" w:rsidRPr="001F444A" w:rsidRDefault="001F444A" w:rsidP="001F444A">
      <w:pPr>
        <w:ind w:left="851"/>
        <w:rPr>
          <w:sz w:val="24"/>
          <w:szCs w:val="22"/>
        </w:rPr>
      </w:pPr>
    </w:p>
    <w:p w:rsidR="001F444A" w:rsidRPr="001F444A" w:rsidRDefault="001F444A" w:rsidP="001F444A">
      <w:pPr>
        <w:ind w:left="851"/>
        <w:rPr>
          <w:sz w:val="24"/>
          <w:szCs w:val="22"/>
        </w:rPr>
      </w:pPr>
      <w:r w:rsidRPr="001F444A">
        <w:rPr>
          <w:sz w:val="24"/>
        </w:rPr>
        <w:t>- Til personer, som ikke udviser immunrespons (ikke måleligt hepatitis B-antistof) efter</w:t>
      </w:r>
    </w:p>
    <w:p w:rsidR="001F444A" w:rsidRPr="001F444A" w:rsidRDefault="001F444A" w:rsidP="001F444A">
      <w:pPr>
        <w:ind w:left="851"/>
        <w:rPr>
          <w:sz w:val="24"/>
          <w:szCs w:val="22"/>
        </w:rPr>
      </w:pPr>
      <w:r w:rsidRPr="001F444A">
        <w:rPr>
          <w:sz w:val="24"/>
        </w:rPr>
        <w:t xml:space="preserve">vaccination, hvor fortsat forebyggelse er nødvendigt på grund af fortsat risiko for </w:t>
      </w:r>
    </w:p>
    <w:p w:rsidR="001F444A" w:rsidRPr="001F444A" w:rsidRDefault="001F444A" w:rsidP="001F444A">
      <w:pPr>
        <w:ind w:left="851"/>
        <w:rPr>
          <w:sz w:val="24"/>
          <w:szCs w:val="22"/>
        </w:rPr>
      </w:pPr>
      <w:r w:rsidRPr="001F444A">
        <w:rPr>
          <w:sz w:val="24"/>
        </w:rPr>
        <w:t>infektion med hepatitis B.</w:t>
      </w:r>
    </w:p>
    <w:p w:rsidR="00EC5D6B" w:rsidRPr="004041C5" w:rsidRDefault="00EC5D6B" w:rsidP="001F444A">
      <w:pPr>
        <w:ind w:left="851" w:hanging="851"/>
        <w:rPr>
          <w:sz w:val="24"/>
          <w:szCs w:val="24"/>
        </w:rPr>
      </w:pPr>
    </w:p>
    <w:p w:rsidR="00EC5D6B" w:rsidRPr="004041C5" w:rsidRDefault="00EC5D6B" w:rsidP="00EC5D6B">
      <w:pPr>
        <w:ind w:left="851" w:hanging="851"/>
        <w:rPr>
          <w:b/>
          <w:sz w:val="24"/>
          <w:szCs w:val="24"/>
        </w:rPr>
      </w:pPr>
      <w:r w:rsidRPr="004041C5">
        <w:rPr>
          <w:b/>
          <w:sz w:val="24"/>
          <w:szCs w:val="24"/>
        </w:rPr>
        <w:t>4.2</w:t>
      </w:r>
      <w:r w:rsidRPr="004041C5">
        <w:rPr>
          <w:b/>
          <w:sz w:val="24"/>
          <w:szCs w:val="24"/>
        </w:rPr>
        <w:tab/>
        <w:t xml:space="preserve">Dosering og </w:t>
      </w:r>
      <w:r w:rsidR="002C33E3">
        <w:rPr>
          <w:b/>
          <w:sz w:val="24"/>
          <w:szCs w:val="24"/>
        </w:rPr>
        <w:t>administration</w:t>
      </w:r>
    </w:p>
    <w:p w:rsidR="00EC5D6B" w:rsidRDefault="00EC5D6B" w:rsidP="00EC5D6B">
      <w:pPr>
        <w:ind w:left="851" w:hanging="851"/>
        <w:rPr>
          <w:sz w:val="24"/>
          <w:szCs w:val="24"/>
        </w:rPr>
      </w:pPr>
    </w:p>
    <w:p w:rsidR="001F444A" w:rsidRPr="001F444A" w:rsidRDefault="001F444A" w:rsidP="001F444A">
      <w:pPr>
        <w:ind w:left="851"/>
        <w:rPr>
          <w:sz w:val="24"/>
          <w:szCs w:val="24"/>
          <w:u w:val="single"/>
        </w:rPr>
      </w:pPr>
      <w:r w:rsidRPr="001F444A">
        <w:rPr>
          <w:sz w:val="24"/>
          <w:szCs w:val="24"/>
          <w:u w:val="single"/>
        </w:rPr>
        <w:t>Dosering</w:t>
      </w:r>
    </w:p>
    <w:p w:rsidR="001F444A" w:rsidRPr="001F444A" w:rsidRDefault="001F444A" w:rsidP="001F444A">
      <w:pPr>
        <w:pStyle w:val="Slutnotetekst"/>
        <w:widowControl/>
        <w:tabs>
          <w:tab w:val="clear" w:pos="567"/>
        </w:tabs>
        <w:ind w:left="851"/>
        <w:rPr>
          <w:sz w:val="24"/>
          <w:szCs w:val="24"/>
        </w:rPr>
      </w:pPr>
    </w:p>
    <w:p w:rsidR="001F444A" w:rsidRPr="001F444A" w:rsidRDefault="001F444A" w:rsidP="001F444A">
      <w:pPr>
        <w:pStyle w:val="Brdtekst"/>
        <w:ind w:left="851"/>
        <w:rPr>
          <w:b w:val="0"/>
          <w:i/>
          <w:sz w:val="24"/>
          <w:szCs w:val="24"/>
        </w:rPr>
      </w:pPr>
      <w:r w:rsidRPr="001F444A">
        <w:rPr>
          <w:b w:val="0"/>
          <w:i/>
          <w:sz w:val="24"/>
          <w:szCs w:val="24"/>
        </w:rPr>
        <w:t>Forebyggelse af tilbagevendende infektion med hepatitis B-virus efter levertransplantation for hepatitis B-induceret leversvigt:</w:t>
      </w:r>
    </w:p>
    <w:p w:rsidR="001F444A" w:rsidRPr="001F444A" w:rsidRDefault="001F444A" w:rsidP="001F444A">
      <w:pPr>
        <w:ind w:left="851"/>
        <w:rPr>
          <w:b/>
          <w:bCs/>
          <w:sz w:val="24"/>
          <w:szCs w:val="24"/>
        </w:rPr>
      </w:pPr>
    </w:p>
    <w:p w:rsidR="001F444A" w:rsidRPr="001F444A" w:rsidRDefault="001F444A" w:rsidP="001F444A">
      <w:pPr>
        <w:ind w:left="851"/>
        <w:rPr>
          <w:sz w:val="24"/>
          <w:szCs w:val="24"/>
        </w:rPr>
      </w:pPr>
      <w:r w:rsidRPr="001F444A">
        <w:rPr>
          <w:sz w:val="24"/>
          <w:szCs w:val="24"/>
        </w:rPr>
        <w:t>Hos voksne:</w:t>
      </w:r>
    </w:p>
    <w:p w:rsidR="001F444A" w:rsidRPr="001F444A" w:rsidRDefault="001F444A" w:rsidP="001F444A">
      <w:pPr>
        <w:ind w:left="851"/>
        <w:rPr>
          <w:sz w:val="24"/>
          <w:szCs w:val="24"/>
        </w:rPr>
      </w:pPr>
      <w:r w:rsidRPr="001F444A">
        <w:rPr>
          <w:sz w:val="24"/>
          <w:szCs w:val="24"/>
        </w:rPr>
        <w:t xml:space="preserve">10.000 IE på transplantationsdagen, perioperativt, </w:t>
      </w:r>
    </w:p>
    <w:p w:rsidR="001F444A" w:rsidRPr="001F444A" w:rsidRDefault="001F444A" w:rsidP="001F444A">
      <w:pPr>
        <w:ind w:left="851"/>
        <w:rPr>
          <w:sz w:val="24"/>
          <w:szCs w:val="24"/>
        </w:rPr>
      </w:pPr>
      <w:r w:rsidRPr="001F444A">
        <w:rPr>
          <w:sz w:val="24"/>
          <w:szCs w:val="24"/>
        </w:rPr>
        <w:t xml:space="preserve">herefter 2000-10.000 IE (40-200 ml) / dag i 7 dage, </w:t>
      </w:r>
    </w:p>
    <w:p w:rsidR="001F444A" w:rsidRPr="001F444A" w:rsidRDefault="001F444A" w:rsidP="001F444A">
      <w:pPr>
        <w:ind w:left="851"/>
        <w:rPr>
          <w:sz w:val="24"/>
          <w:szCs w:val="24"/>
        </w:rPr>
      </w:pPr>
      <w:r w:rsidRPr="001F444A">
        <w:rPr>
          <w:sz w:val="24"/>
          <w:szCs w:val="24"/>
        </w:rPr>
        <w:t>og efter behov for at opretholde et antistofniveau over 100-150 IE/l hos HBV-DNA-negative patienter og over 500 IE/l hos HBV-DNA-positive patienter.</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Hos børn:</w:t>
      </w:r>
    </w:p>
    <w:p w:rsidR="001F444A" w:rsidRPr="001F444A" w:rsidRDefault="001F444A" w:rsidP="001F444A">
      <w:pPr>
        <w:pStyle w:val="Slutnotetekst"/>
        <w:widowControl/>
        <w:tabs>
          <w:tab w:val="clear" w:pos="567"/>
        </w:tabs>
        <w:ind w:left="851"/>
        <w:rPr>
          <w:sz w:val="24"/>
          <w:szCs w:val="24"/>
        </w:rPr>
      </w:pPr>
      <w:r w:rsidRPr="001F444A">
        <w:rPr>
          <w:sz w:val="24"/>
          <w:szCs w:val="24"/>
        </w:rPr>
        <w:t>Doseringen bør justeres i henhold til kropsoverfladearealet på basis af 10.000 IE/1,73 m</w:t>
      </w:r>
      <w:r w:rsidRPr="001F444A">
        <w:rPr>
          <w:sz w:val="24"/>
          <w:szCs w:val="24"/>
          <w:vertAlign w:val="superscript"/>
        </w:rPr>
        <w:t>2</w:t>
      </w:r>
      <w:r w:rsidRPr="001F444A">
        <w:rPr>
          <w:sz w:val="24"/>
          <w:szCs w:val="24"/>
        </w:rPr>
        <w:t>.</w:t>
      </w:r>
    </w:p>
    <w:p w:rsidR="001F444A" w:rsidRPr="001F444A" w:rsidRDefault="001F444A" w:rsidP="001F444A">
      <w:pPr>
        <w:pStyle w:val="Slutnotetekst"/>
        <w:widowControl/>
        <w:tabs>
          <w:tab w:val="clear" w:pos="567"/>
        </w:tabs>
        <w:ind w:left="851"/>
        <w:rPr>
          <w:sz w:val="24"/>
          <w:szCs w:val="24"/>
        </w:rPr>
      </w:pPr>
    </w:p>
    <w:p w:rsidR="001F444A" w:rsidRPr="001F444A" w:rsidRDefault="001F444A" w:rsidP="001F444A">
      <w:pPr>
        <w:ind w:left="851"/>
        <w:rPr>
          <w:bCs/>
          <w:i/>
          <w:sz w:val="24"/>
          <w:szCs w:val="24"/>
        </w:rPr>
      </w:pPr>
      <w:r w:rsidRPr="001F444A">
        <w:rPr>
          <w:i/>
          <w:sz w:val="24"/>
          <w:szCs w:val="24"/>
        </w:rPr>
        <w:t>Immunprofylakse af hepatitis B:</w:t>
      </w:r>
    </w:p>
    <w:p w:rsidR="001F444A" w:rsidRPr="001F444A" w:rsidRDefault="001F444A" w:rsidP="001F444A">
      <w:pPr>
        <w:ind w:left="851"/>
        <w:rPr>
          <w:b/>
          <w:bCs/>
          <w:sz w:val="24"/>
          <w:szCs w:val="24"/>
        </w:rPr>
      </w:pPr>
    </w:p>
    <w:p w:rsidR="001F444A" w:rsidRPr="001F444A" w:rsidRDefault="001F444A" w:rsidP="001F444A">
      <w:pPr>
        <w:ind w:left="851"/>
        <w:rPr>
          <w:sz w:val="24"/>
          <w:szCs w:val="24"/>
        </w:rPr>
      </w:pPr>
      <w:r w:rsidRPr="001F444A">
        <w:rPr>
          <w:sz w:val="24"/>
          <w:szCs w:val="24"/>
        </w:rPr>
        <w:t>- Forebyggelse af hepatitis B i tilfælde af utilsigtet eksponering hos ikke-immuniserede personer:</w:t>
      </w:r>
    </w:p>
    <w:p w:rsidR="001F444A" w:rsidRPr="001F444A" w:rsidRDefault="001F444A" w:rsidP="001F444A">
      <w:pPr>
        <w:ind w:left="851"/>
        <w:rPr>
          <w:sz w:val="24"/>
          <w:szCs w:val="24"/>
        </w:rPr>
      </w:pPr>
      <w:r w:rsidRPr="001F444A">
        <w:rPr>
          <w:sz w:val="24"/>
          <w:szCs w:val="24"/>
        </w:rPr>
        <w:t>Mindst 500 IE (10 ml), afhængig af eksponeringsintensiteten, så hurtigt som muligt efter eksponering og helst inden for 24 - 72 timer.</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Immunprofylakse af hepatitis B hos hæmodialysepatienter:</w:t>
      </w:r>
    </w:p>
    <w:p w:rsidR="001F444A" w:rsidRPr="001F444A" w:rsidRDefault="001F444A" w:rsidP="001F444A">
      <w:pPr>
        <w:ind w:left="851"/>
        <w:rPr>
          <w:sz w:val="24"/>
          <w:szCs w:val="24"/>
        </w:rPr>
      </w:pPr>
      <w:r w:rsidRPr="001F444A">
        <w:rPr>
          <w:sz w:val="24"/>
          <w:szCs w:val="24"/>
        </w:rPr>
        <w:t xml:space="preserve">8-12 IE (0,16-0.24 ml) /kg med maksimalt 500 IE (10 ml) hver 2. måned indtil </w:t>
      </w:r>
      <w:proofErr w:type="spellStart"/>
      <w:r w:rsidRPr="001F444A">
        <w:rPr>
          <w:sz w:val="24"/>
          <w:szCs w:val="24"/>
        </w:rPr>
        <w:t>serokonversion</w:t>
      </w:r>
      <w:proofErr w:type="spellEnd"/>
      <w:r w:rsidRPr="001F444A">
        <w:rPr>
          <w:sz w:val="24"/>
          <w:szCs w:val="24"/>
        </w:rPr>
        <w:t xml:space="preserve"> efter vaccinationen.</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Forebyggelse af hepatitis B hos nyfødte, hvor moderen er bærer af hepatitis B-virus, ved fødslen eller hurtigst muligt efter fødslen: 30-100 IE (0,6-2 ml) / kg. Administration af hepatitis B-</w:t>
      </w:r>
      <w:proofErr w:type="spellStart"/>
      <w:r w:rsidRPr="001F444A">
        <w:rPr>
          <w:sz w:val="24"/>
          <w:szCs w:val="24"/>
        </w:rPr>
        <w:t>immunoglobulin</w:t>
      </w:r>
      <w:proofErr w:type="spellEnd"/>
      <w:r w:rsidRPr="001F444A">
        <w:rPr>
          <w:sz w:val="24"/>
          <w:szCs w:val="24"/>
        </w:rPr>
        <w:t xml:space="preserve"> kan gentages indtil </w:t>
      </w:r>
      <w:proofErr w:type="spellStart"/>
      <w:r w:rsidRPr="001F444A">
        <w:rPr>
          <w:sz w:val="24"/>
          <w:szCs w:val="24"/>
        </w:rPr>
        <w:t>serokonversion</w:t>
      </w:r>
      <w:proofErr w:type="spellEnd"/>
      <w:r w:rsidRPr="001F444A">
        <w:rPr>
          <w:sz w:val="24"/>
          <w:szCs w:val="24"/>
        </w:rPr>
        <w:t xml:space="preserve"> efter vaccination.</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lastRenderedPageBreak/>
        <w:t>I alle disse situationer anbefales det på det kraftigste at vaccinere mod hepatitis B-virus. Den første dosis af vaccinen kan injiceres på samme dag som humant hepatitis B-</w:t>
      </w:r>
      <w:proofErr w:type="spellStart"/>
      <w:r w:rsidRPr="001F444A">
        <w:rPr>
          <w:sz w:val="24"/>
          <w:szCs w:val="24"/>
        </w:rPr>
        <w:t>immunoglobulin</w:t>
      </w:r>
      <w:proofErr w:type="spellEnd"/>
      <w:r w:rsidRPr="001F444A">
        <w:rPr>
          <w:sz w:val="24"/>
          <w:szCs w:val="24"/>
        </w:rPr>
        <w:t>, men imidlertid på forskellige administrationssteder.</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Hos personer, som ikke viser et immunrespons (ikke-måleligt hepatitis B-antistof) efter vaccinationen, og hvor fortsat forebyggelse er nødvendig, kan det overvejes at give 500 IE (10 ml) til voksne og 8 IE (0,16 ml) /kg til børn hver 2. måned. Den mindste beskyttende antistofkoncentration anses for at være 10 </w:t>
      </w:r>
      <w:proofErr w:type="spellStart"/>
      <w:r w:rsidRPr="001F444A">
        <w:rPr>
          <w:sz w:val="24"/>
          <w:szCs w:val="24"/>
        </w:rPr>
        <w:t>mIE</w:t>
      </w:r>
      <w:proofErr w:type="spellEnd"/>
      <w:r w:rsidRPr="001F444A">
        <w:rPr>
          <w:sz w:val="24"/>
          <w:szCs w:val="24"/>
        </w:rPr>
        <w:t>/ml.</w:t>
      </w:r>
    </w:p>
    <w:p w:rsidR="001F444A" w:rsidRPr="001F444A" w:rsidRDefault="001F444A" w:rsidP="001F444A">
      <w:pPr>
        <w:pStyle w:val="Slutnotetekst"/>
        <w:widowControl/>
        <w:tabs>
          <w:tab w:val="clear" w:pos="567"/>
        </w:tabs>
        <w:ind w:left="851"/>
        <w:rPr>
          <w:sz w:val="24"/>
          <w:szCs w:val="24"/>
        </w:rPr>
      </w:pPr>
    </w:p>
    <w:p w:rsidR="001F444A" w:rsidRPr="001F444A" w:rsidRDefault="001F444A" w:rsidP="001F444A">
      <w:pPr>
        <w:ind w:left="851"/>
        <w:rPr>
          <w:i/>
          <w:sz w:val="24"/>
          <w:szCs w:val="24"/>
        </w:rPr>
      </w:pPr>
      <w:r w:rsidRPr="001F444A">
        <w:rPr>
          <w:i/>
          <w:sz w:val="24"/>
          <w:szCs w:val="24"/>
        </w:rPr>
        <w:t xml:space="preserve">Nedsat leverfunktion </w:t>
      </w:r>
    </w:p>
    <w:p w:rsidR="001F444A" w:rsidRPr="001F444A" w:rsidRDefault="001F444A" w:rsidP="001F444A">
      <w:pPr>
        <w:ind w:left="851"/>
        <w:rPr>
          <w:sz w:val="24"/>
          <w:szCs w:val="24"/>
        </w:rPr>
      </w:pPr>
      <w:r w:rsidRPr="001F444A">
        <w:rPr>
          <w:sz w:val="24"/>
          <w:szCs w:val="24"/>
        </w:rPr>
        <w:t xml:space="preserve">Der foreligger ingen evidens for behov for en dosisjustering. </w:t>
      </w:r>
    </w:p>
    <w:p w:rsidR="001F444A" w:rsidRPr="001F444A" w:rsidRDefault="001F444A" w:rsidP="001F444A">
      <w:pPr>
        <w:ind w:left="851"/>
        <w:rPr>
          <w:sz w:val="24"/>
          <w:szCs w:val="24"/>
        </w:rPr>
      </w:pPr>
    </w:p>
    <w:p w:rsidR="001F444A" w:rsidRPr="001F444A" w:rsidRDefault="001F444A" w:rsidP="001F444A">
      <w:pPr>
        <w:ind w:left="851"/>
        <w:rPr>
          <w:i/>
          <w:sz w:val="24"/>
          <w:szCs w:val="24"/>
        </w:rPr>
      </w:pPr>
      <w:r w:rsidRPr="001F444A">
        <w:rPr>
          <w:i/>
          <w:sz w:val="24"/>
          <w:szCs w:val="24"/>
        </w:rPr>
        <w:t xml:space="preserve">Nedsat nyrefunktion </w:t>
      </w:r>
    </w:p>
    <w:p w:rsidR="001F444A" w:rsidRPr="001F444A" w:rsidRDefault="001F444A" w:rsidP="001F444A">
      <w:pPr>
        <w:ind w:left="851"/>
        <w:rPr>
          <w:sz w:val="24"/>
          <w:szCs w:val="24"/>
        </w:rPr>
      </w:pPr>
      <w:r w:rsidRPr="001F444A">
        <w:rPr>
          <w:sz w:val="24"/>
          <w:szCs w:val="24"/>
        </w:rPr>
        <w:t>Ingen dosisjustering medmindre det er klinisk berettiget, se pkt. 4.4.</w:t>
      </w:r>
    </w:p>
    <w:p w:rsidR="001F444A" w:rsidRPr="001F444A" w:rsidRDefault="001F444A" w:rsidP="001F444A">
      <w:pPr>
        <w:ind w:left="851"/>
        <w:rPr>
          <w:sz w:val="24"/>
          <w:szCs w:val="24"/>
        </w:rPr>
      </w:pPr>
    </w:p>
    <w:p w:rsidR="001F444A" w:rsidRPr="001F444A" w:rsidRDefault="001F444A" w:rsidP="001F444A">
      <w:pPr>
        <w:ind w:left="851"/>
        <w:rPr>
          <w:i/>
          <w:sz w:val="24"/>
          <w:szCs w:val="24"/>
        </w:rPr>
      </w:pPr>
      <w:r w:rsidRPr="001F444A">
        <w:rPr>
          <w:i/>
          <w:sz w:val="24"/>
          <w:szCs w:val="24"/>
        </w:rPr>
        <w:t>Ældre</w:t>
      </w:r>
    </w:p>
    <w:p w:rsidR="001F444A" w:rsidRPr="001F444A" w:rsidRDefault="001F444A" w:rsidP="001F444A">
      <w:pPr>
        <w:ind w:left="851"/>
        <w:rPr>
          <w:sz w:val="24"/>
          <w:szCs w:val="24"/>
        </w:rPr>
      </w:pPr>
      <w:r w:rsidRPr="001F444A">
        <w:rPr>
          <w:sz w:val="24"/>
          <w:szCs w:val="24"/>
        </w:rPr>
        <w:t>Ingen dosisjustering medmindre det er klinisk berettiget, se pkt. 4.4.</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r w:rsidRPr="001F444A">
        <w:rPr>
          <w:sz w:val="24"/>
          <w:szCs w:val="24"/>
          <w:u w:val="single"/>
        </w:rPr>
        <w:t xml:space="preserve">Administration </w:t>
      </w:r>
    </w:p>
    <w:p w:rsidR="001F444A" w:rsidRPr="001F444A" w:rsidRDefault="001F444A" w:rsidP="001F444A">
      <w:pPr>
        <w:ind w:left="851"/>
        <w:rPr>
          <w:sz w:val="24"/>
          <w:szCs w:val="24"/>
        </w:rPr>
      </w:pPr>
      <w:r w:rsidRPr="001F444A">
        <w:rPr>
          <w:sz w:val="24"/>
          <w:szCs w:val="24"/>
        </w:rPr>
        <w:t>Intravenøs anvendelse</w:t>
      </w:r>
    </w:p>
    <w:p w:rsidR="001F444A" w:rsidRPr="001F444A" w:rsidRDefault="001F444A" w:rsidP="001F444A">
      <w:pPr>
        <w:ind w:left="851"/>
        <w:rPr>
          <w:sz w:val="24"/>
          <w:szCs w:val="24"/>
        </w:rPr>
      </w:pPr>
      <w:proofErr w:type="spellStart"/>
      <w:r w:rsidRPr="001F444A">
        <w:rPr>
          <w:sz w:val="24"/>
          <w:szCs w:val="24"/>
        </w:rPr>
        <w:t>Hepatect</w:t>
      </w:r>
      <w:proofErr w:type="spellEnd"/>
      <w:r w:rsidRPr="001F444A">
        <w:rPr>
          <w:sz w:val="24"/>
          <w:szCs w:val="24"/>
        </w:rPr>
        <w:t xml:space="preserve"> CP bør </w:t>
      </w:r>
      <w:proofErr w:type="spellStart"/>
      <w:r w:rsidRPr="001F444A">
        <w:rPr>
          <w:sz w:val="24"/>
          <w:szCs w:val="24"/>
        </w:rPr>
        <w:t>infunderes</w:t>
      </w:r>
      <w:proofErr w:type="spellEnd"/>
      <w:r w:rsidRPr="001F444A">
        <w:rPr>
          <w:sz w:val="24"/>
          <w:szCs w:val="24"/>
        </w:rPr>
        <w:t xml:space="preserve"> intravenøst med en indledende hastighed på 0,1 ml/kg/t i 10 minutter. Se pkt. 4.4. I tilfælde af bivirkning skal enten administrationshastigheden reduceres eller infusionen stoppes. Hvis det er veltolereret, kan administrationshastigheden gradvist øges til maksimalt 1 ml/kg/t.</w:t>
      </w:r>
    </w:p>
    <w:p w:rsidR="001F444A" w:rsidRPr="001F444A" w:rsidRDefault="001F444A" w:rsidP="001F444A">
      <w:pPr>
        <w:ind w:left="851"/>
        <w:rPr>
          <w:sz w:val="24"/>
          <w:szCs w:val="24"/>
        </w:rPr>
      </w:pPr>
    </w:p>
    <w:p w:rsidR="00EC5D6B" w:rsidRPr="001F444A" w:rsidRDefault="001F444A" w:rsidP="001F444A">
      <w:pPr>
        <w:ind w:left="851"/>
        <w:rPr>
          <w:sz w:val="24"/>
          <w:szCs w:val="24"/>
        </w:rPr>
      </w:pPr>
      <w:r w:rsidRPr="001F444A">
        <w:rPr>
          <w:sz w:val="24"/>
          <w:szCs w:val="24"/>
        </w:rPr>
        <w:t xml:space="preserve">Klinisk erfaring med nyfødte, hvor moderen er bærer af hepatitis B-virus har vist, at intravenøst </w:t>
      </w:r>
      <w:proofErr w:type="spellStart"/>
      <w:r w:rsidRPr="001F444A">
        <w:rPr>
          <w:sz w:val="24"/>
          <w:szCs w:val="24"/>
        </w:rPr>
        <w:t>Hepatect</w:t>
      </w:r>
      <w:proofErr w:type="spellEnd"/>
      <w:r w:rsidRPr="001F444A">
        <w:rPr>
          <w:sz w:val="24"/>
          <w:szCs w:val="24"/>
        </w:rPr>
        <w:t xml:space="preserve"> CP anvendt med en infusionshastighed på 2 ml imellem 5 og 15 minutter har været veltolereret.</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4.3</w:t>
      </w:r>
      <w:r w:rsidRPr="004041C5">
        <w:rPr>
          <w:b/>
          <w:sz w:val="24"/>
          <w:szCs w:val="24"/>
        </w:rPr>
        <w:tab/>
        <w:t>Kontraindikationer</w:t>
      </w:r>
    </w:p>
    <w:p w:rsidR="001F444A" w:rsidRPr="00146A96" w:rsidRDefault="001F444A" w:rsidP="00146A96">
      <w:pPr>
        <w:pStyle w:val="Listeafsnit"/>
        <w:numPr>
          <w:ilvl w:val="0"/>
          <w:numId w:val="15"/>
        </w:numPr>
        <w:overflowPunct w:val="0"/>
        <w:autoSpaceDE w:val="0"/>
        <w:autoSpaceDN w:val="0"/>
        <w:adjustRightInd w:val="0"/>
        <w:ind w:left="1276"/>
        <w:textAlignment w:val="baseline"/>
        <w:rPr>
          <w:sz w:val="24"/>
        </w:rPr>
      </w:pPr>
      <w:r w:rsidRPr="00146A96">
        <w:rPr>
          <w:sz w:val="24"/>
        </w:rPr>
        <w:t xml:space="preserve">Overfølsomhed over for det aktive stof eller over for et eller flere af hjælpestofferne anført i pkt. 6.1 eller over for humane </w:t>
      </w:r>
      <w:proofErr w:type="spellStart"/>
      <w:r w:rsidRPr="00146A96">
        <w:rPr>
          <w:sz w:val="24"/>
        </w:rPr>
        <w:t>immunoglobuliner</w:t>
      </w:r>
      <w:proofErr w:type="spellEnd"/>
      <w:r w:rsidRPr="00146A96">
        <w:rPr>
          <w:sz w:val="24"/>
        </w:rPr>
        <w:t xml:space="preserve">. </w:t>
      </w:r>
    </w:p>
    <w:p w:rsidR="00EC5D6B" w:rsidRPr="00146A96" w:rsidRDefault="001F444A" w:rsidP="00146A96">
      <w:pPr>
        <w:pStyle w:val="Listeafsnit"/>
        <w:numPr>
          <w:ilvl w:val="0"/>
          <w:numId w:val="15"/>
        </w:numPr>
        <w:overflowPunct w:val="0"/>
        <w:autoSpaceDE w:val="0"/>
        <w:autoSpaceDN w:val="0"/>
        <w:adjustRightInd w:val="0"/>
        <w:ind w:left="1276"/>
        <w:textAlignment w:val="baseline"/>
        <w:rPr>
          <w:sz w:val="24"/>
        </w:rPr>
      </w:pPr>
      <w:r w:rsidRPr="00146A96">
        <w:rPr>
          <w:iCs/>
          <w:sz w:val="24"/>
          <w:szCs w:val="22"/>
        </w:rPr>
        <w:t xml:space="preserve">Patienter med selektiv </w:t>
      </w:r>
      <w:proofErr w:type="spellStart"/>
      <w:r w:rsidRPr="00146A96">
        <w:rPr>
          <w:iCs/>
          <w:sz w:val="24"/>
          <w:szCs w:val="22"/>
        </w:rPr>
        <w:t>IgA</w:t>
      </w:r>
      <w:proofErr w:type="spellEnd"/>
      <w:r w:rsidRPr="00146A96">
        <w:rPr>
          <w:iCs/>
          <w:sz w:val="24"/>
          <w:szCs w:val="22"/>
        </w:rPr>
        <w:t xml:space="preserve">-mangel, som har udviklet antistoffer mod </w:t>
      </w:r>
      <w:proofErr w:type="spellStart"/>
      <w:r w:rsidRPr="00146A96">
        <w:rPr>
          <w:iCs/>
          <w:sz w:val="24"/>
          <w:szCs w:val="22"/>
        </w:rPr>
        <w:t>IgA</w:t>
      </w:r>
      <w:proofErr w:type="spellEnd"/>
      <w:r w:rsidRPr="00146A96">
        <w:rPr>
          <w:iCs/>
          <w:sz w:val="24"/>
          <w:szCs w:val="22"/>
        </w:rPr>
        <w:t xml:space="preserve">, eftersom administration af et </w:t>
      </w:r>
      <w:proofErr w:type="spellStart"/>
      <w:r w:rsidRPr="00146A96">
        <w:rPr>
          <w:iCs/>
          <w:sz w:val="24"/>
          <w:szCs w:val="22"/>
        </w:rPr>
        <w:t>IgA-holdigt</w:t>
      </w:r>
      <w:proofErr w:type="spellEnd"/>
      <w:r w:rsidRPr="00146A96">
        <w:rPr>
          <w:iCs/>
          <w:sz w:val="24"/>
          <w:szCs w:val="22"/>
        </w:rPr>
        <w:t xml:space="preserve"> præparat kan resultere i anafylaksi.</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4.4</w:t>
      </w:r>
      <w:r w:rsidRPr="004041C5">
        <w:rPr>
          <w:b/>
          <w:sz w:val="24"/>
          <w:szCs w:val="24"/>
        </w:rPr>
        <w:tab/>
        <w:t>Særlige advarsler og forsigtighedsregler vedrørende brugen</w:t>
      </w:r>
    </w:p>
    <w:p w:rsidR="001F444A" w:rsidRPr="001F444A" w:rsidRDefault="001F444A" w:rsidP="001F444A">
      <w:pPr>
        <w:keepNext/>
        <w:ind w:left="851"/>
        <w:outlineLvl w:val="2"/>
        <w:rPr>
          <w:i/>
          <w:sz w:val="24"/>
          <w:szCs w:val="24"/>
        </w:rPr>
      </w:pPr>
      <w:r w:rsidRPr="001F444A">
        <w:rPr>
          <w:i/>
          <w:sz w:val="24"/>
          <w:szCs w:val="24"/>
        </w:rPr>
        <w:t>Sporbarhed</w:t>
      </w:r>
    </w:p>
    <w:p w:rsidR="001F444A" w:rsidRPr="001F444A" w:rsidRDefault="001F444A" w:rsidP="001F444A">
      <w:pPr>
        <w:ind w:left="851"/>
        <w:rPr>
          <w:sz w:val="24"/>
          <w:szCs w:val="24"/>
        </w:rPr>
      </w:pPr>
      <w:r w:rsidRPr="001F444A">
        <w:rPr>
          <w:sz w:val="24"/>
          <w:szCs w:val="24"/>
        </w:rPr>
        <w:t>For at forbedre sporbarheden af biologiske lægemidler skal det administrerede produkts handelsnavn og batchnummer tydeligt registreres.</w:t>
      </w:r>
    </w:p>
    <w:p w:rsidR="001F444A" w:rsidRPr="001F444A" w:rsidRDefault="001F444A" w:rsidP="001F444A">
      <w:pPr>
        <w:ind w:left="851"/>
        <w:rPr>
          <w:sz w:val="24"/>
          <w:szCs w:val="24"/>
        </w:rPr>
      </w:pPr>
    </w:p>
    <w:p w:rsidR="001F444A" w:rsidRPr="001F444A" w:rsidRDefault="001F444A" w:rsidP="001F444A">
      <w:pPr>
        <w:keepNext/>
        <w:ind w:left="851"/>
        <w:outlineLvl w:val="2"/>
        <w:rPr>
          <w:i/>
          <w:sz w:val="24"/>
          <w:szCs w:val="24"/>
        </w:rPr>
      </w:pPr>
      <w:r w:rsidRPr="001F444A">
        <w:rPr>
          <w:i/>
          <w:sz w:val="24"/>
          <w:szCs w:val="24"/>
        </w:rPr>
        <w:t xml:space="preserve">Forsigtighedsregler vedrørende brugen </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r w:rsidRPr="001F444A">
        <w:rPr>
          <w:sz w:val="24"/>
          <w:szCs w:val="24"/>
          <w:u w:val="single"/>
        </w:rPr>
        <w:t xml:space="preserve">Monitorering af niveauet af </w:t>
      </w:r>
      <w:proofErr w:type="spellStart"/>
      <w:r w:rsidRPr="001F444A">
        <w:rPr>
          <w:sz w:val="24"/>
          <w:szCs w:val="24"/>
          <w:u w:val="single"/>
        </w:rPr>
        <w:t>anti-HBs</w:t>
      </w:r>
      <w:proofErr w:type="spellEnd"/>
      <w:r w:rsidRPr="001F444A">
        <w:rPr>
          <w:sz w:val="24"/>
          <w:szCs w:val="24"/>
          <w:u w:val="single"/>
        </w:rPr>
        <w:t xml:space="preserve"> antistof:</w:t>
      </w:r>
    </w:p>
    <w:p w:rsidR="001F444A" w:rsidRPr="001F444A" w:rsidRDefault="001F444A" w:rsidP="001F444A">
      <w:pPr>
        <w:ind w:left="851"/>
        <w:rPr>
          <w:sz w:val="24"/>
          <w:szCs w:val="24"/>
        </w:rPr>
      </w:pPr>
      <w:r w:rsidRPr="001F444A">
        <w:rPr>
          <w:sz w:val="24"/>
          <w:szCs w:val="24"/>
        </w:rPr>
        <w:t xml:space="preserve">Patienterne bør regelmæssigt monitoreres for niveauerne af serum </w:t>
      </w:r>
      <w:proofErr w:type="spellStart"/>
      <w:r w:rsidRPr="001F444A">
        <w:rPr>
          <w:sz w:val="24"/>
          <w:szCs w:val="24"/>
        </w:rPr>
        <w:t>anti-HBs</w:t>
      </w:r>
      <w:proofErr w:type="spellEnd"/>
      <w:r w:rsidRPr="001F444A">
        <w:rPr>
          <w:sz w:val="24"/>
          <w:szCs w:val="24"/>
        </w:rPr>
        <w:t xml:space="preserve"> antistof. Dosis skal justeres, så de terapeutiske antistofniveauer opretholdes og så underdosering undgås (se pkt. 4.2).</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Potentielle komplikationer kan ofte undgås ved at sikre, at patienterne:</w:t>
      </w:r>
    </w:p>
    <w:p w:rsidR="001F444A" w:rsidRPr="00146A96" w:rsidRDefault="001F444A" w:rsidP="00146A96">
      <w:pPr>
        <w:pStyle w:val="Listeafsnit"/>
        <w:numPr>
          <w:ilvl w:val="0"/>
          <w:numId w:val="14"/>
        </w:numPr>
        <w:overflowPunct w:val="0"/>
        <w:autoSpaceDE w:val="0"/>
        <w:autoSpaceDN w:val="0"/>
        <w:adjustRightInd w:val="0"/>
        <w:ind w:left="1276"/>
        <w:textAlignment w:val="baseline"/>
        <w:rPr>
          <w:sz w:val="24"/>
          <w:szCs w:val="24"/>
        </w:rPr>
      </w:pPr>
      <w:r w:rsidRPr="00146A96">
        <w:rPr>
          <w:sz w:val="24"/>
          <w:szCs w:val="24"/>
        </w:rPr>
        <w:t xml:space="preserve">ikke er følsomme over for humane </w:t>
      </w:r>
      <w:proofErr w:type="spellStart"/>
      <w:r w:rsidRPr="00146A96">
        <w:rPr>
          <w:sz w:val="24"/>
          <w:szCs w:val="24"/>
        </w:rPr>
        <w:t>immunoglobuliner</w:t>
      </w:r>
      <w:proofErr w:type="spellEnd"/>
      <w:r w:rsidRPr="00146A96">
        <w:rPr>
          <w:sz w:val="24"/>
          <w:szCs w:val="24"/>
        </w:rPr>
        <w:t xml:space="preserve"> ved indledningsvist at injicere </w:t>
      </w:r>
      <w:proofErr w:type="spellStart"/>
      <w:r w:rsidRPr="00146A96">
        <w:rPr>
          <w:sz w:val="24"/>
          <w:szCs w:val="24"/>
        </w:rPr>
        <w:t>Hepatect</w:t>
      </w:r>
      <w:proofErr w:type="spellEnd"/>
      <w:r w:rsidRPr="00146A96">
        <w:rPr>
          <w:sz w:val="24"/>
          <w:szCs w:val="24"/>
        </w:rPr>
        <w:t xml:space="preserve"> CP langsomt (0,1 ml/kg/t).</w:t>
      </w:r>
    </w:p>
    <w:p w:rsidR="001F444A" w:rsidRPr="00146A96" w:rsidRDefault="001F444A" w:rsidP="00146A96">
      <w:pPr>
        <w:pStyle w:val="Listeafsnit"/>
        <w:numPr>
          <w:ilvl w:val="0"/>
          <w:numId w:val="14"/>
        </w:numPr>
        <w:overflowPunct w:val="0"/>
        <w:autoSpaceDE w:val="0"/>
        <w:autoSpaceDN w:val="0"/>
        <w:adjustRightInd w:val="0"/>
        <w:ind w:left="1276"/>
        <w:textAlignment w:val="baseline"/>
        <w:rPr>
          <w:sz w:val="24"/>
          <w:szCs w:val="24"/>
        </w:rPr>
      </w:pPr>
      <w:r w:rsidRPr="00146A96">
        <w:rPr>
          <w:sz w:val="24"/>
          <w:szCs w:val="24"/>
        </w:rPr>
        <w:lastRenderedPageBreak/>
        <w:t xml:space="preserve">overvåges nøje for eventuelle symptomer gennem hele infusionsperioden. Især patienter, der ikke tidligere er behandlet med humane </w:t>
      </w:r>
      <w:proofErr w:type="spellStart"/>
      <w:r w:rsidRPr="00146A96">
        <w:rPr>
          <w:sz w:val="24"/>
          <w:szCs w:val="24"/>
        </w:rPr>
        <w:t>immunoglobulinpræparater</w:t>
      </w:r>
      <w:proofErr w:type="spellEnd"/>
      <w:r w:rsidRPr="00146A96">
        <w:rPr>
          <w:sz w:val="24"/>
          <w:szCs w:val="24"/>
        </w:rPr>
        <w:t xml:space="preserve">, patienter, der er skiftet fra andre </w:t>
      </w:r>
      <w:proofErr w:type="spellStart"/>
      <w:r w:rsidRPr="00146A96">
        <w:rPr>
          <w:sz w:val="24"/>
          <w:szCs w:val="24"/>
        </w:rPr>
        <w:t>immunoglobuliner</w:t>
      </w:r>
      <w:proofErr w:type="spellEnd"/>
      <w:r w:rsidRPr="00146A96">
        <w:rPr>
          <w:sz w:val="24"/>
          <w:szCs w:val="24"/>
        </w:rPr>
        <w:t xml:space="preserve">, eller når der har været et langt tidsinterval siden den seneste infusion. Disse patienter skal overvåges på hospitalet under den første infusion og i den efterfølgende time efter den første infusion for at opdage eventuelle bivirkninger. Alle andre patienter skal observeres i mindst 20 minutter efter administration. </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Især ved højere doser af humane </w:t>
      </w:r>
      <w:proofErr w:type="spellStart"/>
      <w:r w:rsidRPr="001F444A">
        <w:rPr>
          <w:sz w:val="24"/>
          <w:szCs w:val="24"/>
        </w:rPr>
        <w:t>immunoglobuliner</w:t>
      </w:r>
      <w:proofErr w:type="spellEnd"/>
      <w:r w:rsidRPr="001F444A">
        <w:rPr>
          <w:sz w:val="24"/>
          <w:szCs w:val="24"/>
        </w:rPr>
        <w:t xml:space="preserve"> kræver intravenøs administration:</w:t>
      </w:r>
    </w:p>
    <w:p w:rsidR="001F444A" w:rsidRPr="00146A96" w:rsidRDefault="001F444A" w:rsidP="00146A96">
      <w:pPr>
        <w:pStyle w:val="Listeafsnit"/>
        <w:numPr>
          <w:ilvl w:val="0"/>
          <w:numId w:val="13"/>
        </w:numPr>
        <w:overflowPunct w:val="0"/>
        <w:autoSpaceDE w:val="0"/>
        <w:autoSpaceDN w:val="0"/>
        <w:adjustRightInd w:val="0"/>
        <w:ind w:left="1276"/>
        <w:textAlignment w:val="baseline"/>
        <w:rPr>
          <w:sz w:val="24"/>
          <w:szCs w:val="24"/>
        </w:rPr>
      </w:pPr>
      <w:r w:rsidRPr="00146A96">
        <w:rPr>
          <w:sz w:val="24"/>
          <w:szCs w:val="24"/>
        </w:rPr>
        <w:t xml:space="preserve">tilstrækkelig hydrering før start på infusion af humane </w:t>
      </w:r>
      <w:proofErr w:type="spellStart"/>
      <w:r w:rsidRPr="00146A96">
        <w:rPr>
          <w:sz w:val="24"/>
          <w:szCs w:val="24"/>
        </w:rPr>
        <w:t>immunoglobuliner</w:t>
      </w:r>
      <w:proofErr w:type="spellEnd"/>
      <w:r w:rsidRPr="00146A96">
        <w:rPr>
          <w:sz w:val="24"/>
          <w:szCs w:val="24"/>
        </w:rPr>
        <w:t xml:space="preserve"> </w:t>
      </w:r>
    </w:p>
    <w:p w:rsidR="001F444A" w:rsidRPr="00146A96" w:rsidRDefault="001F444A" w:rsidP="00146A96">
      <w:pPr>
        <w:pStyle w:val="Listeafsnit"/>
        <w:numPr>
          <w:ilvl w:val="0"/>
          <w:numId w:val="13"/>
        </w:numPr>
        <w:overflowPunct w:val="0"/>
        <w:autoSpaceDE w:val="0"/>
        <w:autoSpaceDN w:val="0"/>
        <w:adjustRightInd w:val="0"/>
        <w:ind w:left="1276"/>
        <w:textAlignment w:val="baseline"/>
        <w:rPr>
          <w:sz w:val="24"/>
          <w:szCs w:val="24"/>
        </w:rPr>
      </w:pPr>
      <w:r w:rsidRPr="00146A96">
        <w:rPr>
          <w:sz w:val="24"/>
          <w:szCs w:val="24"/>
        </w:rPr>
        <w:t xml:space="preserve">monitorering af urinproduktion </w:t>
      </w:r>
    </w:p>
    <w:p w:rsidR="001F444A" w:rsidRPr="00146A96" w:rsidRDefault="001F444A" w:rsidP="00146A96">
      <w:pPr>
        <w:pStyle w:val="Listeafsnit"/>
        <w:numPr>
          <w:ilvl w:val="0"/>
          <w:numId w:val="13"/>
        </w:numPr>
        <w:overflowPunct w:val="0"/>
        <w:autoSpaceDE w:val="0"/>
        <w:autoSpaceDN w:val="0"/>
        <w:adjustRightInd w:val="0"/>
        <w:ind w:left="1276"/>
        <w:textAlignment w:val="baseline"/>
        <w:rPr>
          <w:sz w:val="24"/>
          <w:szCs w:val="24"/>
        </w:rPr>
      </w:pPr>
      <w:r w:rsidRPr="00146A96">
        <w:rPr>
          <w:sz w:val="24"/>
          <w:szCs w:val="24"/>
        </w:rPr>
        <w:t xml:space="preserve">monitorering </w:t>
      </w:r>
      <w:proofErr w:type="spellStart"/>
      <w:r w:rsidRPr="00146A96">
        <w:rPr>
          <w:sz w:val="24"/>
          <w:szCs w:val="24"/>
        </w:rPr>
        <w:t>afniveauerne</w:t>
      </w:r>
      <w:proofErr w:type="spellEnd"/>
      <w:r w:rsidRPr="00146A96">
        <w:rPr>
          <w:sz w:val="24"/>
          <w:szCs w:val="24"/>
        </w:rPr>
        <w:t xml:space="preserve"> af </w:t>
      </w:r>
      <w:proofErr w:type="spellStart"/>
      <w:r w:rsidRPr="00146A96">
        <w:rPr>
          <w:sz w:val="24"/>
          <w:szCs w:val="24"/>
        </w:rPr>
        <w:t>serumkreatinin</w:t>
      </w:r>
      <w:proofErr w:type="spellEnd"/>
      <w:r w:rsidRPr="00146A96">
        <w:rPr>
          <w:sz w:val="24"/>
          <w:szCs w:val="24"/>
        </w:rPr>
        <w:t xml:space="preserve"> </w:t>
      </w:r>
    </w:p>
    <w:p w:rsidR="001F444A" w:rsidRPr="00146A96" w:rsidRDefault="001F444A" w:rsidP="00146A96">
      <w:pPr>
        <w:pStyle w:val="Listeafsnit"/>
        <w:numPr>
          <w:ilvl w:val="0"/>
          <w:numId w:val="13"/>
        </w:numPr>
        <w:overflowPunct w:val="0"/>
        <w:autoSpaceDE w:val="0"/>
        <w:autoSpaceDN w:val="0"/>
        <w:adjustRightInd w:val="0"/>
        <w:ind w:left="1276"/>
        <w:textAlignment w:val="baseline"/>
        <w:rPr>
          <w:sz w:val="24"/>
          <w:szCs w:val="24"/>
        </w:rPr>
      </w:pPr>
      <w:r w:rsidRPr="00146A96">
        <w:rPr>
          <w:sz w:val="24"/>
          <w:szCs w:val="24"/>
        </w:rPr>
        <w:t xml:space="preserve">undgå samtidig brug af </w:t>
      </w:r>
      <w:proofErr w:type="spellStart"/>
      <w:r w:rsidRPr="00146A96">
        <w:rPr>
          <w:sz w:val="24"/>
          <w:szCs w:val="24"/>
        </w:rPr>
        <w:t>loopdiuretika</w:t>
      </w:r>
      <w:proofErr w:type="spellEnd"/>
      <w:r w:rsidRPr="00146A96">
        <w:rPr>
          <w:sz w:val="24"/>
          <w:szCs w:val="24"/>
        </w:rPr>
        <w:t xml:space="preserve"> (se pkt. 4.5) </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I tilfælde af bivirkning skal enten administrationshastigheden reduceres eller infusionen stoppes. Den nødvendige behandling afhænger af typen og sværhedsgraden af bivirkningen. </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u w:val="single"/>
        </w:rPr>
        <w:t>Infusionsreaktion</w:t>
      </w:r>
    </w:p>
    <w:p w:rsidR="001F444A" w:rsidRPr="001F444A" w:rsidRDefault="001F444A" w:rsidP="001F444A">
      <w:pPr>
        <w:ind w:left="851"/>
        <w:rPr>
          <w:sz w:val="24"/>
          <w:szCs w:val="24"/>
        </w:rPr>
      </w:pPr>
      <w:r w:rsidRPr="001F444A">
        <w:rPr>
          <w:sz w:val="24"/>
          <w:szCs w:val="24"/>
        </w:rPr>
        <w:t xml:space="preserve">Visse bivirkninger (f.eks. hovedpine, rødmen, kulderystelser, myalgi, hvæsende vejrtrækning, </w:t>
      </w:r>
      <w:proofErr w:type="spellStart"/>
      <w:r w:rsidRPr="001F444A">
        <w:rPr>
          <w:sz w:val="24"/>
          <w:szCs w:val="24"/>
        </w:rPr>
        <w:t>takykardi</w:t>
      </w:r>
      <w:proofErr w:type="spellEnd"/>
      <w:r w:rsidRPr="001F444A">
        <w:rPr>
          <w:sz w:val="24"/>
          <w:szCs w:val="24"/>
        </w:rPr>
        <w:t>, lændesmerter, kvalme og hypotension) kan muligvis relateres til infusionshastigheden. Den anbefalede infusionshastighed, der er angivet i pkt. 4.2 ”Administration”, skal nøje overholdes. Patienterne skal følges tæt og nøje overvåges for symptomer under hele infusionsperioden.</w:t>
      </w:r>
    </w:p>
    <w:p w:rsidR="001F444A" w:rsidRPr="001F444A" w:rsidRDefault="001F444A" w:rsidP="001F444A">
      <w:pPr>
        <w:ind w:left="851"/>
        <w:rPr>
          <w:sz w:val="24"/>
          <w:szCs w:val="24"/>
        </w:rPr>
      </w:pPr>
      <w:r w:rsidRPr="001F444A">
        <w:rPr>
          <w:sz w:val="24"/>
          <w:szCs w:val="24"/>
        </w:rPr>
        <w:t xml:space="preserve"> </w:t>
      </w:r>
    </w:p>
    <w:p w:rsidR="001F444A" w:rsidRPr="001F444A" w:rsidRDefault="001F444A" w:rsidP="001F444A">
      <w:pPr>
        <w:ind w:left="851"/>
        <w:rPr>
          <w:sz w:val="24"/>
          <w:szCs w:val="24"/>
        </w:rPr>
      </w:pPr>
      <w:r w:rsidRPr="001F444A">
        <w:rPr>
          <w:sz w:val="24"/>
          <w:szCs w:val="24"/>
        </w:rPr>
        <w:t>Bivirkninger kan forekomme mere hyppigt</w:t>
      </w:r>
    </w:p>
    <w:p w:rsidR="001F444A" w:rsidRPr="00146A96" w:rsidRDefault="001F444A" w:rsidP="00146A96">
      <w:pPr>
        <w:pStyle w:val="Listeafsnit"/>
        <w:numPr>
          <w:ilvl w:val="0"/>
          <w:numId w:val="12"/>
        </w:numPr>
        <w:overflowPunct w:val="0"/>
        <w:autoSpaceDE w:val="0"/>
        <w:autoSpaceDN w:val="0"/>
        <w:adjustRightInd w:val="0"/>
        <w:ind w:left="1276"/>
        <w:textAlignment w:val="baseline"/>
        <w:rPr>
          <w:sz w:val="24"/>
          <w:szCs w:val="24"/>
        </w:rPr>
      </w:pPr>
      <w:r w:rsidRPr="00146A96">
        <w:rPr>
          <w:sz w:val="24"/>
          <w:szCs w:val="24"/>
        </w:rPr>
        <w:t>ved høj infusionshastighed,</w:t>
      </w:r>
    </w:p>
    <w:p w:rsidR="001F444A" w:rsidRPr="00146A96" w:rsidRDefault="001F444A" w:rsidP="00146A96">
      <w:pPr>
        <w:pStyle w:val="Listeafsnit"/>
        <w:numPr>
          <w:ilvl w:val="0"/>
          <w:numId w:val="12"/>
        </w:numPr>
        <w:overflowPunct w:val="0"/>
        <w:autoSpaceDE w:val="0"/>
        <w:autoSpaceDN w:val="0"/>
        <w:adjustRightInd w:val="0"/>
        <w:ind w:left="1276"/>
        <w:textAlignment w:val="baseline"/>
        <w:rPr>
          <w:sz w:val="24"/>
          <w:szCs w:val="24"/>
        </w:rPr>
      </w:pPr>
      <w:r w:rsidRPr="00146A96">
        <w:rPr>
          <w:sz w:val="24"/>
          <w:szCs w:val="24"/>
        </w:rPr>
        <w:t xml:space="preserve">hos patienter med </w:t>
      </w:r>
      <w:proofErr w:type="spellStart"/>
      <w:r w:rsidRPr="00146A96">
        <w:rPr>
          <w:sz w:val="24"/>
          <w:szCs w:val="24"/>
        </w:rPr>
        <w:t>hypo</w:t>
      </w:r>
      <w:proofErr w:type="spellEnd"/>
      <w:r w:rsidRPr="00146A96">
        <w:rPr>
          <w:sz w:val="24"/>
          <w:szCs w:val="24"/>
        </w:rPr>
        <w:t xml:space="preserve">- eller </w:t>
      </w:r>
      <w:proofErr w:type="spellStart"/>
      <w:r w:rsidRPr="00146A96">
        <w:rPr>
          <w:sz w:val="24"/>
          <w:szCs w:val="24"/>
        </w:rPr>
        <w:t>agammaglobulinæmi</w:t>
      </w:r>
      <w:proofErr w:type="spellEnd"/>
      <w:r w:rsidRPr="00146A96">
        <w:rPr>
          <w:sz w:val="24"/>
          <w:szCs w:val="24"/>
        </w:rPr>
        <w:t xml:space="preserve"> med eller uden </w:t>
      </w:r>
      <w:proofErr w:type="spellStart"/>
      <w:r w:rsidRPr="00146A96">
        <w:rPr>
          <w:sz w:val="24"/>
          <w:szCs w:val="24"/>
        </w:rPr>
        <w:t>IgA</w:t>
      </w:r>
      <w:proofErr w:type="spellEnd"/>
      <w:r w:rsidRPr="00146A96">
        <w:rPr>
          <w:sz w:val="24"/>
          <w:szCs w:val="24"/>
        </w:rPr>
        <w:t>-mangel,</w:t>
      </w:r>
    </w:p>
    <w:p w:rsidR="001F444A" w:rsidRPr="00146A96" w:rsidRDefault="001F444A" w:rsidP="00146A96">
      <w:pPr>
        <w:pStyle w:val="Listeafsnit"/>
        <w:numPr>
          <w:ilvl w:val="0"/>
          <w:numId w:val="12"/>
        </w:numPr>
        <w:overflowPunct w:val="0"/>
        <w:autoSpaceDE w:val="0"/>
        <w:autoSpaceDN w:val="0"/>
        <w:adjustRightInd w:val="0"/>
        <w:ind w:left="1276"/>
        <w:textAlignment w:val="baseline"/>
        <w:rPr>
          <w:sz w:val="24"/>
          <w:szCs w:val="24"/>
        </w:rPr>
      </w:pPr>
      <w:r w:rsidRPr="00146A96">
        <w:rPr>
          <w:sz w:val="24"/>
          <w:szCs w:val="24"/>
        </w:rPr>
        <w:t xml:space="preserve">hos patienter, der får humane </w:t>
      </w:r>
      <w:proofErr w:type="spellStart"/>
      <w:r w:rsidRPr="00146A96">
        <w:rPr>
          <w:sz w:val="24"/>
          <w:szCs w:val="24"/>
        </w:rPr>
        <w:t>immunoglobuliner</w:t>
      </w:r>
      <w:proofErr w:type="spellEnd"/>
      <w:r w:rsidRPr="00146A96">
        <w:rPr>
          <w:sz w:val="24"/>
          <w:szCs w:val="24"/>
        </w:rPr>
        <w:t xml:space="preserve"> for første gang, eller i sjældne tilfælde når det humane </w:t>
      </w:r>
      <w:proofErr w:type="spellStart"/>
      <w:r w:rsidRPr="00146A96">
        <w:rPr>
          <w:sz w:val="24"/>
          <w:szCs w:val="24"/>
        </w:rPr>
        <w:t>immunoglobulinpræparat</w:t>
      </w:r>
      <w:proofErr w:type="spellEnd"/>
      <w:r w:rsidRPr="00146A96">
        <w:rPr>
          <w:sz w:val="24"/>
          <w:szCs w:val="24"/>
        </w:rPr>
        <w:t xml:space="preserve"> skiftes, eller når der har været et langt tidsinterval siden den seneste infusion, </w:t>
      </w:r>
    </w:p>
    <w:p w:rsidR="001F444A" w:rsidRPr="00146A96" w:rsidRDefault="001F444A" w:rsidP="00146A96">
      <w:pPr>
        <w:pStyle w:val="Listeafsnit"/>
        <w:numPr>
          <w:ilvl w:val="0"/>
          <w:numId w:val="12"/>
        </w:numPr>
        <w:overflowPunct w:val="0"/>
        <w:autoSpaceDE w:val="0"/>
        <w:autoSpaceDN w:val="0"/>
        <w:adjustRightInd w:val="0"/>
        <w:ind w:left="1276"/>
        <w:textAlignment w:val="baseline"/>
        <w:rPr>
          <w:sz w:val="24"/>
          <w:szCs w:val="24"/>
        </w:rPr>
      </w:pPr>
      <w:r w:rsidRPr="00146A96">
        <w:rPr>
          <w:sz w:val="24"/>
          <w:szCs w:val="24"/>
        </w:rPr>
        <w:t>hos patienter med en ubehandlet infektion eller underliggende kronisk inflammation.</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r w:rsidRPr="001F444A">
        <w:rPr>
          <w:sz w:val="24"/>
          <w:szCs w:val="24"/>
          <w:u w:val="single"/>
        </w:rPr>
        <w:t>Overfølsomhed</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Overfølsomhedsreaktioner er sjældne.</w:t>
      </w:r>
    </w:p>
    <w:p w:rsidR="001F444A" w:rsidRPr="001F444A" w:rsidRDefault="001F444A" w:rsidP="001F444A">
      <w:pPr>
        <w:ind w:left="851"/>
        <w:rPr>
          <w:sz w:val="24"/>
          <w:szCs w:val="24"/>
        </w:rPr>
      </w:pPr>
    </w:p>
    <w:p w:rsidR="001F444A" w:rsidRPr="001F444A" w:rsidRDefault="001F444A" w:rsidP="001F444A">
      <w:pPr>
        <w:ind w:left="851"/>
        <w:rPr>
          <w:sz w:val="24"/>
          <w:szCs w:val="24"/>
        </w:rPr>
      </w:pPr>
      <w:proofErr w:type="spellStart"/>
      <w:r w:rsidRPr="001F444A">
        <w:rPr>
          <w:sz w:val="24"/>
          <w:szCs w:val="24"/>
        </w:rPr>
        <w:t>Hepatect</w:t>
      </w:r>
      <w:proofErr w:type="spellEnd"/>
      <w:r w:rsidRPr="001F444A">
        <w:rPr>
          <w:sz w:val="24"/>
          <w:szCs w:val="24"/>
        </w:rPr>
        <w:t xml:space="preserve"> CP indeholder en lille mængde </w:t>
      </w:r>
      <w:proofErr w:type="spellStart"/>
      <w:r w:rsidRPr="001F444A">
        <w:rPr>
          <w:sz w:val="24"/>
          <w:szCs w:val="24"/>
        </w:rPr>
        <w:t>IgA</w:t>
      </w:r>
      <w:proofErr w:type="spellEnd"/>
      <w:r w:rsidRPr="001F444A">
        <w:rPr>
          <w:sz w:val="24"/>
          <w:szCs w:val="24"/>
        </w:rPr>
        <w:t xml:space="preserve">. Personer med mangel på </w:t>
      </w:r>
      <w:proofErr w:type="spellStart"/>
      <w:r w:rsidRPr="001F444A">
        <w:rPr>
          <w:sz w:val="24"/>
          <w:szCs w:val="24"/>
        </w:rPr>
        <w:t>IgA</w:t>
      </w:r>
      <w:proofErr w:type="spellEnd"/>
      <w:r w:rsidRPr="001F444A">
        <w:rPr>
          <w:sz w:val="24"/>
          <w:szCs w:val="24"/>
        </w:rPr>
        <w:t xml:space="preserve"> kan have mulighed for at udvikle </w:t>
      </w:r>
      <w:proofErr w:type="spellStart"/>
      <w:r w:rsidRPr="001F444A">
        <w:rPr>
          <w:sz w:val="24"/>
          <w:szCs w:val="24"/>
        </w:rPr>
        <w:t>IgA</w:t>
      </w:r>
      <w:proofErr w:type="spellEnd"/>
      <w:r w:rsidRPr="001F444A">
        <w:rPr>
          <w:sz w:val="24"/>
          <w:szCs w:val="24"/>
        </w:rPr>
        <w:t xml:space="preserve">-antistoffer og kan få </w:t>
      </w:r>
      <w:proofErr w:type="spellStart"/>
      <w:r w:rsidRPr="001F444A">
        <w:rPr>
          <w:sz w:val="24"/>
          <w:szCs w:val="24"/>
        </w:rPr>
        <w:t>anafylaktiske</w:t>
      </w:r>
      <w:proofErr w:type="spellEnd"/>
      <w:r w:rsidRPr="001F444A">
        <w:rPr>
          <w:sz w:val="24"/>
          <w:szCs w:val="24"/>
        </w:rPr>
        <w:t xml:space="preserve"> reaktioner efter administration af blodkomponenter, der indeholder </w:t>
      </w:r>
      <w:proofErr w:type="spellStart"/>
      <w:r w:rsidRPr="001F444A">
        <w:rPr>
          <w:sz w:val="24"/>
          <w:szCs w:val="24"/>
        </w:rPr>
        <w:t>IgA</w:t>
      </w:r>
      <w:proofErr w:type="spellEnd"/>
      <w:r w:rsidRPr="001F444A">
        <w:rPr>
          <w:sz w:val="24"/>
          <w:szCs w:val="24"/>
        </w:rPr>
        <w:t xml:space="preserve">. Lægen skal derfor opveje fordelen af behandlingen med </w:t>
      </w:r>
      <w:proofErr w:type="spellStart"/>
      <w:r w:rsidRPr="001F444A">
        <w:rPr>
          <w:sz w:val="24"/>
          <w:szCs w:val="24"/>
        </w:rPr>
        <w:t>Hepatect</w:t>
      </w:r>
      <w:proofErr w:type="spellEnd"/>
      <w:r w:rsidRPr="001F444A">
        <w:rPr>
          <w:sz w:val="24"/>
          <w:szCs w:val="24"/>
        </w:rPr>
        <w:t xml:space="preserve"> CP mod den mulige risiko for overfølsomhedsreaktioner.</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Humant hepatitis B-</w:t>
      </w:r>
      <w:proofErr w:type="spellStart"/>
      <w:r w:rsidRPr="001F444A">
        <w:rPr>
          <w:sz w:val="24"/>
          <w:szCs w:val="24"/>
        </w:rPr>
        <w:t>immunoglobulin</w:t>
      </w:r>
      <w:proofErr w:type="spellEnd"/>
      <w:r w:rsidRPr="001F444A">
        <w:rPr>
          <w:sz w:val="24"/>
          <w:szCs w:val="24"/>
        </w:rPr>
        <w:t xml:space="preserve"> kan i sjældne tilfælde inducere blodtryksfald med </w:t>
      </w:r>
      <w:proofErr w:type="spellStart"/>
      <w:r w:rsidRPr="001F444A">
        <w:rPr>
          <w:sz w:val="24"/>
          <w:szCs w:val="24"/>
        </w:rPr>
        <w:t>anafylaktiske</w:t>
      </w:r>
      <w:proofErr w:type="spellEnd"/>
      <w:r w:rsidRPr="001F444A">
        <w:rPr>
          <w:sz w:val="24"/>
          <w:szCs w:val="24"/>
        </w:rPr>
        <w:t xml:space="preserve"> reaktioner, selv hos patienter, som tidligere har tolereret behandling med </w:t>
      </w:r>
      <w:proofErr w:type="spellStart"/>
      <w:r w:rsidRPr="001F444A">
        <w:rPr>
          <w:sz w:val="24"/>
          <w:szCs w:val="24"/>
        </w:rPr>
        <w:t>immunoglobulin</w:t>
      </w:r>
      <w:proofErr w:type="spellEnd"/>
      <w:r w:rsidRPr="001F444A">
        <w:rPr>
          <w:sz w:val="24"/>
          <w:szCs w:val="24"/>
        </w:rPr>
        <w:t>.</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En mistanke om allergiske eller </w:t>
      </w:r>
      <w:proofErr w:type="spellStart"/>
      <w:r w:rsidRPr="001F444A">
        <w:rPr>
          <w:sz w:val="24"/>
          <w:szCs w:val="24"/>
        </w:rPr>
        <w:t>anafylaktiske</w:t>
      </w:r>
      <w:proofErr w:type="spellEnd"/>
      <w:r w:rsidRPr="001F444A">
        <w:rPr>
          <w:sz w:val="24"/>
          <w:szCs w:val="24"/>
        </w:rPr>
        <w:t xml:space="preserve"> reaktioner kræver øjeblikkelig </w:t>
      </w:r>
      <w:proofErr w:type="spellStart"/>
      <w:r w:rsidRPr="001F444A">
        <w:rPr>
          <w:sz w:val="24"/>
          <w:szCs w:val="24"/>
        </w:rPr>
        <w:t>seponering</w:t>
      </w:r>
      <w:proofErr w:type="spellEnd"/>
      <w:r w:rsidRPr="001F444A">
        <w:rPr>
          <w:sz w:val="24"/>
          <w:szCs w:val="24"/>
        </w:rPr>
        <w:t xml:space="preserve"> af injektionen. I tilfælde af </w:t>
      </w:r>
      <w:proofErr w:type="spellStart"/>
      <w:r w:rsidRPr="001F444A">
        <w:rPr>
          <w:sz w:val="24"/>
          <w:szCs w:val="24"/>
        </w:rPr>
        <w:t>shock</w:t>
      </w:r>
      <w:proofErr w:type="spellEnd"/>
      <w:r w:rsidRPr="001F444A">
        <w:rPr>
          <w:sz w:val="24"/>
          <w:szCs w:val="24"/>
        </w:rPr>
        <w:t xml:space="preserve"> skal standard medicinsk behandling for </w:t>
      </w:r>
      <w:proofErr w:type="spellStart"/>
      <w:r w:rsidRPr="001F444A">
        <w:rPr>
          <w:sz w:val="24"/>
          <w:szCs w:val="24"/>
        </w:rPr>
        <w:t>shock</w:t>
      </w:r>
      <w:proofErr w:type="spellEnd"/>
      <w:r w:rsidRPr="001F444A">
        <w:rPr>
          <w:sz w:val="24"/>
          <w:szCs w:val="24"/>
        </w:rPr>
        <w:t xml:space="preserve"> følges.</w:t>
      </w:r>
    </w:p>
    <w:p w:rsidR="001F444A" w:rsidRPr="001F444A" w:rsidRDefault="001F444A" w:rsidP="001F444A">
      <w:pPr>
        <w:ind w:left="851"/>
        <w:rPr>
          <w:sz w:val="24"/>
          <w:szCs w:val="24"/>
        </w:rPr>
      </w:pPr>
    </w:p>
    <w:p w:rsidR="001F444A" w:rsidRPr="001F444A" w:rsidRDefault="001F444A" w:rsidP="004646BE">
      <w:pPr>
        <w:keepNext/>
        <w:ind w:left="851"/>
        <w:rPr>
          <w:sz w:val="24"/>
          <w:szCs w:val="24"/>
          <w:u w:val="single"/>
        </w:rPr>
      </w:pPr>
      <w:r w:rsidRPr="001F444A">
        <w:rPr>
          <w:sz w:val="24"/>
          <w:szCs w:val="24"/>
          <w:u w:val="single"/>
        </w:rPr>
        <w:lastRenderedPageBreak/>
        <w:t>Interferens med serologiske tests</w:t>
      </w:r>
    </w:p>
    <w:p w:rsidR="001F444A" w:rsidRPr="001F444A" w:rsidRDefault="001F444A" w:rsidP="001F444A">
      <w:pPr>
        <w:ind w:left="851"/>
        <w:rPr>
          <w:sz w:val="24"/>
          <w:szCs w:val="24"/>
        </w:rPr>
      </w:pPr>
      <w:r w:rsidRPr="001F444A">
        <w:rPr>
          <w:sz w:val="24"/>
          <w:szCs w:val="24"/>
        </w:rPr>
        <w:t xml:space="preserve">Efter administration af </w:t>
      </w:r>
      <w:proofErr w:type="spellStart"/>
      <w:r w:rsidRPr="001F444A">
        <w:rPr>
          <w:sz w:val="24"/>
          <w:szCs w:val="24"/>
        </w:rPr>
        <w:t>immunoglobulin</w:t>
      </w:r>
      <w:proofErr w:type="spellEnd"/>
      <w:r w:rsidRPr="001F444A">
        <w:rPr>
          <w:sz w:val="24"/>
          <w:szCs w:val="24"/>
        </w:rPr>
        <w:t xml:space="preserve"> kan den forbigående stigning i de forskellige passivt overførte antistoffer i patientens blod forårsage misvisende positive resultater ved serologiske tests.</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Passiv overførsel af antistoffer mod erytrocytantigener, f.eks. A, B, D kan påvirke visse</w:t>
      </w:r>
    </w:p>
    <w:p w:rsidR="001F444A" w:rsidRPr="001F444A" w:rsidRDefault="001F444A" w:rsidP="001F444A">
      <w:pPr>
        <w:ind w:left="851"/>
        <w:rPr>
          <w:sz w:val="24"/>
          <w:szCs w:val="24"/>
        </w:rPr>
      </w:pPr>
      <w:r w:rsidRPr="001F444A">
        <w:rPr>
          <w:sz w:val="24"/>
          <w:szCs w:val="24"/>
        </w:rPr>
        <w:t xml:space="preserve">serologiske tests for antistoffer mod røde blodlegemer, f.eks. den direkte </w:t>
      </w:r>
      <w:proofErr w:type="spellStart"/>
      <w:r w:rsidRPr="001F444A">
        <w:rPr>
          <w:sz w:val="24"/>
          <w:szCs w:val="24"/>
        </w:rPr>
        <w:t>antiglobulin</w:t>
      </w:r>
      <w:proofErr w:type="spellEnd"/>
      <w:r w:rsidRPr="001F444A">
        <w:rPr>
          <w:sz w:val="24"/>
          <w:szCs w:val="24"/>
        </w:rPr>
        <w:t xml:space="preserve">-test (DAT, direkte </w:t>
      </w:r>
      <w:proofErr w:type="spellStart"/>
      <w:r w:rsidRPr="001F444A">
        <w:rPr>
          <w:sz w:val="24"/>
          <w:szCs w:val="24"/>
        </w:rPr>
        <w:t>Coombs</w:t>
      </w:r>
      <w:proofErr w:type="spellEnd"/>
      <w:r w:rsidRPr="001F444A">
        <w:rPr>
          <w:sz w:val="24"/>
          <w:szCs w:val="24"/>
        </w:rPr>
        <w:t xml:space="preserve"> test). </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r w:rsidRPr="001F444A">
        <w:rPr>
          <w:sz w:val="24"/>
          <w:szCs w:val="24"/>
          <w:u w:val="single"/>
        </w:rPr>
        <w:t>Midler, der kan overføres</w:t>
      </w:r>
    </w:p>
    <w:p w:rsidR="001F444A" w:rsidRPr="001F444A" w:rsidRDefault="001F444A" w:rsidP="001F444A">
      <w:pPr>
        <w:ind w:left="851"/>
        <w:rPr>
          <w:sz w:val="24"/>
          <w:szCs w:val="24"/>
        </w:rPr>
      </w:pPr>
      <w:r w:rsidRPr="001F444A">
        <w:rPr>
          <w:sz w:val="24"/>
          <w:szCs w:val="24"/>
        </w:rPr>
        <w:t xml:space="preserve">Standardprocedurer til forebyggelse af infektioner som følge af brugen af lægemidler fremstillet ud fra humant blod eller plasma inkluderer udvælgelse af donorer, screening af de enkelte donationer og plasmaportioner for specifikke infektionsmarkører samt inklusion af effektive fremstillingstrin til inaktivering/fjernelse af vira. På trods heraf kan det ikke helt udelukkes, at der kan overføres smitstoffer, når lægemidler fremstillet ud fra humant blod eller plasma indgives. Dette gælder også for hidtil ukendte vira og andre </w:t>
      </w:r>
      <w:proofErr w:type="spellStart"/>
      <w:r w:rsidRPr="001F444A">
        <w:rPr>
          <w:sz w:val="24"/>
          <w:szCs w:val="24"/>
        </w:rPr>
        <w:t>patogener</w:t>
      </w:r>
      <w:proofErr w:type="spellEnd"/>
      <w:r w:rsidRPr="001F444A">
        <w:rPr>
          <w:sz w:val="24"/>
          <w:szCs w:val="24"/>
        </w:rPr>
        <w:t>.</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De forholdsregler, der tages, anses for at være effektive over for indkapslede vira, såsom humant immundefekt virus (HIV), hepatitis B-virus (HBV) og hepatitis C-virus (HCV). De forholdsregler, der tages, kan være af begrænset værdi mod </w:t>
      </w:r>
      <w:proofErr w:type="spellStart"/>
      <w:r w:rsidRPr="001F444A">
        <w:rPr>
          <w:sz w:val="24"/>
          <w:szCs w:val="24"/>
        </w:rPr>
        <w:t>uindkapslede</w:t>
      </w:r>
      <w:proofErr w:type="spellEnd"/>
      <w:r w:rsidRPr="001F444A">
        <w:rPr>
          <w:sz w:val="24"/>
          <w:szCs w:val="24"/>
        </w:rPr>
        <w:t xml:space="preserve"> vira, såsom hepatitis A-virus (HAV) og </w:t>
      </w:r>
      <w:proofErr w:type="spellStart"/>
      <w:r w:rsidRPr="001F444A">
        <w:rPr>
          <w:sz w:val="24"/>
          <w:szCs w:val="24"/>
        </w:rPr>
        <w:t>parvovirus</w:t>
      </w:r>
      <w:proofErr w:type="spellEnd"/>
      <w:r w:rsidRPr="001F444A">
        <w:rPr>
          <w:sz w:val="24"/>
          <w:szCs w:val="24"/>
        </w:rPr>
        <w:t xml:space="preserve"> B19.</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Der er beroligende klinisk erfaring angående udebleven hepatitis A- eller </w:t>
      </w:r>
      <w:proofErr w:type="spellStart"/>
      <w:r w:rsidRPr="001F444A">
        <w:rPr>
          <w:sz w:val="24"/>
          <w:szCs w:val="24"/>
        </w:rPr>
        <w:t>parvovirus</w:t>
      </w:r>
      <w:proofErr w:type="spellEnd"/>
      <w:r w:rsidRPr="001F444A">
        <w:rPr>
          <w:sz w:val="24"/>
          <w:szCs w:val="24"/>
        </w:rPr>
        <w:t xml:space="preserve"> B19-overførsel med </w:t>
      </w:r>
      <w:proofErr w:type="spellStart"/>
      <w:r w:rsidRPr="001F444A">
        <w:rPr>
          <w:sz w:val="24"/>
          <w:szCs w:val="24"/>
        </w:rPr>
        <w:t>immunoglobuliner</w:t>
      </w:r>
      <w:proofErr w:type="spellEnd"/>
      <w:r w:rsidRPr="001F444A">
        <w:rPr>
          <w:sz w:val="24"/>
          <w:szCs w:val="24"/>
        </w:rPr>
        <w:t>, og det antages også, at antistofindholdet er et vigtigt bidrag til den virale sikkerhed.</w:t>
      </w:r>
    </w:p>
    <w:p w:rsidR="001F444A" w:rsidRPr="001F444A" w:rsidRDefault="001F444A" w:rsidP="001F444A">
      <w:pPr>
        <w:ind w:left="851"/>
        <w:rPr>
          <w:sz w:val="24"/>
          <w:szCs w:val="24"/>
        </w:rPr>
      </w:pPr>
    </w:p>
    <w:p w:rsidR="001F444A" w:rsidRPr="001F444A" w:rsidRDefault="001F444A" w:rsidP="001F444A">
      <w:pPr>
        <w:ind w:left="851"/>
        <w:rPr>
          <w:i/>
          <w:sz w:val="24"/>
          <w:szCs w:val="24"/>
        </w:rPr>
      </w:pPr>
      <w:r w:rsidRPr="001F444A">
        <w:rPr>
          <w:i/>
          <w:sz w:val="24"/>
          <w:szCs w:val="24"/>
        </w:rPr>
        <w:t xml:space="preserve">Følgende bivirkninger er blevet forbundet med anvendelsen af humant normalt </w:t>
      </w:r>
      <w:proofErr w:type="spellStart"/>
      <w:r w:rsidRPr="001F444A">
        <w:rPr>
          <w:i/>
          <w:sz w:val="24"/>
          <w:szCs w:val="24"/>
        </w:rPr>
        <w:t>immunoglobulin</w:t>
      </w:r>
      <w:proofErr w:type="spellEnd"/>
      <w:r w:rsidRPr="001F444A">
        <w:rPr>
          <w:i/>
          <w:sz w:val="24"/>
          <w:szCs w:val="24"/>
        </w:rPr>
        <w:t xml:space="preserve"> til intravenøs administration (</w:t>
      </w:r>
      <w:proofErr w:type="spellStart"/>
      <w:r w:rsidRPr="001F444A">
        <w:rPr>
          <w:i/>
          <w:sz w:val="24"/>
          <w:szCs w:val="24"/>
        </w:rPr>
        <w:t>IVIg</w:t>
      </w:r>
      <w:proofErr w:type="spellEnd"/>
      <w:r w:rsidRPr="001F444A">
        <w:rPr>
          <w:i/>
          <w:sz w:val="24"/>
          <w:szCs w:val="24"/>
        </w:rPr>
        <w:t>):</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proofErr w:type="spellStart"/>
      <w:r w:rsidRPr="001F444A">
        <w:rPr>
          <w:sz w:val="24"/>
          <w:szCs w:val="24"/>
          <w:u w:val="single"/>
        </w:rPr>
        <w:t>Tromboemboli</w:t>
      </w:r>
      <w:proofErr w:type="spellEnd"/>
      <w:r w:rsidRPr="001F444A">
        <w:rPr>
          <w:sz w:val="24"/>
          <w:szCs w:val="24"/>
          <w:u w:val="single"/>
        </w:rPr>
        <w:t xml:space="preserve"> </w:t>
      </w:r>
    </w:p>
    <w:p w:rsidR="001F444A" w:rsidRPr="001F444A" w:rsidRDefault="001F444A" w:rsidP="001F444A">
      <w:pPr>
        <w:ind w:left="851"/>
        <w:rPr>
          <w:sz w:val="24"/>
          <w:szCs w:val="24"/>
        </w:rPr>
      </w:pPr>
      <w:r w:rsidRPr="001F444A">
        <w:rPr>
          <w:sz w:val="24"/>
          <w:szCs w:val="24"/>
        </w:rPr>
        <w:t xml:space="preserve">Der er klinisk evidens for en forbindelse mellem </w:t>
      </w:r>
      <w:proofErr w:type="spellStart"/>
      <w:r w:rsidRPr="001F444A">
        <w:rPr>
          <w:sz w:val="24"/>
          <w:szCs w:val="24"/>
        </w:rPr>
        <w:t>IVIg</w:t>
      </w:r>
      <w:proofErr w:type="spellEnd"/>
      <w:r w:rsidRPr="001F444A">
        <w:rPr>
          <w:sz w:val="24"/>
          <w:szCs w:val="24"/>
        </w:rPr>
        <w:t xml:space="preserve">-administration og </w:t>
      </w:r>
      <w:proofErr w:type="spellStart"/>
      <w:r w:rsidRPr="001F444A">
        <w:rPr>
          <w:sz w:val="24"/>
          <w:szCs w:val="24"/>
        </w:rPr>
        <w:t>tromboemboliske</w:t>
      </w:r>
      <w:proofErr w:type="spellEnd"/>
      <w:r w:rsidRPr="001F444A">
        <w:rPr>
          <w:sz w:val="24"/>
          <w:szCs w:val="24"/>
        </w:rPr>
        <w:t xml:space="preserve"> hændelser, såsom myokardieinfarkt, </w:t>
      </w:r>
      <w:proofErr w:type="spellStart"/>
      <w:r w:rsidRPr="001F444A">
        <w:rPr>
          <w:sz w:val="24"/>
          <w:szCs w:val="24"/>
        </w:rPr>
        <w:t>cerebrovaskulær</w:t>
      </w:r>
      <w:proofErr w:type="spellEnd"/>
      <w:r w:rsidRPr="001F444A">
        <w:rPr>
          <w:sz w:val="24"/>
          <w:szCs w:val="24"/>
        </w:rPr>
        <w:t xml:space="preserve"> hændelse (herunder apopleksi), </w:t>
      </w:r>
      <w:proofErr w:type="spellStart"/>
      <w:r w:rsidRPr="001F444A">
        <w:rPr>
          <w:sz w:val="24"/>
          <w:szCs w:val="24"/>
        </w:rPr>
        <w:t>lungeemboli</w:t>
      </w:r>
      <w:proofErr w:type="spellEnd"/>
      <w:r w:rsidRPr="001F444A">
        <w:rPr>
          <w:sz w:val="24"/>
          <w:szCs w:val="24"/>
        </w:rPr>
        <w:t xml:space="preserve"> og dyb venetrombose, som formodes at være forbundet med en relativ forøgelse af blodets viskositet grundet den store indstrømning af </w:t>
      </w:r>
      <w:proofErr w:type="spellStart"/>
      <w:r w:rsidRPr="001F444A">
        <w:rPr>
          <w:sz w:val="24"/>
          <w:szCs w:val="24"/>
        </w:rPr>
        <w:t>immunoglobulin</w:t>
      </w:r>
      <w:proofErr w:type="spellEnd"/>
      <w:r w:rsidRPr="001F444A">
        <w:rPr>
          <w:sz w:val="24"/>
          <w:szCs w:val="24"/>
        </w:rPr>
        <w:t xml:space="preserve"> hos risikopatienter. Der skal udvises forsigtighed ved ordinering og infusion af </w:t>
      </w:r>
      <w:proofErr w:type="spellStart"/>
      <w:r w:rsidRPr="001F444A">
        <w:rPr>
          <w:sz w:val="24"/>
          <w:szCs w:val="24"/>
        </w:rPr>
        <w:t>IVIg</w:t>
      </w:r>
      <w:proofErr w:type="spellEnd"/>
      <w:r w:rsidRPr="001F444A">
        <w:rPr>
          <w:sz w:val="24"/>
          <w:szCs w:val="24"/>
        </w:rPr>
        <w:t xml:space="preserve"> til overvægtige patienter og til patienter med eksisterende risikofaktorer for </w:t>
      </w:r>
      <w:proofErr w:type="spellStart"/>
      <w:r w:rsidRPr="001F444A">
        <w:rPr>
          <w:sz w:val="24"/>
          <w:szCs w:val="24"/>
        </w:rPr>
        <w:t>trombotiske</w:t>
      </w:r>
      <w:proofErr w:type="spellEnd"/>
      <w:r w:rsidRPr="001F444A">
        <w:rPr>
          <w:sz w:val="24"/>
          <w:szCs w:val="24"/>
        </w:rPr>
        <w:t xml:space="preserve"> hændelser (såsom fremskreden alder, hypertension, diabetes mellitus samt </w:t>
      </w:r>
      <w:proofErr w:type="spellStart"/>
      <w:r w:rsidRPr="001F444A">
        <w:rPr>
          <w:sz w:val="24"/>
          <w:szCs w:val="24"/>
        </w:rPr>
        <w:t>vaskulær</w:t>
      </w:r>
      <w:proofErr w:type="spellEnd"/>
      <w:r w:rsidRPr="001F444A">
        <w:rPr>
          <w:sz w:val="24"/>
          <w:szCs w:val="24"/>
        </w:rPr>
        <w:t xml:space="preserve"> sygdom eller </w:t>
      </w:r>
      <w:proofErr w:type="spellStart"/>
      <w:r w:rsidRPr="001F444A">
        <w:rPr>
          <w:sz w:val="24"/>
          <w:szCs w:val="24"/>
        </w:rPr>
        <w:t>trombotiske</w:t>
      </w:r>
      <w:proofErr w:type="spellEnd"/>
      <w:r w:rsidRPr="001F444A">
        <w:rPr>
          <w:sz w:val="24"/>
          <w:szCs w:val="24"/>
        </w:rPr>
        <w:t xml:space="preserve"> episoder i anamnesen, patienter med erhvervede eller nedarvede </w:t>
      </w:r>
      <w:proofErr w:type="spellStart"/>
      <w:r w:rsidRPr="001F444A">
        <w:rPr>
          <w:sz w:val="24"/>
          <w:szCs w:val="24"/>
        </w:rPr>
        <w:t>trombofile</w:t>
      </w:r>
      <w:proofErr w:type="spellEnd"/>
      <w:r w:rsidRPr="001F444A">
        <w:rPr>
          <w:sz w:val="24"/>
          <w:szCs w:val="24"/>
        </w:rPr>
        <w:t xml:space="preserve"> forstyrrelser, patienter med langvarige perioder med immobilisering, svært </w:t>
      </w:r>
      <w:proofErr w:type="spellStart"/>
      <w:r w:rsidRPr="001F444A">
        <w:rPr>
          <w:sz w:val="24"/>
          <w:szCs w:val="24"/>
        </w:rPr>
        <w:t>hypovolæmiske</w:t>
      </w:r>
      <w:proofErr w:type="spellEnd"/>
      <w:r w:rsidRPr="001F444A">
        <w:rPr>
          <w:sz w:val="24"/>
          <w:szCs w:val="24"/>
        </w:rPr>
        <w:t xml:space="preserve"> patienter, patienter med sygdomme, der øger blodets viskositet). </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Hos patienter med risiko for </w:t>
      </w:r>
      <w:proofErr w:type="spellStart"/>
      <w:r w:rsidRPr="001F444A">
        <w:rPr>
          <w:sz w:val="24"/>
          <w:szCs w:val="24"/>
        </w:rPr>
        <w:t>tromboemboliske</w:t>
      </w:r>
      <w:proofErr w:type="spellEnd"/>
      <w:r w:rsidRPr="001F444A">
        <w:rPr>
          <w:sz w:val="24"/>
          <w:szCs w:val="24"/>
        </w:rPr>
        <w:t xml:space="preserve"> bivirkninger skal </w:t>
      </w:r>
      <w:proofErr w:type="spellStart"/>
      <w:r w:rsidRPr="001F444A">
        <w:rPr>
          <w:sz w:val="24"/>
          <w:szCs w:val="24"/>
        </w:rPr>
        <w:t>IVIg</w:t>
      </w:r>
      <w:proofErr w:type="spellEnd"/>
      <w:r w:rsidRPr="001F444A">
        <w:rPr>
          <w:sz w:val="24"/>
          <w:szCs w:val="24"/>
        </w:rPr>
        <w:t>-præparater administreres ved den lavest mulige infusionshastighed og dosis.</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r w:rsidRPr="001F444A">
        <w:rPr>
          <w:sz w:val="24"/>
          <w:szCs w:val="24"/>
          <w:u w:val="single"/>
        </w:rPr>
        <w:t xml:space="preserve">Akut nyresvigt </w:t>
      </w:r>
    </w:p>
    <w:p w:rsidR="001F444A" w:rsidRPr="001F444A" w:rsidRDefault="001F444A" w:rsidP="001F444A">
      <w:pPr>
        <w:ind w:left="851"/>
        <w:rPr>
          <w:sz w:val="24"/>
          <w:szCs w:val="24"/>
        </w:rPr>
      </w:pPr>
      <w:r w:rsidRPr="001F444A">
        <w:rPr>
          <w:sz w:val="24"/>
          <w:szCs w:val="24"/>
        </w:rPr>
        <w:t xml:space="preserve">Der er rapporteret tilfælde af akut nyresvigt hos patienter, der får </w:t>
      </w:r>
      <w:proofErr w:type="spellStart"/>
      <w:r w:rsidRPr="001F444A">
        <w:rPr>
          <w:sz w:val="24"/>
          <w:szCs w:val="24"/>
        </w:rPr>
        <w:t>IVIg</w:t>
      </w:r>
      <w:proofErr w:type="spellEnd"/>
      <w:r w:rsidRPr="001F444A">
        <w:rPr>
          <w:sz w:val="24"/>
          <w:szCs w:val="24"/>
        </w:rPr>
        <w:t xml:space="preserve">-behandling. I de fleste tilfælde er der identificeret risikofaktorer, såsom præeksisterende nedsat nyrefunktion, diabetes mellitus, </w:t>
      </w:r>
      <w:proofErr w:type="spellStart"/>
      <w:r w:rsidRPr="001F444A">
        <w:rPr>
          <w:sz w:val="24"/>
          <w:szCs w:val="24"/>
        </w:rPr>
        <w:t>hypovolæmi</w:t>
      </w:r>
      <w:proofErr w:type="spellEnd"/>
      <w:r w:rsidRPr="001F444A">
        <w:rPr>
          <w:sz w:val="24"/>
          <w:szCs w:val="24"/>
        </w:rPr>
        <w:t xml:space="preserve">, overvægt, samtidig brug af </w:t>
      </w:r>
      <w:proofErr w:type="spellStart"/>
      <w:r w:rsidRPr="001F444A">
        <w:rPr>
          <w:sz w:val="24"/>
          <w:szCs w:val="24"/>
        </w:rPr>
        <w:t>nefrotoksiske</w:t>
      </w:r>
      <w:proofErr w:type="spellEnd"/>
      <w:r w:rsidRPr="001F444A">
        <w:rPr>
          <w:sz w:val="24"/>
          <w:szCs w:val="24"/>
        </w:rPr>
        <w:t xml:space="preserve"> lægemidler eller en alder over 65 år. </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lastRenderedPageBreak/>
        <w:t xml:space="preserve">Nyreparametre skal vurderes før infusion af </w:t>
      </w:r>
      <w:proofErr w:type="spellStart"/>
      <w:r w:rsidRPr="001F444A">
        <w:rPr>
          <w:sz w:val="24"/>
          <w:szCs w:val="24"/>
        </w:rPr>
        <w:t>IVIg</w:t>
      </w:r>
      <w:proofErr w:type="spellEnd"/>
      <w:r w:rsidRPr="001F444A">
        <w:rPr>
          <w:sz w:val="24"/>
          <w:szCs w:val="24"/>
        </w:rPr>
        <w:t xml:space="preserve">, især hos patienter, der vurderes at have en potentiel forøget risiko for at udvikle akut nyresvigt, og igen med passende intervaller. Hos patienter med risiko for akut nyresvigt bør </w:t>
      </w:r>
      <w:proofErr w:type="spellStart"/>
      <w:r w:rsidRPr="001F444A">
        <w:rPr>
          <w:sz w:val="24"/>
          <w:szCs w:val="24"/>
        </w:rPr>
        <w:t>IVIg</w:t>
      </w:r>
      <w:proofErr w:type="spellEnd"/>
      <w:r w:rsidRPr="001F444A">
        <w:rPr>
          <w:sz w:val="24"/>
          <w:szCs w:val="24"/>
        </w:rPr>
        <w:t xml:space="preserve">-præparater administreres ved den lavest mulige infusionshastighed og dosis. I tilfælde af nedsat nyrefunktion bør </w:t>
      </w:r>
      <w:proofErr w:type="spellStart"/>
      <w:r w:rsidRPr="001F444A">
        <w:rPr>
          <w:sz w:val="24"/>
          <w:szCs w:val="24"/>
        </w:rPr>
        <w:t>seponering</w:t>
      </w:r>
      <w:proofErr w:type="spellEnd"/>
      <w:r w:rsidRPr="001F444A">
        <w:rPr>
          <w:sz w:val="24"/>
          <w:szCs w:val="24"/>
        </w:rPr>
        <w:t xml:space="preserve"> af </w:t>
      </w:r>
      <w:proofErr w:type="spellStart"/>
      <w:r w:rsidRPr="001F444A">
        <w:rPr>
          <w:sz w:val="24"/>
          <w:szCs w:val="24"/>
        </w:rPr>
        <w:t>IVIg</w:t>
      </w:r>
      <w:proofErr w:type="spellEnd"/>
      <w:r w:rsidRPr="001F444A">
        <w:rPr>
          <w:sz w:val="24"/>
          <w:szCs w:val="24"/>
        </w:rPr>
        <w:t xml:space="preserve"> overvejes.</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Selvom rapporter om nedsat nyrefunktion og akut nyresvigt har været forbundet med anvendelse af mange af de godkendte </w:t>
      </w:r>
      <w:proofErr w:type="spellStart"/>
      <w:r w:rsidRPr="001F444A">
        <w:rPr>
          <w:sz w:val="24"/>
          <w:szCs w:val="24"/>
        </w:rPr>
        <w:t>IVIg</w:t>
      </w:r>
      <w:proofErr w:type="spellEnd"/>
      <w:r w:rsidRPr="001F444A">
        <w:rPr>
          <w:sz w:val="24"/>
          <w:szCs w:val="24"/>
        </w:rPr>
        <w:t xml:space="preserve">-præparater, der indeholder forskellige hjælpestoffer, såsom sakkarose, glukose og maltose, udgjorde de </w:t>
      </w:r>
      <w:proofErr w:type="spellStart"/>
      <w:r w:rsidRPr="001F444A">
        <w:rPr>
          <w:sz w:val="24"/>
          <w:szCs w:val="24"/>
        </w:rPr>
        <w:t>IVIg</w:t>
      </w:r>
      <w:proofErr w:type="spellEnd"/>
      <w:r w:rsidRPr="001F444A">
        <w:rPr>
          <w:sz w:val="24"/>
          <w:szCs w:val="24"/>
        </w:rPr>
        <w:t xml:space="preserve">-præparater, der indeholder sakkarose som stabilisator, en uforholdsmæssig stor andel af det samlede antal. Hos risikopatienter kan anvendelse af præparater med human </w:t>
      </w:r>
      <w:proofErr w:type="spellStart"/>
      <w:r w:rsidRPr="001F444A">
        <w:rPr>
          <w:sz w:val="24"/>
          <w:szCs w:val="24"/>
        </w:rPr>
        <w:t>immunoglobulin</w:t>
      </w:r>
      <w:proofErr w:type="spellEnd"/>
      <w:r w:rsidRPr="001F444A">
        <w:rPr>
          <w:sz w:val="24"/>
          <w:szCs w:val="24"/>
        </w:rPr>
        <w:t xml:space="preserve">, der ikke indeholder disse hjælpestoffer, overvejes. </w:t>
      </w:r>
      <w:proofErr w:type="spellStart"/>
      <w:r w:rsidRPr="001F444A">
        <w:rPr>
          <w:sz w:val="24"/>
          <w:szCs w:val="24"/>
        </w:rPr>
        <w:t>Hepatect</w:t>
      </w:r>
      <w:proofErr w:type="spellEnd"/>
      <w:r w:rsidRPr="001F444A">
        <w:rPr>
          <w:sz w:val="24"/>
          <w:szCs w:val="24"/>
        </w:rPr>
        <w:t xml:space="preserve"> CP indeholder ikke sakkarose, maltose eller glukose.</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r w:rsidRPr="001F444A">
        <w:rPr>
          <w:sz w:val="24"/>
          <w:szCs w:val="24"/>
          <w:u w:val="single"/>
        </w:rPr>
        <w:t xml:space="preserve">Aseptisk meningitis syndrom (AMS) </w:t>
      </w:r>
    </w:p>
    <w:p w:rsidR="001F444A" w:rsidRPr="001F444A" w:rsidRDefault="001F444A" w:rsidP="001F444A">
      <w:pPr>
        <w:ind w:left="851"/>
        <w:rPr>
          <w:sz w:val="24"/>
          <w:szCs w:val="24"/>
        </w:rPr>
      </w:pPr>
      <w:r w:rsidRPr="001F444A">
        <w:rPr>
          <w:sz w:val="24"/>
          <w:szCs w:val="24"/>
        </w:rPr>
        <w:t xml:space="preserve">Der er rapporteret forekomst af aseptisk meningitis syndrom i forbindelse med </w:t>
      </w:r>
      <w:proofErr w:type="spellStart"/>
      <w:r w:rsidRPr="001F444A">
        <w:rPr>
          <w:sz w:val="24"/>
          <w:szCs w:val="24"/>
        </w:rPr>
        <w:t>IVIg</w:t>
      </w:r>
      <w:proofErr w:type="spellEnd"/>
      <w:r w:rsidRPr="001F444A">
        <w:rPr>
          <w:sz w:val="24"/>
          <w:szCs w:val="24"/>
        </w:rPr>
        <w:t xml:space="preserve">-behandling. Syndromet begynder normalt inden for timer til 2 dage efter </w:t>
      </w:r>
      <w:proofErr w:type="spellStart"/>
      <w:r w:rsidRPr="001F444A">
        <w:rPr>
          <w:sz w:val="24"/>
          <w:szCs w:val="24"/>
        </w:rPr>
        <w:t>IVIg</w:t>
      </w:r>
      <w:proofErr w:type="spellEnd"/>
      <w:r w:rsidRPr="001F444A">
        <w:rPr>
          <w:sz w:val="24"/>
          <w:szCs w:val="24"/>
        </w:rPr>
        <w:t xml:space="preserve">-behandling. Analyser af cerebrospinalvæske er ofte positive med </w:t>
      </w:r>
      <w:proofErr w:type="spellStart"/>
      <w:r w:rsidRPr="001F444A">
        <w:rPr>
          <w:sz w:val="24"/>
          <w:szCs w:val="24"/>
        </w:rPr>
        <w:t>pleocytose</w:t>
      </w:r>
      <w:proofErr w:type="spellEnd"/>
      <w:r w:rsidRPr="001F444A">
        <w:rPr>
          <w:sz w:val="24"/>
          <w:szCs w:val="24"/>
        </w:rPr>
        <w:t xml:space="preserve"> op til flere tusinde celler pr. mm</w:t>
      </w:r>
      <w:r w:rsidRPr="001F444A">
        <w:rPr>
          <w:sz w:val="24"/>
          <w:szCs w:val="24"/>
          <w:vertAlign w:val="superscript"/>
        </w:rPr>
        <w:t>3</w:t>
      </w:r>
      <w:r w:rsidRPr="001F444A">
        <w:rPr>
          <w:sz w:val="24"/>
          <w:szCs w:val="24"/>
        </w:rPr>
        <w:t xml:space="preserve">, hovedsageligt fra de </w:t>
      </w:r>
      <w:proofErr w:type="spellStart"/>
      <w:r w:rsidRPr="001F444A">
        <w:rPr>
          <w:sz w:val="24"/>
          <w:szCs w:val="24"/>
        </w:rPr>
        <w:t>granulocytiske</w:t>
      </w:r>
      <w:proofErr w:type="spellEnd"/>
      <w:r w:rsidRPr="001F444A">
        <w:rPr>
          <w:sz w:val="24"/>
          <w:szCs w:val="24"/>
        </w:rPr>
        <w:t xml:space="preserve"> serier, og forhøjede proteinniveauer op til flere hundrede mg/dl. AMS kan forekomme hyppigere i forbindelse med høj dosis (2 g/kg) af </w:t>
      </w:r>
      <w:proofErr w:type="spellStart"/>
      <w:r w:rsidRPr="001F444A">
        <w:rPr>
          <w:sz w:val="24"/>
          <w:szCs w:val="24"/>
        </w:rPr>
        <w:t>IVIg</w:t>
      </w:r>
      <w:proofErr w:type="spellEnd"/>
      <w:r w:rsidRPr="001F444A">
        <w:rPr>
          <w:sz w:val="24"/>
          <w:szCs w:val="24"/>
        </w:rPr>
        <w:t xml:space="preserve">-behandling. </w:t>
      </w:r>
    </w:p>
    <w:p w:rsidR="001F444A" w:rsidRPr="001F444A" w:rsidRDefault="001F444A" w:rsidP="001F444A">
      <w:pPr>
        <w:ind w:left="851"/>
        <w:rPr>
          <w:sz w:val="24"/>
          <w:szCs w:val="24"/>
        </w:rPr>
      </w:pPr>
    </w:p>
    <w:p w:rsidR="001F444A" w:rsidRPr="001F444A" w:rsidRDefault="001F444A" w:rsidP="001F444A">
      <w:pPr>
        <w:ind w:left="851"/>
        <w:rPr>
          <w:sz w:val="24"/>
          <w:szCs w:val="24"/>
        </w:rPr>
      </w:pPr>
      <w:r w:rsidRPr="001F444A">
        <w:rPr>
          <w:sz w:val="24"/>
          <w:szCs w:val="24"/>
        </w:rPr>
        <w:t xml:space="preserve">Patienter, der udviser sådanne tegn og symptomer, skal gennemgå en grundig neurologisk undersøgelse, herunder CSF-analyser, for at udelukke andre årsager til meningitis. </w:t>
      </w:r>
    </w:p>
    <w:p w:rsidR="001F444A" w:rsidRPr="001F444A" w:rsidRDefault="001F444A" w:rsidP="001F444A">
      <w:pPr>
        <w:ind w:left="851"/>
        <w:rPr>
          <w:sz w:val="24"/>
          <w:szCs w:val="24"/>
        </w:rPr>
      </w:pPr>
    </w:p>
    <w:p w:rsidR="001F444A" w:rsidRPr="001F444A" w:rsidRDefault="001F444A" w:rsidP="001F444A">
      <w:pPr>
        <w:ind w:left="851"/>
        <w:rPr>
          <w:sz w:val="24"/>
          <w:szCs w:val="24"/>
        </w:rPr>
      </w:pPr>
      <w:proofErr w:type="spellStart"/>
      <w:r w:rsidRPr="001F444A">
        <w:rPr>
          <w:sz w:val="24"/>
          <w:szCs w:val="24"/>
        </w:rPr>
        <w:t>Seponering</w:t>
      </w:r>
      <w:proofErr w:type="spellEnd"/>
      <w:r w:rsidRPr="001F444A">
        <w:rPr>
          <w:sz w:val="24"/>
          <w:szCs w:val="24"/>
        </w:rPr>
        <w:t xml:space="preserve"> af </w:t>
      </w:r>
      <w:proofErr w:type="spellStart"/>
      <w:r w:rsidRPr="001F444A">
        <w:rPr>
          <w:sz w:val="24"/>
          <w:szCs w:val="24"/>
        </w:rPr>
        <w:t>IVIg</w:t>
      </w:r>
      <w:proofErr w:type="spellEnd"/>
      <w:r w:rsidRPr="001F444A">
        <w:rPr>
          <w:sz w:val="24"/>
          <w:szCs w:val="24"/>
        </w:rPr>
        <w:t xml:space="preserve">-behandling har resulteret i remission af AMS i løbet af adskillige dage uden </w:t>
      </w:r>
      <w:proofErr w:type="spellStart"/>
      <w:r w:rsidRPr="001F444A">
        <w:rPr>
          <w:sz w:val="24"/>
          <w:szCs w:val="24"/>
        </w:rPr>
        <w:t>sequelae</w:t>
      </w:r>
      <w:proofErr w:type="spellEnd"/>
      <w:r w:rsidRPr="001F444A">
        <w:rPr>
          <w:sz w:val="24"/>
          <w:szCs w:val="24"/>
        </w:rPr>
        <w:t>.</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proofErr w:type="spellStart"/>
      <w:r w:rsidRPr="001F444A">
        <w:rPr>
          <w:sz w:val="24"/>
          <w:szCs w:val="24"/>
          <w:u w:val="single"/>
        </w:rPr>
        <w:t>Hæmolytisk</w:t>
      </w:r>
      <w:proofErr w:type="spellEnd"/>
      <w:r w:rsidRPr="001F444A">
        <w:rPr>
          <w:sz w:val="24"/>
          <w:szCs w:val="24"/>
          <w:u w:val="single"/>
        </w:rPr>
        <w:t xml:space="preserve"> anæmi </w:t>
      </w:r>
    </w:p>
    <w:p w:rsidR="001F444A" w:rsidRPr="001F444A" w:rsidRDefault="001F444A" w:rsidP="001F444A">
      <w:pPr>
        <w:ind w:left="851"/>
        <w:rPr>
          <w:sz w:val="24"/>
          <w:szCs w:val="24"/>
        </w:rPr>
      </w:pPr>
      <w:proofErr w:type="spellStart"/>
      <w:r w:rsidRPr="001F444A">
        <w:rPr>
          <w:sz w:val="24"/>
          <w:szCs w:val="24"/>
        </w:rPr>
        <w:t>IVIg</w:t>
      </w:r>
      <w:proofErr w:type="spellEnd"/>
      <w:r w:rsidRPr="001F444A">
        <w:rPr>
          <w:sz w:val="24"/>
          <w:szCs w:val="24"/>
        </w:rPr>
        <w:t xml:space="preserve">-præparater kan indeholde blodtypeantistoffer, der kan fungere som </w:t>
      </w:r>
      <w:proofErr w:type="spellStart"/>
      <w:r w:rsidRPr="001F444A">
        <w:rPr>
          <w:sz w:val="24"/>
          <w:szCs w:val="24"/>
        </w:rPr>
        <w:t>hæmolysiner</w:t>
      </w:r>
      <w:proofErr w:type="spellEnd"/>
      <w:r w:rsidRPr="001F444A">
        <w:rPr>
          <w:sz w:val="24"/>
          <w:szCs w:val="24"/>
        </w:rPr>
        <w:t xml:space="preserve"> og inducere in </w:t>
      </w:r>
      <w:proofErr w:type="spellStart"/>
      <w:r w:rsidRPr="001F444A">
        <w:rPr>
          <w:sz w:val="24"/>
          <w:szCs w:val="24"/>
        </w:rPr>
        <w:t>vivo</w:t>
      </w:r>
      <w:proofErr w:type="spellEnd"/>
      <w:r w:rsidRPr="001F444A">
        <w:rPr>
          <w:sz w:val="24"/>
          <w:szCs w:val="24"/>
        </w:rPr>
        <w:t xml:space="preserve"> coating af erytrocytter med </w:t>
      </w:r>
      <w:proofErr w:type="spellStart"/>
      <w:r w:rsidRPr="001F444A">
        <w:rPr>
          <w:sz w:val="24"/>
          <w:szCs w:val="24"/>
        </w:rPr>
        <w:t>immunoglobulin</w:t>
      </w:r>
      <w:proofErr w:type="spellEnd"/>
      <w:r w:rsidRPr="001F444A">
        <w:rPr>
          <w:sz w:val="24"/>
          <w:szCs w:val="24"/>
        </w:rPr>
        <w:t xml:space="preserve">, hvilket forårsager en positiv direkte </w:t>
      </w:r>
      <w:proofErr w:type="spellStart"/>
      <w:r w:rsidRPr="001F444A">
        <w:rPr>
          <w:sz w:val="24"/>
          <w:szCs w:val="24"/>
        </w:rPr>
        <w:t>antiglobulinreaktion</w:t>
      </w:r>
      <w:proofErr w:type="spellEnd"/>
      <w:r w:rsidRPr="001F444A">
        <w:rPr>
          <w:sz w:val="24"/>
          <w:szCs w:val="24"/>
        </w:rPr>
        <w:t xml:space="preserve"> (</w:t>
      </w:r>
      <w:proofErr w:type="spellStart"/>
      <w:r w:rsidRPr="001F444A">
        <w:rPr>
          <w:sz w:val="24"/>
          <w:szCs w:val="24"/>
        </w:rPr>
        <w:t>Coombs</w:t>
      </w:r>
      <w:proofErr w:type="spellEnd"/>
      <w:r w:rsidRPr="001F444A">
        <w:rPr>
          <w:sz w:val="24"/>
          <w:szCs w:val="24"/>
        </w:rPr>
        <w:t xml:space="preserve">’ test) og sjældent </w:t>
      </w:r>
      <w:proofErr w:type="spellStart"/>
      <w:r w:rsidRPr="001F444A">
        <w:rPr>
          <w:sz w:val="24"/>
          <w:szCs w:val="24"/>
        </w:rPr>
        <w:t>hæmolyse</w:t>
      </w:r>
      <w:proofErr w:type="spellEnd"/>
      <w:r w:rsidRPr="001F444A">
        <w:rPr>
          <w:sz w:val="24"/>
          <w:szCs w:val="24"/>
        </w:rPr>
        <w:t xml:space="preserve">. </w:t>
      </w:r>
      <w:proofErr w:type="spellStart"/>
      <w:r w:rsidRPr="001F444A">
        <w:rPr>
          <w:sz w:val="24"/>
          <w:szCs w:val="24"/>
        </w:rPr>
        <w:t>Hæmolytisk</w:t>
      </w:r>
      <w:proofErr w:type="spellEnd"/>
      <w:r w:rsidRPr="001F444A">
        <w:rPr>
          <w:sz w:val="24"/>
          <w:szCs w:val="24"/>
        </w:rPr>
        <w:t xml:space="preserve"> anæmi kan opstå efter </w:t>
      </w:r>
      <w:proofErr w:type="spellStart"/>
      <w:r w:rsidRPr="001F444A">
        <w:rPr>
          <w:sz w:val="24"/>
          <w:szCs w:val="24"/>
        </w:rPr>
        <w:t>IVIg</w:t>
      </w:r>
      <w:proofErr w:type="spellEnd"/>
      <w:r w:rsidRPr="001F444A">
        <w:rPr>
          <w:sz w:val="24"/>
          <w:szCs w:val="24"/>
        </w:rPr>
        <w:t xml:space="preserve">-behandling grundet øget </w:t>
      </w:r>
      <w:proofErr w:type="spellStart"/>
      <w:r w:rsidRPr="001F444A">
        <w:rPr>
          <w:sz w:val="24"/>
          <w:szCs w:val="24"/>
        </w:rPr>
        <w:t>sekvestrering</w:t>
      </w:r>
      <w:proofErr w:type="spellEnd"/>
      <w:r w:rsidRPr="001F444A">
        <w:rPr>
          <w:sz w:val="24"/>
          <w:szCs w:val="24"/>
        </w:rPr>
        <w:t xml:space="preserve"> af erytrocytter (RBC). </w:t>
      </w:r>
      <w:proofErr w:type="spellStart"/>
      <w:r w:rsidRPr="001F444A">
        <w:rPr>
          <w:sz w:val="24"/>
          <w:szCs w:val="24"/>
        </w:rPr>
        <w:t>IVIg</w:t>
      </w:r>
      <w:proofErr w:type="spellEnd"/>
      <w:r w:rsidRPr="001F444A">
        <w:rPr>
          <w:sz w:val="24"/>
          <w:szCs w:val="24"/>
        </w:rPr>
        <w:t xml:space="preserve">-recipienter bør monitoreres for kliniske tegn og symptomer på </w:t>
      </w:r>
      <w:proofErr w:type="spellStart"/>
      <w:r w:rsidRPr="001F444A">
        <w:rPr>
          <w:sz w:val="24"/>
          <w:szCs w:val="24"/>
        </w:rPr>
        <w:t>hæmolyse</w:t>
      </w:r>
      <w:proofErr w:type="spellEnd"/>
      <w:r w:rsidRPr="001F444A">
        <w:rPr>
          <w:sz w:val="24"/>
          <w:szCs w:val="24"/>
        </w:rPr>
        <w:t xml:space="preserve"> (se pkt. 4.8). </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proofErr w:type="spellStart"/>
      <w:r w:rsidRPr="001F444A">
        <w:rPr>
          <w:sz w:val="24"/>
          <w:szCs w:val="24"/>
          <w:u w:val="single"/>
        </w:rPr>
        <w:t>Neutropeni</w:t>
      </w:r>
      <w:proofErr w:type="spellEnd"/>
      <w:r w:rsidRPr="001F444A">
        <w:rPr>
          <w:sz w:val="24"/>
          <w:szCs w:val="24"/>
          <w:u w:val="single"/>
        </w:rPr>
        <w:t>/</w:t>
      </w:r>
      <w:proofErr w:type="spellStart"/>
      <w:r w:rsidRPr="001F444A">
        <w:rPr>
          <w:sz w:val="24"/>
          <w:szCs w:val="24"/>
          <w:u w:val="single"/>
        </w:rPr>
        <w:t>leukopeni</w:t>
      </w:r>
      <w:proofErr w:type="spellEnd"/>
      <w:r w:rsidRPr="001F444A">
        <w:rPr>
          <w:sz w:val="24"/>
          <w:szCs w:val="24"/>
          <w:u w:val="single"/>
        </w:rPr>
        <w:t xml:space="preserve"> </w:t>
      </w:r>
    </w:p>
    <w:p w:rsidR="001F444A" w:rsidRPr="001F444A" w:rsidRDefault="001F444A" w:rsidP="001F444A">
      <w:pPr>
        <w:ind w:left="851"/>
        <w:rPr>
          <w:sz w:val="24"/>
          <w:szCs w:val="24"/>
        </w:rPr>
      </w:pPr>
      <w:r w:rsidRPr="001F444A">
        <w:rPr>
          <w:sz w:val="24"/>
          <w:szCs w:val="24"/>
        </w:rPr>
        <w:t xml:space="preserve">Efter behandling med </w:t>
      </w:r>
      <w:proofErr w:type="spellStart"/>
      <w:r w:rsidRPr="001F444A">
        <w:rPr>
          <w:sz w:val="24"/>
          <w:szCs w:val="24"/>
        </w:rPr>
        <w:t>IVIg’er</w:t>
      </w:r>
      <w:proofErr w:type="spellEnd"/>
      <w:r w:rsidRPr="001F444A">
        <w:rPr>
          <w:sz w:val="24"/>
          <w:szCs w:val="24"/>
        </w:rPr>
        <w:t xml:space="preserve"> er der rapporteret et forbigående fald i </w:t>
      </w:r>
      <w:proofErr w:type="spellStart"/>
      <w:r w:rsidRPr="001F444A">
        <w:rPr>
          <w:sz w:val="24"/>
          <w:szCs w:val="24"/>
        </w:rPr>
        <w:t>neutrofiltal</w:t>
      </w:r>
      <w:proofErr w:type="spellEnd"/>
      <w:r w:rsidRPr="001F444A">
        <w:rPr>
          <w:sz w:val="24"/>
          <w:szCs w:val="24"/>
        </w:rPr>
        <w:t xml:space="preserve"> og/eller episoder af </w:t>
      </w:r>
      <w:proofErr w:type="spellStart"/>
      <w:r w:rsidRPr="001F444A">
        <w:rPr>
          <w:sz w:val="24"/>
          <w:szCs w:val="24"/>
        </w:rPr>
        <w:t>neutropeni</w:t>
      </w:r>
      <w:proofErr w:type="spellEnd"/>
      <w:r w:rsidRPr="001F444A">
        <w:rPr>
          <w:sz w:val="24"/>
          <w:szCs w:val="24"/>
        </w:rPr>
        <w:t xml:space="preserve">, undertiden af svær grad. Dette forekommer typisk inden for timer eller dage efter </w:t>
      </w:r>
      <w:proofErr w:type="spellStart"/>
      <w:r w:rsidRPr="001F444A">
        <w:rPr>
          <w:sz w:val="24"/>
          <w:szCs w:val="24"/>
        </w:rPr>
        <w:t>IVIg</w:t>
      </w:r>
      <w:proofErr w:type="spellEnd"/>
      <w:r w:rsidRPr="001F444A">
        <w:rPr>
          <w:sz w:val="24"/>
          <w:szCs w:val="24"/>
        </w:rPr>
        <w:t xml:space="preserve">-administration og fortager sig spontant i løbet af 7 til 14 dage. </w:t>
      </w:r>
    </w:p>
    <w:p w:rsidR="001F444A" w:rsidRPr="001F444A" w:rsidRDefault="001F444A" w:rsidP="001F444A">
      <w:pPr>
        <w:ind w:left="851"/>
        <w:rPr>
          <w:sz w:val="24"/>
          <w:szCs w:val="24"/>
        </w:rPr>
      </w:pPr>
    </w:p>
    <w:p w:rsidR="001F444A" w:rsidRPr="001F444A" w:rsidRDefault="001F444A" w:rsidP="001F444A">
      <w:pPr>
        <w:ind w:left="851"/>
        <w:rPr>
          <w:sz w:val="24"/>
          <w:szCs w:val="24"/>
          <w:u w:val="single"/>
        </w:rPr>
      </w:pPr>
      <w:r w:rsidRPr="001F444A">
        <w:rPr>
          <w:sz w:val="24"/>
          <w:szCs w:val="24"/>
          <w:u w:val="single"/>
        </w:rPr>
        <w:t>Transfusionsrelateret akut lungeskade (TRALI)</w:t>
      </w:r>
    </w:p>
    <w:p w:rsidR="00EC5D6B" w:rsidRPr="001F444A" w:rsidRDefault="001F444A" w:rsidP="001F444A">
      <w:pPr>
        <w:ind w:left="851"/>
        <w:rPr>
          <w:sz w:val="24"/>
          <w:szCs w:val="24"/>
        </w:rPr>
      </w:pPr>
      <w:r w:rsidRPr="001F444A">
        <w:rPr>
          <w:sz w:val="24"/>
          <w:szCs w:val="24"/>
        </w:rPr>
        <w:t xml:space="preserve">Hos patienter, der får </w:t>
      </w:r>
      <w:proofErr w:type="spellStart"/>
      <w:r w:rsidRPr="001F444A">
        <w:rPr>
          <w:sz w:val="24"/>
          <w:szCs w:val="24"/>
        </w:rPr>
        <w:t>IVIg</w:t>
      </w:r>
      <w:proofErr w:type="spellEnd"/>
      <w:r w:rsidRPr="001F444A">
        <w:rPr>
          <w:sz w:val="24"/>
          <w:szCs w:val="24"/>
        </w:rPr>
        <w:t>, har der været nogle rapporter om akut ikke-</w:t>
      </w:r>
      <w:proofErr w:type="spellStart"/>
      <w:r w:rsidRPr="001F444A">
        <w:rPr>
          <w:sz w:val="24"/>
          <w:szCs w:val="24"/>
        </w:rPr>
        <w:t>kardiogent</w:t>
      </w:r>
      <w:proofErr w:type="spellEnd"/>
      <w:r w:rsidRPr="001F444A">
        <w:rPr>
          <w:sz w:val="24"/>
          <w:szCs w:val="24"/>
        </w:rPr>
        <w:t xml:space="preserve"> lungeødem, TRALI. TRALI er kendetegnet ved svær </w:t>
      </w:r>
      <w:proofErr w:type="spellStart"/>
      <w:r w:rsidRPr="001F444A">
        <w:rPr>
          <w:sz w:val="24"/>
          <w:szCs w:val="24"/>
        </w:rPr>
        <w:t>hypoksi</w:t>
      </w:r>
      <w:proofErr w:type="spellEnd"/>
      <w:r w:rsidRPr="001F444A">
        <w:rPr>
          <w:sz w:val="24"/>
          <w:szCs w:val="24"/>
        </w:rPr>
        <w:t xml:space="preserve">, dyspnø, </w:t>
      </w:r>
      <w:proofErr w:type="spellStart"/>
      <w:r w:rsidRPr="001F444A">
        <w:rPr>
          <w:sz w:val="24"/>
          <w:szCs w:val="24"/>
        </w:rPr>
        <w:t>takypnø</w:t>
      </w:r>
      <w:proofErr w:type="spellEnd"/>
      <w:r w:rsidRPr="001F444A">
        <w:rPr>
          <w:sz w:val="24"/>
          <w:szCs w:val="24"/>
        </w:rPr>
        <w:t xml:space="preserve">, cyanose, feber og hypotension. Symptomer på TRALI udvikler sig typisk under en infusion eller inden for 6 timer efter, ofte inden for 1-2 timer. </w:t>
      </w:r>
      <w:proofErr w:type="spellStart"/>
      <w:r w:rsidRPr="001F444A">
        <w:rPr>
          <w:sz w:val="24"/>
          <w:szCs w:val="24"/>
        </w:rPr>
        <w:t>IVIg</w:t>
      </w:r>
      <w:proofErr w:type="spellEnd"/>
      <w:r w:rsidRPr="001F444A">
        <w:rPr>
          <w:sz w:val="24"/>
          <w:szCs w:val="24"/>
        </w:rPr>
        <w:t xml:space="preserve">-recipienter skal derfor overvåges for </w:t>
      </w:r>
      <w:proofErr w:type="spellStart"/>
      <w:r w:rsidRPr="001F444A">
        <w:rPr>
          <w:sz w:val="24"/>
          <w:szCs w:val="24"/>
        </w:rPr>
        <w:t>pulmonale</w:t>
      </w:r>
      <w:proofErr w:type="spellEnd"/>
      <w:r w:rsidRPr="001F444A">
        <w:rPr>
          <w:sz w:val="24"/>
          <w:szCs w:val="24"/>
        </w:rPr>
        <w:t xml:space="preserve"> bivirkninger, og </w:t>
      </w:r>
      <w:proofErr w:type="spellStart"/>
      <w:r w:rsidRPr="001F444A">
        <w:rPr>
          <w:sz w:val="24"/>
          <w:szCs w:val="24"/>
        </w:rPr>
        <w:t>IVIg</w:t>
      </w:r>
      <w:proofErr w:type="spellEnd"/>
      <w:r w:rsidRPr="001F444A">
        <w:rPr>
          <w:sz w:val="24"/>
          <w:szCs w:val="24"/>
        </w:rPr>
        <w:t>-infusionen skal straks stoppes i tilfælde heraf. TRALI er en potentielt livstruende tilstand, der kræver øjeblikkelig behandling på en intensivafdeling.</w:t>
      </w:r>
    </w:p>
    <w:p w:rsidR="00EC5D6B" w:rsidRPr="004041C5" w:rsidRDefault="00EC5D6B" w:rsidP="00EC5D6B">
      <w:pPr>
        <w:ind w:left="851" w:hanging="851"/>
        <w:rPr>
          <w:sz w:val="24"/>
          <w:szCs w:val="24"/>
        </w:rPr>
      </w:pPr>
    </w:p>
    <w:p w:rsidR="004646BE" w:rsidRDefault="004646BE" w:rsidP="004646BE">
      <w:pPr>
        <w:keepNext/>
        <w:ind w:left="851" w:hanging="851"/>
        <w:rPr>
          <w:b/>
          <w:sz w:val="24"/>
          <w:szCs w:val="24"/>
        </w:rPr>
      </w:pPr>
    </w:p>
    <w:p w:rsidR="00EC5D6B" w:rsidRPr="004041C5" w:rsidRDefault="00EC5D6B" w:rsidP="004646BE">
      <w:pPr>
        <w:keepNext/>
        <w:ind w:left="851" w:hanging="851"/>
        <w:rPr>
          <w:b/>
          <w:sz w:val="24"/>
          <w:szCs w:val="24"/>
        </w:rPr>
      </w:pPr>
      <w:r w:rsidRPr="004041C5">
        <w:rPr>
          <w:b/>
          <w:sz w:val="24"/>
          <w:szCs w:val="24"/>
        </w:rPr>
        <w:t>4.5</w:t>
      </w:r>
      <w:r w:rsidRPr="004041C5">
        <w:rPr>
          <w:b/>
          <w:sz w:val="24"/>
          <w:szCs w:val="24"/>
        </w:rPr>
        <w:tab/>
        <w:t>Interaktion med andre lægemidler og andre former for interaktion</w:t>
      </w:r>
    </w:p>
    <w:p w:rsidR="00EC5D6B" w:rsidRDefault="00EC5D6B" w:rsidP="00EC5D6B">
      <w:pPr>
        <w:ind w:left="851" w:hanging="851"/>
        <w:rPr>
          <w:sz w:val="24"/>
          <w:szCs w:val="24"/>
        </w:rPr>
      </w:pPr>
    </w:p>
    <w:p w:rsidR="001F444A" w:rsidRPr="001F444A" w:rsidRDefault="001F444A" w:rsidP="001F444A">
      <w:pPr>
        <w:ind w:left="851"/>
        <w:rPr>
          <w:sz w:val="24"/>
          <w:u w:val="single"/>
        </w:rPr>
      </w:pPr>
      <w:r w:rsidRPr="001F444A">
        <w:rPr>
          <w:sz w:val="24"/>
          <w:u w:val="single"/>
        </w:rPr>
        <w:t xml:space="preserve">Levende, svækkede virusvacciner </w:t>
      </w:r>
    </w:p>
    <w:p w:rsidR="001F444A" w:rsidRPr="001F444A" w:rsidRDefault="001F444A" w:rsidP="001F444A">
      <w:pPr>
        <w:ind w:left="851"/>
        <w:rPr>
          <w:sz w:val="24"/>
        </w:rPr>
      </w:pPr>
      <w:r w:rsidRPr="001F444A">
        <w:rPr>
          <w:sz w:val="24"/>
        </w:rPr>
        <w:t xml:space="preserve">Administration af </w:t>
      </w:r>
      <w:proofErr w:type="spellStart"/>
      <w:r w:rsidRPr="001F444A">
        <w:rPr>
          <w:sz w:val="24"/>
        </w:rPr>
        <w:t>immunoglobulin</w:t>
      </w:r>
      <w:proofErr w:type="spellEnd"/>
      <w:r w:rsidRPr="001F444A">
        <w:rPr>
          <w:sz w:val="24"/>
        </w:rPr>
        <w:t xml:space="preserve"> kan i en periode på mindst 6 uger og op til 3 måneder reducere virkningen af levende, svækkede virusvacciner såsom røde hunde, fåresyge, mæslinger og skoldkopper. Efter administration af dette præparat bør der gå mindst 3 måneder før vaccination med levende, svækkede virusvacciner. I forhold til mæslingevaccination kan denne reducerede virkning vare ved i op til 1 år. Patienter, der får mæslingevaccine, skal derfor have deres antistofstatus kontrolleret.</w:t>
      </w:r>
    </w:p>
    <w:p w:rsidR="001F444A" w:rsidRPr="001F444A" w:rsidRDefault="001F444A" w:rsidP="001F444A">
      <w:pPr>
        <w:ind w:left="851"/>
        <w:rPr>
          <w:sz w:val="24"/>
        </w:rPr>
      </w:pPr>
    </w:p>
    <w:p w:rsidR="001F444A" w:rsidRPr="001F444A" w:rsidRDefault="001F444A" w:rsidP="001F444A">
      <w:pPr>
        <w:ind w:left="851"/>
        <w:rPr>
          <w:sz w:val="24"/>
          <w:u w:val="single"/>
        </w:rPr>
      </w:pPr>
      <w:proofErr w:type="spellStart"/>
      <w:r w:rsidRPr="001F444A">
        <w:rPr>
          <w:sz w:val="24"/>
          <w:u w:val="single"/>
        </w:rPr>
        <w:t>Loopdiuretika</w:t>
      </w:r>
      <w:proofErr w:type="spellEnd"/>
    </w:p>
    <w:p w:rsidR="001F444A" w:rsidRPr="001F444A" w:rsidRDefault="001F444A" w:rsidP="001F444A">
      <w:pPr>
        <w:ind w:left="851"/>
        <w:rPr>
          <w:sz w:val="24"/>
        </w:rPr>
      </w:pPr>
      <w:r w:rsidRPr="001F444A">
        <w:rPr>
          <w:sz w:val="24"/>
        </w:rPr>
        <w:t xml:space="preserve">Undgå samtidig brug af </w:t>
      </w:r>
      <w:proofErr w:type="spellStart"/>
      <w:r w:rsidRPr="001F444A">
        <w:rPr>
          <w:sz w:val="24"/>
        </w:rPr>
        <w:t>loopdiuretika</w:t>
      </w:r>
      <w:proofErr w:type="spellEnd"/>
      <w:r w:rsidRPr="001F444A">
        <w:rPr>
          <w:sz w:val="24"/>
        </w:rPr>
        <w:t>.</w:t>
      </w:r>
    </w:p>
    <w:p w:rsidR="001F444A" w:rsidRPr="001F444A" w:rsidRDefault="001F444A" w:rsidP="001F444A">
      <w:pPr>
        <w:ind w:left="993"/>
        <w:rPr>
          <w:sz w:val="24"/>
        </w:rPr>
      </w:pPr>
    </w:p>
    <w:p w:rsidR="001F444A" w:rsidRPr="001F444A" w:rsidRDefault="001F444A" w:rsidP="001F444A">
      <w:pPr>
        <w:ind w:left="851"/>
        <w:rPr>
          <w:i/>
          <w:sz w:val="24"/>
        </w:rPr>
      </w:pPr>
      <w:r w:rsidRPr="001F444A">
        <w:rPr>
          <w:i/>
          <w:sz w:val="24"/>
        </w:rPr>
        <w:t>Pædiatrisk population</w:t>
      </w:r>
    </w:p>
    <w:p w:rsidR="00EC5D6B" w:rsidRPr="001F444A" w:rsidRDefault="001F444A" w:rsidP="001F444A">
      <w:pPr>
        <w:ind w:left="993" w:hanging="142"/>
        <w:rPr>
          <w:sz w:val="28"/>
          <w:szCs w:val="24"/>
        </w:rPr>
      </w:pPr>
      <w:r w:rsidRPr="001F444A">
        <w:rPr>
          <w:sz w:val="24"/>
        </w:rPr>
        <w:t>De anførte interaktioner gælder for voksne og børn.</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4.6</w:t>
      </w:r>
      <w:r w:rsidRPr="004041C5">
        <w:rPr>
          <w:b/>
          <w:sz w:val="24"/>
          <w:szCs w:val="24"/>
        </w:rPr>
        <w:tab/>
      </w:r>
      <w:r w:rsidR="002C33E3">
        <w:rPr>
          <w:b/>
          <w:sz w:val="24"/>
          <w:szCs w:val="24"/>
        </w:rPr>
        <w:t>Fertilitet, g</w:t>
      </w:r>
      <w:r w:rsidRPr="004041C5">
        <w:rPr>
          <w:b/>
          <w:sz w:val="24"/>
          <w:szCs w:val="24"/>
        </w:rPr>
        <w:t>raviditet og amning</w:t>
      </w:r>
    </w:p>
    <w:p w:rsidR="00EC5D6B" w:rsidRDefault="00EC5D6B" w:rsidP="00EC5D6B">
      <w:pPr>
        <w:ind w:left="851" w:hanging="851"/>
        <w:rPr>
          <w:sz w:val="24"/>
          <w:szCs w:val="24"/>
        </w:rPr>
      </w:pPr>
    </w:p>
    <w:p w:rsidR="001F444A" w:rsidRPr="00146A96" w:rsidRDefault="001F444A" w:rsidP="001F444A">
      <w:pPr>
        <w:ind w:left="851"/>
        <w:rPr>
          <w:sz w:val="24"/>
          <w:u w:val="single"/>
        </w:rPr>
      </w:pPr>
      <w:r w:rsidRPr="00146A96">
        <w:rPr>
          <w:sz w:val="24"/>
          <w:u w:val="single"/>
        </w:rPr>
        <w:t>Graviditet</w:t>
      </w:r>
    </w:p>
    <w:p w:rsidR="001F444A" w:rsidRPr="00146A96" w:rsidRDefault="001F444A" w:rsidP="001F444A">
      <w:pPr>
        <w:ind w:left="851"/>
        <w:rPr>
          <w:sz w:val="24"/>
        </w:rPr>
      </w:pPr>
      <w:r w:rsidRPr="00146A96">
        <w:rPr>
          <w:sz w:val="24"/>
        </w:rPr>
        <w:t xml:space="preserve">Sikkerheden af dette lægemiddel ved anvendelse under graviditeten hos mennesker er ikke blevet klarlagt i kontrollerede kliniske studier, og derfor bør det kun gives med forsigtighed til gravide kvinder og ammende mødre. Intravenøst </w:t>
      </w:r>
      <w:proofErr w:type="spellStart"/>
      <w:r w:rsidRPr="00146A96">
        <w:rPr>
          <w:sz w:val="24"/>
        </w:rPr>
        <w:t>immunoglobulin</w:t>
      </w:r>
      <w:proofErr w:type="spellEnd"/>
      <w:r w:rsidRPr="00146A96">
        <w:rPr>
          <w:sz w:val="24"/>
        </w:rPr>
        <w:t xml:space="preserve"> G-præparater har vist sig at krydse placenta mere hyppigt i løbet af det tredje trimester. Klinisk erfaring med </w:t>
      </w:r>
      <w:proofErr w:type="spellStart"/>
      <w:r w:rsidRPr="00146A96">
        <w:rPr>
          <w:sz w:val="24"/>
        </w:rPr>
        <w:t>immunoglobuliner</w:t>
      </w:r>
      <w:proofErr w:type="spellEnd"/>
      <w:r w:rsidRPr="00146A96">
        <w:rPr>
          <w:sz w:val="24"/>
        </w:rPr>
        <w:t xml:space="preserve"> tyder på, at der ikke forventes nogen skadelige virkninger på forløbet af graviditeten eller på fostret og det nyfødte barn.</w:t>
      </w:r>
    </w:p>
    <w:p w:rsidR="001F444A" w:rsidRPr="00146A96" w:rsidRDefault="001F444A" w:rsidP="001F444A">
      <w:pPr>
        <w:ind w:left="851"/>
        <w:rPr>
          <w:sz w:val="24"/>
        </w:rPr>
      </w:pPr>
    </w:p>
    <w:p w:rsidR="001F444A" w:rsidRPr="00146A96" w:rsidRDefault="001F444A" w:rsidP="001F444A">
      <w:pPr>
        <w:ind w:left="851"/>
        <w:rPr>
          <w:sz w:val="24"/>
          <w:szCs w:val="22"/>
          <w:u w:val="single"/>
        </w:rPr>
      </w:pPr>
      <w:r w:rsidRPr="00146A96">
        <w:rPr>
          <w:sz w:val="24"/>
          <w:u w:val="single"/>
        </w:rPr>
        <w:t>Amning</w:t>
      </w:r>
    </w:p>
    <w:p w:rsidR="001F444A" w:rsidRPr="00146A96" w:rsidRDefault="001F444A" w:rsidP="001F444A">
      <w:pPr>
        <w:ind w:left="851"/>
        <w:rPr>
          <w:sz w:val="24"/>
          <w:u w:val="single"/>
        </w:rPr>
      </w:pPr>
      <w:proofErr w:type="spellStart"/>
      <w:r w:rsidRPr="00146A96">
        <w:rPr>
          <w:sz w:val="24"/>
        </w:rPr>
        <w:t>Immunoglobuliner</w:t>
      </w:r>
      <w:proofErr w:type="spellEnd"/>
      <w:r w:rsidRPr="00146A96">
        <w:rPr>
          <w:sz w:val="24"/>
        </w:rPr>
        <w:t xml:space="preserve"> udskilles i human mælk. </w:t>
      </w:r>
      <w:r w:rsidRPr="00146A96">
        <w:rPr>
          <w:sz w:val="24"/>
          <w:u w:val="single"/>
        </w:rPr>
        <w:t>Der forventes ingen negativ påvirkning af det ammede barn.</w:t>
      </w:r>
      <w:r w:rsidRPr="00146A96">
        <w:rPr>
          <w:sz w:val="24"/>
        </w:rPr>
        <w:t xml:space="preserve"> </w:t>
      </w:r>
    </w:p>
    <w:p w:rsidR="001F444A" w:rsidRPr="00146A96" w:rsidRDefault="001F444A" w:rsidP="001F444A">
      <w:pPr>
        <w:ind w:left="851"/>
        <w:rPr>
          <w:sz w:val="24"/>
          <w:u w:val="single"/>
        </w:rPr>
      </w:pPr>
    </w:p>
    <w:p w:rsidR="001F444A" w:rsidRPr="00146A96" w:rsidRDefault="001F444A" w:rsidP="001F444A">
      <w:pPr>
        <w:ind w:left="851"/>
        <w:rPr>
          <w:sz w:val="24"/>
          <w:szCs w:val="22"/>
          <w:u w:val="single"/>
        </w:rPr>
      </w:pPr>
      <w:r w:rsidRPr="00146A96">
        <w:rPr>
          <w:sz w:val="24"/>
          <w:u w:val="single"/>
        </w:rPr>
        <w:t>Fertilitet</w:t>
      </w:r>
    </w:p>
    <w:p w:rsidR="00EC5D6B" w:rsidRPr="00146A96" w:rsidRDefault="001F444A" w:rsidP="001F444A">
      <w:pPr>
        <w:ind w:left="851"/>
        <w:rPr>
          <w:sz w:val="24"/>
        </w:rPr>
      </w:pPr>
      <w:r w:rsidRPr="00146A96">
        <w:rPr>
          <w:sz w:val="24"/>
        </w:rPr>
        <w:t xml:space="preserve">Klinisk erfaring med </w:t>
      </w:r>
      <w:proofErr w:type="spellStart"/>
      <w:r w:rsidRPr="00146A96">
        <w:rPr>
          <w:sz w:val="24"/>
        </w:rPr>
        <w:t>immunoglobuliner</w:t>
      </w:r>
      <w:proofErr w:type="spellEnd"/>
      <w:r w:rsidRPr="00146A96">
        <w:rPr>
          <w:sz w:val="24"/>
        </w:rPr>
        <w:t xml:space="preserve"> tyder på, at der ikke kan forventes nogen skadelige virkninger på fertiliteten.</w:t>
      </w:r>
    </w:p>
    <w:p w:rsidR="00EC5D6B" w:rsidRPr="004041C5" w:rsidRDefault="00EC5D6B" w:rsidP="00EC5D6B">
      <w:pPr>
        <w:ind w:left="851" w:hanging="851"/>
        <w:rPr>
          <w:sz w:val="24"/>
          <w:szCs w:val="24"/>
        </w:rPr>
      </w:pPr>
    </w:p>
    <w:p w:rsidR="00146A96" w:rsidRPr="00146A96" w:rsidRDefault="00EC5D6B" w:rsidP="00146A96">
      <w:pPr>
        <w:ind w:left="851" w:hanging="851"/>
        <w:rPr>
          <w:b/>
          <w:sz w:val="24"/>
          <w:szCs w:val="24"/>
        </w:rPr>
      </w:pPr>
      <w:r w:rsidRPr="004041C5">
        <w:rPr>
          <w:b/>
          <w:sz w:val="24"/>
          <w:szCs w:val="24"/>
        </w:rPr>
        <w:t>4.7</w:t>
      </w:r>
      <w:r w:rsidRPr="004041C5">
        <w:rPr>
          <w:b/>
          <w:sz w:val="24"/>
          <w:szCs w:val="24"/>
        </w:rPr>
        <w:tab/>
        <w:t xml:space="preserve">Virkning på evnen til at føre motorkøretøj </w:t>
      </w:r>
      <w:r w:rsidR="002C33E3">
        <w:rPr>
          <w:b/>
          <w:sz w:val="24"/>
          <w:szCs w:val="24"/>
        </w:rPr>
        <w:t>og</w:t>
      </w:r>
      <w:r w:rsidRPr="004041C5">
        <w:rPr>
          <w:b/>
          <w:sz w:val="24"/>
          <w:szCs w:val="24"/>
        </w:rPr>
        <w:t xml:space="preserve"> betjene maskiner</w:t>
      </w:r>
    </w:p>
    <w:p w:rsidR="00146A96" w:rsidRPr="00146A96" w:rsidRDefault="00146A96" w:rsidP="00146A96">
      <w:pPr>
        <w:ind w:left="851"/>
        <w:rPr>
          <w:sz w:val="24"/>
        </w:rPr>
      </w:pPr>
      <w:proofErr w:type="spellStart"/>
      <w:r w:rsidRPr="00146A96">
        <w:rPr>
          <w:sz w:val="24"/>
          <w:szCs w:val="22"/>
        </w:rPr>
        <w:t>Hepatect</w:t>
      </w:r>
      <w:proofErr w:type="spellEnd"/>
      <w:r w:rsidRPr="00146A96">
        <w:rPr>
          <w:sz w:val="24"/>
          <w:szCs w:val="22"/>
        </w:rPr>
        <w:t xml:space="preserve"> CP påvirker i mindre grad evnen til at føre motorkøretøj og betjene maskiner. Patienter, der oplever bivirkninger i løbet af behandlingen, bør vente, til disse har fortaget sig, før de fører motorkøretøj eller betjener maskiner.</w:t>
      </w:r>
    </w:p>
    <w:p w:rsidR="00EC5D6B" w:rsidRPr="004041C5" w:rsidRDefault="00EC5D6B" w:rsidP="00146A96">
      <w:pPr>
        <w:ind w:left="851" w:hanging="851"/>
        <w:rPr>
          <w:sz w:val="24"/>
          <w:szCs w:val="24"/>
        </w:rPr>
      </w:pPr>
    </w:p>
    <w:p w:rsidR="00EC5D6B" w:rsidRPr="004041C5" w:rsidRDefault="00EC5D6B" w:rsidP="00EC5D6B">
      <w:pPr>
        <w:ind w:left="851" w:hanging="851"/>
        <w:rPr>
          <w:b/>
          <w:sz w:val="24"/>
          <w:szCs w:val="24"/>
        </w:rPr>
      </w:pPr>
      <w:r w:rsidRPr="004041C5">
        <w:rPr>
          <w:b/>
          <w:sz w:val="24"/>
          <w:szCs w:val="24"/>
        </w:rPr>
        <w:t>4.8</w:t>
      </w:r>
      <w:r w:rsidRPr="004041C5">
        <w:rPr>
          <w:b/>
          <w:sz w:val="24"/>
          <w:szCs w:val="24"/>
        </w:rPr>
        <w:tab/>
        <w:t>Bivirkninger</w:t>
      </w:r>
    </w:p>
    <w:p w:rsidR="00146A96" w:rsidRPr="00146A96" w:rsidRDefault="00146A96" w:rsidP="00146A96">
      <w:pPr>
        <w:widowControl w:val="0"/>
        <w:ind w:left="851"/>
        <w:outlineLvl w:val="0"/>
        <w:rPr>
          <w:rFonts w:eastAsia="SimSun"/>
          <w:bCs/>
          <w:sz w:val="24"/>
          <w:szCs w:val="22"/>
          <w:u w:val="single"/>
        </w:rPr>
      </w:pPr>
      <w:r w:rsidRPr="00146A96">
        <w:rPr>
          <w:rFonts w:eastAsia="SimSun"/>
          <w:bCs/>
          <w:sz w:val="24"/>
          <w:szCs w:val="22"/>
          <w:u w:val="single"/>
        </w:rPr>
        <w:t>Oversigt over sikkerhedsprofilen</w:t>
      </w:r>
    </w:p>
    <w:p w:rsidR="00146A96" w:rsidRPr="00146A96" w:rsidRDefault="00146A96" w:rsidP="00146A96">
      <w:pPr>
        <w:shd w:val="clear" w:color="auto" w:fill="FFFFFF"/>
        <w:ind w:left="851"/>
        <w:rPr>
          <w:sz w:val="24"/>
          <w:szCs w:val="22"/>
        </w:rPr>
      </w:pPr>
      <w:r w:rsidRPr="00146A96">
        <w:rPr>
          <w:sz w:val="24"/>
          <w:szCs w:val="22"/>
        </w:rPr>
        <w:t xml:space="preserve">Bivirkninger forårsaget af humane normale </w:t>
      </w:r>
      <w:proofErr w:type="spellStart"/>
      <w:r w:rsidRPr="00146A96">
        <w:rPr>
          <w:sz w:val="24"/>
          <w:szCs w:val="22"/>
        </w:rPr>
        <w:t>immunoglobuliner</w:t>
      </w:r>
      <w:proofErr w:type="spellEnd"/>
      <w:r w:rsidRPr="00146A96">
        <w:rPr>
          <w:sz w:val="24"/>
          <w:szCs w:val="22"/>
        </w:rPr>
        <w:t xml:space="preserve"> (efter faldende hyppighed) omfatter (se også pkt. 4.4): </w:t>
      </w:r>
    </w:p>
    <w:p w:rsidR="00146A96" w:rsidRPr="00146A96" w:rsidRDefault="00146A96" w:rsidP="00146A96">
      <w:pPr>
        <w:shd w:val="clear" w:color="auto" w:fill="FFFFFF"/>
        <w:ind w:left="851" w:hanging="851"/>
        <w:rPr>
          <w:sz w:val="24"/>
          <w:szCs w:val="22"/>
        </w:rPr>
      </w:pPr>
    </w:p>
    <w:p w:rsidR="00146A96" w:rsidRPr="00146A96" w:rsidRDefault="00146A96" w:rsidP="00146A96">
      <w:pPr>
        <w:pStyle w:val="Listeafsnit"/>
        <w:numPr>
          <w:ilvl w:val="0"/>
          <w:numId w:val="11"/>
        </w:numPr>
        <w:shd w:val="clear" w:color="auto" w:fill="FFFFFF"/>
        <w:rPr>
          <w:sz w:val="24"/>
          <w:szCs w:val="22"/>
        </w:rPr>
      </w:pPr>
      <w:r w:rsidRPr="00146A96">
        <w:rPr>
          <w:sz w:val="24"/>
          <w:szCs w:val="22"/>
        </w:rPr>
        <w:t xml:space="preserve">kulderystelser, hovedpine, svimmelhed, feber, opkast, allergiske reaktioner, kvalme, </w:t>
      </w:r>
      <w:proofErr w:type="spellStart"/>
      <w:r w:rsidRPr="00146A96">
        <w:rPr>
          <w:sz w:val="24"/>
          <w:szCs w:val="22"/>
        </w:rPr>
        <w:t>artralgi</w:t>
      </w:r>
      <w:proofErr w:type="spellEnd"/>
      <w:r w:rsidRPr="00146A96">
        <w:rPr>
          <w:sz w:val="24"/>
          <w:szCs w:val="22"/>
        </w:rPr>
        <w:t xml:space="preserve">, lavt blodtryk og moderate lændesmerter </w:t>
      </w:r>
    </w:p>
    <w:p w:rsidR="00146A96" w:rsidRPr="00146A96" w:rsidRDefault="00146A96" w:rsidP="00146A96">
      <w:pPr>
        <w:pStyle w:val="Listeafsnit"/>
        <w:numPr>
          <w:ilvl w:val="0"/>
          <w:numId w:val="11"/>
        </w:numPr>
        <w:shd w:val="clear" w:color="auto" w:fill="FFFFFF"/>
        <w:rPr>
          <w:sz w:val="24"/>
          <w:szCs w:val="22"/>
        </w:rPr>
      </w:pPr>
      <w:r w:rsidRPr="00146A96">
        <w:rPr>
          <w:sz w:val="24"/>
          <w:szCs w:val="22"/>
        </w:rPr>
        <w:t xml:space="preserve">reversible </w:t>
      </w:r>
      <w:proofErr w:type="spellStart"/>
      <w:r w:rsidRPr="00146A96">
        <w:rPr>
          <w:sz w:val="24"/>
          <w:szCs w:val="22"/>
        </w:rPr>
        <w:t>hæmolytiske</w:t>
      </w:r>
      <w:proofErr w:type="spellEnd"/>
      <w:r w:rsidRPr="00146A96">
        <w:rPr>
          <w:sz w:val="24"/>
          <w:szCs w:val="22"/>
        </w:rPr>
        <w:t xml:space="preserve"> reaktioner, især hos patienter med blodtype A, B og AB, og (sjældent) </w:t>
      </w:r>
      <w:proofErr w:type="spellStart"/>
      <w:r w:rsidRPr="00146A96">
        <w:rPr>
          <w:sz w:val="24"/>
          <w:szCs w:val="22"/>
        </w:rPr>
        <w:t>hæmolytisk</w:t>
      </w:r>
      <w:proofErr w:type="spellEnd"/>
      <w:r w:rsidRPr="00146A96">
        <w:rPr>
          <w:sz w:val="24"/>
          <w:szCs w:val="22"/>
        </w:rPr>
        <w:t xml:space="preserve"> anæmi, der kræver transfusion</w:t>
      </w:r>
    </w:p>
    <w:p w:rsidR="00146A96" w:rsidRPr="00146A96" w:rsidRDefault="00146A96" w:rsidP="00146A96">
      <w:pPr>
        <w:pStyle w:val="Listeafsnit"/>
        <w:numPr>
          <w:ilvl w:val="0"/>
          <w:numId w:val="11"/>
        </w:numPr>
        <w:shd w:val="clear" w:color="auto" w:fill="FFFFFF"/>
        <w:rPr>
          <w:sz w:val="24"/>
          <w:szCs w:val="22"/>
        </w:rPr>
      </w:pPr>
      <w:r w:rsidRPr="00146A96">
        <w:rPr>
          <w:sz w:val="24"/>
          <w:szCs w:val="22"/>
        </w:rPr>
        <w:t xml:space="preserve">(sjældent) et pludseligt fald i blodtrykket og i isolerede tilfælde </w:t>
      </w:r>
      <w:proofErr w:type="spellStart"/>
      <w:r w:rsidRPr="00146A96">
        <w:rPr>
          <w:sz w:val="24"/>
          <w:szCs w:val="22"/>
        </w:rPr>
        <w:t>anafylaktisk</w:t>
      </w:r>
      <w:proofErr w:type="spellEnd"/>
      <w:r w:rsidRPr="00146A96">
        <w:rPr>
          <w:sz w:val="24"/>
          <w:szCs w:val="22"/>
        </w:rPr>
        <w:t xml:space="preserve"> </w:t>
      </w:r>
      <w:proofErr w:type="spellStart"/>
      <w:r w:rsidRPr="00146A96">
        <w:rPr>
          <w:sz w:val="24"/>
          <w:szCs w:val="22"/>
        </w:rPr>
        <w:t>shock</w:t>
      </w:r>
      <w:proofErr w:type="spellEnd"/>
      <w:r w:rsidRPr="00146A96">
        <w:rPr>
          <w:sz w:val="24"/>
          <w:szCs w:val="22"/>
        </w:rPr>
        <w:t>, selv når patienten ikke har vist overfølsomhed ved en tidligere administration</w:t>
      </w:r>
    </w:p>
    <w:p w:rsidR="00146A96" w:rsidRPr="00146A96" w:rsidRDefault="00146A96" w:rsidP="00146A96">
      <w:pPr>
        <w:pStyle w:val="Listeafsnit"/>
        <w:numPr>
          <w:ilvl w:val="0"/>
          <w:numId w:val="11"/>
        </w:numPr>
        <w:shd w:val="clear" w:color="auto" w:fill="FFFFFF"/>
        <w:rPr>
          <w:sz w:val="24"/>
          <w:szCs w:val="22"/>
        </w:rPr>
      </w:pPr>
      <w:r w:rsidRPr="00146A96">
        <w:rPr>
          <w:sz w:val="24"/>
          <w:szCs w:val="22"/>
        </w:rPr>
        <w:lastRenderedPageBreak/>
        <w:t xml:space="preserve">(sjældent) forbigående hudreaktioner (herunder </w:t>
      </w:r>
      <w:proofErr w:type="spellStart"/>
      <w:r w:rsidRPr="00146A96">
        <w:rPr>
          <w:sz w:val="24"/>
          <w:szCs w:val="22"/>
        </w:rPr>
        <w:t>kutan</w:t>
      </w:r>
      <w:proofErr w:type="spellEnd"/>
      <w:r w:rsidRPr="00146A96">
        <w:rPr>
          <w:sz w:val="24"/>
          <w:szCs w:val="22"/>
        </w:rPr>
        <w:t xml:space="preserve"> lupus </w:t>
      </w:r>
      <w:proofErr w:type="spellStart"/>
      <w:r w:rsidRPr="00146A96">
        <w:rPr>
          <w:sz w:val="24"/>
          <w:szCs w:val="22"/>
        </w:rPr>
        <w:t>erythematosus</w:t>
      </w:r>
      <w:proofErr w:type="spellEnd"/>
      <w:r w:rsidRPr="00146A96">
        <w:rPr>
          <w:sz w:val="24"/>
          <w:szCs w:val="22"/>
        </w:rPr>
        <w:t xml:space="preserve"> – hyppighed ukendt)</w:t>
      </w:r>
    </w:p>
    <w:p w:rsidR="00146A96" w:rsidRPr="00146A96" w:rsidRDefault="00146A96" w:rsidP="00146A96">
      <w:pPr>
        <w:pStyle w:val="Listeafsnit"/>
        <w:numPr>
          <w:ilvl w:val="0"/>
          <w:numId w:val="11"/>
        </w:numPr>
        <w:shd w:val="clear" w:color="auto" w:fill="FFFFFF"/>
        <w:rPr>
          <w:sz w:val="24"/>
          <w:szCs w:val="22"/>
        </w:rPr>
      </w:pPr>
      <w:r w:rsidRPr="00146A96">
        <w:rPr>
          <w:sz w:val="24"/>
          <w:szCs w:val="22"/>
        </w:rPr>
        <w:t xml:space="preserve">(meget sjældent) </w:t>
      </w:r>
      <w:proofErr w:type="spellStart"/>
      <w:r w:rsidRPr="00146A96">
        <w:rPr>
          <w:sz w:val="24"/>
          <w:szCs w:val="22"/>
        </w:rPr>
        <w:t>tromboemboliske</w:t>
      </w:r>
      <w:proofErr w:type="spellEnd"/>
      <w:r w:rsidRPr="00146A96">
        <w:rPr>
          <w:sz w:val="24"/>
          <w:szCs w:val="22"/>
        </w:rPr>
        <w:t xml:space="preserve"> reaktioner, såsom myokardieinfarkt, apopleksi, </w:t>
      </w:r>
      <w:proofErr w:type="spellStart"/>
      <w:r w:rsidRPr="00146A96">
        <w:rPr>
          <w:sz w:val="24"/>
          <w:szCs w:val="22"/>
        </w:rPr>
        <w:t>lungeemboli</w:t>
      </w:r>
      <w:proofErr w:type="spellEnd"/>
      <w:r w:rsidRPr="00146A96">
        <w:rPr>
          <w:sz w:val="24"/>
          <w:szCs w:val="22"/>
        </w:rPr>
        <w:t>, dyb venetrombose</w:t>
      </w:r>
    </w:p>
    <w:p w:rsidR="00146A96" w:rsidRPr="00146A96" w:rsidRDefault="00146A96" w:rsidP="00146A96">
      <w:pPr>
        <w:pStyle w:val="Listeafsnit"/>
        <w:numPr>
          <w:ilvl w:val="0"/>
          <w:numId w:val="11"/>
        </w:numPr>
        <w:shd w:val="clear" w:color="auto" w:fill="FFFFFF"/>
        <w:rPr>
          <w:sz w:val="24"/>
          <w:szCs w:val="22"/>
        </w:rPr>
      </w:pPr>
      <w:r w:rsidRPr="00146A96">
        <w:rPr>
          <w:sz w:val="24"/>
          <w:szCs w:val="22"/>
        </w:rPr>
        <w:t xml:space="preserve">tilfælde af reversibel aseptisk meningitis </w:t>
      </w:r>
    </w:p>
    <w:p w:rsidR="00146A96" w:rsidRPr="00146A96" w:rsidRDefault="00146A96" w:rsidP="00146A96">
      <w:pPr>
        <w:pStyle w:val="Listeafsnit"/>
        <w:numPr>
          <w:ilvl w:val="0"/>
          <w:numId w:val="11"/>
        </w:numPr>
        <w:shd w:val="clear" w:color="auto" w:fill="FFFFFF"/>
        <w:rPr>
          <w:sz w:val="24"/>
          <w:szCs w:val="22"/>
        </w:rPr>
      </w:pPr>
      <w:r w:rsidRPr="00146A96">
        <w:rPr>
          <w:sz w:val="24"/>
          <w:szCs w:val="22"/>
        </w:rPr>
        <w:t xml:space="preserve">tilfælde af forhøjet </w:t>
      </w:r>
      <w:proofErr w:type="spellStart"/>
      <w:r w:rsidRPr="00146A96">
        <w:rPr>
          <w:sz w:val="24"/>
          <w:szCs w:val="22"/>
        </w:rPr>
        <w:t>kreatininniveau</w:t>
      </w:r>
      <w:proofErr w:type="spellEnd"/>
      <w:r w:rsidRPr="00146A96">
        <w:rPr>
          <w:sz w:val="24"/>
          <w:szCs w:val="22"/>
        </w:rPr>
        <w:t xml:space="preserve"> i serum og/eller forekomst af akut nyresvigt </w:t>
      </w:r>
    </w:p>
    <w:p w:rsidR="00146A96" w:rsidRPr="00146A96" w:rsidRDefault="00146A96" w:rsidP="00146A96">
      <w:pPr>
        <w:pStyle w:val="Listeafsnit"/>
        <w:numPr>
          <w:ilvl w:val="0"/>
          <w:numId w:val="11"/>
        </w:numPr>
        <w:shd w:val="clear" w:color="auto" w:fill="FFFFFF"/>
        <w:rPr>
          <w:sz w:val="24"/>
          <w:szCs w:val="22"/>
        </w:rPr>
      </w:pPr>
      <w:r w:rsidRPr="00146A96">
        <w:rPr>
          <w:sz w:val="24"/>
          <w:szCs w:val="22"/>
        </w:rPr>
        <w:t>tilfælde af transfusionsrelateret akut lungeskade (TRALI)</w:t>
      </w:r>
    </w:p>
    <w:p w:rsidR="00146A96" w:rsidRPr="00146A96" w:rsidRDefault="00146A96" w:rsidP="00146A96">
      <w:pPr>
        <w:tabs>
          <w:tab w:val="left" w:pos="567"/>
        </w:tabs>
        <w:rPr>
          <w:rFonts w:eastAsia="SimSun"/>
          <w:sz w:val="24"/>
          <w:szCs w:val="22"/>
        </w:rPr>
      </w:pPr>
    </w:p>
    <w:p w:rsidR="00146A96" w:rsidRPr="00146A96" w:rsidRDefault="00146A96" w:rsidP="00146A96">
      <w:pPr>
        <w:widowControl w:val="0"/>
        <w:ind w:left="851"/>
        <w:jc w:val="both"/>
        <w:rPr>
          <w:sz w:val="24"/>
          <w:szCs w:val="22"/>
          <w:u w:val="single"/>
        </w:rPr>
      </w:pPr>
      <w:r w:rsidRPr="00146A96">
        <w:rPr>
          <w:sz w:val="24"/>
          <w:szCs w:val="22"/>
          <w:u w:val="single"/>
        </w:rPr>
        <w:t>Tabel over bivirkninger</w:t>
      </w:r>
    </w:p>
    <w:p w:rsidR="00146A96" w:rsidRPr="00146A96" w:rsidRDefault="00146A96" w:rsidP="00146A96">
      <w:pPr>
        <w:ind w:left="851"/>
        <w:rPr>
          <w:sz w:val="24"/>
          <w:szCs w:val="22"/>
        </w:rPr>
      </w:pPr>
      <w:r w:rsidRPr="00146A96">
        <w:rPr>
          <w:sz w:val="24"/>
        </w:rPr>
        <w:t xml:space="preserve">Tabellen nedenfor er opstillet i henhold til </w:t>
      </w:r>
      <w:proofErr w:type="spellStart"/>
      <w:r w:rsidRPr="00146A96">
        <w:rPr>
          <w:sz w:val="24"/>
        </w:rPr>
        <w:t>MedDRA</w:t>
      </w:r>
      <w:proofErr w:type="spellEnd"/>
      <w:r w:rsidRPr="00146A96">
        <w:rPr>
          <w:sz w:val="24"/>
        </w:rPr>
        <w:t>-systemorganklassifikationen (SOC og foretrukket termniveau). Hyppigheder er blevet evalueret efter følgende konvention:</w:t>
      </w:r>
    </w:p>
    <w:p w:rsidR="00146A96" w:rsidRPr="00146A96" w:rsidRDefault="00146A96" w:rsidP="00146A96">
      <w:pPr>
        <w:ind w:left="851"/>
        <w:rPr>
          <w:sz w:val="24"/>
          <w:szCs w:val="22"/>
        </w:rPr>
      </w:pPr>
      <w:r w:rsidRPr="00146A96">
        <w:rPr>
          <w:sz w:val="24"/>
        </w:rPr>
        <w:t>Meget almindelig (</w:t>
      </w:r>
      <w:r w:rsidRPr="00146A96">
        <w:rPr>
          <w:sz w:val="24"/>
        </w:rPr>
        <w:sym w:font="Symbol" w:char="F0B3"/>
      </w:r>
      <w:r w:rsidRPr="00146A96">
        <w:rPr>
          <w:sz w:val="24"/>
        </w:rPr>
        <w:t>1/10), almindelig (</w:t>
      </w:r>
      <w:r w:rsidRPr="00146A96">
        <w:rPr>
          <w:sz w:val="24"/>
        </w:rPr>
        <w:sym w:font="Symbol" w:char="F0B3"/>
      </w:r>
      <w:r w:rsidRPr="00146A96">
        <w:rPr>
          <w:sz w:val="24"/>
        </w:rPr>
        <w:t>1/100 til &lt;1/10), ikke almindelig (</w:t>
      </w:r>
      <w:r w:rsidRPr="00146A96">
        <w:rPr>
          <w:sz w:val="24"/>
        </w:rPr>
        <w:sym w:font="Symbol" w:char="F0B3"/>
      </w:r>
      <w:r w:rsidRPr="00146A96">
        <w:rPr>
          <w:sz w:val="24"/>
        </w:rPr>
        <w:t>1/1.000 til &lt;1/100), sjælden (</w:t>
      </w:r>
      <w:r w:rsidRPr="00146A96">
        <w:rPr>
          <w:sz w:val="24"/>
        </w:rPr>
        <w:sym w:font="Symbol" w:char="F0B3"/>
      </w:r>
      <w:r w:rsidRPr="00146A96">
        <w:rPr>
          <w:sz w:val="24"/>
        </w:rPr>
        <w:t>1/10.000 til &lt;1/1.000), meget sjælden (&lt;1/10.000), ikke kendt (kan ikke estimeres ud fra forhåndenværende data).</w:t>
      </w:r>
    </w:p>
    <w:p w:rsidR="00146A96" w:rsidRPr="00146A96" w:rsidRDefault="00146A96" w:rsidP="00146A96">
      <w:pPr>
        <w:ind w:left="851"/>
        <w:rPr>
          <w:sz w:val="24"/>
          <w:szCs w:val="22"/>
        </w:rPr>
      </w:pPr>
    </w:p>
    <w:p w:rsidR="00146A96" w:rsidRPr="00146A96" w:rsidRDefault="00146A96" w:rsidP="00146A96">
      <w:pPr>
        <w:ind w:left="851"/>
        <w:rPr>
          <w:i/>
          <w:sz w:val="24"/>
          <w:szCs w:val="22"/>
        </w:rPr>
      </w:pPr>
      <w:r w:rsidRPr="00146A96">
        <w:rPr>
          <w:i/>
          <w:sz w:val="24"/>
          <w:szCs w:val="22"/>
        </w:rPr>
        <w:t>Bivirkninger fra kliniske studier:</w:t>
      </w:r>
    </w:p>
    <w:p w:rsidR="00146A96" w:rsidRPr="00146A96" w:rsidRDefault="00146A96" w:rsidP="00146A96">
      <w:pPr>
        <w:ind w:left="851"/>
        <w:rPr>
          <w:sz w:val="24"/>
          <w:szCs w:val="22"/>
        </w:rPr>
      </w:pPr>
      <w:r w:rsidRPr="00146A96">
        <w:rPr>
          <w:sz w:val="24"/>
          <w:szCs w:val="22"/>
        </w:rPr>
        <w:t xml:space="preserve">I fire kliniske studier, blev der ikke identificeret nogen bivirkninger med </w:t>
      </w:r>
      <w:proofErr w:type="spellStart"/>
      <w:r w:rsidRPr="00146A96">
        <w:rPr>
          <w:sz w:val="24"/>
          <w:szCs w:val="22"/>
        </w:rPr>
        <w:t>Hepatect</w:t>
      </w:r>
      <w:proofErr w:type="spellEnd"/>
      <w:r w:rsidRPr="00146A96">
        <w:rPr>
          <w:sz w:val="24"/>
          <w:szCs w:val="22"/>
        </w:rPr>
        <w:t xml:space="preserve"> CP.</w:t>
      </w:r>
    </w:p>
    <w:p w:rsidR="00146A96" w:rsidRPr="00146A96" w:rsidRDefault="00146A96" w:rsidP="00146A96">
      <w:pPr>
        <w:ind w:left="851"/>
        <w:rPr>
          <w:sz w:val="24"/>
          <w:szCs w:val="22"/>
        </w:rPr>
      </w:pPr>
    </w:p>
    <w:p w:rsidR="00146A96" w:rsidRPr="00146A96" w:rsidRDefault="00146A96" w:rsidP="00146A96">
      <w:pPr>
        <w:ind w:left="851"/>
        <w:rPr>
          <w:sz w:val="24"/>
        </w:rPr>
      </w:pPr>
      <w:r w:rsidRPr="00146A96">
        <w:rPr>
          <w:i/>
          <w:sz w:val="24"/>
          <w:szCs w:val="22"/>
        </w:rPr>
        <w:t>Bivirkninger fra erfaring efter markedsføring og ikke-interventionsstudier (hyppigheder ikke kendt – kan ikke estimeres ud fra forhåndenværende data):</w:t>
      </w:r>
    </w:p>
    <w:p w:rsidR="00EC5D6B" w:rsidRPr="004041C5" w:rsidRDefault="00EC5D6B" w:rsidP="00EC5D6B">
      <w:pPr>
        <w:ind w:left="851" w:hanging="851"/>
        <w:rPr>
          <w:b/>
          <w:sz w:val="24"/>
          <w:szCs w:val="24"/>
        </w:rPr>
      </w:pPr>
    </w:p>
    <w:tbl>
      <w:tblPr>
        <w:tblW w:w="617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7"/>
        <w:gridCol w:w="3089"/>
      </w:tblGrid>
      <w:tr w:rsidR="00146A96" w:rsidRPr="007566AF" w:rsidTr="00146A96">
        <w:tc>
          <w:tcPr>
            <w:tcW w:w="3087" w:type="dxa"/>
          </w:tcPr>
          <w:p w:rsidR="00146A96" w:rsidRPr="00146A96" w:rsidRDefault="00146A96" w:rsidP="00716FF2">
            <w:pPr>
              <w:rPr>
                <w:b/>
                <w:bCs/>
                <w:sz w:val="24"/>
                <w:szCs w:val="22"/>
              </w:rPr>
            </w:pPr>
            <w:proofErr w:type="spellStart"/>
            <w:r w:rsidRPr="00146A96">
              <w:rPr>
                <w:b/>
                <w:sz w:val="24"/>
              </w:rPr>
              <w:t>MedDRA</w:t>
            </w:r>
            <w:proofErr w:type="spellEnd"/>
            <w:r w:rsidRPr="00146A96">
              <w:rPr>
                <w:b/>
                <w:sz w:val="24"/>
              </w:rPr>
              <w:t xml:space="preserve"> standard</w:t>
            </w:r>
          </w:p>
          <w:p w:rsidR="00146A96" w:rsidRPr="00146A96" w:rsidRDefault="00146A96" w:rsidP="00716FF2">
            <w:pPr>
              <w:rPr>
                <w:b/>
                <w:sz w:val="24"/>
              </w:rPr>
            </w:pPr>
            <w:r w:rsidRPr="00146A96">
              <w:rPr>
                <w:b/>
                <w:sz w:val="24"/>
              </w:rPr>
              <w:t>systemorganklasse</w:t>
            </w:r>
          </w:p>
        </w:tc>
        <w:tc>
          <w:tcPr>
            <w:tcW w:w="3089" w:type="dxa"/>
          </w:tcPr>
          <w:p w:rsidR="00146A96" w:rsidRPr="00146A96" w:rsidRDefault="00146A96" w:rsidP="00716FF2">
            <w:pPr>
              <w:rPr>
                <w:b/>
                <w:sz w:val="24"/>
              </w:rPr>
            </w:pPr>
            <w:r w:rsidRPr="00146A96">
              <w:rPr>
                <w:b/>
                <w:sz w:val="24"/>
              </w:rPr>
              <w:t>Bivirkninger</w:t>
            </w:r>
          </w:p>
        </w:tc>
      </w:tr>
      <w:tr w:rsidR="00146A96" w:rsidRPr="007566AF" w:rsidTr="00146A96">
        <w:tc>
          <w:tcPr>
            <w:tcW w:w="3087" w:type="dxa"/>
          </w:tcPr>
          <w:p w:rsidR="00146A96" w:rsidRPr="00146A96" w:rsidRDefault="00146A96" w:rsidP="00716FF2">
            <w:pPr>
              <w:rPr>
                <w:sz w:val="24"/>
              </w:rPr>
            </w:pPr>
            <w:r w:rsidRPr="00146A96">
              <w:rPr>
                <w:sz w:val="24"/>
              </w:rPr>
              <w:t>Immunsystemet</w:t>
            </w:r>
          </w:p>
          <w:p w:rsidR="00146A96" w:rsidRPr="00146A96" w:rsidRDefault="00146A96" w:rsidP="00716FF2">
            <w:pPr>
              <w:rPr>
                <w:b/>
                <w:sz w:val="24"/>
              </w:rPr>
            </w:pPr>
          </w:p>
        </w:tc>
        <w:tc>
          <w:tcPr>
            <w:tcW w:w="3089" w:type="dxa"/>
          </w:tcPr>
          <w:p w:rsidR="00146A96" w:rsidRPr="00146A96" w:rsidRDefault="00146A96" w:rsidP="00716FF2">
            <w:pPr>
              <w:rPr>
                <w:sz w:val="24"/>
              </w:rPr>
            </w:pPr>
            <w:proofErr w:type="spellStart"/>
            <w:r w:rsidRPr="00146A96">
              <w:rPr>
                <w:sz w:val="24"/>
              </w:rPr>
              <w:t>Anafylaktisk</w:t>
            </w:r>
            <w:proofErr w:type="spellEnd"/>
            <w:r w:rsidRPr="00146A96">
              <w:rPr>
                <w:sz w:val="24"/>
              </w:rPr>
              <w:t xml:space="preserve"> </w:t>
            </w:r>
            <w:proofErr w:type="spellStart"/>
            <w:r w:rsidRPr="00146A96">
              <w:rPr>
                <w:sz w:val="24"/>
              </w:rPr>
              <w:t>shock</w:t>
            </w:r>
            <w:proofErr w:type="spellEnd"/>
            <w:r w:rsidRPr="00146A96">
              <w:rPr>
                <w:sz w:val="24"/>
              </w:rPr>
              <w:t xml:space="preserve">, </w:t>
            </w:r>
          </w:p>
          <w:p w:rsidR="00146A96" w:rsidRPr="00146A96" w:rsidRDefault="00146A96" w:rsidP="00716FF2">
            <w:pPr>
              <w:rPr>
                <w:sz w:val="24"/>
              </w:rPr>
            </w:pPr>
            <w:r w:rsidRPr="00146A96">
              <w:rPr>
                <w:sz w:val="24"/>
              </w:rPr>
              <w:t>overfølsomhed</w:t>
            </w:r>
          </w:p>
        </w:tc>
      </w:tr>
      <w:tr w:rsidR="00146A96" w:rsidRPr="007566AF" w:rsidTr="00146A96">
        <w:tc>
          <w:tcPr>
            <w:tcW w:w="3087" w:type="dxa"/>
          </w:tcPr>
          <w:p w:rsidR="00146A96" w:rsidRPr="00146A96" w:rsidRDefault="00146A96" w:rsidP="00716FF2">
            <w:pPr>
              <w:rPr>
                <w:b/>
                <w:sz w:val="24"/>
              </w:rPr>
            </w:pPr>
            <w:r w:rsidRPr="00146A96">
              <w:rPr>
                <w:sz w:val="24"/>
              </w:rPr>
              <w:t>Nervesystemet</w:t>
            </w:r>
          </w:p>
        </w:tc>
        <w:tc>
          <w:tcPr>
            <w:tcW w:w="3089" w:type="dxa"/>
          </w:tcPr>
          <w:p w:rsidR="00146A96" w:rsidRPr="00146A96" w:rsidRDefault="00146A96" w:rsidP="00716FF2">
            <w:pPr>
              <w:rPr>
                <w:b/>
                <w:sz w:val="24"/>
              </w:rPr>
            </w:pPr>
            <w:r w:rsidRPr="00146A96">
              <w:rPr>
                <w:sz w:val="24"/>
              </w:rPr>
              <w:t>Hovedpine, svimmelhed</w:t>
            </w:r>
          </w:p>
        </w:tc>
      </w:tr>
      <w:tr w:rsidR="00146A96" w:rsidRPr="007566AF" w:rsidTr="00146A96">
        <w:tc>
          <w:tcPr>
            <w:tcW w:w="3087" w:type="dxa"/>
          </w:tcPr>
          <w:p w:rsidR="00146A96" w:rsidRPr="00146A96" w:rsidRDefault="00146A96" w:rsidP="00716FF2">
            <w:pPr>
              <w:rPr>
                <w:b/>
                <w:sz w:val="24"/>
              </w:rPr>
            </w:pPr>
            <w:r w:rsidRPr="00146A96">
              <w:rPr>
                <w:sz w:val="24"/>
              </w:rPr>
              <w:t>Hjerte</w:t>
            </w:r>
          </w:p>
        </w:tc>
        <w:tc>
          <w:tcPr>
            <w:tcW w:w="3089" w:type="dxa"/>
          </w:tcPr>
          <w:p w:rsidR="00146A96" w:rsidRPr="00146A96" w:rsidRDefault="00146A96" w:rsidP="00716FF2">
            <w:pPr>
              <w:rPr>
                <w:b/>
                <w:sz w:val="24"/>
              </w:rPr>
            </w:pPr>
            <w:proofErr w:type="spellStart"/>
            <w:r w:rsidRPr="00146A96">
              <w:rPr>
                <w:sz w:val="24"/>
              </w:rPr>
              <w:t>Takykardi</w:t>
            </w:r>
            <w:proofErr w:type="spellEnd"/>
          </w:p>
        </w:tc>
      </w:tr>
      <w:tr w:rsidR="00146A96" w:rsidRPr="007566AF" w:rsidTr="00146A96">
        <w:tc>
          <w:tcPr>
            <w:tcW w:w="3087" w:type="dxa"/>
          </w:tcPr>
          <w:p w:rsidR="00146A96" w:rsidRPr="00146A96" w:rsidRDefault="00146A96" w:rsidP="00716FF2">
            <w:pPr>
              <w:rPr>
                <w:b/>
                <w:sz w:val="24"/>
              </w:rPr>
            </w:pPr>
            <w:proofErr w:type="spellStart"/>
            <w:r w:rsidRPr="00146A96">
              <w:rPr>
                <w:sz w:val="24"/>
              </w:rPr>
              <w:t>Vaskulære</w:t>
            </w:r>
            <w:proofErr w:type="spellEnd"/>
            <w:r w:rsidRPr="00146A96">
              <w:rPr>
                <w:sz w:val="24"/>
              </w:rPr>
              <w:t xml:space="preserve"> sygdomme</w:t>
            </w:r>
          </w:p>
        </w:tc>
        <w:tc>
          <w:tcPr>
            <w:tcW w:w="3089" w:type="dxa"/>
          </w:tcPr>
          <w:p w:rsidR="00146A96" w:rsidRPr="00146A96" w:rsidRDefault="00146A96" w:rsidP="00716FF2">
            <w:pPr>
              <w:rPr>
                <w:b/>
                <w:sz w:val="24"/>
              </w:rPr>
            </w:pPr>
            <w:r w:rsidRPr="00146A96">
              <w:rPr>
                <w:sz w:val="24"/>
              </w:rPr>
              <w:t>Hypotension</w:t>
            </w:r>
          </w:p>
        </w:tc>
      </w:tr>
      <w:tr w:rsidR="00146A96" w:rsidRPr="007566AF" w:rsidTr="00146A96">
        <w:tc>
          <w:tcPr>
            <w:tcW w:w="3087" w:type="dxa"/>
          </w:tcPr>
          <w:p w:rsidR="00146A96" w:rsidRPr="00146A96" w:rsidRDefault="00146A96" w:rsidP="00716FF2">
            <w:pPr>
              <w:rPr>
                <w:b/>
                <w:sz w:val="24"/>
              </w:rPr>
            </w:pPr>
            <w:r w:rsidRPr="00146A96">
              <w:rPr>
                <w:sz w:val="24"/>
              </w:rPr>
              <w:t>Mave-tarm-kanalen</w:t>
            </w:r>
          </w:p>
        </w:tc>
        <w:tc>
          <w:tcPr>
            <w:tcW w:w="3089" w:type="dxa"/>
          </w:tcPr>
          <w:p w:rsidR="00146A96" w:rsidRPr="00146A96" w:rsidRDefault="00146A96" w:rsidP="00716FF2">
            <w:pPr>
              <w:rPr>
                <w:b/>
                <w:sz w:val="24"/>
              </w:rPr>
            </w:pPr>
            <w:r w:rsidRPr="00146A96">
              <w:rPr>
                <w:sz w:val="24"/>
              </w:rPr>
              <w:t>Kvalme</w:t>
            </w:r>
          </w:p>
        </w:tc>
      </w:tr>
      <w:tr w:rsidR="00146A96" w:rsidRPr="007566AF" w:rsidTr="00146A96">
        <w:tc>
          <w:tcPr>
            <w:tcW w:w="3087" w:type="dxa"/>
          </w:tcPr>
          <w:p w:rsidR="00146A96" w:rsidRPr="00146A96" w:rsidRDefault="00146A96" w:rsidP="00716FF2">
            <w:pPr>
              <w:rPr>
                <w:sz w:val="24"/>
                <w:szCs w:val="22"/>
              </w:rPr>
            </w:pPr>
            <w:r w:rsidRPr="00146A96">
              <w:rPr>
                <w:sz w:val="24"/>
              </w:rPr>
              <w:t>Hud og subkutane væv</w:t>
            </w:r>
          </w:p>
        </w:tc>
        <w:tc>
          <w:tcPr>
            <w:tcW w:w="3089" w:type="dxa"/>
          </w:tcPr>
          <w:p w:rsidR="00146A96" w:rsidRPr="00146A96" w:rsidRDefault="00146A96" w:rsidP="00716FF2">
            <w:pPr>
              <w:rPr>
                <w:b/>
                <w:sz w:val="24"/>
              </w:rPr>
            </w:pPr>
            <w:r w:rsidRPr="00146A96">
              <w:rPr>
                <w:sz w:val="24"/>
              </w:rPr>
              <w:t xml:space="preserve">Hudreaktioner, udslæt, </w:t>
            </w:r>
            <w:proofErr w:type="spellStart"/>
            <w:r w:rsidRPr="00146A96">
              <w:rPr>
                <w:sz w:val="24"/>
              </w:rPr>
              <w:t>pruritus</w:t>
            </w:r>
            <w:proofErr w:type="spellEnd"/>
          </w:p>
        </w:tc>
      </w:tr>
      <w:tr w:rsidR="00146A96" w:rsidRPr="007566AF" w:rsidTr="00146A96">
        <w:tc>
          <w:tcPr>
            <w:tcW w:w="3087" w:type="dxa"/>
          </w:tcPr>
          <w:p w:rsidR="00146A96" w:rsidRPr="00146A96" w:rsidRDefault="00146A96" w:rsidP="00716FF2">
            <w:pPr>
              <w:rPr>
                <w:sz w:val="24"/>
                <w:szCs w:val="22"/>
              </w:rPr>
            </w:pPr>
            <w:r w:rsidRPr="00146A96">
              <w:rPr>
                <w:sz w:val="24"/>
              </w:rPr>
              <w:t>Almene symptomer og</w:t>
            </w:r>
          </w:p>
          <w:p w:rsidR="00146A96" w:rsidRPr="00146A96" w:rsidRDefault="00146A96" w:rsidP="00716FF2">
            <w:pPr>
              <w:rPr>
                <w:sz w:val="24"/>
              </w:rPr>
            </w:pPr>
            <w:r w:rsidRPr="00146A96">
              <w:rPr>
                <w:sz w:val="24"/>
              </w:rPr>
              <w:t>reaktioner på administrationsstedet</w:t>
            </w:r>
          </w:p>
          <w:p w:rsidR="00146A96" w:rsidRPr="00146A96" w:rsidRDefault="00146A96" w:rsidP="00716FF2">
            <w:pPr>
              <w:rPr>
                <w:b/>
                <w:sz w:val="24"/>
              </w:rPr>
            </w:pPr>
          </w:p>
        </w:tc>
        <w:tc>
          <w:tcPr>
            <w:tcW w:w="3089" w:type="dxa"/>
          </w:tcPr>
          <w:p w:rsidR="00146A96" w:rsidRPr="00146A96" w:rsidRDefault="00146A96" w:rsidP="00716FF2">
            <w:pPr>
              <w:rPr>
                <w:b/>
                <w:sz w:val="24"/>
              </w:rPr>
            </w:pPr>
            <w:proofErr w:type="spellStart"/>
            <w:r w:rsidRPr="00146A96">
              <w:rPr>
                <w:sz w:val="24"/>
              </w:rPr>
              <w:t>Pyreksi</w:t>
            </w:r>
            <w:proofErr w:type="spellEnd"/>
            <w:r w:rsidRPr="00146A96">
              <w:rPr>
                <w:sz w:val="24"/>
              </w:rPr>
              <w:t>, utilpashed</w:t>
            </w:r>
          </w:p>
        </w:tc>
      </w:tr>
    </w:tbl>
    <w:p w:rsidR="00EC5D6B" w:rsidRPr="004041C5" w:rsidRDefault="00EC5D6B" w:rsidP="00146A96">
      <w:pPr>
        <w:ind w:left="851"/>
        <w:rPr>
          <w:b/>
          <w:sz w:val="24"/>
          <w:szCs w:val="24"/>
        </w:rPr>
      </w:pPr>
    </w:p>
    <w:p w:rsidR="00146A96" w:rsidRPr="00146A96" w:rsidRDefault="00146A96" w:rsidP="00146A96">
      <w:pPr>
        <w:ind w:left="851"/>
        <w:rPr>
          <w:sz w:val="24"/>
        </w:rPr>
      </w:pPr>
      <w:r w:rsidRPr="00146A96">
        <w:rPr>
          <w:sz w:val="24"/>
        </w:rPr>
        <w:t>For sikkerhedsinformation vedrørende</w:t>
      </w:r>
      <w:r w:rsidR="00927181">
        <w:rPr>
          <w:sz w:val="24"/>
        </w:rPr>
        <w:t xml:space="preserve"> </w:t>
      </w:r>
      <w:r w:rsidRPr="00146A96">
        <w:rPr>
          <w:sz w:val="24"/>
        </w:rPr>
        <w:t>smitstoffer, der kan overføres, se pkt. 4.4.</w:t>
      </w:r>
    </w:p>
    <w:p w:rsidR="00146A96" w:rsidRPr="00146A96" w:rsidRDefault="00146A96" w:rsidP="00146A96">
      <w:pPr>
        <w:ind w:left="851"/>
        <w:rPr>
          <w:sz w:val="24"/>
        </w:rPr>
      </w:pPr>
    </w:p>
    <w:p w:rsidR="00146A96" w:rsidRPr="00146A96" w:rsidRDefault="00146A96" w:rsidP="00146A96">
      <w:pPr>
        <w:keepNext/>
        <w:ind w:left="851"/>
        <w:outlineLvl w:val="2"/>
        <w:rPr>
          <w:i/>
          <w:sz w:val="24"/>
          <w:szCs w:val="22"/>
          <w:u w:val="single"/>
        </w:rPr>
      </w:pPr>
      <w:proofErr w:type="spellStart"/>
      <w:r w:rsidRPr="00146A96">
        <w:rPr>
          <w:i/>
          <w:sz w:val="24"/>
          <w:szCs w:val="22"/>
          <w:u w:val="single"/>
        </w:rPr>
        <w:t>Paediatrisk</w:t>
      </w:r>
      <w:proofErr w:type="spellEnd"/>
      <w:r w:rsidRPr="00146A96">
        <w:rPr>
          <w:i/>
          <w:sz w:val="24"/>
          <w:szCs w:val="22"/>
          <w:u w:val="single"/>
        </w:rPr>
        <w:t xml:space="preserve"> population</w:t>
      </w:r>
    </w:p>
    <w:p w:rsidR="00146A96" w:rsidRPr="00146A96" w:rsidRDefault="00146A96" w:rsidP="00146A96">
      <w:pPr>
        <w:ind w:left="851"/>
        <w:rPr>
          <w:bCs/>
          <w:sz w:val="24"/>
          <w:szCs w:val="22"/>
        </w:rPr>
      </w:pPr>
      <w:r w:rsidRPr="00146A96">
        <w:rPr>
          <w:bCs/>
          <w:sz w:val="24"/>
          <w:szCs w:val="22"/>
        </w:rPr>
        <w:t>Bivirkninger hos børn forventes at være de samme som hos voksne.</w:t>
      </w:r>
    </w:p>
    <w:p w:rsidR="00146A96" w:rsidRPr="00146A96" w:rsidRDefault="00146A96" w:rsidP="00146A96">
      <w:pPr>
        <w:ind w:left="851"/>
        <w:rPr>
          <w:sz w:val="24"/>
          <w:szCs w:val="22"/>
        </w:rPr>
      </w:pPr>
    </w:p>
    <w:p w:rsidR="00146A96" w:rsidRPr="00146A96" w:rsidRDefault="00146A96" w:rsidP="00146A96">
      <w:pPr>
        <w:ind w:left="851"/>
        <w:rPr>
          <w:sz w:val="24"/>
          <w:u w:val="single"/>
        </w:rPr>
      </w:pPr>
      <w:r w:rsidRPr="00146A96">
        <w:rPr>
          <w:sz w:val="24"/>
          <w:u w:val="single"/>
        </w:rPr>
        <w:t>Indberetning af formodede bivirkninger</w:t>
      </w:r>
    </w:p>
    <w:p w:rsidR="00146A96" w:rsidRPr="00146A96" w:rsidRDefault="00146A96" w:rsidP="00146A96">
      <w:pPr>
        <w:shd w:val="clear" w:color="auto" w:fill="FFFFFF"/>
        <w:ind w:left="851"/>
        <w:rPr>
          <w:sz w:val="24"/>
        </w:rPr>
      </w:pPr>
      <w:r w:rsidRPr="00146A96">
        <w:rPr>
          <w:sz w:val="24"/>
        </w:rPr>
        <w:t>Når lægemidlet er godkendt, er indberetning af formodede bivirkninger vigtig. Det muliggør løbende overvågning af benefit/</w:t>
      </w:r>
      <w:proofErr w:type="spellStart"/>
      <w:r w:rsidRPr="00146A96">
        <w:rPr>
          <w:sz w:val="24"/>
        </w:rPr>
        <w:t>risk</w:t>
      </w:r>
      <w:proofErr w:type="spellEnd"/>
      <w:r w:rsidRPr="00146A96">
        <w:rPr>
          <w:sz w:val="24"/>
        </w:rPr>
        <w:t xml:space="preserve">-forholdet for lægemidlet. </w:t>
      </w:r>
      <w:r w:rsidR="002C33E3">
        <w:rPr>
          <w:sz w:val="24"/>
        </w:rPr>
        <w:t>S</w:t>
      </w:r>
      <w:r w:rsidRPr="00146A96">
        <w:rPr>
          <w:sz w:val="24"/>
        </w:rPr>
        <w:t>undhedsperson</w:t>
      </w:r>
      <w:r w:rsidR="002C33E3">
        <w:rPr>
          <w:sz w:val="24"/>
        </w:rPr>
        <w:t>er</w:t>
      </w:r>
      <w:r w:rsidRPr="00146A96">
        <w:rPr>
          <w:sz w:val="24"/>
        </w:rPr>
        <w:t xml:space="preserve"> anmodes om at indberette alle formodede bivirkninger via:</w:t>
      </w:r>
    </w:p>
    <w:p w:rsidR="00146A96" w:rsidRPr="00146A96" w:rsidRDefault="00146A96" w:rsidP="00146A96">
      <w:pPr>
        <w:shd w:val="clear" w:color="auto" w:fill="FFFFFF"/>
        <w:ind w:left="851"/>
        <w:rPr>
          <w:sz w:val="24"/>
        </w:rPr>
      </w:pPr>
    </w:p>
    <w:p w:rsidR="00146A96" w:rsidRPr="00146A96" w:rsidRDefault="00146A96" w:rsidP="00146A96">
      <w:pPr>
        <w:keepNext/>
        <w:keepLines/>
        <w:ind w:left="851"/>
        <w:rPr>
          <w:rFonts w:eastAsia="Calibri"/>
          <w:color w:val="000000"/>
          <w:sz w:val="24"/>
          <w:lang w:eastAsia="zh-CN"/>
        </w:rPr>
      </w:pPr>
      <w:r w:rsidRPr="00146A96">
        <w:rPr>
          <w:sz w:val="24"/>
          <w:szCs w:val="22"/>
        </w:rPr>
        <w:lastRenderedPageBreak/>
        <w:t>Lægemiddelstyrelsen</w:t>
      </w:r>
    </w:p>
    <w:p w:rsidR="00146A96" w:rsidRPr="00146A96" w:rsidRDefault="00146A96" w:rsidP="00146A96">
      <w:pPr>
        <w:keepNext/>
        <w:keepLines/>
        <w:ind w:left="851"/>
        <w:rPr>
          <w:rFonts w:eastAsia="Calibri"/>
          <w:sz w:val="24"/>
          <w:lang w:eastAsia="zh-CN"/>
        </w:rPr>
      </w:pPr>
      <w:r w:rsidRPr="00146A96">
        <w:rPr>
          <w:rFonts w:eastAsia="Calibri"/>
          <w:sz w:val="24"/>
          <w:lang w:eastAsia="zh-CN"/>
        </w:rPr>
        <w:t>Axel Heides Gade 1</w:t>
      </w:r>
    </w:p>
    <w:p w:rsidR="00146A96" w:rsidRPr="00146A96" w:rsidRDefault="00146A96" w:rsidP="00146A96">
      <w:pPr>
        <w:keepNext/>
        <w:keepLines/>
        <w:ind w:left="851"/>
        <w:rPr>
          <w:rFonts w:eastAsia="Calibri"/>
          <w:sz w:val="24"/>
          <w:lang w:eastAsia="zh-CN"/>
        </w:rPr>
      </w:pPr>
      <w:r w:rsidRPr="00146A96">
        <w:rPr>
          <w:rFonts w:eastAsia="Calibri"/>
          <w:sz w:val="24"/>
          <w:lang w:eastAsia="zh-CN"/>
        </w:rPr>
        <w:t>DK-2300 København S</w:t>
      </w:r>
    </w:p>
    <w:p w:rsidR="00EC5D6B" w:rsidRPr="00146A96" w:rsidRDefault="00146A96" w:rsidP="00146A96">
      <w:pPr>
        <w:keepNext/>
        <w:keepLines/>
        <w:tabs>
          <w:tab w:val="left" w:pos="-720"/>
        </w:tabs>
        <w:suppressAutoHyphens/>
        <w:ind w:left="851"/>
        <w:rPr>
          <w:rFonts w:eastAsia="Calibri"/>
          <w:sz w:val="24"/>
          <w:lang w:eastAsia="zh-CN"/>
        </w:rPr>
      </w:pPr>
      <w:r w:rsidRPr="00146A96">
        <w:rPr>
          <w:rFonts w:eastAsia="Calibri"/>
          <w:sz w:val="24"/>
          <w:lang w:eastAsia="zh-CN"/>
        </w:rPr>
        <w:t xml:space="preserve">Websted: </w:t>
      </w:r>
      <w:r w:rsidRPr="00146A96">
        <w:rPr>
          <w:rFonts w:eastAsia="Calibri"/>
          <w:color w:val="0000FF"/>
          <w:sz w:val="24"/>
          <w:u w:val="single"/>
          <w:lang w:eastAsia="zh-CN"/>
        </w:rPr>
        <w:t>www.meldenbivirkning.dk</w:t>
      </w:r>
    </w:p>
    <w:p w:rsidR="00EC5D6B" w:rsidRPr="00595704" w:rsidRDefault="00EC5D6B" w:rsidP="00EC5D6B">
      <w:pPr>
        <w:ind w:left="851" w:hanging="851"/>
        <w:rPr>
          <w:szCs w:val="24"/>
        </w:rPr>
      </w:pPr>
    </w:p>
    <w:p w:rsidR="00EC5D6B" w:rsidRPr="004041C5" w:rsidRDefault="00EC5D6B" w:rsidP="00146A96">
      <w:pPr>
        <w:keepNext/>
        <w:ind w:left="851" w:hanging="851"/>
        <w:rPr>
          <w:b/>
          <w:sz w:val="24"/>
          <w:szCs w:val="24"/>
        </w:rPr>
      </w:pPr>
      <w:r w:rsidRPr="004041C5">
        <w:rPr>
          <w:b/>
          <w:sz w:val="24"/>
          <w:szCs w:val="24"/>
        </w:rPr>
        <w:t>4.9</w:t>
      </w:r>
      <w:r w:rsidRPr="004041C5">
        <w:rPr>
          <w:b/>
          <w:sz w:val="24"/>
          <w:szCs w:val="24"/>
        </w:rPr>
        <w:tab/>
        <w:t>Overdosering</w:t>
      </w:r>
    </w:p>
    <w:p w:rsidR="00EC5D6B" w:rsidRPr="00146A96" w:rsidRDefault="00146A96" w:rsidP="00146A96">
      <w:pPr>
        <w:ind w:left="851"/>
      </w:pPr>
      <w:r w:rsidRPr="00BA4B35">
        <w:rPr>
          <w:szCs w:val="22"/>
        </w:rPr>
        <w:t xml:space="preserve">Overdosering af </w:t>
      </w:r>
      <w:proofErr w:type="spellStart"/>
      <w:r w:rsidRPr="00BA4B35">
        <w:rPr>
          <w:szCs w:val="22"/>
        </w:rPr>
        <w:t>immunoglobuliner</w:t>
      </w:r>
      <w:proofErr w:type="spellEnd"/>
      <w:r w:rsidRPr="00BA4B35">
        <w:rPr>
          <w:szCs w:val="22"/>
        </w:rPr>
        <w:t xml:space="preserve"> kan føre til væskeophobning og </w:t>
      </w:r>
      <w:proofErr w:type="spellStart"/>
      <w:r w:rsidRPr="00BA4B35">
        <w:rPr>
          <w:szCs w:val="22"/>
        </w:rPr>
        <w:t>hyperviskositet</w:t>
      </w:r>
      <w:proofErr w:type="spellEnd"/>
      <w:r w:rsidRPr="00BA4B35">
        <w:rPr>
          <w:szCs w:val="22"/>
        </w:rPr>
        <w:t>, især hos risikopatienter, herunder ældre patienter eller patienter med nedsat hjerte- eller nyrefunktion (se pkt. 4.4).</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4.10</w:t>
      </w:r>
      <w:r w:rsidRPr="004041C5">
        <w:rPr>
          <w:b/>
          <w:sz w:val="24"/>
          <w:szCs w:val="24"/>
        </w:rPr>
        <w:tab/>
        <w:t>Udlevering</w:t>
      </w:r>
    </w:p>
    <w:p w:rsidR="00EC5D6B" w:rsidRPr="004041C5" w:rsidRDefault="00EC5D6B" w:rsidP="00EC5D6B">
      <w:pPr>
        <w:ind w:left="851" w:hanging="851"/>
        <w:rPr>
          <w:sz w:val="24"/>
          <w:szCs w:val="24"/>
        </w:rPr>
      </w:pPr>
      <w:r w:rsidRPr="004041C5">
        <w:rPr>
          <w:sz w:val="24"/>
          <w:szCs w:val="24"/>
        </w:rPr>
        <w:tab/>
      </w:r>
      <w:r>
        <w:rPr>
          <w:sz w:val="24"/>
          <w:szCs w:val="24"/>
        </w:rPr>
        <w:t>B</w:t>
      </w:r>
    </w:p>
    <w:p w:rsidR="00EC5D6B" w:rsidRPr="004041C5" w:rsidRDefault="00EC5D6B" w:rsidP="00EC5D6B">
      <w:pPr>
        <w:ind w:left="851" w:hanging="851"/>
        <w:rPr>
          <w:sz w:val="24"/>
          <w:szCs w:val="24"/>
        </w:rPr>
      </w:pP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5.</w:t>
      </w:r>
      <w:r w:rsidRPr="004041C5">
        <w:rPr>
          <w:b/>
          <w:sz w:val="24"/>
          <w:szCs w:val="24"/>
        </w:rPr>
        <w:tab/>
        <w:t>FARMAKOLOGISKE EGENSKABER</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5.1</w:t>
      </w:r>
      <w:r w:rsidRPr="004041C5">
        <w:rPr>
          <w:b/>
          <w:sz w:val="24"/>
          <w:szCs w:val="24"/>
        </w:rPr>
        <w:tab/>
      </w:r>
      <w:proofErr w:type="spellStart"/>
      <w:r w:rsidRPr="004041C5">
        <w:rPr>
          <w:b/>
          <w:sz w:val="24"/>
          <w:szCs w:val="24"/>
        </w:rPr>
        <w:t>Farmakodynamiske</w:t>
      </w:r>
      <w:proofErr w:type="spellEnd"/>
      <w:r w:rsidRPr="004041C5">
        <w:rPr>
          <w:b/>
          <w:sz w:val="24"/>
          <w:szCs w:val="24"/>
        </w:rPr>
        <w:t xml:space="preserve"> egenskaber</w:t>
      </w:r>
    </w:p>
    <w:p w:rsidR="002C33E3" w:rsidRPr="00146A96" w:rsidRDefault="002C33E3" w:rsidP="002C33E3">
      <w:pPr>
        <w:ind w:left="851"/>
        <w:rPr>
          <w:sz w:val="24"/>
          <w:szCs w:val="22"/>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146A96">
        <w:rPr>
          <w:sz w:val="24"/>
          <w:szCs w:val="22"/>
        </w:rPr>
        <w:t xml:space="preserve">Immunsera og </w:t>
      </w:r>
      <w:proofErr w:type="spellStart"/>
      <w:r w:rsidRPr="00146A96">
        <w:rPr>
          <w:sz w:val="24"/>
          <w:szCs w:val="22"/>
        </w:rPr>
        <w:t>immunoglobuliner</w:t>
      </w:r>
      <w:proofErr w:type="spellEnd"/>
      <w:r w:rsidRPr="00146A96">
        <w:rPr>
          <w:sz w:val="24"/>
          <w:szCs w:val="22"/>
        </w:rPr>
        <w:t xml:space="preserve"> / specifikke </w:t>
      </w:r>
      <w:proofErr w:type="spellStart"/>
      <w:r w:rsidRPr="00146A96">
        <w:rPr>
          <w:sz w:val="24"/>
          <w:szCs w:val="22"/>
        </w:rPr>
        <w:t>immunoglobuliner</w:t>
      </w:r>
      <w:proofErr w:type="spellEnd"/>
      <w:r w:rsidRPr="00146A96">
        <w:rPr>
          <w:sz w:val="24"/>
          <w:szCs w:val="22"/>
        </w:rPr>
        <w:t xml:space="preserve"> / hepatitis B-</w:t>
      </w:r>
      <w:proofErr w:type="spellStart"/>
      <w:r w:rsidRPr="00146A96">
        <w:rPr>
          <w:sz w:val="24"/>
          <w:szCs w:val="22"/>
        </w:rPr>
        <w:t>immunoglobulin</w:t>
      </w:r>
      <w:proofErr w:type="spellEnd"/>
      <w:r w:rsidRPr="00146A96">
        <w:rPr>
          <w:sz w:val="24"/>
          <w:szCs w:val="22"/>
        </w:rPr>
        <w:t>, ATC-kode: J06BB04.</w:t>
      </w:r>
    </w:p>
    <w:p w:rsidR="002C33E3" w:rsidRDefault="002C33E3" w:rsidP="00EC5D6B">
      <w:pPr>
        <w:ind w:left="851" w:hanging="851"/>
        <w:rPr>
          <w:sz w:val="24"/>
          <w:szCs w:val="24"/>
        </w:rPr>
      </w:pPr>
    </w:p>
    <w:p w:rsidR="00EC5D6B" w:rsidRPr="004041C5" w:rsidRDefault="00EC5D6B" w:rsidP="002C33E3">
      <w:pPr>
        <w:ind w:left="851"/>
        <w:rPr>
          <w:sz w:val="24"/>
          <w:szCs w:val="24"/>
        </w:rPr>
      </w:pPr>
      <w:r w:rsidRPr="004041C5">
        <w:rPr>
          <w:sz w:val="24"/>
          <w:szCs w:val="24"/>
        </w:rPr>
        <w:t>Humant hepatitis B-</w:t>
      </w:r>
      <w:proofErr w:type="spellStart"/>
      <w:r w:rsidRPr="004041C5">
        <w:rPr>
          <w:sz w:val="24"/>
          <w:szCs w:val="24"/>
        </w:rPr>
        <w:t>immunoglobulin</w:t>
      </w:r>
      <w:proofErr w:type="spellEnd"/>
      <w:r w:rsidRPr="004041C5">
        <w:rPr>
          <w:sz w:val="24"/>
          <w:szCs w:val="24"/>
        </w:rPr>
        <w:t xml:space="preserve"> indeholder overvejende </w:t>
      </w:r>
      <w:proofErr w:type="spellStart"/>
      <w:r w:rsidRPr="004041C5">
        <w:rPr>
          <w:sz w:val="24"/>
          <w:szCs w:val="24"/>
        </w:rPr>
        <w:t>immunoglobulin</w:t>
      </w:r>
      <w:proofErr w:type="spellEnd"/>
      <w:r w:rsidRPr="004041C5">
        <w:rPr>
          <w:sz w:val="24"/>
          <w:szCs w:val="24"/>
        </w:rPr>
        <w:t xml:space="preserve"> G (</w:t>
      </w:r>
      <w:proofErr w:type="spellStart"/>
      <w:r w:rsidRPr="004041C5">
        <w:rPr>
          <w:sz w:val="24"/>
          <w:szCs w:val="24"/>
        </w:rPr>
        <w:t>IgG</w:t>
      </w:r>
      <w:proofErr w:type="spellEnd"/>
      <w:r w:rsidRPr="004041C5">
        <w:rPr>
          <w:sz w:val="24"/>
          <w:szCs w:val="24"/>
        </w:rPr>
        <w:t>) med et særligt højt indhold af antistoffer mod hepatitis B-overfladeantigen (</w:t>
      </w:r>
      <w:proofErr w:type="spellStart"/>
      <w:r w:rsidRPr="004041C5">
        <w:rPr>
          <w:sz w:val="24"/>
          <w:szCs w:val="24"/>
        </w:rPr>
        <w:t>HBs</w:t>
      </w:r>
      <w:proofErr w:type="spellEnd"/>
      <w:r w:rsidRPr="004041C5">
        <w:rPr>
          <w:sz w:val="24"/>
          <w:szCs w:val="24"/>
        </w:rPr>
        <w:t>).</w:t>
      </w:r>
    </w:p>
    <w:p w:rsidR="00EC5D6B" w:rsidRPr="004041C5" w:rsidRDefault="00EC5D6B" w:rsidP="00EC5D6B">
      <w:pPr>
        <w:ind w:left="851" w:hanging="851"/>
        <w:rPr>
          <w:sz w:val="24"/>
          <w:szCs w:val="24"/>
        </w:rPr>
      </w:pPr>
    </w:p>
    <w:p w:rsidR="00EC5D6B" w:rsidRPr="004041C5" w:rsidRDefault="00EC5D6B" w:rsidP="00EC5D6B">
      <w:pPr>
        <w:keepNext/>
        <w:ind w:left="851" w:hanging="851"/>
        <w:rPr>
          <w:b/>
          <w:sz w:val="24"/>
          <w:szCs w:val="24"/>
        </w:rPr>
      </w:pPr>
      <w:r w:rsidRPr="004041C5">
        <w:rPr>
          <w:b/>
          <w:sz w:val="24"/>
          <w:szCs w:val="24"/>
        </w:rPr>
        <w:t>5.2</w:t>
      </w:r>
      <w:r w:rsidRPr="004041C5">
        <w:rPr>
          <w:b/>
          <w:sz w:val="24"/>
          <w:szCs w:val="24"/>
        </w:rPr>
        <w:tab/>
      </w:r>
      <w:proofErr w:type="spellStart"/>
      <w:r w:rsidRPr="004041C5">
        <w:rPr>
          <w:b/>
          <w:sz w:val="24"/>
          <w:szCs w:val="24"/>
        </w:rPr>
        <w:t>Farmakokinetiske</w:t>
      </w:r>
      <w:proofErr w:type="spellEnd"/>
      <w:r w:rsidRPr="004041C5">
        <w:rPr>
          <w:b/>
          <w:sz w:val="24"/>
          <w:szCs w:val="24"/>
        </w:rPr>
        <w:t xml:space="preserve"> egenskaber</w:t>
      </w:r>
    </w:p>
    <w:p w:rsidR="00146A96" w:rsidRPr="007566AF" w:rsidRDefault="00146A96" w:rsidP="00146A96">
      <w:pPr>
        <w:ind w:left="851"/>
      </w:pPr>
      <w:r w:rsidRPr="007566AF">
        <w:t>Humane hepatitis B-</w:t>
      </w:r>
      <w:proofErr w:type="spellStart"/>
      <w:r w:rsidRPr="007566AF">
        <w:t>immunoglobuliners</w:t>
      </w:r>
      <w:proofErr w:type="spellEnd"/>
      <w:r w:rsidRPr="007566AF">
        <w:t xml:space="preserve"> biotilgængelighed ved intravenøs anvendelse er fuldstændig og øjeblikkelig. </w:t>
      </w:r>
      <w:proofErr w:type="spellStart"/>
      <w:r w:rsidRPr="007566AF">
        <w:t>IgG</w:t>
      </w:r>
      <w:proofErr w:type="spellEnd"/>
      <w:r w:rsidRPr="007566AF">
        <w:t xml:space="preserve"> distribueres hurtigt mellem plasma og </w:t>
      </w:r>
      <w:proofErr w:type="spellStart"/>
      <w:r w:rsidRPr="007566AF">
        <w:t>ekstravaskulær</w:t>
      </w:r>
      <w:proofErr w:type="spellEnd"/>
      <w:r w:rsidRPr="007566AF">
        <w:t xml:space="preserve"> væske.</w:t>
      </w:r>
    </w:p>
    <w:p w:rsidR="00146A96" w:rsidRPr="007566AF" w:rsidRDefault="00146A96" w:rsidP="00146A96">
      <w:pPr>
        <w:ind w:left="851"/>
      </w:pPr>
    </w:p>
    <w:p w:rsidR="00146A96" w:rsidRPr="007566AF" w:rsidRDefault="00146A96" w:rsidP="00146A96">
      <w:pPr>
        <w:ind w:left="851"/>
      </w:pPr>
      <w:proofErr w:type="spellStart"/>
      <w:r w:rsidRPr="007566AF">
        <w:t>Hepatect</w:t>
      </w:r>
      <w:proofErr w:type="spellEnd"/>
      <w:r w:rsidRPr="007566AF">
        <w:t xml:space="preserve"> CP har en halveringstid på omkring 22 dage. Denne halveringstid kan variere fra patient til patient. </w:t>
      </w:r>
    </w:p>
    <w:p w:rsidR="00146A96" w:rsidRPr="007566AF" w:rsidRDefault="00146A96" w:rsidP="00146A96">
      <w:pPr>
        <w:ind w:left="851"/>
      </w:pPr>
    </w:p>
    <w:p w:rsidR="00146A96" w:rsidRPr="007566AF" w:rsidRDefault="00146A96" w:rsidP="00146A96">
      <w:pPr>
        <w:ind w:left="851"/>
      </w:pPr>
      <w:proofErr w:type="spellStart"/>
      <w:r w:rsidRPr="007566AF">
        <w:t>IgG</w:t>
      </w:r>
      <w:proofErr w:type="spellEnd"/>
      <w:r w:rsidRPr="007566AF">
        <w:t xml:space="preserve"> og </w:t>
      </w:r>
      <w:proofErr w:type="spellStart"/>
      <w:r w:rsidRPr="007566AF">
        <w:t>IgG</w:t>
      </w:r>
      <w:proofErr w:type="spellEnd"/>
      <w:r w:rsidRPr="007566AF">
        <w:t xml:space="preserve">-komplekser nedbrydes i cellerne i det </w:t>
      </w:r>
      <w:proofErr w:type="spellStart"/>
      <w:r w:rsidRPr="007566AF">
        <w:t>retikuloendoteliale</w:t>
      </w:r>
      <w:proofErr w:type="spellEnd"/>
      <w:r w:rsidRPr="007566AF">
        <w:t xml:space="preserve"> system.</w:t>
      </w:r>
    </w:p>
    <w:p w:rsidR="00EC5D6B" w:rsidRPr="004041C5" w:rsidRDefault="00EC5D6B" w:rsidP="00146A96">
      <w:pPr>
        <w:ind w:left="851" w:hanging="851"/>
        <w:rPr>
          <w:sz w:val="24"/>
          <w:szCs w:val="24"/>
        </w:rPr>
      </w:pPr>
    </w:p>
    <w:p w:rsidR="00EC5D6B" w:rsidRPr="004041C5" w:rsidRDefault="00EC5D6B" w:rsidP="00EC5D6B">
      <w:pPr>
        <w:ind w:left="851" w:hanging="851"/>
        <w:rPr>
          <w:b/>
          <w:sz w:val="24"/>
          <w:szCs w:val="24"/>
        </w:rPr>
      </w:pPr>
      <w:r w:rsidRPr="004041C5">
        <w:rPr>
          <w:b/>
          <w:sz w:val="24"/>
          <w:szCs w:val="24"/>
        </w:rPr>
        <w:t>5.3</w:t>
      </w:r>
      <w:r w:rsidRPr="004041C5">
        <w:rPr>
          <w:b/>
          <w:sz w:val="24"/>
          <w:szCs w:val="24"/>
        </w:rPr>
        <w:tab/>
      </w:r>
      <w:r w:rsidR="002C33E3">
        <w:rPr>
          <w:b/>
          <w:sz w:val="24"/>
          <w:szCs w:val="24"/>
        </w:rPr>
        <w:t>Non-</w:t>
      </w:r>
      <w:r w:rsidRPr="004041C5">
        <w:rPr>
          <w:b/>
          <w:sz w:val="24"/>
          <w:szCs w:val="24"/>
        </w:rPr>
        <w:t>kliniske sikkerhedsdata</w:t>
      </w:r>
    </w:p>
    <w:p w:rsidR="00EC5D6B" w:rsidRPr="00DF584A" w:rsidRDefault="00EC5D6B" w:rsidP="00EC5D6B">
      <w:pPr>
        <w:ind w:left="851"/>
        <w:rPr>
          <w:sz w:val="24"/>
          <w:szCs w:val="24"/>
          <w:lang w:eastAsia="de-DE"/>
        </w:rPr>
      </w:pPr>
      <w:proofErr w:type="spellStart"/>
      <w:r w:rsidRPr="00DF584A">
        <w:rPr>
          <w:sz w:val="24"/>
          <w:szCs w:val="24"/>
        </w:rPr>
        <w:t>Immunoglobuliner</w:t>
      </w:r>
      <w:proofErr w:type="spellEnd"/>
      <w:r w:rsidRPr="00DF584A">
        <w:rPr>
          <w:sz w:val="24"/>
          <w:szCs w:val="24"/>
        </w:rPr>
        <w:t xml:space="preserve"> er normale bestanddele af menneskekroppen. Tests af toksicitet efter gentagne doser og </w:t>
      </w:r>
      <w:proofErr w:type="spellStart"/>
      <w:r w:rsidRPr="00DF584A">
        <w:rPr>
          <w:sz w:val="24"/>
          <w:szCs w:val="24"/>
        </w:rPr>
        <w:t>embryoføtale</w:t>
      </w:r>
      <w:proofErr w:type="spellEnd"/>
      <w:r w:rsidRPr="00DF584A">
        <w:rPr>
          <w:sz w:val="24"/>
          <w:szCs w:val="24"/>
        </w:rPr>
        <w:t xml:space="preserve"> toksicitetsstudier er upraktiske på grund af induktion af og interferens med antistoffer. Virkningen af præparatet på immunsystemet hos nyfødte er ikke undersøgt.</w:t>
      </w:r>
    </w:p>
    <w:p w:rsidR="00EC5D6B" w:rsidRPr="00DF584A" w:rsidRDefault="00EC5D6B" w:rsidP="00EC5D6B">
      <w:pPr>
        <w:ind w:left="851"/>
        <w:rPr>
          <w:sz w:val="24"/>
          <w:szCs w:val="24"/>
        </w:rPr>
      </w:pPr>
      <w:r w:rsidRPr="00DF584A">
        <w:rPr>
          <w:sz w:val="24"/>
          <w:szCs w:val="24"/>
        </w:rPr>
        <w:t xml:space="preserve">Da klinisk erfaring ikke giver nogen antydning af en </w:t>
      </w:r>
      <w:proofErr w:type="spellStart"/>
      <w:r w:rsidRPr="00DF584A">
        <w:rPr>
          <w:sz w:val="24"/>
          <w:szCs w:val="24"/>
        </w:rPr>
        <w:t>tumorigen</w:t>
      </w:r>
      <w:proofErr w:type="spellEnd"/>
      <w:r w:rsidRPr="00DF584A">
        <w:rPr>
          <w:sz w:val="24"/>
          <w:szCs w:val="24"/>
        </w:rPr>
        <w:t xml:space="preserve"> og mutagen virkning af </w:t>
      </w:r>
      <w:proofErr w:type="spellStart"/>
      <w:r w:rsidRPr="00DF584A">
        <w:rPr>
          <w:sz w:val="24"/>
          <w:szCs w:val="24"/>
        </w:rPr>
        <w:t>immunoglobulinerne</w:t>
      </w:r>
      <w:proofErr w:type="spellEnd"/>
      <w:r w:rsidRPr="00DF584A">
        <w:rPr>
          <w:sz w:val="24"/>
          <w:szCs w:val="24"/>
        </w:rPr>
        <w:t xml:space="preserve">, anses eksperimentelle studier, især hos heterologe arter, ikke for nødvendigt. </w:t>
      </w:r>
    </w:p>
    <w:p w:rsidR="00EC5D6B" w:rsidRPr="004041C5" w:rsidRDefault="00EC5D6B" w:rsidP="00EC5D6B">
      <w:pPr>
        <w:ind w:left="851" w:hanging="851"/>
        <w:rPr>
          <w:sz w:val="24"/>
          <w:szCs w:val="24"/>
        </w:rPr>
      </w:pP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6.</w:t>
      </w:r>
      <w:r w:rsidRPr="004041C5">
        <w:rPr>
          <w:b/>
          <w:sz w:val="24"/>
          <w:szCs w:val="24"/>
        </w:rPr>
        <w:tab/>
        <w:t>FARMACEUTISKE OPLYSNINGER</w:t>
      </w:r>
    </w:p>
    <w:p w:rsidR="00EC5D6B" w:rsidRPr="004041C5" w:rsidRDefault="00EC5D6B" w:rsidP="00EC5D6B">
      <w:pPr>
        <w:ind w:left="851" w:hanging="851"/>
        <w:rPr>
          <w:b/>
          <w:sz w:val="24"/>
          <w:szCs w:val="24"/>
        </w:rPr>
      </w:pPr>
    </w:p>
    <w:p w:rsidR="00EC5D6B" w:rsidRPr="004041C5" w:rsidRDefault="00EC5D6B" w:rsidP="00EC5D6B">
      <w:pPr>
        <w:ind w:left="851" w:hanging="851"/>
        <w:rPr>
          <w:b/>
          <w:sz w:val="24"/>
          <w:szCs w:val="24"/>
        </w:rPr>
      </w:pPr>
      <w:r w:rsidRPr="004041C5">
        <w:rPr>
          <w:b/>
          <w:sz w:val="24"/>
          <w:szCs w:val="24"/>
        </w:rPr>
        <w:t>6.1</w:t>
      </w:r>
      <w:r w:rsidRPr="004041C5">
        <w:rPr>
          <w:b/>
          <w:sz w:val="24"/>
          <w:szCs w:val="24"/>
        </w:rPr>
        <w:tab/>
        <w:t>Hjælpestoffer</w:t>
      </w:r>
    </w:p>
    <w:p w:rsidR="00EC5D6B" w:rsidRPr="00DF584A" w:rsidRDefault="00EC5D6B" w:rsidP="00EC5D6B">
      <w:pPr>
        <w:ind w:left="851"/>
        <w:rPr>
          <w:sz w:val="24"/>
          <w:szCs w:val="24"/>
          <w:lang w:eastAsia="de-DE"/>
        </w:rPr>
      </w:pPr>
      <w:proofErr w:type="spellStart"/>
      <w:r w:rsidRPr="00DF584A">
        <w:rPr>
          <w:sz w:val="24"/>
          <w:szCs w:val="24"/>
        </w:rPr>
        <w:t>Glycin</w:t>
      </w:r>
      <w:proofErr w:type="spellEnd"/>
      <w:r w:rsidRPr="00DF584A">
        <w:rPr>
          <w:sz w:val="24"/>
          <w:szCs w:val="24"/>
        </w:rPr>
        <w:t xml:space="preserve"> </w:t>
      </w:r>
    </w:p>
    <w:p w:rsidR="00EC5D6B" w:rsidRPr="00DF584A" w:rsidRDefault="00EC5D6B" w:rsidP="00EC5D6B">
      <w:pPr>
        <w:ind w:left="851"/>
        <w:rPr>
          <w:sz w:val="24"/>
          <w:szCs w:val="24"/>
        </w:rPr>
      </w:pPr>
      <w:r w:rsidRPr="00DF584A">
        <w:rPr>
          <w:sz w:val="24"/>
          <w:szCs w:val="24"/>
        </w:rPr>
        <w:t>Vand til injektionsvæsker.</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6.2</w:t>
      </w:r>
      <w:r w:rsidRPr="004041C5">
        <w:rPr>
          <w:b/>
          <w:sz w:val="24"/>
          <w:szCs w:val="24"/>
        </w:rPr>
        <w:tab/>
        <w:t>Uforligeligheder</w:t>
      </w:r>
    </w:p>
    <w:p w:rsidR="00146A96" w:rsidRPr="00146A96" w:rsidRDefault="00146A96" w:rsidP="00146A96">
      <w:pPr>
        <w:ind w:left="851"/>
        <w:rPr>
          <w:sz w:val="24"/>
        </w:rPr>
      </w:pPr>
      <w:r w:rsidRPr="00146A96">
        <w:rPr>
          <w:sz w:val="24"/>
        </w:rPr>
        <w:t xml:space="preserve">Dette lægemiddel må ikke blandes med andre lægemidler eller med andre </w:t>
      </w:r>
      <w:proofErr w:type="spellStart"/>
      <w:r w:rsidRPr="00146A96">
        <w:rPr>
          <w:sz w:val="24"/>
        </w:rPr>
        <w:t>IVIg</w:t>
      </w:r>
      <w:proofErr w:type="spellEnd"/>
      <w:r w:rsidRPr="00146A96">
        <w:rPr>
          <w:sz w:val="24"/>
        </w:rPr>
        <w:t>-præparater.</w:t>
      </w:r>
    </w:p>
    <w:p w:rsidR="00146A96" w:rsidRPr="00146A96" w:rsidRDefault="00146A96" w:rsidP="00146A96">
      <w:pPr>
        <w:ind w:left="851"/>
        <w:rPr>
          <w:sz w:val="24"/>
        </w:rPr>
      </w:pPr>
    </w:p>
    <w:p w:rsidR="00EC5D6B" w:rsidRPr="00146A96" w:rsidRDefault="00146A96" w:rsidP="00146A96">
      <w:pPr>
        <w:ind w:left="851"/>
        <w:rPr>
          <w:sz w:val="24"/>
        </w:rPr>
      </w:pPr>
      <w:r w:rsidRPr="00146A96">
        <w:rPr>
          <w:sz w:val="24"/>
        </w:rPr>
        <w:lastRenderedPageBreak/>
        <w:t xml:space="preserve">Ingen andre præparater må tilføjes til </w:t>
      </w:r>
      <w:proofErr w:type="spellStart"/>
      <w:r w:rsidRPr="00146A96">
        <w:rPr>
          <w:sz w:val="24"/>
        </w:rPr>
        <w:t>Hepatect</w:t>
      </w:r>
      <w:proofErr w:type="spellEnd"/>
      <w:r w:rsidRPr="00146A96">
        <w:rPr>
          <w:sz w:val="24"/>
        </w:rPr>
        <w:t xml:space="preserve"> CP-opløsningen, da ændringer i elektrolytkoncentrationen eller i pH kan føre til udfældning eller denaturering af proteinerne.</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6.3</w:t>
      </w:r>
      <w:r w:rsidRPr="004041C5">
        <w:rPr>
          <w:b/>
          <w:sz w:val="24"/>
          <w:szCs w:val="24"/>
        </w:rPr>
        <w:tab/>
        <w:t>Opbevaringstid</w:t>
      </w:r>
    </w:p>
    <w:p w:rsidR="00EC5D6B" w:rsidRPr="004041C5" w:rsidRDefault="00EC5D6B" w:rsidP="00EC5D6B">
      <w:pPr>
        <w:ind w:left="851" w:hanging="851"/>
        <w:rPr>
          <w:sz w:val="24"/>
          <w:szCs w:val="24"/>
        </w:rPr>
      </w:pPr>
      <w:r w:rsidRPr="004041C5">
        <w:rPr>
          <w:sz w:val="24"/>
          <w:szCs w:val="24"/>
        </w:rPr>
        <w:tab/>
        <w:t>2 år.</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6.4</w:t>
      </w:r>
      <w:r w:rsidRPr="004041C5">
        <w:rPr>
          <w:b/>
          <w:sz w:val="24"/>
          <w:szCs w:val="24"/>
        </w:rPr>
        <w:tab/>
        <w:t>Særlige opbevaringsforhold</w:t>
      </w:r>
    </w:p>
    <w:p w:rsidR="00EC5D6B" w:rsidRPr="00DF584A" w:rsidRDefault="00EC5D6B" w:rsidP="00EC5D6B">
      <w:pPr>
        <w:ind w:left="851"/>
        <w:rPr>
          <w:sz w:val="24"/>
          <w:szCs w:val="24"/>
          <w:lang w:eastAsia="de-DE"/>
        </w:rPr>
      </w:pPr>
      <w:r w:rsidRPr="00DF584A">
        <w:rPr>
          <w:sz w:val="24"/>
          <w:szCs w:val="24"/>
        </w:rPr>
        <w:t>Opbevares i køleskab (2 °C - 8 °C). Må ikke nedfryses.</w:t>
      </w:r>
    </w:p>
    <w:p w:rsidR="00EC5D6B" w:rsidRPr="00DF584A" w:rsidRDefault="00EC5D6B" w:rsidP="00EC5D6B">
      <w:pPr>
        <w:shd w:val="clear" w:color="auto" w:fill="FFFFFF"/>
        <w:ind w:left="851"/>
        <w:rPr>
          <w:sz w:val="24"/>
          <w:szCs w:val="24"/>
        </w:rPr>
      </w:pPr>
      <w:r w:rsidRPr="00DF584A">
        <w:rPr>
          <w:sz w:val="24"/>
          <w:szCs w:val="24"/>
        </w:rPr>
        <w:t>Opbevar hætteglasset i den ydre karton for at beskytte mod lys.</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6.5</w:t>
      </w:r>
      <w:r w:rsidRPr="004041C5">
        <w:rPr>
          <w:b/>
          <w:sz w:val="24"/>
          <w:szCs w:val="24"/>
        </w:rPr>
        <w:tab/>
        <w:t>Emballagetype og pakningsstørrelser</w:t>
      </w:r>
    </w:p>
    <w:p w:rsidR="00EC5D6B" w:rsidRPr="004041C5" w:rsidRDefault="00EC5D6B" w:rsidP="00EC5D6B">
      <w:pPr>
        <w:ind w:left="851" w:hanging="851"/>
        <w:rPr>
          <w:sz w:val="24"/>
          <w:szCs w:val="24"/>
        </w:rPr>
      </w:pPr>
      <w:r w:rsidRPr="004041C5">
        <w:rPr>
          <w:sz w:val="24"/>
          <w:szCs w:val="24"/>
        </w:rPr>
        <w:tab/>
      </w:r>
      <w:proofErr w:type="spellStart"/>
      <w:r w:rsidRPr="004041C5">
        <w:rPr>
          <w:sz w:val="24"/>
          <w:szCs w:val="24"/>
        </w:rPr>
        <w:t>Hepatect</w:t>
      </w:r>
      <w:proofErr w:type="spellEnd"/>
      <w:r w:rsidRPr="004041C5">
        <w:rPr>
          <w:sz w:val="24"/>
          <w:szCs w:val="24"/>
        </w:rPr>
        <w:t xml:space="preserve"> CP er en infusionsvæske, opløsning, som er klar til brug, og den leveres i hætteglas (type II-glas) med en prop (</w:t>
      </w:r>
      <w:proofErr w:type="spellStart"/>
      <w:r w:rsidRPr="004041C5">
        <w:rPr>
          <w:sz w:val="24"/>
          <w:szCs w:val="24"/>
        </w:rPr>
        <w:t>brombutyl</w:t>
      </w:r>
      <w:proofErr w:type="spellEnd"/>
      <w:r w:rsidRPr="004041C5">
        <w:rPr>
          <w:sz w:val="24"/>
          <w:szCs w:val="24"/>
        </w:rPr>
        <w:t>) og et låg (aluminium):</w:t>
      </w:r>
    </w:p>
    <w:p w:rsidR="00EC5D6B" w:rsidRPr="008B6996" w:rsidRDefault="00EC5D6B" w:rsidP="00EC5D6B">
      <w:pPr>
        <w:ind w:left="851"/>
        <w:rPr>
          <w:sz w:val="24"/>
          <w:szCs w:val="24"/>
          <w:lang w:eastAsia="de-DE"/>
        </w:rPr>
      </w:pPr>
      <w:r w:rsidRPr="008B6996">
        <w:rPr>
          <w:sz w:val="24"/>
          <w:szCs w:val="24"/>
        </w:rPr>
        <w:tab/>
      </w:r>
    </w:p>
    <w:p w:rsidR="00EC5D6B" w:rsidRPr="008B6996" w:rsidRDefault="00EC5D6B" w:rsidP="00EC5D6B">
      <w:pPr>
        <w:shd w:val="clear" w:color="auto" w:fill="FFFFFF"/>
        <w:ind w:left="851"/>
        <w:rPr>
          <w:sz w:val="24"/>
          <w:szCs w:val="24"/>
        </w:rPr>
      </w:pPr>
      <w:r w:rsidRPr="008B6996">
        <w:rPr>
          <w:sz w:val="24"/>
          <w:szCs w:val="24"/>
        </w:rPr>
        <w:t xml:space="preserve">Pakningsstørrelse på 1 hætteglas med 2 ml, 10 ml, 40 ml eller 100 ml opløsning. </w:t>
      </w:r>
    </w:p>
    <w:p w:rsidR="00EC5D6B" w:rsidRPr="008B6996"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6.6</w:t>
      </w:r>
      <w:r w:rsidRPr="004041C5">
        <w:rPr>
          <w:b/>
          <w:sz w:val="24"/>
          <w:szCs w:val="24"/>
        </w:rPr>
        <w:tab/>
        <w:t xml:space="preserve">Regler for </w:t>
      </w:r>
      <w:r w:rsidR="002C33E3">
        <w:rPr>
          <w:b/>
          <w:sz w:val="24"/>
          <w:szCs w:val="24"/>
        </w:rPr>
        <w:t>bortskaffelse</w:t>
      </w:r>
      <w:r w:rsidRPr="004041C5">
        <w:rPr>
          <w:b/>
          <w:sz w:val="24"/>
          <w:szCs w:val="24"/>
        </w:rPr>
        <w:t xml:space="preserve"> og anden håndtering</w:t>
      </w:r>
    </w:p>
    <w:p w:rsidR="00EC5D6B" w:rsidRPr="004041C5" w:rsidRDefault="00EC5D6B" w:rsidP="00EC5D6B">
      <w:pPr>
        <w:ind w:left="851" w:hanging="851"/>
        <w:rPr>
          <w:sz w:val="24"/>
          <w:szCs w:val="24"/>
        </w:rPr>
      </w:pPr>
      <w:r w:rsidRPr="004041C5">
        <w:rPr>
          <w:sz w:val="24"/>
          <w:szCs w:val="24"/>
        </w:rPr>
        <w:tab/>
        <w:t xml:space="preserve">Præparatet skal bringes til stue- eller kropstemperatur før brug. </w:t>
      </w:r>
    </w:p>
    <w:p w:rsidR="00EC5D6B" w:rsidRPr="00910B65" w:rsidRDefault="00EC5D6B" w:rsidP="00EC5D6B">
      <w:pPr>
        <w:ind w:left="851"/>
        <w:rPr>
          <w:sz w:val="24"/>
          <w:szCs w:val="24"/>
          <w:lang w:eastAsia="de-DE"/>
        </w:rPr>
      </w:pPr>
      <w:r w:rsidRPr="00910B65">
        <w:rPr>
          <w:sz w:val="24"/>
          <w:szCs w:val="24"/>
        </w:rPr>
        <w:t>Opløsningen skal administreres straks efter åbning af beholderen.</w:t>
      </w:r>
    </w:p>
    <w:p w:rsidR="005F3C7D" w:rsidRDefault="00EC5D6B" w:rsidP="00EC5D6B">
      <w:pPr>
        <w:ind w:left="851"/>
        <w:rPr>
          <w:sz w:val="24"/>
          <w:szCs w:val="24"/>
        </w:rPr>
      </w:pPr>
      <w:r w:rsidRPr="00910B65">
        <w:rPr>
          <w:sz w:val="24"/>
          <w:szCs w:val="24"/>
        </w:rPr>
        <w:t>Opløsningen skal være klar eller let opaliserende og farveløs til lys gul.</w:t>
      </w:r>
    </w:p>
    <w:p w:rsidR="00EC5D6B" w:rsidRPr="00910B65" w:rsidRDefault="005F3C7D" w:rsidP="00EC5D6B">
      <w:pPr>
        <w:ind w:left="851"/>
        <w:rPr>
          <w:sz w:val="24"/>
          <w:szCs w:val="24"/>
        </w:rPr>
      </w:pPr>
      <w:r w:rsidRPr="005F3C7D">
        <w:rPr>
          <w:sz w:val="24"/>
          <w:szCs w:val="24"/>
        </w:rPr>
        <w:t>Opløsninger, der er uklare eller indeholder udfældninger, må ikke anvendes.</w:t>
      </w:r>
      <w:r w:rsidR="00EC5D6B" w:rsidRPr="00910B65">
        <w:rPr>
          <w:sz w:val="24"/>
          <w:szCs w:val="24"/>
        </w:rPr>
        <w:t xml:space="preserve"> </w:t>
      </w:r>
    </w:p>
    <w:p w:rsidR="00EC5D6B" w:rsidRPr="004041C5" w:rsidRDefault="00EC5D6B" w:rsidP="00EC5D6B">
      <w:pPr>
        <w:ind w:left="851" w:hanging="851"/>
        <w:rPr>
          <w:sz w:val="24"/>
          <w:szCs w:val="24"/>
        </w:rPr>
      </w:pPr>
      <w:r>
        <w:rPr>
          <w:sz w:val="24"/>
          <w:szCs w:val="24"/>
        </w:rPr>
        <w:tab/>
      </w:r>
      <w:r w:rsidRPr="004041C5">
        <w:rPr>
          <w:sz w:val="24"/>
          <w:szCs w:val="24"/>
        </w:rPr>
        <w:t>Ikke anvendt lægemiddel samt affald heraf skal bortskaffes i henhold til lokale retningslinjer.</w:t>
      </w:r>
    </w:p>
    <w:p w:rsidR="00EC5D6B" w:rsidRPr="004041C5" w:rsidRDefault="00EC5D6B" w:rsidP="00EC5D6B">
      <w:pPr>
        <w:ind w:left="851" w:hanging="851"/>
        <w:jc w:val="both"/>
        <w:rPr>
          <w:sz w:val="24"/>
          <w:szCs w:val="24"/>
        </w:rPr>
      </w:pPr>
    </w:p>
    <w:p w:rsidR="00EC5D6B" w:rsidRPr="004041C5" w:rsidRDefault="00EC5D6B" w:rsidP="00EC5D6B">
      <w:pPr>
        <w:ind w:left="851" w:hanging="851"/>
        <w:rPr>
          <w:b/>
          <w:sz w:val="24"/>
          <w:szCs w:val="24"/>
        </w:rPr>
      </w:pPr>
      <w:r w:rsidRPr="004041C5">
        <w:rPr>
          <w:b/>
          <w:sz w:val="24"/>
          <w:szCs w:val="24"/>
        </w:rPr>
        <w:t>7.</w:t>
      </w:r>
      <w:r w:rsidRPr="004041C5">
        <w:rPr>
          <w:b/>
          <w:sz w:val="24"/>
          <w:szCs w:val="24"/>
        </w:rPr>
        <w:tab/>
        <w:t>INDEHAVER AF MARKEDSFØRINGSTILLADELSEN</w:t>
      </w:r>
    </w:p>
    <w:p w:rsidR="00EC5D6B" w:rsidRDefault="00EC5D6B" w:rsidP="00EC5D6B">
      <w:pPr>
        <w:ind w:left="851" w:hanging="851"/>
        <w:rPr>
          <w:sz w:val="24"/>
          <w:szCs w:val="24"/>
        </w:rPr>
      </w:pPr>
      <w:r w:rsidRPr="004041C5">
        <w:rPr>
          <w:sz w:val="24"/>
          <w:szCs w:val="24"/>
        </w:rPr>
        <w:tab/>
        <w:t>Biotest Pharma GmbH</w:t>
      </w:r>
    </w:p>
    <w:p w:rsidR="00EC5D6B" w:rsidRDefault="00EC5D6B" w:rsidP="00EC5D6B">
      <w:pPr>
        <w:ind w:left="851" w:hanging="851"/>
        <w:rPr>
          <w:sz w:val="24"/>
          <w:szCs w:val="24"/>
        </w:rPr>
      </w:pPr>
      <w:r>
        <w:rPr>
          <w:sz w:val="24"/>
          <w:szCs w:val="24"/>
        </w:rPr>
        <w:tab/>
      </w:r>
      <w:proofErr w:type="spellStart"/>
      <w:r w:rsidRPr="004041C5">
        <w:rPr>
          <w:sz w:val="24"/>
          <w:szCs w:val="24"/>
        </w:rPr>
        <w:t>Landsteinerstrasse</w:t>
      </w:r>
      <w:proofErr w:type="spellEnd"/>
      <w:r w:rsidRPr="004041C5">
        <w:rPr>
          <w:sz w:val="24"/>
          <w:szCs w:val="24"/>
        </w:rPr>
        <w:t xml:space="preserve"> 5</w:t>
      </w:r>
    </w:p>
    <w:p w:rsidR="00EC5D6B" w:rsidRDefault="00EC5D6B" w:rsidP="00EC5D6B">
      <w:pPr>
        <w:ind w:left="851" w:hanging="851"/>
        <w:rPr>
          <w:sz w:val="24"/>
          <w:szCs w:val="24"/>
        </w:rPr>
      </w:pPr>
      <w:r>
        <w:rPr>
          <w:sz w:val="24"/>
          <w:szCs w:val="24"/>
        </w:rPr>
        <w:tab/>
      </w:r>
      <w:r w:rsidRPr="004041C5">
        <w:rPr>
          <w:sz w:val="24"/>
          <w:szCs w:val="24"/>
        </w:rPr>
        <w:t xml:space="preserve">63303 </w:t>
      </w:r>
      <w:proofErr w:type="spellStart"/>
      <w:r w:rsidRPr="004041C5">
        <w:rPr>
          <w:sz w:val="24"/>
          <w:szCs w:val="24"/>
        </w:rPr>
        <w:t>Dreieich</w:t>
      </w:r>
      <w:proofErr w:type="spellEnd"/>
    </w:p>
    <w:p w:rsidR="00EC5D6B" w:rsidRDefault="00EC5D6B" w:rsidP="00EC5D6B">
      <w:pPr>
        <w:ind w:left="851" w:hanging="851"/>
        <w:rPr>
          <w:sz w:val="24"/>
          <w:szCs w:val="24"/>
        </w:rPr>
      </w:pPr>
      <w:r>
        <w:rPr>
          <w:sz w:val="24"/>
          <w:szCs w:val="24"/>
        </w:rPr>
        <w:tab/>
      </w:r>
      <w:r w:rsidRPr="004041C5">
        <w:rPr>
          <w:sz w:val="24"/>
          <w:szCs w:val="24"/>
        </w:rPr>
        <w:t>Tyskland</w:t>
      </w:r>
    </w:p>
    <w:p w:rsidR="002C33E3" w:rsidRDefault="002C33E3" w:rsidP="00EC5D6B">
      <w:pPr>
        <w:ind w:left="851" w:hanging="851"/>
        <w:rPr>
          <w:sz w:val="24"/>
          <w:szCs w:val="24"/>
        </w:rPr>
      </w:pPr>
    </w:p>
    <w:p w:rsidR="002C33E3" w:rsidRDefault="002C33E3" w:rsidP="00EC5D6B">
      <w:pPr>
        <w:ind w:left="851" w:hanging="851"/>
        <w:rPr>
          <w:sz w:val="24"/>
          <w:szCs w:val="24"/>
        </w:rPr>
      </w:pPr>
      <w:r>
        <w:rPr>
          <w:sz w:val="24"/>
          <w:szCs w:val="24"/>
        </w:rPr>
        <w:tab/>
      </w:r>
      <w:r>
        <w:rPr>
          <w:b/>
          <w:sz w:val="24"/>
          <w:szCs w:val="24"/>
        </w:rPr>
        <w:t>Repræsentant</w:t>
      </w:r>
    </w:p>
    <w:p w:rsidR="002C33E3" w:rsidRPr="002C33E3" w:rsidRDefault="002C33E3" w:rsidP="002C33E3">
      <w:pPr>
        <w:ind w:left="851" w:hanging="851"/>
        <w:rPr>
          <w:sz w:val="24"/>
          <w:szCs w:val="24"/>
        </w:rPr>
      </w:pPr>
      <w:r>
        <w:rPr>
          <w:sz w:val="24"/>
          <w:szCs w:val="24"/>
        </w:rPr>
        <w:tab/>
      </w:r>
      <w:r w:rsidRPr="002C33E3">
        <w:rPr>
          <w:sz w:val="24"/>
          <w:szCs w:val="24"/>
        </w:rPr>
        <w:t>Grifols Nordic AB</w:t>
      </w:r>
    </w:p>
    <w:p w:rsidR="002C33E3" w:rsidRPr="002C33E3" w:rsidRDefault="002C33E3" w:rsidP="002C33E3">
      <w:pPr>
        <w:ind w:left="851"/>
        <w:rPr>
          <w:sz w:val="24"/>
          <w:szCs w:val="24"/>
        </w:rPr>
      </w:pPr>
      <w:proofErr w:type="spellStart"/>
      <w:r w:rsidRPr="002C33E3">
        <w:rPr>
          <w:sz w:val="24"/>
          <w:szCs w:val="24"/>
        </w:rPr>
        <w:t>Sveavägen</w:t>
      </w:r>
      <w:proofErr w:type="spellEnd"/>
      <w:r w:rsidRPr="002C33E3">
        <w:rPr>
          <w:sz w:val="24"/>
          <w:szCs w:val="24"/>
        </w:rPr>
        <w:t xml:space="preserve"> 166</w:t>
      </w:r>
    </w:p>
    <w:p w:rsidR="002C33E3" w:rsidRPr="002C33E3" w:rsidRDefault="002C33E3" w:rsidP="002C33E3">
      <w:pPr>
        <w:ind w:left="851"/>
        <w:rPr>
          <w:sz w:val="24"/>
          <w:szCs w:val="24"/>
        </w:rPr>
      </w:pPr>
      <w:r w:rsidRPr="002C33E3">
        <w:rPr>
          <w:sz w:val="24"/>
          <w:szCs w:val="24"/>
        </w:rPr>
        <w:t>113 46 Stockholm</w:t>
      </w:r>
    </w:p>
    <w:p w:rsidR="002C33E3" w:rsidRPr="002C33E3" w:rsidRDefault="002C33E3" w:rsidP="002C33E3">
      <w:pPr>
        <w:ind w:left="851"/>
        <w:rPr>
          <w:sz w:val="24"/>
          <w:szCs w:val="24"/>
        </w:rPr>
      </w:pPr>
      <w:r w:rsidRPr="002C33E3">
        <w:rPr>
          <w:sz w:val="24"/>
          <w:szCs w:val="24"/>
        </w:rPr>
        <w:t>Sverige</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8.</w:t>
      </w:r>
      <w:r w:rsidRPr="004041C5">
        <w:rPr>
          <w:b/>
          <w:sz w:val="24"/>
          <w:szCs w:val="24"/>
        </w:rPr>
        <w:tab/>
        <w:t>MARKEDSFØRINGSTILLADELSESNUMMER (</w:t>
      </w:r>
      <w:r w:rsidR="002C33E3">
        <w:rPr>
          <w:b/>
          <w:sz w:val="24"/>
          <w:szCs w:val="24"/>
        </w:rPr>
        <w:t>-</w:t>
      </w:r>
      <w:r w:rsidRPr="004041C5">
        <w:rPr>
          <w:b/>
          <w:sz w:val="24"/>
          <w:szCs w:val="24"/>
        </w:rPr>
        <w:t>NUMRE)</w:t>
      </w:r>
    </w:p>
    <w:p w:rsidR="00EC5D6B" w:rsidRPr="004041C5" w:rsidRDefault="00EC5D6B" w:rsidP="00EC5D6B">
      <w:pPr>
        <w:ind w:left="851" w:hanging="851"/>
        <w:rPr>
          <w:sz w:val="24"/>
          <w:szCs w:val="24"/>
        </w:rPr>
      </w:pPr>
      <w:r w:rsidRPr="004041C5">
        <w:rPr>
          <w:sz w:val="24"/>
          <w:szCs w:val="24"/>
        </w:rPr>
        <w:tab/>
        <w:t>52539</w:t>
      </w:r>
    </w:p>
    <w:p w:rsidR="00EC5D6B" w:rsidRPr="004041C5" w:rsidRDefault="00EC5D6B" w:rsidP="00EC5D6B">
      <w:pPr>
        <w:ind w:left="851" w:hanging="851"/>
        <w:jc w:val="both"/>
        <w:rPr>
          <w:sz w:val="24"/>
          <w:szCs w:val="24"/>
        </w:rPr>
      </w:pPr>
    </w:p>
    <w:p w:rsidR="00EC5D6B" w:rsidRPr="004041C5" w:rsidRDefault="00EC5D6B" w:rsidP="00EC5D6B">
      <w:pPr>
        <w:ind w:left="851" w:hanging="851"/>
        <w:rPr>
          <w:b/>
          <w:sz w:val="24"/>
          <w:szCs w:val="24"/>
        </w:rPr>
      </w:pPr>
      <w:r w:rsidRPr="004041C5">
        <w:rPr>
          <w:b/>
          <w:sz w:val="24"/>
          <w:szCs w:val="24"/>
        </w:rPr>
        <w:t>9.</w:t>
      </w:r>
      <w:r w:rsidRPr="004041C5">
        <w:rPr>
          <w:b/>
          <w:sz w:val="24"/>
          <w:szCs w:val="24"/>
        </w:rPr>
        <w:tab/>
        <w:t>DATO FOR FØRSTE MARKEDSFØRINGSTILLADELSE</w:t>
      </w:r>
    </w:p>
    <w:p w:rsidR="00EC5D6B" w:rsidRPr="004041C5" w:rsidRDefault="00EC5D6B" w:rsidP="00EC5D6B">
      <w:pPr>
        <w:ind w:left="851" w:hanging="851"/>
        <w:rPr>
          <w:sz w:val="24"/>
          <w:szCs w:val="24"/>
        </w:rPr>
      </w:pPr>
      <w:r w:rsidRPr="004041C5">
        <w:rPr>
          <w:sz w:val="24"/>
          <w:szCs w:val="24"/>
        </w:rPr>
        <w:tab/>
        <w:t>16. december 2013</w:t>
      </w:r>
    </w:p>
    <w:p w:rsidR="00EC5D6B" w:rsidRPr="004041C5" w:rsidRDefault="00EC5D6B" w:rsidP="00EC5D6B">
      <w:pPr>
        <w:ind w:left="851" w:hanging="851"/>
        <w:rPr>
          <w:sz w:val="24"/>
          <w:szCs w:val="24"/>
        </w:rPr>
      </w:pPr>
    </w:p>
    <w:p w:rsidR="00EC5D6B" w:rsidRPr="004041C5" w:rsidRDefault="00EC5D6B" w:rsidP="00EC5D6B">
      <w:pPr>
        <w:ind w:left="851" w:hanging="851"/>
        <w:rPr>
          <w:b/>
          <w:sz w:val="24"/>
          <w:szCs w:val="24"/>
        </w:rPr>
      </w:pPr>
      <w:r w:rsidRPr="004041C5">
        <w:rPr>
          <w:b/>
          <w:sz w:val="24"/>
          <w:szCs w:val="24"/>
        </w:rPr>
        <w:t>10.</w:t>
      </w:r>
      <w:r w:rsidRPr="004041C5">
        <w:rPr>
          <w:b/>
          <w:sz w:val="24"/>
          <w:szCs w:val="24"/>
        </w:rPr>
        <w:tab/>
        <w:t>DATO FOR ÆNDRING AF TEKSTEN</w:t>
      </w:r>
    </w:p>
    <w:p w:rsidR="00EC5D6B" w:rsidRPr="004041C5" w:rsidRDefault="00EC5D6B" w:rsidP="00EC5D6B">
      <w:pPr>
        <w:ind w:left="851" w:hanging="851"/>
        <w:rPr>
          <w:sz w:val="24"/>
          <w:szCs w:val="24"/>
        </w:rPr>
      </w:pPr>
      <w:r w:rsidRPr="004041C5">
        <w:rPr>
          <w:sz w:val="24"/>
          <w:szCs w:val="24"/>
        </w:rPr>
        <w:tab/>
      </w:r>
      <w:r w:rsidR="002C33E3">
        <w:rPr>
          <w:sz w:val="24"/>
          <w:szCs w:val="24"/>
        </w:rPr>
        <w:t>20. februar 2024</w:t>
      </w:r>
    </w:p>
    <w:p w:rsidR="00EC5D6B" w:rsidRPr="00BF08D1" w:rsidRDefault="00EC5D6B" w:rsidP="00EC5D6B"/>
    <w:p w:rsidR="0003527F" w:rsidRPr="00EC5D6B" w:rsidRDefault="0003527F" w:rsidP="00EC5D6B"/>
    <w:sectPr w:rsidR="0003527F" w:rsidRPr="00EC5D6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D6B" w:rsidRDefault="00EC5D6B">
      <w:r>
        <w:separator/>
      </w:r>
    </w:p>
  </w:endnote>
  <w:endnote w:type="continuationSeparator" w:id="0">
    <w:p w:rsidR="00EC5D6B" w:rsidRDefault="00EC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27181">
      <w:rPr>
        <w:i/>
        <w:noProof/>
        <w:snapToGrid w:val="0"/>
        <w:sz w:val="18"/>
      </w:rPr>
      <w:t>Hepatect CP, infusionsvæske, opløsning 50 IE-ml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C5D6B">
      <w:rPr>
        <w:i/>
        <w:noProof/>
        <w:snapToGrid w:val="0"/>
        <w:sz w:val="18"/>
      </w:rPr>
      <w:t>Dokument2389</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D6B" w:rsidRDefault="00EC5D6B">
      <w:r>
        <w:separator/>
      </w:r>
    </w:p>
  </w:footnote>
  <w:footnote w:type="continuationSeparator" w:id="0">
    <w:p w:rsidR="00EC5D6B" w:rsidRDefault="00EC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9C03A8"/>
    <w:lvl w:ilvl="0">
      <w:numFmt w:val="decimal"/>
      <w:lvlText w:val="*"/>
      <w:lvlJc w:val="left"/>
      <w:pPr>
        <w:ind w:left="0" w:firstLine="0"/>
      </w:pPr>
    </w:lvl>
  </w:abstractNum>
  <w:abstractNum w:abstractNumId="1" w15:restartNumberingAfterBreak="0">
    <w:nsid w:val="00707651"/>
    <w:multiLevelType w:val="hybridMultilevel"/>
    <w:tmpl w:val="87B0F7F2"/>
    <w:lvl w:ilvl="0" w:tplc="BACE19D0">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18906DE"/>
    <w:multiLevelType w:val="hybridMultilevel"/>
    <w:tmpl w:val="836A090C"/>
    <w:lvl w:ilvl="0" w:tplc="BACE19D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0BB12F24"/>
    <w:multiLevelType w:val="hybridMultilevel"/>
    <w:tmpl w:val="7968E7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9D3F7D"/>
    <w:multiLevelType w:val="hybridMultilevel"/>
    <w:tmpl w:val="B27A8BB6"/>
    <w:lvl w:ilvl="0" w:tplc="BACE19D0">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5EC0EDA"/>
    <w:multiLevelType w:val="hybridMultilevel"/>
    <w:tmpl w:val="2D882FAC"/>
    <w:lvl w:ilvl="0" w:tplc="04070001">
      <w:start w:val="1"/>
      <w:numFmt w:val="bullet"/>
      <w:lvlText w:val=""/>
      <w:lvlJc w:val="left"/>
      <w:pPr>
        <w:ind w:left="4897" w:hanging="360"/>
      </w:pPr>
      <w:rPr>
        <w:rFonts w:ascii="Symbol" w:hAnsi="Symbol" w:hint="default"/>
      </w:rPr>
    </w:lvl>
    <w:lvl w:ilvl="1" w:tplc="04070003" w:tentative="1">
      <w:start w:val="1"/>
      <w:numFmt w:val="bullet"/>
      <w:lvlText w:val="o"/>
      <w:lvlJc w:val="left"/>
      <w:pPr>
        <w:ind w:left="5617" w:hanging="360"/>
      </w:pPr>
      <w:rPr>
        <w:rFonts w:ascii="Courier New" w:hAnsi="Courier New" w:cs="Courier New" w:hint="default"/>
      </w:rPr>
    </w:lvl>
    <w:lvl w:ilvl="2" w:tplc="04070005" w:tentative="1">
      <w:start w:val="1"/>
      <w:numFmt w:val="bullet"/>
      <w:lvlText w:val=""/>
      <w:lvlJc w:val="left"/>
      <w:pPr>
        <w:ind w:left="6337" w:hanging="360"/>
      </w:pPr>
      <w:rPr>
        <w:rFonts w:ascii="Wingdings" w:hAnsi="Wingdings" w:hint="default"/>
      </w:rPr>
    </w:lvl>
    <w:lvl w:ilvl="3" w:tplc="04070001" w:tentative="1">
      <w:start w:val="1"/>
      <w:numFmt w:val="bullet"/>
      <w:lvlText w:val=""/>
      <w:lvlJc w:val="left"/>
      <w:pPr>
        <w:ind w:left="7057" w:hanging="360"/>
      </w:pPr>
      <w:rPr>
        <w:rFonts w:ascii="Symbol" w:hAnsi="Symbol" w:hint="default"/>
      </w:rPr>
    </w:lvl>
    <w:lvl w:ilvl="4" w:tplc="04070003" w:tentative="1">
      <w:start w:val="1"/>
      <w:numFmt w:val="bullet"/>
      <w:lvlText w:val="o"/>
      <w:lvlJc w:val="left"/>
      <w:pPr>
        <w:ind w:left="7777" w:hanging="360"/>
      </w:pPr>
      <w:rPr>
        <w:rFonts w:ascii="Courier New" w:hAnsi="Courier New" w:cs="Courier New" w:hint="default"/>
      </w:rPr>
    </w:lvl>
    <w:lvl w:ilvl="5" w:tplc="04070005" w:tentative="1">
      <w:start w:val="1"/>
      <w:numFmt w:val="bullet"/>
      <w:lvlText w:val=""/>
      <w:lvlJc w:val="left"/>
      <w:pPr>
        <w:ind w:left="8497" w:hanging="360"/>
      </w:pPr>
      <w:rPr>
        <w:rFonts w:ascii="Wingdings" w:hAnsi="Wingdings" w:hint="default"/>
      </w:rPr>
    </w:lvl>
    <w:lvl w:ilvl="6" w:tplc="04070001" w:tentative="1">
      <w:start w:val="1"/>
      <w:numFmt w:val="bullet"/>
      <w:lvlText w:val=""/>
      <w:lvlJc w:val="left"/>
      <w:pPr>
        <w:ind w:left="9217" w:hanging="360"/>
      </w:pPr>
      <w:rPr>
        <w:rFonts w:ascii="Symbol" w:hAnsi="Symbol" w:hint="default"/>
      </w:rPr>
    </w:lvl>
    <w:lvl w:ilvl="7" w:tplc="04070003" w:tentative="1">
      <w:start w:val="1"/>
      <w:numFmt w:val="bullet"/>
      <w:lvlText w:val="o"/>
      <w:lvlJc w:val="left"/>
      <w:pPr>
        <w:ind w:left="9937" w:hanging="360"/>
      </w:pPr>
      <w:rPr>
        <w:rFonts w:ascii="Courier New" w:hAnsi="Courier New" w:cs="Courier New" w:hint="default"/>
      </w:rPr>
    </w:lvl>
    <w:lvl w:ilvl="8" w:tplc="04070005" w:tentative="1">
      <w:start w:val="1"/>
      <w:numFmt w:val="bullet"/>
      <w:lvlText w:val=""/>
      <w:lvlJc w:val="left"/>
      <w:pPr>
        <w:ind w:left="10657" w:hanging="360"/>
      </w:pPr>
      <w:rPr>
        <w:rFonts w:ascii="Wingdings" w:hAnsi="Wingdings" w:hint="default"/>
      </w:rPr>
    </w:lvl>
  </w:abstractNum>
  <w:abstractNum w:abstractNumId="6" w15:restartNumberingAfterBreak="0">
    <w:nsid w:val="30350F9B"/>
    <w:multiLevelType w:val="hybridMultilevel"/>
    <w:tmpl w:val="AFDE5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863869"/>
    <w:multiLevelType w:val="hybridMultilevel"/>
    <w:tmpl w:val="A4F0F604"/>
    <w:lvl w:ilvl="0" w:tplc="BACE19D0">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9787F5A"/>
    <w:multiLevelType w:val="hybridMultilevel"/>
    <w:tmpl w:val="D77072BC"/>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3621FB"/>
    <w:multiLevelType w:val="hybridMultilevel"/>
    <w:tmpl w:val="BFE404DC"/>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AF63EF"/>
    <w:multiLevelType w:val="hybridMultilevel"/>
    <w:tmpl w:val="2A9AD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FEB07D3"/>
    <w:multiLevelType w:val="hybridMultilevel"/>
    <w:tmpl w:val="C8482934"/>
    <w:lvl w:ilvl="0" w:tplc="BACE19D0">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4"/>
  </w:num>
  <w:num w:numId="2">
    <w:abstractNumId w:val="9"/>
  </w:num>
  <w:num w:numId="3">
    <w:abstractNumId w:val="12"/>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8"/>
  </w:num>
  <w:num w:numId="6">
    <w:abstractNumId w:val="10"/>
  </w:num>
  <w:num w:numId="7">
    <w:abstractNumId w:val="6"/>
  </w:num>
  <w:num w:numId="8">
    <w:abstractNumId w:val="5"/>
  </w:num>
  <w:num w:numId="9">
    <w:abstractNumId w:val="3"/>
  </w:num>
  <w:num w:numId="10">
    <w:abstractNumId w:val="11"/>
  </w:num>
  <w:num w:numId="11">
    <w:abstractNumId w:val="2"/>
  </w:num>
  <w:num w:numId="12">
    <w:abstractNumId w:val="7"/>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6B"/>
    <w:rsid w:val="00031F27"/>
    <w:rsid w:val="0003527F"/>
    <w:rsid w:val="000607B8"/>
    <w:rsid w:val="00065C7D"/>
    <w:rsid w:val="00083C60"/>
    <w:rsid w:val="00090F32"/>
    <w:rsid w:val="000C6CD4"/>
    <w:rsid w:val="001458BB"/>
    <w:rsid w:val="00145ECF"/>
    <w:rsid w:val="00146A96"/>
    <w:rsid w:val="0015642A"/>
    <w:rsid w:val="001577E4"/>
    <w:rsid w:val="001858CA"/>
    <w:rsid w:val="001A7631"/>
    <w:rsid w:val="001C4AEF"/>
    <w:rsid w:val="001D3CC5"/>
    <w:rsid w:val="001F444A"/>
    <w:rsid w:val="0023582A"/>
    <w:rsid w:val="00255A0B"/>
    <w:rsid w:val="002C33E3"/>
    <w:rsid w:val="002D22D8"/>
    <w:rsid w:val="003075C8"/>
    <w:rsid w:val="00322BDE"/>
    <w:rsid w:val="00331A74"/>
    <w:rsid w:val="003718A9"/>
    <w:rsid w:val="003F0FBB"/>
    <w:rsid w:val="003F4F73"/>
    <w:rsid w:val="00404760"/>
    <w:rsid w:val="00406EE7"/>
    <w:rsid w:val="00407013"/>
    <w:rsid w:val="00453227"/>
    <w:rsid w:val="00454C52"/>
    <w:rsid w:val="004646BE"/>
    <w:rsid w:val="00472DBB"/>
    <w:rsid w:val="004A62CC"/>
    <w:rsid w:val="004E7DBA"/>
    <w:rsid w:val="004F3E1A"/>
    <w:rsid w:val="004F5D17"/>
    <w:rsid w:val="004F74AA"/>
    <w:rsid w:val="0054382B"/>
    <w:rsid w:val="00565A74"/>
    <w:rsid w:val="00570CA6"/>
    <w:rsid w:val="005B0036"/>
    <w:rsid w:val="005F3C7D"/>
    <w:rsid w:val="005F5831"/>
    <w:rsid w:val="006545E4"/>
    <w:rsid w:val="00662012"/>
    <w:rsid w:val="00666B01"/>
    <w:rsid w:val="006B1539"/>
    <w:rsid w:val="006B669C"/>
    <w:rsid w:val="006F5621"/>
    <w:rsid w:val="0072489B"/>
    <w:rsid w:val="00785822"/>
    <w:rsid w:val="007945EB"/>
    <w:rsid w:val="007B17FB"/>
    <w:rsid w:val="007E2A00"/>
    <w:rsid w:val="008010F2"/>
    <w:rsid w:val="00852DBE"/>
    <w:rsid w:val="0088674B"/>
    <w:rsid w:val="008C575A"/>
    <w:rsid w:val="008F6A14"/>
    <w:rsid w:val="009202AE"/>
    <w:rsid w:val="00927181"/>
    <w:rsid w:val="00991594"/>
    <w:rsid w:val="009C3674"/>
    <w:rsid w:val="009D66C6"/>
    <w:rsid w:val="00A075E0"/>
    <w:rsid w:val="00A33254"/>
    <w:rsid w:val="00A33BC7"/>
    <w:rsid w:val="00A96525"/>
    <w:rsid w:val="00AB5B72"/>
    <w:rsid w:val="00AE29E5"/>
    <w:rsid w:val="00AE5757"/>
    <w:rsid w:val="00B25EB8"/>
    <w:rsid w:val="00B83183"/>
    <w:rsid w:val="00BB1239"/>
    <w:rsid w:val="00BC634B"/>
    <w:rsid w:val="00BC7A0B"/>
    <w:rsid w:val="00BF2AE0"/>
    <w:rsid w:val="00C4149B"/>
    <w:rsid w:val="00C41819"/>
    <w:rsid w:val="00C479BF"/>
    <w:rsid w:val="00C84C5B"/>
    <w:rsid w:val="00D8602C"/>
    <w:rsid w:val="00DA4B7C"/>
    <w:rsid w:val="00DD5980"/>
    <w:rsid w:val="00DD6D71"/>
    <w:rsid w:val="00DF32BE"/>
    <w:rsid w:val="00E14F0A"/>
    <w:rsid w:val="00E80440"/>
    <w:rsid w:val="00E879C5"/>
    <w:rsid w:val="00EB5778"/>
    <w:rsid w:val="00EC1235"/>
    <w:rsid w:val="00EC5D6B"/>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0214"/>
  <w15:chartTrackingRefBased/>
  <w15:docId w15:val="{AA7470EB-4E29-4ADD-B942-8B5E3F3E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3E3"/>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146A96"/>
    <w:pPr>
      <w:keepNext/>
      <w:overflowPunct w:val="0"/>
      <w:autoSpaceDE w:val="0"/>
      <w:autoSpaceDN w:val="0"/>
      <w:adjustRightInd w:val="0"/>
      <w:textAlignment w:val="baseline"/>
      <w:outlineLvl w:val="1"/>
    </w:pPr>
    <w:rPr>
      <w:bCs/>
      <w:noProof/>
      <w:sz w:val="22"/>
      <w:lang w:eastAsia="de-DE"/>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EC5D6B"/>
    <w:pPr>
      <w:jc w:val="center"/>
    </w:pPr>
    <w:rPr>
      <w:b/>
      <w:sz w:val="24"/>
      <w:lang w:eastAsia="da-DK"/>
    </w:rPr>
  </w:style>
  <w:style w:type="character" w:customStyle="1" w:styleId="TitelTegn">
    <w:name w:val="Titel Tegn"/>
    <w:basedOn w:val="Standardskrifttypeiafsnit"/>
    <w:link w:val="Titel"/>
    <w:rsid w:val="00EC5D6B"/>
    <w:rPr>
      <w:b/>
      <w:sz w:val="24"/>
    </w:rPr>
  </w:style>
  <w:style w:type="paragraph" w:styleId="Listeafsnit">
    <w:name w:val="List Paragraph"/>
    <w:basedOn w:val="Normal"/>
    <w:uiPriority w:val="34"/>
    <w:qFormat/>
    <w:rsid w:val="00EC5D6B"/>
    <w:pPr>
      <w:ind w:left="720"/>
      <w:contextualSpacing/>
    </w:pPr>
  </w:style>
  <w:style w:type="paragraph" w:customStyle="1" w:styleId="Default">
    <w:name w:val="Default"/>
    <w:rsid w:val="00EC5D6B"/>
    <w:pPr>
      <w:autoSpaceDE w:val="0"/>
      <w:autoSpaceDN w:val="0"/>
      <w:adjustRightInd w:val="0"/>
    </w:pPr>
    <w:rPr>
      <w:color w:val="000000"/>
      <w:sz w:val="24"/>
      <w:szCs w:val="24"/>
      <w:lang w:val="de-DE" w:eastAsia="de-DE"/>
    </w:rPr>
  </w:style>
  <w:style w:type="paragraph" w:styleId="Slutnotetekst">
    <w:name w:val="endnote text"/>
    <w:basedOn w:val="Normal"/>
    <w:link w:val="SlutnotetekstTegn"/>
    <w:semiHidden/>
    <w:rsid w:val="001F444A"/>
    <w:pPr>
      <w:widowControl w:val="0"/>
      <w:tabs>
        <w:tab w:val="left" w:pos="567"/>
      </w:tabs>
      <w:overflowPunct w:val="0"/>
      <w:autoSpaceDE w:val="0"/>
      <w:autoSpaceDN w:val="0"/>
      <w:adjustRightInd w:val="0"/>
      <w:textAlignment w:val="baseline"/>
    </w:pPr>
    <w:rPr>
      <w:sz w:val="22"/>
      <w:lang w:eastAsia="de-DE"/>
    </w:rPr>
  </w:style>
  <w:style w:type="character" w:customStyle="1" w:styleId="SlutnotetekstTegn">
    <w:name w:val="Slutnotetekst Tegn"/>
    <w:basedOn w:val="Standardskrifttypeiafsnit"/>
    <w:link w:val="Slutnotetekst"/>
    <w:semiHidden/>
    <w:rsid w:val="001F444A"/>
    <w:rPr>
      <w:sz w:val="22"/>
      <w:lang w:eastAsia="de-DE"/>
    </w:rPr>
  </w:style>
  <w:style w:type="paragraph" w:styleId="Brdtekst">
    <w:name w:val="Body Text"/>
    <w:basedOn w:val="Normal"/>
    <w:link w:val="BrdtekstTegn"/>
    <w:semiHidden/>
    <w:rsid w:val="001F444A"/>
    <w:pPr>
      <w:autoSpaceDE w:val="0"/>
      <w:autoSpaceDN w:val="0"/>
      <w:adjustRightInd w:val="0"/>
    </w:pPr>
    <w:rPr>
      <w:b/>
      <w:bCs/>
      <w:sz w:val="20"/>
      <w:szCs w:val="22"/>
      <w:lang w:eastAsia="de-DE"/>
    </w:rPr>
  </w:style>
  <w:style w:type="character" w:customStyle="1" w:styleId="BrdtekstTegn">
    <w:name w:val="Brødtekst Tegn"/>
    <w:basedOn w:val="Standardskrifttypeiafsnit"/>
    <w:link w:val="Brdtekst"/>
    <w:semiHidden/>
    <w:rsid w:val="001F444A"/>
    <w:rPr>
      <w:b/>
      <w:bCs/>
      <w:szCs w:val="22"/>
      <w:lang w:eastAsia="de-DE"/>
    </w:rPr>
  </w:style>
  <w:style w:type="character" w:customStyle="1" w:styleId="Overskrift2Tegn">
    <w:name w:val="Overskrift 2 Tegn"/>
    <w:basedOn w:val="Standardskrifttypeiafsnit"/>
    <w:link w:val="Overskrift2"/>
    <w:rsid w:val="00146A96"/>
    <w:rPr>
      <w:bCs/>
      <w:noProo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2783</Words>
  <Characters>18514</Characters>
  <Application>Microsoft Office Word</Application>
  <DocSecurity>0</DocSecurity>
  <Lines>154</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2023114321_x000d_
Tilføjelse af repræsentanten Grifols Nordic AB_x000d_
</dc:description>
  <cp:lastModifiedBy>Marianne Ott Jensen</cp:lastModifiedBy>
  <cp:revision>3</cp:revision>
  <dcterms:created xsi:type="dcterms:W3CDTF">2024-02-20T08:36:00Z</dcterms:created>
  <dcterms:modified xsi:type="dcterms:W3CDTF">2024-02-20T08:39:00Z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