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72BA" w14:textId="77777777" w:rsidR="009260DE" w:rsidRPr="00DC6BBF" w:rsidRDefault="0021526C" w:rsidP="009260DE">
      <w:pPr>
        <w:rPr>
          <w:sz w:val="24"/>
          <w:szCs w:val="24"/>
        </w:rPr>
      </w:pPr>
      <w:r w:rsidRPr="00DC6BBF">
        <w:rPr>
          <w:noProof/>
          <w:sz w:val="24"/>
          <w:szCs w:val="24"/>
          <w:lang w:eastAsia="da-DK"/>
        </w:rPr>
        <w:drawing>
          <wp:anchor distT="0" distB="0" distL="114300" distR="114300" simplePos="0" relativeHeight="251658240" behindDoc="0" locked="0" layoutInCell="1" allowOverlap="1" wp14:anchorId="5CCB3C05" wp14:editId="7BCA62BB">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DC6BBF">
        <w:rPr>
          <w:sz w:val="24"/>
          <w:szCs w:val="24"/>
        </w:rPr>
        <w:br w:type="textWrapping" w:clear="all"/>
      </w:r>
    </w:p>
    <w:p w14:paraId="1CE06412" w14:textId="363A240D" w:rsidR="009260DE" w:rsidRPr="00DC6BBF" w:rsidRDefault="009260DE" w:rsidP="009260DE">
      <w:pPr>
        <w:pStyle w:val="Titel"/>
        <w:tabs>
          <w:tab w:val="right" w:pos="9356"/>
        </w:tabs>
        <w:jc w:val="left"/>
        <w:rPr>
          <w:b w:val="0"/>
          <w:szCs w:val="24"/>
          <w:lang w:eastAsia="en-US"/>
        </w:rPr>
      </w:pPr>
      <w:r w:rsidRPr="00DC6BBF">
        <w:rPr>
          <w:b w:val="0"/>
          <w:szCs w:val="24"/>
          <w:lang w:eastAsia="en-US"/>
        </w:rPr>
        <w:tab/>
      </w:r>
      <w:r w:rsidR="004D6A80">
        <w:rPr>
          <w:szCs w:val="24"/>
        </w:rPr>
        <w:t>12. marts 2026</w:t>
      </w:r>
    </w:p>
    <w:p w14:paraId="676BD703" w14:textId="77777777" w:rsidR="009260DE" w:rsidRPr="00DC6BBF" w:rsidRDefault="009260DE" w:rsidP="009260DE">
      <w:pPr>
        <w:pStyle w:val="Titel"/>
        <w:tabs>
          <w:tab w:val="left" w:pos="8222"/>
        </w:tabs>
        <w:jc w:val="left"/>
        <w:rPr>
          <w:b w:val="0"/>
          <w:szCs w:val="24"/>
        </w:rPr>
      </w:pPr>
    </w:p>
    <w:p w14:paraId="2F246B14" w14:textId="77777777" w:rsidR="009260DE" w:rsidRPr="00DC6BBF" w:rsidRDefault="009260DE" w:rsidP="009260DE">
      <w:pPr>
        <w:pStyle w:val="Titel"/>
        <w:jc w:val="left"/>
        <w:rPr>
          <w:b w:val="0"/>
          <w:szCs w:val="24"/>
        </w:rPr>
      </w:pPr>
    </w:p>
    <w:p w14:paraId="232CA1B4" w14:textId="77777777" w:rsidR="009260DE" w:rsidRPr="00DC6BBF" w:rsidRDefault="009260DE" w:rsidP="009260DE">
      <w:pPr>
        <w:pStyle w:val="Titel"/>
        <w:jc w:val="left"/>
        <w:rPr>
          <w:b w:val="0"/>
          <w:szCs w:val="24"/>
        </w:rPr>
      </w:pPr>
    </w:p>
    <w:p w14:paraId="02443C27" w14:textId="77777777" w:rsidR="009260DE" w:rsidRPr="00DC6BBF" w:rsidRDefault="009260DE" w:rsidP="009260DE">
      <w:pPr>
        <w:jc w:val="center"/>
        <w:rPr>
          <w:b/>
          <w:sz w:val="24"/>
          <w:szCs w:val="24"/>
        </w:rPr>
      </w:pPr>
      <w:r w:rsidRPr="00DC6BBF">
        <w:rPr>
          <w:b/>
          <w:sz w:val="24"/>
          <w:szCs w:val="24"/>
        </w:rPr>
        <w:t>PRODUKTRESUMÉ</w:t>
      </w:r>
    </w:p>
    <w:p w14:paraId="0EC45BC5" w14:textId="77777777" w:rsidR="009260DE" w:rsidRPr="00DC6BBF" w:rsidRDefault="009260DE" w:rsidP="009260DE">
      <w:pPr>
        <w:jc w:val="center"/>
        <w:rPr>
          <w:b/>
          <w:sz w:val="24"/>
          <w:szCs w:val="24"/>
        </w:rPr>
      </w:pPr>
    </w:p>
    <w:p w14:paraId="1E013F81" w14:textId="77777777" w:rsidR="009260DE" w:rsidRPr="00DC6BBF" w:rsidRDefault="009260DE" w:rsidP="009260DE">
      <w:pPr>
        <w:jc w:val="center"/>
        <w:rPr>
          <w:b/>
          <w:sz w:val="24"/>
          <w:szCs w:val="24"/>
        </w:rPr>
      </w:pPr>
      <w:r w:rsidRPr="00DC6BBF">
        <w:rPr>
          <w:b/>
          <w:sz w:val="24"/>
          <w:szCs w:val="24"/>
        </w:rPr>
        <w:t>for</w:t>
      </w:r>
    </w:p>
    <w:p w14:paraId="30EE056A" w14:textId="77777777" w:rsidR="000B058C" w:rsidRPr="00DC6BBF" w:rsidRDefault="000B058C" w:rsidP="009260DE">
      <w:pPr>
        <w:jc w:val="center"/>
        <w:rPr>
          <w:b/>
          <w:sz w:val="24"/>
          <w:szCs w:val="24"/>
        </w:rPr>
      </w:pPr>
    </w:p>
    <w:p w14:paraId="36528D46" w14:textId="4D8CCA4A" w:rsidR="009260DE" w:rsidRPr="00DC6BBF" w:rsidRDefault="00344EA2" w:rsidP="009260DE">
      <w:pPr>
        <w:jc w:val="center"/>
        <w:rPr>
          <w:b/>
          <w:sz w:val="24"/>
          <w:szCs w:val="24"/>
        </w:rPr>
      </w:pPr>
      <w:proofErr w:type="spellStart"/>
      <w:r w:rsidRPr="00DC6BBF">
        <w:rPr>
          <w:b/>
          <w:sz w:val="24"/>
          <w:szCs w:val="24"/>
        </w:rPr>
        <w:t>Hilkota</w:t>
      </w:r>
      <w:proofErr w:type="spellEnd"/>
      <w:r w:rsidRPr="00DC6BBF">
        <w:rPr>
          <w:b/>
          <w:sz w:val="24"/>
          <w:szCs w:val="24"/>
        </w:rPr>
        <w:t xml:space="preserve">, </w:t>
      </w:r>
      <w:proofErr w:type="spellStart"/>
      <w:r w:rsidRPr="00DC6BBF">
        <w:rPr>
          <w:b/>
          <w:sz w:val="24"/>
          <w:szCs w:val="24"/>
        </w:rPr>
        <w:t>kutanskum</w:t>
      </w:r>
      <w:proofErr w:type="spellEnd"/>
    </w:p>
    <w:p w14:paraId="18028123" w14:textId="77777777" w:rsidR="009260DE" w:rsidRPr="00DC6BBF" w:rsidRDefault="009260DE" w:rsidP="009260DE">
      <w:pPr>
        <w:jc w:val="both"/>
        <w:rPr>
          <w:sz w:val="24"/>
          <w:szCs w:val="24"/>
        </w:rPr>
      </w:pPr>
    </w:p>
    <w:p w14:paraId="3320D2DD" w14:textId="77777777" w:rsidR="009260DE" w:rsidRPr="00DC6BBF" w:rsidRDefault="009260DE" w:rsidP="009260DE">
      <w:pPr>
        <w:jc w:val="both"/>
        <w:rPr>
          <w:sz w:val="24"/>
          <w:szCs w:val="24"/>
        </w:rPr>
      </w:pPr>
    </w:p>
    <w:p w14:paraId="0D463624" w14:textId="77777777" w:rsidR="009260DE" w:rsidRPr="00DC6BBF" w:rsidRDefault="009260DE" w:rsidP="009260DE">
      <w:pPr>
        <w:tabs>
          <w:tab w:val="left" w:pos="851"/>
        </w:tabs>
        <w:ind w:left="851" w:hanging="851"/>
        <w:rPr>
          <w:b/>
          <w:sz w:val="24"/>
          <w:szCs w:val="24"/>
        </w:rPr>
      </w:pPr>
      <w:r w:rsidRPr="00DC6BBF">
        <w:rPr>
          <w:b/>
          <w:sz w:val="24"/>
          <w:szCs w:val="24"/>
        </w:rPr>
        <w:t>0.</w:t>
      </w:r>
      <w:r w:rsidRPr="00DC6BBF">
        <w:rPr>
          <w:b/>
          <w:sz w:val="24"/>
          <w:szCs w:val="24"/>
        </w:rPr>
        <w:tab/>
        <w:t>D.SP.NR.</w:t>
      </w:r>
    </w:p>
    <w:p w14:paraId="5997ABFD" w14:textId="73BEDAC3" w:rsidR="009260DE" w:rsidRPr="00DC6BBF" w:rsidRDefault="00344EA2" w:rsidP="009260DE">
      <w:pPr>
        <w:tabs>
          <w:tab w:val="left" w:pos="851"/>
        </w:tabs>
        <w:ind w:left="851"/>
        <w:rPr>
          <w:sz w:val="24"/>
          <w:szCs w:val="24"/>
        </w:rPr>
      </w:pPr>
      <w:r w:rsidRPr="00DC6BBF">
        <w:rPr>
          <w:sz w:val="24"/>
          <w:szCs w:val="24"/>
        </w:rPr>
        <w:t>34151</w:t>
      </w:r>
    </w:p>
    <w:p w14:paraId="2AADE97F" w14:textId="77777777" w:rsidR="009260DE" w:rsidRPr="00DC6BBF" w:rsidRDefault="009260DE" w:rsidP="009260DE">
      <w:pPr>
        <w:tabs>
          <w:tab w:val="left" w:pos="851"/>
        </w:tabs>
        <w:ind w:left="851"/>
        <w:rPr>
          <w:sz w:val="24"/>
          <w:szCs w:val="24"/>
        </w:rPr>
      </w:pPr>
    </w:p>
    <w:p w14:paraId="6CE365C8" w14:textId="77777777" w:rsidR="009260DE" w:rsidRPr="00DC6BBF" w:rsidRDefault="009260DE" w:rsidP="009260DE">
      <w:pPr>
        <w:tabs>
          <w:tab w:val="left" w:pos="851"/>
        </w:tabs>
        <w:ind w:left="851" w:hanging="851"/>
        <w:rPr>
          <w:b/>
          <w:sz w:val="24"/>
          <w:szCs w:val="24"/>
        </w:rPr>
      </w:pPr>
      <w:r w:rsidRPr="00DC6BBF">
        <w:rPr>
          <w:b/>
          <w:sz w:val="24"/>
          <w:szCs w:val="24"/>
        </w:rPr>
        <w:t>1.</w:t>
      </w:r>
      <w:r w:rsidRPr="00DC6BBF">
        <w:rPr>
          <w:b/>
          <w:sz w:val="24"/>
          <w:szCs w:val="24"/>
        </w:rPr>
        <w:tab/>
        <w:t>LÆGEMIDLETS NAVN</w:t>
      </w:r>
    </w:p>
    <w:p w14:paraId="6AC48FC8" w14:textId="39EDF9AD" w:rsidR="009260DE" w:rsidRPr="00DC6BBF" w:rsidRDefault="00344EA2" w:rsidP="009260DE">
      <w:pPr>
        <w:tabs>
          <w:tab w:val="left" w:pos="851"/>
        </w:tabs>
        <w:ind w:left="851"/>
        <w:rPr>
          <w:sz w:val="24"/>
          <w:szCs w:val="24"/>
        </w:rPr>
      </w:pPr>
      <w:proofErr w:type="spellStart"/>
      <w:r w:rsidRPr="00DC6BBF">
        <w:rPr>
          <w:sz w:val="24"/>
          <w:szCs w:val="24"/>
        </w:rPr>
        <w:t>Hilkota</w:t>
      </w:r>
      <w:proofErr w:type="spellEnd"/>
    </w:p>
    <w:p w14:paraId="11CCDBAD" w14:textId="77777777" w:rsidR="009260DE" w:rsidRPr="00DC6BBF" w:rsidRDefault="009260DE" w:rsidP="009260DE">
      <w:pPr>
        <w:tabs>
          <w:tab w:val="left" w:pos="851"/>
        </w:tabs>
        <w:ind w:left="851"/>
        <w:rPr>
          <w:sz w:val="24"/>
          <w:szCs w:val="24"/>
        </w:rPr>
      </w:pPr>
    </w:p>
    <w:p w14:paraId="7B14449A" w14:textId="77777777" w:rsidR="009260DE" w:rsidRPr="00DC6BBF" w:rsidRDefault="009260DE" w:rsidP="009260DE">
      <w:pPr>
        <w:tabs>
          <w:tab w:val="left" w:pos="851"/>
        </w:tabs>
        <w:ind w:left="851" w:hanging="851"/>
        <w:rPr>
          <w:b/>
          <w:sz w:val="24"/>
          <w:szCs w:val="24"/>
        </w:rPr>
      </w:pPr>
      <w:r w:rsidRPr="00DC6BBF">
        <w:rPr>
          <w:b/>
          <w:sz w:val="24"/>
          <w:szCs w:val="24"/>
        </w:rPr>
        <w:t>2.</w:t>
      </w:r>
      <w:r w:rsidRPr="00DC6BBF">
        <w:rPr>
          <w:b/>
          <w:sz w:val="24"/>
          <w:szCs w:val="24"/>
        </w:rPr>
        <w:tab/>
        <w:t>KVALITATIV OG KVANTITATIV SAMMENSÆTNING</w:t>
      </w:r>
    </w:p>
    <w:p w14:paraId="7B8F2F65" w14:textId="77777777" w:rsidR="008B2AE5" w:rsidRPr="00DC6BBF" w:rsidRDefault="008B2AE5" w:rsidP="008767FD">
      <w:pPr>
        <w:ind w:left="851"/>
        <w:rPr>
          <w:sz w:val="24"/>
          <w:szCs w:val="24"/>
        </w:rPr>
      </w:pPr>
      <w:r w:rsidRPr="00DC6BBF">
        <w:rPr>
          <w:sz w:val="24"/>
          <w:szCs w:val="24"/>
        </w:rPr>
        <w:t xml:space="preserve">Et gram </w:t>
      </w:r>
      <w:proofErr w:type="spellStart"/>
      <w:r w:rsidRPr="00DC6BBF">
        <w:rPr>
          <w:sz w:val="24"/>
          <w:szCs w:val="24"/>
        </w:rPr>
        <w:t>kutanskum</w:t>
      </w:r>
      <w:proofErr w:type="spellEnd"/>
      <w:r w:rsidRPr="00DC6BBF">
        <w:rPr>
          <w:sz w:val="24"/>
          <w:szCs w:val="24"/>
        </w:rPr>
        <w:t xml:space="preserve"> indeholder 50 mikrogram </w:t>
      </w:r>
      <w:bookmarkStart w:id="0" w:name="_Hlk224198661"/>
      <w:proofErr w:type="spellStart"/>
      <w:r w:rsidRPr="00DC6BBF">
        <w:rPr>
          <w:sz w:val="24"/>
          <w:szCs w:val="24"/>
        </w:rPr>
        <w:t>calcipotriol</w:t>
      </w:r>
      <w:proofErr w:type="spellEnd"/>
      <w:r w:rsidRPr="00DC6BBF">
        <w:rPr>
          <w:sz w:val="24"/>
          <w:szCs w:val="24"/>
        </w:rPr>
        <w:t xml:space="preserve"> (som monohydrat) og 0,5 mg </w:t>
      </w:r>
      <w:proofErr w:type="spellStart"/>
      <w:r w:rsidRPr="00DC6BBF">
        <w:rPr>
          <w:sz w:val="24"/>
          <w:szCs w:val="24"/>
        </w:rPr>
        <w:t>betamethason</w:t>
      </w:r>
      <w:proofErr w:type="spellEnd"/>
      <w:r w:rsidRPr="00DC6BBF">
        <w:rPr>
          <w:sz w:val="24"/>
          <w:szCs w:val="24"/>
        </w:rPr>
        <w:t xml:space="preserve"> (som </w:t>
      </w:r>
      <w:proofErr w:type="spellStart"/>
      <w:r w:rsidRPr="00DC6BBF">
        <w:rPr>
          <w:sz w:val="24"/>
          <w:szCs w:val="24"/>
        </w:rPr>
        <w:t>dipropionat</w:t>
      </w:r>
      <w:proofErr w:type="spellEnd"/>
      <w:r w:rsidRPr="00DC6BBF">
        <w:rPr>
          <w:sz w:val="24"/>
          <w:szCs w:val="24"/>
        </w:rPr>
        <w:t>).</w:t>
      </w:r>
    </w:p>
    <w:bookmarkEnd w:id="0"/>
    <w:p w14:paraId="5BECFDCE" w14:textId="77777777" w:rsidR="00DC6BBF" w:rsidRDefault="00DC6BBF" w:rsidP="008767FD">
      <w:pPr>
        <w:ind w:left="851"/>
        <w:rPr>
          <w:sz w:val="24"/>
          <w:szCs w:val="24"/>
        </w:rPr>
      </w:pPr>
    </w:p>
    <w:p w14:paraId="3F1A2629" w14:textId="28FF0EF1" w:rsidR="008B2AE5" w:rsidRPr="00DC6BBF" w:rsidRDefault="00DC6BBF" w:rsidP="008767FD">
      <w:pPr>
        <w:ind w:left="851"/>
        <w:rPr>
          <w:sz w:val="24"/>
          <w:szCs w:val="24"/>
        </w:rPr>
      </w:pPr>
      <w:r>
        <w:rPr>
          <w:sz w:val="24"/>
          <w:szCs w:val="24"/>
        </w:rPr>
        <w:t>A</w:t>
      </w:r>
      <w:r w:rsidR="008B2AE5" w:rsidRPr="00DC6BBF">
        <w:rPr>
          <w:sz w:val="24"/>
          <w:szCs w:val="24"/>
        </w:rPr>
        <w:t>lle hjælpestoffer er anført under pkt. 6.1.</w:t>
      </w:r>
    </w:p>
    <w:p w14:paraId="23A87524" w14:textId="77777777" w:rsidR="009260DE" w:rsidRPr="00DC6BBF" w:rsidRDefault="009260DE" w:rsidP="009260DE">
      <w:pPr>
        <w:tabs>
          <w:tab w:val="left" w:pos="851"/>
        </w:tabs>
        <w:ind w:left="851"/>
        <w:rPr>
          <w:sz w:val="24"/>
          <w:szCs w:val="24"/>
        </w:rPr>
      </w:pPr>
    </w:p>
    <w:p w14:paraId="10A2B98D" w14:textId="77777777" w:rsidR="009260DE" w:rsidRPr="00DC6BBF" w:rsidRDefault="009260DE" w:rsidP="009260DE">
      <w:pPr>
        <w:tabs>
          <w:tab w:val="left" w:pos="851"/>
        </w:tabs>
        <w:ind w:left="851" w:hanging="851"/>
        <w:rPr>
          <w:b/>
          <w:sz w:val="24"/>
          <w:szCs w:val="24"/>
        </w:rPr>
      </w:pPr>
      <w:r w:rsidRPr="00DC6BBF">
        <w:rPr>
          <w:b/>
          <w:sz w:val="24"/>
          <w:szCs w:val="24"/>
        </w:rPr>
        <w:t>3.</w:t>
      </w:r>
      <w:r w:rsidRPr="00DC6BBF">
        <w:rPr>
          <w:b/>
          <w:sz w:val="24"/>
          <w:szCs w:val="24"/>
        </w:rPr>
        <w:tab/>
        <w:t>LÆGEMIDDELFORM</w:t>
      </w:r>
    </w:p>
    <w:p w14:paraId="603899AF" w14:textId="2DD1A1E7" w:rsidR="008B2AE5" w:rsidRPr="00DC6BBF" w:rsidRDefault="008B2AE5" w:rsidP="008767FD">
      <w:pPr>
        <w:ind w:left="851"/>
        <w:rPr>
          <w:sz w:val="24"/>
          <w:szCs w:val="24"/>
        </w:rPr>
      </w:pPr>
      <w:proofErr w:type="spellStart"/>
      <w:r w:rsidRPr="00DC6BBF">
        <w:rPr>
          <w:sz w:val="24"/>
          <w:szCs w:val="24"/>
        </w:rPr>
        <w:t>Kutanskum</w:t>
      </w:r>
      <w:proofErr w:type="spellEnd"/>
    </w:p>
    <w:p w14:paraId="766CAB2F" w14:textId="77777777" w:rsidR="008B2AE5" w:rsidRPr="00DC6BBF" w:rsidRDefault="008B2AE5" w:rsidP="008767FD">
      <w:pPr>
        <w:ind w:left="851"/>
        <w:rPr>
          <w:sz w:val="24"/>
          <w:szCs w:val="24"/>
        </w:rPr>
      </w:pPr>
    </w:p>
    <w:p w14:paraId="41F01765" w14:textId="77777777" w:rsidR="008B2AE5" w:rsidRPr="00DC6BBF" w:rsidRDefault="008B2AE5" w:rsidP="008767FD">
      <w:pPr>
        <w:ind w:left="851"/>
        <w:rPr>
          <w:sz w:val="24"/>
          <w:szCs w:val="24"/>
        </w:rPr>
      </w:pPr>
      <w:r w:rsidRPr="00DC6BBF">
        <w:rPr>
          <w:sz w:val="24"/>
          <w:szCs w:val="24"/>
        </w:rPr>
        <w:t xml:space="preserve">En hvid til </w:t>
      </w:r>
      <w:proofErr w:type="gramStart"/>
      <w:r w:rsidRPr="00DC6BBF">
        <w:rPr>
          <w:sz w:val="24"/>
          <w:szCs w:val="24"/>
        </w:rPr>
        <w:t>råhvid skum</w:t>
      </w:r>
      <w:proofErr w:type="gramEnd"/>
      <w:r w:rsidRPr="00DC6BBF">
        <w:rPr>
          <w:sz w:val="24"/>
          <w:szCs w:val="24"/>
        </w:rPr>
        <w:t>.</w:t>
      </w:r>
    </w:p>
    <w:p w14:paraId="374192AE" w14:textId="77777777" w:rsidR="009260DE" w:rsidRPr="00DC6BBF" w:rsidRDefault="009260DE" w:rsidP="009260DE">
      <w:pPr>
        <w:tabs>
          <w:tab w:val="left" w:pos="851"/>
        </w:tabs>
        <w:ind w:left="851"/>
        <w:rPr>
          <w:sz w:val="24"/>
          <w:szCs w:val="24"/>
        </w:rPr>
      </w:pPr>
    </w:p>
    <w:p w14:paraId="69A4F1F4" w14:textId="77777777" w:rsidR="009260DE" w:rsidRPr="00DC6BBF" w:rsidRDefault="009260DE" w:rsidP="009260DE">
      <w:pPr>
        <w:tabs>
          <w:tab w:val="left" w:pos="851"/>
        </w:tabs>
        <w:ind w:left="851"/>
        <w:rPr>
          <w:sz w:val="24"/>
          <w:szCs w:val="24"/>
        </w:rPr>
      </w:pPr>
    </w:p>
    <w:p w14:paraId="77E30830" w14:textId="77777777" w:rsidR="009260DE" w:rsidRPr="00DC6BBF" w:rsidRDefault="009260DE" w:rsidP="009260DE">
      <w:pPr>
        <w:tabs>
          <w:tab w:val="left" w:pos="851"/>
        </w:tabs>
        <w:ind w:left="851" w:hanging="851"/>
        <w:rPr>
          <w:b/>
          <w:sz w:val="24"/>
          <w:szCs w:val="24"/>
        </w:rPr>
      </w:pPr>
      <w:r w:rsidRPr="00DC6BBF">
        <w:rPr>
          <w:b/>
          <w:sz w:val="24"/>
          <w:szCs w:val="24"/>
        </w:rPr>
        <w:t>4.</w:t>
      </w:r>
      <w:r w:rsidRPr="00DC6BBF">
        <w:rPr>
          <w:b/>
          <w:sz w:val="24"/>
          <w:szCs w:val="24"/>
        </w:rPr>
        <w:tab/>
        <w:t>KLINISKE OPLYSNINGER</w:t>
      </w:r>
    </w:p>
    <w:p w14:paraId="5BBDFE84" w14:textId="77777777" w:rsidR="009260DE" w:rsidRPr="00DC6BBF" w:rsidRDefault="009260DE" w:rsidP="009260DE">
      <w:pPr>
        <w:tabs>
          <w:tab w:val="left" w:pos="851"/>
        </w:tabs>
        <w:ind w:left="851"/>
        <w:rPr>
          <w:b/>
          <w:sz w:val="24"/>
          <w:szCs w:val="24"/>
        </w:rPr>
      </w:pPr>
    </w:p>
    <w:p w14:paraId="22D9E925" w14:textId="77777777" w:rsidR="009260DE" w:rsidRPr="00DC6BBF" w:rsidRDefault="009260DE" w:rsidP="009260DE">
      <w:pPr>
        <w:tabs>
          <w:tab w:val="left" w:pos="851"/>
        </w:tabs>
        <w:ind w:left="851" w:hanging="851"/>
        <w:rPr>
          <w:b/>
          <w:sz w:val="24"/>
          <w:szCs w:val="24"/>
          <w:u w:val="single"/>
        </w:rPr>
      </w:pPr>
      <w:r w:rsidRPr="00DC6BBF">
        <w:rPr>
          <w:b/>
          <w:sz w:val="24"/>
          <w:szCs w:val="24"/>
        </w:rPr>
        <w:t>4.1</w:t>
      </w:r>
      <w:r w:rsidRPr="00DC6BBF">
        <w:rPr>
          <w:b/>
          <w:sz w:val="24"/>
          <w:szCs w:val="24"/>
        </w:rPr>
        <w:tab/>
        <w:t>Terapeutiske indikationer</w:t>
      </w:r>
    </w:p>
    <w:p w14:paraId="288503D0" w14:textId="77777777" w:rsidR="008B2AE5" w:rsidRPr="00DC6BBF" w:rsidRDefault="008B2AE5" w:rsidP="008767FD">
      <w:pPr>
        <w:ind w:left="851"/>
        <w:rPr>
          <w:sz w:val="24"/>
          <w:szCs w:val="24"/>
        </w:rPr>
      </w:pPr>
      <w:proofErr w:type="spellStart"/>
      <w:r w:rsidRPr="00DC6BBF">
        <w:rPr>
          <w:sz w:val="24"/>
          <w:szCs w:val="24"/>
        </w:rPr>
        <w:t>Topikal</w:t>
      </w:r>
      <w:proofErr w:type="spellEnd"/>
      <w:r w:rsidRPr="00DC6BBF">
        <w:rPr>
          <w:sz w:val="24"/>
          <w:szCs w:val="24"/>
        </w:rPr>
        <w:t xml:space="preserve"> behandling af psoriasis </w:t>
      </w:r>
      <w:proofErr w:type="spellStart"/>
      <w:r w:rsidRPr="00DC6BBF">
        <w:rPr>
          <w:sz w:val="24"/>
          <w:szCs w:val="24"/>
        </w:rPr>
        <w:t>vulgaris</w:t>
      </w:r>
      <w:proofErr w:type="spellEnd"/>
      <w:r w:rsidRPr="00DC6BBF">
        <w:rPr>
          <w:sz w:val="24"/>
          <w:szCs w:val="24"/>
        </w:rPr>
        <w:t xml:space="preserve"> hos voksne.</w:t>
      </w:r>
    </w:p>
    <w:p w14:paraId="3B74DC4B" w14:textId="77777777" w:rsidR="009260DE" w:rsidRPr="00DC6BBF" w:rsidRDefault="009260DE" w:rsidP="009260DE">
      <w:pPr>
        <w:tabs>
          <w:tab w:val="left" w:pos="851"/>
        </w:tabs>
        <w:ind w:left="851"/>
        <w:rPr>
          <w:sz w:val="24"/>
          <w:szCs w:val="24"/>
        </w:rPr>
      </w:pPr>
    </w:p>
    <w:p w14:paraId="0D33FE38" w14:textId="77777777" w:rsidR="009260DE" w:rsidRPr="00DC6BBF" w:rsidRDefault="009260DE" w:rsidP="009260DE">
      <w:pPr>
        <w:tabs>
          <w:tab w:val="left" w:pos="851"/>
        </w:tabs>
        <w:ind w:left="851" w:hanging="851"/>
        <w:rPr>
          <w:b/>
          <w:sz w:val="24"/>
          <w:szCs w:val="24"/>
        </w:rPr>
      </w:pPr>
      <w:r w:rsidRPr="00DC6BBF">
        <w:rPr>
          <w:b/>
          <w:sz w:val="24"/>
          <w:szCs w:val="24"/>
        </w:rPr>
        <w:t>4.2</w:t>
      </w:r>
      <w:r w:rsidRPr="00DC6BBF">
        <w:rPr>
          <w:b/>
          <w:sz w:val="24"/>
          <w:szCs w:val="24"/>
        </w:rPr>
        <w:tab/>
        <w:t xml:space="preserve">Dosering og </w:t>
      </w:r>
      <w:r w:rsidR="002C1EC0" w:rsidRPr="00DC6BBF">
        <w:rPr>
          <w:b/>
          <w:sz w:val="24"/>
          <w:szCs w:val="24"/>
        </w:rPr>
        <w:t>administration</w:t>
      </w:r>
    </w:p>
    <w:p w14:paraId="5FAF7460" w14:textId="77777777" w:rsidR="00DC6BBF" w:rsidRDefault="00DC6BBF" w:rsidP="008767FD">
      <w:pPr>
        <w:ind w:left="851"/>
        <w:rPr>
          <w:sz w:val="24"/>
          <w:szCs w:val="24"/>
        </w:rPr>
      </w:pPr>
    </w:p>
    <w:p w14:paraId="591B04BC" w14:textId="5E3CDB21" w:rsidR="008B2AE5" w:rsidRPr="00DC6BBF" w:rsidRDefault="008B2AE5" w:rsidP="008767FD">
      <w:pPr>
        <w:ind w:left="851"/>
        <w:rPr>
          <w:sz w:val="24"/>
          <w:szCs w:val="24"/>
          <w:u w:val="single"/>
        </w:rPr>
      </w:pPr>
      <w:r w:rsidRPr="00DC6BBF">
        <w:rPr>
          <w:sz w:val="24"/>
          <w:szCs w:val="24"/>
          <w:u w:val="single"/>
        </w:rPr>
        <w:t>Dosering</w:t>
      </w:r>
    </w:p>
    <w:p w14:paraId="7C919196" w14:textId="77777777" w:rsidR="008B2AE5" w:rsidRPr="00DC6BBF" w:rsidRDefault="008B2AE5" w:rsidP="008767FD">
      <w:pPr>
        <w:ind w:left="851"/>
        <w:rPr>
          <w:sz w:val="24"/>
          <w:szCs w:val="24"/>
        </w:rPr>
      </w:pPr>
    </w:p>
    <w:p w14:paraId="778B19E8" w14:textId="77777777" w:rsidR="008B2AE5" w:rsidRPr="00DC6BBF" w:rsidRDefault="008B2AE5" w:rsidP="008767FD">
      <w:pPr>
        <w:ind w:left="851"/>
        <w:rPr>
          <w:i/>
          <w:iCs/>
          <w:sz w:val="24"/>
          <w:szCs w:val="24"/>
        </w:rPr>
      </w:pPr>
      <w:r w:rsidRPr="00DC6BBF">
        <w:rPr>
          <w:i/>
          <w:iCs/>
          <w:sz w:val="24"/>
          <w:szCs w:val="24"/>
        </w:rPr>
        <w:t>Behandling ved udbrud</w:t>
      </w:r>
    </w:p>
    <w:p w14:paraId="2E6DC135" w14:textId="77777777" w:rsidR="008B2AE5" w:rsidRPr="00DC6BBF" w:rsidRDefault="008B2AE5" w:rsidP="008767FD">
      <w:pPr>
        <w:ind w:left="851"/>
        <w:rPr>
          <w:sz w:val="24"/>
          <w:szCs w:val="24"/>
        </w:rPr>
      </w:pPr>
      <w:proofErr w:type="spellStart"/>
      <w:r w:rsidRPr="00DC6BBF">
        <w:rPr>
          <w:sz w:val="24"/>
          <w:szCs w:val="24"/>
        </w:rPr>
        <w:t>Hilkota</w:t>
      </w:r>
      <w:proofErr w:type="spellEnd"/>
      <w:r w:rsidRPr="00DC6BBF">
        <w:rPr>
          <w:sz w:val="24"/>
          <w:szCs w:val="24"/>
        </w:rPr>
        <w:t xml:space="preserve"> skum påføres det berørte hudområde én gang dagligt. Den anbefalede behandlingstid er 4 uger. Hvis det er nødvendigt at fortsætte eller påbegynde behandling igen efter denne periode, bør behandlingen fortsættes efter en læges vurdering, og lægen bør følge patienten regelmæssigt.</w:t>
      </w:r>
    </w:p>
    <w:p w14:paraId="4399E5B2" w14:textId="430ED2C9" w:rsidR="00282CB9" w:rsidRDefault="00282CB9">
      <w:pPr>
        <w:rPr>
          <w:sz w:val="24"/>
          <w:szCs w:val="24"/>
        </w:rPr>
      </w:pPr>
      <w:r>
        <w:rPr>
          <w:sz w:val="24"/>
          <w:szCs w:val="24"/>
        </w:rPr>
        <w:br w:type="page"/>
      </w:r>
    </w:p>
    <w:p w14:paraId="2AB941F6" w14:textId="77777777" w:rsidR="008B2AE5" w:rsidRPr="00DC6BBF" w:rsidRDefault="008B2AE5" w:rsidP="008767FD">
      <w:pPr>
        <w:ind w:left="851"/>
        <w:rPr>
          <w:sz w:val="24"/>
          <w:szCs w:val="24"/>
        </w:rPr>
      </w:pPr>
    </w:p>
    <w:p w14:paraId="020DB688" w14:textId="77777777" w:rsidR="008B2AE5" w:rsidRPr="00DC6BBF" w:rsidRDefault="008B2AE5" w:rsidP="008767FD">
      <w:pPr>
        <w:ind w:left="851"/>
        <w:rPr>
          <w:i/>
          <w:sz w:val="24"/>
          <w:szCs w:val="24"/>
        </w:rPr>
      </w:pPr>
      <w:r w:rsidRPr="00DC6BBF">
        <w:rPr>
          <w:i/>
          <w:sz w:val="24"/>
          <w:szCs w:val="24"/>
        </w:rPr>
        <w:t>Maksimal dosis</w:t>
      </w:r>
    </w:p>
    <w:p w14:paraId="63204337" w14:textId="77777777" w:rsidR="008B2AE5" w:rsidRPr="00DC6BBF" w:rsidRDefault="008B2AE5" w:rsidP="008767FD">
      <w:pPr>
        <w:ind w:left="851"/>
        <w:rPr>
          <w:sz w:val="24"/>
          <w:szCs w:val="24"/>
        </w:rPr>
      </w:pPr>
      <w:r w:rsidRPr="00DC6BBF">
        <w:rPr>
          <w:sz w:val="24"/>
          <w:szCs w:val="24"/>
        </w:rPr>
        <w:t xml:space="preserve">Den maksimale daglige dosis </w:t>
      </w:r>
      <w:proofErr w:type="spellStart"/>
      <w:r w:rsidRPr="00DC6BBF">
        <w:rPr>
          <w:sz w:val="24"/>
          <w:szCs w:val="24"/>
        </w:rPr>
        <w:t>Hilkota</w:t>
      </w:r>
      <w:proofErr w:type="spellEnd"/>
      <w:r w:rsidRPr="00DC6BBF">
        <w:rPr>
          <w:sz w:val="24"/>
          <w:szCs w:val="24"/>
        </w:rPr>
        <w:t xml:space="preserve"> skum bør ikke overstige 15 g, dvs. at én 60 g beholder bør vare til mindst 4 dages behandling. 15 g svarer til den mængde, der administreres fra beholderen, hvis sprayknappen er trykket helt i bund i ca. et minut. Et 2</w:t>
      </w:r>
      <w:r w:rsidRPr="00DC6BBF">
        <w:rPr>
          <w:sz w:val="24"/>
          <w:szCs w:val="24"/>
        </w:rPr>
        <w:noBreakHyphen/>
        <w:t>sekunders tryk leverer ca. 0,5 g. Som en vejledning bør 0,5 g skum dække et område på huden, der ca. svarer til overfladen af en voksens hånd.</w:t>
      </w:r>
    </w:p>
    <w:p w14:paraId="67BF7D95" w14:textId="77777777" w:rsidR="008B2AE5" w:rsidRPr="00DC6BBF" w:rsidRDefault="008B2AE5" w:rsidP="008767FD">
      <w:pPr>
        <w:ind w:left="851"/>
        <w:rPr>
          <w:sz w:val="24"/>
          <w:szCs w:val="24"/>
        </w:rPr>
      </w:pPr>
    </w:p>
    <w:p w14:paraId="38419D7D" w14:textId="77777777" w:rsidR="008B2AE5" w:rsidRPr="00DC6BBF" w:rsidRDefault="008B2AE5" w:rsidP="008767FD">
      <w:pPr>
        <w:ind w:left="851"/>
        <w:rPr>
          <w:sz w:val="24"/>
          <w:szCs w:val="24"/>
        </w:rPr>
      </w:pPr>
      <w:r w:rsidRPr="00DC6BBF">
        <w:rPr>
          <w:sz w:val="24"/>
          <w:szCs w:val="24"/>
        </w:rPr>
        <w:t xml:space="preserve">Ved brug af andre </w:t>
      </w:r>
      <w:proofErr w:type="spellStart"/>
      <w:r w:rsidRPr="00DC6BBF">
        <w:rPr>
          <w:sz w:val="24"/>
          <w:szCs w:val="24"/>
        </w:rPr>
        <w:t>topikale</w:t>
      </w:r>
      <w:proofErr w:type="spellEnd"/>
      <w:r w:rsidRPr="00DC6BBF">
        <w:rPr>
          <w:sz w:val="24"/>
          <w:szCs w:val="24"/>
        </w:rPr>
        <w:t xml:space="preserve"> præparater indeholdende </w:t>
      </w:r>
      <w:proofErr w:type="spellStart"/>
      <w:r w:rsidRPr="00DC6BBF">
        <w:rPr>
          <w:sz w:val="24"/>
          <w:szCs w:val="24"/>
        </w:rPr>
        <w:t>calcipotriol</w:t>
      </w:r>
      <w:proofErr w:type="spellEnd"/>
      <w:r w:rsidRPr="00DC6BBF">
        <w:rPr>
          <w:sz w:val="24"/>
          <w:szCs w:val="24"/>
        </w:rPr>
        <w:t xml:space="preserve">, foruden </w:t>
      </w:r>
      <w:proofErr w:type="spellStart"/>
      <w:r w:rsidRPr="00DC6BBF">
        <w:rPr>
          <w:sz w:val="24"/>
          <w:szCs w:val="24"/>
        </w:rPr>
        <w:t>Hilkota</w:t>
      </w:r>
      <w:proofErr w:type="spellEnd"/>
      <w:r w:rsidRPr="00DC6BBF">
        <w:rPr>
          <w:sz w:val="24"/>
          <w:szCs w:val="24"/>
        </w:rPr>
        <w:t xml:space="preserve"> skum, bør den totale dosis af alle præparater indeholdende </w:t>
      </w:r>
      <w:proofErr w:type="spellStart"/>
      <w:r w:rsidRPr="00DC6BBF">
        <w:rPr>
          <w:sz w:val="24"/>
          <w:szCs w:val="24"/>
        </w:rPr>
        <w:t>calcipotriol</w:t>
      </w:r>
      <w:proofErr w:type="spellEnd"/>
      <w:r w:rsidRPr="00DC6BBF">
        <w:rPr>
          <w:sz w:val="24"/>
          <w:szCs w:val="24"/>
        </w:rPr>
        <w:t xml:space="preserve"> ikke overstige 15 g pr. dag.</w:t>
      </w:r>
    </w:p>
    <w:p w14:paraId="48438E84" w14:textId="77777777" w:rsidR="008B2AE5" w:rsidRPr="00DC6BBF" w:rsidRDefault="008B2AE5" w:rsidP="008767FD">
      <w:pPr>
        <w:ind w:left="851"/>
        <w:rPr>
          <w:sz w:val="24"/>
          <w:szCs w:val="24"/>
        </w:rPr>
      </w:pPr>
    </w:p>
    <w:p w14:paraId="62BF2A14" w14:textId="77777777" w:rsidR="008B2AE5" w:rsidRPr="00DC6BBF" w:rsidRDefault="008B2AE5" w:rsidP="008767FD">
      <w:pPr>
        <w:ind w:left="851"/>
        <w:rPr>
          <w:sz w:val="24"/>
          <w:szCs w:val="24"/>
        </w:rPr>
      </w:pPr>
      <w:r w:rsidRPr="00DC6BBF">
        <w:rPr>
          <w:sz w:val="24"/>
          <w:szCs w:val="24"/>
        </w:rPr>
        <w:t>Kroppens samlede behandlede areal bør ikke overstige 30 %.</w:t>
      </w:r>
    </w:p>
    <w:p w14:paraId="5ABE3015" w14:textId="77777777" w:rsidR="008B2AE5" w:rsidRPr="00DC6BBF" w:rsidRDefault="008B2AE5" w:rsidP="008767FD">
      <w:pPr>
        <w:ind w:left="851"/>
        <w:rPr>
          <w:sz w:val="24"/>
          <w:szCs w:val="24"/>
        </w:rPr>
      </w:pPr>
    </w:p>
    <w:p w14:paraId="4D478845" w14:textId="77777777" w:rsidR="008B2AE5" w:rsidRPr="00DC6BBF" w:rsidRDefault="008B2AE5" w:rsidP="008767FD">
      <w:pPr>
        <w:ind w:left="851"/>
        <w:rPr>
          <w:sz w:val="24"/>
          <w:szCs w:val="24"/>
          <w:u w:val="single"/>
        </w:rPr>
      </w:pPr>
      <w:r w:rsidRPr="00DC6BBF">
        <w:rPr>
          <w:sz w:val="24"/>
          <w:szCs w:val="24"/>
          <w:u w:val="single"/>
        </w:rPr>
        <w:t>Særlige populationer</w:t>
      </w:r>
    </w:p>
    <w:p w14:paraId="4C439575" w14:textId="77777777" w:rsidR="008B2AE5" w:rsidRPr="00DC6BBF" w:rsidRDefault="008B2AE5" w:rsidP="008767FD">
      <w:pPr>
        <w:ind w:left="851"/>
        <w:rPr>
          <w:sz w:val="24"/>
          <w:szCs w:val="24"/>
        </w:rPr>
      </w:pPr>
    </w:p>
    <w:p w14:paraId="57C993E7" w14:textId="77777777" w:rsidR="008B2AE5" w:rsidRPr="00DC6BBF" w:rsidRDefault="008B2AE5" w:rsidP="008767FD">
      <w:pPr>
        <w:ind w:left="851"/>
        <w:rPr>
          <w:sz w:val="24"/>
          <w:szCs w:val="24"/>
        </w:rPr>
      </w:pPr>
      <w:r w:rsidRPr="00DC6BBF">
        <w:rPr>
          <w:i/>
          <w:sz w:val="24"/>
          <w:szCs w:val="24"/>
        </w:rPr>
        <w:t>Nedsat nyre</w:t>
      </w:r>
      <w:r w:rsidRPr="00DC6BBF">
        <w:rPr>
          <w:i/>
          <w:sz w:val="24"/>
          <w:szCs w:val="24"/>
        </w:rPr>
        <w:noBreakHyphen/>
        <w:t xml:space="preserve"> og leverfunktion</w:t>
      </w:r>
    </w:p>
    <w:p w14:paraId="6B3BDC0F" w14:textId="77777777" w:rsidR="008B2AE5" w:rsidRPr="00DC6BBF" w:rsidRDefault="008B2AE5" w:rsidP="008767FD">
      <w:pPr>
        <w:ind w:left="851"/>
        <w:rPr>
          <w:sz w:val="24"/>
          <w:szCs w:val="24"/>
        </w:rPr>
      </w:pPr>
      <w:proofErr w:type="spellStart"/>
      <w:r w:rsidRPr="00DC6BBF">
        <w:rPr>
          <w:sz w:val="24"/>
          <w:szCs w:val="24"/>
        </w:rPr>
        <w:t>Hilkota</w:t>
      </w:r>
      <w:proofErr w:type="spellEnd"/>
      <w:r w:rsidRPr="00DC6BBF">
        <w:rPr>
          <w:sz w:val="24"/>
          <w:szCs w:val="24"/>
        </w:rPr>
        <w:t xml:space="preserve"> skums sikkerhed og virkningen hos patienter med svær nyreinsufficiens eller svære leversygedomme er ikke undersøgt.</w:t>
      </w:r>
    </w:p>
    <w:p w14:paraId="72760ECD" w14:textId="77777777" w:rsidR="008B2AE5" w:rsidRPr="00DC6BBF" w:rsidRDefault="008B2AE5" w:rsidP="008767FD">
      <w:pPr>
        <w:ind w:left="851"/>
        <w:rPr>
          <w:sz w:val="24"/>
          <w:szCs w:val="24"/>
        </w:rPr>
      </w:pPr>
    </w:p>
    <w:p w14:paraId="3622C948" w14:textId="77777777" w:rsidR="008B2AE5" w:rsidRPr="00DC6BBF" w:rsidRDefault="008B2AE5" w:rsidP="008767FD">
      <w:pPr>
        <w:ind w:left="851"/>
        <w:rPr>
          <w:sz w:val="24"/>
          <w:szCs w:val="24"/>
        </w:rPr>
      </w:pPr>
      <w:r w:rsidRPr="00DC6BBF">
        <w:rPr>
          <w:i/>
          <w:sz w:val="24"/>
          <w:szCs w:val="24"/>
        </w:rPr>
        <w:t>Pædiatrisk population</w:t>
      </w:r>
    </w:p>
    <w:p w14:paraId="6F909DE7" w14:textId="77777777" w:rsidR="008B2AE5" w:rsidRPr="00DC6BBF" w:rsidRDefault="008B2AE5" w:rsidP="008767FD">
      <w:pPr>
        <w:ind w:left="851"/>
        <w:rPr>
          <w:sz w:val="24"/>
          <w:szCs w:val="24"/>
        </w:rPr>
      </w:pPr>
      <w:proofErr w:type="spellStart"/>
      <w:r w:rsidRPr="00DC6BBF">
        <w:rPr>
          <w:sz w:val="24"/>
          <w:szCs w:val="24"/>
        </w:rPr>
        <w:t>Hilkota</w:t>
      </w:r>
      <w:proofErr w:type="spellEnd"/>
      <w:r w:rsidRPr="00DC6BBF">
        <w:rPr>
          <w:sz w:val="24"/>
          <w:szCs w:val="24"/>
        </w:rPr>
        <w:t xml:space="preserve"> skums sikkerhed og virkning hos børn under 18 år er ikke klarlagt. De foreliggende data for børn i alderen 12 til 17 år er beskrevet i pkt. 4.8 og 5.1, men der kan ikke gives nogen anbefalinger vedrørende dosering.</w:t>
      </w:r>
    </w:p>
    <w:p w14:paraId="1A06A374" w14:textId="77777777" w:rsidR="008B2AE5" w:rsidRPr="00DC6BBF" w:rsidRDefault="008B2AE5" w:rsidP="008767FD">
      <w:pPr>
        <w:ind w:left="851"/>
        <w:rPr>
          <w:sz w:val="24"/>
          <w:szCs w:val="24"/>
        </w:rPr>
      </w:pPr>
    </w:p>
    <w:p w14:paraId="0BB9486D" w14:textId="77777777" w:rsidR="008B2AE5" w:rsidRPr="00DC6BBF" w:rsidRDefault="008B2AE5" w:rsidP="008767FD">
      <w:pPr>
        <w:ind w:left="851"/>
        <w:rPr>
          <w:sz w:val="24"/>
          <w:szCs w:val="24"/>
          <w:u w:val="single"/>
        </w:rPr>
      </w:pPr>
      <w:r w:rsidRPr="00DC6BBF">
        <w:rPr>
          <w:sz w:val="24"/>
          <w:szCs w:val="24"/>
          <w:u w:val="single"/>
        </w:rPr>
        <w:t>Administration</w:t>
      </w:r>
    </w:p>
    <w:p w14:paraId="785D310C" w14:textId="77777777" w:rsidR="008B2AE5" w:rsidRPr="00DC6BBF" w:rsidRDefault="008B2AE5" w:rsidP="008767FD">
      <w:pPr>
        <w:ind w:left="851"/>
        <w:rPr>
          <w:sz w:val="24"/>
          <w:szCs w:val="24"/>
        </w:rPr>
      </w:pPr>
      <w:r w:rsidRPr="00DC6BBF">
        <w:rPr>
          <w:sz w:val="24"/>
          <w:szCs w:val="24"/>
        </w:rPr>
        <w:t xml:space="preserve">Til </w:t>
      </w:r>
      <w:proofErr w:type="spellStart"/>
      <w:r w:rsidRPr="00DC6BBF">
        <w:rPr>
          <w:sz w:val="24"/>
          <w:szCs w:val="24"/>
        </w:rPr>
        <w:t>kutan</w:t>
      </w:r>
      <w:proofErr w:type="spellEnd"/>
      <w:r w:rsidRPr="00DC6BBF">
        <w:rPr>
          <w:sz w:val="24"/>
          <w:szCs w:val="24"/>
        </w:rPr>
        <w:t xml:space="preserve"> anvendelse.</w:t>
      </w:r>
    </w:p>
    <w:p w14:paraId="2A2F9F55" w14:textId="77777777" w:rsidR="008B2AE5" w:rsidRPr="00DC6BBF" w:rsidRDefault="008B2AE5" w:rsidP="008767FD">
      <w:pPr>
        <w:ind w:left="851"/>
        <w:rPr>
          <w:sz w:val="24"/>
          <w:szCs w:val="24"/>
        </w:rPr>
      </w:pPr>
    </w:p>
    <w:p w14:paraId="00005108" w14:textId="77777777" w:rsidR="008B2AE5" w:rsidRPr="00DC6BBF" w:rsidRDefault="008B2AE5" w:rsidP="008767FD">
      <w:pPr>
        <w:ind w:left="851"/>
        <w:rPr>
          <w:sz w:val="24"/>
          <w:szCs w:val="24"/>
        </w:rPr>
      </w:pPr>
      <w:r w:rsidRPr="00DC6BBF">
        <w:rPr>
          <w:sz w:val="24"/>
          <w:szCs w:val="24"/>
        </w:rPr>
        <w:t xml:space="preserve">Beholderen skal omrystes et par sekunder før brug. </w:t>
      </w:r>
      <w:proofErr w:type="spellStart"/>
      <w:r w:rsidRPr="00DC6BBF">
        <w:rPr>
          <w:sz w:val="24"/>
          <w:szCs w:val="24"/>
        </w:rPr>
        <w:t>Hilkota</w:t>
      </w:r>
      <w:proofErr w:type="spellEnd"/>
      <w:r w:rsidRPr="00DC6BBF">
        <w:rPr>
          <w:sz w:val="24"/>
          <w:szCs w:val="24"/>
        </w:rPr>
        <w:t xml:space="preserve"> skum skal påføres ved at sprøjte i en afstand på mindst 3 cm fra huden. Skummet kan sprøjtes, uanset hvilken retning beholderen holdes i, undtagen vandret.</w:t>
      </w:r>
    </w:p>
    <w:p w14:paraId="27314885" w14:textId="77777777" w:rsidR="008B2AE5" w:rsidRPr="00DC6BBF" w:rsidRDefault="008B2AE5" w:rsidP="008767FD">
      <w:pPr>
        <w:ind w:left="851"/>
        <w:rPr>
          <w:sz w:val="24"/>
          <w:szCs w:val="24"/>
        </w:rPr>
      </w:pPr>
    </w:p>
    <w:p w14:paraId="28B7DB07" w14:textId="77777777" w:rsidR="008B2AE5" w:rsidRPr="00DC6BBF" w:rsidRDefault="008B2AE5" w:rsidP="008767FD">
      <w:pPr>
        <w:ind w:left="851"/>
        <w:rPr>
          <w:sz w:val="24"/>
          <w:szCs w:val="24"/>
        </w:rPr>
      </w:pPr>
      <w:proofErr w:type="spellStart"/>
      <w:r w:rsidRPr="00DC6BBF">
        <w:rPr>
          <w:sz w:val="24"/>
          <w:szCs w:val="24"/>
        </w:rPr>
        <w:t>Hilkota</w:t>
      </w:r>
      <w:proofErr w:type="spellEnd"/>
      <w:r w:rsidRPr="00DC6BBF">
        <w:rPr>
          <w:sz w:val="24"/>
          <w:szCs w:val="24"/>
        </w:rPr>
        <w:t xml:space="preserve"> skum skal sprøjtes direkte på hvert berørt område og gnides forsigtigt ind i huden.</w:t>
      </w:r>
    </w:p>
    <w:p w14:paraId="305A7276" w14:textId="77777777" w:rsidR="008B2AE5" w:rsidRPr="00DC6BBF" w:rsidRDefault="008B2AE5" w:rsidP="008767FD">
      <w:pPr>
        <w:ind w:left="851"/>
        <w:rPr>
          <w:sz w:val="24"/>
          <w:szCs w:val="24"/>
        </w:rPr>
      </w:pPr>
    </w:p>
    <w:p w14:paraId="18E5E752" w14:textId="77777777" w:rsidR="008B2AE5" w:rsidRPr="00DC6BBF" w:rsidRDefault="008B2AE5" w:rsidP="008767FD">
      <w:pPr>
        <w:ind w:left="851"/>
        <w:rPr>
          <w:sz w:val="24"/>
          <w:szCs w:val="24"/>
        </w:rPr>
      </w:pPr>
      <w:r w:rsidRPr="00DC6BBF">
        <w:rPr>
          <w:sz w:val="24"/>
          <w:szCs w:val="24"/>
        </w:rPr>
        <w:t xml:space="preserve">Hvis </w:t>
      </w:r>
      <w:proofErr w:type="spellStart"/>
      <w:r w:rsidRPr="00DC6BBF">
        <w:rPr>
          <w:sz w:val="24"/>
          <w:szCs w:val="24"/>
        </w:rPr>
        <w:t>Hilkota</w:t>
      </w:r>
      <w:proofErr w:type="spellEnd"/>
      <w:r w:rsidRPr="00DC6BBF">
        <w:rPr>
          <w:sz w:val="24"/>
          <w:szCs w:val="24"/>
        </w:rPr>
        <w:t xml:space="preserve"> skum anvendes på hovedbunden, bør det sprøjtes i håndfladen og herefter påføres på de berørte områder på hovedbunden med fingerspidserne. Instruktioner til hårvask kan findes i indlægssedlen.</w:t>
      </w:r>
    </w:p>
    <w:p w14:paraId="46E7EF15" w14:textId="77777777" w:rsidR="008B2AE5" w:rsidRPr="00DC6BBF" w:rsidRDefault="008B2AE5" w:rsidP="008767FD">
      <w:pPr>
        <w:ind w:left="851"/>
        <w:rPr>
          <w:sz w:val="24"/>
          <w:szCs w:val="24"/>
        </w:rPr>
      </w:pPr>
    </w:p>
    <w:p w14:paraId="4ACBDE9B" w14:textId="77777777" w:rsidR="008B2AE5" w:rsidRPr="00DC6BBF" w:rsidRDefault="008B2AE5" w:rsidP="008767FD">
      <w:pPr>
        <w:ind w:left="851"/>
        <w:rPr>
          <w:sz w:val="24"/>
          <w:szCs w:val="24"/>
        </w:rPr>
      </w:pPr>
      <w:r w:rsidRPr="00DC6BBF">
        <w:rPr>
          <w:sz w:val="24"/>
          <w:szCs w:val="24"/>
        </w:rPr>
        <w:t xml:space="preserve">Hænderne skal vaskes efter brug af </w:t>
      </w:r>
      <w:proofErr w:type="spellStart"/>
      <w:r w:rsidRPr="00DC6BBF">
        <w:rPr>
          <w:sz w:val="24"/>
          <w:szCs w:val="24"/>
        </w:rPr>
        <w:t>Hilkota</w:t>
      </w:r>
      <w:proofErr w:type="spellEnd"/>
      <w:r w:rsidRPr="00DC6BBF">
        <w:rPr>
          <w:sz w:val="24"/>
          <w:szCs w:val="24"/>
        </w:rPr>
        <w:t xml:space="preserve"> skum (medmindre </w:t>
      </w:r>
      <w:proofErr w:type="spellStart"/>
      <w:r w:rsidRPr="00DC6BBF">
        <w:rPr>
          <w:sz w:val="24"/>
          <w:szCs w:val="24"/>
        </w:rPr>
        <w:t>Hilkota</w:t>
      </w:r>
      <w:proofErr w:type="spellEnd"/>
      <w:r w:rsidRPr="00DC6BBF">
        <w:rPr>
          <w:sz w:val="24"/>
          <w:szCs w:val="24"/>
        </w:rPr>
        <w:t xml:space="preserve"> skum anvendes til behandling af hænderne) for at undgå utilsigtet overførsel til andre dele af kroppen samt utilsigtet absorption af lægemidlet på hænderne. Anvendelse under </w:t>
      </w:r>
      <w:proofErr w:type="spellStart"/>
      <w:r w:rsidRPr="00DC6BBF">
        <w:rPr>
          <w:sz w:val="24"/>
          <w:szCs w:val="24"/>
        </w:rPr>
        <w:t>okklusionsbandager</w:t>
      </w:r>
      <w:proofErr w:type="spellEnd"/>
      <w:r w:rsidRPr="00DC6BBF">
        <w:rPr>
          <w:sz w:val="24"/>
          <w:szCs w:val="24"/>
        </w:rPr>
        <w:t xml:space="preserve"> bør undgås, da det øger den systemiske absorption af </w:t>
      </w:r>
      <w:proofErr w:type="spellStart"/>
      <w:r w:rsidRPr="00DC6BBF">
        <w:rPr>
          <w:sz w:val="24"/>
          <w:szCs w:val="24"/>
        </w:rPr>
        <w:t>kortikosteroider</w:t>
      </w:r>
      <w:proofErr w:type="spellEnd"/>
      <w:r w:rsidRPr="00DC6BBF">
        <w:rPr>
          <w:sz w:val="24"/>
          <w:szCs w:val="24"/>
        </w:rPr>
        <w:t xml:space="preserve">. Det frarådes at tage brusebad eller bad umiddelbar efter påføring af </w:t>
      </w:r>
      <w:proofErr w:type="spellStart"/>
      <w:r w:rsidRPr="00DC6BBF">
        <w:rPr>
          <w:sz w:val="24"/>
          <w:szCs w:val="24"/>
        </w:rPr>
        <w:t>Hilkota</w:t>
      </w:r>
      <w:proofErr w:type="spellEnd"/>
      <w:r w:rsidRPr="00DC6BBF">
        <w:rPr>
          <w:sz w:val="24"/>
          <w:szCs w:val="24"/>
        </w:rPr>
        <w:t xml:space="preserve"> skum. Lad skummet sidde på hovedbunden og/eller på huden natten over eller i løbet af dagen.</w:t>
      </w:r>
    </w:p>
    <w:p w14:paraId="557B5441" w14:textId="77777777" w:rsidR="009260DE" w:rsidRPr="00DC6BBF" w:rsidRDefault="009260DE" w:rsidP="009260DE">
      <w:pPr>
        <w:tabs>
          <w:tab w:val="left" w:pos="851"/>
        </w:tabs>
        <w:ind w:left="851"/>
        <w:rPr>
          <w:sz w:val="24"/>
          <w:szCs w:val="24"/>
        </w:rPr>
      </w:pPr>
    </w:p>
    <w:p w14:paraId="775C1DD9" w14:textId="77777777" w:rsidR="009260DE" w:rsidRPr="00DC6BBF" w:rsidRDefault="009260DE" w:rsidP="009260DE">
      <w:pPr>
        <w:tabs>
          <w:tab w:val="left" w:pos="851"/>
        </w:tabs>
        <w:ind w:left="851" w:hanging="851"/>
        <w:rPr>
          <w:b/>
          <w:sz w:val="24"/>
          <w:szCs w:val="24"/>
        </w:rPr>
      </w:pPr>
      <w:r w:rsidRPr="00DC6BBF">
        <w:rPr>
          <w:b/>
          <w:sz w:val="24"/>
          <w:szCs w:val="24"/>
        </w:rPr>
        <w:t>4.3</w:t>
      </w:r>
      <w:r w:rsidRPr="00DC6BBF">
        <w:rPr>
          <w:b/>
          <w:sz w:val="24"/>
          <w:szCs w:val="24"/>
        </w:rPr>
        <w:tab/>
        <w:t>Kontraindikationer</w:t>
      </w:r>
    </w:p>
    <w:p w14:paraId="4057FAAA" w14:textId="77777777" w:rsidR="008B2AE5" w:rsidRPr="00DC6BBF" w:rsidRDefault="008B2AE5" w:rsidP="008767FD">
      <w:pPr>
        <w:ind w:left="851"/>
        <w:rPr>
          <w:sz w:val="24"/>
          <w:szCs w:val="24"/>
        </w:rPr>
      </w:pPr>
      <w:r w:rsidRPr="00DC6BBF">
        <w:rPr>
          <w:sz w:val="24"/>
          <w:szCs w:val="24"/>
        </w:rPr>
        <w:t>Overfølsomhed over for de aktive stoffer eller over for et eller flere af hjælpestofferne anført i pkt. 6.1.</w:t>
      </w:r>
    </w:p>
    <w:p w14:paraId="0A381DCF" w14:textId="77777777" w:rsidR="008B2AE5" w:rsidRPr="00DC6BBF" w:rsidRDefault="008B2AE5" w:rsidP="008767FD">
      <w:pPr>
        <w:ind w:left="851"/>
        <w:rPr>
          <w:sz w:val="24"/>
          <w:szCs w:val="24"/>
        </w:rPr>
      </w:pPr>
    </w:p>
    <w:p w14:paraId="25DC3DB5" w14:textId="77777777" w:rsidR="008B2AE5" w:rsidRPr="00DC6BBF" w:rsidRDefault="008B2AE5" w:rsidP="008767FD">
      <w:pPr>
        <w:ind w:left="851"/>
        <w:rPr>
          <w:sz w:val="24"/>
          <w:szCs w:val="24"/>
        </w:rPr>
      </w:pPr>
      <w:proofErr w:type="spellStart"/>
      <w:r w:rsidRPr="00DC6BBF">
        <w:rPr>
          <w:sz w:val="24"/>
          <w:szCs w:val="24"/>
        </w:rPr>
        <w:t>Hilkota</w:t>
      </w:r>
      <w:proofErr w:type="spellEnd"/>
      <w:r w:rsidRPr="00DC6BBF">
        <w:rPr>
          <w:sz w:val="24"/>
          <w:szCs w:val="24"/>
        </w:rPr>
        <w:t xml:space="preserve"> skum er kontraindiceret ved </w:t>
      </w:r>
      <w:proofErr w:type="spellStart"/>
      <w:r w:rsidRPr="00DC6BBF">
        <w:rPr>
          <w:sz w:val="24"/>
          <w:szCs w:val="24"/>
        </w:rPr>
        <w:t>erytrodermisk</w:t>
      </w:r>
      <w:proofErr w:type="spellEnd"/>
      <w:r w:rsidRPr="00DC6BBF">
        <w:rPr>
          <w:sz w:val="24"/>
          <w:szCs w:val="24"/>
        </w:rPr>
        <w:t xml:space="preserve"> og </w:t>
      </w:r>
      <w:proofErr w:type="spellStart"/>
      <w:r w:rsidRPr="00DC6BBF">
        <w:rPr>
          <w:sz w:val="24"/>
          <w:szCs w:val="24"/>
        </w:rPr>
        <w:t>pustular</w:t>
      </w:r>
      <w:proofErr w:type="spellEnd"/>
      <w:r w:rsidRPr="00DC6BBF">
        <w:rPr>
          <w:sz w:val="24"/>
          <w:szCs w:val="24"/>
        </w:rPr>
        <w:t xml:space="preserve"> psoriasis.</w:t>
      </w:r>
    </w:p>
    <w:p w14:paraId="0D380261" w14:textId="77777777" w:rsidR="008B2AE5" w:rsidRPr="00DC6BBF" w:rsidRDefault="008B2AE5" w:rsidP="008767FD">
      <w:pPr>
        <w:ind w:left="851"/>
        <w:rPr>
          <w:sz w:val="24"/>
          <w:szCs w:val="24"/>
        </w:rPr>
      </w:pPr>
    </w:p>
    <w:p w14:paraId="38BFEA80" w14:textId="77777777" w:rsidR="008B2AE5" w:rsidRPr="00DC6BBF" w:rsidRDefault="008B2AE5" w:rsidP="008767FD">
      <w:pPr>
        <w:ind w:left="851"/>
        <w:rPr>
          <w:sz w:val="24"/>
          <w:szCs w:val="24"/>
        </w:rPr>
      </w:pPr>
      <w:r w:rsidRPr="00DC6BBF">
        <w:rPr>
          <w:sz w:val="24"/>
          <w:szCs w:val="24"/>
        </w:rPr>
        <w:lastRenderedPageBreak/>
        <w:t xml:space="preserve">På grund af indholdet af </w:t>
      </w:r>
      <w:proofErr w:type="spellStart"/>
      <w:r w:rsidRPr="00DC6BBF">
        <w:rPr>
          <w:sz w:val="24"/>
          <w:szCs w:val="24"/>
        </w:rPr>
        <w:t>calcipotriol</w:t>
      </w:r>
      <w:proofErr w:type="spellEnd"/>
      <w:r w:rsidRPr="00DC6BBF">
        <w:rPr>
          <w:sz w:val="24"/>
          <w:szCs w:val="24"/>
        </w:rPr>
        <w:t xml:space="preserve"> er </w:t>
      </w:r>
      <w:proofErr w:type="spellStart"/>
      <w:r w:rsidRPr="00DC6BBF">
        <w:rPr>
          <w:sz w:val="24"/>
          <w:szCs w:val="24"/>
        </w:rPr>
        <w:t>Hilkota</w:t>
      </w:r>
      <w:proofErr w:type="spellEnd"/>
      <w:r w:rsidRPr="00DC6BBF">
        <w:rPr>
          <w:sz w:val="24"/>
          <w:szCs w:val="24"/>
        </w:rPr>
        <w:t xml:space="preserve"> skum kontraindiceret hos patienter med kendt forstyrrelse i kalciumstofskiftet (se pkt. 4.4).</w:t>
      </w:r>
    </w:p>
    <w:p w14:paraId="3594113C" w14:textId="77777777" w:rsidR="008B2AE5" w:rsidRPr="00DC6BBF" w:rsidRDefault="008B2AE5" w:rsidP="008767FD">
      <w:pPr>
        <w:ind w:left="851"/>
        <w:rPr>
          <w:sz w:val="24"/>
          <w:szCs w:val="24"/>
        </w:rPr>
      </w:pPr>
    </w:p>
    <w:p w14:paraId="0C65F162" w14:textId="77777777" w:rsidR="008B2AE5" w:rsidRPr="00DC6BBF" w:rsidRDefault="008B2AE5" w:rsidP="008767FD">
      <w:pPr>
        <w:ind w:left="851"/>
        <w:rPr>
          <w:sz w:val="24"/>
          <w:szCs w:val="24"/>
        </w:rPr>
      </w:pPr>
      <w:r w:rsidRPr="00DC6BBF">
        <w:rPr>
          <w:sz w:val="24"/>
          <w:szCs w:val="24"/>
        </w:rPr>
        <w:t xml:space="preserve">På grund af indholdet af </w:t>
      </w:r>
      <w:proofErr w:type="spellStart"/>
      <w:r w:rsidRPr="00DC6BBF">
        <w:rPr>
          <w:sz w:val="24"/>
          <w:szCs w:val="24"/>
        </w:rPr>
        <w:t>kortikosteroid</w:t>
      </w:r>
      <w:proofErr w:type="spellEnd"/>
      <w:r w:rsidRPr="00DC6BBF">
        <w:rPr>
          <w:sz w:val="24"/>
          <w:szCs w:val="24"/>
        </w:rPr>
        <w:t xml:space="preserve"> er </w:t>
      </w:r>
      <w:proofErr w:type="spellStart"/>
      <w:r w:rsidRPr="00DC6BBF">
        <w:rPr>
          <w:sz w:val="24"/>
          <w:szCs w:val="24"/>
        </w:rPr>
        <w:t>Hilkota</w:t>
      </w:r>
      <w:proofErr w:type="spellEnd"/>
      <w:r w:rsidRPr="00DC6BBF">
        <w:rPr>
          <w:sz w:val="24"/>
          <w:szCs w:val="24"/>
        </w:rPr>
        <w:t xml:space="preserve"> skum kontraindiceret ved følgende lidelser, hvis de er til stede i behandlingsområdet: Hudinfektioner forårsaget af virus (f.eks. herpes eller </w:t>
      </w:r>
      <w:proofErr w:type="spellStart"/>
      <w:r w:rsidRPr="00DC6BBF">
        <w:rPr>
          <w:sz w:val="24"/>
          <w:szCs w:val="24"/>
        </w:rPr>
        <w:t>varicella</w:t>
      </w:r>
      <w:proofErr w:type="spellEnd"/>
      <w:r w:rsidRPr="00DC6BBF">
        <w:rPr>
          <w:sz w:val="24"/>
          <w:szCs w:val="24"/>
        </w:rPr>
        <w:t>), svampe</w:t>
      </w:r>
      <w:r w:rsidRPr="00DC6BBF">
        <w:rPr>
          <w:sz w:val="24"/>
          <w:szCs w:val="24"/>
        </w:rPr>
        <w:noBreakHyphen/>
        <w:t xml:space="preserve"> eller bakterieinfektioner i huden, infektioner forårsaget af parasitter, hudsygdomme relateret til tuberkulose, perioral </w:t>
      </w:r>
      <w:proofErr w:type="spellStart"/>
      <w:r w:rsidRPr="00DC6BBF">
        <w:rPr>
          <w:sz w:val="24"/>
          <w:szCs w:val="24"/>
        </w:rPr>
        <w:t>dermatitis</w:t>
      </w:r>
      <w:proofErr w:type="spellEnd"/>
      <w:r w:rsidRPr="00DC6BBF">
        <w:rPr>
          <w:sz w:val="24"/>
          <w:szCs w:val="24"/>
        </w:rPr>
        <w:t xml:space="preserve">, hudatrofi, </w:t>
      </w:r>
      <w:proofErr w:type="spellStart"/>
      <w:r w:rsidRPr="00DC6BBF">
        <w:rPr>
          <w:sz w:val="24"/>
          <w:szCs w:val="24"/>
        </w:rPr>
        <w:t>striae</w:t>
      </w:r>
      <w:proofErr w:type="spellEnd"/>
      <w:r w:rsidRPr="00DC6BBF">
        <w:rPr>
          <w:sz w:val="24"/>
          <w:szCs w:val="24"/>
        </w:rPr>
        <w:t xml:space="preserve"> </w:t>
      </w:r>
      <w:proofErr w:type="spellStart"/>
      <w:r w:rsidRPr="00DC6BBF">
        <w:rPr>
          <w:sz w:val="24"/>
          <w:szCs w:val="24"/>
        </w:rPr>
        <w:t>atrophicae</w:t>
      </w:r>
      <w:proofErr w:type="spellEnd"/>
      <w:r w:rsidRPr="00DC6BBF">
        <w:rPr>
          <w:sz w:val="24"/>
          <w:szCs w:val="24"/>
        </w:rPr>
        <w:t xml:space="preserve">, skørhed i hudens kar, </w:t>
      </w:r>
      <w:proofErr w:type="spellStart"/>
      <w:r w:rsidRPr="00DC6BBF">
        <w:rPr>
          <w:sz w:val="24"/>
          <w:szCs w:val="24"/>
        </w:rPr>
        <w:t>ichthyosis</w:t>
      </w:r>
      <w:proofErr w:type="spellEnd"/>
      <w:r w:rsidRPr="00DC6BBF">
        <w:rPr>
          <w:sz w:val="24"/>
          <w:szCs w:val="24"/>
        </w:rPr>
        <w:t xml:space="preserve">, </w:t>
      </w:r>
      <w:proofErr w:type="spellStart"/>
      <w:r w:rsidRPr="00DC6BBF">
        <w:rPr>
          <w:sz w:val="24"/>
          <w:szCs w:val="24"/>
        </w:rPr>
        <w:t>acne</w:t>
      </w:r>
      <w:proofErr w:type="spellEnd"/>
      <w:r w:rsidRPr="00DC6BBF">
        <w:rPr>
          <w:sz w:val="24"/>
          <w:szCs w:val="24"/>
        </w:rPr>
        <w:t xml:space="preserve"> </w:t>
      </w:r>
      <w:proofErr w:type="spellStart"/>
      <w:r w:rsidRPr="00DC6BBF">
        <w:rPr>
          <w:sz w:val="24"/>
          <w:szCs w:val="24"/>
        </w:rPr>
        <w:t>vulgaris</w:t>
      </w:r>
      <w:proofErr w:type="spellEnd"/>
      <w:r w:rsidRPr="00DC6BBF">
        <w:rPr>
          <w:sz w:val="24"/>
          <w:szCs w:val="24"/>
        </w:rPr>
        <w:t xml:space="preserve">, </w:t>
      </w:r>
      <w:proofErr w:type="spellStart"/>
      <w:r w:rsidRPr="00DC6BBF">
        <w:rPr>
          <w:sz w:val="24"/>
          <w:szCs w:val="24"/>
        </w:rPr>
        <w:t>acne</w:t>
      </w:r>
      <w:proofErr w:type="spellEnd"/>
      <w:r w:rsidRPr="00DC6BBF">
        <w:rPr>
          <w:sz w:val="24"/>
          <w:szCs w:val="24"/>
        </w:rPr>
        <w:t xml:space="preserve"> </w:t>
      </w:r>
      <w:proofErr w:type="spellStart"/>
      <w:r w:rsidRPr="00DC6BBF">
        <w:rPr>
          <w:sz w:val="24"/>
          <w:szCs w:val="24"/>
        </w:rPr>
        <w:t>rosacea</w:t>
      </w:r>
      <w:proofErr w:type="spellEnd"/>
      <w:r w:rsidRPr="00DC6BBF">
        <w:rPr>
          <w:sz w:val="24"/>
          <w:szCs w:val="24"/>
        </w:rPr>
        <w:t xml:space="preserve">, </w:t>
      </w:r>
      <w:proofErr w:type="spellStart"/>
      <w:r w:rsidRPr="00DC6BBF">
        <w:rPr>
          <w:sz w:val="24"/>
          <w:szCs w:val="24"/>
        </w:rPr>
        <w:t>rosacea</w:t>
      </w:r>
      <w:proofErr w:type="spellEnd"/>
      <w:r w:rsidRPr="00DC6BBF">
        <w:rPr>
          <w:sz w:val="24"/>
          <w:szCs w:val="24"/>
        </w:rPr>
        <w:t xml:space="preserve">, </w:t>
      </w:r>
      <w:proofErr w:type="spellStart"/>
      <w:r w:rsidRPr="00DC6BBF">
        <w:rPr>
          <w:sz w:val="24"/>
          <w:szCs w:val="24"/>
        </w:rPr>
        <w:t>ulcerationer</w:t>
      </w:r>
      <w:proofErr w:type="spellEnd"/>
      <w:r w:rsidRPr="00DC6BBF">
        <w:rPr>
          <w:sz w:val="24"/>
          <w:szCs w:val="24"/>
        </w:rPr>
        <w:t xml:space="preserve"> og sår (se pkt. 4.4).</w:t>
      </w:r>
    </w:p>
    <w:p w14:paraId="15C3FB9B" w14:textId="77777777" w:rsidR="009260DE" w:rsidRPr="00DC6BBF" w:rsidRDefault="009260DE" w:rsidP="009260DE">
      <w:pPr>
        <w:tabs>
          <w:tab w:val="left" w:pos="851"/>
        </w:tabs>
        <w:ind w:left="851"/>
        <w:rPr>
          <w:sz w:val="24"/>
          <w:szCs w:val="24"/>
        </w:rPr>
      </w:pPr>
    </w:p>
    <w:p w14:paraId="1A982B19" w14:textId="77777777" w:rsidR="009260DE" w:rsidRPr="00DC6BBF" w:rsidRDefault="009260DE" w:rsidP="009260DE">
      <w:pPr>
        <w:tabs>
          <w:tab w:val="left" w:pos="851"/>
        </w:tabs>
        <w:ind w:left="851" w:hanging="851"/>
        <w:rPr>
          <w:b/>
          <w:sz w:val="24"/>
          <w:szCs w:val="24"/>
        </w:rPr>
      </w:pPr>
      <w:r w:rsidRPr="00DC6BBF">
        <w:rPr>
          <w:b/>
          <w:sz w:val="24"/>
          <w:szCs w:val="24"/>
        </w:rPr>
        <w:t>4.4</w:t>
      </w:r>
      <w:r w:rsidRPr="00DC6BBF">
        <w:rPr>
          <w:b/>
          <w:sz w:val="24"/>
          <w:szCs w:val="24"/>
        </w:rPr>
        <w:tab/>
        <w:t>Særlige advarsler og forsigtighedsregler vedrørende brugen</w:t>
      </w:r>
    </w:p>
    <w:p w14:paraId="38886E0B" w14:textId="77777777" w:rsidR="00DC6BBF" w:rsidRDefault="00DC6BBF" w:rsidP="008767FD">
      <w:pPr>
        <w:ind w:left="851"/>
        <w:rPr>
          <w:sz w:val="24"/>
          <w:szCs w:val="24"/>
        </w:rPr>
      </w:pPr>
    </w:p>
    <w:p w14:paraId="0FB32490" w14:textId="69107C96" w:rsidR="008B2AE5" w:rsidRPr="00DC6BBF" w:rsidRDefault="008B2AE5" w:rsidP="008767FD">
      <w:pPr>
        <w:ind w:left="851"/>
        <w:rPr>
          <w:sz w:val="24"/>
          <w:szCs w:val="24"/>
          <w:u w:val="single"/>
        </w:rPr>
      </w:pPr>
      <w:r w:rsidRPr="00DC6BBF">
        <w:rPr>
          <w:sz w:val="24"/>
          <w:szCs w:val="24"/>
          <w:u w:val="single"/>
        </w:rPr>
        <w:t>Virkning på det endokrine system</w:t>
      </w:r>
    </w:p>
    <w:p w14:paraId="668E4EC0" w14:textId="77777777" w:rsidR="008B2AE5" w:rsidRPr="00DC6BBF" w:rsidRDefault="008B2AE5" w:rsidP="008767FD">
      <w:pPr>
        <w:ind w:left="851"/>
        <w:rPr>
          <w:sz w:val="24"/>
          <w:szCs w:val="24"/>
        </w:rPr>
      </w:pPr>
    </w:p>
    <w:p w14:paraId="7C6FFC8E" w14:textId="77777777" w:rsidR="008B2AE5" w:rsidRPr="00DC6BBF" w:rsidRDefault="008B2AE5" w:rsidP="008767FD">
      <w:pPr>
        <w:ind w:left="851"/>
        <w:rPr>
          <w:sz w:val="24"/>
          <w:szCs w:val="24"/>
        </w:rPr>
      </w:pPr>
      <w:r w:rsidRPr="00DC6BBF">
        <w:rPr>
          <w:sz w:val="24"/>
          <w:szCs w:val="24"/>
        </w:rPr>
        <w:t xml:space="preserve">Bivirkninger, der ses i forbindelse med systemisk </w:t>
      </w:r>
      <w:proofErr w:type="spellStart"/>
      <w:r w:rsidRPr="00DC6BBF">
        <w:rPr>
          <w:sz w:val="24"/>
          <w:szCs w:val="24"/>
        </w:rPr>
        <w:t>kortikosteroid</w:t>
      </w:r>
      <w:proofErr w:type="spellEnd"/>
      <w:r w:rsidRPr="00DC6BBF">
        <w:rPr>
          <w:sz w:val="24"/>
          <w:szCs w:val="24"/>
        </w:rPr>
        <w:t xml:space="preserve">-behandling, såsom </w:t>
      </w:r>
      <w:proofErr w:type="spellStart"/>
      <w:r w:rsidRPr="00DC6BBF">
        <w:rPr>
          <w:sz w:val="24"/>
          <w:szCs w:val="24"/>
        </w:rPr>
        <w:t>adrenokortikal</w:t>
      </w:r>
      <w:proofErr w:type="spellEnd"/>
      <w:r w:rsidRPr="00DC6BBF">
        <w:rPr>
          <w:sz w:val="24"/>
          <w:szCs w:val="24"/>
        </w:rPr>
        <w:t xml:space="preserve"> suppression eller forringet glykæmisk kontrol af diabetes mellitus, kan også opstå ved </w:t>
      </w:r>
      <w:proofErr w:type="spellStart"/>
      <w:r w:rsidRPr="00DC6BBF">
        <w:rPr>
          <w:sz w:val="24"/>
          <w:szCs w:val="24"/>
        </w:rPr>
        <w:t>topikal</w:t>
      </w:r>
      <w:proofErr w:type="spellEnd"/>
      <w:r w:rsidRPr="00DC6BBF">
        <w:rPr>
          <w:sz w:val="24"/>
          <w:szCs w:val="24"/>
        </w:rPr>
        <w:t xml:space="preserve"> </w:t>
      </w:r>
      <w:proofErr w:type="spellStart"/>
      <w:r w:rsidRPr="00DC6BBF">
        <w:rPr>
          <w:sz w:val="24"/>
          <w:szCs w:val="24"/>
        </w:rPr>
        <w:t>kortikosteroid</w:t>
      </w:r>
      <w:proofErr w:type="spellEnd"/>
      <w:r w:rsidRPr="00DC6BBF">
        <w:rPr>
          <w:sz w:val="24"/>
          <w:szCs w:val="24"/>
        </w:rPr>
        <w:t>-behandling på grund af systemisk absorption.</w:t>
      </w:r>
    </w:p>
    <w:p w14:paraId="6F38C77F" w14:textId="77777777" w:rsidR="008B2AE5" w:rsidRPr="00DC6BBF" w:rsidRDefault="008B2AE5" w:rsidP="008767FD">
      <w:pPr>
        <w:ind w:left="851"/>
        <w:rPr>
          <w:sz w:val="24"/>
          <w:szCs w:val="24"/>
        </w:rPr>
      </w:pPr>
    </w:p>
    <w:p w14:paraId="704A5356" w14:textId="77777777" w:rsidR="008B2AE5" w:rsidRPr="00DC6BBF" w:rsidRDefault="008B2AE5" w:rsidP="008767FD">
      <w:pPr>
        <w:ind w:left="851"/>
        <w:rPr>
          <w:sz w:val="24"/>
          <w:szCs w:val="24"/>
        </w:rPr>
      </w:pPr>
      <w:r w:rsidRPr="00DC6BBF">
        <w:rPr>
          <w:sz w:val="24"/>
          <w:szCs w:val="24"/>
        </w:rPr>
        <w:t xml:space="preserve">Anvendelse under </w:t>
      </w:r>
      <w:proofErr w:type="spellStart"/>
      <w:r w:rsidRPr="00DC6BBF">
        <w:rPr>
          <w:sz w:val="24"/>
          <w:szCs w:val="24"/>
        </w:rPr>
        <w:t>okklusionsbandager</w:t>
      </w:r>
      <w:proofErr w:type="spellEnd"/>
      <w:r w:rsidRPr="00DC6BBF">
        <w:rPr>
          <w:sz w:val="24"/>
          <w:szCs w:val="24"/>
        </w:rPr>
        <w:t xml:space="preserve"> bør undgås, da det øger den systemiske absorption af </w:t>
      </w:r>
      <w:proofErr w:type="spellStart"/>
      <w:r w:rsidRPr="00DC6BBF">
        <w:rPr>
          <w:sz w:val="24"/>
          <w:szCs w:val="24"/>
        </w:rPr>
        <w:t>kortikosteroider</w:t>
      </w:r>
      <w:proofErr w:type="spellEnd"/>
      <w:r w:rsidRPr="00DC6BBF">
        <w:rPr>
          <w:sz w:val="24"/>
          <w:szCs w:val="24"/>
        </w:rPr>
        <w:t xml:space="preserve">. Anvendelse på store områder med beskadiget hud, på slimhinder eller i hudfolder bør undgås, da det øger den systemiske absorption af </w:t>
      </w:r>
      <w:proofErr w:type="spellStart"/>
      <w:r w:rsidRPr="00DC6BBF">
        <w:rPr>
          <w:sz w:val="24"/>
          <w:szCs w:val="24"/>
        </w:rPr>
        <w:t>kortikosteroider</w:t>
      </w:r>
      <w:proofErr w:type="spellEnd"/>
      <w:r w:rsidRPr="00DC6BBF">
        <w:rPr>
          <w:sz w:val="24"/>
          <w:szCs w:val="24"/>
        </w:rPr>
        <w:t xml:space="preserve"> (se pkt. 4.8).</w:t>
      </w:r>
    </w:p>
    <w:p w14:paraId="6E6C025A" w14:textId="77777777" w:rsidR="008B2AE5" w:rsidRPr="00DC6BBF" w:rsidRDefault="008B2AE5" w:rsidP="008767FD">
      <w:pPr>
        <w:ind w:left="851"/>
        <w:rPr>
          <w:sz w:val="24"/>
          <w:szCs w:val="24"/>
        </w:rPr>
      </w:pPr>
    </w:p>
    <w:p w14:paraId="40A31721" w14:textId="77777777" w:rsidR="008B2AE5" w:rsidRPr="00DC6BBF" w:rsidRDefault="008B2AE5" w:rsidP="008767FD">
      <w:pPr>
        <w:ind w:left="851"/>
        <w:rPr>
          <w:sz w:val="24"/>
          <w:szCs w:val="24"/>
          <w:u w:val="single"/>
        </w:rPr>
      </w:pPr>
      <w:r w:rsidRPr="00DC6BBF">
        <w:rPr>
          <w:sz w:val="24"/>
          <w:szCs w:val="24"/>
          <w:u w:val="single"/>
        </w:rPr>
        <w:t>Synsforstyrrelser</w:t>
      </w:r>
    </w:p>
    <w:p w14:paraId="4BBB1E23" w14:textId="77777777" w:rsidR="008B2AE5" w:rsidRPr="00DC6BBF" w:rsidRDefault="008B2AE5" w:rsidP="008767FD">
      <w:pPr>
        <w:ind w:left="851"/>
        <w:rPr>
          <w:sz w:val="24"/>
          <w:szCs w:val="24"/>
        </w:rPr>
      </w:pPr>
    </w:p>
    <w:p w14:paraId="647FF3B0" w14:textId="77777777" w:rsidR="008B2AE5" w:rsidRPr="00DC6BBF" w:rsidRDefault="008B2AE5" w:rsidP="008767FD">
      <w:pPr>
        <w:ind w:left="851"/>
        <w:rPr>
          <w:sz w:val="24"/>
          <w:szCs w:val="24"/>
        </w:rPr>
      </w:pPr>
      <w:r w:rsidRPr="00DC6BBF">
        <w:rPr>
          <w:sz w:val="24"/>
          <w:szCs w:val="24"/>
        </w:rPr>
        <w:t xml:space="preserve">Ved brug af systemisk og </w:t>
      </w:r>
      <w:proofErr w:type="spellStart"/>
      <w:r w:rsidRPr="00DC6BBF">
        <w:rPr>
          <w:sz w:val="24"/>
          <w:szCs w:val="24"/>
        </w:rPr>
        <w:t>topikalt</w:t>
      </w:r>
      <w:proofErr w:type="spellEnd"/>
      <w:r w:rsidRPr="00DC6BBF">
        <w:rPr>
          <w:sz w:val="24"/>
          <w:szCs w:val="24"/>
        </w:rPr>
        <w:t xml:space="preserve"> </w:t>
      </w:r>
      <w:proofErr w:type="spellStart"/>
      <w:r w:rsidRPr="00DC6BBF">
        <w:rPr>
          <w:sz w:val="24"/>
          <w:szCs w:val="24"/>
        </w:rPr>
        <w:t>kortikosteroid</w:t>
      </w:r>
      <w:proofErr w:type="spellEnd"/>
      <w:r w:rsidRPr="00DC6BBF">
        <w:rPr>
          <w:sz w:val="24"/>
          <w:szCs w:val="24"/>
        </w:rPr>
        <w:t xml:space="preserve"> kan der blive indberettet synsforstyrrelser. Ved symptomer, såsom sløret syn eller andre synsforstyrrelser, bør det overvejes at henvise patienten til oftalmolog med henblik på vurdering af de mulige årsager. Disse kan være katarakt, </w:t>
      </w:r>
      <w:proofErr w:type="spellStart"/>
      <w:r w:rsidRPr="00DC6BBF">
        <w:rPr>
          <w:sz w:val="24"/>
          <w:szCs w:val="24"/>
        </w:rPr>
        <w:t>glaukom</w:t>
      </w:r>
      <w:proofErr w:type="spellEnd"/>
      <w:r w:rsidRPr="00DC6BBF">
        <w:rPr>
          <w:sz w:val="24"/>
          <w:szCs w:val="24"/>
        </w:rPr>
        <w:t xml:space="preserve"> eller sjældne sygdomme såsom central serøs </w:t>
      </w:r>
      <w:proofErr w:type="spellStart"/>
      <w:r w:rsidRPr="00DC6BBF">
        <w:rPr>
          <w:sz w:val="24"/>
          <w:szCs w:val="24"/>
        </w:rPr>
        <w:t>korioretinopati</w:t>
      </w:r>
      <w:proofErr w:type="spellEnd"/>
      <w:r w:rsidRPr="00DC6BBF">
        <w:rPr>
          <w:sz w:val="24"/>
          <w:szCs w:val="24"/>
        </w:rPr>
        <w:t xml:space="preserve"> (CSCR), som er blevet indberettet efter brug af systemiske og </w:t>
      </w:r>
      <w:proofErr w:type="spellStart"/>
      <w:r w:rsidRPr="00DC6BBF">
        <w:rPr>
          <w:sz w:val="24"/>
          <w:szCs w:val="24"/>
        </w:rPr>
        <w:t>topikale</w:t>
      </w:r>
      <w:proofErr w:type="spellEnd"/>
      <w:r w:rsidRPr="00DC6BBF">
        <w:rPr>
          <w:sz w:val="24"/>
          <w:szCs w:val="24"/>
        </w:rPr>
        <w:t xml:space="preserve"> </w:t>
      </w:r>
      <w:proofErr w:type="spellStart"/>
      <w:r w:rsidRPr="00DC6BBF">
        <w:rPr>
          <w:sz w:val="24"/>
          <w:szCs w:val="24"/>
        </w:rPr>
        <w:t>kortikosteroider</w:t>
      </w:r>
      <w:proofErr w:type="spellEnd"/>
      <w:r w:rsidRPr="00DC6BBF">
        <w:rPr>
          <w:sz w:val="24"/>
          <w:szCs w:val="24"/>
        </w:rPr>
        <w:t>.</w:t>
      </w:r>
    </w:p>
    <w:p w14:paraId="1BB49203" w14:textId="77777777" w:rsidR="008B2AE5" w:rsidRPr="00DC6BBF" w:rsidRDefault="008B2AE5" w:rsidP="008767FD">
      <w:pPr>
        <w:ind w:left="851"/>
        <w:rPr>
          <w:sz w:val="24"/>
          <w:szCs w:val="24"/>
        </w:rPr>
      </w:pPr>
    </w:p>
    <w:p w14:paraId="79524637" w14:textId="77777777" w:rsidR="008B2AE5" w:rsidRPr="00DC6BBF" w:rsidRDefault="008B2AE5" w:rsidP="008767FD">
      <w:pPr>
        <w:ind w:left="851"/>
        <w:rPr>
          <w:sz w:val="24"/>
          <w:szCs w:val="24"/>
          <w:u w:val="single"/>
        </w:rPr>
      </w:pPr>
      <w:r w:rsidRPr="00DC6BBF">
        <w:rPr>
          <w:sz w:val="24"/>
          <w:szCs w:val="24"/>
          <w:u w:val="single"/>
        </w:rPr>
        <w:t>Virkning på kalciummetabolismen</w:t>
      </w:r>
    </w:p>
    <w:p w14:paraId="645CB6F8" w14:textId="77777777" w:rsidR="008B2AE5" w:rsidRPr="00DC6BBF" w:rsidRDefault="008B2AE5" w:rsidP="008767FD">
      <w:pPr>
        <w:ind w:left="851"/>
        <w:rPr>
          <w:sz w:val="24"/>
          <w:szCs w:val="24"/>
        </w:rPr>
      </w:pPr>
    </w:p>
    <w:p w14:paraId="53E44632" w14:textId="77777777" w:rsidR="008B2AE5" w:rsidRPr="00DC6BBF" w:rsidRDefault="008B2AE5" w:rsidP="008767FD">
      <w:pPr>
        <w:ind w:left="851"/>
        <w:rPr>
          <w:sz w:val="24"/>
          <w:szCs w:val="24"/>
        </w:rPr>
      </w:pPr>
      <w:r w:rsidRPr="00DC6BBF">
        <w:rPr>
          <w:sz w:val="24"/>
          <w:szCs w:val="24"/>
        </w:rPr>
        <w:t xml:space="preserve">På grund af </w:t>
      </w:r>
      <w:proofErr w:type="spellStart"/>
      <w:r w:rsidRPr="00DC6BBF">
        <w:rPr>
          <w:sz w:val="24"/>
          <w:szCs w:val="24"/>
        </w:rPr>
        <w:t>calcipotriol</w:t>
      </w:r>
      <w:proofErr w:type="spellEnd"/>
      <w:r w:rsidRPr="00DC6BBF">
        <w:rPr>
          <w:sz w:val="24"/>
          <w:szCs w:val="24"/>
        </w:rPr>
        <w:t xml:space="preserve">-indholdet i </w:t>
      </w:r>
      <w:proofErr w:type="spellStart"/>
      <w:r w:rsidRPr="00DC6BBF">
        <w:rPr>
          <w:sz w:val="24"/>
          <w:szCs w:val="24"/>
        </w:rPr>
        <w:t>Hilkota</w:t>
      </w:r>
      <w:proofErr w:type="spellEnd"/>
      <w:r w:rsidRPr="00DC6BBF">
        <w:rPr>
          <w:sz w:val="24"/>
          <w:szCs w:val="24"/>
        </w:rPr>
        <w:t xml:space="preserve"> skum kan der forekomme </w:t>
      </w:r>
      <w:proofErr w:type="spellStart"/>
      <w:r w:rsidRPr="00DC6BBF">
        <w:rPr>
          <w:sz w:val="24"/>
          <w:szCs w:val="24"/>
        </w:rPr>
        <w:t>hypercalcæmi</w:t>
      </w:r>
      <w:proofErr w:type="spellEnd"/>
      <w:r w:rsidRPr="00DC6BBF">
        <w:rPr>
          <w:sz w:val="24"/>
          <w:szCs w:val="24"/>
        </w:rPr>
        <w:t xml:space="preserve">. Serum-calcium normaliseres, når behandlingen seponeres. Risikoen for </w:t>
      </w:r>
      <w:proofErr w:type="spellStart"/>
      <w:r w:rsidRPr="00DC6BBF">
        <w:rPr>
          <w:sz w:val="24"/>
          <w:szCs w:val="24"/>
        </w:rPr>
        <w:t>hypercalcæmi</w:t>
      </w:r>
      <w:proofErr w:type="spellEnd"/>
      <w:r w:rsidRPr="00DC6BBF">
        <w:rPr>
          <w:sz w:val="24"/>
          <w:szCs w:val="24"/>
        </w:rPr>
        <w:t xml:space="preserve"> er minimal, når den maksimale daglige dosis af </w:t>
      </w:r>
      <w:proofErr w:type="spellStart"/>
      <w:r w:rsidRPr="00DC6BBF">
        <w:rPr>
          <w:sz w:val="24"/>
          <w:szCs w:val="24"/>
        </w:rPr>
        <w:t>Hilkota</w:t>
      </w:r>
      <w:proofErr w:type="spellEnd"/>
      <w:r w:rsidRPr="00DC6BBF">
        <w:rPr>
          <w:sz w:val="24"/>
          <w:szCs w:val="24"/>
        </w:rPr>
        <w:t xml:space="preserve"> skum (15 g) ikke overskrides (se pkt. 4.2).</w:t>
      </w:r>
    </w:p>
    <w:p w14:paraId="7765E0E6" w14:textId="77777777" w:rsidR="008B2AE5" w:rsidRPr="00DC6BBF" w:rsidRDefault="008B2AE5" w:rsidP="008767FD">
      <w:pPr>
        <w:ind w:left="851"/>
        <w:rPr>
          <w:sz w:val="24"/>
          <w:szCs w:val="24"/>
        </w:rPr>
      </w:pPr>
    </w:p>
    <w:p w14:paraId="1A71D79C" w14:textId="77777777" w:rsidR="008B2AE5" w:rsidRPr="00DC6BBF" w:rsidRDefault="008B2AE5" w:rsidP="008767FD">
      <w:pPr>
        <w:ind w:left="851"/>
        <w:rPr>
          <w:sz w:val="24"/>
          <w:szCs w:val="24"/>
          <w:u w:val="single"/>
        </w:rPr>
      </w:pPr>
      <w:r w:rsidRPr="00DC6BBF">
        <w:rPr>
          <w:sz w:val="24"/>
          <w:szCs w:val="24"/>
          <w:u w:val="single"/>
        </w:rPr>
        <w:t>Lokale bivirkninger</w:t>
      </w:r>
    </w:p>
    <w:p w14:paraId="1C693F7C" w14:textId="77777777" w:rsidR="008B2AE5" w:rsidRPr="00DC6BBF" w:rsidRDefault="008B2AE5" w:rsidP="008767FD">
      <w:pPr>
        <w:ind w:left="851"/>
        <w:rPr>
          <w:sz w:val="24"/>
          <w:szCs w:val="24"/>
        </w:rPr>
      </w:pPr>
    </w:p>
    <w:p w14:paraId="0CB53A49" w14:textId="77777777" w:rsidR="008B2AE5" w:rsidRPr="00DC6BBF" w:rsidRDefault="008B2AE5" w:rsidP="008767FD">
      <w:pPr>
        <w:ind w:left="851"/>
        <w:rPr>
          <w:sz w:val="24"/>
          <w:szCs w:val="24"/>
        </w:rPr>
      </w:pPr>
      <w:proofErr w:type="spellStart"/>
      <w:r w:rsidRPr="00DC6BBF">
        <w:rPr>
          <w:sz w:val="24"/>
          <w:szCs w:val="24"/>
        </w:rPr>
        <w:t>Hilkota</w:t>
      </w:r>
      <w:proofErr w:type="spellEnd"/>
      <w:r w:rsidRPr="00DC6BBF">
        <w:rPr>
          <w:sz w:val="24"/>
          <w:szCs w:val="24"/>
        </w:rPr>
        <w:t xml:space="preserve"> skum indeholder et stærkt virkende gruppe III-steroid, og samtidig behandling med andre steroider på det samme behandlingsområde bør undgås.</w:t>
      </w:r>
    </w:p>
    <w:p w14:paraId="1F89CBE0" w14:textId="77777777" w:rsidR="008B2AE5" w:rsidRPr="00DC6BBF" w:rsidRDefault="008B2AE5" w:rsidP="008767FD">
      <w:pPr>
        <w:ind w:left="851"/>
        <w:rPr>
          <w:sz w:val="24"/>
          <w:szCs w:val="24"/>
        </w:rPr>
      </w:pPr>
    </w:p>
    <w:p w14:paraId="045F238D" w14:textId="77777777" w:rsidR="008B2AE5" w:rsidRPr="00DC6BBF" w:rsidRDefault="008B2AE5" w:rsidP="008767FD">
      <w:pPr>
        <w:ind w:left="851"/>
        <w:rPr>
          <w:sz w:val="24"/>
          <w:szCs w:val="24"/>
        </w:rPr>
      </w:pPr>
      <w:r w:rsidRPr="00DC6BBF">
        <w:rPr>
          <w:sz w:val="24"/>
          <w:szCs w:val="24"/>
        </w:rPr>
        <w:t xml:space="preserve">Huden i ansigtet og på genitalierne er meget følsom over for </w:t>
      </w:r>
      <w:proofErr w:type="spellStart"/>
      <w:r w:rsidRPr="00DC6BBF">
        <w:rPr>
          <w:sz w:val="24"/>
          <w:szCs w:val="24"/>
        </w:rPr>
        <w:t>kortikosteroider</w:t>
      </w:r>
      <w:proofErr w:type="spellEnd"/>
      <w:r w:rsidRPr="00DC6BBF">
        <w:rPr>
          <w:sz w:val="24"/>
          <w:szCs w:val="24"/>
        </w:rPr>
        <w:t>. Lægemidlet bør ikke anvendes i disse områder.</w:t>
      </w:r>
    </w:p>
    <w:p w14:paraId="50E37D29" w14:textId="77777777" w:rsidR="008B2AE5" w:rsidRPr="00DC6BBF" w:rsidRDefault="008B2AE5" w:rsidP="008767FD">
      <w:pPr>
        <w:ind w:left="851"/>
        <w:rPr>
          <w:sz w:val="24"/>
          <w:szCs w:val="24"/>
        </w:rPr>
      </w:pPr>
    </w:p>
    <w:p w14:paraId="42457CCA" w14:textId="77777777" w:rsidR="008B2AE5" w:rsidRPr="00DC6BBF" w:rsidRDefault="008B2AE5" w:rsidP="008767FD">
      <w:pPr>
        <w:ind w:left="851"/>
        <w:rPr>
          <w:sz w:val="24"/>
          <w:szCs w:val="24"/>
        </w:rPr>
      </w:pPr>
      <w:r w:rsidRPr="00DC6BBF">
        <w:rPr>
          <w:sz w:val="24"/>
          <w:szCs w:val="24"/>
        </w:rPr>
        <w:t>Patienten skal instrueres i korrekt brug af præparatet for at undgå applikation i og utilsigtet overførsel til ansigt, mund og øjne. Hænderne skal vaskes efter hver påføring for at undgå utilsigtet overførsel til disse områder samt utilsigtet absorption af lægemidlet på hænderne.</w:t>
      </w:r>
    </w:p>
    <w:p w14:paraId="7ED124A0" w14:textId="20244526" w:rsidR="00282CB9" w:rsidRDefault="00282CB9">
      <w:pPr>
        <w:rPr>
          <w:sz w:val="24"/>
          <w:szCs w:val="24"/>
        </w:rPr>
      </w:pPr>
      <w:r>
        <w:rPr>
          <w:sz w:val="24"/>
          <w:szCs w:val="24"/>
        </w:rPr>
        <w:br w:type="page"/>
      </w:r>
    </w:p>
    <w:p w14:paraId="2A7D80EC" w14:textId="77777777" w:rsidR="008B2AE5" w:rsidRPr="00DC6BBF" w:rsidRDefault="008B2AE5" w:rsidP="008767FD">
      <w:pPr>
        <w:ind w:left="851"/>
        <w:rPr>
          <w:sz w:val="24"/>
          <w:szCs w:val="24"/>
        </w:rPr>
      </w:pPr>
    </w:p>
    <w:p w14:paraId="387706C3" w14:textId="77777777" w:rsidR="008B2AE5" w:rsidRPr="00DC6BBF" w:rsidRDefault="008B2AE5" w:rsidP="008767FD">
      <w:pPr>
        <w:ind w:left="851"/>
        <w:rPr>
          <w:sz w:val="24"/>
          <w:szCs w:val="24"/>
          <w:u w:val="single"/>
        </w:rPr>
      </w:pPr>
      <w:r w:rsidRPr="00DC6BBF">
        <w:rPr>
          <w:sz w:val="24"/>
          <w:szCs w:val="24"/>
          <w:u w:val="single"/>
        </w:rPr>
        <w:t>Sekundære hudinfektioner</w:t>
      </w:r>
    </w:p>
    <w:p w14:paraId="494B2B66" w14:textId="77777777" w:rsidR="008B2AE5" w:rsidRPr="00DC6BBF" w:rsidRDefault="008B2AE5" w:rsidP="008767FD">
      <w:pPr>
        <w:ind w:left="851"/>
        <w:rPr>
          <w:sz w:val="24"/>
          <w:szCs w:val="24"/>
        </w:rPr>
      </w:pPr>
    </w:p>
    <w:p w14:paraId="63CCC99C" w14:textId="77777777" w:rsidR="008B2AE5" w:rsidRPr="00DC6BBF" w:rsidRDefault="008B2AE5" w:rsidP="008767FD">
      <w:pPr>
        <w:ind w:left="851"/>
        <w:rPr>
          <w:sz w:val="24"/>
          <w:szCs w:val="24"/>
        </w:rPr>
      </w:pPr>
      <w:r w:rsidRPr="00DC6BBF">
        <w:rPr>
          <w:sz w:val="24"/>
          <w:szCs w:val="24"/>
        </w:rPr>
        <w:t xml:space="preserve">Hvis læsioner inficeres sekundært, skal de behandles med antimikrobielle midler. Hvis infektionen forværres, skal behandlingen med </w:t>
      </w:r>
      <w:proofErr w:type="spellStart"/>
      <w:r w:rsidRPr="00DC6BBF">
        <w:rPr>
          <w:sz w:val="24"/>
          <w:szCs w:val="24"/>
        </w:rPr>
        <w:t>kortikosteroider</w:t>
      </w:r>
      <w:proofErr w:type="spellEnd"/>
      <w:r w:rsidRPr="00DC6BBF">
        <w:rPr>
          <w:sz w:val="24"/>
          <w:szCs w:val="24"/>
        </w:rPr>
        <w:t xml:space="preserve"> afbrydes (se pkt. 4.3).</w:t>
      </w:r>
    </w:p>
    <w:p w14:paraId="425F528B" w14:textId="77777777" w:rsidR="008B2AE5" w:rsidRPr="00DC6BBF" w:rsidRDefault="008B2AE5" w:rsidP="008767FD">
      <w:pPr>
        <w:ind w:left="851"/>
        <w:rPr>
          <w:sz w:val="24"/>
          <w:szCs w:val="24"/>
        </w:rPr>
      </w:pPr>
    </w:p>
    <w:p w14:paraId="5DEE7569" w14:textId="77777777" w:rsidR="008B2AE5" w:rsidRPr="00DC6BBF" w:rsidRDefault="008B2AE5" w:rsidP="008767FD">
      <w:pPr>
        <w:ind w:left="851"/>
        <w:rPr>
          <w:sz w:val="24"/>
          <w:szCs w:val="24"/>
          <w:u w:val="single"/>
        </w:rPr>
      </w:pPr>
      <w:r w:rsidRPr="00DC6BBF">
        <w:rPr>
          <w:sz w:val="24"/>
          <w:szCs w:val="24"/>
          <w:u w:val="single"/>
        </w:rPr>
        <w:t>Behandlingsophør</w:t>
      </w:r>
    </w:p>
    <w:p w14:paraId="201B31F6" w14:textId="77777777" w:rsidR="008B2AE5" w:rsidRPr="00DC6BBF" w:rsidRDefault="008B2AE5" w:rsidP="008767FD">
      <w:pPr>
        <w:ind w:left="851"/>
        <w:rPr>
          <w:sz w:val="24"/>
          <w:szCs w:val="24"/>
        </w:rPr>
      </w:pPr>
    </w:p>
    <w:p w14:paraId="4E5864A9" w14:textId="77777777" w:rsidR="008B2AE5" w:rsidRPr="00DC6BBF" w:rsidRDefault="008B2AE5" w:rsidP="008767FD">
      <w:pPr>
        <w:ind w:left="851"/>
        <w:rPr>
          <w:sz w:val="24"/>
          <w:szCs w:val="24"/>
        </w:rPr>
      </w:pPr>
      <w:r w:rsidRPr="00DC6BBF">
        <w:rPr>
          <w:sz w:val="24"/>
          <w:szCs w:val="24"/>
        </w:rPr>
        <w:t xml:space="preserve">Ved behandling af psoriasis med </w:t>
      </w:r>
      <w:proofErr w:type="spellStart"/>
      <w:r w:rsidRPr="00DC6BBF">
        <w:rPr>
          <w:sz w:val="24"/>
          <w:szCs w:val="24"/>
        </w:rPr>
        <w:t>topikale</w:t>
      </w:r>
      <w:proofErr w:type="spellEnd"/>
      <w:r w:rsidRPr="00DC6BBF">
        <w:rPr>
          <w:sz w:val="24"/>
          <w:szCs w:val="24"/>
        </w:rPr>
        <w:t xml:space="preserve"> </w:t>
      </w:r>
      <w:proofErr w:type="spellStart"/>
      <w:r w:rsidRPr="00DC6BBF">
        <w:rPr>
          <w:sz w:val="24"/>
          <w:szCs w:val="24"/>
        </w:rPr>
        <w:t>kortikosteroider</w:t>
      </w:r>
      <w:proofErr w:type="spellEnd"/>
      <w:r w:rsidRPr="00DC6BBF">
        <w:rPr>
          <w:sz w:val="24"/>
          <w:szCs w:val="24"/>
        </w:rPr>
        <w:t xml:space="preserve"> kan der være risiko for </w:t>
      </w:r>
      <w:proofErr w:type="spellStart"/>
      <w:r w:rsidRPr="00DC6BBF">
        <w:rPr>
          <w:i/>
          <w:iCs/>
          <w:sz w:val="24"/>
          <w:szCs w:val="24"/>
        </w:rPr>
        <w:t>rebound</w:t>
      </w:r>
      <w:proofErr w:type="spellEnd"/>
      <w:r w:rsidRPr="00DC6BBF">
        <w:rPr>
          <w:i/>
          <w:iCs/>
          <w:sz w:val="24"/>
          <w:szCs w:val="24"/>
        </w:rPr>
        <w:t>-</w:t>
      </w:r>
      <w:r w:rsidRPr="00DC6BBF">
        <w:rPr>
          <w:sz w:val="24"/>
          <w:szCs w:val="24"/>
        </w:rPr>
        <w:t>effekt ved behandlingens ophør. Lægen bør derfor følge patienten i en periode efter behandlingsophør.</w:t>
      </w:r>
    </w:p>
    <w:p w14:paraId="301A8D60" w14:textId="77777777" w:rsidR="008B2AE5" w:rsidRPr="00DC6BBF" w:rsidRDefault="008B2AE5" w:rsidP="008767FD">
      <w:pPr>
        <w:ind w:left="851"/>
        <w:rPr>
          <w:sz w:val="24"/>
          <w:szCs w:val="24"/>
        </w:rPr>
      </w:pPr>
    </w:p>
    <w:p w14:paraId="05AE5786" w14:textId="77777777" w:rsidR="008B2AE5" w:rsidRPr="00DC6BBF" w:rsidRDefault="008B2AE5" w:rsidP="008767FD">
      <w:pPr>
        <w:ind w:left="851"/>
        <w:rPr>
          <w:sz w:val="24"/>
          <w:szCs w:val="24"/>
          <w:u w:val="single"/>
        </w:rPr>
      </w:pPr>
      <w:r w:rsidRPr="00DC6BBF">
        <w:rPr>
          <w:sz w:val="24"/>
          <w:szCs w:val="24"/>
          <w:u w:val="single"/>
        </w:rPr>
        <w:t>Langtidsbehandling</w:t>
      </w:r>
    </w:p>
    <w:p w14:paraId="0C605346" w14:textId="77777777" w:rsidR="008B2AE5" w:rsidRPr="00DC6BBF" w:rsidRDefault="008B2AE5" w:rsidP="008767FD">
      <w:pPr>
        <w:ind w:left="851"/>
        <w:rPr>
          <w:sz w:val="24"/>
          <w:szCs w:val="24"/>
        </w:rPr>
      </w:pPr>
    </w:p>
    <w:p w14:paraId="6667629E" w14:textId="77777777" w:rsidR="008B2AE5" w:rsidRPr="00DC6BBF" w:rsidRDefault="008B2AE5" w:rsidP="008767FD">
      <w:pPr>
        <w:ind w:left="851"/>
        <w:rPr>
          <w:sz w:val="24"/>
          <w:szCs w:val="24"/>
        </w:rPr>
      </w:pPr>
      <w:r w:rsidRPr="00DC6BBF">
        <w:rPr>
          <w:sz w:val="24"/>
          <w:szCs w:val="24"/>
        </w:rPr>
        <w:t xml:space="preserve">Langtidsbehandling med </w:t>
      </w:r>
      <w:proofErr w:type="spellStart"/>
      <w:r w:rsidRPr="00DC6BBF">
        <w:rPr>
          <w:sz w:val="24"/>
          <w:szCs w:val="24"/>
        </w:rPr>
        <w:t>kortikosteroider</w:t>
      </w:r>
      <w:proofErr w:type="spellEnd"/>
      <w:r w:rsidRPr="00DC6BBF">
        <w:rPr>
          <w:sz w:val="24"/>
          <w:szCs w:val="24"/>
        </w:rPr>
        <w:t xml:space="preserve"> kan øge risikoen for lokale og systemiske bivirkninger. Behandlingen bør seponeres i tilfælde af bivirkninger relateret til langtidsbrug af </w:t>
      </w:r>
      <w:proofErr w:type="spellStart"/>
      <w:r w:rsidRPr="00DC6BBF">
        <w:rPr>
          <w:sz w:val="24"/>
          <w:szCs w:val="24"/>
        </w:rPr>
        <w:t>kortikosteroider</w:t>
      </w:r>
      <w:proofErr w:type="spellEnd"/>
      <w:r w:rsidRPr="00DC6BBF">
        <w:rPr>
          <w:sz w:val="24"/>
          <w:szCs w:val="24"/>
        </w:rPr>
        <w:t xml:space="preserve"> (se pkt. 4.8).</w:t>
      </w:r>
    </w:p>
    <w:p w14:paraId="273F3E76" w14:textId="77777777" w:rsidR="008B2AE5" w:rsidRPr="00DC6BBF" w:rsidRDefault="008B2AE5" w:rsidP="008767FD">
      <w:pPr>
        <w:ind w:left="851"/>
        <w:rPr>
          <w:sz w:val="24"/>
          <w:szCs w:val="24"/>
        </w:rPr>
      </w:pPr>
    </w:p>
    <w:p w14:paraId="404C0065" w14:textId="77777777" w:rsidR="008B2AE5" w:rsidRPr="00DC6BBF" w:rsidRDefault="008B2AE5" w:rsidP="008767FD">
      <w:pPr>
        <w:ind w:left="851"/>
        <w:rPr>
          <w:sz w:val="24"/>
          <w:szCs w:val="24"/>
          <w:u w:val="single"/>
        </w:rPr>
      </w:pPr>
      <w:r w:rsidRPr="00DC6BBF">
        <w:rPr>
          <w:sz w:val="24"/>
          <w:szCs w:val="24"/>
          <w:u w:val="single"/>
        </w:rPr>
        <w:t>Ikke-evalueret brug</w:t>
      </w:r>
    </w:p>
    <w:p w14:paraId="3EB80021" w14:textId="77777777" w:rsidR="008B2AE5" w:rsidRPr="00DC6BBF" w:rsidRDefault="008B2AE5" w:rsidP="008767FD">
      <w:pPr>
        <w:ind w:left="851"/>
        <w:rPr>
          <w:sz w:val="24"/>
          <w:szCs w:val="24"/>
        </w:rPr>
      </w:pPr>
    </w:p>
    <w:p w14:paraId="33E9B8DF" w14:textId="77777777" w:rsidR="008B2AE5" w:rsidRPr="00DC6BBF" w:rsidRDefault="008B2AE5" w:rsidP="008767FD">
      <w:pPr>
        <w:ind w:left="851"/>
        <w:rPr>
          <w:sz w:val="24"/>
          <w:szCs w:val="24"/>
        </w:rPr>
      </w:pPr>
      <w:r w:rsidRPr="00DC6BBF">
        <w:rPr>
          <w:sz w:val="24"/>
          <w:szCs w:val="24"/>
        </w:rPr>
        <w:t xml:space="preserve">Der er ingen erfaring med brug af </w:t>
      </w:r>
      <w:proofErr w:type="spellStart"/>
      <w:r w:rsidRPr="00DC6BBF">
        <w:rPr>
          <w:sz w:val="24"/>
          <w:szCs w:val="24"/>
        </w:rPr>
        <w:t>Hilkota</w:t>
      </w:r>
      <w:proofErr w:type="spellEnd"/>
      <w:r w:rsidRPr="00DC6BBF">
        <w:rPr>
          <w:sz w:val="24"/>
          <w:szCs w:val="24"/>
        </w:rPr>
        <w:t xml:space="preserve"> skum ved </w:t>
      </w:r>
      <w:proofErr w:type="spellStart"/>
      <w:r w:rsidRPr="00DC6BBF">
        <w:rPr>
          <w:sz w:val="24"/>
          <w:szCs w:val="24"/>
        </w:rPr>
        <w:t>guttat</w:t>
      </w:r>
      <w:proofErr w:type="spellEnd"/>
      <w:r w:rsidRPr="00DC6BBF">
        <w:rPr>
          <w:sz w:val="24"/>
          <w:szCs w:val="24"/>
        </w:rPr>
        <w:t xml:space="preserve"> psoriasis.</w:t>
      </w:r>
    </w:p>
    <w:p w14:paraId="28661669" w14:textId="77777777" w:rsidR="008B2AE5" w:rsidRPr="00DC6BBF" w:rsidRDefault="008B2AE5" w:rsidP="008767FD">
      <w:pPr>
        <w:ind w:left="851"/>
        <w:rPr>
          <w:sz w:val="24"/>
          <w:szCs w:val="24"/>
        </w:rPr>
      </w:pPr>
    </w:p>
    <w:p w14:paraId="6F7673FD" w14:textId="77777777" w:rsidR="008B2AE5" w:rsidRPr="00DC6BBF" w:rsidRDefault="008B2AE5" w:rsidP="008767FD">
      <w:pPr>
        <w:ind w:left="851"/>
        <w:rPr>
          <w:sz w:val="24"/>
          <w:szCs w:val="24"/>
          <w:u w:val="single"/>
        </w:rPr>
      </w:pPr>
      <w:r w:rsidRPr="00DC6BBF">
        <w:rPr>
          <w:sz w:val="24"/>
          <w:szCs w:val="24"/>
          <w:u w:val="single"/>
        </w:rPr>
        <w:t>Bivirkninger ved hjælpestoffer</w:t>
      </w:r>
    </w:p>
    <w:p w14:paraId="2E4C9371" w14:textId="77777777" w:rsidR="008B2AE5" w:rsidRPr="00DC6BBF" w:rsidRDefault="008B2AE5" w:rsidP="008767FD">
      <w:pPr>
        <w:ind w:left="851"/>
        <w:rPr>
          <w:sz w:val="24"/>
          <w:szCs w:val="24"/>
        </w:rPr>
      </w:pPr>
    </w:p>
    <w:p w14:paraId="4AC12A7F" w14:textId="77777777" w:rsidR="008B2AE5" w:rsidRPr="00DC6BBF" w:rsidRDefault="008B2AE5" w:rsidP="008767FD">
      <w:pPr>
        <w:ind w:left="851"/>
        <w:rPr>
          <w:sz w:val="24"/>
          <w:szCs w:val="24"/>
        </w:rPr>
      </w:pPr>
      <w:proofErr w:type="spellStart"/>
      <w:r w:rsidRPr="00DC6BBF">
        <w:rPr>
          <w:sz w:val="24"/>
          <w:szCs w:val="24"/>
        </w:rPr>
        <w:t>Hilkota</w:t>
      </w:r>
      <w:proofErr w:type="spellEnd"/>
      <w:r w:rsidRPr="00DC6BBF">
        <w:rPr>
          <w:sz w:val="24"/>
          <w:szCs w:val="24"/>
        </w:rPr>
        <w:t xml:space="preserve"> skum indeholder hjælpestoffet </w:t>
      </w:r>
      <w:proofErr w:type="spellStart"/>
      <w:r w:rsidRPr="00DC6BBF">
        <w:rPr>
          <w:sz w:val="24"/>
          <w:szCs w:val="24"/>
        </w:rPr>
        <w:t>butylhydroxytoluen</w:t>
      </w:r>
      <w:proofErr w:type="spellEnd"/>
      <w:r w:rsidRPr="00DC6BBF">
        <w:rPr>
          <w:sz w:val="24"/>
          <w:szCs w:val="24"/>
        </w:rPr>
        <w:t xml:space="preserve"> (E 321), der kan give lokale hudreaktioner (f.eks. </w:t>
      </w:r>
      <w:proofErr w:type="spellStart"/>
      <w:r w:rsidRPr="00DC6BBF">
        <w:rPr>
          <w:sz w:val="24"/>
          <w:szCs w:val="24"/>
        </w:rPr>
        <w:t>kontaktdermatitis</w:t>
      </w:r>
      <w:proofErr w:type="spellEnd"/>
      <w:r w:rsidRPr="00DC6BBF">
        <w:rPr>
          <w:sz w:val="24"/>
          <w:szCs w:val="24"/>
        </w:rPr>
        <w:t>) eller irritation af øjne og slimhinder.</w:t>
      </w:r>
    </w:p>
    <w:p w14:paraId="32038CCF" w14:textId="77777777" w:rsidR="009260DE" w:rsidRPr="00DC6BBF" w:rsidRDefault="009260DE" w:rsidP="009260DE">
      <w:pPr>
        <w:tabs>
          <w:tab w:val="left" w:pos="851"/>
        </w:tabs>
        <w:ind w:left="851"/>
        <w:rPr>
          <w:sz w:val="24"/>
          <w:szCs w:val="24"/>
        </w:rPr>
      </w:pPr>
    </w:p>
    <w:p w14:paraId="4D3DAA41" w14:textId="77777777" w:rsidR="009260DE" w:rsidRPr="00DC6BBF" w:rsidRDefault="009260DE" w:rsidP="009260DE">
      <w:pPr>
        <w:tabs>
          <w:tab w:val="left" w:pos="851"/>
        </w:tabs>
        <w:ind w:left="851" w:hanging="851"/>
        <w:rPr>
          <w:b/>
          <w:sz w:val="24"/>
          <w:szCs w:val="24"/>
        </w:rPr>
      </w:pPr>
      <w:r w:rsidRPr="00DC6BBF">
        <w:rPr>
          <w:b/>
          <w:sz w:val="24"/>
          <w:szCs w:val="24"/>
        </w:rPr>
        <w:t>4.5</w:t>
      </w:r>
      <w:r w:rsidRPr="00DC6BBF">
        <w:rPr>
          <w:b/>
          <w:sz w:val="24"/>
          <w:szCs w:val="24"/>
        </w:rPr>
        <w:tab/>
        <w:t>Interaktion med andre lægemidler og andre former for interaktion</w:t>
      </w:r>
    </w:p>
    <w:p w14:paraId="74F3EADF" w14:textId="77777777" w:rsidR="008B2AE5" w:rsidRPr="00DC6BBF" w:rsidRDefault="008B2AE5" w:rsidP="008767FD">
      <w:pPr>
        <w:ind w:left="851"/>
        <w:rPr>
          <w:sz w:val="24"/>
          <w:szCs w:val="24"/>
        </w:rPr>
      </w:pPr>
      <w:r w:rsidRPr="00DC6BBF">
        <w:rPr>
          <w:sz w:val="24"/>
          <w:szCs w:val="24"/>
        </w:rPr>
        <w:t xml:space="preserve">Der er ikke udført interaktionsstudier </w:t>
      </w:r>
      <w:proofErr w:type="spellStart"/>
      <w:r w:rsidRPr="00DC6BBF">
        <w:rPr>
          <w:sz w:val="24"/>
          <w:szCs w:val="24"/>
        </w:rPr>
        <w:t>Hilkota</w:t>
      </w:r>
      <w:proofErr w:type="spellEnd"/>
      <w:r w:rsidRPr="00DC6BBF">
        <w:rPr>
          <w:sz w:val="24"/>
          <w:szCs w:val="24"/>
        </w:rPr>
        <w:t xml:space="preserve"> skum.</w:t>
      </w:r>
    </w:p>
    <w:p w14:paraId="4F3C2237" w14:textId="77777777" w:rsidR="009260DE" w:rsidRPr="00DC6BBF" w:rsidRDefault="009260DE" w:rsidP="009260DE">
      <w:pPr>
        <w:tabs>
          <w:tab w:val="left" w:pos="851"/>
        </w:tabs>
        <w:ind w:left="851"/>
        <w:rPr>
          <w:sz w:val="24"/>
          <w:szCs w:val="24"/>
        </w:rPr>
      </w:pPr>
    </w:p>
    <w:p w14:paraId="50F98560" w14:textId="77777777" w:rsidR="009260DE" w:rsidRPr="00DC6BBF" w:rsidRDefault="009260DE" w:rsidP="009260DE">
      <w:pPr>
        <w:tabs>
          <w:tab w:val="left" w:pos="851"/>
        </w:tabs>
        <w:ind w:left="851" w:hanging="851"/>
        <w:rPr>
          <w:b/>
          <w:sz w:val="24"/>
          <w:szCs w:val="24"/>
        </w:rPr>
      </w:pPr>
      <w:r w:rsidRPr="00DC6BBF">
        <w:rPr>
          <w:b/>
          <w:sz w:val="24"/>
          <w:szCs w:val="24"/>
        </w:rPr>
        <w:t>4.6</w:t>
      </w:r>
      <w:r w:rsidRPr="00DC6BBF">
        <w:rPr>
          <w:b/>
          <w:sz w:val="24"/>
          <w:szCs w:val="24"/>
        </w:rPr>
        <w:tab/>
      </w:r>
      <w:r w:rsidR="0071241E" w:rsidRPr="00DC6BBF">
        <w:rPr>
          <w:b/>
          <w:sz w:val="24"/>
          <w:szCs w:val="24"/>
        </w:rPr>
        <w:t>Fertilitet, g</w:t>
      </w:r>
      <w:r w:rsidRPr="00DC6BBF">
        <w:rPr>
          <w:b/>
          <w:sz w:val="24"/>
          <w:szCs w:val="24"/>
        </w:rPr>
        <w:t>raviditet og amning</w:t>
      </w:r>
    </w:p>
    <w:p w14:paraId="44C7A29A" w14:textId="77777777" w:rsidR="00DC6BBF" w:rsidRDefault="00DC6BBF" w:rsidP="008767FD">
      <w:pPr>
        <w:ind w:left="851"/>
        <w:rPr>
          <w:sz w:val="24"/>
          <w:szCs w:val="24"/>
        </w:rPr>
      </w:pPr>
    </w:p>
    <w:p w14:paraId="57FF1157" w14:textId="64F276E2" w:rsidR="008B2AE5" w:rsidRPr="00DC6BBF" w:rsidRDefault="008B2AE5" w:rsidP="008767FD">
      <w:pPr>
        <w:ind w:left="851"/>
        <w:rPr>
          <w:sz w:val="24"/>
          <w:szCs w:val="24"/>
          <w:u w:val="single"/>
        </w:rPr>
      </w:pPr>
      <w:r w:rsidRPr="00DC6BBF">
        <w:rPr>
          <w:sz w:val="24"/>
          <w:szCs w:val="24"/>
          <w:u w:val="single"/>
        </w:rPr>
        <w:t>Graviditet</w:t>
      </w:r>
    </w:p>
    <w:p w14:paraId="6F49177C" w14:textId="77777777" w:rsidR="008B2AE5" w:rsidRPr="00DC6BBF" w:rsidRDefault="008B2AE5" w:rsidP="008767FD">
      <w:pPr>
        <w:ind w:left="851"/>
        <w:rPr>
          <w:sz w:val="24"/>
          <w:szCs w:val="24"/>
        </w:rPr>
      </w:pPr>
    </w:p>
    <w:p w14:paraId="6216EAED" w14:textId="77777777" w:rsidR="008B2AE5" w:rsidRPr="00DC6BBF" w:rsidRDefault="008B2AE5" w:rsidP="008767FD">
      <w:pPr>
        <w:ind w:left="851"/>
        <w:rPr>
          <w:sz w:val="24"/>
          <w:szCs w:val="24"/>
        </w:rPr>
      </w:pPr>
      <w:r w:rsidRPr="00DC6BBF">
        <w:rPr>
          <w:sz w:val="24"/>
          <w:szCs w:val="24"/>
        </w:rPr>
        <w:t xml:space="preserve">Der er utilstrækkelige data fra anvendelse af </w:t>
      </w:r>
      <w:proofErr w:type="spellStart"/>
      <w:r w:rsidRPr="00DC6BBF">
        <w:rPr>
          <w:sz w:val="24"/>
          <w:szCs w:val="24"/>
        </w:rPr>
        <w:t>Hilkota</w:t>
      </w:r>
      <w:proofErr w:type="spellEnd"/>
      <w:r w:rsidRPr="00DC6BBF">
        <w:rPr>
          <w:sz w:val="24"/>
          <w:szCs w:val="24"/>
        </w:rPr>
        <w:t xml:space="preserve"> skum til gravide kvinder.</w:t>
      </w:r>
    </w:p>
    <w:p w14:paraId="243F821B" w14:textId="77777777" w:rsidR="008B2AE5" w:rsidRPr="00DC6BBF" w:rsidRDefault="008B2AE5" w:rsidP="008767FD">
      <w:pPr>
        <w:ind w:left="851"/>
        <w:rPr>
          <w:sz w:val="24"/>
          <w:szCs w:val="24"/>
        </w:rPr>
      </w:pPr>
      <w:r w:rsidRPr="00DC6BBF">
        <w:rPr>
          <w:sz w:val="24"/>
          <w:szCs w:val="24"/>
        </w:rPr>
        <w:t xml:space="preserve">En stor gennemgang af randomiserede, kontrollerede studier og kohortestudier af </w:t>
      </w:r>
      <w:proofErr w:type="spellStart"/>
      <w:r w:rsidRPr="00DC6BBF">
        <w:rPr>
          <w:sz w:val="24"/>
          <w:szCs w:val="24"/>
        </w:rPr>
        <w:t>topikale</w:t>
      </w:r>
      <w:proofErr w:type="spellEnd"/>
      <w:r w:rsidRPr="00DC6BBF">
        <w:rPr>
          <w:sz w:val="24"/>
          <w:szCs w:val="24"/>
        </w:rPr>
        <w:t xml:space="preserve"> </w:t>
      </w:r>
      <w:proofErr w:type="spellStart"/>
      <w:r w:rsidRPr="00DC6BBF">
        <w:rPr>
          <w:sz w:val="24"/>
          <w:szCs w:val="24"/>
        </w:rPr>
        <w:t>kortikosteroider</w:t>
      </w:r>
      <w:proofErr w:type="spellEnd"/>
      <w:r w:rsidRPr="00DC6BBF">
        <w:rPr>
          <w:sz w:val="24"/>
          <w:szCs w:val="24"/>
        </w:rPr>
        <w:t xml:space="preserve"> hos gravide kvinder samt case-kontrol-studier (flere end en million graviditetsudfald) har imidlertid vist, at der ikke er nogen kausal årsagssammenhæng mellem eksponering hos moderen og en øget forekomst af negative graviditetsudfald, herunder fødselsmåde, medfødte misdannelser, tidlig fødsel, fosterdød og lav </w:t>
      </w:r>
      <w:proofErr w:type="spellStart"/>
      <w:r w:rsidRPr="00DC6BBF">
        <w:rPr>
          <w:sz w:val="24"/>
          <w:szCs w:val="24"/>
        </w:rPr>
        <w:t>Apgar</w:t>
      </w:r>
      <w:proofErr w:type="spellEnd"/>
      <w:r w:rsidRPr="00DC6BBF">
        <w:rPr>
          <w:sz w:val="24"/>
          <w:szCs w:val="24"/>
        </w:rPr>
        <w:t xml:space="preserve">-score. Der blev imidlertid identificeret en mulig sammenhæng mellem lav fødselsvægt og moderens anvendelse af potente til meget potente </w:t>
      </w:r>
      <w:proofErr w:type="spellStart"/>
      <w:r w:rsidRPr="00DC6BBF">
        <w:rPr>
          <w:sz w:val="24"/>
          <w:szCs w:val="24"/>
        </w:rPr>
        <w:t>topikale</w:t>
      </w:r>
      <w:proofErr w:type="spellEnd"/>
      <w:r w:rsidRPr="00DC6BBF">
        <w:rPr>
          <w:sz w:val="24"/>
          <w:szCs w:val="24"/>
        </w:rPr>
        <w:t xml:space="preserve"> </w:t>
      </w:r>
      <w:proofErr w:type="spellStart"/>
      <w:r w:rsidRPr="00DC6BBF">
        <w:rPr>
          <w:sz w:val="24"/>
          <w:szCs w:val="24"/>
        </w:rPr>
        <w:t>kortikosteroider</w:t>
      </w:r>
      <w:proofErr w:type="spellEnd"/>
      <w:r w:rsidRPr="00DC6BBF">
        <w:rPr>
          <w:sz w:val="24"/>
          <w:szCs w:val="24"/>
        </w:rPr>
        <w:t xml:space="preserve">, især når den samlede dosering med </w:t>
      </w:r>
      <w:proofErr w:type="spellStart"/>
      <w:r w:rsidRPr="00DC6BBF">
        <w:rPr>
          <w:sz w:val="24"/>
          <w:szCs w:val="24"/>
        </w:rPr>
        <w:t>topikale</w:t>
      </w:r>
      <w:proofErr w:type="spellEnd"/>
      <w:r w:rsidRPr="00DC6BBF">
        <w:rPr>
          <w:sz w:val="24"/>
          <w:szCs w:val="24"/>
        </w:rPr>
        <w:t xml:space="preserve"> </w:t>
      </w:r>
      <w:proofErr w:type="spellStart"/>
      <w:r w:rsidRPr="00DC6BBF">
        <w:rPr>
          <w:sz w:val="24"/>
          <w:szCs w:val="24"/>
        </w:rPr>
        <w:t>kortikosteroider</w:t>
      </w:r>
      <w:proofErr w:type="spellEnd"/>
      <w:r w:rsidRPr="00DC6BBF">
        <w:rPr>
          <w:sz w:val="24"/>
          <w:szCs w:val="24"/>
        </w:rPr>
        <w:t xml:space="preserve"> gennem graviditeten var meget stor.</w:t>
      </w:r>
    </w:p>
    <w:p w14:paraId="336F10E3" w14:textId="77777777" w:rsidR="008B2AE5" w:rsidRPr="00DC6BBF" w:rsidRDefault="008B2AE5" w:rsidP="008767FD">
      <w:pPr>
        <w:ind w:left="851"/>
        <w:rPr>
          <w:sz w:val="24"/>
          <w:szCs w:val="24"/>
        </w:rPr>
      </w:pPr>
      <w:r w:rsidRPr="00DC6BBF">
        <w:rPr>
          <w:sz w:val="24"/>
          <w:szCs w:val="24"/>
        </w:rPr>
        <w:t xml:space="preserve">Sikkerheden ved anvendelse af </w:t>
      </w:r>
      <w:proofErr w:type="spellStart"/>
      <w:r w:rsidRPr="00DC6BBF">
        <w:rPr>
          <w:sz w:val="24"/>
          <w:szCs w:val="24"/>
        </w:rPr>
        <w:t>calcipotriol</w:t>
      </w:r>
      <w:proofErr w:type="spellEnd"/>
      <w:r w:rsidRPr="00DC6BBF">
        <w:rPr>
          <w:sz w:val="24"/>
          <w:szCs w:val="24"/>
        </w:rPr>
        <w:t xml:space="preserve"> under graviditet hos mennesker er ikke blevet tilstrækkeligt undersøgt.</w:t>
      </w:r>
    </w:p>
    <w:p w14:paraId="46E7AE74" w14:textId="77777777" w:rsidR="008B2AE5" w:rsidRPr="00DC6BBF" w:rsidRDefault="008B2AE5" w:rsidP="008767FD">
      <w:pPr>
        <w:ind w:left="851"/>
        <w:rPr>
          <w:sz w:val="24"/>
          <w:szCs w:val="24"/>
        </w:rPr>
      </w:pPr>
      <w:r w:rsidRPr="00DC6BBF">
        <w:rPr>
          <w:sz w:val="24"/>
          <w:szCs w:val="24"/>
        </w:rPr>
        <w:t xml:space="preserve">På baggrund af ovenstående er den potentielle risiko for mennesker usikker. Derfor bør </w:t>
      </w:r>
      <w:proofErr w:type="spellStart"/>
      <w:r w:rsidRPr="00DC6BBF">
        <w:rPr>
          <w:sz w:val="24"/>
          <w:szCs w:val="24"/>
        </w:rPr>
        <w:t>Hilkota</w:t>
      </w:r>
      <w:proofErr w:type="spellEnd"/>
      <w:r w:rsidRPr="00DC6BBF">
        <w:rPr>
          <w:sz w:val="24"/>
          <w:szCs w:val="24"/>
        </w:rPr>
        <w:t xml:space="preserve"> skum kun anvendes under graviditet, når den potentielle fordel opvejer den potentielle risiko.</w:t>
      </w:r>
    </w:p>
    <w:p w14:paraId="411C77C0" w14:textId="77777777" w:rsidR="008B2AE5" w:rsidRPr="00DC6BBF" w:rsidRDefault="008B2AE5" w:rsidP="008767FD">
      <w:pPr>
        <w:ind w:left="851"/>
        <w:rPr>
          <w:sz w:val="24"/>
          <w:szCs w:val="24"/>
        </w:rPr>
      </w:pPr>
      <w:r w:rsidRPr="00DC6BBF">
        <w:rPr>
          <w:sz w:val="24"/>
          <w:szCs w:val="24"/>
        </w:rPr>
        <w:t>Der er påvist reproduktions</w:t>
      </w:r>
      <w:r w:rsidRPr="00DC6BBF">
        <w:rPr>
          <w:sz w:val="24"/>
          <w:szCs w:val="24"/>
        </w:rPr>
        <w:noBreakHyphen/>
        <w:t xml:space="preserve"> og udviklingstoksicitet hos dyr, men den kliniske relevans forventes at være begrænset på grund af lav systemisk eksponering efter </w:t>
      </w:r>
      <w:proofErr w:type="spellStart"/>
      <w:r w:rsidRPr="00DC6BBF">
        <w:rPr>
          <w:sz w:val="24"/>
          <w:szCs w:val="24"/>
        </w:rPr>
        <w:t>topikal</w:t>
      </w:r>
      <w:proofErr w:type="spellEnd"/>
      <w:r w:rsidRPr="00DC6BBF">
        <w:rPr>
          <w:sz w:val="24"/>
          <w:szCs w:val="24"/>
        </w:rPr>
        <w:t xml:space="preserve"> anvendelse (se pkt. 5.3).</w:t>
      </w:r>
    </w:p>
    <w:p w14:paraId="7C2AD1E5" w14:textId="77777777" w:rsidR="008B2AE5" w:rsidRPr="00DC6BBF" w:rsidRDefault="008B2AE5" w:rsidP="008767FD">
      <w:pPr>
        <w:ind w:left="851"/>
        <w:rPr>
          <w:sz w:val="24"/>
          <w:szCs w:val="24"/>
        </w:rPr>
      </w:pPr>
    </w:p>
    <w:p w14:paraId="11C33388" w14:textId="77777777" w:rsidR="008B2AE5" w:rsidRPr="00DC6BBF" w:rsidRDefault="008B2AE5" w:rsidP="008767FD">
      <w:pPr>
        <w:ind w:left="851"/>
        <w:rPr>
          <w:i/>
          <w:sz w:val="24"/>
          <w:szCs w:val="24"/>
          <w:u w:val="single"/>
        </w:rPr>
      </w:pPr>
      <w:r w:rsidRPr="00DC6BBF">
        <w:rPr>
          <w:sz w:val="24"/>
          <w:szCs w:val="24"/>
          <w:u w:val="single"/>
        </w:rPr>
        <w:t>Amning</w:t>
      </w:r>
    </w:p>
    <w:p w14:paraId="089CAD45" w14:textId="77777777" w:rsidR="008B2AE5" w:rsidRPr="00DC6BBF" w:rsidRDefault="008B2AE5" w:rsidP="008767FD">
      <w:pPr>
        <w:ind w:left="851"/>
        <w:rPr>
          <w:sz w:val="24"/>
          <w:szCs w:val="24"/>
        </w:rPr>
      </w:pPr>
    </w:p>
    <w:p w14:paraId="7DAFE0C4" w14:textId="77777777" w:rsidR="008B2AE5" w:rsidRPr="00DC6BBF" w:rsidRDefault="008B2AE5" w:rsidP="008767FD">
      <w:pPr>
        <w:ind w:left="851"/>
        <w:rPr>
          <w:sz w:val="24"/>
          <w:szCs w:val="24"/>
        </w:rPr>
      </w:pPr>
      <w:proofErr w:type="spellStart"/>
      <w:r w:rsidRPr="00DC6BBF">
        <w:rPr>
          <w:sz w:val="24"/>
          <w:szCs w:val="24"/>
        </w:rPr>
        <w:t>Betamethason</w:t>
      </w:r>
      <w:proofErr w:type="spellEnd"/>
      <w:r w:rsidRPr="00DC6BBF">
        <w:rPr>
          <w:sz w:val="24"/>
          <w:szCs w:val="24"/>
        </w:rPr>
        <w:t xml:space="preserve"> udskilles i modermælk, men risiko for bivirkninger hos barnet er meget lille ved terapeutiske doser. Der er ingen data vedrørende udskillelse af </w:t>
      </w:r>
      <w:proofErr w:type="spellStart"/>
      <w:r w:rsidRPr="00DC6BBF">
        <w:rPr>
          <w:sz w:val="24"/>
          <w:szCs w:val="24"/>
        </w:rPr>
        <w:t>calcipotriol</w:t>
      </w:r>
      <w:proofErr w:type="spellEnd"/>
      <w:r w:rsidRPr="00DC6BBF">
        <w:rPr>
          <w:sz w:val="24"/>
          <w:szCs w:val="24"/>
        </w:rPr>
        <w:t xml:space="preserve"> i modermælk. Der bør udvises forsigtighed ved behandling med </w:t>
      </w:r>
      <w:proofErr w:type="spellStart"/>
      <w:r w:rsidRPr="00DC6BBF">
        <w:rPr>
          <w:sz w:val="24"/>
          <w:szCs w:val="24"/>
        </w:rPr>
        <w:t>Hilkota</w:t>
      </w:r>
      <w:proofErr w:type="spellEnd"/>
      <w:r w:rsidRPr="00DC6BBF">
        <w:rPr>
          <w:sz w:val="24"/>
          <w:szCs w:val="24"/>
        </w:rPr>
        <w:t xml:space="preserve"> skum til kvinder, der ammer. Patienten bør informeres om ikke at bruge </w:t>
      </w:r>
      <w:proofErr w:type="spellStart"/>
      <w:r w:rsidRPr="00DC6BBF">
        <w:rPr>
          <w:sz w:val="24"/>
          <w:szCs w:val="24"/>
        </w:rPr>
        <w:t>Hilkota</w:t>
      </w:r>
      <w:proofErr w:type="spellEnd"/>
      <w:r w:rsidRPr="00DC6BBF">
        <w:rPr>
          <w:sz w:val="24"/>
          <w:szCs w:val="24"/>
        </w:rPr>
        <w:t xml:space="preserve"> skum på brystet ved amning.</w:t>
      </w:r>
    </w:p>
    <w:p w14:paraId="5F4EC1F4" w14:textId="77777777" w:rsidR="008B2AE5" w:rsidRPr="00DC6BBF" w:rsidRDefault="008B2AE5" w:rsidP="008767FD">
      <w:pPr>
        <w:ind w:left="851"/>
        <w:rPr>
          <w:sz w:val="24"/>
          <w:szCs w:val="24"/>
        </w:rPr>
      </w:pPr>
    </w:p>
    <w:p w14:paraId="6B738621" w14:textId="77777777" w:rsidR="008B2AE5" w:rsidRPr="00DC6BBF" w:rsidRDefault="008B2AE5" w:rsidP="008767FD">
      <w:pPr>
        <w:ind w:left="851"/>
        <w:rPr>
          <w:sz w:val="24"/>
          <w:szCs w:val="24"/>
          <w:u w:val="single"/>
        </w:rPr>
      </w:pPr>
      <w:r w:rsidRPr="00DC6BBF">
        <w:rPr>
          <w:sz w:val="24"/>
          <w:szCs w:val="24"/>
          <w:u w:val="single"/>
        </w:rPr>
        <w:t>Fertilitet</w:t>
      </w:r>
    </w:p>
    <w:p w14:paraId="49ED8DAF" w14:textId="77777777" w:rsidR="008B2AE5" w:rsidRPr="00DC6BBF" w:rsidRDefault="008B2AE5" w:rsidP="008767FD">
      <w:pPr>
        <w:ind w:left="851"/>
        <w:rPr>
          <w:sz w:val="24"/>
          <w:szCs w:val="24"/>
        </w:rPr>
      </w:pPr>
    </w:p>
    <w:p w14:paraId="3961496B" w14:textId="77777777" w:rsidR="008B2AE5" w:rsidRPr="00DC6BBF" w:rsidRDefault="008B2AE5" w:rsidP="008767FD">
      <w:pPr>
        <w:ind w:left="851"/>
        <w:rPr>
          <w:sz w:val="24"/>
          <w:szCs w:val="24"/>
        </w:rPr>
      </w:pPr>
      <w:r w:rsidRPr="00DC6BBF">
        <w:rPr>
          <w:sz w:val="24"/>
          <w:szCs w:val="24"/>
        </w:rPr>
        <w:t>Der findes ingen data vedrørende human fertilitet.</w:t>
      </w:r>
    </w:p>
    <w:p w14:paraId="644A555A" w14:textId="77777777" w:rsidR="008B2AE5" w:rsidRPr="00DC6BBF" w:rsidRDefault="008B2AE5" w:rsidP="008767FD">
      <w:pPr>
        <w:ind w:left="851"/>
        <w:rPr>
          <w:sz w:val="24"/>
          <w:szCs w:val="24"/>
        </w:rPr>
      </w:pPr>
      <w:r w:rsidRPr="00DC6BBF">
        <w:rPr>
          <w:sz w:val="24"/>
          <w:szCs w:val="24"/>
        </w:rPr>
        <w:t>Der er ikke påvist relevant forringelse af mandlig og kvindelig fertilitet hos dyr (se pkt. 5.3).</w:t>
      </w:r>
    </w:p>
    <w:p w14:paraId="062EEA39" w14:textId="77777777" w:rsidR="009260DE" w:rsidRPr="00DC6BBF" w:rsidRDefault="009260DE" w:rsidP="008767FD">
      <w:pPr>
        <w:ind w:left="851"/>
        <w:rPr>
          <w:sz w:val="24"/>
          <w:szCs w:val="24"/>
        </w:rPr>
      </w:pPr>
    </w:p>
    <w:p w14:paraId="50DC499F" w14:textId="77777777" w:rsidR="009260DE" w:rsidRPr="00DC6BBF" w:rsidRDefault="009260DE" w:rsidP="009260DE">
      <w:pPr>
        <w:tabs>
          <w:tab w:val="left" w:pos="851"/>
        </w:tabs>
        <w:ind w:left="851" w:hanging="851"/>
        <w:rPr>
          <w:b/>
          <w:sz w:val="24"/>
          <w:szCs w:val="24"/>
        </w:rPr>
      </w:pPr>
      <w:r w:rsidRPr="00DC6BBF">
        <w:rPr>
          <w:b/>
          <w:sz w:val="24"/>
          <w:szCs w:val="24"/>
        </w:rPr>
        <w:t>4.7</w:t>
      </w:r>
      <w:r w:rsidRPr="00DC6BBF">
        <w:rPr>
          <w:b/>
          <w:sz w:val="24"/>
          <w:szCs w:val="24"/>
        </w:rPr>
        <w:tab/>
        <w:t xml:space="preserve">Virkning på evnen til at føre motorkøretøj </w:t>
      </w:r>
      <w:r w:rsidR="0071241E" w:rsidRPr="00DC6BBF">
        <w:rPr>
          <w:b/>
          <w:sz w:val="24"/>
          <w:szCs w:val="24"/>
        </w:rPr>
        <w:t>og</w:t>
      </w:r>
      <w:r w:rsidRPr="00DC6BBF">
        <w:rPr>
          <w:b/>
          <w:sz w:val="24"/>
          <w:szCs w:val="24"/>
        </w:rPr>
        <w:t xml:space="preserve"> betjene maskiner</w:t>
      </w:r>
    </w:p>
    <w:p w14:paraId="75037B80" w14:textId="77777777" w:rsidR="008B2AE5" w:rsidRPr="00DC6BBF" w:rsidRDefault="008B2AE5" w:rsidP="008767FD">
      <w:pPr>
        <w:ind w:left="851"/>
        <w:rPr>
          <w:sz w:val="24"/>
          <w:szCs w:val="24"/>
        </w:rPr>
      </w:pPr>
      <w:r w:rsidRPr="00DC6BBF">
        <w:rPr>
          <w:sz w:val="24"/>
          <w:szCs w:val="24"/>
        </w:rPr>
        <w:t>Ikke mærkning.</w:t>
      </w:r>
    </w:p>
    <w:p w14:paraId="21A5C6B4" w14:textId="77777777" w:rsidR="008B2AE5" w:rsidRPr="00DC6BBF" w:rsidRDefault="008B2AE5" w:rsidP="008767FD">
      <w:pPr>
        <w:ind w:left="851"/>
        <w:rPr>
          <w:sz w:val="24"/>
          <w:szCs w:val="24"/>
        </w:rPr>
      </w:pPr>
      <w:proofErr w:type="spellStart"/>
      <w:r w:rsidRPr="00DC6BBF">
        <w:rPr>
          <w:sz w:val="24"/>
          <w:szCs w:val="24"/>
        </w:rPr>
        <w:t>Hilkota</w:t>
      </w:r>
      <w:proofErr w:type="spellEnd"/>
      <w:r w:rsidRPr="00DC6BBF">
        <w:rPr>
          <w:sz w:val="24"/>
          <w:szCs w:val="24"/>
        </w:rPr>
        <w:t xml:space="preserve"> skum påvirker ikke eller kun i ubetydelig grad evnen til at føre motorkøretøj og betjene maskiner.</w:t>
      </w:r>
    </w:p>
    <w:p w14:paraId="02DEC301" w14:textId="77777777" w:rsidR="009260DE" w:rsidRPr="00DC6BBF" w:rsidRDefault="009260DE" w:rsidP="009260DE">
      <w:pPr>
        <w:tabs>
          <w:tab w:val="left" w:pos="851"/>
        </w:tabs>
        <w:ind w:left="851"/>
        <w:rPr>
          <w:sz w:val="24"/>
          <w:szCs w:val="24"/>
        </w:rPr>
      </w:pPr>
    </w:p>
    <w:p w14:paraId="36EBAE11" w14:textId="77777777" w:rsidR="009260DE" w:rsidRPr="00DC6BBF" w:rsidRDefault="009260DE" w:rsidP="009260DE">
      <w:pPr>
        <w:tabs>
          <w:tab w:val="left" w:pos="851"/>
        </w:tabs>
        <w:ind w:left="851" w:hanging="851"/>
        <w:rPr>
          <w:b/>
          <w:sz w:val="24"/>
          <w:szCs w:val="24"/>
        </w:rPr>
      </w:pPr>
      <w:r w:rsidRPr="00DC6BBF">
        <w:rPr>
          <w:b/>
          <w:sz w:val="24"/>
          <w:szCs w:val="24"/>
        </w:rPr>
        <w:t>4.8</w:t>
      </w:r>
      <w:r w:rsidRPr="00DC6BBF">
        <w:rPr>
          <w:b/>
          <w:sz w:val="24"/>
          <w:szCs w:val="24"/>
        </w:rPr>
        <w:tab/>
        <w:t>Bivirkninger</w:t>
      </w:r>
    </w:p>
    <w:p w14:paraId="18292D6F" w14:textId="77777777" w:rsidR="008B2AE5" w:rsidRPr="00DC6BBF" w:rsidRDefault="008B2AE5" w:rsidP="008767FD">
      <w:pPr>
        <w:ind w:left="851"/>
        <w:rPr>
          <w:sz w:val="24"/>
          <w:szCs w:val="24"/>
        </w:rPr>
      </w:pPr>
      <w:r w:rsidRPr="00DC6BBF">
        <w:rPr>
          <w:sz w:val="24"/>
          <w:szCs w:val="24"/>
        </w:rPr>
        <w:t>Estimering af hyppigheden af bivirkninger er baseret på en samlet analyse af data fra kliniske studier.</w:t>
      </w:r>
    </w:p>
    <w:p w14:paraId="7EC0BA69" w14:textId="77777777" w:rsidR="008B2AE5" w:rsidRPr="00DC6BBF" w:rsidRDefault="008B2AE5" w:rsidP="008767FD">
      <w:pPr>
        <w:ind w:left="851"/>
        <w:rPr>
          <w:sz w:val="24"/>
          <w:szCs w:val="24"/>
        </w:rPr>
      </w:pPr>
    </w:p>
    <w:p w14:paraId="42BC4C19" w14:textId="77777777" w:rsidR="008B2AE5" w:rsidRPr="00DC6BBF" w:rsidRDefault="008B2AE5" w:rsidP="008767FD">
      <w:pPr>
        <w:ind w:left="851"/>
        <w:rPr>
          <w:sz w:val="24"/>
          <w:szCs w:val="24"/>
        </w:rPr>
      </w:pPr>
      <w:r w:rsidRPr="00DC6BBF">
        <w:rPr>
          <w:sz w:val="24"/>
          <w:szCs w:val="24"/>
        </w:rPr>
        <w:t>De hyppigst rapporterede bivirkninger under behandling er reaktioner på applikationsstedet.</w:t>
      </w:r>
    </w:p>
    <w:p w14:paraId="4CC041F5" w14:textId="77777777" w:rsidR="008B2AE5" w:rsidRPr="00DC6BBF" w:rsidRDefault="008B2AE5" w:rsidP="008767FD">
      <w:pPr>
        <w:ind w:left="851"/>
        <w:rPr>
          <w:sz w:val="24"/>
          <w:szCs w:val="24"/>
        </w:rPr>
      </w:pPr>
    </w:p>
    <w:p w14:paraId="06AF3CE8" w14:textId="77777777" w:rsidR="008B2AE5" w:rsidRPr="00DC6BBF" w:rsidRDefault="008B2AE5" w:rsidP="008767FD">
      <w:pPr>
        <w:ind w:left="851"/>
        <w:rPr>
          <w:sz w:val="24"/>
          <w:szCs w:val="24"/>
        </w:rPr>
      </w:pPr>
      <w:r w:rsidRPr="00DC6BBF">
        <w:rPr>
          <w:sz w:val="24"/>
          <w:szCs w:val="24"/>
        </w:rPr>
        <w:t xml:space="preserve">Bivirkninger er opstillet i henhold til </w:t>
      </w:r>
      <w:proofErr w:type="spellStart"/>
      <w:r w:rsidRPr="00DC6BBF">
        <w:rPr>
          <w:sz w:val="24"/>
          <w:szCs w:val="24"/>
        </w:rPr>
        <w:t>MedDRA</w:t>
      </w:r>
      <w:proofErr w:type="spellEnd"/>
      <w:r w:rsidRPr="00DC6BBF">
        <w:rPr>
          <w:sz w:val="24"/>
          <w:szCs w:val="24"/>
        </w:rPr>
        <w:t>-systemorganklasser, og de individuelle bivirkninger er opstillet med den hyppigste først. Inden for hver hyppighedsgruppe er bivirkningerne opstillet efter, hvor alvorlige de er. De alvorligste bivirkninger er anført først.</w:t>
      </w:r>
    </w:p>
    <w:p w14:paraId="0BC04F26" w14:textId="77777777" w:rsidR="008B2AE5" w:rsidRPr="00DC6BBF" w:rsidRDefault="008B2AE5" w:rsidP="008767FD">
      <w:pPr>
        <w:ind w:left="851"/>
        <w:rPr>
          <w:sz w:val="24"/>
          <w:szCs w:val="24"/>
        </w:rPr>
      </w:pPr>
    </w:p>
    <w:p w14:paraId="6BA9277D" w14:textId="77777777" w:rsidR="008B2AE5" w:rsidRPr="00DC6BBF" w:rsidRDefault="008B2AE5" w:rsidP="008767FD">
      <w:pPr>
        <w:ind w:left="851"/>
        <w:rPr>
          <w:sz w:val="24"/>
          <w:szCs w:val="24"/>
        </w:rPr>
      </w:pPr>
      <w:r w:rsidRPr="00DC6BBF">
        <w:rPr>
          <w:sz w:val="24"/>
          <w:szCs w:val="24"/>
        </w:rPr>
        <w:t>Meget almindelig (≥ 1/10)</w:t>
      </w:r>
    </w:p>
    <w:p w14:paraId="535CD993" w14:textId="77777777" w:rsidR="008B2AE5" w:rsidRPr="00DC6BBF" w:rsidRDefault="008B2AE5" w:rsidP="008767FD">
      <w:pPr>
        <w:ind w:left="851"/>
        <w:rPr>
          <w:sz w:val="24"/>
          <w:szCs w:val="24"/>
        </w:rPr>
      </w:pPr>
      <w:r w:rsidRPr="00DC6BBF">
        <w:rPr>
          <w:sz w:val="24"/>
          <w:szCs w:val="24"/>
        </w:rPr>
        <w:t>Almindelig (≥ 1/100 til &lt; 1/10)</w:t>
      </w:r>
    </w:p>
    <w:p w14:paraId="2C13BD49" w14:textId="77777777" w:rsidR="008B2AE5" w:rsidRPr="00DC6BBF" w:rsidRDefault="008B2AE5" w:rsidP="008767FD">
      <w:pPr>
        <w:ind w:left="851"/>
        <w:rPr>
          <w:sz w:val="24"/>
          <w:szCs w:val="24"/>
        </w:rPr>
      </w:pPr>
      <w:r w:rsidRPr="00DC6BBF">
        <w:rPr>
          <w:sz w:val="24"/>
          <w:szCs w:val="24"/>
        </w:rPr>
        <w:t>Ikke almindelig (≥ 1/1.000 til &lt; 1/100)</w:t>
      </w:r>
    </w:p>
    <w:p w14:paraId="0C516E0B" w14:textId="77777777" w:rsidR="008B2AE5" w:rsidRPr="00DC6BBF" w:rsidRDefault="008B2AE5" w:rsidP="008767FD">
      <w:pPr>
        <w:ind w:left="851"/>
        <w:rPr>
          <w:sz w:val="24"/>
          <w:szCs w:val="24"/>
        </w:rPr>
      </w:pPr>
      <w:r w:rsidRPr="00DC6BBF">
        <w:rPr>
          <w:sz w:val="24"/>
          <w:szCs w:val="24"/>
        </w:rPr>
        <w:t>Sjælden (≥ 1/10.000 til &lt; 1/1.000)</w:t>
      </w:r>
    </w:p>
    <w:p w14:paraId="2AF74B47" w14:textId="77777777" w:rsidR="008B2AE5" w:rsidRPr="00DC6BBF" w:rsidRDefault="008B2AE5" w:rsidP="008767FD">
      <w:pPr>
        <w:ind w:left="851"/>
        <w:rPr>
          <w:sz w:val="24"/>
          <w:szCs w:val="24"/>
        </w:rPr>
      </w:pPr>
      <w:r w:rsidRPr="00DC6BBF">
        <w:rPr>
          <w:sz w:val="24"/>
          <w:szCs w:val="24"/>
        </w:rPr>
        <w:t>Meget sjælden (&lt; 1/10.000)</w:t>
      </w:r>
    </w:p>
    <w:p w14:paraId="6C0FADDE" w14:textId="77777777" w:rsidR="008B2AE5" w:rsidRPr="00DC6BBF" w:rsidRDefault="008B2AE5" w:rsidP="008767FD">
      <w:pPr>
        <w:ind w:left="851"/>
        <w:rPr>
          <w:sz w:val="24"/>
          <w:szCs w:val="24"/>
        </w:rPr>
      </w:pPr>
      <w:r w:rsidRPr="00DC6BBF">
        <w:rPr>
          <w:sz w:val="24"/>
          <w:szCs w:val="24"/>
        </w:rPr>
        <w:t>Ikke kendt (kan ikke estimeres ud fra forhåndenværende data)</w:t>
      </w:r>
    </w:p>
    <w:p w14:paraId="308E1E00" w14:textId="77777777" w:rsidR="008B2AE5" w:rsidRPr="008B2AE5" w:rsidRDefault="008B2AE5" w:rsidP="008B2AE5">
      <w:pPr>
        <w:tabs>
          <w:tab w:val="left" w:pos="851"/>
        </w:tabs>
        <w:ind w:left="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39"/>
        <w:gridCol w:w="4889"/>
      </w:tblGrid>
      <w:tr w:rsidR="008B2AE5" w:rsidRPr="008B2AE5" w14:paraId="45A9A2B1" w14:textId="77777777" w:rsidTr="00DC6BBF">
        <w:tc>
          <w:tcPr>
            <w:tcW w:w="5000" w:type="pct"/>
            <w:gridSpan w:val="2"/>
            <w:tcBorders>
              <w:top w:val="single" w:sz="4" w:space="0" w:color="auto"/>
              <w:left w:val="single" w:sz="4" w:space="0" w:color="auto"/>
              <w:bottom w:val="single" w:sz="4" w:space="0" w:color="auto"/>
              <w:right w:val="single" w:sz="4" w:space="0" w:color="auto"/>
            </w:tcBorders>
            <w:hideMark/>
          </w:tcPr>
          <w:p w14:paraId="5721C5AF" w14:textId="77777777" w:rsidR="008B2AE5" w:rsidRPr="008B2AE5" w:rsidRDefault="008B2AE5" w:rsidP="008767FD">
            <w:pPr>
              <w:ind w:left="142"/>
              <w:rPr>
                <w:sz w:val="24"/>
                <w:szCs w:val="24"/>
              </w:rPr>
            </w:pPr>
            <w:r w:rsidRPr="008B2AE5">
              <w:rPr>
                <w:b/>
                <w:bCs/>
                <w:sz w:val="24"/>
                <w:szCs w:val="24"/>
              </w:rPr>
              <w:t>Infektioner og parasitære sygdomme</w:t>
            </w:r>
          </w:p>
        </w:tc>
      </w:tr>
      <w:tr w:rsidR="008B2AE5" w:rsidRPr="008B2AE5" w14:paraId="6A730D01" w14:textId="77777777" w:rsidTr="00DC6BBF">
        <w:trPr>
          <w:trHeight w:val="300"/>
        </w:trPr>
        <w:tc>
          <w:tcPr>
            <w:tcW w:w="2461" w:type="pct"/>
            <w:tcBorders>
              <w:top w:val="single" w:sz="4" w:space="0" w:color="auto"/>
              <w:left w:val="single" w:sz="4" w:space="0" w:color="auto"/>
              <w:bottom w:val="single" w:sz="4" w:space="0" w:color="auto"/>
              <w:right w:val="single" w:sz="4" w:space="0" w:color="auto"/>
            </w:tcBorders>
            <w:hideMark/>
          </w:tcPr>
          <w:p w14:paraId="17D32B28" w14:textId="77777777" w:rsidR="008B2AE5" w:rsidRPr="008B2AE5" w:rsidRDefault="008B2AE5" w:rsidP="008767FD">
            <w:pPr>
              <w:ind w:left="142"/>
              <w:rPr>
                <w:sz w:val="24"/>
                <w:szCs w:val="24"/>
              </w:rPr>
            </w:pPr>
            <w:r w:rsidRPr="008B2AE5">
              <w:rPr>
                <w:sz w:val="24"/>
                <w:szCs w:val="24"/>
              </w:rPr>
              <w:t>Ikke almindelig ≥ 1/1.000 til &lt; 1/100</w:t>
            </w:r>
          </w:p>
        </w:tc>
        <w:tc>
          <w:tcPr>
            <w:tcW w:w="2539" w:type="pct"/>
            <w:tcBorders>
              <w:top w:val="single" w:sz="4" w:space="0" w:color="auto"/>
              <w:left w:val="single" w:sz="4" w:space="0" w:color="auto"/>
              <w:bottom w:val="single" w:sz="4" w:space="0" w:color="auto"/>
              <w:right w:val="single" w:sz="4" w:space="0" w:color="auto"/>
            </w:tcBorders>
            <w:hideMark/>
          </w:tcPr>
          <w:p w14:paraId="1B2B629E" w14:textId="77777777" w:rsidR="008B2AE5" w:rsidRPr="008B2AE5" w:rsidRDefault="008B2AE5" w:rsidP="008767FD">
            <w:pPr>
              <w:ind w:left="142"/>
              <w:rPr>
                <w:sz w:val="24"/>
                <w:szCs w:val="24"/>
              </w:rPr>
            </w:pPr>
            <w:proofErr w:type="spellStart"/>
            <w:r w:rsidRPr="008B2AE5">
              <w:rPr>
                <w:sz w:val="24"/>
                <w:szCs w:val="24"/>
              </w:rPr>
              <w:t>Folliculitis</w:t>
            </w:r>
            <w:proofErr w:type="spellEnd"/>
          </w:p>
        </w:tc>
      </w:tr>
      <w:tr w:rsidR="008B2AE5" w:rsidRPr="008B2AE5" w14:paraId="1903004B" w14:textId="77777777" w:rsidTr="00DC6BBF">
        <w:tc>
          <w:tcPr>
            <w:tcW w:w="5000" w:type="pct"/>
            <w:gridSpan w:val="2"/>
            <w:tcBorders>
              <w:top w:val="single" w:sz="4" w:space="0" w:color="auto"/>
              <w:left w:val="single" w:sz="4" w:space="0" w:color="auto"/>
              <w:bottom w:val="single" w:sz="4" w:space="0" w:color="auto"/>
              <w:right w:val="single" w:sz="4" w:space="0" w:color="auto"/>
            </w:tcBorders>
            <w:hideMark/>
          </w:tcPr>
          <w:p w14:paraId="5AC6D5C0" w14:textId="77777777" w:rsidR="008B2AE5" w:rsidRPr="008B2AE5" w:rsidRDefault="008B2AE5" w:rsidP="008767FD">
            <w:pPr>
              <w:ind w:left="142"/>
              <w:rPr>
                <w:sz w:val="24"/>
                <w:szCs w:val="24"/>
              </w:rPr>
            </w:pPr>
            <w:r w:rsidRPr="008B2AE5">
              <w:rPr>
                <w:b/>
                <w:bCs/>
                <w:sz w:val="24"/>
                <w:szCs w:val="24"/>
              </w:rPr>
              <w:t>Immunsystemet</w:t>
            </w:r>
          </w:p>
        </w:tc>
      </w:tr>
      <w:tr w:rsidR="008B2AE5" w:rsidRPr="008B2AE5" w14:paraId="2EF5F5BD" w14:textId="77777777" w:rsidTr="00DC6BBF">
        <w:trPr>
          <w:trHeight w:val="294"/>
        </w:trPr>
        <w:tc>
          <w:tcPr>
            <w:tcW w:w="2461" w:type="pct"/>
            <w:tcBorders>
              <w:top w:val="single" w:sz="4" w:space="0" w:color="auto"/>
              <w:left w:val="single" w:sz="4" w:space="0" w:color="auto"/>
              <w:bottom w:val="single" w:sz="4" w:space="0" w:color="auto"/>
              <w:right w:val="single" w:sz="4" w:space="0" w:color="auto"/>
            </w:tcBorders>
            <w:hideMark/>
          </w:tcPr>
          <w:p w14:paraId="232EF30C" w14:textId="77777777" w:rsidR="008B2AE5" w:rsidRPr="008B2AE5" w:rsidRDefault="008B2AE5" w:rsidP="008767FD">
            <w:pPr>
              <w:ind w:left="142"/>
              <w:rPr>
                <w:sz w:val="24"/>
                <w:szCs w:val="24"/>
              </w:rPr>
            </w:pPr>
            <w:r w:rsidRPr="008B2AE5">
              <w:rPr>
                <w:sz w:val="24"/>
                <w:szCs w:val="24"/>
              </w:rPr>
              <w:t>Ikke almindelig ≥ 1/1.000 til &lt; 1/100</w:t>
            </w:r>
          </w:p>
        </w:tc>
        <w:tc>
          <w:tcPr>
            <w:tcW w:w="2539" w:type="pct"/>
            <w:tcBorders>
              <w:top w:val="single" w:sz="4" w:space="0" w:color="auto"/>
              <w:left w:val="single" w:sz="4" w:space="0" w:color="auto"/>
              <w:bottom w:val="single" w:sz="4" w:space="0" w:color="auto"/>
              <w:right w:val="single" w:sz="4" w:space="0" w:color="auto"/>
            </w:tcBorders>
            <w:hideMark/>
          </w:tcPr>
          <w:p w14:paraId="5B2ED6DE" w14:textId="77777777" w:rsidR="008B2AE5" w:rsidRPr="008B2AE5" w:rsidRDefault="008B2AE5" w:rsidP="008767FD">
            <w:pPr>
              <w:ind w:left="142"/>
              <w:rPr>
                <w:sz w:val="24"/>
                <w:szCs w:val="24"/>
              </w:rPr>
            </w:pPr>
            <w:r w:rsidRPr="008B2AE5">
              <w:rPr>
                <w:sz w:val="24"/>
                <w:szCs w:val="24"/>
              </w:rPr>
              <w:t>Overfølsomhed</w:t>
            </w:r>
          </w:p>
        </w:tc>
      </w:tr>
      <w:tr w:rsidR="008B2AE5" w:rsidRPr="008B2AE5" w14:paraId="559B592C" w14:textId="77777777" w:rsidTr="00DC6BBF">
        <w:tc>
          <w:tcPr>
            <w:tcW w:w="5000" w:type="pct"/>
            <w:gridSpan w:val="2"/>
            <w:tcBorders>
              <w:top w:val="single" w:sz="4" w:space="0" w:color="auto"/>
              <w:left w:val="single" w:sz="4" w:space="0" w:color="auto"/>
              <w:bottom w:val="single" w:sz="4" w:space="0" w:color="auto"/>
              <w:right w:val="single" w:sz="4" w:space="0" w:color="auto"/>
            </w:tcBorders>
            <w:hideMark/>
          </w:tcPr>
          <w:p w14:paraId="2CE12D80" w14:textId="77777777" w:rsidR="008B2AE5" w:rsidRPr="008B2AE5" w:rsidRDefault="008B2AE5" w:rsidP="008767FD">
            <w:pPr>
              <w:ind w:left="142"/>
              <w:rPr>
                <w:sz w:val="24"/>
                <w:szCs w:val="24"/>
              </w:rPr>
            </w:pPr>
            <w:r w:rsidRPr="008B2AE5">
              <w:rPr>
                <w:b/>
                <w:bCs/>
                <w:sz w:val="24"/>
                <w:szCs w:val="24"/>
              </w:rPr>
              <w:t>Metabolisme og ernæring</w:t>
            </w:r>
          </w:p>
        </w:tc>
      </w:tr>
      <w:tr w:rsidR="008B2AE5" w:rsidRPr="008B2AE5" w14:paraId="4D78F433" w14:textId="77777777" w:rsidTr="00DC6BBF">
        <w:trPr>
          <w:trHeight w:val="288"/>
        </w:trPr>
        <w:tc>
          <w:tcPr>
            <w:tcW w:w="2461" w:type="pct"/>
            <w:tcBorders>
              <w:top w:val="single" w:sz="4" w:space="0" w:color="auto"/>
              <w:left w:val="single" w:sz="4" w:space="0" w:color="auto"/>
              <w:bottom w:val="single" w:sz="4" w:space="0" w:color="auto"/>
              <w:right w:val="single" w:sz="4" w:space="0" w:color="auto"/>
            </w:tcBorders>
            <w:hideMark/>
          </w:tcPr>
          <w:p w14:paraId="43B8C660" w14:textId="77777777" w:rsidR="008B2AE5" w:rsidRPr="008B2AE5" w:rsidRDefault="008B2AE5" w:rsidP="008767FD">
            <w:pPr>
              <w:ind w:left="142"/>
              <w:rPr>
                <w:sz w:val="24"/>
                <w:szCs w:val="24"/>
              </w:rPr>
            </w:pPr>
            <w:r w:rsidRPr="008B2AE5">
              <w:rPr>
                <w:sz w:val="24"/>
                <w:szCs w:val="24"/>
              </w:rPr>
              <w:t>Ikke almindelig ≥ 1/1.000 til &lt; 1/100</w:t>
            </w:r>
          </w:p>
        </w:tc>
        <w:tc>
          <w:tcPr>
            <w:tcW w:w="2539" w:type="pct"/>
            <w:tcBorders>
              <w:top w:val="single" w:sz="4" w:space="0" w:color="auto"/>
              <w:left w:val="single" w:sz="4" w:space="0" w:color="auto"/>
              <w:bottom w:val="single" w:sz="4" w:space="0" w:color="auto"/>
              <w:right w:val="single" w:sz="4" w:space="0" w:color="auto"/>
            </w:tcBorders>
            <w:hideMark/>
          </w:tcPr>
          <w:p w14:paraId="229F1F1A" w14:textId="77777777" w:rsidR="008B2AE5" w:rsidRPr="008B2AE5" w:rsidRDefault="008B2AE5" w:rsidP="008767FD">
            <w:pPr>
              <w:ind w:left="142"/>
              <w:rPr>
                <w:sz w:val="24"/>
                <w:szCs w:val="24"/>
              </w:rPr>
            </w:pPr>
            <w:proofErr w:type="spellStart"/>
            <w:r w:rsidRPr="008B2AE5">
              <w:rPr>
                <w:sz w:val="24"/>
                <w:szCs w:val="24"/>
              </w:rPr>
              <w:t>Hypercalcæmi</w:t>
            </w:r>
            <w:proofErr w:type="spellEnd"/>
            <w:r w:rsidRPr="008B2AE5">
              <w:rPr>
                <w:sz w:val="24"/>
                <w:szCs w:val="24"/>
              </w:rPr>
              <w:t>*</w:t>
            </w:r>
          </w:p>
        </w:tc>
      </w:tr>
      <w:tr w:rsidR="008B2AE5" w:rsidRPr="008B2AE5" w14:paraId="264879BF" w14:textId="77777777" w:rsidTr="00DC6BBF">
        <w:tc>
          <w:tcPr>
            <w:tcW w:w="5000" w:type="pct"/>
            <w:gridSpan w:val="2"/>
            <w:tcBorders>
              <w:top w:val="single" w:sz="4" w:space="0" w:color="auto"/>
              <w:left w:val="single" w:sz="4" w:space="0" w:color="auto"/>
              <w:bottom w:val="single" w:sz="4" w:space="0" w:color="auto"/>
              <w:right w:val="single" w:sz="4" w:space="0" w:color="auto"/>
            </w:tcBorders>
            <w:hideMark/>
          </w:tcPr>
          <w:p w14:paraId="343D1481" w14:textId="77777777" w:rsidR="008B2AE5" w:rsidRPr="008B2AE5" w:rsidRDefault="008B2AE5" w:rsidP="008767FD">
            <w:pPr>
              <w:ind w:left="142"/>
              <w:rPr>
                <w:b/>
                <w:bCs/>
                <w:sz w:val="24"/>
                <w:szCs w:val="24"/>
              </w:rPr>
            </w:pPr>
            <w:r w:rsidRPr="008B2AE5">
              <w:rPr>
                <w:b/>
                <w:bCs/>
                <w:sz w:val="24"/>
                <w:szCs w:val="24"/>
              </w:rPr>
              <w:t>Øjne</w:t>
            </w:r>
          </w:p>
        </w:tc>
      </w:tr>
      <w:tr w:rsidR="008B2AE5" w:rsidRPr="008B2AE5" w14:paraId="5F958C2D" w14:textId="77777777" w:rsidTr="00DC6BBF">
        <w:trPr>
          <w:trHeight w:val="296"/>
        </w:trPr>
        <w:tc>
          <w:tcPr>
            <w:tcW w:w="2461" w:type="pct"/>
            <w:tcBorders>
              <w:top w:val="single" w:sz="4" w:space="0" w:color="auto"/>
              <w:left w:val="single" w:sz="4" w:space="0" w:color="auto"/>
              <w:bottom w:val="single" w:sz="4" w:space="0" w:color="auto"/>
              <w:right w:val="single" w:sz="4" w:space="0" w:color="auto"/>
            </w:tcBorders>
            <w:hideMark/>
          </w:tcPr>
          <w:p w14:paraId="457368E8" w14:textId="77777777" w:rsidR="008B2AE5" w:rsidRPr="008B2AE5" w:rsidRDefault="008B2AE5" w:rsidP="008767FD">
            <w:pPr>
              <w:ind w:left="142"/>
              <w:rPr>
                <w:sz w:val="24"/>
                <w:szCs w:val="24"/>
              </w:rPr>
            </w:pPr>
            <w:r w:rsidRPr="008B2AE5">
              <w:rPr>
                <w:sz w:val="24"/>
                <w:szCs w:val="24"/>
              </w:rPr>
              <w:t>Ikke kendt</w:t>
            </w:r>
          </w:p>
        </w:tc>
        <w:tc>
          <w:tcPr>
            <w:tcW w:w="2539" w:type="pct"/>
            <w:tcBorders>
              <w:top w:val="single" w:sz="4" w:space="0" w:color="auto"/>
              <w:left w:val="single" w:sz="4" w:space="0" w:color="auto"/>
              <w:bottom w:val="single" w:sz="4" w:space="0" w:color="auto"/>
              <w:right w:val="single" w:sz="4" w:space="0" w:color="auto"/>
            </w:tcBorders>
            <w:hideMark/>
          </w:tcPr>
          <w:p w14:paraId="778C61EC" w14:textId="77777777" w:rsidR="008B2AE5" w:rsidRPr="008B2AE5" w:rsidRDefault="008B2AE5" w:rsidP="008767FD">
            <w:pPr>
              <w:ind w:left="142"/>
              <w:rPr>
                <w:sz w:val="24"/>
                <w:szCs w:val="24"/>
              </w:rPr>
            </w:pPr>
            <w:r w:rsidRPr="008B2AE5">
              <w:rPr>
                <w:sz w:val="24"/>
                <w:szCs w:val="24"/>
              </w:rPr>
              <w:t>Sløret syn**</w:t>
            </w:r>
          </w:p>
        </w:tc>
      </w:tr>
      <w:tr w:rsidR="008B2AE5" w:rsidRPr="008B2AE5" w14:paraId="4294A698" w14:textId="77777777" w:rsidTr="00DC6BBF">
        <w:tc>
          <w:tcPr>
            <w:tcW w:w="5000" w:type="pct"/>
            <w:gridSpan w:val="2"/>
            <w:tcBorders>
              <w:top w:val="single" w:sz="4" w:space="0" w:color="auto"/>
              <w:left w:val="single" w:sz="4" w:space="0" w:color="auto"/>
              <w:bottom w:val="single" w:sz="4" w:space="0" w:color="auto"/>
              <w:right w:val="single" w:sz="4" w:space="0" w:color="auto"/>
            </w:tcBorders>
            <w:hideMark/>
          </w:tcPr>
          <w:p w14:paraId="072F747D" w14:textId="77777777" w:rsidR="008B2AE5" w:rsidRPr="008B2AE5" w:rsidRDefault="008B2AE5" w:rsidP="008767FD">
            <w:pPr>
              <w:ind w:left="142"/>
              <w:rPr>
                <w:sz w:val="24"/>
                <w:szCs w:val="24"/>
              </w:rPr>
            </w:pPr>
            <w:r w:rsidRPr="008B2AE5">
              <w:rPr>
                <w:b/>
                <w:bCs/>
                <w:sz w:val="24"/>
                <w:szCs w:val="24"/>
              </w:rPr>
              <w:t>Hud og subkutane væv</w:t>
            </w:r>
          </w:p>
        </w:tc>
      </w:tr>
      <w:tr w:rsidR="008B2AE5" w:rsidRPr="008B2AE5" w14:paraId="4E54D75C" w14:textId="77777777" w:rsidTr="00DC6BBF">
        <w:trPr>
          <w:trHeight w:val="304"/>
        </w:trPr>
        <w:tc>
          <w:tcPr>
            <w:tcW w:w="2461" w:type="pct"/>
            <w:tcBorders>
              <w:top w:val="single" w:sz="4" w:space="0" w:color="auto"/>
              <w:left w:val="single" w:sz="4" w:space="0" w:color="auto"/>
              <w:bottom w:val="single" w:sz="4" w:space="0" w:color="auto"/>
              <w:right w:val="single" w:sz="4" w:space="0" w:color="auto"/>
            </w:tcBorders>
            <w:hideMark/>
          </w:tcPr>
          <w:p w14:paraId="5BC7DE1F" w14:textId="77777777" w:rsidR="008B2AE5" w:rsidRPr="008B2AE5" w:rsidRDefault="008B2AE5" w:rsidP="008767FD">
            <w:pPr>
              <w:ind w:left="142"/>
              <w:rPr>
                <w:sz w:val="24"/>
                <w:szCs w:val="24"/>
              </w:rPr>
            </w:pPr>
            <w:r w:rsidRPr="008B2AE5">
              <w:rPr>
                <w:sz w:val="24"/>
                <w:szCs w:val="24"/>
              </w:rPr>
              <w:t>Ikke almindelig ≥ 1/1.000 til &lt; 1/100</w:t>
            </w:r>
          </w:p>
        </w:tc>
        <w:tc>
          <w:tcPr>
            <w:tcW w:w="2539" w:type="pct"/>
            <w:tcBorders>
              <w:top w:val="single" w:sz="4" w:space="0" w:color="auto"/>
              <w:left w:val="single" w:sz="4" w:space="0" w:color="auto"/>
              <w:bottom w:val="single" w:sz="4" w:space="0" w:color="auto"/>
              <w:right w:val="single" w:sz="4" w:space="0" w:color="auto"/>
            </w:tcBorders>
            <w:hideMark/>
          </w:tcPr>
          <w:p w14:paraId="1DA1415A" w14:textId="77777777" w:rsidR="008B2AE5" w:rsidRPr="008B2AE5" w:rsidRDefault="008B2AE5" w:rsidP="008767FD">
            <w:pPr>
              <w:ind w:left="142"/>
              <w:rPr>
                <w:sz w:val="24"/>
                <w:szCs w:val="24"/>
              </w:rPr>
            </w:pPr>
            <w:proofErr w:type="spellStart"/>
            <w:r w:rsidRPr="008B2AE5">
              <w:rPr>
                <w:sz w:val="24"/>
                <w:szCs w:val="24"/>
              </w:rPr>
              <w:t>Hypopigmentering</w:t>
            </w:r>
            <w:proofErr w:type="spellEnd"/>
            <w:r w:rsidRPr="008B2AE5">
              <w:rPr>
                <w:sz w:val="24"/>
                <w:szCs w:val="24"/>
              </w:rPr>
              <w:t xml:space="preserve"> af huden</w:t>
            </w:r>
          </w:p>
        </w:tc>
      </w:tr>
      <w:tr w:rsidR="008B2AE5" w:rsidRPr="008B2AE5" w14:paraId="09EE390A" w14:textId="77777777" w:rsidTr="00DC6BBF">
        <w:trPr>
          <w:trHeight w:val="226"/>
        </w:trPr>
        <w:tc>
          <w:tcPr>
            <w:tcW w:w="2461" w:type="pct"/>
            <w:tcBorders>
              <w:top w:val="single" w:sz="4" w:space="0" w:color="auto"/>
              <w:left w:val="single" w:sz="4" w:space="0" w:color="auto"/>
              <w:bottom w:val="single" w:sz="4" w:space="0" w:color="auto"/>
              <w:right w:val="single" w:sz="4" w:space="0" w:color="auto"/>
            </w:tcBorders>
            <w:hideMark/>
          </w:tcPr>
          <w:p w14:paraId="27D6D112" w14:textId="77777777" w:rsidR="008B2AE5" w:rsidRPr="008B2AE5" w:rsidRDefault="008B2AE5" w:rsidP="008767FD">
            <w:pPr>
              <w:ind w:left="142"/>
              <w:rPr>
                <w:sz w:val="24"/>
                <w:szCs w:val="24"/>
              </w:rPr>
            </w:pPr>
            <w:r w:rsidRPr="008B2AE5">
              <w:rPr>
                <w:sz w:val="24"/>
                <w:szCs w:val="24"/>
              </w:rPr>
              <w:t>Ikke kendt</w:t>
            </w:r>
          </w:p>
        </w:tc>
        <w:tc>
          <w:tcPr>
            <w:tcW w:w="2539" w:type="pct"/>
            <w:tcBorders>
              <w:top w:val="single" w:sz="4" w:space="0" w:color="auto"/>
              <w:left w:val="single" w:sz="4" w:space="0" w:color="auto"/>
              <w:bottom w:val="single" w:sz="4" w:space="0" w:color="auto"/>
              <w:right w:val="single" w:sz="4" w:space="0" w:color="auto"/>
            </w:tcBorders>
            <w:hideMark/>
          </w:tcPr>
          <w:p w14:paraId="771F618C" w14:textId="77777777" w:rsidR="008B2AE5" w:rsidRPr="008B2AE5" w:rsidRDefault="008B2AE5" w:rsidP="008767FD">
            <w:pPr>
              <w:ind w:left="142"/>
              <w:rPr>
                <w:sz w:val="24"/>
                <w:szCs w:val="24"/>
              </w:rPr>
            </w:pPr>
            <w:r w:rsidRPr="008B2AE5">
              <w:rPr>
                <w:sz w:val="24"/>
                <w:szCs w:val="24"/>
              </w:rPr>
              <w:t>Forandring af hårfarve***</w:t>
            </w:r>
          </w:p>
        </w:tc>
      </w:tr>
      <w:tr w:rsidR="008B2AE5" w:rsidRPr="008B2AE5" w14:paraId="3EC5C204" w14:textId="77777777" w:rsidTr="00DC6BBF">
        <w:tc>
          <w:tcPr>
            <w:tcW w:w="5000" w:type="pct"/>
            <w:gridSpan w:val="2"/>
            <w:tcBorders>
              <w:top w:val="single" w:sz="4" w:space="0" w:color="auto"/>
              <w:left w:val="single" w:sz="4" w:space="0" w:color="auto"/>
              <w:bottom w:val="single" w:sz="4" w:space="0" w:color="auto"/>
              <w:right w:val="single" w:sz="4" w:space="0" w:color="auto"/>
            </w:tcBorders>
            <w:hideMark/>
          </w:tcPr>
          <w:p w14:paraId="130EEDCE" w14:textId="77777777" w:rsidR="008B2AE5" w:rsidRPr="008B2AE5" w:rsidRDefault="008B2AE5" w:rsidP="008767FD">
            <w:pPr>
              <w:ind w:left="142"/>
              <w:rPr>
                <w:sz w:val="24"/>
                <w:szCs w:val="24"/>
              </w:rPr>
            </w:pPr>
            <w:r w:rsidRPr="008B2AE5">
              <w:rPr>
                <w:b/>
                <w:bCs/>
                <w:sz w:val="24"/>
                <w:szCs w:val="24"/>
              </w:rPr>
              <w:t>Almene symptomer og reaktioner på administrationsstedet</w:t>
            </w:r>
          </w:p>
        </w:tc>
      </w:tr>
      <w:tr w:rsidR="008B2AE5" w:rsidRPr="008B2AE5" w14:paraId="44B79BC0" w14:textId="77777777" w:rsidTr="00DC6BBF">
        <w:tc>
          <w:tcPr>
            <w:tcW w:w="2461" w:type="pct"/>
            <w:tcBorders>
              <w:top w:val="single" w:sz="4" w:space="0" w:color="auto"/>
              <w:left w:val="single" w:sz="4" w:space="0" w:color="auto"/>
              <w:bottom w:val="single" w:sz="4" w:space="0" w:color="auto"/>
              <w:right w:val="single" w:sz="4" w:space="0" w:color="auto"/>
            </w:tcBorders>
            <w:hideMark/>
          </w:tcPr>
          <w:p w14:paraId="43B0E68C" w14:textId="77777777" w:rsidR="008B2AE5" w:rsidRPr="008B2AE5" w:rsidRDefault="008B2AE5" w:rsidP="008767FD">
            <w:pPr>
              <w:ind w:left="142"/>
              <w:rPr>
                <w:sz w:val="24"/>
                <w:szCs w:val="24"/>
              </w:rPr>
            </w:pPr>
            <w:r w:rsidRPr="008B2AE5">
              <w:rPr>
                <w:sz w:val="24"/>
                <w:szCs w:val="24"/>
              </w:rPr>
              <w:t>Ikke almindelig ≥ 1/1.000 til &lt; 1/100</w:t>
            </w:r>
          </w:p>
        </w:tc>
        <w:tc>
          <w:tcPr>
            <w:tcW w:w="2539" w:type="pct"/>
            <w:tcBorders>
              <w:top w:val="single" w:sz="4" w:space="0" w:color="auto"/>
              <w:left w:val="single" w:sz="4" w:space="0" w:color="auto"/>
              <w:bottom w:val="single" w:sz="4" w:space="0" w:color="auto"/>
              <w:right w:val="single" w:sz="4" w:space="0" w:color="auto"/>
            </w:tcBorders>
            <w:hideMark/>
          </w:tcPr>
          <w:p w14:paraId="7489738E" w14:textId="77777777" w:rsidR="008B2AE5" w:rsidRPr="008B2AE5" w:rsidRDefault="008B2AE5" w:rsidP="008767FD">
            <w:pPr>
              <w:ind w:left="142"/>
              <w:rPr>
                <w:sz w:val="24"/>
                <w:szCs w:val="24"/>
              </w:rPr>
            </w:pPr>
            <w:proofErr w:type="spellStart"/>
            <w:r w:rsidRPr="008B2AE5">
              <w:rPr>
                <w:i/>
                <w:iCs/>
                <w:sz w:val="24"/>
                <w:szCs w:val="24"/>
              </w:rPr>
              <w:t>Rebound</w:t>
            </w:r>
            <w:proofErr w:type="spellEnd"/>
            <w:r w:rsidRPr="008B2AE5">
              <w:rPr>
                <w:i/>
                <w:iCs/>
                <w:sz w:val="24"/>
                <w:szCs w:val="24"/>
              </w:rPr>
              <w:t>-</w:t>
            </w:r>
            <w:r w:rsidRPr="008B2AE5">
              <w:rPr>
                <w:sz w:val="24"/>
                <w:szCs w:val="24"/>
              </w:rPr>
              <w:t>effekt</w:t>
            </w:r>
          </w:p>
          <w:p w14:paraId="5823019A" w14:textId="77777777" w:rsidR="008B2AE5" w:rsidRPr="008B2AE5" w:rsidRDefault="008B2AE5" w:rsidP="008767FD">
            <w:pPr>
              <w:ind w:left="142"/>
              <w:rPr>
                <w:sz w:val="24"/>
                <w:szCs w:val="24"/>
              </w:rPr>
            </w:pPr>
            <w:proofErr w:type="spellStart"/>
            <w:r w:rsidRPr="008B2AE5">
              <w:rPr>
                <w:sz w:val="24"/>
                <w:szCs w:val="24"/>
              </w:rPr>
              <w:t>Pruritus</w:t>
            </w:r>
            <w:proofErr w:type="spellEnd"/>
            <w:r w:rsidRPr="008B2AE5">
              <w:rPr>
                <w:sz w:val="24"/>
                <w:szCs w:val="24"/>
              </w:rPr>
              <w:t xml:space="preserve"> på applikationsstedet</w:t>
            </w:r>
          </w:p>
          <w:p w14:paraId="520143E4" w14:textId="77777777" w:rsidR="008B2AE5" w:rsidRPr="008B2AE5" w:rsidRDefault="008B2AE5" w:rsidP="008767FD">
            <w:pPr>
              <w:ind w:left="142"/>
              <w:rPr>
                <w:sz w:val="24"/>
                <w:szCs w:val="24"/>
              </w:rPr>
            </w:pPr>
            <w:r w:rsidRPr="008B2AE5">
              <w:rPr>
                <w:sz w:val="24"/>
                <w:szCs w:val="24"/>
              </w:rPr>
              <w:t>Irritation på applikationsstedet</w:t>
            </w:r>
          </w:p>
          <w:p w14:paraId="15965E98" w14:textId="77777777" w:rsidR="008B2AE5" w:rsidRPr="008B2AE5" w:rsidRDefault="008B2AE5" w:rsidP="008767FD">
            <w:pPr>
              <w:ind w:left="142"/>
              <w:rPr>
                <w:sz w:val="24"/>
                <w:szCs w:val="24"/>
              </w:rPr>
            </w:pPr>
            <w:r w:rsidRPr="008B2AE5">
              <w:rPr>
                <w:sz w:val="24"/>
                <w:szCs w:val="24"/>
              </w:rPr>
              <w:t>Smerte på applikationsstedet****</w:t>
            </w:r>
          </w:p>
        </w:tc>
      </w:tr>
      <w:tr w:rsidR="008B2AE5" w:rsidRPr="008B2AE5" w14:paraId="1457C1B2" w14:textId="77777777" w:rsidTr="00DC6BBF">
        <w:tc>
          <w:tcPr>
            <w:tcW w:w="2461" w:type="pct"/>
            <w:tcBorders>
              <w:top w:val="single" w:sz="4" w:space="0" w:color="auto"/>
              <w:left w:val="single" w:sz="4" w:space="0" w:color="auto"/>
              <w:bottom w:val="single" w:sz="4" w:space="0" w:color="auto"/>
              <w:right w:val="single" w:sz="4" w:space="0" w:color="auto"/>
            </w:tcBorders>
            <w:hideMark/>
          </w:tcPr>
          <w:p w14:paraId="52DEE6DF" w14:textId="77777777" w:rsidR="008B2AE5" w:rsidRPr="008B2AE5" w:rsidRDefault="008B2AE5" w:rsidP="008767FD">
            <w:pPr>
              <w:ind w:left="142"/>
              <w:rPr>
                <w:sz w:val="24"/>
                <w:szCs w:val="24"/>
              </w:rPr>
            </w:pPr>
            <w:r w:rsidRPr="008B2AE5">
              <w:rPr>
                <w:sz w:val="24"/>
                <w:szCs w:val="24"/>
              </w:rPr>
              <w:t>Ikke kendt</w:t>
            </w:r>
          </w:p>
        </w:tc>
        <w:tc>
          <w:tcPr>
            <w:tcW w:w="2539" w:type="pct"/>
            <w:tcBorders>
              <w:top w:val="single" w:sz="4" w:space="0" w:color="auto"/>
              <w:left w:val="single" w:sz="4" w:space="0" w:color="auto"/>
              <w:bottom w:val="single" w:sz="4" w:space="0" w:color="auto"/>
              <w:right w:val="single" w:sz="4" w:space="0" w:color="auto"/>
            </w:tcBorders>
            <w:hideMark/>
          </w:tcPr>
          <w:p w14:paraId="4C4BD5D9" w14:textId="77777777" w:rsidR="008B2AE5" w:rsidRPr="008B2AE5" w:rsidRDefault="008B2AE5" w:rsidP="008767FD">
            <w:pPr>
              <w:ind w:left="142"/>
              <w:rPr>
                <w:sz w:val="24"/>
                <w:szCs w:val="24"/>
              </w:rPr>
            </w:pPr>
            <w:proofErr w:type="spellStart"/>
            <w:r w:rsidRPr="008B2AE5">
              <w:rPr>
                <w:sz w:val="24"/>
                <w:szCs w:val="24"/>
              </w:rPr>
              <w:t>Erytem</w:t>
            </w:r>
            <w:proofErr w:type="spellEnd"/>
            <w:r w:rsidRPr="008B2AE5">
              <w:rPr>
                <w:sz w:val="24"/>
                <w:szCs w:val="24"/>
              </w:rPr>
              <w:t xml:space="preserve"> på applikationsstedet*****</w:t>
            </w:r>
          </w:p>
        </w:tc>
      </w:tr>
    </w:tbl>
    <w:p w14:paraId="05AE97AB" w14:textId="41A3C429" w:rsidR="008B2AE5" w:rsidRPr="008B2AE5" w:rsidRDefault="008B2AE5" w:rsidP="008767FD">
      <w:pPr>
        <w:ind w:left="709" w:hanging="709"/>
        <w:rPr>
          <w:sz w:val="24"/>
          <w:szCs w:val="24"/>
        </w:rPr>
      </w:pPr>
      <w:r w:rsidRPr="008B2AE5">
        <w:rPr>
          <w:sz w:val="24"/>
          <w:szCs w:val="24"/>
        </w:rPr>
        <w:t xml:space="preserve">* </w:t>
      </w:r>
      <w:r w:rsidR="008767FD" w:rsidRPr="00DC6BBF">
        <w:rPr>
          <w:sz w:val="24"/>
          <w:szCs w:val="24"/>
        </w:rPr>
        <w:tab/>
      </w:r>
      <w:r w:rsidRPr="008B2AE5">
        <w:rPr>
          <w:sz w:val="24"/>
          <w:szCs w:val="24"/>
        </w:rPr>
        <w:t xml:space="preserve">Let </w:t>
      </w:r>
      <w:proofErr w:type="spellStart"/>
      <w:r w:rsidRPr="008B2AE5">
        <w:rPr>
          <w:sz w:val="24"/>
          <w:szCs w:val="24"/>
        </w:rPr>
        <w:t>hypercalcæmi</w:t>
      </w:r>
      <w:proofErr w:type="spellEnd"/>
      <w:r w:rsidRPr="008B2AE5">
        <w:rPr>
          <w:sz w:val="24"/>
          <w:szCs w:val="24"/>
        </w:rPr>
        <w:t xml:space="preserve"> er observeret.</w:t>
      </w:r>
    </w:p>
    <w:p w14:paraId="15FD31F9" w14:textId="42A92FF6" w:rsidR="008B2AE5" w:rsidRPr="008B2AE5" w:rsidRDefault="008B2AE5" w:rsidP="008767FD">
      <w:pPr>
        <w:ind w:left="709" w:hanging="709"/>
        <w:rPr>
          <w:sz w:val="24"/>
          <w:szCs w:val="24"/>
        </w:rPr>
      </w:pPr>
      <w:r w:rsidRPr="008B2AE5">
        <w:rPr>
          <w:sz w:val="24"/>
          <w:szCs w:val="24"/>
        </w:rPr>
        <w:t xml:space="preserve">** </w:t>
      </w:r>
      <w:r w:rsidR="008767FD" w:rsidRPr="00DC6BBF">
        <w:rPr>
          <w:sz w:val="24"/>
          <w:szCs w:val="24"/>
        </w:rPr>
        <w:tab/>
      </w:r>
      <w:r w:rsidRPr="008B2AE5">
        <w:rPr>
          <w:sz w:val="24"/>
          <w:szCs w:val="24"/>
        </w:rPr>
        <w:t>Se også pkt. 4.4.</w:t>
      </w:r>
    </w:p>
    <w:p w14:paraId="2D72CF70" w14:textId="6FA1CCC0" w:rsidR="008B2AE5" w:rsidRPr="008B2AE5" w:rsidRDefault="008B2AE5" w:rsidP="008767FD">
      <w:pPr>
        <w:ind w:left="709" w:hanging="709"/>
        <w:rPr>
          <w:sz w:val="24"/>
          <w:szCs w:val="24"/>
        </w:rPr>
      </w:pPr>
      <w:r w:rsidRPr="008B2AE5">
        <w:rPr>
          <w:sz w:val="24"/>
          <w:szCs w:val="24"/>
        </w:rPr>
        <w:t xml:space="preserve">*** </w:t>
      </w:r>
      <w:r w:rsidR="008767FD" w:rsidRPr="00DC6BBF">
        <w:rPr>
          <w:sz w:val="24"/>
          <w:szCs w:val="24"/>
        </w:rPr>
        <w:tab/>
      </w:r>
      <w:r w:rsidRPr="008B2AE5">
        <w:rPr>
          <w:sz w:val="24"/>
          <w:szCs w:val="24"/>
        </w:rPr>
        <w:t xml:space="preserve">Forbigående misfarvning af hår ved applikationsstedet i hovedbunden, til en gullig farve i hvidt eller gråt hår, er rapporteret for kombinationsprodukter med </w:t>
      </w:r>
      <w:proofErr w:type="spellStart"/>
      <w:r w:rsidRPr="008B2AE5">
        <w:rPr>
          <w:sz w:val="24"/>
          <w:szCs w:val="24"/>
        </w:rPr>
        <w:t>calcipotriol</w:t>
      </w:r>
      <w:proofErr w:type="spellEnd"/>
      <w:r w:rsidRPr="008B2AE5">
        <w:rPr>
          <w:sz w:val="24"/>
          <w:szCs w:val="24"/>
        </w:rPr>
        <w:t xml:space="preserve"> og </w:t>
      </w:r>
      <w:proofErr w:type="spellStart"/>
      <w:r w:rsidRPr="008B2AE5">
        <w:rPr>
          <w:sz w:val="24"/>
          <w:szCs w:val="24"/>
        </w:rPr>
        <w:t>betamethason</w:t>
      </w:r>
      <w:proofErr w:type="spellEnd"/>
      <w:r w:rsidRPr="008B2AE5">
        <w:rPr>
          <w:sz w:val="24"/>
          <w:szCs w:val="24"/>
        </w:rPr>
        <w:t>.</w:t>
      </w:r>
    </w:p>
    <w:p w14:paraId="288CB516" w14:textId="2D38E088" w:rsidR="008B2AE5" w:rsidRPr="008B2AE5" w:rsidRDefault="008B2AE5" w:rsidP="008767FD">
      <w:pPr>
        <w:ind w:left="709" w:hanging="709"/>
        <w:rPr>
          <w:sz w:val="24"/>
          <w:szCs w:val="24"/>
        </w:rPr>
      </w:pPr>
      <w:r w:rsidRPr="008B2AE5">
        <w:rPr>
          <w:sz w:val="24"/>
          <w:szCs w:val="24"/>
        </w:rPr>
        <w:t xml:space="preserve">**** </w:t>
      </w:r>
      <w:r w:rsidR="008767FD" w:rsidRPr="00DC6BBF">
        <w:rPr>
          <w:sz w:val="24"/>
          <w:szCs w:val="24"/>
        </w:rPr>
        <w:tab/>
      </w:r>
      <w:r w:rsidRPr="008B2AE5">
        <w:rPr>
          <w:sz w:val="24"/>
          <w:szCs w:val="24"/>
        </w:rPr>
        <w:t>Svie på applikationsstedet er omfattet af smerte på applikationsstedet.</w:t>
      </w:r>
    </w:p>
    <w:p w14:paraId="390BC5B7" w14:textId="7A0A81C4" w:rsidR="008B2AE5" w:rsidRPr="008B2AE5" w:rsidRDefault="008B2AE5" w:rsidP="008767FD">
      <w:pPr>
        <w:ind w:left="709" w:hanging="709"/>
        <w:rPr>
          <w:sz w:val="24"/>
          <w:szCs w:val="24"/>
        </w:rPr>
      </w:pPr>
      <w:r w:rsidRPr="008B2AE5">
        <w:rPr>
          <w:sz w:val="24"/>
          <w:szCs w:val="24"/>
        </w:rPr>
        <w:t xml:space="preserve">***** </w:t>
      </w:r>
      <w:r w:rsidR="008767FD" w:rsidRPr="00DC6BBF">
        <w:rPr>
          <w:sz w:val="24"/>
          <w:szCs w:val="24"/>
        </w:rPr>
        <w:tab/>
      </w:r>
      <w:r w:rsidRPr="008B2AE5">
        <w:rPr>
          <w:sz w:val="24"/>
          <w:szCs w:val="24"/>
        </w:rPr>
        <w:t>Baseret på erfaring efter markedsføring.</w:t>
      </w:r>
    </w:p>
    <w:p w14:paraId="13ACC437" w14:textId="77777777" w:rsidR="008B2AE5" w:rsidRPr="008B2AE5" w:rsidRDefault="008B2AE5" w:rsidP="008B2AE5">
      <w:pPr>
        <w:tabs>
          <w:tab w:val="left" w:pos="851"/>
        </w:tabs>
        <w:ind w:left="851"/>
        <w:rPr>
          <w:sz w:val="24"/>
          <w:szCs w:val="24"/>
        </w:rPr>
      </w:pPr>
    </w:p>
    <w:p w14:paraId="65F03770" w14:textId="77777777" w:rsidR="008B2AE5" w:rsidRPr="00DC6BBF" w:rsidRDefault="008B2AE5" w:rsidP="008767FD">
      <w:pPr>
        <w:ind w:left="851"/>
        <w:rPr>
          <w:sz w:val="24"/>
          <w:szCs w:val="24"/>
          <w:u w:val="single"/>
        </w:rPr>
      </w:pPr>
      <w:r w:rsidRPr="00DC6BBF">
        <w:rPr>
          <w:sz w:val="24"/>
          <w:szCs w:val="24"/>
          <w:u w:val="single"/>
        </w:rPr>
        <w:t>Pædiatrisk population</w:t>
      </w:r>
    </w:p>
    <w:p w14:paraId="4B8BAC23" w14:textId="77777777" w:rsidR="008B2AE5" w:rsidRPr="00DC6BBF" w:rsidRDefault="008B2AE5" w:rsidP="008767FD">
      <w:pPr>
        <w:ind w:left="851"/>
        <w:rPr>
          <w:sz w:val="24"/>
          <w:szCs w:val="24"/>
        </w:rPr>
      </w:pPr>
    </w:p>
    <w:p w14:paraId="48579C7F" w14:textId="77777777" w:rsidR="008B2AE5" w:rsidRPr="00DC6BBF" w:rsidRDefault="008B2AE5" w:rsidP="008767FD">
      <w:pPr>
        <w:ind w:left="851"/>
        <w:rPr>
          <w:sz w:val="24"/>
          <w:szCs w:val="24"/>
        </w:rPr>
      </w:pPr>
      <w:r w:rsidRPr="00DC6BBF">
        <w:rPr>
          <w:sz w:val="24"/>
          <w:szCs w:val="24"/>
        </w:rPr>
        <w:t>Der er ikke observeret klinisk relevante forskelle i sikkerhedsprofilerne mellem voksne og unge populationer. I alt blev 106 unge forsøgspersoner behandlet i et åbent klinisk studie. Se pkt. 5.1 for yderligere oplysninger om dette studie.</w:t>
      </w:r>
    </w:p>
    <w:p w14:paraId="641B8F8C" w14:textId="77777777" w:rsidR="008B2AE5" w:rsidRPr="00DC6BBF" w:rsidRDefault="008B2AE5" w:rsidP="008767FD">
      <w:pPr>
        <w:ind w:left="851"/>
        <w:rPr>
          <w:sz w:val="24"/>
          <w:szCs w:val="24"/>
        </w:rPr>
      </w:pPr>
    </w:p>
    <w:p w14:paraId="105EDEC8" w14:textId="77777777" w:rsidR="008B2AE5" w:rsidRPr="00DC6BBF" w:rsidRDefault="008B2AE5" w:rsidP="008767FD">
      <w:pPr>
        <w:ind w:left="851"/>
        <w:rPr>
          <w:sz w:val="24"/>
          <w:szCs w:val="24"/>
        </w:rPr>
      </w:pPr>
      <w:r w:rsidRPr="00DC6BBF">
        <w:rPr>
          <w:sz w:val="24"/>
          <w:szCs w:val="24"/>
        </w:rPr>
        <w:t xml:space="preserve">Følgende bivirkninger anses for at være relateret til de farmakologiske klasser for henholdsvis </w:t>
      </w:r>
      <w:proofErr w:type="spellStart"/>
      <w:r w:rsidRPr="00DC6BBF">
        <w:rPr>
          <w:sz w:val="24"/>
          <w:szCs w:val="24"/>
        </w:rPr>
        <w:t>calcipotriol</w:t>
      </w:r>
      <w:proofErr w:type="spellEnd"/>
      <w:r w:rsidRPr="00DC6BBF">
        <w:rPr>
          <w:sz w:val="24"/>
          <w:szCs w:val="24"/>
        </w:rPr>
        <w:t xml:space="preserve"> og </w:t>
      </w:r>
      <w:proofErr w:type="spellStart"/>
      <w:r w:rsidRPr="00DC6BBF">
        <w:rPr>
          <w:sz w:val="24"/>
          <w:szCs w:val="24"/>
        </w:rPr>
        <w:t>betamethason</w:t>
      </w:r>
      <w:proofErr w:type="spellEnd"/>
      <w:r w:rsidRPr="00DC6BBF">
        <w:rPr>
          <w:sz w:val="24"/>
          <w:szCs w:val="24"/>
        </w:rPr>
        <w:t>:</w:t>
      </w:r>
    </w:p>
    <w:p w14:paraId="229547DE" w14:textId="77777777" w:rsidR="008B2AE5" w:rsidRPr="00DC6BBF" w:rsidRDefault="008B2AE5" w:rsidP="008767FD">
      <w:pPr>
        <w:ind w:left="851"/>
        <w:rPr>
          <w:sz w:val="24"/>
          <w:szCs w:val="24"/>
        </w:rPr>
      </w:pPr>
    </w:p>
    <w:p w14:paraId="53F2E5BD" w14:textId="77777777" w:rsidR="008B2AE5" w:rsidRPr="00DC6BBF" w:rsidRDefault="008B2AE5" w:rsidP="008767FD">
      <w:pPr>
        <w:ind w:left="851"/>
        <w:rPr>
          <w:sz w:val="24"/>
          <w:szCs w:val="24"/>
        </w:rPr>
      </w:pPr>
      <w:proofErr w:type="spellStart"/>
      <w:r w:rsidRPr="00DC6BBF">
        <w:rPr>
          <w:sz w:val="24"/>
          <w:szCs w:val="24"/>
        </w:rPr>
        <w:t>Calcipotriol</w:t>
      </w:r>
      <w:proofErr w:type="spellEnd"/>
      <w:r w:rsidRPr="00DC6BBF">
        <w:rPr>
          <w:sz w:val="24"/>
          <w:szCs w:val="24"/>
        </w:rPr>
        <w:t>:</w:t>
      </w:r>
    </w:p>
    <w:p w14:paraId="2864788D" w14:textId="77777777" w:rsidR="008B2AE5" w:rsidRPr="00DC6BBF" w:rsidRDefault="008B2AE5" w:rsidP="008767FD">
      <w:pPr>
        <w:ind w:left="851"/>
        <w:rPr>
          <w:sz w:val="24"/>
          <w:szCs w:val="24"/>
        </w:rPr>
      </w:pPr>
      <w:r w:rsidRPr="00DC6BBF">
        <w:rPr>
          <w:sz w:val="24"/>
          <w:szCs w:val="24"/>
        </w:rPr>
        <w:t xml:space="preserve">Bivirkninger omfatter reaktioner på applikationsstedet, </w:t>
      </w:r>
      <w:proofErr w:type="spellStart"/>
      <w:r w:rsidRPr="00DC6BBF">
        <w:rPr>
          <w:sz w:val="24"/>
          <w:szCs w:val="24"/>
        </w:rPr>
        <w:t>pruritus</w:t>
      </w:r>
      <w:proofErr w:type="spellEnd"/>
      <w:r w:rsidRPr="00DC6BBF">
        <w:rPr>
          <w:sz w:val="24"/>
          <w:szCs w:val="24"/>
        </w:rPr>
        <w:t xml:space="preserve">, hudirritation, en brændende og sviende fornemmelse, tør hud, </w:t>
      </w:r>
      <w:proofErr w:type="spellStart"/>
      <w:r w:rsidRPr="00DC6BBF">
        <w:rPr>
          <w:sz w:val="24"/>
          <w:szCs w:val="24"/>
        </w:rPr>
        <w:t>erytem</w:t>
      </w:r>
      <w:proofErr w:type="spellEnd"/>
      <w:r w:rsidRPr="00DC6BBF">
        <w:rPr>
          <w:sz w:val="24"/>
          <w:szCs w:val="24"/>
        </w:rPr>
        <w:t xml:space="preserve">, udslæt, </w:t>
      </w:r>
      <w:proofErr w:type="spellStart"/>
      <w:r w:rsidRPr="00DC6BBF">
        <w:rPr>
          <w:sz w:val="24"/>
          <w:szCs w:val="24"/>
        </w:rPr>
        <w:t>dermatitis</w:t>
      </w:r>
      <w:proofErr w:type="spellEnd"/>
      <w:r w:rsidRPr="00DC6BBF">
        <w:rPr>
          <w:sz w:val="24"/>
          <w:szCs w:val="24"/>
        </w:rPr>
        <w:t xml:space="preserve">, forværring af psoriasis, lysfølsomhed og overfølsomhedsreaktioner, herunder meget sjældne tilfælde af </w:t>
      </w:r>
      <w:proofErr w:type="spellStart"/>
      <w:r w:rsidRPr="00DC6BBF">
        <w:rPr>
          <w:sz w:val="24"/>
          <w:szCs w:val="24"/>
        </w:rPr>
        <w:t>angioødem</w:t>
      </w:r>
      <w:proofErr w:type="spellEnd"/>
      <w:r w:rsidRPr="00DC6BBF">
        <w:rPr>
          <w:sz w:val="24"/>
          <w:szCs w:val="24"/>
        </w:rPr>
        <w:t xml:space="preserve"> og ansigtsødem.</w:t>
      </w:r>
    </w:p>
    <w:p w14:paraId="31717A7D" w14:textId="77777777" w:rsidR="008B2AE5" w:rsidRPr="00DC6BBF" w:rsidRDefault="008B2AE5" w:rsidP="008767FD">
      <w:pPr>
        <w:ind w:left="851"/>
        <w:rPr>
          <w:sz w:val="24"/>
          <w:szCs w:val="24"/>
        </w:rPr>
      </w:pPr>
    </w:p>
    <w:p w14:paraId="6974C8E7" w14:textId="77777777" w:rsidR="008B2AE5" w:rsidRPr="00DC6BBF" w:rsidRDefault="008B2AE5" w:rsidP="008767FD">
      <w:pPr>
        <w:ind w:left="851"/>
        <w:rPr>
          <w:sz w:val="24"/>
          <w:szCs w:val="24"/>
        </w:rPr>
      </w:pPr>
      <w:r w:rsidRPr="00DC6BBF">
        <w:rPr>
          <w:sz w:val="24"/>
          <w:szCs w:val="24"/>
        </w:rPr>
        <w:t xml:space="preserve">Systemiske bivirkninger efter </w:t>
      </w:r>
      <w:proofErr w:type="spellStart"/>
      <w:r w:rsidRPr="00DC6BBF">
        <w:rPr>
          <w:sz w:val="24"/>
          <w:szCs w:val="24"/>
        </w:rPr>
        <w:t>topikal</w:t>
      </w:r>
      <w:proofErr w:type="spellEnd"/>
      <w:r w:rsidRPr="00DC6BBF">
        <w:rPr>
          <w:sz w:val="24"/>
          <w:szCs w:val="24"/>
        </w:rPr>
        <w:t xml:space="preserve"> anvendelse kan meget sjældent forårsage </w:t>
      </w:r>
      <w:proofErr w:type="spellStart"/>
      <w:r w:rsidRPr="00DC6BBF">
        <w:rPr>
          <w:sz w:val="24"/>
          <w:szCs w:val="24"/>
        </w:rPr>
        <w:t>hypercalcæmi</w:t>
      </w:r>
      <w:proofErr w:type="spellEnd"/>
      <w:r w:rsidRPr="00DC6BBF">
        <w:rPr>
          <w:sz w:val="24"/>
          <w:szCs w:val="24"/>
        </w:rPr>
        <w:t xml:space="preserve"> og </w:t>
      </w:r>
      <w:proofErr w:type="spellStart"/>
      <w:r w:rsidRPr="00DC6BBF">
        <w:rPr>
          <w:sz w:val="24"/>
          <w:szCs w:val="24"/>
        </w:rPr>
        <w:t>hypercalciuri</w:t>
      </w:r>
      <w:proofErr w:type="spellEnd"/>
      <w:r w:rsidRPr="00DC6BBF">
        <w:rPr>
          <w:sz w:val="24"/>
          <w:szCs w:val="24"/>
        </w:rPr>
        <w:t xml:space="preserve"> (se pkt. 4.4).</w:t>
      </w:r>
    </w:p>
    <w:p w14:paraId="404C284D" w14:textId="77777777" w:rsidR="008B2AE5" w:rsidRPr="00DC6BBF" w:rsidRDefault="008B2AE5" w:rsidP="008767FD">
      <w:pPr>
        <w:ind w:left="851"/>
        <w:rPr>
          <w:sz w:val="24"/>
          <w:szCs w:val="24"/>
        </w:rPr>
      </w:pPr>
    </w:p>
    <w:p w14:paraId="44B2D868" w14:textId="77777777" w:rsidR="008B2AE5" w:rsidRPr="00DC6BBF" w:rsidRDefault="008B2AE5" w:rsidP="008767FD">
      <w:pPr>
        <w:ind w:left="851"/>
        <w:rPr>
          <w:sz w:val="24"/>
          <w:szCs w:val="24"/>
        </w:rPr>
      </w:pPr>
      <w:proofErr w:type="spellStart"/>
      <w:r w:rsidRPr="00DC6BBF">
        <w:rPr>
          <w:sz w:val="24"/>
          <w:szCs w:val="24"/>
        </w:rPr>
        <w:t>Betamethason</w:t>
      </w:r>
      <w:proofErr w:type="spellEnd"/>
      <w:r w:rsidRPr="00DC6BBF">
        <w:rPr>
          <w:sz w:val="24"/>
          <w:szCs w:val="24"/>
        </w:rPr>
        <w:t xml:space="preserve"> (som </w:t>
      </w:r>
      <w:proofErr w:type="spellStart"/>
      <w:r w:rsidRPr="00DC6BBF">
        <w:rPr>
          <w:sz w:val="24"/>
          <w:szCs w:val="24"/>
        </w:rPr>
        <w:t>dipropionat</w:t>
      </w:r>
      <w:proofErr w:type="spellEnd"/>
      <w:r w:rsidRPr="00DC6BBF">
        <w:rPr>
          <w:sz w:val="24"/>
          <w:szCs w:val="24"/>
        </w:rPr>
        <w:t>):</w:t>
      </w:r>
    </w:p>
    <w:p w14:paraId="1C24DDBB" w14:textId="77777777" w:rsidR="008B2AE5" w:rsidRPr="00DC6BBF" w:rsidRDefault="008B2AE5" w:rsidP="008767FD">
      <w:pPr>
        <w:ind w:left="851"/>
        <w:rPr>
          <w:sz w:val="24"/>
          <w:szCs w:val="24"/>
        </w:rPr>
      </w:pPr>
      <w:r w:rsidRPr="00DC6BBF">
        <w:rPr>
          <w:sz w:val="24"/>
          <w:szCs w:val="24"/>
        </w:rPr>
        <w:t xml:space="preserve">Lokale reaktioner kan opstå efter </w:t>
      </w:r>
      <w:proofErr w:type="spellStart"/>
      <w:r w:rsidRPr="00DC6BBF">
        <w:rPr>
          <w:sz w:val="24"/>
          <w:szCs w:val="24"/>
        </w:rPr>
        <w:t>topikal</w:t>
      </w:r>
      <w:proofErr w:type="spellEnd"/>
      <w:r w:rsidRPr="00DC6BBF">
        <w:rPr>
          <w:sz w:val="24"/>
          <w:szCs w:val="24"/>
        </w:rPr>
        <w:t xml:space="preserve"> anvendelse, særligt ved langvarig behandling, herunder hudatrofi, </w:t>
      </w:r>
      <w:proofErr w:type="spellStart"/>
      <w:r w:rsidRPr="00DC6BBF">
        <w:rPr>
          <w:sz w:val="24"/>
          <w:szCs w:val="24"/>
        </w:rPr>
        <w:t>telangiektasi</w:t>
      </w:r>
      <w:proofErr w:type="spellEnd"/>
      <w:r w:rsidRPr="00DC6BBF">
        <w:rPr>
          <w:sz w:val="24"/>
          <w:szCs w:val="24"/>
        </w:rPr>
        <w:t xml:space="preserve">, </w:t>
      </w:r>
      <w:proofErr w:type="spellStart"/>
      <w:r w:rsidRPr="00DC6BBF">
        <w:rPr>
          <w:sz w:val="24"/>
          <w:szCs w:val="24"/>
        </w:rPr>
        <w:t>striae</w:t>
      </w:r>
      <w:proofErr w:type="spellEnd"/>
      <w:r w:rsidRPr="00DC6BBF">
        <w:rPr>
          <w:sz w:val="24"/>
          <w:szCs w:val="24"/>
        </w:rPr>
        <w:t xml:space="preserve">, </w:t>
      </w:r>
      <w:proofErr w:type="spellStart"/>
      <w:r w:rsidRPr="00DC6BBF">
        <w:rPr>
          <w:sz w:val="24"/>
          <w:szCs w:val="24"/>
        </w:rPr>
        <w:t>folliculitis</w:t>
      </w:r>
      <w:proofErr w:type="spellEnd"/>
      <w:r w:rsidRPr="00DC6BBF">
        <w:rPr>
          <w:sz w:val="24"/>
          <w:szCs w:val="24"/>
        </w:rPr>
        <w:t xml:space="preserve">, </w:t>
      </w:r>
      <w:proofErr w:type="spellStart"/>
      <w:r w:rsidRPr="00DC6BBF">
        <w:rPr>
          <w:sz w:val="24"/>
          <w:szCs w:val="24"/>
        </w:rPr>
        <w:t>hypertrikose</w:t>
      </w:r>
      <w:proofErr w:type="spellEnd"/>
      <w:r w:rsidRPr="00DC6BBF">
        <w:rPr>
          <w:sz w:val="24"/>
          <w:szCs w:val="24"/>
        </w:rPr>
        <w:t xml:space="preserve">, perioral </w:t>
      </w:r>
      <w:proofErr w:type="spellStart"/>
      <w:r w:rsidRPr="00DC6BBF">
        <w:rPr>
          <w:sz w:val="24"/>
          <w:szCs w:val="24"/>
        </w:rPr>
        <w:t>dermatitis</w:t>
      </w:r>
      <w:proofErr w:type="spellEnd"/>
      <w:r w:rsidRPr="00DC6BBF">
        <w:rPr>
          <w:sz w:val="24"/>
          <w:szCs w:val="24"/>
        </w:rPr>
        <w:t xml:space="preserve">, allergisk </w:t>
      </w:r>
      <w:proofErr w:type="spellStart"/>
      <w:r w:rsidRPr="00DC6BBF">
        <w:rPr>
          <w:sz w:val="24"/>
          <w:szCs w:val="24"/>
        </w:rPr>
        <w:t>kontaktdermatitis</w:t>
      </w:r>
      <w:proofErr w:type="spellEnd"/>
      <w:r w:rsidRPr="00DC6BBF">
        <w:rPr>
          <w:sz w:val="24"/>
          <w:szCs w:val="24"/>
        </w:rPr>
        <w:t xml:space="preserve">, </w:t>
      </w:r>
      <w:proofErr w:type="spellStart"/>
      <w:r w:rsidRPr="00DC6BBF">
        <w:rPr>
          <w:sz w:val="24"/>
          <w:szCs w:val="24"/>
        </w:rPr>
        <w:t>depigmentering</w:t>
      </w:r>
      <w:proofErr w:type="spellEnd"/>
      <w:r w:rsidRPr="00DC6BBF">
        <w:rPr>
          <w:sz w:val="24"/>
          <w:szCs w:val="24"/>
        </w:rPr>
        <w:t xml:space="preserve"> og kolloid </w:t>
      </w:r>
      <w:proofErr w:type="spellStart"/>
      <w:r w:rsidRPr="00DC6BBF">
        <w:rPr>
          <w:sz w:val="24"/>
          <w:szCs w:val="24"/>
        </w:rPr>
        <w:t>milium</w:t>
      </w:r>
      <w:proofErr w:type="spellEnd"/>
      <w:r w:rsidRPr="00DC6BBF">
        <w:rPr>
          <w:sz w:val="24"/>
          <w:szCs w:val="24"/>
        </w:rPr>
        <w:t>.</w:t>
      </w:r>
    </w:p>
    <w:p w14:paraId="4D5B2181" w14:textId="77777777" w:rsidR="008B2AE5" w:rsidRPr="00DC6BBF" w:rsidRDefault="008B2AE5" w:rsidP="008767FD">
      <w:pPr>
        <w:ind w:left="851"/>
        <w:rPr>
          <w:sz w:val="24"/>
          <w:szCs w:val="24"/>
        </w:rPr>
      </w:pPr>
    </w:p>
    <w:p w14:paraId="3C213226" w14:textId="77777777" w:rsidR="008B2AE5" w:rsidRPr="00DC6BBF" w:rsidRDefault="008B2AE5" w:rsidP="008767FD">
      <w:pPr>
        <w:ind w:left="851"/>
        <w:rPr>
          <w:sz w:val="24"/>
          <w:szCs w:val="24"/>
        </w:rPr>
      </w:pPr>
      <w:r w:rsidRPr="00DC6BBF">
        <w:rPr>
          <w:sz w:val="24"/>
          <w:szCs w:val="24"/>
        </w:rPr>
        <w:t xml:space="preserve">Ved behandling af psoriasis med </w:t>
      </w:r>
      <w:proofErr w:type="spellStart"/>
      <w:r w:rsidRPr="00DC6BBF">
        <w:rPr>
          <w:sz w:val="24"/>
          <w:szCs w:val="24"/>
        </w:rPr>
        <w:t>topikale</w:t>
      </w:r>
      <w:proofErr w:type="spellEnd"/>
      <w:r w:rsidRPr="00DC6BBF">
        <w:rPr>
          <w:sz w:val="24"/>
          <w:szCs w:val="24"/>
        </w:rPr>
        <w:t xml:space="preserve"> </w:t>
      </w:r>
      <w:proofErr w:type="spellStart"/>
      <w:r w:rsidRPr="00DC6BBF">
        <w:rPr>
          <w:sz w:val="24"/>
          <w:szCs w:val="24"/>
        </w:rPr>
        <w:t>kortikosteroider</w:t>
      </w:r>
      <w:proofErr w:type="spellEnd"/>
      <w:r w:rsidRPr="00DC6BBF">
        <w:rPr>
          <w:sz w:val="24"/>
          <w:szCs w:val="24"/>
        </w:rPr>
        <w:t xml:space="preserve"> kan der være risiko for generaliseret </w:t>
      </w:r>
      <w:proofErr w:type="spellStart"/>
      <w:r w:rsidRPr="00DC6BBF">
        <w:rPr>
          <w:sz w:val="24"/>
          <w:szCs w:val="24"/>
        </w:rPr>
        <w:t>pustuløs</w:t>
      </w:r>
      <w:proofErr w:type="spellEnd"/>
      <w:r w:rsidRPr="00DC6BBF">
        <w:rPr>
          <w:sz w:val="24"/>
          <w:szCs w:val="24"/>
        </w:rPr>
        <w:t xml:space="preserve"> psoriasis.</w:t>
      </w:r>
    </w:p>
    <w:p w14:paraId="608D9EF0" w14:textId="77777777" w:rsidR="008B2AE5" w:rsidRPr="00DC6BBF" w:rsidRDefault="008B2AE5" w:rsidP="008767FD">
      <w:pPr>
        <w:ind w:left="851"/>
        <w:rPr>
          <w:sz w:val="24"/>
          <w:szCs w:val="24"/>
        </w:rPr>
      </w:pPr>
    </w:p>
    <w:p w14:paraId="341753CD" w14:textId="77777777" w:rsidR="008B2AE5" w:rsidRPr="00DC6BBF" w:rsidRDefault="008B2AE5" w:rsidP="008767FD">
      <w:pPr>
        <w:ind w:left="851"/>
        <w:rPr>
          <w:sz w:val="24"/>
          <w:szCs w:val="24"/>
        </w:rPr>
      </w:pPr>
      <w:r w:rsidRPr="00DC6BBF">
        <w:rPr>
          <w:sz w:val="24"/>
          <w:szCs w:val="24"/>
        </w:rPr>
        <w:t xml:space="preserve">Systemiske bivirkninger på grund af brug af </w:t>
      </w:r>
      <w:proofErr w:type="spellStart"/>
      <w:r w:rsidRPr="00DC6BBF">
        <w:rPr>
          <w:sz w:val="24"/>
          <w:szCs w:val="24"/>
        </w:rPr>
        <w:t>topikale</w:t>
      </w:r>
      <w:proofErr w:type="spellEnd"/>
      <w:r w:rsidRPr="00DC6BBF">
        <w:rPr>
          <w:sz w:val="24"/>
          <w:szCs w:val="24"/>
        </w:rPr>
        <w:t xml:space="preserve"> </w:t>
      </w:r>
      <w:proofErr w:type="spellStart"/>
      <w:r w:rsidRPr="00DC6BBF">
        <w:rPr>
          <w:sz w:val="24"/>
          <w:szCs w:val="24"/>
        </w:rPr>
        <w:t>kortikosteroider</w:t>
      </w:r>
      <w:proofErr w:type="spellEnd"/>
      <w:r w:rsidRPr="00DC6BBF">
        <w:rPr>
          <w:sz w:val="24"/>
          <w:szCs w:val="24"/>
        </w:rPr>
        <w:t xml:space="preserve"> er sjældne hos voksne, men de kan være svære. Binyrebarksuppression, katarakt, infektioner, svækkelse af glykæmisk kontrol af diabetes mellitus og øget </w:t>
      </w:r>
      <w:proofErr w:type="spellStart"/>
      <w:r w:rsidRPr="00DC6BBF">
        <w:rPr>
          <w:sz w:val="24"/>
          <w:szCs w:val="24"/>
        </w:rPr>
        <w:t>intraokulært</w:t>
      </w:r>
      <w:proofErr w:type="spellEnd"/>
      <w:r w:rsidRPr="00DC6BBF">
        <w:rPr>
          <w:sz w:val="24"/>
          <w:szCs w:val="24"/>
        </w:rPr>
        <w:t xml:space="preserve"> tryk kan opstå, specielt efter langvarig behandling. Systemiske bivirkninger forekommer oftere ved </w:t>
      </w:r>
      <w:proofErr w:type="spellStart"/>
      <w:r w:rsidRPr="00DC6BBF">
        <w:rPr>
          <w:sz w:val="24"/>
          <w:szCs w:val="24"/>
        </w:rPr>
        <w:t>okklusion</w:t>
      </w:r>
      <w:proofErr w:type="spellEnd"/>
      <w:r w:rsidRPr="00DC6BBF">
        <w:rPr>
          <w:sz w:val="24"/>
          <w:szCs w:val="24"/>
        </w:rPr>
        <w:t xml:space="preserve"> (plastik, hudfolder), ved anvendelse på store hudområder og ved langvarig behandling (se pkt. 4.4).</w:t>
      </w:r>
    </w:p>
    <w:p w14:paraId="7DF6A78D" w14:textId="77777777" w:rsidR="008B2AE5" w:rsidRPr="00DC6BBF" w:rsidRDefault="008B2AE5" w:rsidP="008767FD">
      <w:pPr>
        <w:ind w:left="851"/>
        <w:rPr>
          <w:i/>
          <w:sz w:val="24"/>
          <w:szCs w:val="24"/>
        </w:rPr>
      </w:pPr>
    </w:p>
    <w:p w14:paraId="7A86C262" w14:textId="77777777" w:rsidR="008B2AE5" w:rsidRPr="00DC6BBF" w:rsidRDefault="008B2AE5" w:rsidP="008767FD">
      <w:pPr>
        <w:ind w:left="851"/>
        <w:rPr>
          <w:sz w:val="24"/>
          <w:szCs w:val="24"/>
          <w:u w:val="single"/>
        </w:rPr>
      </w:pPr>
      <w:r w:rsidRPr="00DC6BBF">
        <w:rPr>
          <w:sz w:val="24"/>
          <w:szCs w:val="24"/>
          <w:u w:val="single"/>
        </w:rPr>
        <w:t>Indberetning af formodede bivirkninger</w:t>
      </w:r>
    </w:p>
    <w:p w14:paraId="1EDC14AD" w14:textId="77777777" w:rsidR="008B2AE5" w:rsidRPr="00DC6BBF" w:rsidRDefault="008B2AE5" w:rsidP="008767FD">
      <w:pPr>
        <w:ind w:left="851"/>
        <w:rPr>
          <w:sz w:val="24"/>
          <w:szCs w:val="24"/>
        </w:rPr>
      </w:pPr>
      <w:r w:rsidRPr="00DC6BBF">
        <w:rPr>
          <w:sz w:val="24"/>
          <w:szCs w:val="24"/>
        </w:rPr>
        <w:t>Når lægemidlet er godkendt, er indberetning af formodede bivirkninger vigtig. Det muliggør løbende overvågning af benefit/</w:t>
      </w:r>
      <w:proofErr w:type="spellStart"/>
      <w:r w:rsidRPr="00DC6BBF">
        <w:rPr>
          <w:sz w:val="24"/>
          <w:szCs w:val="24"/>
        </w:rPr>
        <w:t>risk</w:t>
      </w:r>
      <w:proofErr w:type="spellEnd"/>
      <w:r w:rsidRPr="00DC6BBF">
        <w:rPr>
          <w:sz w:val="24"/>
          <w:szCs w:val="24"/>
        </w:rPr>
        <w:t>-forholdet for lægemidlet. Sundhedspersoner anmodes om at indberette alle formodede bivirkninger via:</w:t>
      </w:r>
    </w:p>
    <w:p w14:paraId="7C11FA0D" w14:textId="77777777" w:rsidR="008B2AE5" w:rsidRPr="00DC6BBF" w:rsidRDefault="008B2AE5" w:rsidP="008767FD">
      <w:pPr>
        <w:ind w:left="851"/>
        <w:rPr>
          <w:sz w:val="24"/>
          <w:szCs w:val="24"/>
        </w:rPr>
      </w:pPr>
    </w:p>
    <w:p w14:paraId="58B2B052" w14:textId="77777777" w:rsidR="008B2AE5" w:rsidRPr="00DC6BBF" w:rsidRDefault="008B2AE5" w:rsidP="008767FD">
      <w:pPr>
        <w:ind w:left="851"/>
        <w:rPr>
          <w:sz w:val="24"/>
          <w:szCs w:val="24"/>
        </w:rPr>
      </w:pPr>
      <w:r w:rsidRPr="00DC6BBF">
        <w:rPr>
          <w:sz w:val="24"/>
          <w:szCs w:val="24"/>
        </w:rPr>
        <w:t>Lægemiddelstyrelsen</w:t>
      </w:r>
    </w:p>
    <w:p w14:paraId="5A230D55" w14:textId="77777777" w:rsidR="008B2AE5" w:rsidRPr="00DC6BBF" w:rsidRDefault="008B2AE5" w:rsidP="008767FD">
      <w:pPr>
        <w:ind w:left="851"/>
        <w:rPr>
          <w:sz w:val="24"/>
          <w:szCs w:val="24"/>
        </w:rPr>
      </w:pPr>
      <w:r w:rsidRPr="00DC6BBF">
        <w:rPr>
          <w:sz w:val="24"/>
          <w:szCs w:val="24"/>
        </w:rPr>
        <w:t>Axel Heides Gade 1</w:t>
      </w:r>
    </w:p>
    <w:p w14:paraId="0DC36407" w14:textId="77777777" w:rsidR="008B2AE5" w:rsidRPr="00DC6BBF" w:rsidRDefault="008B2AE5" w:rsidP="008767FD">
      <w:pPr>
        <w:ind w:left="851"/>
        <w:rPr>
          <w:sz w:val="24"/>
          <w:szCs w:val="24"/>
        </w:rPr>
      </w:pPr>
      <w:r w:rsidRPr="00DC6BBF">
        <w:rPr>
          <w:sz w:val="24"/>
          <w:szCs w:val="24"/>
        </w:rPr>
        <w:t>DK-2300 København S</w:t>
      </w:r>
    </w:p>
    <w:p w14:paraId="1BE11479" w14:textId="77777777" w:rsidR="008B2AE5" w:rsidRPr="00DC6BBF" w:rsidRDefault="008B2AE5" w:rsidP="008767FD">
      <w:pPr>
        <w:ind w:left="851"/>
        <w:rPr>
          <w:sz w:val="24"/>
          <w:szCs w:val="24"/>
        </w:rPr>
      </w:pPr>
      <w:r w:rsidRPr="00DC6BBF">
        <w:rPr>
          <w:sz w:val="24"/>
          <w:szCs w:val="24"/>
        </w:rPr>
        <w:t xml:space="preserve">Websted: </w:t>
      </w:r>
      <w:hyperlink r:id="rId9" w:history="1">
        <w:r w:rsidRPr="00DC6BBF">
          <w:rPr>
            <w:rStyle w:val="Hyperlink"/>
            <w:sz w:val="24"/>
            <w:szCs w:val="24"/>
          </w:rPr>
          <w:t>www.meldenbivirkning.dk</w:t>
        </w:r>
      </w:hyperlink>
    </w:p>
    <w:p w14:paraId="29ACE9BC" w14:textId="77777777" w:rsidR="009260DE" w:rsidRPr="00DC6BBF" w:rsidRDefault="009260DE" w:rsidP="00A10294">
      <w:pPr>
        <w:tabs>
          <w:tab w:val="left" w:pos="851"/>
        </w:tabs>
        <w:ind w:left="851"/>
        <w:rPr>
          <w:sz w:val="24"/>
          <w:szCs w:val="24"/>
        </w:rPr>
      </w:pPr>
    </w:p>
    <w:p w14:paraId="698F8897" w14:textId="77777777" w:rsidR="009260DE" w:rsidRPr="00DC6BBF" w:rsidRDefault="009260DE" w:rsidP="009260DE">
      <w:pPr>
        <w:tabs>
          <w:tab w:val="left" w:pos="851"/>
        </w:tabs>
        <w:ind w:left="851" w:hanging="851"/>
        <w:rPr>
          <w:b/>
          <w:sz w:val="24"/>
          <w:szCs w:val="24"/>
        </w:rPr>
      </w:pPr>
      <w:r w:rsidRPr="00DC6BBF">
        <w:rPr>
          <w:b/>
          <w:sz w:val="24"/>
          <w:szCs w:val="24"/>
        </w:rPr>
        <w:t>4.9</w:t>
      </w:r>
      <w:r w:rsidRPr="00DC6BBF">
        <w:rPr>
          <w:b/>
          <w:sz w:val="24"/>
          <w:szCs w:val="24"/>
        </w:rPr>
        <w:tab/>
        <w:t>Overdosering</w:t>
      </w:r>
    </w:p>
    <w:p w14:paraId="3F8946E5" w14:textId="77777777" w:rsidR="008B2AE5" w:rsidRPr="00DC6BBF" w:rsidRDefault="008B2AE5" w:rsidP="008767FD">
      <w:pPr>
        <w:ind w:left="851"/>
        <w:rPr>
          <w:sz w:val="24"/>
          <w:szCs w:val="24"/>
        </w:rPr>
      </w:pPr>
      <w:r w:rsidRPr="00DC6BBF">
        <w:rPr>
          <w:sz w:val="24"/>
          <w:szCs w:val="24"/>
        </w:rPr>
        <w:t xml:space="preserve">Anvendelse af højere dosis end den anbefalede kan medføre forhøjet serum-kalcium, som aftager efter </w:t>
      </w:r>
      <w:proofErr w:type="spellStart"/>
      <w:r w:rsidRPr="00DC6BBF">
        <w:rPr>
          <w:sz w:val="24"/>
          <w:szCs w:val="24"/>
        </w:rPr>
        <w:t>seponering</w:t>
      </w:r>
      <w:proofErr w:type="spellEnd"/>
      <w:r w:rsidRPr="00DC6BBF">
        <w:rPr>
          <w:sz w:val="24"/>
          <w:szCs w:val="24"/>
        </w:rPr>
        <w:t xml:space="preserve"> af behandlingen. Symptomer af </w:t>
      </w:r>
      <w:proofErr w:type="spellStart"/>
      <w:r w:rsidRPr="00DC6BBF">
        <w:rPr>
          <w:sz w:val="24"/>
          <w:szCs w:val="24"/>
        </w:rPr>
        <w:t>hypercalcæmi</w:t>
      </w:r>
      <w:proofErr w:type="spellEnd"/>
      <w:r w:rsidRPr="00DC6BBF">
        <w:rPr>
          <w:sz w:val="24"/>
          <w:szCs w:val="24"/>
        </w:rPr>
        <w:t xml:space="preserve"> inkluderer </w:t>
      </w:r>
      <w:proofErr w:type="spellStart"/>
      <w:r w:rsidRPr="00DC6BBF">
        <w:rPr>
          <w:sz w:val="24"/>
          <w:szCs w:val="24"/>
        </w:rPr>
        <w:t>polyuri</w:t>
      </w:r>
      <w:proofErr w:type="spellEnd"/>
      <w:r w:rsidRPr="00DC6BBF">
        <w:rPr>
          <w:sz w:val="24"/>
          <w:szCs w:val="24"/>
        </w:rPr>
        <w:t>, forstoppelse, muskelsvaghed, forvirring og koma.</w:t>
      </w:r>
    </w:p>
    <w:p w14:paraId="10718879" w14:textId="77777777" w:rsidR="008B2AE5" w:rsidRPr="00DC6BBF" w:rsidRDefault="008B2AE5" w:rsidP="008767FD">
      <w:pPr>
        <w:ind w:left="851"/>
        <w:rPr>
          <w:sz w:val="24"/>
          <w:szCs w:val="24"/>
        </w:rPr>
      </w:pPr>
    </w:p>
    <w:p w14:paraId="6E8D5628" w14:textId="77777777" w:rsidR="008B2AE5" w:rsidRPr="00DC6BBF" w:rsidRDefault="008B2AE5" w:rsidP="008767FD">
      <w:pPr>
        <w:ind w:left="851"/>
        <w:rPr>
          <w:sz w:val="24"/>
          <w:szCs w:val="24"/>
        </w:rPr>
      </w:pPr>
      <w:r w:rsidRPr="00DC6BBF">
        <w:rPr>
          <w:sz w:val="24"/>
          <w:szCs w:val="24"/>
        </w:rPr>
        <w:t xml:space="preserve">Overdreven langvarig brug af </w:t>
      </w:r>
      <w:proofErr w:type="spellStart"/>
      <w:r w:rsidRPr="00DC6BBF">
        <w:rPr>
          <w:sz w:val="24"/>
          <w:szCs w:val="24"/>
        </w:rPr>
        <w:t>topikale</w:t>
      </w:r>
      <w:proofErr w:type="spellEnd"/>
      <w:r w:rsidRPr="00DC6BBF">
        <w:rPr>
          <w:sz w:val="24"/>
          <w:szCs w:val="24"/>
        </w:rPr>
        <w:t xml:space="preserve"> </w:t>
      </w:r>
      <w:proofErr w:type="spellStart"/>
      <w:r w:rsidRPr="00DC6BBF">
        <w:rPr>
          <w:sz w:val="24"/>
          <w:szCs w:val="24"/>
        </w:rPr>
        <w:t>kortikosteroider</w:t>
      </w:r>
      <w:proofErr w:type="spellEnd"/>
      <w:r w:rsidRPr="00DC6BBF">
        <w:rPr>
          <w:sz w:val="24"/>
          <w:szCs w:val="24"/>
        </w:rPr>
        <w:t xml:space="preserve"> kan resultere i </w:t>
      </w:r>
      <w:proofErr w:type="spellStart"/>
      <w:r w:rsidRPr="00DC6BBF">
        <w:rPr>
          <w:sz w:val="24"/>
          <w:szCs w:val="24"/>
        </w:rPr>
        <w:t>adrenokortikal</w:t>
      </w:r>
      <w:proofErr w:type="spellEnd"/>
      <w:r w:rsidRPr="00DC6BBF">
        <w:rPr>
          <w:sz w:val="24"/>
          <w:szCs w:val="24"/>
        </w:rPr>
        <w:t xml:space="preserve"> undertrykkelse, som normalt er reversibel.</w:t>
      </w:r>
    </w:p>
    <w:p w14:paraId="3F2F3252" w14:textId="77777777" w:rsidR="008B2AE5" w:rsidRPr="00DC6BBF" w:rsidRDefault="008B2AE5" w:rsidP="008767FD">
      <w:pPr>
        <w:ind w:left="851"/>
        <w:rPr>
          <w:sz w:val="24"/>
          <w:szCs w:val="24"/>
        </w:rPr>
      </w:pPr>
    </w:p>
    <w:p w14:paraId="10AA3BF3" w14:textId="77777777" w:rsidR="008B2AE5" w:rsidRPr="00DC6BBF" w:rsidRDefault="008B2AE5" w:rsidP="008767FD">
      <w:pPr>
        <w:ind w:left="851"/>
        <w:rPr>
          <w:sz w:val="24"/>
          <w:szCs w:val="24"/>
        </w:rPr>
      </w:pPr>
      <w:r w:rsidRPr="00DC6BBF">
        <w:rPr>
          <w:sz w:val="24"/>
          <w:szCs w:val="24"/>
        </w:rPr>
        <w:t xml:space="preserve">I tilfælde af kronisk toksicitet skal </w:t>
      </w:r>
      <w:proofErr w:type="spellStart"/>
      <w:r w:rsidRPr="00DC6BBF">
        <w:rPr>
          <w:sz w:val="24"/>
          <w:szCs w:val="24"/>
        </w:rPr>
        <w:t>kortikosteroid</w:t>
      </w:r>
      <w:proofErr w:type="spellEnd"/>
      <w:r w:rsidRPr="00DC6BBF">
        <w:rPr>
          <w:sz w:val="24"/>
          <w:szCs w:val="24"/>
        </w:rPr>
        <w:t>-behandlingen seponeres gradvist.</w:t>
      </w:r>
    </w:p>
    <w:p w14:paraId="124B12C3" w14:textId="77777777" w:rsidR="009260DE" w:rsidRPr="00DC6BBF" w:rsidRDefault="009260DE" w:rsidP="009260DE">
      <w:pPr>
        <w:tabs>
          <w:tab w:val="left" w:pos="851"/>
        </w:tabs>
        <w:ind w:left="851"/>
        <w:rPr>
          <w:sz w:val="24"/>
          <w:szCs w:val="24"/>
        </w:rPr>
      </w:pPr>
    </w:p>
    <w:p w14:paraId="651B7DCE" w14:textId="77777777" w:rsidR="009260DE" w:rsidRPr="00DC6BBF" w:rsidRDefault="009260DE" w:rsidP="009260DE">
      <w:pPr>
        <w:tabs>
          <w:tab w:val="left" w:pos="851"/>
        </w:tabs>
        <w:ind w:left="851" w:hanging="851"/>
        <w:rPr>
          <w:b/>
          <w:sz w:val="24"/>
          <w:szCs w:val="24"/>
        </w:rPr>
      </w:pPr>
      <w:r w:rsidRPr="00DC6BBF">
        <w:rPr>
          <w:b/>
          <w:sz w:val="24"/>
          <w:szCs w:val="24"/>
        </w:rPr>
        <w:t>4.10</w:t>
      </w:r>
      <w:r w:rsidRPr="00DC6BBF">
        <w:rPr>
          <w:b/>
          <w:sz w:val="24"/>
          <w:szCs w:val="24"/>
        </w:rPr>
        <w:tab/>
        <w:t>Udlevering</w:t>
      </w:r>
    </w:p>
    <w:p w14:paraId="6AB6462A" w14:textId="47105B9B" w:rsidR="009260DE" w:rsidRPr="00DC6BBF" w:rsidRDefault="00B42DE5" w:rsidP="009260DE">
      <w:pPr>
        <w:tabs>
          <w:tab w:val="left" w:pos="851"/>
        </w:tabs>
        <w:ind w:left="851"/>
        <w:rPr>
          <w:sz w:val="24"/>
          <w:szCs w:val="24"/>
        </w:rPr>
      </w:pPr>
      <w:r w:rsidRPr="00DC6BBF">
        <w:rPr>
          <w:sz w:val="24"/>
          <w:szCs w:val="24"/>
        </w:rPr>
        <w:t>B</w:t>
      </w:r>
    </w:p>
    <w:p w14:paraId="6DAE9C89" w14:textId="77777777" w:rsidR="009260DE" w:rsidRPr="00DC6BBF" w:rsidRDefault="009260DE" w:rsidP="009260DE">
      <w:pPr>
        <w:tabs>
          <w:tab w:val="left" w:pos="851"/>
        </w:tabs>
        <w:ind w:left="851"/>
        <w:rPr>
          <w:sz w:val="24"/>
          <w:szCs w:val="24"/>
        </w:rPr>
      </w:pPr>
    </w:p>
    <w:p w14:paraId="5EB82775" w14:textId="77777777" w:rsidR="009260DE" w:rsidRPr="00DC6BBF" w:rsidRDefault="009260DE" w:rsidP="009260DE">
      <w:pPr>
        <w:tabs>
          <w:tab w:val="left" w:pos="851"/>
        </w:tabs>
        <w:ind w:left="851"/>
        <w:rPr>
          <w:sz w:val="24"/>
          <w:szCs w:val="24"/>
        </w:rPr>
      </w:pPr>
    </w:p>
    <w:p w14:paraId="59CE9EBA" w14:textId="77777777" w:rsidR="009260DE" w:rsidRPr="00DC6BBF" w:rsidRDefault="009260DE" w:rsidP="009260DE">
      <w:pPr>
        <w:tabs>
          <w:tab w:val="left" w:pos="851"/>
        </w:tabs>
        <w:ind w:left="851" w:hanging="851"/>
        <w:rPr>
          <w:b/>
          <w:sz w:val="24"/>
          <w:szCs w:val="24"/>
        </w:rPr>
      </w:pPr>
      <w:r w:rsidRPr="00DC6BBF">
        <w:rPr>
          <w:b/>
          <w:sz w:val="24"/>
          <w:szCs w:val="24"/>
        </w:rPr>
        <w:t>5.</w:t>
      </w:r>
      <w:r w:rsidRPr="00DC6BBF">
        <w:rPr>
          <w:b/>
          <w:sz w:val="24"/>
          <w:szCs w:val="24"/>
        </w:rPr>
        <w:tab/>
        <w:t>FARMAKOLOGISKE EGENSKABER</w:t>
      </w:r>
    </w:p>
    <w:p w14:paraId="66AC1CA3" w14:textId="77777777" w:rsidR="009260DE" w:rsidRPr="00DC6BBF" w:rsidRDefault="009260DE" w:rsidP="009260DE">
      <w:pPr>
        <w:tabs>
          <w:tab w:val="left" w:pos="851"/>
        </w:tabs>
        <w:ind w:left="851"/>
        <w:rPr>
          <w:sz w:val="24"/>
          <w:szCs w:val="24"/>
        </w:rPr>
      </w:pPr>
    </w:p>
    <w:p w14:paraId="73D37599" w14:textId="77777777" w:rsidR="009260DE" w:rsidRPr="00DC6BBF" w:rsidRDefault="009260DE" w:rsidP="009260DE">
      <w:pPr>
        <w:tabs>
          <w:tab w:val="num" w:pos="851"/>
        </w:tabs>
        <w:ind w:left="851" w:hanging="851"/>
        <w:rPr>
          <w:b/>
          <w:sz w:val="24"/>
          <w:szCs w:val="24"/>
        </w:rPr>
      </w:pPr>
      <w:r w:rsidRPr="00DC6BBF">
        <w:rPr>
          <w:b/>
          <w:sz w:val="24"/>
          <w:szCs w:val="24"/>
        </w:rPr>
        <w:t>5.1</w:t>
      </w:r>
      <w:r w:rsidRPr="00DC6BBF">
        <w:rPr>
          <w:b/>
          <w:sz w:val="24"/>
          <w:szCs w:val="24"/>
        </w:rPr>
        <w:tab/>
      </w:r>
      <w:proofErr w:type="spellStart"/>
      <w:r w:rsidRPr="00DC6BBF">
        <w:rPr>
          <w:b/>
          <w:sz w:val="24"/>
          <w:szCs w:val="24"/>
        </w:rPr>
        <w:t>Farmakodynamiske</w:t>
      </w:r>
      <w:proofErr w:type="spellEnd"/>
      <w:r w:rsidRPr="00DC6BBF">
        <w:rPr>
          <w:b/>
          <w:sz w:val="24"/>
          <w:szCs w:val="24"/>
        </w:rPr>
        <w:t xml:space="preserve"> egenskaber</w:t>
      </w:r>
    </w:p>
    <w:p w14:paraId="76423D4D" w14:textId="754A1928" w:rsidR="008B2AE5" w:rsidRPr="00DC6BBF" w:rsidRDefault="008B2AE5" w:rsidP="00B42DE5">
      <w:pPr>
        <w:ind w:left="851"/>
        <w:rPr>
          <w:sz w:val="24"/>
          <w:szCs w:val="24"/>
        </w:rPr>
      </w:pPr>
      <w:proofErr w:type="spellStart"/>
      <w:r w:rsidRPr="00DC6BBF">
        <w:rPr>
          <w:sz w:val="24"/>
          <w:szCs w:val="24"/>
        </w:rPr>
        <w:t>Farmakoterapeutisk</w:t>
      </w:r>
      <w:proofErr w:type="spellEnd"/>
      <w:r w:rsidRPr="00DC6BBF">
        <w:rPr>
          <w:sz w:val="24"/>
          <w:szCs w:val="24"/>
        </w:rPr>
        <w:t xml:space="preserve"> klassifikation: Midler mod psoriasis. Andre midler mod psoriasis til udvortes brug, </w:t>
      </w:r>
      <w:proofErr w:type="spellStart"/>
      <w:r w:rsidRPr="00DC6BBF">
        <w:rPr>
          <w:sz w:val="24"/>
          <w:szCs w:val="24"/>
        </w:rPr>
        <w:t>calcipotriol</w:t>
      </w:r>
      <w:proofErr w:type="spellEnd"/>
      <w:r w:rsidRPr="00DC6BBF">
        <w:rPr>
          <w:sz w:val="24"/>
          <w:szCs w:val="24"/>
        </w:rPr>
        <w:t>, kombinationer</w:t>
      </w:r>
      <w:r w:rsidR="00520598">
        <w:rPr>
          <w:sz w:val="24"/>
          <w:szCs w:val="24"/>
        </w:rPr>
        <w:t xml:space="preserve">, </w:t>
      </w:r>
      <w:r w:rsidRPr="00DC6BBF">
        <w:rPr>
          <w:sz w:val="24"/>
          <w:szCs w:val="24"/>
        </w:rPr>
        <w:t>ATC-kode: D05AX52.</w:t>
      </w:r>
    </w:p>
    <w:p w14:paraId="6636A0E4" w14:textId="77777777" w:rsidR="008B2AE5" w:rsidRPr="00DC6BBF" w:rsidRDefault="008B2AE5" w:rsidP="00B42DE5">
      <w:pPr>
        <w:ind w:left="851"/>
        <w:rPr>
          <w:sz w:val="24"/>
          <w:szCs w:val="24"/>
        </w:rPr>
      </w:pPr>
    </w:p>
    <w:p w14:paraId="58C736A6" w14:textId="77777777" w:rsidR="008B2AE5" w:rsidRPr="00DC6BBF" w:rsidRDefault="008B2AE5" w:rsidP="00B42DE5">
      <w:pPr>
        <w:ind w:left="851"/>
        <w:rPr>
          <w:sz w:val="24"/>
          <w:szCs w:val="24"/>
          <w:u w:val="single"/>
        </w:rPr>
      </w:pPr>
      <w:r w:rsidRPr="00DC6BBF">
        <w:rPr>
          <w:sz w:val="24"/>
          <w:szCs w:val="24"/>
          <w:u w:val="single"/>
        </w:rPr>
        <w:t>Virkningsmekanisme</w:t>
      </w:r>
    </w:p>
    <w:p w14:paraId="6D8866C1" w14:textId="77777777" w:rsidR="008B2AE5" w:rsidRPr="00DC6BBF" w:rsidRDefault="008B2AE5" w:rsidP="00B42DE5">
      <w:pPr>
        <w:ind w:left="851"/>
        <w:rPr>
          <w:sz w:val="24"/>
          <w:szCs w:val="24"/>
        </w:rPr>
      </w:pPr>
      <w:proofErr w:type="spellStart"/>
      <w:r w:rsidRPr="00DC6BBF">
        <w:rPr>
          <w:sz w:val="24"/>
          <w:szCs w:val="24"/>
        </w:rPr>
        <w:t>Hilkota</w:t>
      </w:r>
      <w:proofErr w:type="spellEnd"/>
      <w:r w:rsidRPr="00DC6BBF">
        <w:rPr>
          <w:sz w:val="24"/>
          <w:szCs w:val="24"/>
        </w:rPr>
        <w:t xml:space="preserve"> skum kombinerer de farmakologiske virkninger af </w:t>
      </w:r>
      <w:proofErr w:type="spellStart"/>
      <w:r w:rsidRPr="00DC6BBF">
        <w:rPr>
          <w:sz w:val="24"/>
          <w:szCs w:val="24"/>
        </w:rPr>
        <w:t>calcipotriolhydrat</w:t>
      </w:r>
      <w:proofErr w:type="spellEnd"/>
      <w:r w:rsidRPr="00DC6BBF">
        <w:rPr>
          <w:sz w:val="24"/>
          <w:szCs w:val="24"/>
        </w:rPr>
        <w:t xml:space="preserve">, som er en syntetisk vitamin D3-analog, og </w:t>
      </w:r>
      <w:proofErr w:type="spellStart"/>
      <w:r w:rsidRPr="00DC6BBF">
        <w:rPr>
          <w:sz w:val="24"/>
          <w:szCs w:val="24"/>
        </w:rPr>
        <w:t>betamethasondipropionat</w:t>
      </w:r>
      <w:proofErr w:type="spellEnd"/>
      <w:r w:rsidRPr="00DC6BBF">
        <w:rPr>
          <w:sz w:val="24"/>
          <w:szCs w:val="24"/>
        </w:rPr>
        <w:t xml:space="preserve">, som er et syntetisk </w:t>
      </w:r>
      <w:proofErr w:type="spellStart"/>
      <w:r w:rsidRPr="00DC6BBF">
        <w:rPr>
          <w:sz w:val="24"/>
          <w:szCs w:val="24"/>
        </w:rPr>
        <w:t>kortikosteroid</w:t>
      </w:r>
      <w:proofErr w:type="spellEnd"/>
      <w:r w:rsidRPr="00DC6BBF">
        <w:rPr>
          <w:sz w:val="24"/>
          <w:szCs w:val="24"/>
        </w:rPr>
        <w:t>.</w:t>
      </w:r>
    </w:p>
    <w:p w14:paraId="24DADBE6" w14:textId="77777777" w:rsidR="008B2AE5" w:rsidRPr="00DC6BBF" w:rsidRDefault="008B2AE5" w:rsidP="00B42DE5">
      <w:pPr>
        <w:ind w:left="851"/>
        <w:rPr>
          <w:sz w:val="24"/>
          <w:szCs w:val="24"/>
          <w:u w:val="single"/>
        </w:rPr>
      </w:pPr>
    </w:p>
    <w:p w14:paraId="7B32BBAD" w14:textId="77777777" w:rsidR="008B2AE5" w:rsidRPr="00DC6BBF" w:rsidRDefault="008B2AE5" w:rsidP="00B42DE5">
      <w:pPr>
        <w:ind w:left="851"/>
        <w:rPr>
          <w:sz w:val="24"/>
          <w:szCs w:val="24"/>
        </w:rPr>
      </w:pPr>
      <w:r w:rsidRPr="00DC6BBF">
        <w:rPr>
          <w:sz w:val="24"/>
          <w:szCs w:val="24"/>
        </w:rPr>
        <w:t xml:space="preserve">Ved psoriasis virker vitamin D og dets </w:t>
      </w:r>
      <w:proofErr w:type="spellStart"/>
      <w:r w:rsidRPr="00DC6BBF">
        <w:rPr>
          <w:sz w:val="24"/>
          <w:szCs w:val="24"/>
        </w:rPr>
        <w:t>analoger</w:t>
      </w:r>
      <w:proofErr w:type="spellEnd"/>
      <w:r w:rsidRPr="00DC6BBF">
        <w:rPr>
          <w:sz w:val="24"/>
          <w:szCs w:val="24"/>
        </w:rPr>
        <w:t xml:space="preserve"> primært ved at hæmme </w:t>
      </w:r>
      <w:proofErr w:type="spellStart"/>
      <w:r w:rsidRPr="00DC6BBF">
        <w:rPr>
          <w:sz w:val="24"/>
          <w:szCs w:val="24"/>
        </w:rPr>
        <w:t>keratinocytproliferationen</w:t>
      </w:r>
      <w:proofErr w:type="spellEnd"/>
      <w:r w:rsidRPr="00DC6BBF">
        <w:rPr>
          <w:sz w:val="24"/>
          <w:szCs w:val="24"/>
        </w:rPr>
        <w:t xml:space="preserve"> og inducere </w:t>
      </w:r>
      <w:proofErr w:type="spellStart"/>
      <w:r w:rsidRPr="00DC6BBF">
        <w:rPr>
          <w:sz w:val="24"/>
          <w:szCs w:val="24"/>
        </w:rPr>
        <w:t>keratinocytdifferentieringen</w:t>
      </w:r>
      <w:proofErr w:type="spellEnd"/>
      <w:r w:rsidRPr="00DC6BBF">
        <w:rPr>
          <w:sz w:val="24"/>
          <w:szCs w:val="24"/>
        </w:rPr>
        <w:t xml:space="preserve">. Den underliggende </w:t>
      </w:r>
      <w:proofErr w:type="spellStart"/>
      <w:r w:rsidRPr="00DC6BBF">
        <w:rPr>
          <w:sz w:val="24"/>
          <w:szCs w:val="24"/>
        </w:rPr>
        <w:t>antiproliferative</w:t>
      </w:r>
      <w:proofErr w:type="spellEnd"/>
      <w:r w:rsidRPr="00DC6BBF">
        <w:rPr>
          <w:sz w:val="24"/>
          <w:szCs w:val="24"/>
        </w:rPr>
        <w:t xml:space="preserve"> mekanisme af vitamin D i </w:t>
      </w:r>
      <w:proofErr w:type="spellStart"/>
      <w:r w:rsidRPr="00DC6BBF">
        <w:rPr>
          <w:sz w:val="24"/>
          <w:szCs w:val="24"/>
        </w:rPr>
        <w:t>keratinocytter</w:t>
      </w:r>
      <w:proofErr w:type="spellEnd"/>
      <w:r w:rsidRPr="00DC6BBF">
        <w:rPr>
          <w:sz w:val="24"/>
          <w:szCs w:val="24"/>
        </w:rPr>
        <w:t xml:space="preserve"> involverer induktion af den vækstinhiberende faktor </w:t>
      </w:r>
      <w:proofErr w:type="spellStart"/>
      <w:r w:rsidRPr="00DC6BBF">
        <w:rPr>
          <w:sz w:val="24"/>
          <w:szCs w:val="24"/>
        </w:rPr>
        <w:t>transforming</w:t>
      </w:r>
      <w:proofErr w:type="spellEnd"/>
      <w:r w:rsidRPr="00DC6BBF">
        <w:rPr>
          <w:sz w:val="24"/>
          <w:szCs w:val="24"/>
        </w:rPr>
        <w:t xml:space="preserve"> </w:t>
      </w:r>
      <w:proofErr w:type="spellStart"/>
      <w:r w:rsidRPr="00DC6BBF">
        <w:rPr>
          <w:sz w:val="24"/>
          <w:szCs w:val="24"/>
        </w:rPr>
        <w:t>growth</w:t>
      </w:r>
      <w:proofErr w:type="spellEnd"/>
      <w:r w:rsidRPr="00DC6BBF">
        <w:rPr>
          <w:sz w:val="24"/>
          <w:szCs w:val="24"/>
        </w:rPr>
        <w:t xml:space="preserve"> factor</w:t>
      </w:r>
      <w:r w:rsidRPr="00DC6BBF">
        <w:rPr>
          <w:sz w:val="24"/>
          <w:szCs w:val="24"/>
        </w:rPr>
        <w:noBreakHyphen/>
        <w:t xml:space="preserve">β og af </w:t>
      </w:r>
      <w:proofErr w:type="spellStart"/>
      <w:r w:rsidRPr="00DC6BBF">
        <w:rPr>
          <w:sz w:val="24"/>
          <w:szCs w:val="24"/>
        </w:rPr>
        <w:t>cyclin</w:t>
      </w:r>
      <w:proofErr w:type="spellEnd"/>
      <w:r w:rsidRPr="00DC6BBF">
        <w:rPr>
          <w:sz w:val="24"/>
          <w:szCs w:val="24"/>
        </w:rPr>
        <w:t xml:space="preserve">-afhængige </w:t>
      </w:r>
      <w:proofErr w:type="spellStart"/>
      <w:r w:rsidRPr="00DC6BBF">
        <w:rPr>
          <w:sz w:val="24"/>
          <w:szCs w:val="24"/>
        </w:rPr>
        <w:t>kinasehæmmere</w:t>
      </w:r>
      <w:proofErr w:type="spellEnd"/>
      <w:r w:rsidRPr="00DC6BBF">
        <w:rPr>
          <w:sz w:val="24"/>
          <w:szCs w:val="24"/>
        </w:rPr>
        <w:t>, med efterfølgende standsning af vækst i G1</w:t>
      </w:r>
      <w:r w:rsidRPr="00DC6BBF">
        <w:rPr>
          <w:sz w:val="24"/>
          <w:szCs w:val="24"/>
        </w:rPr>
        <w:noBreakHyphen/>
        <w:t xml:space="preserve">fasen af cellecyklus plus nedregulering af de to </w:t>
      </w:r>
      <w:proofErr w:type="spellStart"/>
      <w:r w:rsidRPr="00DC6BBF">
        <w:rPr>
          <w:sz w:val="24"/>
          <w:szCs w:val="24"/>
        </w:rPr>
        <w:t>proliferationsfaktorer</w:t>
      </w:r>
      <w:proofErr w:type="spellEnd"/>
      <w:r w:rsidRPr="00DC6BBF">
        <w:rPr>
          <w:sz w:val="24"/>
          <w:szCs w:val="24"/>
        </w:rPr>
        <w:t xml:space="preserve">, </w:t>
      </w:r>
      <w:proofErr w:type="spellStart"/>
      <w:r w:rsidRPr="00DC6BBF">
        <w:rPr>
          <w:i/>
          <w:iCs/>
          <w:sz w:val="24"/>
          <w:szCs w:val="24"/>
        </w:rPr>
        <w:t>early</w:t>
      </w:r>
      <w:proofErr w:type="spellEnd"/>
      <w:r w:rsidRPr="00DC6BBF">
        <w:rPr>
          <w:i/>
          <w:iCs/>
          <w:sz w:val="24"/>
          <w:szCs w:val="24"/>
        </w:rPr>
        <w:t xml:space="preserve"> growth</w:t>
      </w:r>
      <w:r w:rsidRPr="00DC6BBF">
        <w:rPr>
          <w:sz w:val="24"/>
          <w:szCs w:val="24"/>
        </w:rPr>
        <w:t xml:space="preserve">-respons-1 og </w:t>
      </w:r>
      <w:r w:rsidRPr="00DC6BBF">
        <w:rPr>
          <w:i/>
          <w:iCs/>
          <w:sz w:val="24"/>
          <w:szCs w:val="24"/>
        </w:rPr>
        <w:t>polo-like</w:t>
      </w:r>
      <w:r w:rsidRPr="00DC6BBF">
        <w:rPr>
          <w:sz w:val="24"/>
          <w:szCs w:val="24"/>
        </w:rPr>
        <w:t>-kinase-2.</w:t>
      </w:r>
    </w:p>
    <w:p w14:paraId="6456D3BB" w14:textId="77777777" w:rsidR="008B2AE5" w:rsidRPr="00DC6BBF" w:rsidRDefault="008B2AE5" w:rsidP="00B42DE5">
      <w:pPr>
        <w:ind w:left="851"/>
        <w:rPr>
          <w:sz w:val="24"/>
          <w:szCs w:val="24"/>
          <w:u w:val="single"/>
        </w:rPr>
      </w:pPr>
    </w:p>
    <w:p w14:paraId="72059EBF" w14:textId="77777777" w:rsidR="008B2AE5" w:rsidRPr="00DC6BBF" w:rsidRDefault="008B2AE5" w:rsidP="00B42DE5">
      <w:pPr>
        <w:ind w:left="851"/>
        <w:rPr>
          <w:sz w:val="24"/>
          <w:szCs w:val="24"/>
        </w:rPr>
      </w:pPr>
      <w:r w:rsidRPr="00DC6BBF">
        <w:rPr>
          <w:sz w:val="24"/>
          <w:szCs w:val="24"/>
        </w:rPr>
        <w:t>Vitamin D har desuden en immunmodulerende virkning ved at undertrykke aktivering og differentiering af Th17/Th1</w:t>
      </w:r>
      <w:r w:rsidRPr="00DC6BBF">
        <w:rPr>
          <w:sz w:val="24"/>
          <w:szCs w:val="24"/>
        </w:rPr>
        <w:noBreakHyphen/>
        <w:t>celler, mens et Th2/</w:t>
      </w:r>
      <w:proofErr w:type="spellStart"/>
      <w:r w:rsidRPr="00DC6BBF">
        <w:rPr>
          <w:sz w:val="24"/>
          <w:szCs w:val="24"/>
        </w:rPr>
        <w:t>Treg</w:t>
      </w:r>
      <w:proofErr w:type="spellEnd"/>
      <w:r w:rsidRPr="00DC6BBF">
        <w:rPr>
          <w:sz w:val="24"/>
          <w:szCs w:val="24"/>
        </w:rPr>
        <w:noBreakHyphen/>
        <w:t>respons induceres.</w:t>
      </w:r>
    </w:p>
    <w:p w14:paraId="5CA80237" w14:textId="77777777" w:rsidR="008B2AE5" w:rsidRPr="00DC6BBF" w:rsidRDefault="008B2AE5" w:rsidP="00B42DE5">
      <w:pPr>
        <w:ind w:left="851"/>
        <w:rPr>
          <w:sz w:val="24"/>
          <w:szCs w:val="24"/>
        </w:rPr>
      </w:pPr>
    </w:p>
    <w:p w14:paraId="3469E97F" w14:textId="77777777" w:rsidR="008B2AE5" w:rsidRPr="00DC6BBF" w:rsidRDefault="008B2AE5" w:rsidP="00B42DE5">
      <w:pPr>
        <w:ind w:left="851"/>
        <w:rPr>
          <w:sz w:val="24"/>
          <w:szCs w:val="24"/>
        </w:rPr>
      </w:pPr>
      <w:r w:rsidRPr="00DC6BBF">
        <w:rPr>
          <w:sz w:val="24"/>
          <w:szCs w:val="24"/>
        </w:rPr>
        <w:t xml:space="preserve">Ved psoriasis undertrykker </w:t>
      </w:r>
      <w:proofErr w:type="spellStart"/>
      <w:r w:rsidRPr="00DC6BBF">
        <w:rPr>
          <w:sz w:val="24"/>
          <w:szCs w:val="24"/>
        </w:rPr>
        <w:t>kortikosteroider</w:t>
      </w:r>
      <w:proofErr w:type="spellEnd"/>
      <w:r w:rsidRPr="00DC6BBF">
        <w:rPr>
          <w:sz w:val="24"/>
          <w:szCs w:val="24"/>
        </w:rPr>
        <w:t xml:space="preserve"> immunsystemet, især pro-inflammatoriske cytokiner og </w:t>
      </w:r>
      <w:proofErr w:type="spellStart"/>
      <w:r w:rsidRPr="00DC6BBF">
        <w:rPr>
          <w:sz w:val="24"/>
          <w:szCs w:val="24"/>
        </w:rPr>
        <w:t>chemokiner</w:t>
      </w:r>
      <w:proofErr w:type="spellEnd"/>
      <w:r w:rsidRPr="00DC6BBF">
        <w:rPr>
          <w:sz w:val="24"/>
          <w:szCs w:val="24"/>
        </w:rPr>
        <w:t>, og derved hæmmes T</w:t>
      </w:r>
      <w:r w:rsidRPr="00DC6BBF">
        <w:rPr>
          <w:sz w:val="24"/>
          <w:szCs w:val="24"/>
        </w:rPr>
        <w:noBreakHyphen/>
        <w:t xml:space="preserve">celleaktiveringen. På molekylært niveau virker </w:t>
      </w:r>
      <w:proofErr w:type="spellStart"/>
      <w:r w:rsidRPr="00DC6BBF">
        <w:rPr>
          <w:sz w:val="24"/>
          <w:szCs w:val="24"/>
        </w:rPr>
        <w:t>kortikosteroider</w:t>
      </w:r>
      <w:proofErr w:type="spellEnd"/>
      <w:r w:rsidRPr="00DC6BBF">
        <w:rPr>
          <w:sz w:val="24"/>
          <w:szCs w:val="24"/>
        </w:rPr>
        <w:t xml:space="preserve"> via den intracellulær </w:t>
      </w:r>
      <w:proofErr w:type="spellStart"/>
      <w:r w:rsidRPr="00DC6BBF">
        <w:rPr>
          <w:sz w:val="24"/>
          <w:szCs w:val="24"/>
        </w:rPr>
        <w:t>glukokortikoid</w:t>
      </w:r>
      <w:proofErr w:type="spellEnd"/>
      <w:r w:rsidRPr="00DC6BBF">
        <w:rPr>
          <w:sz w:val="24"/>
          <w:szCs w:val="24"/>
        </w:rPr>
        <w:t xml:space="preserve">-receptor og den antiinflammatoriske funktion skyldes </w:t>
      </w:r>
      <w:proofErr w:type="spellStart"/>
      <w:r w:rsidRPr="00DC6BBF">
        <w:rPr>
          <w:sz w:val="24"/>
          <w:szCs w:val="24"/>
        </w:rPr>
        <w:t>transrepression</w:t>
      </w:r>
      <w:proofErr w:type="spellEnd"/>
      <w:r w:rsidRPr="00DC6BBF">
        <w:rPr>
          <w:sz w:val="24"/>
          <w:szCs w:val="24"/>
        </w:rPr>
        <w:t xml:space="preserve"> af pro-inflammatoriske </w:t>
      </w:r>
      <w:proofErr w:type="spellStart"/>
      <w:r w:rsidRPr="00DC6BBF">
        <w:rPr>
          <w:sz w:val="24"/>
          <w:szCs w:val="24"/>
        </w:rPr>
        <w:t>transkriptionsfaktorer</w:t>
      </w:r>
      <w:proofErr w:type="spellEnd"/>
      <w:r w:rsidRPr="00DC6BBF">
        <w:rPr>
          <w:sz w:val="24"/>
          <w:szCs w:val="24"/>
        </w:rPr>
        <w:t xml:space="preserve"> såsom </w:t>
      </w:r>
      <w:proofErr w:type="spellStart"/>
      <w:r w:rsidRPr="00DC6BBF">
        <w:rPr>
          <w:i/>
          <w:iCs/>
          <w:sz w:val="24"/>
          <w:szCs w:val="24"/>
        </w:rPr>
        <w:t>nuclear</w:t>
      </w:r>
      <w:proofErr w:type="spellEnd"/>
      <w:r w:rsidRPr="00DC6BBF">
        <w:rPr>
          <w:i/>
          <w:iCs/>
          <w:sz w:val="24"/>
          <w:szCs w:val="24"/>
        </w:rPr>
        <w:t>-</w:t>
      </w:r>
      <w:r w:rsidRPr="00DC6BBF">
        <w:rPr>
          <w:sz w:val="24"/>
          <w:szCs w:val="24"/>
        </w:rPr>
        <w:t xml:space="preserve">faktor </w:t>
      </w:r>
      <w:proofErr w:type="spellStart"/>
      <w:r w:rsidRPr="00DC6BBF">
        <w:rPr>
          <w:sz w:val="24"/>
          <w:szCs w:val="24"/>
        </w:rPr>
        <w:t>κB</w:t>
      </w:r>
      <w:proofErr w:type="spellEnd"/>
      <w:r w:rsidRPr="00DC6BBF">
        <w:rPr>
          <w:sz w:val="24"/>
          <w:szCs w:val="24"/>
        </w:rPr>
        <w:t xml:space="preserve">, </w:t>
      </w:r>
      <w:r w:rsidRPr="00DC6BBF">
        <w:rPr>
          <w:i/>
          <w:iCs/>
          <w:sz w:val="24"/>
          <w:szCs w:val="24"/>
        </w:rPr>
        <w:t>activator</w:t>
      </w:r>
      <w:r w:rsidRPr="00DC6BBF">
        <w:rPr>
          <w:sz w:val="24"/>
          <w:szCs w:val="24"/>
        </w:rPr>
        <w:t>-protein</w:t>
      </w:r>
      <w:r w:rsidRPr="00DC6BBF">
        <w:rPr>
          <w:sz w:val="24"/>
          <w:szCs w:val="24"/>
        </w:rPr>
        <w:noBreakHyphen/>
        <w:t>1 og interferon-</w:t>
      </w:r>
      <w:proofErr w:type="spellStart"/>
      <w:r w:rsidRPr="00DC6BBF">
        <w:rPr>
          <w:i/>
          <w:iCs/>
          <w:sz w:val="24"/>
          <w:szCs w:val="24"/>
        </w:rPr>
        <w:t>regulatory</w:t>
      </w:r>
      <w:proofErr w:type="spellEnd"/>
      <w:r w:rsidRPr="00DC6BBF">
        <w:rPr>
          <w:sz w:val="24"/>
          <w:szCs w:val="24"/>
        </w:rPr>
        <w:t xml:space="preserve"> faktor</w:t>
      </w:r>
      <w:r w:rsidRPr="00DC6BBF">
        <w:rPr>
          <w:sz w:val="24"/>
          <w:szCs w:val="24"/>
        </w:rPr>
        <w:noBreakHyphen/>
        <w:t>3.</w:t>
      </w:r>
    </w:p>
    <w:p w14:paraId="5E2F8E18" w14:textId="77777777" w:rsidR="008B2AE5" w:rsidRPr="00DC6BBF" w:rsidRDefault="008B2AE5" w:rsidP="00B42DE5">
      <w:pPr>
        <w:ind w:left="851"/>
        <w:rPr>
          <w:sz w:val="24"/>
          <w:szCs w:val="24"/>
        </w:rPr>
      </w:pPr>
    </w:p>
    <w:p w14:paraId="616B0A34" w14:textId="77777777" w:rsidR="008B2AE5" w:rsidRPr="00DC6BBF" w:rsidRDefault="008B2AE5" w:rsidP="00B42DE5">
      <w:pPr>
        <w:ind w:left="851"/>
        <w:rPr>
          <w:sz w:val="24"/>
          <w:szCs w:val="24"/>
        </w:rPr>
      </w:pPr>
      <w:r w:rsidRPr="00DC6BBF">
        <w:rPr>
          <w:sz w:val="24"/>
          <w:szCs w:val="24"/>
        </w:rPr>
        <w:t xml:space="preserve">Kombinationen af </w:t>
      </w:r>
      <w:proofErr w:type="spellStart"/>
      <w:r w:rsidRPr="00DC6BBF">
        <w:rPr>
          <w:sz w:val="24"/>
          <w:szCs w:val="24"/>
        </w:rPr>
        <w:t>calcipotriolmonohydrat</w:t>
      </w:r>
      <w:proofErr w:type="spellEnd"/>
      <w:r w:rsidRPr="00DC6BBF">
        <w:rPr>
          <w:sz w:val="24"/>
          <w:szCs w:val="24"/>
        </w:rPr>
        <w:t xml:space="preserve"> og </w:t>
      </w:r>
      <w:proofErr w:type="spellStart"/>
      <w:r w:rsidRPr="00DC6BBF">
        <w:rPr>
          <w:sz w:val="24"/>
          <w:szCs w:val="24"/>
        </w:rPr>
        <w:t>betamethasondipropionat</w:t>
      </w:r>
      <w:proofErr w:type="spellEnd"/>
      <w:r w:rsidRPr="00DC6BBF">
        <w:rPr>
          <w:sz w:val="24"/>
          <w:szCs w:val="24"/>
        </w:rPr>
        <w:t xml:space="preserve"> fremmer større antiinflammatoriske og </w:t>
      </w:r>
      <w:proofErr w:type="spellStart"/>
      <w:r w:rsidRPr="00DC6BBF">
        <w:rPr>
          <w:sz w:val="24"/>
          <w:szCs w:val="24"/>
        </w:rPr>
        <w:t>antiproliferative</w:t>
      </w:r>
      <w:proofErr w:type="spellEnd"/>
      <w:r w:rsidRPr="00DC6BBF">
        <w:rPr>
          <w:sz w:val="24"/>
          <w:szCs w:val="24"/>
        </w:rPr>
        <w:t xml:space="preserve"> virkninger end hver komponent gør alene.</w:t>
      </w:r>
    </w:p>
    <w:p w14:paraId="627364C6" w14:textId="2BC7A777" w:rsidR="00282CB9" w:rsidRDefault="00282CB9">
      <w:pPr>
        <w:rPr>
          <w:sz w:val="24"/>
          <w:szCs w:val="24"/>
        </w:rPr>
      </w:pPr>
      <w:r>
        <w:rPr>
          <w:sz w:val="24"/>
          <w:szCs w:val="24"/>
        </w:rPr>
        <w:br w:type="page"/>
      </w:r>
    </w:p>
    <w:p w14:paraId="25704FE2" w14:textId="77777777" w:rsidR="008B2AE5" w:rsidRPr="00DC6BBF" w:rsidRDefault="008B2AE5" w:rsidP="00B42DE5">
      <w:pPr>
        <w:ind w:left="851"/>
        <w:rPr>
          <w:sz w:val="24"/>
          <w:szCs w:val="24"/>
        </w:rPr>
      </w:pPr>
    </w:p>
    <w:p w14:paraId="7FEDF1BE" w14:textId="77777777" w:rsidR="008B2AE5" w:rsidRPr="00DC6BBF" w:rsidRDefault="008B2AE5" w:rsidP="00B42DE5">
      <w:pPr>
        <w:ind w:left="851"/>
        <w:rPr>
          <w:sz w:val="24"/>
          <w:szCs w:val="24"/>
          <w:u w:val="single"/>
        </w:rPr>
      </w:pPr>
      <w:proofErr w:type="spellStart"/>
      <w:r w:rsidRPr="00DC6BBF">
        <w:rPr>
          <w:sz w:val="24"/>
          <w:szCs w:val="24"/>
          <w:u w:val="single"/>
        </w:rPr>
        <w:t>Farmakodynamisk</w:t>
      </w:r>
      <w:proofErr w:type="spellEnd"/>
      <w:r w:rsidRPr="00DC6BBF">
        <w:rPr>
          <w:sz w:val="24"/>
          <w:szCs w:val="24"/>
          <w:u w:val="single"/>
        </w:rPr>
        <w:t xml:space="preserve"> virkning</w:t>
      </w:r>
    </w:p>
    <w:p w14:paraId="666002DA" w14:textId="77777777" w:rsidR="008B2AE5" w:rsidRPr="00DC6BBF" w:rsidRDefault="008B2AE5" w:rsidP="00B42DE5">
      <w:pPr>
        <w:ind w:left="851"/>
        <w:rPr>
          <w:iCs/>
          <w:sz w:val="24"/>
          <w:szCs w:val="24"/>
        </w:rPr>
      </w:pPr>
    </w:p>
    <w:p w14:paraId="0C5A56B7" w14:textId="77777777" w:rsidR="008B2AE5" w:rsidRPr="00DC6BBF" w:rsidRDefault="008B2AE5" w:rsidP="00B42DE5">
      <w:pPr>
        <w:ind w:left="851"/>
        <w:rPr>
          <w:sz w:val="24"/>
          <w:szCs w:val="24"/>
          <w:u w:val="single"/>
        </w:rPr>
      </w:pPr>
      <w:r w:rsidRPr="00DC6BBF">
        <w:rPr>
          <w:i/>
          <w:sz w:val="24"/>
          <w:szCs w:val="24"/>
        </w:rPr>
        <w:t>Korttidsdata</w:t>
      </w:r>
    </w:p>
    <w:p w14:paraId="00BD6514" w14:textId="77777777" w:rsidR="008B2AE5" w:rsidRPr="00DC6BBF" w:rsidRDefault="008B2AE5" w:rsidP="00B42DE5">
      <w:pPr>
        <w:ind w:left="851"/>
        <w:rPr>
          <w:sz w:val="24"/>
          <w:szCs w:val="24"/>
        </w:rPr>
      </w:pPr>
      <w:r w:rsidRPr="00DC6BBF">
        <w:rPr>
          <w:sz w:val="24"/>
          <w:szCs w:val="24"/>
        </w:rPr>
        <w:t xml:space="preserve">Ved maksimal brug hos patienter med udbredt psoriasis på kroppen og i hovedbunden og behandlet i op til 4 uger, blev det </w:t>
      </w:r>
      <w:proofErr w:type="spellStart"/>
      <w:r w:rsidRPr="00DC6BBF">
        <w:rPr>
          <w:sz w:val="24"/>
          <w:szCs w:val="24"/>
        </w:rPr>
        <w:t>adrenale</w:t>
      </w:r>
      <w:proofErr w:type="spellEnd"/>
      <w:r w:rsidRPr="00DC6BBF">
        <w:rPr>
          <w:sz w:val="24"/>
          <w:szCs w:val="24"/>
        </w:rPr>
        <w:t xml:space="preserve"> respons til ACTH bestemt ved at måle serum-kortisol-niveau. Ingen af 35 patienter havde undertrykte serum-kortisol-niveauer ved 30 eller 60 minutter efter ACTH-stimulering. Det fremgår således, at risikoen for </w:t>
      </w:r>
      <w:proofErr w:type="spellStart"/>
      <w:r w:rsidRPr="00DC6BBF">
        <w:rPr>
          <w:sz w:val="24"/>
          <w:szCs w:val="24"/>
        </w:rPr>
        <w:t>adrenal</w:t>
      </w:r>
      <w:proofErr w:type="spellEnd"/>
      <w:r w:rsidRPr="00DC6BBF">
        <w:rPr>
          <w:sz w:val="24"/>
          <w:szCs w:val="24"/>
        </w:rPr>
        <w:t xml:space="preserve"> undertrykkelse er lav for </w:t>
      </w:r>
      <w:proofErr w:type="spellStart"/>
      <w:r w:rsidRPr="00DC6BBF">
        <w:rPr>
          <w:sz w:val="24"/>
          <w:szCs w:val="24"/>
        </w:rPr>
        <w:t>calcipotriol</w:t>
      </w:r>
      <w:proofErr w:type="spellEnd"/>
      <w:r w:rsidRPr="00DC6BBF">
        <w:rPr>
          <w:sz w:val="24"/>
          <w:szCs w:val="24"/>
        </w:rPr>
        <w:t>/</w:t>
      </w:r>
      <w:proofErr w:type="spellStart"/>
      <w:r w:rsidRPr="00DC6BBF">
        <w:rPr>
          <w:sz w:val="24"/>
          <w:szCs w:val="24"/>
        </w:rPr>
        <w:t>betamethason</w:t>
      </w:r>
      <w:proofErr w:type="spellEnd"/>
      <w:r w:rsidRPr="00DC6BBF">
        <w:rPr>
          <w:sz w:val="24"/>
          <w:szCs w:val="24"/>
        </w:rPr>
        <w:t xml:space="preserve"> skum, når den anvendes til omfattende psoriasis </w:t>
      </w:r>
      <w:proofErr w:type="spellStart"/>
      <w:r w:rsidRPr="00DC6BBF">
        <w:rPr>
          <w:sz w:val="24"/>
          <w:szCs w:val="24"/>
        </w:rPr>
        <w:t>vulgaris</w:t>
      </w:r>
      <w:proofErr w:type="spellEnd"/>
      <w:r w:rsidRPr="00DC6BBF">
        <w:rPr>
          <w:sz w:val="24"/>
          <w:szCs w:val="24"/>
        </w:rPr>
        <w:t xml:space="preserve"> i 4 uger. Ligeledes var der ingen tegn på unormal calciummetabolisme efter anvendelse af </w:t>
      </w:r>
      <w:proofErr w:type="spellStart"/>
      <w:r w:rsidRPr="00DC6BBF">
        <w:rPr>
          <w:sz w:val="24"/>
          <w:szCs w:val="24"/>
        </w:rPr>
        <w:t>calcipotriol</w:t>
      </w:r>
      <w:proofErr w:type="spellEnd"/>
      <w:r w:rsidRPr="00DC6BBF">
        <w:rPr>
          <w:sz w:val="24"/>
          <w:szCs w:val="24"/>
        </w:rPr>
        <w:t>/</w:t>
      </w:r>
      <w:proofErr w:type="spellStart"/>
      <w:r w:rsidRPr="00DC6BBF">
        <w:rPr>
          <w:sz w:val="24"/>
          <w:szCs w:val="24"/>
        </w:rPr>
        <w:t>betamethason</w:t>
      </w:r>
      <w:proofErr w:type="spellEnd"/>
      <w:r w:rsidRPr="00DC6BBF">
        <w:rPr>
          <w:sz w:val="24"/>
          <w:szCs w:val="24"/>
        </w:rPr>
        <w:t xml:space="preserve"> skum til omfattende psoriasis </w:t>
      </w:r>
      <w:proofErr w:type="spellStart"/>
      <w:r w:rsidRPr="00DC6BBF">
        <w:rPr>
          <w:sz w:val="24"/>
          <w:szCs w:val="24"/>
        </w:rPr>
        <w:t>vulgaris</w:t>
      </w:r>
      <w:proofErr w:type="spellEnd"/>
      <w:r w:rsidRPr="00DC6BBF">
        <w:rPr>
          <w:sz w:val="24"/>
          <w:szCs w:val="24"/>
        </w:rPr>
        <w:t xml:space="preserve"> i 4 uger.</w:t>
      </w:r>
    </w:p>
    <w:p w14:paraId="7CDB6563" w14:textId="77777777" w:rsidR="008B2AE5" w:rsidRPr="00DC6BBF" w:rsidRDefault="008B2AE5" w:rsidP="00B42DE5">
      <w:pPr>
        <w:ind w:left="851"/>
        <w:rPr>
          <w:sz w:val="24"/>
          <w:szCs w:val="24"/>
          <w:u w:val="single"/>
        </w:rPr>
      </w:pPr>
    </w:p>
    <w:p w14:paraId="07CD7EDB" w14:textId="77777777" w:rsidR="008B2AE5" w:rsidRPr="00DC6BBF" w:rsidRDefault="008B2AE5" w:rsidP="00B42DE5">
      <w:pPr>
        <w:ind w:left="851"/>
        <w:rPr>
          <w:sz w:val="24"/>
          <w:szCs w:val="24"/>
          <w:u w:val="single"/>
        </w:rPr>
      </w:pPr>
      <w:r w:rsidRPr="00DC6BBF">
        <w:rPr>
          <w:sz w:val="24"/>
          <w:szCs w:val="24"/>
          <w:u w:val="single"/>
        </w:rPr>
        <w:t>Klinisk virkning</w:t>
      </w:r>
    </w:p>
    <w:p w14:paraId="7188482F" w14:textId="77777777" w:rsidR="008B2AE5" w:rsidRPr="00DC6BBF" w:rsidRDefault="008B2AE5" w:rsidP="00B42DE5">
      <w:pPr>
        <w:ind w:left="851"/>
        <w:rPr>
          <w:i/>
          <w:sz w:val="24"/>
          <w:szCs w:val="24"/>
        </w:rPr>
      </w:pPr>
    </w:p>
    <w:p w14:paraId="14462EDC" w14:textId="77777777" w:rsidR="008B2AE5" w:rsidRPr="00DC6BBF" w:rsidRDefault="008B2AE5" w:rsidP="00B42DE5">
      <w:pPr>
        <w:ind w:left="851"/>
        <w:rPr>
          <w:sz w:val="24"/>
          <w:szCs w:val="24"/>
          <w:u w:val="single"/>
        </w:rPr>
      </w:pPr>
      <w:r w:rsidRPr="00DC6BBF">
        <w:rPr>
          <w:i/>
          <w:sz w:val="24"/>
          <w:szCs w:val="24"/>
        </w:rPr>
        <w:t>Korttidsdata</w:t>
      </w:r>
    </w:p>
    <w:p w14:paraId="63806418" w14:textId="311616B5" w:rsidR="008B2AE5" w:rsidRPr="00DC6BBF" w:rsidRDefault="008B2AE5" w:rsidP="00B42DE5">
      <w:pPr>
        <w:ind w:left="851"/>
        <w:rPr>
          <w:sz w:val="24"/>
          <w:szCs w:val="24"/>
        </w:rPr>
      </w:pPr>
      <w:r w:rsidRPr="00DC6BBF">
        <w:rPr>
          <w:sz w:val="24"/>
          <w:szCs w:val="24"/>
        </w:rPr>
        <w:t xml:space="preserve">Virkningen af behandling én gang dagligt med </w:t>
      </w:r>
      <w:proofErr w:type="spellStart"/>
      <w:r w:rsidRPr="00DC6BBF">
        <w:rPr>
          <w:sz w:val="24"/>
          <w:szCs w:val="24"/>
        </w:rPr>
        <w:t>calcipotriol</w:t>
      </w:r>
      <w:proofErr w:type="spellEnd"/>
      <w:r w:rsidRPr="00DC6BBF">
        <w:rPr>
          <w:sz w:val="24"/>
          <w:szCs w:val="24"/>
        </w:rPr>
        <w:t>/</w:t>
      </w:r>
      <w:proofErr w:type="spellStart"/>
      <w:r w:rsidRPr="00DC6BBF">
        <w:rPr>
          <w:sz w:val="24"/>
          <w:szCs w:val="24"/>
        </w:rPr>
        <w:t>betamethason</w:t>
      </w:r>
      <w:proofErr w:type="spellEnd"/>
      <w:r w:rsidRPr="00DC6BBF">
        <w:rPr>
          <w:sz w:val="24"/>
          <w:szCs w:val="24"/>
        </w:rPr>
        <w:t xml:space="preserve"> skum er blevet undersøgt i tre randomiserede, dobbeltblindede eller </w:t>
      </w:r>
      <w:proofErr w:type="spellStart"/>
      <w:r w:rsidRPr="00DC6BBF">
        <w:rPr>
          <w:sz w:val="24"/>
          <w:szCs w:val="24"/>
        </w:rPr>
        <w:t>investigatorblindede</w:t>
      </w:r>
      <w:proofErr w:type="spellEnd"/>
      <w:r w:rsidRPr="00DC6BBF">
        <w:rPr>
          <w:sz w:val="24"/>
          <w:szCs w:val="24"/>
        </w:rPr>
        <w:t>, 4</w:t>
      </w:r>
      <w:r w:rsidRPr="00DC6BBF">
        <w:rPr>
          <w:sz w:val="24"/>
          <w:szCs w:val="24"/>
        </w:rPr>
        <w:noBreakHyphen/>
        <w:t>ugers kliniske studier, der inkluderede mere end 1.100 forsøgspersoner med psoriasis på kroppen (samt i hovedbunden i Studie 2) med mindst mild sværhedsgrad i henhold til ”</w:t>
      </w:r>
      <w:proofErr w:type="spellStart"/>
      <w:r w:rsidRPr="00DC6BBF">
        <w:rPr>
          <w:sz w:val="24"/>
          <w:szCs w:val="24"/>
        </w:rPr>
        <w:t>Physician</w:t>
      </w:r>
      <w:r w:rsidR="00520598">
        <w:rPr>
          <w:sz w:val="24"/>
          <w:szCs w:val="24"/>
        </w:rPr>
        <w:t>'</w:t>
      </w:r>
      <w:r w:rsidRPr="00DC6BBF">
        <w:rPr>
          <w:sz w:val="24"/>
          <w:szCs w:val="24"/>
        </w:rPr>
        <w:t>s</w:t>
      </w:r>
      <w:proofErr w:type="spellEnd"/>
      <w:r w:rsidRPr="00DC6BBF">
        <w:rPr>
          <w:sz w:val="24"/>
          <w:szCs w:val="24"/>
        </w:rPr>
        <w:t xml:space="preserve"> Global </w:t>
      </w:r>
      <w:proofErr w:type="spellStart"/>
      <w:r w:rsidRPr="00DC6BBF">
        <w:rPr>
          <w:sz w:val="24"/>
          <w:szCs w:val="24"/>
        </w:rPr>
        <w:t>Assessment</w:t>
      </w:r>
      <w:proofErr w:type="spellEnd"/>
      <w:r w:rsidRPr="00DC6BBF">
        <w:rPr>
          <w:sz w:val="24"/>
          <w:szCs w:val="24"/>
        </w:rPr>
        <w:t xml:space="preserve"> of </w:t>
      </w:r>
      <w:proofErr w:type="spellStart"/>
      <w:r w:rsidRPr="00DC6BBF">
        <w:rPr>
          <w:sz w:val="24"/>
          <w:szCs w:val="24"/>
        </w:rPr>
        <w:t>disease</w:t>
      </w:r>
      <w:proofErr w:type="spellEnd"/>
      <w:r w:rsidRPr="00DC6BBF">
        <w:rPr>
          <w:sz w:val="24"/>
          <w:szCs w:val="24"/>
        </w:rPr>
        <w:t xml:space="preserve"> </w:t>
      </w:r>
      <w:proofErr w:type="spellStart"/>
      <w:r w:rsidRPr="00DC6BBF">
        <w:rPr>
          <w:sz w:val="24"/>
          <w:szCs w:val="24"/>
        </w:rPr>
        <w:t>severity</w:t>
      </w:r>
      <w:proofErr w:type="spellEnd"/>
      <w:r w:rsidRPr="00DC6BBF">
        <w:rPr>
          <w:sz w:val="24"/>
          <w:szCs w:val="24"/>
        </w:rPr>
        <w:t>” (PGA), med påvirkning af mindst 2 % legemsoverflade (</w:t>
      </w:r>
      <w:r w:rsidRPr="00DC6BBF">
        <w:rPr>
          <w:i/>
          <w:iCs/>
          <w:sz w:val="24"/>
          <w:szCs w:val="24"/>
        </w:rPr>
        <w:t xml:space="preserve">body </w:t>
      </w:r>
      <w:proofErr w:type="spellStart"/>
      <w:r w:rsidRPr="00DC6BBF">
        <w:rPr>
          <w:i/>
          <w:iCs/>
          <w:sz w:val="24"/>
          <w:szCs w:val="24"/>
        </w:rPr>
        <w:t>surface</w:t>
      </w:r>
      <w:proofErr w:type="spellEnd"/>
      <w:r w:rsidRPr="00DC6BBF">
        <w:rPr>
          <w:i/>
          <w:iCs/>
          <w:sz w:val="24"/>
          <w:szCs w:val="24"/>
        </w:rPr>
        <w:t xml:space="preserve"> </w:t>
      </w:r>
      <w:proofErr w:type="spellStart"/>
      <w:r w:rsidRPr="00DC6BBF">
        <w:rPr>
          <w:i/>
          <w:iCs/>
          <w:sz w:val="24"/>
          <w:szCs w:val="24"/>
        </w:rPr>
        <w:t>area</w:t>
      </w:r>
      <w:proofErr w:type="spellEnd"/>
      <w:r w:rsidRPr="00DC6BBF">
        <w:rPr>
          <w:sz w:val="24"/>
          <w:szCs w:val="24"/>
        </w:rPr>
        <w:t xml:space="preserve">, BSA), og med et modificeret ”Psoriasis </w:t>
      </w:r>
      <w:proofErr w:type="spellStart"/>
      <w:r w:rsidRPr="00DC6BBF">
        <w:rPr>
          <w:sz w:val="24"/>
          <w:szCs w:val="24"/>
        </w:rPr>
        <w:t>Area</w:t>
      </w:r>
      <w:proofErr w:type="spellEnd"/>
      <w:r w:rsidRPr="00DC6BBF">
        <w:rPr>
          <w:sz w:val="24"/>
          <w:szCs w:val="24"/>
        </w:rPr>
        <w:t xml:space="preserve"> </w:t>
      </w:r>
      <w:proofErr w:type="spellStart"/>
      <w:r w:rsidRPr="00DC6BBF">
        <w:rPr>
          <w:sz w:val="24"/>
          <w:szCs w:val="24"/>
        </w:rPr>
        <w:t>Severity</w:t>
      </w:r>
      <w:proofErr w:type="spellEnd"/>
      <w:r w:rsidRPr="00DC6BBF">
        <w:rPr>
          <w:sz w:val="24"/>
          <w:szCs w:val="24"/>
        </w:rPr>
        <w:t xml:space="preserve"> Index” (m-PASI) på mindst 2. PGA blev udført ved hjælp af en 5</w:t>
      </w:r>
      <w:r w:rsidRPr="00DC6BBF">
        <w:rPr>
          <w:sz w:val="24"/>
          <w:szCs w:val="24"/>
        </w:rPr>
        <w:noBreakHyphen/>
        <w:t>trins skala (ingen symptomer, næsten ingen symptomer, mild, moderat og svær) baseret på den gennemsnitlige psoriasislæsion. Det primære endepunkt var forsøgspersoner med ”behandlingssucces” (”ingen symptomer” eller ”næsten ingen symptomer” for forsøgspersoner med mindst moderat sygdom ved studiestart eller ”ingen symptomer” for forsøgspersoner med mild sygdom ved studiestart) i henhold til PGA ved uge 4.</w:t>
      </w:r>
    </w:p>
    <w:p w14:paraId="4F8CD312" w14:textId="77777777" w:rsidR="008B2AE5" w:rsidRPr="00DC6BBF" w:rsidRDefault="008B2AE5" w:rsidP="00B42DE5">
      <w:pPr>
        <w:ind w:left="851"/>
        <w:rPr>
          <w:sz w:val="24"/>
          <w:szCs w:val="24"/>
        </w:rPr>
      </w:pPr>
    </w:p>
    <w:p w14:paraId="688A3806" w14:textId="77777777" w:rsidR="008B2AE5" w:rsidRPr="008B2AE5" w:rsidRDefault="008B2AE5" w:rsidP="00282CB9">
      <w:pPr>
        <w:rPr>
          <w:b/>
          <w:sz w:val="24"/>
          <w:szCs w:val="24"/>
        </w:rPr>
      </w:pPr>
      <w:r w:rsidRPr="008B2AE5">
        <w:rPr>
          <w:b/>
          <w:sz w:val="24"/>
          <w:szCs w:val="24"/>
        </w:rPr>
        <w:t>Sygdomsrelaterede karakteristika ved studiestart</w:t>
      </w:r>
    </w:p>
    <w:p w14:paraId="199419E5" w14:textId="77777777" w:rsidR="008B2AE5" w:rsidRPr="008B2AE5" w:rsidRDefault="008B2AE5" w:rsidP="008B2AE5">
      <w:pPr>
        <w:tabs>
          <w:tab w:val="left" w:pos="851"/>
        </w:tabs>
        <w:ind w:left="851"/>
        <w:rPr>
          <w:sz w:val="24"/>
          <w:szCs w:val="24"/>
        </w:rPr>
      </w:pPr>
    </w:p>
    <w:tbl>
      <w:tblPr>
        <w:tblStyle w:val="Tabel-Gitter"/>
        <w:tblW w:w="5000" w:type="pct"/>
        <w:tblLook w:val="04A0" w:firstRow="1" w:lastRow="0" w:firstColumn="1" w:lastColumn="0" w:noHBand="0" w:noVBand="1"/>
      </w:tblPr>
      <w:tblGrid>
        <w:gridCol w:w="3669"/>
        <w:gridCol w:w="1987"/>
        <w:gridCol w:w="1987"/>
        <w:gridCol w:w="1985"/>
      </w:tblGrid>
      <w:tr w:rsidR="008B2AE5" w:rsidRPr="008B2AE5" w14:paraId="41D58AF2" w14:textId="77777777" w:rsidTr="00B42DE5">
        <w:trPr>
          <w:trHeight w:val="746"/>
        </w:trPr>
        <w:tc>
          <w:tcPr>
            <w:tcW w:w="1905" w:type="pct"/>
            <w:tcBorders>
              <w:top w:val="single" w:sz="4" w:space="0" w:color="auto"/>
              <w:left w:val="single" w:sz="4" w:space="0" w:color="auto"/>
              <w:bottom w:val="single" w:sz="4" w:space="0" w:color="auto"/>
              <w:right w:val="single" w:sz="4" w:space="0" w:color="auto"/>
            </w:tcBorders>
          </w:tcPr>
          <w:p w14:paraId="61B22641" w14:textId="77777777" w:rsidR="008B2AE5" w:rsidRPr="008B2AE5" w:rsidRDefault="008B2AE5" w:rsidP="00B42DE5">
            <w:pPr>
              <w:rPr>
                <w:b/>
                <w:sz w:val="24"/>
                <w:szCs w:val="24"/>
                <w:lang w:val="en-US"/>
              </w:rPr>
            </w:pPr>
          </w:p>
        </w:tc>
        <w:tc>
          <w:tcPr>
            <w:tcW w:w="1032" w:type="pct"/>
            <w:tcBorders>
              <w:top w:val="single" w:sz="4" w:space="0" w:color="auto"/>
              <w:left w:val="single" w:sz="4" w:space="0" w:color="auto"/>
              <w:bottom w:val="single" w:sz="4" w:space="0" w:color="auto"/>
              <w:right w:val="single" w:sz="4" w:space="0" w:color="auto"/>
            </w:tcBorders>
          </w:tcPr>
          <w:p w14:paraId="0A727112" w14:textId="77777777" w:rsidR="008B2AE5" w:rsidRPr="008B2AE5" w:rsidRDefault="008B2AE5" w:rsidP="00520598">
            <w:pPr>
              <w:jc w:val="center"/>
              <w:rPr>
                <w:b/>
                <w:sz w:val="24"/>
                <w:szCs w:val="24"/>
                <w:lang w:val="en-US"/>
              </w:rPr>
            </w:pPr>
            <w:r w:rsidRPr="008B2AE5">
              <w:rPr>
                <w:b/>
                <w:sz w:val="24"/>
                <w:szCs w:val="24"/>
                <w:lang w:val="en-US"/>
              </w:rPr>
              <w:t>Studie 1</w:t>
            </w:r>
          </w:p>
          <w:p w14:paraId="636870C4" w14:textId="77777777" w:rsidR="008B2AE5" w:rsidRPr="008B2AE5" w:rsidRDefault="008B2AE5" w:rsidP="00520598">
            <w:pPr>
              <w:jc w:val="center"/>
              <w:rPr>
                <w:b/>
                <w:sz w:val="24"/>
                <w:szCs w:val="24"/>
                <w:lang w:val="en-US"/>
              </w:rPr>
            </w:pPr>
          </w:p>
          <w:p w14:paraId="38BAF601" w14:textId="77777777" w:rsidR="008B2AE5" w:rsidRPr="008B2AE5" w:rsidRDefault="008B2AE5" w:rsidP="00520598">
            <w:pPr>
              <w:jc w:val="center"/>
              <w:rPr>
                <w:b/>
                <w:sz w:val="24"/>
                <w:szCs w:val="24"/>
                <w:lang w:val="en-US"/>
              </w:rPr>
            </w:pPr>
            <w:r w:rsidRPr="008B2AE5">
              <w:rPr>
                <w:b/>
                <w:sz w:val="24"/>
                <w:szCs w:val="24"/>
                <w:lang w:val="en-US"/>
              </w:rPr>
              <w:t>(N = 426)</w:t>
            </w:r>
          </w:p>
        </w:tc>
        <w:tc>
          <w:tcPr>
            <w:tcW w:w="1032" w:type="pct"/>
            <w:tcBorders>
              <w:top w:val="single" w:sz="4" w:space="0" w:color="auto"/>
              <w:left w:val="single" w:sz="4" w:space="0" w:color="auto"/>
              <w:bottom w:val="single" w:sz="4" w:space="0" w:color="auto"/>
              <w:right w:val="single" w:sz="4" w:space="0" w:color="auto"/>
            </w:tcBorders>
          </w:tcPr>
          <w:p w14:paraId="777C664B" w14:textId="77777777" w:rsidR="008B2AE5" w:rsidRPr="008B2AE5" w:rsidRDefault="008B2AE5" w:rsidP="00520598">
            <w:pPr>
              <w:jc w:val="center"/>
              <w:rPr>
                <w:b/>
                <w:sz w:val="24"/>
                <w:szCs w:val="24"/>
                <w:lang w:val="en-US"/>
              </w:rPr>
            </w:pPr>
            <w:r w:rsidRPr="008B2AE5">
              <w:rPr>
                <w:b/>
                <w:sz w:val="24"/>
                <w:szCs w:val="24"/>
                <w:lang w:val="en-US"/>
              </w:rPr>
              <w:t>Studie 2</w:t>
            </w:r>
          </w:p>
          <w:p w14:paraId="7A6D3498" w14:textId="77777777" w:rsidR="008B2AE5" w:rsidRPr="008B2AE5" w:rsidRDefault="008B2AE5" w:rsidP="00520598">
            <w:pPr>
              <w:jc w:val="center"/>
              <w:rPr>
                <w:b/>
                <w:sz w:val="24"/>
                <w:szCs w:val="24"/>
                <w:lang w:val="en-US"/>
              </w:rPr>
            </w:pPr>
          </w:p>
          <w:p w14:paraId="4A87940B" w14:textId="77777777" w:rsidR="008B2AE5" w:rsidRPr="008B2AE5" w:rsidRDefault="008B2AE5" w:rsidP="00520598">
            <w:pPr>
              <w:jc w:val="center"/>
              <w:rPr>
                <w:b/>
                <w:sz w:val="24"/>
                <w:szCs w:val="24"/>
                <w:lang w:val="en-US"/>
              </w:rPr>
            </w:pPr>
            <w:r w:rsidRPr="008B2AE5">
              <w:rPr>
                <w:b/>
                <w:sz w:val="24"/>
                <w:szCs w:val="24"/>
                <w:lang w:val="en-US"/>
              </w:rPr>
              <w:t>(N = 302)</w:t>
            </w:r>
          </w:p>
        </w:tc>
        <w:tc>
          <w:tcPr>
            <w:tcW w:w="1032" w:type="pct"/>
            <w:tcBorders>
              <w:top w:val="single" w:sz="4" w:space="0" w:color="auto"/>
              <w:left w:val="single" w:sz="4" w:space="0" w:color="auto"/>
              <w:bottom w:val="single" w:sz="4" w:space="0" w:color="auto"/>
              <w:right w:val="single" w:sz="4" w:space="0" w:color="auto"/>
            </w:tcBorders>
          </w:tcPr>
          <w:p w14:paraId="4E474855" w14:textId="77777777" w:rsidR="008B2AE5" w:rsidRPr="008B2AE5" w:rsidRDefault="008B2AE5" w:rsidP="00520598">
            <w:pPr>
              <w:jc w:val="center"/>
              <w:rPr>
                <w:b/>
                <w:sz w:val="24"/>
                <w:szCs w:val="24"/>
                <w:lang w:val="en-US"/>
              </w:rPr>
            </w:pPr>
            <w:r w:rsidRPr="008B2AE5">
              <w:rPr>
                <w:b/>
                <w:sz w:val="24"/>
                <w:szCs w:val="24"/>
                <w:lang w:val="en-US"/>
              </w:rPr>
              <w:t>Studie 3</w:t>
            </w:r>
          </w:p>
          <w:p w14:paraId="1FAEB2A8" w14:textId="77777777" w:rsidR="008B2AE5" w:rsidRPr="008B2AE5" w:rsidRDefault="008B2AE5" w:rsidP="00520598">
            <w:pPr>
              <w:jc w:val="center"/>
              <w:rPr>
                <w:b/>
                <w:sz w:val="24"/>
                <w:szCs w:val="24"/>
                <w:lang w:val="en-US"/>
              </w:rPr>
            </w:pPr>
          </w:p>
          <w:p w14:paraId="0C089F57" w14:textId="77777777" w:rsidR="008B2AE5" w:rsidRPr="008B2AE5" w:rsidRDefault="008B2AE5" w:rsidP="00520598">
            <w:pPr>
              <w:jc w:val="center"/>
              <w:rPr>
                <w:b/>
                <w:sz w:val="24"/>
                <w:szCs w:val="24"/>
                <w:lang w:val="en-US"/>
              </w:rPr>
            </w:pPr>
            <w:r w:rsidRPr="008B2AE5">
              <w:rPr>
                <w:b/>
                <w:sz w:val="24"/>
                <w:szCs w:val="24"/>
                <w:lang w:val="en-US"/>
              </w:rPr>
              <w:t>(N = 376)</w:t>
            </w:r>
          </w:p>
        </w:tc>
      </w:tr>
      <w:tr w:rsidR="008B2AE5" w:rsidRPr="008B2AE5" w14:paraId="7F44D9E0" w14:textId="77777777" w:rsidTr="00B42DE5">
        <w:tc>
          <w:tcPr>
            <w:tcW w:w="1905" w:type="pct"/>
            <w:tcBorders>
              <w:top w:val="single" w:sz="4" w:space="0" w:color="auto"/>
              <w:left w:val="single" w:sz="4" w:space="0" w:color="auto"/>
              <w:bottom w:val="single" w:sz="4" w:space="0" w:color="auto"/>
              <w:right w:val="single" w:sz="4" w:space="0" w:color="auto"/>
            </w:tcBorders>
            <w:hideMark/>
          </w:tcPr>
          <w:p w14:paraId="3840448D" w14:textId="77777777" w:rsidR="008B2AE5" w:rsidRPr="008B2AE5" w:rsidRDefault="008B2AE5" w:rsidP="00B42DE5">
            <w:pPr>
              <w:rPr>
                <w:b/>
                <w:sz w:val="24"/>
                <w:szCs w:val="24"/>
              </w:rPr>
            </w:pPr>
            <w:r w:rsidRPr="008B2AE5">
              <w:rPr>
                <w:b/>
                <w:sz w:val="24"/>
                <w:szCs w:val="24"/>
              </w:rPr>
              <w:t>Sygdommens sværhedsgrad ved studiestart (PGA):</w:t>
            </w:r>
          </w:p>
        </w:tc>
        <w:tc>
          <w:tcPr>
            <w:tcW w:w="1032" w:type="pct"/>
            <w:tcBorders>
              <w:top w:val="single" w:sz="4" w:space="0" w:color="auto"/>
              <w:left w:val="single" w:sz="4" w:space="0" w:color="auto"/>
              <w:bottom w:val="single" w:sz="4" w:space="0" w:color="auto"/>
              <w:right w:val="single" w:sz="4" w:space="0" w:color="auto"/>
            </w:tcBorders>
          </w:tcPr>
          <w:p w14:paraId="14929883" w14:textId="77777777" w:rsidR="008B2AE5" w:rsidRPr="008B2AE5" w:rsidRDefault="008B2AE5" w:rsidP="00520598">
            <w:pPr>
              <w:jc w:val="center"/>
              <w:rPr>
                <w:sz w:val="24"/>
                <w:szCs w:val="24"/>
              </w:rPr>
            </w:pPr>
          </w:p>
        </w:tc>
        <w:tc>
          <w:tcPr>
            <w:tcW w:w="1032" w:type="pct"/>
            <w:tcBorders>
              <w:top w:val="single" w:sz="4" w:space="0" w:color="auto"/>
              <w:left w:val="single" w:sz="4" w:space="0" w:color="auto"/>
              <w:bottom w:val="single" w:sz="4" w:space="0" w:color="auto"/>
              <w:right w:val="single" w:sz="4" w:space="0" w:color="auto"/>
            </w:tcBorders>
          </w:tcPr>
          <w:p w14:paraId="56F19169" w14:textId="77777777" w:rsidR="008B2AE5" w:rsidRPr="008B2AE5" w:rsidRDefault="008B2AE5" w:rsidP="00520598">
            <w:pPr>
              <w:jc w:val="center"/>
              <w:rPr>
                <w:sz w:val="24"/>
                <w:szCs w:val="24"/>
              </w:rPr>
            </w:pPr>
          </w:p>
        </w:tc>
        <w:tc>
          <w:tcPr>
            <w:tcW w:w="1032" w:type="pct"/>
            <w:tcBorders>
              <w:top w:val="single" w:sz="4" w:space="0" w:color="auto"/>
              <w:left w:val="single" w:sz="4" w:space="0" w:color="auto"/>
              <w:bottom w:val="single" w:sz="4" w:space="0" w:color="auto"/>
              <w:right w:val="single" w:sz="4" w:space="0" w:color="auto"/>
            </w:tcBorders>
          </w:tcPr>
          <w:p w14:paraId="0C644F5A" w14:textId="77777777" w:rsidR="008B2AE5" w:rsidRPr="008B2AE5" w:rsidRDefault="008B2AE5" w:rsidP="00520598">
            <w:pPr>
              <w:jc w:val="center"/>
              <w:rPr>
                <w:sz w:val="24"/>
                <w:szCs w:val="24"/>
              </w:rPr>
            </w:pPr>
          </w:p>
        </w:tc>
      </w:tr>
      <w:tr w:rsidR="008B2AE5" w:rsidRPr="008B2AE5" w14:paraId="4FEECCBF" w14:textId="77777777" w:rsidTr="00B42DE5">
        <w:tc>
          <w:tcPr>
            <w:tcW w:w="1905" w:type="pct"/>
            <w:tcBorders>
              <w:top w:val="single" w:sz="4" w:space="0" w:color="auto"/>
              <w:left w:val="single" w:sz="4" w:space="0" w:color="auto"/>
              <w:bottom w:val="single" w:sz="4" w:space="0" w:color="auto"/>
              <w:right w:val="single" w:sz="4" w:space="0" w:color="auto"/>
            </w:tcBorders>
            <w:hideMark/>
          </w:tcPr>
          <w:p w14:paraId="0F6770B2" w14:textId="77777777" w:rsidR="008B2AE5" w:rsidRPr="008B2AE5" w:rsidRDefault="008B2AE5" w:rsidP="00B42DE5">
            <w:pPr>
              <w:rPr>
                <w:b/>
                <w:sz w:val="24"/>
                <w:szCs w:val="24"/>
                <w:lang w:val="en-US"/>
              </w:rPr>
            </w:pPr>
            <w:r w:rsidRPr="008B2AE5">
              <w:rPr>
                <w:b/>
                <w:sz w:val="24"/>
                <w:szCs w:val="24"/>
                <w:lang w:val="en-US"/>
              </w:rPr>
              <w:t>Mild</w:t>
            </w:r>
          </w:p>
        </w:tc>
        <w:tc>
          <w:tcPr>
            <w:tcW w:w="1032" w:type="pct"/>
            <w:tcBorders>
              <w:top w:val="single" w:sz="4" w:space="0" w:color="auto"/>
              <w:left w:val="single" w:sz="4" w:space="0" w:color="auto"/>
              <w:bottom w:val="single" w:sz="4" w:space="0" w:color="auto"/>
              <w:right w:val="single" w:sz="4" w:space="0" w:color="auto"/>
            </w:tcBorders>
            <w:hideMark/>
          </w:tcPr>
          <w:p w14:paraId="0E5B1C22" w14:textId="77777777" w:rsidR="008B2AE5" w:rsidRPr="008B2AE5" w:rsidRDefault="008B2AE5" w:rsidP="00520598">
            <w:pPr>
              <w:jc w:val="center"/>
              <w:rPr>
                <w:sz w:val="24"/>
                <w:szCs w:val="24"/>
                <w:lang w:val="en-US"/>
              </w:rPr>
            </w:pPr>
            <w:r w:rsidRPr="008B2AE5">
              <w:rPr>
                <w:sz w:val="24"/>
                <w:szCs w:val="24"/>
                <w:lang w:val="en-US"/>
              </w:rPr>
              <w:t>65 (15,3 %)</w:t>
            </w:r>
          </w:p>
        </w:tc>
        <w:tc>
          <w:tcPr>
            <w:tcW w:w="1032" w:type="pct"/>
            <w:tcBorders>
              <w:top w:val="single" w:sz="4" w:space="0" w:color="auto"/>
              <w:left w:val="single" w:sz="4" w:space="0" w:color="auto"/>
              <w:bottom w:val="single" w:sz="4" w:space="0" w:color="auto"/>
              <w:right w:val="single" w:sz="4" w:space="0" w:color="auto"/>
            </w:tcBorders>
            <w:hideMark/>
          </w:tcPr>
          <w:p w14:paraId="5852F20F" w14:textId="77777777" w:rsidR="008B2AE5" w:rsidRPr="008B2AE5" w:rsidRDefault="008B2AE5" w:rsidP="00520598">
            <w:pPr>
              <w:jc w:val="center"/>
              <w:rPr>
                <w:sz w:val="24"/>
                <w:szCs w:val="24"/>
                <w:lang w:val="en-US"/>
              </w:rPr>
            </w:pPr>
            <w:r w:rsidRPr="008B2AE5">
              <w:rPr>
                <w:sz w:val="24"/>
                <w:szCs w:val="24"/>
                <w:lang w:val="en-US"/>
              </w:rPr>
              <w:t>41 (13,6 %)</w:t>
            </w:r>
          </w:p>
        </w:tc>
        <w:tc>
          <w:tcPr>
            <w:tcW w:w="1032" w:type="pct"/>
            <w:tcBorders>
              <w:top w:val="single" w:sz="4" w:space="0" w:color="auto"/>
              <w:left w:val="single" w:sz="4" w:space="0" w:color="auto"/>
              <w:bottom w:val="single" w:sz="4" w:space="0" w:color="auto"/>
              <w:right w:val="single" w:sz="4" w:space="0" w:color="auto"/>
            </w:tcBorders>
            <w:hideMark/>
          </w:tcPr>
          <w:p w14:paraId="011CFBA6" w14:textId="77777777" w:rsidR="008B2AE5" w:rsidRPr="008B2AE5" w:rsidRDefault="008B2AE5" w:rsidP="00520598">
            <w:pPr>
              <w:jc w:val="center"/>
              <w:rPr>
                <w:sz w:val="24"/>
                <w:szCs w:val="24"/>
                <w:lang w:val="en-US"/>
              </w:rPr>
            </w:pPr>
            <w:r w:rsidRPr="008B2AE5">
              <w:rPr>
                <w:sz w:val="24"/>
                <w:szCs w:val="24"/>
                <w:lang w:val="en-US"/>
              </w:rPr>
              <w:t>63 (16,8 %)</w:t>
            </w:r>
          </w:p>
        </w:tc>
      </w:tr>
      <w:tr w:rsidR="008B2AE5" w:rsidRPr="008B2AE5" w14:paraId="761DD9BD" w14:textId="77777777" w:rsidTr="00B42DE5">
        <w:tc>
          <w:tcPr>
            <w:tcW w:w="1905" w:type="pct"/>
            <w:tcBorders>
              <w:top w:val="single" w:sz="4" w:space="0" w:color="auto"/>
              <w:left w:val="single" w:sz="4" w:space="0" w:color="auto"/>
              <w:bottom w:val="single" w:sz="4" w:space="0" w:color="auto"/>
              <w:right w:val="single" w:sz="4" w:space="0" w:color="auto"/>
            </w:tcBorders>
            <w:hideMark/>
          </w:tcPr>
          <w:p w14:paraId="17319322" w14:textId="77777777" w:rsidR="008B2AE5" w:rsidRPr="008B2AE5" w:rsidRDefault="008B2AE5" w:rsidP="00B42DE5">
            <w:pPr>
              <w:rPr>
                <w:b/>
                <w:sz w:val="24"/>
                <w:szCs w:val="24"/>
                <w:lang w:val="en-US"/>
              </w:rPr>
            </w:pPr>
            <w:proofErr w:type="spellStart"/>
            <w:r w:rsidRPr="008B2AE5">
              <w:rPr>
                <w:b/>
                <w:sz w:val="24"/>
                <w:szCs w:val="24"/>
                <w:lang w:val="en-US"/>
              </w:rPr>
              <w:t>Moderat</w:t>
            </w:r>
            <w:proofErr w:type="spellEnd"/>
          </w:p>
        </w:tc>
        <w:tc>
          <w:tcPr>
            <w:tcW w:w="1032" w:type="pct"/>
            <w:tcBorders>
              <w:top w:val="single" w:sz="4" w:space="0" w:color="auto"/>
              <w:left w:val="single" w:sz="4" w:space="0" w:color="auto"/>
              <w:bottom w:val="single" w:sz="4" w:space="0" w:color="auto"/>
              <w:right w:val="single" w:sz="4" w:space="0" w:color="auto"/>
            </w:tcBorders>
            <w:hideMark/>
          </w:tcPr>
          <w:p w14:paraId="63E632D3" w14:textId="77777777" w:rsidR="008B2AE5" w:rsidRPr="008B2AE5" w:rsidRDefault="008B2AE5" w:rsidP="00520598">
            <w:pPr>
              <w:jc w:val="center"/>
              <w:rPr>
                <w:sz w:val="24"/>
                <w:szCs w:val="24"/>
                <w:lang w:val="en-US"/>
              </w:rPr>
            </w:pPr>
            <w:r w:rsidRPr="008B2AE5">
              <w:rPr>
                <w:sz w:val="24"/>
                <w:szCs w:val="24"/>
                <w:lang w:val="en-US"/>
              </w:rPr>
              <w:t>319 (74,9 %)</w:t>
            </w:r>
          </w:p>
        </w:tc>
        <w:tc>
          <w:tcPr>
            <w:tcW w:w="1032" w:type="pct"/>
            <w:tcBorders>
              <w:top w:val="single" w:sz="4" w:space="0" w:color="auto"/>
              <w:left w:val="single" w:sz="4" w:space="0" w:color="auto"/>
              <w:bottom w:val="single" w:sz="4" w:space="0" w:color="auto"/>
              <w:right w:val="single" w:sz="4" w:space="0" w:color="auto"/>
            </w:tcBorders>
            <w:hideMark/>
          </w:tcPr>
          <w:p w14:paraId="1138C0B1" w14:textId="77777777" w:rsidR="008B2AE5" w:rsidRPr="008B2AE5" w:rsidRDefault="008B2AE5" w:rsidP="00520598">
            <w:pPr>
              <w:jc w:val="center"/>
              <w:rPr>
                <w:sz w:val="24"/>
                <w:szCs w:val="24"/>
                <w:lang w:val="en-US"/>
              </w:rPr>
            </w:pPr>
            <w:r w:rsidRPr="008B2AE5">
              <w:rPr>
                <w:sz w:val="24"/>
                <w:szCs w:val="24"/>
                <w:lang w:val="en-US"/>
              </w:rPr>
              <w:t>230 (76,2 %)</w:t>
            </w:r>
          </w:p>
        </w:tc>
        <w:tc>
          <w:tcPr>
            <w:tcW w:w="1032" w:type="pct"/>
            <w:tcBorders>
              <w:top w:val="single" w:sz="4" w:space="0" w:color="auto"/>
              <w:left w:val="single" w:sz="4" w:space="0" w:color="auto"/>
              <w:bottom w:val="single" w:sz="4" w:space="0" w:color="auto"/>
              <w:right w:val="single" w:sz="4" w:space="0" w:color="auto"/>
            </w:tcBorders>
            <w:hideMark/>
          </w:tcPr>
          <w:p w14:paraId="4944F954" w14:textId="77777777" w:rsidR="008B2AE5" w:rsidRPr="008B2AE5" w:rsidRDefault="008B2AE5" w:rsidP="00520598">
            <w:pPr>
              <w:jc w:val="center"/>
              <w:rPr>
                <w:sz w:val="24"/>
                <w:szCs w:val="24"/>
                <w:lang w:val="en-US"/>
              </w:rPr>
            </w:pPr>
            <w:r w:rsidRPr="008B2AE5">
              <w:rPr>
                <w:sz w:val="24"/>
                <w:szCs w:val="24"/>
                <w:lang w:val="en-US"/>
              </w:rPr>
              <w:t>292 (77,7 %)</w:t>
            </w:r>
          </w:p>
        </w:tc>
      </w:tr>
      <w:tr w:rsidR="008B2AE5" w:rsidRPr="008B2AE5" w14:paraId="45FA55D9" w14:textId="77777777" w:rsidTr="00B42DE5">
        <w:tc>
          <w:tcPr>
            <w:tcW w:w="1905" w:type="pct"/>
            <w:tcBorders>
              <w:top w:val="single" w:sz="4" w:space="0" w:color="auto"/>
              <w:left w:val="single" w:sz="4" w:space="0" w:color="auto"/>
              <w:bottom w:val="single" w:sz="4" w:space="0" w:color="auto"/>
              <w:right w:val="single" w:sz="4" w:space="0" w:color="auto"/>
            </w:tcBorders>
            <w:hideMark/>
          </w:tcPr>
          <w:p w14:paraId="723719C6" w14:textId="77777777" w:rsidR="008B2AE5" w:rsidRPr="008B2AE5" w:rsidRDefault="008B2AE5" w:rsidP="00B42DE5">
            <w:pPr>
              <w:rPr>
                <w:b/>
                <w:sz w:val="24"/>
                <w:szCs w:val="24"/>
                <w:lang w:val="en-US"/>
              </w:rPr>
            </w:pPr>
            <w:proofErr w:type="spellStart"/>
            <w:r w:rsidRPr="008B2AE5">
              <w:rPr>
                <w:b/>
                <w:sz w:val="24"/>
                <w:szCs w:val="24"/>
                <w:lang w:val="en-US"/>
              </w:rPr>
              <w:t>Svær</w:t>
            </w:r>
            <w:proofErr w:type="spellEnd"/>
          </w:p>
        </w:tc>
        <w:tc>
          <w:tcPr>
            <w:tcW w:w="1032" w:type="pct"/>
            <w:tcBorders>
              <w:top w:val="single" w:sz="4" w:space="0" w:color="auto"/>
              <w:left w:val="single" w:sz="4" w:space="0" w:color="auto"/>
              <w:bottom w:val="single" w:sz="4" w:space="0" w:color="auto"/>
              <w:right w:val="single" w:sz="4" w:space="0" w:color="auto"/>
            </w:tcBorders>
            <w:hideMark/>
          </w:tcPr>
          <w:p w14:paraId="46E4B358" w14:textId="77777777" w:rsidR="008B2AE5" w:rsidRPr="008B2AE5" w:rsidRDefault="008B2AE5" w:rsidP="00520598">
            <w:pPr>
              <w:jc w:val="center"/>
              <w:rPr>
                <w:sz w:val="24"/>
                <w:szCs w:val="24"/>
                <w:lang w:val="en-US"/>
              </w:rPr>
            </w:pPr>
            <w:r w:rsidRPr="008B2AE5">
              <w:rPr>
                <w:sz w:val="24"/>
                <w:szCs w:val="24"/>
                <w:lang w:val="en-US"/>
              </w:rPr>
              <w:t>42 (9,9 %)</w:t>
            </w:r>
          </w:p>
        </w:tc>
        <w:tc>
          <w:tcPr>
            <w:tcW w:w="1032" w:type="pct"/>
            <w:tcBorders>
              <w:top w:val="single" w:sz="4" w:space="0" w:color="auto"/>
              <w:left w:val="single" w:sz="4" w:space="0" w:color="auto"/>
              <w:bottom w:val="single" w:sz="4" w:space="0" w:color="auto"/>
              <w:right w:val="single" w:sz="4" w:space="0" w:color="auto"/>
            </w:tcBorders>
            <w:hideMark/>
          </w:tcPr>
          <w:p w14:paraId="4EC11EE5" w14:textId="77777777" w:rsidR="008B2AE5" w:rsidRPr="008B2AE5" w:rsidRDefault="008B2AE5" w:rsidP="00520598">
            <w:pPr>
              <w:jc w:val="center"/>
              <w:rPr>
                <w:sz w:val="24"/>
                <w:szCs w:val="24"/>
                <w:lang w:val="en-US"/>
              </w:rPr>
            </w:pPr>
            <w:r w:rsidRPr="008B2AE5">
              <w:rPr>
                <w:sz w:val="24"/>
                <w:szCs w:val="24"/>
                <w:lang w:val="en-US"/>
              </w:rPr>
              <w:t>31 (10,3 %)</w:t>
            </w:r>
          </w:p>
        </w:tc>
        <w:tc>
          <w:tcPr>
            <w:tcW w:w="1032" w:type="pct"/>
            <w:tcBorders>
              <w:top w:val="single" w:sz="4" w:space="0" w:color="auto"/>
              <w:left w:val="single" w:sz="4" w:space="0" w:color="auto"/>
              <w:bottom w:val="single" w:sz="4" w:space="0" w:color="auto"/>
              <w:right w:val="single" w:sz="4" w:space="0" w:color="auto"/>
            </w:tcBorders>
            <w:hideMark/>
          </w:tcPr>
          <w:p w14:paraId="61CB0E8E" w14:textId="77777777" w:rsidR="008B2AE5" w:rsidRPr="008B2AE5" w:rsidRDefault="008B2AE5" w:rsidP="00520598">
            <w:pPr>
              <w:jc w:val="center"/>
              <w:rPr>
                <w:sz w:val="24"/>
                <w:szCs w:val="24"/>
                <w:lang w:val="en-US"/>
              </w:rPr>
            </w:pPr>
            <w:r w:rsidRPr="008B2AE5">
              <w:rPr>
                <w:sz w:val="24"/>
                <w:szCs w:val="24"/>
                <w:lang w:val="en-US"/>
              </w:rPr>
              <w:t>21 (5,6 %)</w:t>
            </w:r>
          </w:p>
        </w:tc>
      </w:tr>
      <w:tr w:rsidR="008B2AE5" w:rsidRPr="008B2AE5" w14:paraId="11F96CEF" w14:textId="77777777" w:rsidTr="00B42DE5">
        <w:tc>
          <w:tcPr>
            <w:tcW w:w="1905" w:type="pct"/>
            <w:tcBorders>
              <w:top w:val="single" w:sz="4" w:space="0" w:color="auto"/>
              <w:left w:val="single" w:sz="4" w:space="0" w:color="auto"/>
              <w:bottom w:val="single" w:sz="4" w:space="0" w:color="auto"/>
              <w:right w:val="single" w:sz="4" w:space="0" w:color="auto"/>
            </w:tcBorders>
            <w:hideMark/>
          </w:tcPr>
          <w:p w14:paraId="2FBC2DC4" w14:textId="77777777" w:rsidR="008B2AE5" w:rsidRPr="008B2AE5" w:rsidRDefault="008B2AE5" w:rsidP="00B42DE5">
            <w:pPr>
              <w:rPr>
                <w:b/>
                <w:sz w:val="24"/>
                <w:szCs w:val="24"/>
                <w:lang w:val="en-US"/>
              </w:rPr>
            </w:pPr>
            <w:proofErr w:type="spellStart"/>
            <w:r w:rsidRPr="008B2AE5">
              <w:rPr>
                <w:b/>
                <w:sz w:val="24"/>
                <w:szCs w:val="24"/>
                <w:lang w:val="en-US"/>
              </w:rPr>
              <w:t>Middelværdi</w:t>
            </w:r>
            <w:proofErr w:type="spellEnd"/>
            <w:r w:rsidRPr="008B2AE5">
              <w:rPr>
                <w:b/>
                <w:sz w:val="24"/>
                <w:szCs w:val="24"/>
                <w:lang w:val="en-US"/>
              </w:rPr>
              <w:t xml:space="preserve"> BSA (interval)</w:t>
            </w:r>
          </w:p>
        </w:tc>
        <w:tc>
          <w:tcPr>
            <w:tcW w:w="1032" w:type="pct"/>
            <w:tcBorders>
              <w:top w:val="single" w:sz="4" w:space="0" w:color="auto"/>
              <w:left w:val="single" w:sz="4" w:space="0" w:color="auto"/>
              <w:bottom w:val="single" w:sz="4" w:space="0" w:color="auto"/>
              <w:right w:val="single" w:sz="4" w:space="0" w:color="auto"/>
            </w:tcBorders>
            <w:hideMark/>
          </w:tcPr>
          <w:p w14:paraId="61347A10" w14:textId="77777777" w:rsidR="008B2AE5" w:rsidRPr="008B2AE5" w:rsidRDefault="008B2AE5" w:rsidP="00520598">
            <w:pPr>
              <w:jc w:val="center"/>
              <w:rPr>
                <w:sz w:val="24"/>
                <w:szCs w:val="24"/>
                <w:lang w:val="en-US"/>
              </w:rPr>
            </w:pPr>
            <w:r w:rsidRPr="008B2AE5">
              <w:rPr>
                <w:sz w:val="24"/>
                <w:szCs w:val="24"/>
                <w:lang w:val="en-US"/>
              </w:rPr>
              <w:t>7,5 % (2</w:t>
            </w:r>
            <w:r w:rsidRPr="008B2AE5">
              <w:rPr>
                <w:sz w:val="24"/>
                <w:szCs w:val="24"/>
                <w:lang w:val="en-US"/>
              </w:rPr>
              <w:noBreakHyphen/>
              <w:t>30 %)</w:t>
            </w:r>
          </w:p>
        </w:tc>
        <w:tc>
          <w:tcPr>
            <w:tcW w:w="1032" w:type="pct"/>
            <w:tcBorders>
              <w:top w:val="single" w:sz="4" w:space="0" w:color="auto"/>
              <w:left w:val="single" w:sz="4" w:space="0" w:color="auto"/>
              <w:bottom w:val="single" w:sz="4" w:space="0" w:color="auto"/>
              <w:right w:val="single" w:sz="4" w:space="0" w:color="auto"/>
            </w:tcBorders>
            <w:hideMark/>
          </w:tcPr>
          <w:p w14:paraId="353BAB0E" w14:textId="77777777" w:rsidR="008B2AE5" w:rsidRPr="008B2AE5" w:rsidRDefault="008B2AE5" w:rsidP="00520598">
            <w:pPr>
              <w:jc w:val="center"/>
              <w:rPr>
                <w:sz w:val="24"/>
                <w:szCs w:val="24"/>
                <w:lang w:val="en-US"/>
              </w:rPr>
            </w:pPr>
            <w:r w:rsidRPr="008B2AE5">
              <w:rPr>
                <w:sz w:val="24"/>
                <w:szCs w:val="24"/>
                <w:lang w:val="en-US"/>
              </w:rPr>
              <w:t>7,1 % (2</w:t>
            </w:r>
            <w:r w:rsidRPr="008B2AE5">
              <w:rPr>
                <w:sz w:val="24"/>
                <w:szCs w:val="24"/>
                <w:lang w:val="en-US"/>
              </w:rPr>
              <w:noBreakHyphen/>
              <w:t>28 %)</w:t>
            </w:r>
          </w:p>
        </w:tc>
        <w:tc>
          <w:tcPr>
            <w:tcW w:w="1032" w:type="pct"/>
            <w:tcBorders>
              <w:top w:val="single" w:sz="4" w:space="0" w:color="auto"/>
              <w:left w:val="single" w:sz="4" w:space="0" w:color="auto"/>
              <w:bottom w:val="single" w:sz="4" w:space="0" w:color="auto"/>
              <w:right w:val="single" w:sz="4" w:space="0" w:color="auto"/>
            </w:tcBorders>
            <w:hideMark/>
          </w:tcPr>
          <w:p w14:paraId="4D1DF97F" w14:textId="77777777" w:rsidR="008B2AE5" w:rsidRPr="008B2AE5" w:rsidRDefault="008B2AE5" w:rsidP="00520598">
            <w:pPr>
              <w:jc w:val="center"/>
              <w:rPr>
                <w:sz w:val="24"/>
                <w:szCs w:val="24"/>
                <w:lang w:val="en-US"/>
              </w:rPr>
            </w:pPr>
            <w:r w:rsidRPr="008B2AE5">
              <w:rPr>
                <w:sz w:val="24"/>
                <w:szCs w:val="24"/>
                <w:lang w:val="en-US"/>
              </w:rPr>
              <w:t>7,5 % (2</w:t>
            </w:r>
            <w:r w:rsidRPr="008B2AE5">
              <w:rPr>
                <w:sz w:val="24"/>
                <w:szCs w:val="24"/>
                <w:lang w:val="en-US"/>
              </w:rPr>
              <w:noBreakHyphen/>
              <w:t>30 %)</w:t>
            </w:r>
          </w:p>
        </w:tc>
      </w:tr>
      <w:tr w:rsidR="008B2AE5" w:rsidRPr="008B2AE5" w14:paraId="1207A60A" w14:textId="77777777" w:rsidTr="00B42DE5">
        <w:tc>
          <w:tcPr>
            <w:tcW w:w="1905" w:type="pct"/>
            <w:tcBorders>
              <w:top w:val="single" w:sz="4" w:space="0" w:color="auto"/>
              <w:left w:val="single" w:sz="4" w:space="0" w:color="auto"/>
              <w:bottom w:val="single" w:sz="4" w:space="0" w:color="auto"/>
              <w:right w:val="single" w:sz="4" w:space="0" w:color="auto"/>
            </w:tcBorders>
            <w:hideMark/>
          </w:tcPr>
          <w:p w14:paraId="28D4C09A" w14:textId="77777777" w:rsidR="008B2AE5" w:rsidRPr="008B2AE5" w:rsidRDefault="008B2AE5" w:rsidP="00B42DE5">
            <w:pPr>
              <w:rPr>
                <w:b/>
                <w:sz w:val="24"/>
                <w:szCs w:val="24"/>
                <w:lang w:val="en-US"/>
              </w:rPr>
            </w:pPr>
            <w:proofErr w:type="spellStart"/>
            <w:r w:rsidRPr="008B2AE5">
              <w:rPr>
                <w:b/>
                <w:sz w:val="24"/>
                <w:szCs w:val="24"/>
                <w:lang w:val="en-US"/>
              </w:rPr>
              <w:t>Middelværdi</w:t>
            </w:r>
            <w:proofErr w:type="spellEnd"/>
            <w:r w:rsidRPr="008B2AE5">
              <w:rPr>
                <w:b/>
                <w:sz w:val="24"/>
                <w:szCs w:val="24"/>
                <w:lang w:val="en-US"/>
              </w:rPr>
              <w:t xml:space="preserve"> m</w:t>
            </w:r>
            <w:r w:rsidRPr="008B2AE5">
              <w:rPr>
                <w:b/>
                <w:sz w:val="24"/>
                <w:szCs w:val="24"/>
                <w:lang w:val="en-US"/>
              </w:rPr>
              <w:noBreakHyphen/>
              <w:t>PASI (interval)</w:t>
            </w:r>
          </w:p>
        </w:tc>
        <w:tc>
          <w:tcPr>
            <w:tcW w:w="1032" w:type="pct"/>
            <w:tcBorders>
              <w:top w:val="single" w:sz="4" w:space="0" w:color="auto"/>
              <w:left w:val="single" w:sz="4" w:space="0" w:color="auto"/>
              <w:bottom w:val="single" w:sz="4" w:space="0" w:color="auto"/>
              <w:right w:val="single" w:sz="4" w:space="0" w:color="auto"/>
            </w:tcBorders>
            <w:hideMark/>
          </w:tcPr>
          <w:p w14:paraId="04ED9B22" w14:textId="77777777" w:rsidR="008B2AE5" w:rsidRPr="008B2AE5" w:rsidRDefault="008B2AE5" w:rsidP="00520598">
            <w:pPr>
              <w:jc w:val="center"/>
              <w:rPr>
                <w:sz w:val="24"/>
                <w:szCs w:val="24"/>
                <w:lang w:val="en-US"/>
              </w:rPr>
            </w:pPr>
            <w:r w:rsidRPr="008B2AE5">
              <w:rPr>
                <w:sz w:val="24"/>
                <w:szCs w:val="24"/>
                <w:lang w:val="en-US"/>
              </w:rPr>
              <w:t>7,5 (2,0</w:t>
            </w:r>
            <w:r w:rsidRPr="008B2AE5">
              <w:rPr>
                <w:sz w:val="24"/>
                <w:szCs w:val="24"/>
                <w:lang w:val="en-US"/>
              </w:rPr>
              <w:noBreakHyphen/>
              <w:t>47,0)</w:t>
            </w:r>
          </w:p>
        </w:tc>
        <w:tc>
          <w:tcPr>
            <w:tcW w:w="1032" w:type="pct"/>
            <w:tcBorders>
              <w:top w:val="single" w:sz="4" w:space="0" w:color="auto"/>
              <w:left w:val="single" w:sz="4" w:space="0" w:color="auto"/>
              <w:bottom w:val="single" w:sz="4" w:space="0" w:color="auto"/>
              <w:right w:val="single" w:sz="4" w:space="0" w:color="auto"/>
            </w:tcBorders>
            <w:hideMark/>
          </w:tcPr>
          <w:p w14:paraId="2A6509E5" w14:textId="77777777" w:rsidR="008B2AE5" w:rsidRPr="008B2AE5" w:rsidRDefault="008B2AE5" w:rsidP="00520598">
            <w:pPr>
              <w:jc w:val="center"/>
              <w:rPr>
                <w:sz w:val="24"/>
                <w:szCs w:val="24"/>
                <w:lang w:val="en-US"/>
              </w:rPr>
            </w:pPr>
            <w:r w:rsidRPr="008B2AE5">
              <w:rPr>
                <w:sz w:val="24"/>
                <w:szCs w:val="24"/>
                <w:lang w:val="en-US"/>
              </w:rPr>
              <w:t>7,6 (2,0</w:t>
            </w:r>
            <w:r w:rsidRPr="008B2AE5">
              <w:rPr>
                <w:sz w:val="24"/>
                <w:szCs w:val="24"/>
                <w:lang w:val="en-US"/>
              </w:rPr>
              <w:noBreakHyphen/>
              <w:t>28,0)</w:t>
            </w:r>
          </w:p>
        </w:tc>
        <w:tc>
          <w:tcPr>
            <w:tcW w:w="1032" w:type="pct"/>
            <w:tcBorders>
              <w:top w:val="single" w:sz="4" w:space="0" w:color="auto"/>
              <w:left w:val="single" w:sz="4" w:space="0" w:color="auto"/>
              <w:bottom w:val="single" w:sz="4" w:space="0" w:color="auto"/>
              <w:right w:val="single" w:sz="4" w:space="0" w:color="auto"/>
            </w:tcBorders>
            <w:hideMark/>
          </w:tcPr>
          <w:p w14:paraId="013965EB" w14:textId="77777777" w:rsidR="008B2AE5" w:rsidRPr="008B2AE5" w:rsidRDefault="008B2AE5" w:rsidP="00520598">
            <w:pPr>
              <w:jc w:val="center"/>
              <w:rPr>
                <w:sz w:val="24"/>
                <w:szCs w:val="24"/>
                <w:lang w:val="en-US"/>
              </w:rPr>
            </w:pPr>
            <w:r w:rsidRPr="008B2AE5">
              <w:rPr>
                <w:sz w:val="24"/>
                <w:szCs w:val="24"/>
                <w:lang w:val="en-US"/>
              </w:rPr>
              <w:t>6,8 (2,0</w:t>
            </w:r>
            <w:r w:rsidRPr="008B2AE5">
              <w:rPr>
                <w:sz w:val="24"/>
                <w:szCs w:val="24"/>
                <w:lang w:val="en-US"/>
              </w:rPr>
              <w:noBreakHyphen/>
              <w:t>22,6)</w:t>
            </w:r>
          </w:p>
        </w:tc>
      </w:tr>
    </w:tbl>
    <w:p w14:paraId="4A7993EB" w14:textId="77777777" w:rsidR="008B2AE5" w:rsidRPr="008B2AE5" w:rsidRDefault="008B2AE5" w:rsidP="008B2AE5">
      <w:pPr>
        <w:tabs>
          <w:tab w:val="left" w:pos="851"/>
        </w:tabs>
        <w:ind w:left="851"/>
        <w:rPr>
          <w:sz w:val="24"/>
          <w:szCs w:val="24"/>
        </w:rPr>
      </w:pPr>
    </w:p>
    <w:p w14:paraId="352C6BE3" w14:textId="77777777" w:rsidR="008B2AE5" w:rsidRPr="008B2AE5" w:rsidRDefault="008B2AE5" w:rsidP="00282CB9">
      <w:pPr>
        <w:rPr>
          <w:b/>
          <w:bCs/>
          <w:sz w:val="24"/>
          <w:szCs w:val="24"/>
        </w:rPr>
      </w:pPr>
      <w:r w:rsidRPr="008B2AE5">
        <w:rPr>
          <w:b/>
          <w:bCs/>
          <w:sz w:val="24"/>
          <w:szCs w:val="24"/>
        </w:rPr>
        <w:t>Procentdel af forsøgspersoner med ”behandlingssucces” i henhold til PGA af kroppen ved uge 4</w:t>
      </w:r>
    </w:p>
    <w:p w14:paraId="0433A69B" w14:textId="77777777" w:rsidR="008B2AE5" w:rsidRPr="008B2AE5" w:rsidRDefault="008B2AE5" w:rsidP="008B2AE5">
      <w:pPr>
        <w:tabs>
          <w:tab w:val="left" w:pos="851"/>
        </w:tabs>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3"/>
        <w:gridCol w:w="1806"/>
        <w:gridCol w:w="1290"/>
        <w:gridCol w:w="1300"/>
        <w:gridCol w:w="1600"/>
        <w:gridCol w:w="1300"/>
        <w:gridCol w:w="1159"/>
      </w:tblGrid>
      <w:tr w:rsidR="008B2AE5" w:rsidRPr="008B2AE5" w14:paraId="2678A5D0" w14:textId="77777777" w:rsidTr="00B42DE5">
        <w:tc>
          <w:tcPr>
            <w:tcW w:w="609" w:type="pct"/>
            <w:tcBorders>
              <w:top w:val="single" w:sz="4" w:space="0" w:color="000000"/>
              <w:left w:val="single" w:sz="4" w:space="0" w:color="000000"/>
              <w:bottom w:val="single" w:sz="4" w:space="0" w:color="000000"/>
              <w:right w:val="single" w:sz="4" w:space="0" w:color="000000"/>
            </w:tcBorders>
          </w:tcPr>
          <w:p w14:paraId="4C8B3231" w14:textId="77777777" w:rsidR="008B2AE5" w:rsidRPr="008B2AE5" w:rsidRDefault="008B2AE5" w:rsidP="00B42DE5">
            <w:pPr>
              <w:ind w:left="32"/>
              <w:rPr>
                <w:b/>
                <w:sz w:val="24"/>
                <w:szCs w:val="24"/>
              </w:rPr>
            </w:pPr>
          </w:p>
        </w:tc>
        <w:tc>
          <w:tcPr>
            <w:tcW w:w="938" w:type="pct"/>
            <w:tcBorders>
              <w:top w:val="single" w:sz="4" w:space="0" w:color="000000"/>
              <w:left w:val="single" w:sz="4" w:space="0" w:color="000000"/>
              <w:bottom w:val="single" w:sz="4" w:space="0" w:color="000000"/>
              <w:right w:val="single" w:sz="4" w:space="0" w:color="000000"/>
            </w:tcBorders>
            <w:hideMark/>
          </w:tcPr>
          <w:p w14:paraId="13117040" w14:textId="77777777" w:rsidR="008B2AE5" w:rsidRPr="008B2AE5" w:rsidRDefault="008B2AE5" w:rsidP="00520598">
            <w:pPr>
              <w:ind w:left="32"/>
              <w:jc w:val="center"/>
              <w:rPr>
                <w:b/>
                <w:sz w:val="24"/>
                <w:szCs w:val="24"/>
                <w:lang w:val="en-GB"/>
              </w:rPr>
            </w:pPr>
            <w:r w:rsidRPr="008B2AE5">
              <w:rPr>
                <w:b/>
                <w:sz w:val="24"/>
                <w:szCs w:val="24"/>
                <w:lang w:val="en-GB"/>
              </w:rPr>
              <w:t xml:space="preserve">Calcipotriol/ </w:t>
            </w:r>
            <w:proofErr w:type="spellStart"/>
            <w:r w:rsidRPr="008B2AE5">
              <w:rPr>
                <w:b/>
                <w:sz w:val="24"/>
                <w:szCs w:val="24"/>
                <w:lang w:val="en-GB"/>
              </w:rPr>
              <w:t>betamethason</w:t>
            </w:r>
            <w:proofErr w:type="spellEnd"/>
            <w:r w:rsidRPr="008B2AE5">
              <w:rPr>
                <w:b/>
                <w:sz w:val="24"/>
                <w:szCs w:val="24"/>
                <w:lang w:val="en-GB"/>
              </w:rPr>
              <w:t xml:space="preserve"> </w:t>
            </w:r>
            <w:proofErr w:type="spellStart"/>
            <w:r w:rsidRPr="008B2AE5">
              <w:rPr>
                <w:b/>
                <w:sz w:val="24"/>
                <w:szCs w:val="24"/>
                <w:lang w:val="en-GB"/>
              </w:rPr>
              <w:t>skum</w:t>
            </w:r>
            <w:proofErr w:type="spellEnd"/>
          </w:p>
        </w:tc>
        <w:tc>
          <w:tcPr>
            <w:tcW w:w="670" w:type="pct"/>
            <w:tcBorders>
              <w:top w:val="single" w:sz="4" w:space="0" w:color="000000"/>
              <w:left w:val="single" w:sz="4" w:space="0" w:color="000000"/>
              <w:bottom w:val="single" w:sz="4" w:space="0" w:color="000000"/>
              <w:right w:val="single" w:sz="4" w:space="0" w:color="000000"/>
            </w:tcBorders>
            <w:hideMark/>
          </w:tcPr>
          <w:p w14:paraId="1F0BF0B0" w14:textId="77777777" w:rsidR="008B2AE5" w:rsidRPr="008B2AE5" w:rsidRDefault="008B2AE5" w:rsidP="00520598">
            <w:pPr>
              <w:ind w:left="32"/>
              <w:jc w:val="center"/>
              <w:rPr>
                <w:b/>
                <w:sz w:val="24"/>
                <w:szCs w:val="24"/>
                <w:lang w:val="en-GB"/>
              </w:rPr>
            </w:pPr>
            <w:proofErr w:type="spellStart"/>
            <w:r w:rsidRPr="008B2AE5">
              <w:rPr>
                <w:b/>
                <w:sz w:val="24"/>
                <w:szCs w:val="24"/>
                <w:lang w:val="en-GB"/>
              </w:rPr>
              <w:t>Skum-vehikel</w:t>
            </w:r>
            <w:proofErr w:type="spellEnd"/>
          </w:p>
        </w:tc>
        <w:tc>
          <w:tcPr>
            <w:tcW w:w="675" w:type="pct"/>
            <w:tcBorders>
              <w:top w:val="single" w:sz="4" w:space="0" w:color="000000"/>
              <w:left w:val="single" w:sz="4" w:space="0" w:color="000000"/>
              <w:bottom w:val="single" w:sz="4" w:space="0" w:color="000000"/>
              <w:right w:val="single" w:sz="4" w:space="0" w:color="000000"/>
            </w:tcBorders>
            <w:hideMark/>
          </w:tcPr>
          <w:p w14:paraId="281D5493" w14:textId="77777777" w:rsidR="008B2AE5" w:rsidRPr="008B2AE5" w:rsidRDefault="008B2AE5" w:rsidP="00520598">
            <w:pPr>
              <w:ind w:left="32"/>
              <w:jc w:val="center"/>
              <w:rPr>
                <w:b/>
                <w:sz w:val="24"/>
                <w:szCs w:val="24"/>
                <w:lang w:val="en-GB"/>
              </w:rPr>
            </w:pPr>
            <w:r w:rsidRPr="008B2AE5">
              <w:rPr>
                <w:b/>
                <w:sz w:val="24"/>
                <w:szCs w:val="24"/>
                <w:lang w:val="en-GB"/>
              </w:rPr>
              <w:t xml:space="preserve">BDP i </w:t>
            </w:r>
            <w:proofErr w:type="spellStart"/>
            <w:r w:rsidRPr="008B2AE5">
              <w:rPr>
                <w:b/>
                <w:sz w:val="24"/>
                <w:szCs w:val="24"/>
                <w:lang w:val="en-GB"/>
              </w:rPr>
              <w:t>skum-vehikel</w:t>
            </w:r>
            <w:proofErr w:type="spellEnd"/>
          </w:p>
        </w:tc>
        <w:tc>
          <w:tcPr>
            <w:tcW w:w="831" w:type="pct"/>
            <w:tcBorders>
              <w:top w:val="single" w:sz="4" w:space="0" w:color="000000"/>
              <w:left w:val="single" w:sz="4" w:space="0" w:color="000000"/>
              <w:bottom w:val="single" w:sz="4" w:space="0" w:color="000000"/>
              <w:right w:val="single" w:sz="4" w:space="0" w:color="000000"/>
            </w:tcBorders>
            <w:hideMark/>
          </w:tcPr>
          <w:p w14:paraId="08424D91" w14:textId="77777777" w:rsidR="008B2AE5" w:rsidRPr="008B2AE5" w:rsidRDefault="008B2AE5" w:rsidP="00520598">
            <w:pPr>
              <w:ind w:left="32"/>
              <w:jc w:val="center"/>
              <w:rPr>
                <w:b/>
                <w:sz w:val="24"/>
                <w:szCs w:val="24"/>
                <w:lang w:val="en-GB"/>
              </w:rPr>
            </w:pPr>
            <w:r w:rsidRPr="008B2AE5">
              <w:rPr>
                <w:b/>
                <w:sz w:val="24"/>
                <w:szCs w:val="24"/>
                <w:lang w:val="en-GB"/>
              </w:rPr>
              <w:t xml:space="preserve">Calcipotriol i </w:t>
            </w:r>
            <w:proofErr w:type="spellStart"/>
            <w:r w:rsidRPr="008B2AE5">
              <w:rPr>
                <w:b/>
                <w:sz w:val="24"/>
                <w:szCs w:val="24"/>
                <w:lang w:val="en-GB"/>
              </w:rPr>
              <w:t>skum-vehikel</w:t>
            </w:r>
            <w:proofErr w:type="spellEnd"/>
          </w:p>
        </w:tc>
        <w:tc>
          <w:tcPr>
            <w:tcW w:w="675" w:type="pct"/>
            <w:tcBorders>
              <w:top w:val="single" w:sz="4" w:space="0" w:color="000000"/>
              <w:left w:val="single" w:sz="4" w:space="0" w:color="000000"/>
              <w:bottom w:val="single" w:sz="4" w:space="0" w:color="000000"/>
              <w:right w:val="single" w:sz="4" w:space="0" w:color="000000"/>
            </w:tcBorders>
            <w:hideMark/>
          </w:tcPr>
          <w:p w14:paraId="72A6760F" w14:textId="77777777" w:rsidR="008B2AE5" w:rsidRPr="008B2AE5" w:rsidRDefault="008B2AE5" w:rsidP="00520598">
            <w:pPr>
              <w:ind w:left="32"/>
              <w:jc w:val="center"/>
              <w:rPr>
                <w:b/>
                <w:sz w:val="24"/>
                <w:szCs w:val="24"/>
                <w:lang w:val="en-GB"/>
              </w:rPr>
            </w:pPr>
            <w:proofErr w:type="spellStart"/>
            <w:r w:rsidRPr="008B2AE5">
              <w:rPr>
                <w:b/>
                <w:sz w:val="24"/>
                <w:szCs w:val="24"/>
                <w:lang w:val="en-GB"/>
              </w:rPr>
              <w:t>Daivobet</w:t>
            </w:r>
            <w:proofErr w:type="spellEnd"/>
            <w:r w:rsidRPr="008B2AE5">
              <w:rPr>
                <w:b/>
                <w:sz w:val="24"/>
                <w:szCs w:val="24"/>
                <w:lang w:val="en-GB"/>
              </w:rPr>
              <w:t xml:space="preserve"> salve</w:t>
            </w:r>
          </w:p>
        </w:tc>
        <w:tc>
          <w:tcPr>
            <w:tcW w:w="603" w:type="pct"/>
            <w:tcBorders>
              <w:top w:val="single" w:sz="4" w:space="0" w:color="000000"/>
              <w:left w:val="single" w:sz="4" w:space="0" w:color="000000"/>
              <w:bottom w:val="single" w:sz="4" w:space="0" w:color="000000"/>
              <w:right w:val="single" w:sz="4" w:space="0" w:color="000000"/>
            </w:tcBorders>
            <w:hideMark/>
          </w:tcPr>
          <w:p w14:paraId="770C1B1A" w14:textId="77777777" w:rsidR="008B2AE5" w:rsidRPr="008B2AE5" w:rsidRDefault="008B2AE5" w:rsidP="00520598">
            <w:pPr>
              <w:ind w:left="32"/>
              <w:jc w:val="center"/>
              <w:rPr>
                <w:b/>
                <w:sz w:val="24"/>
                <w:szCs w:val="24"/>
                <w:lang w:val="en-GB"/>
              </w:rPr>
            </w:pPr>
            <w:r w:rsidRPr="008B2AE5">
              <w:rPr>
                <w:b/>
                <w:sz w:val="24"/>
                <w:szCs w:val="24"/>
                <w:lang w:val="en-GB"/>
              </w:rPr>
              <w:t>Salve-</w:t>
            </w:r>
            <w:proofErr w:type="spellStart"/>
            <w:r w:rsidRPr="008B2AE5">
              <w:rPr>
                <w:b/>
                <w:sz w:val="24"/>
                <w:szCs w:val="24"/>
                <w:lang w:val="en-GB"/>
              </w:rPr>
              <w:t>vehikel</w:t>
            </w:r>
            <w:proofErr w:type="spellEnd"/>
          </w:p>
        </w:tc>
      </w:tr>
      <w:tr w:rsidR="008B2AE5" w:rsidRPr="008B2AE5" w14:paraId="0DC4273D" w14:textId="77777777" w:rsidTr="00B42DE5">
        <w:tc>
          <w:tcPr>
            <w:tcW w:w="609" w:type="pct"/>
            <w:tcBorders>
              <w:top w:val="single" w:sz="4" w:space="0" w:color="000000"/>
              <w:left w:val="single" w:sz="4" w:space="0" w:color="000000"/>
              <w:bottom w:val="single" w:sz="4" w:space="0" w:color="000000"/>
              <w:right w:val="single" w:sz="4" w:space="0" w:color="000000"/>
            </w:tcBorders>
            <w:hideMark/>
          </w:tcPr>
          <w:p w14:paraId="7D7DEFA8" w14:textId="77777777" w:rsidR="008B2AE5" w:rsidRPr="008B2AE5" w:rsidRDefault="008B2AE5" w:rsidP="00B42DE5">
            <w:pPr>
              <w:ind w:left="32"/>
              <w:rPr>
                <w:b/>
                <w:sz w:val="24"/>
                <w:szCs w:val="24"/>
                <w:lang w:val="en-GB"/>
              </w:rPr>
            </w:pPr>
            <w:r w:rsidRPr="008B2AE5">
              <w:rPr>
                <w:b/>
                <w:sz w:val="24"/>
                <w:szCs w:val="24"/>
                <w:lang w:val="en-GB"/>
              </w:rPr>
              <w:t>Studie 1</w:t>
            </w:r>
          </w:p>
        </w:tc>
        <w:tc>
          <w:tcPr>
            <w:tcW w:w="938" w:type="pct"/>
            <w:tcBorders>
              <w:top w:val="single" w:sz="4" w:space="0" w:color="000000"/>
              <w:left w:val="single" w:sz="4" w:space="0" w:color="000000"/>
              <w:bottom w:val="single" w:sz="4" w:space="0" w:color="000000"/>
              <w:right w:val="single" w:sz="4" w:space="0" w:color="000000"/>
            </w:tcBorders>
            <w:hideMark/>
          </w:tcPr>
          <w:p w14:paraId="635FEABA" w14:textId="77777777" w:rsidR="008B2AE5" w:rsidRPr="008B2AE5" w:rsidRDefault="008B2AE5" w:rsidP="00520598">
            <w:pPr>
              <w:ind w:left="32"/>
              <w:jc w:val="center"/>
              <w:rPr>
                <w:sz w:val="24"/>
                <w:szCs w:val="24"/>
                <w:lang w:val="en-GB"/>
              </w:rPr>
            </w:pPr>
            <w:r w:rsidRPr="008B2AE5">
              <w:rPr>
                <w:sz w:val="24"/>
                <w:szCs w:val="24"/>
                <w:lang w:val="en-GB"/>
              </w:rPr>
              <w:t>(N = 323)</w:t>
            </w:r>
          </w:p>
          <w:p w14:paraId="71BCD495" w14:textId="77777777" w:rsidR="008B2AE5" w:rsidRPr="008B2AE5" w:rsidRDefault="008B2AE5" w:rsidP="00520598">
            <w:pPr>
              <w:ind w:left="32"/>
              <w:jc w:val="center"/>
              <w:rPr>
                <w:sz w:val="24"/>
                <w:szCs w:val="24"/>
                <w:lang w:val="en-GB"/>
              </w:rPr>
            </w:pPr>
            <w:r w:rsidRPr="008B2AE5">
              <w:rPr>
                <w:sz w:val="24"/>
                <w:szCs w:val="24"/>
                <w:lang w:val="en-GB"/>
              </w:rPr>
              <w:t>53,3 %</w:t>
            </w:r>
          </w:p>
        </w:tc>
        <w:tc>
          <w:tcPr>
            <w:tcW w:w="670" w:type="pct"/>
            <w:tcBorders>
              <w:top w:val="single" w:sz="4" w:space="0" w:color="000000"/>
              <w:left w:val="single" w:sz="4" w:space="0" w:color="000000"/>
              <w:bottom w:val="single" w:sz="4" w:space="0" w:color="000000"/>
              <w:right w:val="single" w:sz="4" w:space="0" w:color="000000"/>
            </w:tcBorders>
            <w:hideMark/>
          </w:tcPr>
          <w:p w14:paraId="7434515C" w14:textId="77777777" w:rsidR="008B2AE5" w:rsidRPr="008B2AE5" w:rsidRDefault="008B2AE5" w:rsidP="00520598">
            <w:pPr>
              <w:ind w:left="32"/>
              <w:jc w:val="center"/>
              <w:rPr>
                <w:sz w:val="24"/>
                <w:szCs w:val="24"/>
                <w:lang w:val="en-GB"/>
              </w:rPr>
            </w:pPr>
            <w:r w:rsidRPr="008B2AE5">
              <w:rPr>
                <w:sz w:val="24"/>
                <w:szCs w:val="24"/>
                <w:lang w:val="en-GB"/>
              </w:rPr>
              <w:t>(N = 103)</w:t>
            </w:r>
          </w:p>
          <w:p w14:paraId="162232BB" w14:textId="77777777" w:rsidR="008B2AE5" w:rsidRPr="008B2AE5" w:rsidRDefault="008B2AE5" w:rsidP="00520598">
            <w:pPr>
              <w:ind w:left="32"/>
              <w:jc w:val="center"/>
              <w:rPr>
                <w:sz w:val="24"/>
                <w:szCs w:val="24"/>
                <w:lang w:val="en-GB"/>
              </w:rPr>
            </w:pPr>
            <w:r w:rsidRPr="008B2AE5">
              <w:rPr>
                <w:sz w:val="24"/>
                <w:szCs w:val="24"/>
                <w:lang w:val="en-GB"/>
              </w:rPr>
              <w:t>4,8 %</w:t>
            </w:r>
          </w:p>
        </w:tc>
        <w:tc>
          <w:tcPr>
            <w:tcW w:w="675" w:type="pct"/>
            <w:tcBorders>
              <w:top w:val="single" w:sz="4" w:space="0" w:color="000000"/>
              <w:left w:val="single" w:sz="4" w:space="0" w:color="000000"/>
              <w:bottom w:val="single" w:sz="4" w:space="0" w:color="000000"/>
              <w:right w:val="single" w:sz="4" w:space="0" w:color="000000"/>
            </w:tcBorders>
            <w:vAlign w:val="center"/>
            <w:hideMark/>
          </w:tcPr>
          <w:p w14:paraId="3900F099" w14:textId="77777777" w:rsidR="008B2AE5" w:rsidRPr="008B2AE5" w:rsidRDefault="008B2AE5" w:rsidP="00520598">
            <w:pPr>
              <w:ind w:left="32"/>
              <w:jc w:val="center"/>
              <w:rPr>
                <w:sz w:val="24"/>
                <w:szCs w:val="24"/>
                <w:lang w:val="en-GB"/>
              </w:rPr>
            </w:pPr>
            <w:r w:rsidRPr="008B2AE5">
              <w:rPr>
                <w:sz w:val="24"/>
                <w:szCs w:val="24"/>
                <w:lang w:val="en-GB"/>
              </w:rPr>
              <w:t>-</w:t>
            </w:r>
          </w:p>
        </w:tc>
        <w:tc>
          <w:tcPr>
            <w:tcW w:w="831" w:type="pct"/>
            <w:tcBorders>
              <w:top w:val="single" w:sz="4" w:space="0" w:color="000000"/>
              <w:left w:val="single" w:sz="4" w:space="0" w:color="000000"/>
              <w:bottom w:val="single" w:sz="4" w:space="0" w:color="000000"/>
              <w:right w:val="single" w:sz="4" w:space="0" w:color="000000"/>
            </w:tcBorders>
            <w:vAlign w:val="center"/>
            <w:hideMark/>
          </w:tcPr>
          <w:p w14:paraId="741AEE0D" w14:textId="77777777" w:rsidR="008B2AE5" w:rsidRPr="008B2AE5" w:rsidRDefault="008B2AE5" w:rsidP="00520598">
            <w:pPr>
              <w:ind w:left="32"/>
              <w:jc w:val="center"/>
              <w:rPr>
                <w:sz w:val="24"/>
                <w:szCs w:val="24"/>
                <w:lang w:val="en-GB"/>
              </w:rPr>
            </w:pPr>
            <w:r w:rsidRPr="008B2AE5">
              <w:rPr>
                <w:sz w:val="24"/>
                <w:szCs w:val="24"/>
                <w:lang w:val="en-GB"/>
              </w:rPr>
              <w:t>-</w:t>
            </w:r>
          </w:p>
        </w:tc>
        <w:tc>
          <w:tcPr>
            <w:tcW w:w="675" w:type="pct"/>
            <w:tcBorders>
              <w:top w:val="single" w:sz="4" w:space="0" w:color="000000"/>
              <w:left w:val="single" w:sz="4" w:space="0" w:color="000000"/>
              <w:bottom w:val="single" w:sz="4" w:space="0" w:color="000000"/>
              <w:right w:val="single" w:sz="4" w:space="0" w:color="000000"/>
            </w:tcBorders>
            <w:vAlign w:val="center"/>
            <w:hideMark/>
          </w:tcPr>
          <w:p w14:paraId="482B6C12" w14:textId="77777777" w:rsidR="008B2AE5" w:rsidRPr="008B2AE5" w:rsidRDefault="008B2AE5" w:rsidP="00520598">
            <w:pPr>
              <w:ind w:left="32"/>
              <w:jc w:val="center"/>
              <w:rPr>
                <w:sz w:val="24"/>
                <w:szCs w:val="24"/>
                <w:lang w:val="en-GB"/>
              </w:rPr>
            </w:pPr>
            <w:r w:rsidRPr="008B2AE5">
              <w:rPr>
                <w:sz w:val="24"/>
                <w:szCs w:val="24"/>
                <w:lang w:val="en-GB"/>
              </w:rPr>
              <w:t>-</w:t>
            </w:r>
          </w:p>
        </w:tc>
        <w:tc>
          <w:tcPr>
            <w:tcW w:w="603" w:type="pct"/>
            <w:tcBorders>
              <w:top w:val="single" w:sz="4" w:space="0" w:color="000000"/>
              <w:left w:val="single" w:sz="4" w:space="0" w:color="000000"/>
              <w:bottom w:val="single" w:sz="4" w:space="0" w:color="000000"/>
              <w:right w:val="single" w:sz="4" w:space="0" w:color="000000"/>
            </w:tcBorders>
            <w:vAlign w:val="center"/>
            <w:hideMark/>
          </w:tcPr>
          <w:p w14:paraId="44DDD86A" w14:textId="77777777" w:rsidR="008B2AE5" w:rsidRPr="008B2AE5" w:rsidRDefault="008B2AE5" w:rsidP="00520598">
            <w:pPr>
              <w:ind w:left="32"/>
              <w:jc w:val="center"/>
              <w:rPr>
                <w:sz w:val="24"/>
                <w:szCs w:val="24"/>
                <w:lang w:val="en-GB"/>
              </w:rPr>
            </w:pPr>
            <w:r w:rsidRPr="008B2AE5">
              <w:rPr>
                <w:sz w:val="24"/>
                <w:szCs w:val="24"/>
                <w:lang w:val="en-GB"/>
              </w:rPr>
              <w:t>-</w:t>
            </w:r>
          </w:p>
        </w:tc>
      </w:tr>
      <w:tr w:rsidR="008B2AE5" w:rsidRPr="008B2AE5" w14:paraId="29E1F890" w14:textId="77777777" w:rsidTr="00B42DE5">
        <w:tc>
          <w:tcPr>
            <w:tcW w:w="609" w:type="pct"/>
            <w:tcBorders>
              <w:top w:val="single" w:sz="4" w:space="0" w:color="000000"/>
              <w:left w:val="single" w:sz="4" w:space="0" w:color="000000"/>
              <w:bottom w:val="single" w:sz="4" w:space="0" w:color="000000"/>
              <w:right w:val="single" w:sz="4" w:space="0" w:color="000000"/>
            </w:tcBorders>
            <w:hideMark/>
          </w:tcPr>
          <w:p w14:paraId="392202A3" w14:textId="77777777" w:rsidR="008B2AE5" w:rsidRPr="008B2AE5" w:rsidRDefault="008B2AE5" w:rsidP="00B42DE5">
            <w:pPr>
              <w:ind w:left="32"/>
              <w:rPr>
                <w:b/>
                <w:sz w:val="24"/>
                <w:szCs w:val="24"/>
                <w:lang w:val="en-GB"/>
              </w:rPr>
            </w:pPr>
            <w:r w:rsidRPr="008B2AE5">
              <w:rPr>
                <w:b/>
                <w:sz w:val="24"/>
                <w:szCs w:val="24"/>
                <w:lang w:val="en-GB"/>
              </w:rPr>
              <w:t>Studie 2</w:t>
            </w:r>
          </w:p>
        </w:tc>
        <w:tc>
          <w:tcPr>
            <w:tcW w:w="938" w:type="pct"/>
            <w:tcBorders>
              <w:top w:val="single" w:sz="4" w:space="0" w:color="000000"/>
              <w:left w:val="single" w:sz="4" w:space="0" w:color="000000"/>
              <w:bottom w:val="single" w:sz="4" w:space="0" w:color="000000"/>
              <w:right w:val="single" w:sz="4" w:space="0" w:color="000000"/>
            </w:tcBorders>
            <w:hideMark/>
          </w:tcPr>
          <w:p w14:paraId="68CBF8E2" w14:textId="77777777" w:rsidR="008B2AE5" w:rsidRPr="008B2AE5" w:rsidRDefault="008B2AE5" w:rsidP="00520598">
            <w:pPr>
              <w:ind w:left="32"/>
              <w:jc w:val="center"/>
              <w:rPr>
                <w:sz w:val="24"/>
                <w:szCs w:val="24"/>
                <w:lang w:val="en-GB"/>
              </w:rPr>
            </w:pPr>
            <w:r w:rsidRPr="008B2AE5">
              <w:rPr>
                <w:sz w:val="24"/>
                <w:szCs w:val="24"/>
                <w:lang w:val="en-GB"/>
              </w:rPr>
              <w:t>(N = 100)</w:t>
            </w:r>
          </w:p>
          <w:p w14:paraId="7417F5DA" w14:textId="77777777" w:rsidR="008B2AE5" w:rsidRPr="008B2AE5" w:rsidRDefault="008B2AE5" w:rsidP="00520598">
            <w:pPr>
              <w:ind w:left="32"/>
              <w:jc w:val="center"/>
              <w:rPr>
                <w:sz w:val="24"/>
                <w:szCs w:val="24"/>
                <w:lang w:val="en-GB"/>
              </w:rPr>
            </w:pPr>
            <w:r w:rsidRPr="008B2AE5">
              <w:rPr>
                <w:sz w:val="24"/>
                <w:szCs w:val="24"/>
                <w:lang w:val="en-GB"/>
              </w:rPr>
              <w:t>45,0 %</w:t>
            </w:r>
          </w:p>
        </w:tc>
        <w:tc>
          <w:tcPr>
            <w:tcW w:w="670" w:type="pct"/>
            <w:tcBorders>
              <w:top w:val="single" w:sz="4" w:space="0" w:color="000000"/>
              <w:left w:val="single" w:sz="4" w:space="0" w:color="000000"/>
              <w:bottom w:val="single" w:sz="4" w:space="0" w:color="000000"/>
              <w:right w:val="single" w:sz="4" w:space="0" w:color="000000"/>
            </w:tcBorders>
            <w:vAlign w:val="center"/>
            <w:hideMark/>
          </w:tcPr>
          <w:p w14:paraId="563FA0C8" w14:textId="77777777" w:rsidR="008B2AE5" w:rsidRPr="008B2AE5" w:rsidRDefault="008B2AE5" w:rsidP="00520598">
            <w:pPr>
              <w:ind w:left="32"/>
              <w:jc w:val="center"/>
              <w:rPr>
                <w:sz w:val="24"/>
                <w:szCs w:val="24"/>
                <w:lang w:val="en-GB"/>
              </w:rPr>
            </w:pPr>
            <w:r w:rsidRPr="008B2AE5">
              <w:rPr>
                <w:sz w:val="24"/>
                <w:szCs w:val="24"/>
                <w:lang w:val="en-GB"/>
              </w:rPr>
              <w:t>-</w:t>
            </w:r>
          </w:p>
        </w:tc>
        <w:tc>
          <w:tcPr>
            <w:tcW w:w="675" w:type="pct"/>
            <w:tcBorders>
              <w:top w:val="single" w:sz="4" w:space="0" w:color="000000"/>
              <w:left w:val="single" w:sz="4" w:space="0" w:color="000000"/>
              <w:bottom w:val="single" w:sz="4" w:space="0" w:color="000000"/>
              <w:right w:val="single" w:sz="4" w:space="0" w:color="000000"/>
            </w:tcBorders>
            <w:hideMark/>
          </w:tcPr>
          <w:p w14:paraId="62080AC5" w14:textId="77777777" w:rsidR="008B2AE5" w:rsidRPr="008B2AE5" w:rsidRDefault="008B2AE5" w:rsidP="00520598">
            <w:pPr>
              <w:ind w:left="32"/>
              <w:jc w:val="center"/>
              <w:rPr>
                <w:sz w:val="24"/>
                <w:szCs w:val="24"/>
                <w:lang w:val="en-GB"/>
              </w:rPr>
            </w:pPr>
            <w:r w:rsidRPr="008B2AE5">
              <w:rPr>
                <w:sz w:val="24"/>
                <w:szCs w:val="24"/>
                <w:lang w:val="en-GB"/>
              </w:rPr>
              <w:t>(N = 101)</w:t>
            </w:r>
          </w:p>
          <w:p w14:paraId="699219E8" w14:textId="77777777" w:rsidR="008B2AE5" w:rsidRPr="008B2AE5" w:rsidRDefault="008B2AE5" w:rsidP="00520598">
            <w:pPr>
              <w:ind w:left="32"/>
              <w:jc w:val="center"/>
              <w:rPr>
                <w:sz w:val="24"/>
                <w:szCs w:val="24"/>
                <w:lang w:val="en-GB"/>
              </w:rPr>
            </w:pPr>
            <w:r w:rsidRPr="008B2AE5">
              <w:rPr>
                <w:sz w:val="24"/>
                <w:szCs w:val="24"/>
                <w:lang w:val="en-GB"/>
              </w:rPr>
              <w:t>30,7 %</w:t>
            </w:r>
          </w:p>
        </w:tc>
        <w:tc>
          <w:tcPr>
            <w:tcW w:w="831" w:type="pct"/>
            <w:tcBorders>
              <w:top w:val="single" w:sz="4" w:space="0" w:color="000000"/>
              <w:left w:val="single" w:sz="4" w:space="0" w:color="000000"/>
              <w:bottom w:val="single" w:sz="4" w:space="0" w:color="000000"/>
              <w:right w:val="single" w:sz="4" w:space="0" w:color="000000"/>
            </w:tcBorders>
            <w:hideMark/>
          </w:tcPr>
          <w:p w14:paraId="24F8BA2A" w14:textId="77777777" w:rsidR="008B2AE5" w:rsidRPr="008B2AE5" w:rsidRDefault="008B2AE5" w:rsidP="00520598">
            <w:pPr>
              <w:ind w:left="32"/>
              <w:jc w:val="center"/>
              <w:rPr>
                <w:sz w:val="24"/>
                <w:szCs w:val="24"/>
                <w:lang w:val="en-GB"/>
              </w:rPr>
            </w:pPr>
            <w:r w:rsidRPr="008B2AE5">
              <w:rPr>
                <w:sz w:val="24"/>
                <w:szCs w:val="24"/>
                <w:lang w:val="en-GB"/>
              </w:rPr>
              <w:t>(N = 101)</w:t>
            </w:r>
          </w:p>
          <w:p w14:paraId="750AB1C6" w14:textId="77777777" w:rsidR="008B2AE5" w:rsidRPr="008B2AE5" w:rsidRDefault="008B2AE5" w:rsidP="00520598">
            <w:pPr>
              <w:ind w:left="32"/>
              <w:jc w:val="center"/>
              <w:rPr>
                <w:sz w:val="24"/>
                <w:szCs w:val="24"/>
                <w:lang w:val="en-GB"/>
              </w:rPr>
            </w:pPr>
            <w:r w:rsidRPr="008B2AE5">
              <w:rPr>
                <w:sz w:val="24"/>
                <w:szCs w:val="24"/>
                <w:lang w:val="en-GB"/>
              </w:rPr>
              <w:t>14,9 %</w:t>
            </w:r>
          </w:p>
        </w:tc>
        <w:tc>
          <w:tcPr>
            <w:tcW w:w="675" w:type="pct"/>
            <w:tcBorders>
              <w:top w:val="single" w:sz="4" w:space="0" w:color="000000"/>
              <w:left w:val="single" w:sz="4" w:space="0" w:color="000000"/>
              <w:bottom w:val="single" w:sz="4" w:space="0" w:color="000000"/>
              <w:right w:val="single" w:sz="4" w:space="0" w:color="000000"/>
            </w:tcBorders>
            <w:vAlign w:val="center"/>
            <w:hideMark/>
          </w:tcPr>
          <w:p w14:paraId="3652F4F0" w14:textId="77777777" w:rsidR="008B2AE5" w:rsidRPr="008B2AE5" w:rsidRDefault="008B2AE5" w:rsidP="00520598">
            <w:pPr>
              <w:ind w:left="32"/>
              <w:jc w:val="center"/>
              <w:rPr>
                <w:sz w:val="24"/>
                <w:szCs w:val="24"/>
                <w:lang w:val="en-GB"/>
              </w:rPr>
            </w:pPr>
            <w:r w:rsidRPr="008B2AE5">
              <w:rPr>
                <w:sz w:val="24"/>
                <w:szCs w:val="24"/>
                <w:lang w:val="en-GB"/>
              </w:rPr>
              <w:t>-</w:t>
            </w:r>
          </w:p>
        </w:tc>
        <w:tc>
          <w:tcPr>
            <w:tcW w:w="603" w:type="pct"/>
            <w:tcBorders>
              <w:top w:val="single" w:sz="4" w:space="0" w:color="000000"/>
              <w:left w:val="single" w:sz="4" w:space="0" w:color="000000"/>
              <w:bottom w:val="single" w:sz="4" w:space="0" w:color="000000"/>
              <w:right w:val="single" w:sz="4" w:space="0" w:color="000000"/>
            </w:tcBorders>
            <w:vAlign w:val="center"/>
            <w:hideMark/>
          </w:tcPr>
          <w:p w14:paraId="278B6658" w14:textId="77777777" w:rsidR="008B2AE5" w:rsidRPr="008B2AE5" w:rsidRDefault="008B2AE5" w:rsidP="00520598">
            <w:pPr>
              <w:ind w:left="32"/>
              <w:jc w:val="center"/>
              <w:rPr>
                <w:sz w:val="24"/>
                <w:szCs w:val="24"/>
                <w:lang w:val="en-GB"/>
              </w:rPr>
            </w:pPr>
            <w:r w:rsidRPr="008B2AE5">
              <w:rPr>
                <w:sz w:val="24"/>
                <w:szCs w:val="24"/>
                <w:lang w:val="en-GB"/>
              </w:rPr>
              <w:t>-</w:t>
            </w:r>
          </w:p>
        </w:tc>
      </w:tr>
      <w:tr w:rsidR="008B2AE5" w:rsidRPr="008B2AE5" w14:paraId="5A9628F7" w14:textId="77777777" w:rsidTr="00B42DE5">
        <w:tc>
          <w:tcPr>
            <w:tcW w:w="609" w:type="pct"/>
            <w:tcBorders>
              <w:top w:val="single" w:sz="4" w:space="0" w:color="000000"/>
              <w:left w:val="single" w:sz="4" w:space="0" w:color="000000"/>
              <w:bottom w:val="single" w:sz="4" w:space="0" w:color="000000"/>
              <w:right w:val="single" w:sz="4" w:space="0" w:color="000000"/>
            </w:tcBorders>
            <w:hideMark/>
          </w:tcPr>
          <w:p w14:paraId="5D0987CC" w14:textId="77777777" w:rsidR="008B2AE5" w:rsidRPr="008B2AE5" w:rsidRDefault="008B2AE5" w:rsidP="00B42DE5">
            <w:pPr>
              <w:ind w:left="32"/>
              <w:rPr>
                <w:b/>
                <w:sz w:val="24"/>
                <w:szCs w:val="24"/>
                <w:lang w:val="en-GB"/>
              </w:rPr>
            </w:pPr>
            <w:r w:rsidRPr="008B2AE5">
              <w:rPr>
                <w:b/>
                <w:sz w:val="24"/>
                <w:szCs w:val="24"/>
                <w:lang w:val="en-GB"/>
              </w:rPr>
              <w:t>Studie 3</w:t>
            </w:r>
          </w:p>
        </w:tc>
        <w:tc>
          <w:tcPr>
            <w:tcW w:w="938" w:type="pct"/>
            <w:tcBorders>
              <w:top w:val="single" w:sz="4" w:space="0" w:color="000000"/>
              <w:left w:val="single" w:sz="4" w:space="0" w:color="000000"/>
              <w:bottom w:val="single" w:sz="4" w:space="0" w:color="000000"/>
              <w:right w:val="single" w:sz="4" w:space="0" w:color="000000"/>
            </w:tcBorders>
            <w:hideMark/>
          </w:tcPr>
          <w:p w14:paraId="51AB94FE" w14:textId="77777777" w:rsidR="008B2AE5" w:rsidRPr="008B2AE5" w:rsidRDefault="008B2AE5" w:rsidP="00520598">
            <w:pPr>
              <w:ind w:left="32"/>
              <w:jc w:val="center"/>
              <w:rPr>
                <w:sz w:val="24"/>
                <w:szCs w:val="24"/>
                <w:lang w:val="en-GB"/>
              </w:rPr>
            </w:pPr>
            <w:r w:rsidRPr="008B2AE5">
              <w:rPr>
                <w:sz w:val="24"/>
                <w:szCs w:val="24"/>
                <w:lang w:val="en-GB"/>
              </w:rPr>
              <w:t>(N = 141)</w:t>
            </w:r>
          </w:p>
          <w:p w14:paraId="3E7FC617" w14:textId="77777777" w:rsidR="008B2AE5" w:rsidRPr="008B2AE5" w:rsidRDefault="008B2AE5" w:rsidP="00520598">
            <w:pPr>
              <w:ind w:left="32"/>
              <w:jc w:val="center"/>
              <w:rPr>
                <w:sz w:val="24"/>
                <w:szCs w:val="24"/>
                <w:lang w:val="en-GB"/>
              </w:rPr>
            </w:pPr>
            <w:r w:rsidRPr="008B2AE5">
              <w:rPr>
                <w:sz w:val="24"/>
                <w:szCs w:val="24"/>
                <w:lang w:val="en-GB"/>
              </w:rPr>
              <w:t>54,6 %</w:t>
            </w:r>
          </w:p>
        </w:tc>
        <w:tc>
          <w:tcPr>
            <w:tcW w:w="670" w:type="pct"/>
            <w:tcBorders>
              <w:top w:val="single" w:sz="4" w:space="0" w:color="000000"/>
              <w:left w:val="single" w:sz="4" w:space="0" w:color="000000"/>
              <w:bottom w:val="single" w:sz="4" w:space="0" w:color="000000"/>
              <w:right w:val="single" w:sz="4" w:space="0" w:color="000000"/>
            </w:tcBorders>
            <w:hideMark/>
          </w:tcPr>
          <w:p w14:paraId="46DF36D3" w14:textId="77777777" w:rsidR="008B2AE5" w:rsidRPr="008B2AE5" w:rsidRDefault="008B2AE5" w:rsidP="00520598">
            <w:pPr>
              <w:ind w:left="32"/>
              <w:jc w:val="center"/>
              <w:rPr>
                <w:sz w:val="24"/>
                <w:szCs w:val="24"/>
                <w:lang w:val="en-GB"/>
              </w:rPr>
            </w:pPr>
            <w:r w:rsidRPr="008B2AE5">
              <w:rPr>
                <w:sz w:val="24"/>
                <w:szCs w:val="24"/>
                <w:lang w:val="en-GB"/>
              </w:rPr>
              <w:t>(N = 49)</w:t>
            </w:r>
          </w:p>
          <w:p w14:paraId="7C4707A7" w14:textId="77777777" w:rsidR="008B2AE5" w:rsidRPr="008B2AE5" w:rsidRDefault="008B2AE5" w:rsidP="00520598">
            <w:pPr>
              <w:ind w:left="32"/>
              <w:jc w:val="center"/>
              <w:rPr>
                <w:sz w:val="24"/>
                <w:szCs w:val="24"/>
                <w:lang w:val="en-GB"/>
              </w:rPr>
            </w:pPr>
            <w:r w:rsidRPr="008B2AE5">
              <w:rPr>
                <w:sz w:val="24"/>
                <w:szCs w:val="24"/>
                <w:lang w:val="en-GB"/>
              </w:rPr>
              <w:t>6,1 %</w:t>
            </w:r>
          </w:p>
        </w:tc>
        <w:tc>
          <w:tcPr>
            <w:tcW w:w="675" w:type="pct"/>
            <w:tcBorders>
              <w:top w:val="single" w:sz="4" w:space="0" w:color="000000"/>
              <w:left w:val="single" w:sz="4" w:space="0" w:color="000000"/>
              <w:bottom w:val="single" w:sz="4" w:space="0" w:color="000000"/>
              <w:right w:val="single" w:sz="4" w:space="0" w:color="000000"/>
            </w:tcBorders>
            <w:vAlign w:val="center"/>
            <w:hideMark/>
          </w:tcPr>
          <w:p w14:paraId="4BFD8B0D" w14:textId="77777777" w:rsidR="008B2AE5" w:rsidRPr="008B2AE5" w:rsidRDefault="008B2AE5" w:rsidP="00520598">
            <w:pPr>
              <w:ind w:left="32"/>
              <w:jc w:val="center"/>
              <w:rPr>
                <w:sz w:val="24"/>
                <w:szCs w:val="24"/>
                <w:lang w:val="en-GB"/>
              </w:rPr>
            </w:pPr>
            <w:r w:rsidRPr="008B2AE5">
              <w:rPr>
                <w:sz w:val="24"/>
                <w:szCs w:val="24"/>
                <w:lang w:val="en-GB"/>
              </w:rPr>
              <w:t>-</w:t>
            </w:r>
          </w:p>
        </w:tc>
        <w:tc>
          <w:tcPr>
            <w:tcW w:w="831" w:type="pct"/>
            <w:tcBorders>
              <w:top w:val="single" w:sz="4" w:space="0" w:color="000000"/>
              <w:left w:val="single" w:sz="4" w:space="0" w:color="000000"/>
              <w:bottom w:val="single" w:sz="4" w:space="0" w:color="000000"/>
              <w:right w:val="single" w:sz="4" w:space="0" w:color="000000"/>
            </w:tcBorders>
            <w:vAlign w:val="center"/>
            <w:hideMark/>
          </w:tcPr>
          <w:p w14:paraId="58CC5573" w14:textId="77777777" w:rsidR="008B2AE5" w:rsidRPr="008B2AE5" w:rsidRDefault="008B2AE5" w:rsidP="00520598">
            <w:pPr>
              <w:ind w:left="32"/>
              <w:jc w:val="center"/>
              <w:rPr>
                <w:sz w:val="24"/>
                <w:szCs w:val="24"/>
                <w:lang w:val="en-GB"/>
              </w:rPr>
            </w:pPr>
            <w:r w:rsidRPr="008B2AE5">
              <w:rPr>
                <w:sz w:val="24"/>
                <w:szCs w:val="24"/>
                <w:lang w:val="en-GB"/>
              </w:rPr>
              <w:t>-</w:t>
            </w:r>
          </w:p>
        </w:tc>
        <w:tc>
          <w:tcPr>
            <w:tcW w:w="675" w:type="pct"/>
            <w:tcBorders>
              <w:top w:val="single" w:sz="4" w:space="0" w:color="000000"/>
              <w:left w:val="single" w:sz="4" w:space="0" w:color="000000"/>
              <w:bottom w:val="single" w:sz="4" w:space="0" w:color="000000"/>
              <w:right w:val="single" w:sz="4" w:space="0" w:color="000000"/>
            </w:tcBorders>
            <w:hideMark/>
          </w:tcPr>
          <w:p w14:paraId="31F713EA" w14:textId="77777777" w:rsidR="008B2AE5" w:rsidRPr="008B2AE5" w:rsidRDefault="008B2AE5" w:rsidP="00520598">
            <w:pPr>
              <w:ind w:left="32"/>
              <w:jc w:val="center"/>
              <w:rPr>
                <w:sz w:val="24"/>
                <w:szCs w:val="24"/>
                <w:lang w:val="en-GB"/>
              </w:rPr>
            </w:pPr>
            <w:r w:rsidRPr="008B2AE5">
              <w:rPr>
                <w:sz w:val="24"/>
                <w:szCs w:val="24"/>
                <w:lang w:val="en-GB"/>
              </w:rPr>
              <w:t>(N = 135)</w:t>
            </w:r>
          </w:p>
          <w:p w14:paraId="6EC3CA80" w14:textId="77777777" w:rsidR="008B2AE5" w:rsidRPr="008B2AE5" w:rsidRDefault="008B2AE5" w:rsidP="00520598">
            <w:pPr>
              <w:ind w:left="32"/>
              <w:jc w:val="center"/>
              <w:rPr>
                <w:sz w:val="24"/>
                <w:szCs w:val="24"/>
                <w:lang w:val="en-GB"/>
              </w:rPr>
            </w:pPr>
            <w:r w:rsidRPr="008B2AE5">
              <w:rPr>
                <w:sz w:val="24"/>
                <w:szCs w:val="24"/>
                <w:lang w:val="en-GB"/>
              </w:rPr>
              <w:t>43,0 %</w:t>
            </w:r>
          </w:p>
        </w:tc>
        <w:tc>
          <w:tcPr>
            <w:tcW w:w="603" w:type="pct"/>
            <w:tcBorders>
              <w:top w:val="single" w:sz="4" w:space="0" w:color="000000"/>
              <w:left w:val="single" w:sz="4" w:space="0" w:color="000000"/>
              <w:bottom w:val="single" w:sz="4" w:space="0" w:color="000000"/>
              <w:right w:val="single" w:sz="4" w:space="0" w:color="000000"/>
            </w:tcBorders>
            <w:hideMark/>
          </w:tcPr>
          <w:p w14:paraId="683C902D" w14:textId="77777777" w:rsidR="008B2AE5" w:rsidRPr="008B2AE5" w:rsidRDefault="008B2AE5" w:rsidP="00520598">
            <w:pPr>
              <w:ind w:left="32"/>
              <w:jc w:val="center"/>
              <w:rPr>
                <w:sz w:val="24"/>
                <w:szCs w:val="24"/>
                <w:lang w:val="en-GB"/>
              </w:rPr>
            </w:pPr>
            <w:r w:rsidRPr="008B2AE5">
              <w:rPr>
                <w:sz w:val="24"/>
                <w:szCs w:val="24"/>
                <w:lang w:val="en-GB"/>
              </w:rPr>
              <w:t>(N = 51)</w:t>
            </w:r>
          </w:p>
          <w:p w14:paraId="7673FBF7" w14:textId="77777777" w:rsidR="008B2AE5" w:rsidRPr="008B2AE5" w:rsidRDefault="008B2AE5" w:rsidP="00520598">
            <w:pPr>
              <w:ind w:left="32"/>
              <w:jc w:val="center"/>
              <w:rPr>
                <w:sz w:val="24"/>
                <w:szCs w:val="24"/>
                <w:lang w:val="en-GB"/>
              </w:rPr>
            </w:pPr>
            <w:r w:rsidRPr="008B2AE5">
              <w:rPr>
                <w:sz w:val="24"/>
                <w:szCs w:val="24"/>
                <w:lang w:val="en-GB"/>
              </w:rPr>
              <w:t>7,8 %</w:t>
            </w:r>
          </w:p>
        </w:tc>
      </w:tr>
    </w:tbl>
    <w:p w14:paraId="4DAE7DD9" w14:textId="77777777" w:rsidR="008B2AE5" w:rsidRPr="008B2AE5" w:rsidRDefault="008B2AE5" w:rsidP="008B2AE5">
      <w:pPr>
        <w:tabs>
          <w:tab w:val="left" w:pos="851"/>
        </w:tabs>
        <w:ind w:left="851"/>
        <w:rPr>
          <w:sz w:val="24"/>
          <w:szCs w:val="24"/>
        </w:rPr>
      </w:pPr>
    </w:p>
    <w:p w14:paraId="3A1EB9CF" w14:textId="77777777" w:rsidR="008B2AE5" w:rsidRPr="00DC6BBF" w:rsidRDefault="008B2AE5" w:rsidP="00B42DE5">
      <w:pPr>
        <w:ind w:left="851"/>
        <w:rPr>
          <w:sz w:val="24"/>
          <w:szCs w:val="24"/>
        </w:rPr>
      </w:pPr>
      <w:r w:rsidRPr="00DC6BBF">
        <w:rPr>
          <w:sz w:val="24"/>
          <w:szCs w:val="24"/>
        </w:rPr>
        <w:t xml:space="preserve">Resultat for det primære endepunkt ”behandlingssucces” (PGA) af kroppen ved uge 4 viste, at </w:t>
      </w:r>
      <w:proofErr w:type="spellStart"/>
      <w:r w:rsidRPr="00DC6BBF">
        <w:rPr>
          <w:sz w:val="24"/>
          <w:szCs w:val="24"/>
        </w:rPr>
        <w:t>calcipotriol</w:t>
      </w:r>
      <w:proofErr w:type="spellEnd"/>
      <w:r w:rsidRPr="00DC6BBF">
        <w:rPr>
          <w:sz w:val="24"/>
          <w:szCs w:val="24"/>
        </w:rPr>
        <w:t>/</w:t>
      </w:r>
      <w:proofErr w:type="spellStart"/>
      <w:r w:rsidRPr="00DC6BBF">
        <w:rPr>
          <w:sz w:val="24"/>
          <w:szCs w:val="24"/>
        </w:rPr>
        <w:t>betamethason</w:t>
      </w:r>
      <w:proofErr w:type="spellEnd"/>
      <w:r w:rsidRPr="00DC6BBF">
        <w:rPr>
          <w:sz w:val="24"/>
          <w:szCs w:val="24"/>
        </w:rPr>
        <w:t xml:space="preserve"> skum er statistisk signifikant mere effektiv end alle inkluderede komparatorer og responset blev observeret i alle kategorier af sygdommens sværhedsgrader ved studiestart.</w:t>
      </w:r>
    </w:p>
    <w:p w14:paraId="47CB1B15" w14:textId="77777777" w:rsidR="008B2AE5" w:rsidRPr="00DC6BBF" w:rsidRDefault="008B2AE5" w:rsidP="00B42DE5">
      <w:pPr>
        <w:ind w:left="851"/>
        <w:rPr>
          <w:sz w:val="24"/>
          <w:szCs w:val="24"/>
        </w:rPr>
      </w:pPr>
    </w:p>
    <w:p w14:paraId="55DAC926" w14:textId="77777777" w:rsidR="008B2AE5" w:rsidRPr="00DC6BBF" w:rsidRDefault="008B2AE5" w:rsidP="00B42DE5">
      <w:pPr>
        <w:ind w:left="851"/>
        <w:rPr>
          <w:sz w:val="24"/>
          <w:szCs w:val="24"/>
        </w:rPr>
      </w:pPr>
      <w:r w:rsidRPr="00DC6BBF">
        <w:rPr>
          <w:sz w:val="24"/>
          <w:szCs w:val="24"/>
        </w:rPr>
        <w:t xml:space="preserve">I studie 2 blev effekten af </w:t>
      </w:r>
      <w:proofErr w:type="spellStart"/>
      <w:r w:rsidRPr="00DC6BBF">
        <w:rPr>
          <w:sz w:val="24"/>
          <w:szCs w:val="24"/>
        </w:rPr>
        <w:t>calcipotriol</w:t>
      </w:r>
      <w:proofErr w:type="spellEnd"/>
      <w:r w:rsidRPr="00DC6BBF">
        <w:rPr>
          <w:sz w:val="24"/>
          <w:szCs w:val="24"/>
        </w:rPr>
        <w:t>/</w:t>
      </w:r>
      <w:proofErr w:type="spellStart"/>
      <w:r w:rsidRPr="00DC6BBF">
        <w:rPr>
          <w:sz w:val="24"/>
          <w:szCs w:val="24"/>
        </w:rPr>
        <w:t>betamethason</w:t>
      </w:r>
      <w:proofErr w:type="spellEnd"/>
      <w:r w:rsidRPr="00DC6BBF">
        <w:rPr>
          <w:sz w:val="24"/>
          <w:szCs w:val="24"/>
        </w:rPr>
        <w:t xml:space="preserve"> skum ved hovedbundspsoriasis undersøgt som andelen af forsøgspersoner med ”behandlingssucces” i henhold til PGA i hovedbunden ved uge 4.</w:t>
      </w:r>
    </w:p>
    <w:p w14:paraId="45638C73" w14:textId="77777777" w:rsidR="008B2AE5" w:rsidRPr="00DC6BBF" w:rsidRDefault="008B2AE5" w:rsidP="00B42DE5">
      <w:pPr>
        <w:ind w:left="851"/>
        <w:rPr>
          <w:sz w:val="24"/>
          <w:szCs w:val="24"/>
        </w:rPr>
      </w:pPr>
    </w:p>
    <w:p w14:paraId="170FE2DC" w14:textId="77777777" w:rsidR="008B2AE5" w:rsidRPr="008B2AE5" w:rsidRDefault="008B2AE5" w:rsidP="00282CB9">
      <w:pPr>
        <w:rPr>
          <w:b/>
          <w:bCs/>
          <w:sz w:val="24"/>
          <w:szCs w:val="24"/>
        </w:rPr>
      </w:pPr>
      <w:r w:rsidRPr="008B2AE5">
        <w:rPr>
          <w:b/>
          <w:bCs/>
          <w:sz w:val="24"/>
          <w:szCs w:val="24"/>
        </w:rPr>
        <w:t>Procentdel af forsøgspersoner med ”behandlingssucces” i henhold til PGA af hovedbunden ved uge 4</w:t>
      </w:r>
    </w:p>
    <w:p w14:paraId="577EC58C" w14:textId="77777777" w:rsidR="008B2AE5" w:rsidRPr="008B2AE5" w:rsidRDefault="008B2AE5" w:rsidP="008B2AE5">
      <w:pPr>
        <w:tabs>
          <w:tab w:val="left" w:pos="851"/>
        </w:tabs>
        <w:ind w:left="851"/>
        <w:rPr>
          <w:sz w:val="24"/>
          <w:szCs w:val="24"/>
        </w:rPr>
      </w:pPr>
    </w:p>
    <w:tbl>
      <w:tblPr>
        <w:tblStyle w:val="Tabel-Gitter"/>
        <w:tblW w:w="5000" w:type="pct"/>
        <w:tblLook w:val="04A0" w:firstRow="1" w:lastRow="0" w:firstColumn="1" w:lastColumn="0" w:noHBand="0" w:noVBand="1"/>
      </w:tblPr>
      <w:tblGrid>
        <w:gridCol w:w="1216"/>
        <w:gridCol w:w="3212"/>
        <w:gridCol w:w="2600"/>
        <w:gridCol w:w="2600"/>
      </w:tblGrid>
      <w:tr w:rsidR="008B2AE5" w:rsidRPr="008B2AE5" w14:paraId="18D02240" w14:textId="77777777" w:rsidTr="00B42DE5">
        <w:tc>
          <w:tcPr>
            <w:tcW w:w="632" w:type="pct"/>
            <w:tcBorders>
              <w:top w:val="single" w:sz="4" w:space="0" w:color="auto"/>
              <w:left w:val="single" w:sz="4" w:space="0" w:color="auto"/>
              <w:bottom w:val="single" w:sz="4" w:space="0" w:color="auto"/>
              <w:right w:val="single" w:sz="4" w:space="0" w:color="auto"/>
            </w:tcBorders>
          </w:tcPr>
          <w:p w14:paraId="356D6B78" w14:textId="77777777" w:rsidR="008B2AE5" w:rsidRPr="008B2AE5" w:rsidRDefault="008B2AE5" w:rsidP="00B42DE5">
            <w:pPr>
              <w:ind w:left="32"/>
              <w:rPr>
                <w:sz w:val="24"/>
                <w:szCs w:val="24"/>
              </w:rPr>
            </w:pPr>
          </w:p>
        </w:tc>
        <w:tc>
          <w:tcPr>
            <w:tcW w:w="1668" w:type="pct"/>
            <w:tcBorders>
              <w:top w:val="single" w:sz="4" w:space="0" w:color="auto"/>
              <w:left w:val="single" w:sz="4" w:space="0" w:color="auto"/>
              <w:bottom w:val="single" w:sz="4" w:space="0" w:color="auto"/>
              <w:right w:val="single" w:sz="4" w:space="0" w:color="auto"/>
            </w:tcBorders>
            <w:hideMark/>
          </w:tcPr>
          <w:p w14:paraId="41C0ABBE" w14:textId="77777777" w:rsidR="008B2AE5" w:rsidRPr="008B2AE5" w:rsidRDefault="008B2AE5" w:rsidP="00520598">
            <w:pPr>
              <w:ind w:left="32"/>
              <w:jc w:val="center"/>
              <w:rPr>
                <w:b/>
                <w:bCs/>
                <w:sz w:val="24"/>
                <w:szCs w:val="24"/>
                <w:lang w:val="en-US"/>
              </w:rPr>
            </w:pPr>
            <w:r w:rsidRPr="008B2AE5">
              <w:rPr>
                <w:b/>
                <w:bCs/>
                <w:sz w:val="24"/>
                <w:szCs w:val="24"/>
                <w:lang w:val="en-US"/>
              </w:rPr>
              <w:t>Calcipotriol/</w:t>
            </w:r>
            <w:proofErr w:type="spellStart"/>
            <w:r w:rsidRPr="008B2AE5">
              <w:rPr>
                <w:b/>
                <w:bCs/>
                <w:sz w:val="24"/>
                <w:szCs w:val="24"/>
                <w:lang w:val="en-US"/>
              </w:rPr>
              <w:t>betamethason</w:t>
            </w:r>
            <w:proofErr w:type="spellEnd"/>
            <w:r w:rsidRPr="008B2AE5">
              <w:rPr>
                <w:b/>
                <w:bCs/>
                <w:sz w:val="24"/>
                <w:szCs w:val="24"/>
                <w:lang w:val="en-US"/>
              </w:rPr>
              <w:t xml:space="preserve"> </w:t>
            </w:r>
            <w:proofErr w:type="spellStart"/>
            <w:r w:rsidRPr="008B2AE5">
              <w:rPr>
                <w:b/>
                <w:bCs/>
                <w:sz w:val="24"/>
                <w:szCs w:val="24"/>
                <w:lang w:val="en-US"/>
              </w:rPr>
              <w:t>skum</w:t>
            </w:r>
            <w:proofErr w:type="spellEnd"/>
          </w:p>
        </w:tc>
        <w:tc>
          <w:tcPr>
            <w:tcW w:w="1350" w:type="pct"/>
            <w:tcBorders>
              <w:top w:val="single" w:sz="4" w:space="0" w:color="auto"/>
              <w:left w:val="single" w:sz="4" w:space="0" w:color="auto"/>
              <w:bottom w:val="single" w:sz="4" w:space="0" w:color="auto"/>
              <w:right w:val="single" w:sz="4" w:space="0" w:color="auto"/>
            </w:tcBorders>
            <w:hideMark/>
          </w:tcPr>
          <w:p w14:paraId="17896700" w14:textId="77777777" w:rsidR="008B2AE5" w:rsidRPr="008B2AE5" w:rsidRDefault="008B2AE5" w:rsidP="00520598">
            <w:pPr>
              <w:ind w:left="32"/>
              <w:jc w:val="center"/>
              <w:rPr>
                <w:b/>
                <w:bCs/>
                <w:sz w:val="24"/>
                <w:szCs w:val="24"/>
                <w:lang w:val="en-US"/>
              </w:rPr>
            </w:pPr>
            <w:r w:rsidRPr="008B2AE5">
              <w:rPr>
                <w:b/>
                <w:bCs/>
                <w:sz w:val="24"/>
                <w:szCs w:val="24"/>
                <w:lang w:val="en-US"/>
              </w:rPr>
              <w:t xml:space="preserve">BDP i </w:t>
            </w:r>
            <w:proofErr w:type="spellStart"/>
            <w:r w:rsidRPr="008B2AE5">
              <w:rPr>
                <w:b/>
                <w:bCs/>
                <w:sz w:val="24"/>
                <w:szCs w:val="24"/>
                <w:lang w:val="en-US"/>
              </w:rPr>
              <w:t>skum-vehikel</w:t>
            </w:r>
            <w:proofErr w:type="spellEnd"/>
          </w:p>
        </w:tc>
        <w:tc>
          <w:tcPr>
            <w:tcW w:w="1350" w:type="pct"/>
            <w:tcBorders>
              <w:top w:val="single" w:sz="4" w:space="0" w:color="auto"/>
              <w:left w:val="single" w:sz="4" w:space="0" w:color="auto"/>
              <w:bottom w:val="single" w:sz="4" w:space="0" w:color="auto"/>
              <w:right w:val="single" w:sz="4" w:space="0" w:color="auto"/>
            </w:tcBorders>
            <w:hideMark/>
          </w:tcPr>
          <w:p w14:paraId="0D412FB6" w14:textId="77777777" w:rsidR="008B2AE5" w:rsidRPr="008B2AE5" w:rsidRDefault="008B2AE5" w:rsidP="00520598">
            <w:pPr>
              <w:ind w:left="32"/>
              <w:jc w:val="center"/>
              <w:rPr>
                <w:b/>
                <w:bCs/>
                <w:sz w:val="24"/>
                <w:szCs w:val="24"/>
                <w:lang w:val="en-US"/>
              </w:rPr>
            </w:pPr>
            <w:r w:rsidRPr="008B2AE5">
              <w:rPr>
                <w:b/>
                <w:bCs/>
                <w:sz w:val="24"/>
                <w:szCs w:val="24"/>
                <w:lang w:val="en-US"/>
              </w:rPr>
              <w:t xml:space="preserve">Calcipotriol i </w:t>
            </w:r>
            <w:proofErr w:type="spellStart"/>
            <w:r w:rsidRPr="008B2AE5">
              <w:rPr>
                <w:b/>
                <w:bCs/>
                <w:sz w:val="24"/>
                <w:szCs w:val="24"/>
                <w:lang w:val="en-US"/>
              </w:rPr>
              <w:t>skum-vehikel</w:t>
            </w:r>
            <w:proofErr w:type="spellEnd"/>
          </w:p>
        </w:tc>
      </w:tr>
      <w:tr w:rsidR="008B2AE5" w:rsidRPr="008B2AE5" w14:paraId="5D3A7298" w14:textId="77777777" w:rsidTr="00B42DE5">
        <w:tc>
          <w:tcPr>
            <w:tcW w:w="632" w:type="pct"/>
            <w:tcBorders>
              <w:top w:val="single" w:sz="4" w:space="0" w:color="auto"/>
              <w:left w:val="single" w:sz="4" w:space="0" w:color="auto"/>
              <w:bottom w:val="single" w:sz="4" w:space="0" w:color="auto"/>
              <w:right w:val="single" w:sz="4" w:space="0" w:color="auto"/>
            </w:tcBorders>
            <w:hideMark/>
          </w:tcPr>
          <w:p w14:paraId="03BEAF85" w14:textId="77777777" w:rsidR="008B2AE5" w:rsidRPr="008B2AE5" w:rsidRDefault="008B2AE5" w:rsidP="00B42DE5">
            <w:pPr>
              <w:ind w:left="32"/>
              <w:rPr>
                <w:b/>
                <w:bCs/>
                <w:sz w:val="24"/>
                <w:szCs w:val="24"/>
                <w:lang w:val="en-US"/>
              </w:rPr>
            </w:pPr>
            <w:r w:rsidRPr="008B2AE5">
              <w:rPr>
                <w:b/>
                <w:bCs/>
                <w:sz w:val="24"/>
                <w:szCs w:val="24"/>
                <w:lang w:val="en-US"/>
              </w:rPr>
              <w:t>Studie 2</w:t>
            </w:r>
          </w:p>
        </w:tc>
        <w:tc>
          <w:tcPr>
            <w:tcW w:w="1668" w:type="pct"/>
            <w:tcBorders>
              <w:top w:val="single" w:sz="4" w:space="0" w:color="auto"/>
              <w:left w:val="single" w:sz="4" w:space="0" w:color="auto"/>
              <w:bottom w:val="single" w:sz="4" w:space="0" w:color="auto"/>
              <w:right w:val="single" w:sz="4" w:space="0" w:color="auto"/>
            </w:tcBorders>
            <w:hideMark/>
          </w:tcPr>
          <w:p w14:paraId="4560329F" w14:textId="77777777" w:rsidR="008B2AE5" w:rsidRPr="008B2AE5" w:rsidRDefault="008B2AE5" w:rsidP="00520598">
            <w:pPr>
              <w:ind w:left="32"/>
              <w:jc w:val="center"/>
              <w:rPr>
                <w:sz w:val="24"/>
                <w:szCs w:val="24"/>
                <w:lang w:val="en-US"/>
              </w:rPr>
            </w:pPr>
            <w:r w:rsidRPr="008B2AE5">
              <w:rPr>
                <w:sz w:val="24"/>
                <w:szCs w:val="24"/>
                <w:lang w:val="en-US"/>
              </w:rPr>
              <w:t>(N = 100)</w:t>
            </w:r>
          </w:p>
          <w:p w14:paraId="1682C52C" w14:textId="77777777" w:rsidR="008B2AE5" w:rsidRPr="008B2AE5" w:rsidRDefault="008B2AE5" w:rsidP="00520598">
            <w:pPr>
              <w:ind w:left="32"/>
              <w:jc w:val="center"/>
              <w:rPr>
                <w:sz w:val="24"/>
                <w:szCs w:val="24"/>
                <w:lang w:val="en-US"/>
              </w:rPr>
            </w:pPr>
            <w:r w:rsidRPr="008B2AE5">
              <w:rPr>
                <w:sz w:val="24"/>
                <w:szCs w:val="24"/>
                <w:lang w:val="en-US"/>
              </w:rPr>
              <w:t>53,0 %</w:t>
            </w:r>
          </w:p>
        </w:tc>
        <w:tc>
          <w:tcPr>
            <w:tcW w:w="1350" w:type="pct"/>
            <w:tcBorders>
              <w:top w:val="single" w:sz="4" w:space="0" w:color="auto"/>
              <w:left w:val="single" w:sz="4" w:space="0" w:color="auto"/>
              <w:bottom w:val="single" w:sz="4" w:space="0" w:color="auto"/>
              <w:right w:val="single" w:sz="4" w:space="0" w:color="auto"/>
            </w:tcBorders>
            <w:hideMark/>
          </w:tcPr>
          <w:p w14:paraId="31D2E06F" w14:textId="77777777" w:rsidR="008B2AE5" w:rsidRPr="008B2AE5" w:rsidRDefault="008B2AE5" w:rsidP="00520598">
            <w:pPr>
              <w:ind w:left="32"/>
              <w:jc w:val="center"/>
              <w:rPr>
                <w:sz w:val="24"/>
                <w:szCs w:val="24"/>
                <w:lang w:val="en-US"/>
              </w:rPr>
            </w:pPr>
            <w:r w:rsidRPr="008B2AE5">
              <w:rPr>
                <w:sz w:val="24"/>
                <w:szCs w:val="24"/>
                <w:lang w:val="en-US"/>
              </w:rPr>
              <w:t>(N = 101)</w:t>
            </w:r>
          </w:p>
          <w:p w14:paraId="01F8C5B0" w14:textId="77777777" w:rsidR="008B2AE5" w:rsidRPr="008B2AE5" w:rsidRDefault="008B2AE5" w:rsidP="00520598">
            <w:pPr>
              <w:ind w:left="32"/>
              <w:jc w:val="center"/>
              <w:rPr>
                <w:sz w:val="24"/>
                <w:szCs w:val="24"/>
                <w:lang w:val="en-US"/>
              </w:rPr>
            </w:pPr>
            <w:r w:rsidRPr="008B2AE5">
              <w:rPr>
                <w:sz w:val="24"/>
                <w:szCs w:val="24"/>
                <w:lang w:val="en-US"/>
              </w:rPr>
              <w:t>47,5 %</w:t>
            </w:r>
          </w:p>
        </w:tc>
        <w:tc>
          <w:tcPr>
            <w:tcW w:w="1350" w:type="pct"/>
            <w:tcBorders>
              <w:top w:val="single" w:sz="4" w:space="0" w:color="auto"/>
              <w:left w:val="single" w:sz="4" w:space="0" w:color="auto"/>
              <w:bottom w:val="single" w:sz="4" w:space="0" w:color="auto"/>
              <w:right w:val="single" w:sz="4" w:space="0" w:color="auto"/>
            </w:tcBorders>
            <w:hideMark/>
          </w:tcPr>
          <w:p w14:paraId="3FC4AFBA" w14:textId="77777777" w:rsidR="008B2AE5" w:rsidRPr="008B2AE5" w:rsidRDefault="008B2AE5" w:rsidP="00520598">
            <w:pPr>
              <w:ind w:left="32"/>
              <w:jc w:val="center"/>
              <w:rPr>
                <w:sz w:val="24"/>
                <w:szCs w:val="24"/>
                <w:lang w:val="en-US"/>
              </w:rPr>
            </w:pPr>
            <w:r w:rsidRPr="008B2AE5">
              <w:rPr>
                <w:sz w:val="24"/>
                <w:szCs w:val="24"/>
                <w:lang w:val="en-US"/>
              </w:rPr>
              <w:t>(N = 101)</w:t>
            </w:r>
          </w:p>
          <w:p w14:paraId="779654A7" w14:textId="77777777" w:rsidR="008B2AE5" w:rsidRPr="008B2AE5" w:rsidRDefault="008B2AE5" w:rsidP="00520598">
            <w:pPr>
              <w:ind w:left="32"/>
              <w:jc w:val="center"/>
              <w:rPr>
                <w:sz w:val="24"/>
                <w:szCs w:val="24"/>
                <w:lang w:val="en-US"/>
              </w:rPr>
            </w:pPr>
            <w:r w:rsidRPr="008B2AE5">
              <w:rPr>
                <w:sz w:val="24"/>
                <w:szCs w:val="24"/>
                <w:lang w:val="en-US"/>
              </w:rPr>
              <w:t>35,6 %</w:t>
            </w:r>
          </w:p>
        </w:tc>
      </w:tr>
    </w:tbl>
    <w:p w14:paraId="264B08A9" w14:textId="77777777" w:rsidR="008B2AE5" w:rsidRPr="008B2AE5" w:rsidRDefault="008B2AE5" w:rsidP="008B2AE5">
      <w:pPr>
        <w:tabs>
          <w:tab w:val="left" w:pos="851"/>
        </w:tabs>
        <w:ind w:left="851"/>
        <w:rPr>
          <w:sz w:val="24"/>
          <w:szCs w:val="24"/>
        </w:rPr>
      </w:pPr>
    </w:p>
    <w:p w14:paraId="27981443" w14:textId="77777777" w:rsidR="008B2AE5" w:rsidRPr="00DC6BBF" w:rsidRDefault="008B2AE5" w:rsidP="00B42DE5">
      <w:pPr>
        <w:ind w:left="851"/>
        <w:rPr>
          <w:sz w:val="24"/>
          <w:szCs w:val="24"/>
        </w:rPr>
      </w:pPr>
      <w:proofErr w:type="spellStart"/>
      <w:r w:rsidRPr="00DC6BBF">
        <w:rPr>
          <w:sz w:val="24"/>
          <w:szCs w:val="24"/>
        </w:rPr>
        <w:t>Calcipotriol</w:t>
      </w:r>
      <w:proofErr w:type="spellEnd"/>
      <w:r w:rsidRPr="00DC6BBF">
        <w:rPr>
          <w:sz w:val="24"/>
          <w:szCs w:val="24"/>
        </w:rPr>
        <w:t>/</w:t>
      </w:r>
      <w:proofErr w:type="spellStart"/>
      <w:r w:rsidRPr="00DC6BBF">
        <w:rPr>
          <w:sz w:val="24"/>
          <w:szCs w:val="24"/>
        </w:rPr>
        <w:t>betamethason</w:t>
      </w:r>
      <w:proofErr w:type="spellEnd"/>
      <w:r w:rsidRPr="00DC6BBF">
        <w:rPr>
          <w:sz w:val="24"/>
          <w:szCs w:val="24"/>
        </w:rPr>
        <w:t xml:space="preserve"> skum var statistisk signifikant mere effektiv end </w:t>
      </w:r>
      <w:proofErr w:type="spellStart"/>
      <w:r w:rsidRPr="00DC6BBF">
        <w:rPr>
          <w:sz w:val="24"/>
          <w:szCs w:val="24"/>
        </w:rPr>
        <w:t>calcipotriol</w:t>
      </w:r>
      <w:proofErr w:type="spellEnd"/>
      <w:r w:rsidRPr="00DC6BBF">
        <w:rPr>
          <w:sz w:val="24"/>
          <w:szCs w:val="24"/>
        </w:rPr>
        <w:t xml:space="preserve"> og også associeret med en højere andel af behandlingssucces end BDP, men denne sammenligning opnåede ikke statistisk signifikans.</w:t>
      </w:r>
    </w:p>
    <w:p w14:paraId="104E1227" w14:textId="77777777" w:rsidR="008B2AE5" w:rsidRPr="00DC6BBF" w:rsidRDefault="008B2AE5" w:rsidP="00B42DE5">
      <w:pPr>
        <w:ind w:left="851"/>
        <w:rPr>
          <w:sz w:val="24"/>
          <w:szCs w:val="24"/>
        </w:rPr>
      </w:pPr>
    </w:p>
    <w:p w14:paraId="1E1B2468" w14:textId="77777777" w:rsidR="008B2AE5" w:rsidRPr="00DC6BBF" w:rsidRDefault="008B2AE5" w:rsidP="00B42DE5">
      <w:pPr>
        <w:ind w:left="851"/>
        <w:rPr>
          <w:sz w:val="24"/>
          <w:szCs w:val="24"/>
        </w:rPr>
      </w:pPr>
      <w:r w:rsidRPr="00DC6BBF">
        <w:rPr>
          <w:sz w:val="24"/>
          <w:szCs w:val="24"/>
        </w:rPr>
        <w:t xml:space="preserve">Effekten af </w:t>
      </w:r>
      <w:proofErr w:type="spellStart"/>
      <w:r w:rsidRPr="00DC6BBF">
        <w:rPr>
          <w:sz w:val="24"/>
          <w:szCs w:val="24"/>
        </w:rPr>
        <w:t>calcipotriol</w:t>
      </w:r>
      <w:proofErr w:type="spellEnd"/>
      <w:r w:rsidRPr="00DC6BBF">
        <w:rPr>
          <w:sz w:val="24"/>
          <w:szCs w:val="24"/>
        </w:rPr>
        <w:t>/</w:t>
      </w:r>
      <w:proofErr w:type="spellStart"/>
      <w:r w:rsidRPr="00DC6BBF">
        <w:rPr>
          <w:sz w:val="24"/>
          <w:szCs w:val="24"/>
        </w:rPr>
        <w:t>betamethason</w:t>
      </w:r>
      <w:proofErr w:type="spellEnd"/>
      <w:r w:rsidRPr="00DC6BBF">
        <w:rPr>
          <w:sz w:val="24"/>
          <w:szCs w:val="24"/>
        </w:rPr>
        <w:t xml:space="preserve"> skum på kløe og kløe-relateret søvntab blev undersøgt i studie 1 ved hjælp af en visuel analog skala (VAS) i intervallet fra 0 mm (ingen kløe/intet søvntab overhovedet) til 100 mm (værste kløe du kan forstille dig/størst muligt søvntab).</w:t>
      </w:r>
    </w:p>
    <w:p w14:paraId="12507324" w14:textId="77777777" w:rsidR="008B2AE5" w:rsidRPr="00DC6BBF" w:rsidRDefault="008B2AE5" w:rsidP="00B42DE5">
      <w:pPr>
        <w:ind w:left="851"/>
        <w:rPr>
          <w:sz w:val="24"/>
          <w:szCs w:val="24"/>
        </w:rPr>
      </w:pPr>
      <w:r w:rsidRPr="00DC6BBF">
        <w:rPr>
          <w:sz w:val="24"/>
          <w:szCs w:val="24"/>
        </w:rPr>
        <w:t xml:space="preserve">Sammenlignet med vehikel opnående en statistisk signifikant højere andel forsøgspersoner behandlet med </w:t>
      </w:r>
      <w:proofErr w:type="spellStart"/>
      <w:r w:rsidRPr="00DC6BBF">
        <w:rPr>
          <w:sz w:val="24"/>
          <w:szCs w:val="24"/>
        </w:rPr>
        <w:t>calcipotriol</w:t>
      </w:r>
      <w:proofErr w:type="spellEnd"/>
      <w:r w:rsidRPr="00DC6BBF">
        <w:rPr>
          <w:sz w:val="24"/>
          <w:szCs w:val="24"/>
        </w:rPr>
        <w:t>/</w:t>
      </w:r>
      <w:proofErr w:type="spellStart"/>
      <w:r w:rsidRPr="00DC6BBF">
        <w:rPr>
          <w:sz w:val="24"/>
          <w:szCs w:val="24"/>
        </w:rPr>
        <w:t>betamethason</w:t>
      </w:r>
      <w:proofErr w:type="spellEnd"/>
      <w:r w:rsidRPr="00DC6BBF">
        <w:rPr>
          <w:sz w:val="24"/>
          <w:szCs w:val="24"/>
        </w:rPr>
        <w:t xml:space="preserve"> skum 70 % reduktion i kløe og kløe-relateret søvntab fra dag 3 og igennem behandlingsperioden.</w:t>
      </w:r>
    </w:p>
    <w:p w14:paraId="335DD8E3" w14:textId="77777777" w:rsidR="008B2AE5" w:rsidRPr="00DC6BBF" w:rsidRDefault="008B2AE5" w:rsidP="00B42DE5">
      <w:pPr>
        <w:ind w:left="851"/>
        <w:rPr>
          <w:sz w:val="24"/>
          <w:szCs w:val="24"/>
        </w:rPr>
      </w:pPr>
    </w:p>
    <w:p w14:paraId="325647C5" w14:textId="77777777" w:rsidR="008B2AE5" w:rsidRPr="00DC6BBF" w:rsidRDefault="008B2AE5" w:rsidP="00B42DE5">
      <w:pPr>
        <w:ind w:left="851"/>
        <w:rPr>
          <w:sz w:val="24"/>
          <w:szCs w:val="24"/>
        </w:rPr>
      </w:pPr>
      <w:r w:rsidRPr="00DC6BBF">
        <w:rPr>
          <w:sz w:val="24"/>
          <w:szCs w:val="24"/>
        </w:rPr>
        <w:t xml:space="preserve">Effekten af </w:t>
      </w:r>
      <w:proofErr w:type="spellStart"/>
      <w:r w:rsidRPr="00DC6BBF">
        <w:rPr>
          <w:sz w:val="24"/>
          <w:szCs w:val="24"/>
        </w:rPr>
        <w:t>calcipotriol</w:t>
      </w:r>
      <w:proofErr w:type="spellEnd"/>
      <w:r w:rsidRPr="00DC6BBF">
        <w:rPr>
          <w:sz w:val="24"/>
          <w:szCs w:val="24"/>
        </w:rPr>
        <w:t>/</w:t>
      </w:r>
      <w:proofErr w:type="spellStart"/>
      <w:r w:rsidRPr="00DC6BBF">
        <w:rPr>
          <w:sz w:val="24"/>
          <w:szCs w:val="24"/>
        </w:rPr>
        <w:t>betamethason</w:t>
      </w:r>
      <w:proofErr w:type="spellEnd"/>
      <w:r w:rsidRPr="00DC6BBF">
        <w:rPr>
          <w:sz w:val="24"/>
          <w:szCs w:val="24"/>
        </w:rPr>
        <w:t xml:space="preserve"> skum på livskvaliteten blev undersøgt i studie 1 ved at bruge det generiske EQ</w:t>
      </w:r>
      <w:r w:rsidRPr="00DC6BBF">
        <w:rPr>
          <w:sz w:val="24"/>
          <w:szCs w:val="24"/>
        </w:rPr>
        <w:noBreakHyphen/>
        <w:t>5D</w:t>
      </w:r>
      <w:r w:rsidRPr="00DC6BBF">
        <w:rPr>
          <w:sz w:val="24"/>
          <w:szCs w:val="24"/>
        </w:rPr>
        <w:noBreakHyphen/>
        <w:t xml:space="preserve">5L-spørgeskema og det dermatologisk specifikke DLQI-spørgeskema. DLQI for </w:t>
      </w:r>
      <w:proofErr w:type="spellStart"/>
      <w:r w:rsidRPr="00DC6BBF">
        <w:rPr>
          <w:sz w:val="24"/>
          <w:szCs w:val="24"/>
        </w:rPr>
        <w:t>calcipotriol</w:t>
      </w:r>
      <w:proofErr w:type="spellEnd"/>
      <w:r w:rsidRPr="00DC6BBF">
        <w:rPr>
          <w:sz w:val="24"/>
          <w:szCs w:val="24"/>
        </w:rPr>
        <w:t>/</w:t>
      </w:r>
      <w:proofErr w:type="spellStart"/>
      <w:r w:rsidRPr="00DC6BBF">
        <w:rPr>
          <w:sz w:val="24"/>
          <w:szCs w:val="24"/>
        </w:rPr>
        <w:t>betamethason</w:t>
      </w:r>
      <w:proofErr w:type="spellEnd"/>
      <w:r w:rsidRPr="00DC6BBF">
        <w:rPr>
          <w:sz w:val="24"/>
          <w:szCs w:val="24"/>
        </w:rPr>
        <w:t xml:space="preserve"> skum viste statistisk signifikant større forbedring i livskvalitet fra uge 1 og gennem hele behandlingsperioden og for EQ</w:t>
      </w:r>
      <w:r w:rsidRPr="00DC6BBF">
        <w:rPr>
          <w:sz w:val="24"/>
          <w:szCs w:val="24"/>
        </w:rPr>
        <w:noBreakHyphen/>
        <w:t>5D</w:t>
      </w:r>
      <w:r w:rsidRPr="00DC6BBF">
        <w:rPr>
          <w:sz w:val="24"/>
          <w:szCs w:val="24"/>
        </w:rPr>
        <w:noBreakHyphen/>
        <w:t>5L ved uge 4.</w:t>
      </w:r>
    </w:p>
    <w:p w14:paraId="330C1919" w14:textId="77777777" w:rsidR="008B2AE5" w:rsidRPr="00DC6BBF" w:rsidRDefault="008B2AE5" w:rsidP="00B42DE5">
      <w:pPr>
        <w:ind w:left="851"/>
        <w:rPr>
          <w:sz w:val="24"/>
          <w:szCs w:val="24"/>
        </w:rPr>
      </w:pPr>
    </w:p>
    <w:p w14:paraId="722BA753" w14:textId="77777777" w:rsidR="008B2AE5" w:rsidRPr="00DC6BBF" w:rsidRDefault="008B2AE5" w:rsidP="00B42DE5">
      <w:pPr>
        <w:ind w:left="851"/>
        <w:rPr>
          <w:sz w:val="24"/>
          <w:szCs w:val="24"/>
          <w:u w:val="single"/>
        </w:rPr>
      </w:pPr>
      <w:r w:rsidRPr="00DC6BBF">
        <w:rPr>
          <w:sz w:val="24"/>
          <w:szCs w:val="24"/>
          <w:u w:val="single"/>
        </w:rPr>
        <w:t>Pædiatrisk population</w:t>
      </w:r>
    </w:p>
    <w:p w14:paraId="0FBF13CA" w14:textId="77777777" w:rsidR="008B2AE5" w:rsidRPr="00DC6BBF" w:rsidRDefault="008B2AE5" w:rsidP="00B42DE5">
      <w:pPr>
        <w:ind w:left="851"/>
        <w:rPr>
          <w:sz w:val="24"/>
          <w:szCs w:val="24"/>
        </w:rPr>
      </w:pPr>
    </w:p>
    <w:p w14:paraId="3066F0F2" w14:textId="77777777" w:rsidR="008B2AE5" w:rsidRPr="00DC6BBF" w:rsidRDefault="008B2AE5" w:rsidP="00B42DE5">
      <w:pPr>
        <w:ind w:left="851"/>
        <w:rPr>
          <w:sz w:val="24"/>
          <w:szCs w:val="24"/>
        </w:rPr>
      </w:pPr>
      <w:r w:rsidRPr="00DC6BBF">
        <w:rPr>
          <w:sz w:val="24"/>
          <w:szCs w:val="24"/>
        </w:rPr>
        <w:t>Effekten på calciummetabolismen blev undersøgt i et ukontrolleret, åbent, 4</w:t>
      </w:r>
      <w:r w:rsidRPr="00DC6BBF">
        <w:rPr>
          <w:sz w:val="24"/>
          <w:szCs w:val="24"/>
        </w:rPr>
        <w:noBreakHyphen/>
        <w:t>ugers studie med 106 unge i alderen 12</w:t>
      </w:r>
      <w:r w:rsidRPr="00DC6BBF">
        <w:rPr>
          <w:sz w:val="24"/>
          <w:szCs w:val="24"/>
        </w:rPr>
        <w:noBreakHyphen/>
        <w:t xml:space="preserve">17 år med psoriasis i hovedbunden og på kroppen. Forsøgspersonerne anvendte op til 105 g </w:t>
      </w:r>
      <w:proofErr w:type="spellStart"/>
      <w:r w:rsidRPr="00DC6BBF">
        <w:rPr>
          <w:sz w:val="24"/>
          <w:szCs w:val="24"/>
        </w:rPr>
        <w:t>calcipotriol</w:t>
      </w:r>
      <w:proofErr w:type="spellEnd"/>
      <w:r w:rsidRPr="00DC6BBF">
        <w:rPr>
          <w:sz w:val="24"/>
          <w:szCs w:val="24"/>
        </w:rPr>
        <w:t>/</w:t>
      </w:r>
      <w:proofErr w:type="spellStart"/>
      <w:r w:rsidRPr="00DC6BBF">
        <w:rPr>
          <w:sz w:val="24"/>
          <w:szCs w:val="24"/>
        </w:rPr>
        <w:t>betamethason</w:t>
      </w:r>
      <w:proofErr w:type="spellEnd"/>
      <w:r w:rsidRPr="00DC6BBF">
        <w:rPr>
          <w:sz w:val="24"/>
          <w:szCs w:val="24"/>
        </w:rPr>
        <w:t xml:space="preserve"> skum pr. uge. Der blev ikke rapporteret tilfælde af </w:t>
      </w:r>
      <w:proofErr w:type="spellStart"/>
      <w:r w:rsidRPr="00DC6BBF">
        <w:rPr>
          <w:sz w:val="24"/>
          <w:szCs w:val="24"/>
        </w:rPr>
        <w:t>hypercalcæmi</w:t>
      </w:r>
      <w:proofErr w:type="spellEnd"/>
      <w:r w:rsidRPr="00DC6BBF">
        <w:rPr>
          <w:sz w:val="24"/>
          <w:szCs w:val="24"/>
        </w:rPr>
        <w:t xml:space="preserve"> og klinisk relevante ændringer i urin-calcium.</w:t>
      </w:r>
    </w:p>
    <w:p w14:paraId="78362F1B" w14:textId="77777777" w:rsidR="008B2AE5" w:rsidRPr="00DC6BBF" w:rsidRDefault="008B2AE5" w:rsidP="00B42DE5">
      <w:pPr>
        <w:ind w:left="851"/>
        <w:rPr>
          <w:sz w:val="24"/>
          <w:szCs w:val="24"/>
        </w:rPr>
      </w:pPr>
      <w:r w:rsidRPr="00DC6BBF">
        <w:rPr>
          <w:sz w:val="24"/>
          <w:szCs w:val="24"/>
        </w:rPr>
        <w:t xml:space="preserve">Det </w:t>
      </w:r>
      <w:proofErr w:type="spellStart"/>
      <w:r w:rsidRPr="00DC6BBF">
        <w:rPr>
          <w:sz w:val="24"/>
          <w:szCs w:val="24"/>
        </w:rPr>
        <w:t>adrenale</w:t>
      </w:r>
      <w:proofErr w:type="spellEnd"/>
      <w:r w:rsidRPr="00DC6BBF">
        <w:rPr>
          <w:sz w:val="24"/>
          <w:szCs w:val="24"/>
        </w:rPr>
        <w:t xml:space="preserve"> respons på eksponering for ACTH blev målt hos 33 forsøgspersoner med omfattende </w:t>
      </w:r>
      <w:proofErr w:type="spellStart"/>
      <w:r w:rsidRPr="00DC6BBF">
        <w:rPr>
          <w:sz w:val="24"/>
          <w:szCs w:val="24"/>
        </w:rPr>
        <w:t>plaque</w:t>
      </w:r>
      <w:proofErr w:type="spellEnd"/>
      <w:r w:rsidRPr="00DC6BBF">
        <w:rPr>
          <w:sz w:val="24"/>
          <w:szCs w:val="24"/>
        </w:rPr>
        <w:t xml:space="preserve"> psoriasis på mindst 20 % af hovedbunden og 10 % af kroppens overfladeareal. Efter 4 ugers behandling med </w:t>
      </w:r>
      <w:proofErr w:type="spellStart"/>
      <w:r w:rsidRPr="00DC6BBF">
        <w:rPr>
          <w:sz w:val="24"/>
          <w:szCs w:val="24"/>
        </w:rPr>
        <w:t>calcipotriol</w:t>
      </w:r>
      <w:proofErr w:type="spellEnd"/>
      <w:r w:rsidRPr="00DC6BBF">
        <w:rPr>
          <w:sz w:val="24"/>
          <w:szCs w:val="24"/>
        </w:rPr>
        <w:t>/</w:t>
      </w:r>
      <w:proofErr w:type="spellStart"/>
      <w:r w:rsidRPr="00DC6BBF">
        <w:rPr>
          <w:sz w:val="24"/>
          <w:szCs w:val="24"/>
        </w:rPr>
        <w:t>betamethason</w:t>
      </w:r>
      <w:proofErr w:type="spellEnd"/>
      <w:r w:rsidRPr="00DC6BBF">
        <w:rPr>
          <w:sz w:val="24"/>
          <w:szCs w:val="24"/>
        </w:rPr>
        <w:t xml:space="preserve"> skum havde 2 forsøgspersoner et kortisolrespons på ≤ 18 mikrogram/dl, 30 minutter efter ACTH-eksponering, men de havde et normalt respons igen efter 60 minutter. En tredje forsøgsperson havde minimal kortisolrespons efter ACTH-eksponeringen ved </w:t>
      </w:r>
      <w:r w:rsidRPr="00DC6BBF">
        <w:rPr>
          <w:i/>
          <w:iCs/>
          <w:sz w:val="24"/>
          <w:szCs w:val="24"/>
        </w:rPr>
        <w:t>baseline</w:t>
      </w:r>
      <w:r w:rsidRPr="00DC6BBF">
        <w:rPr>
          <w:sz w:val="24"/>
          <w:szCs w:val="24"/>
        </w:rPr>
        <w:t>, hvilket medførte utilstrækkelige resultater efter behandlingen. Ingen af disse tilfælde havde kliniske manifestationer.</w:t>
      </w:r>
    </w:p>
    <w:p w14:paraId="25974927" w14:textId="77777777" w:rsidR="009260DE" w:rsidRPr="00DC6BBF" w:rsidRDefault="009260DE" w:rsidP="009260DE">
      <w:pPr>
        <w:tabs>
          <w:tab w:val="left" w:pos="851"/>
        </w:tabs>
        <w:ind w:left="851"/>
        <w:rPr>
          <w:sz w:val="24"/>
          <w:szCs w:val="24"/>
        </w:rPr>
      </w:pPr>
    </w:p>
    <w:p w14:paraId="37DE11C5" w14:textId="77777777" w:rsidR="009260DE" w:rsidRPr="00DC6BBF" w:rsidRDefault="009260DE" w:rsidP="009260DE">
      <w:pPr>
        <w:tabs>
          <w:tab w:val="left" w:pos="851"/>
        </w:tabs>
        <w:ind w:left="851" w:hanging="851"/>
        <w:rPr>
          <w:b/>
          <w:sz w:val="24"/>
          <w:szCs w:val="24"/>
        </w:rPr>
      </w:pPr>
      <w:r w:rsidRPr="00DC6BBF">
        <w:rPr>
          <w:b/>
          <w:sz w:val="24"/>
          <w:szCs w:val="24"/>
        </w:rPr>
        <w:t>5.2</w:t>
      </w:r>
      <w:r w:rsidRPr="00DC6BBF">
        <w:rPr>
          <w:b/>
          <w:sz w:val="24"/>
          <w:szCs w:val="24"/>
        </w:rPr>
        <w:tab/>
      </w:r>
      <w:proofErr w:type="spellStart"/>
      <w:r w:rsidRPr="00DC6BBF">
        <w:rPr>
          <w:b/>
          <w:sz w:val="24"/>
          <w:szCs w:val="24"/>
        </w:rPr>
        <w:t>Farmakokinetiske</w:t>
      </w:r>
      <w:proofErr w:type="spellEnd"/>
      <w:r w:rsidRPr="00DC6BBF">
        <w:rPr>
          <w:b/>
          <w:sz w:val="24"/>
          <w:szCs w:val="24"/>
        </w:rPr>
        <w:t xml:space="preserve"> egenskaber</w:t>
      </w:r>
    </w:p>
    <w:p w14:paraId="694E1B2F" w14:textId="77777777" w:rsidR="008B2AE5" w:rsidRPr="00DC6BBF" w:rsidRDefault="008B2AE5" w:rsidP="00B42DE5">
      <w:pPr>
        <w:ind w:left="851"/>
        <w:rPr>
          <w:sz w:val="24"/>
          <w:szCs w:val="24"/>
        </w:rPr>
      </w:pPr>
      <w:r w:rsidRPr="00DC6BBF">
        <w:rPr>
          <w:sz w:val="24"/>
          <w:szCs w:val="24"/>
        </w:rPr>
        <w:t xml:space="preserve">Efter systemisk eksponering bliver begge de aktive substanser – </w:t>
      </w:r>
      <w:proofErr w:type="spellStart"/>
      <w:r w:rsidRPr="00DC6BBF">
        <w:rPr>
          <w:sz w:val="24"/>
          <w:szCs w:val="24"/>
        </w:rPr>
        <w:t>calcipotriol</w:t>
      </w:r>
      <w:proofErr w:type="spellEnd"/>
      <w:r w:rsidRPr="00DC6BBF">
        <w:rPr>
          <w:sz w:val="24"/>
          <w:szCs w:val="24"/>
        </w:rPr>
        <w:t xml:space="preserve"> og </w:t>
      </w:r>
      <w:proofErr w:type="spellStart"/>
      <w:r w:rsidRPr="00DC6BBF">
        <w:rPr>
          <w:sz w:val="24"/>
          <w:szCs w:val="24"/>
        </w:rPr>
        <w:t>betamethasondipropionat</w:t>
      </w:r>
      <w:proofErr w:type="spellEnd"/>
      <w:r w:rsidRPr="00DC6BBF">
        <w:rPr>
          <w:sz w:val="24"/>
          <w:szCs w:val="24"/>
        </w:rPr>
        <w:t xml:space="preserve"> – </w:t>
      </w:r>
      <w:proofErr w:type="spellStart"/>
      <w:r w:rsidRPr="00DC6BBF">
        <w:rPr>
          <w:sz w:val="24"/>
          <w:szCs w:val="24"/>
        </w:rPr>
        <w:t>metaboliseret</w:t>
      </w:r>
      <w:proofErr w:type="spellEnd"/>
      <w:r w:rsidRPr="00DC6BBF">
        <w:rPr>
          <w:sz w:val="24"/>
          <w:szCs w:val="24"/>
        </w:rPr>
        <w:t xml:space="preserve"> hurtigt og ekstensivt.</w:t>
      </w:r>
    </w:p>
    <w:p w14:paraId="7475BC74" w14:textId="77777777" w:rsidR="008B2AE5" w:rsidRPr="00DC6BBF" w:rsidRDefault="008B2AE5" w:rsidP="00B42DE5">
      <w:pPr>
        <w:ind w:left="851"/>
        <w:rPr>
          <w:sz w:val="24"/>
          <w:szCs w:val="24"/>
        </w:rPr>
      </w:pPr>
    </w:p>
    <w:p w14:paraId="63CB9AEF" w14:textId="77777777" w:rsidR="008B2AE5" w:rsidRPr="00DC6BBF" w:rsidRDefault="008B2AE5" w:rsidP="00B42DE5">
      <w:pPr>
        <w:ind w:left="851"/>
        <w:rPr>
          <w:sz w:val="24"/>
          <w:szCs w:val="24"/>
        </w:rPr>
      </w:pPr>
      <w:proofErr w:type="spellStart"/>
      <w:r w:rsidRPr="00DC6BBF">
        <w:rPr>
          <w:sz w:val="24"/>
          <w:szCs w:val="24"/>
        </w:rPr>
        <w:t>Calcipotriol</w:t>
      </w:r>
      <w:proofErr w:type="spellEnd"/>
      <w:r w:rsidRPr="00DC6BBF">
        <w:rPr>
          <w:sz w:val="24"/>
          <w:szCs w:val="24"/>
        </w:rPr>
        <w:t xml:space="preserve"> udskilles hovedsageligt via fæces (rotter og minigrise) og </w:t>
      </w:r>
      <w:proofErr w:type="spellStart"/>
      <w:r w:rsidRPr="00DC6BBF">
        <w:rPr>
          <w:sz w:val="24"/>
          <w:szCs w:val="24"/>
        </w:rPr>
        <w:t>betamethasondipropionat</w:t>
      </w:r>
      <w:proofErr w:type="spellEnd"/>
      <w:r w:rsidRPr="00DC6BBF">
        <w:rPr>
          <w:sz w:val="24"/>
          <w:szCs w:val="24"/>
        </w:rPr>
        <w:t xml:space="preserve"> via urinen (rotter og mus). Hos rotter har studier af vævsfordelingen af radioaktivt mærket </w:t>
      </w:r>
      <w:proofErr w:type="spellStart"/>
      <w:r w:rsidRPr="00DC6BBF">
        <w:rPr>
          <w:sz w:val="24"/>
          <w:szCs w:val="24"/>
        </w:rPr>
        <w:t>calcipotriol</w:t>
      </w:r>
      <w:proofErr w:type="spellEnd"/>
      <w:r w:rsidRPr="00DC6BBF">
        <w:rPr>
          <w:sz w:val="24"/>
          <w:szCs w:val="24"/>
        </w:rPr>
        <w:t xml:space="preserve"> og </w:t>
      </w:r>
      <w:proofErr w:type="spellStart"/>
      <w:r w:rsidRPr="00DC6BBF">
        <w:rPr>
          <w:sz w:val="24"/>
          <w:szCs w:val="24"/>
        </w:rPr>
        <w:t>betamethasondipropionat</w:t>
      </w:r>
      <w:proofErr w:type="spellEnd"/>
      <w:r w:rsidRPr="00DC6BBF">
        <w:rPr>
          <w:sz w:val="24"/>
          <w:szCs w:val="24"/>
        </w:rPr>
        <w:t xml:space="preserve"> vist, at nyrerne og leveren har det højeste niveau af radioaktivitet.</w:t>
      </w:r>
    </w:p>
    <w:p w14:paraId="1503B924" w14:textId="77777777" w:rsidR="008B2AE5" w:rsidRPr="00DC6BBF" w:rsidRDefault="008B2AE5" w:rsidP="00B42DE5">
      <w:pPr>
        <w:ind w:left="851"/>
        <w:rPr>
          <w:sz w:val="24"/>
          <w:szCs w:val="24"/>
        </w:rPr>
      </w:pPr>
    </w:p>
    <w:p w14:paraId="4AE24649" w14:textId="77777777" w:rsidR="008B2AE5" w:rsidRPr="00DC6BBF" w:rsidRDefault="008B2AE5" w:rsidP="00B42DE5">
      <w:pPr>
        <w:ind w:left="851"/>
        <w:rPr>
          <w:sz w:val="24"/>
          <w:szCs w:val="24"/>
        </w:rPr>
      </w:pPr>
      <w:r w:rsidRPr="00DC6BBF">
        <w:rPr>
          <w:sz w:val="24"/>
          <w:szCs w:val="24"/>
        </w:rPr>
        <w:t xml:space="preserve">Omfanget af </w:t>
      </w:r>
      <w:proofErr w:type="spellStart"/>
      <w:r w:rsidRPr="00DC6BBF">
        <w:rPr>
          <w:sz w:val="24"/>
          <w:szCs w:val="24"/>
        </w:rPr>
        <w:t>perkutan</w:t>
      </w:r>
      <w:proofErr w:type="spellEnd"/>
      <w:r w:rsidRPr="00DC6BBF">
        <w:rPr>
          <w:sz w:val="24"/>
          <w:szCs w:val="24"/>
        </w:rPr>
        <w:t xml:space="preserve"> absorption af de to aktive substanser efter </w:t>
      </w:r>
      <w:proofErr w:type="spellStart"/>
      <w:r w:rsidRPr="00DC6BBF">
        <w:rPr>
          <w:sz w:val="24"/>
          <w:szCs w:val="24"/>
        </w:rPr>
        <w:t>topikal</w:t>
      </w:r>
      <w:proofErr w:type="spellEnd"/>
      <w:r w:rsidRPr="00DC6BBF">
        <w:rPr>
          <w:sz w:val="24"/>
          <w:szCs w:val="24"/>
        </w:rPr>
        <w:t xml:space="preserve"> applikation af </w:t>
      </w:r>
      <w:proofErr w:type="spellStart"/>
      <w:r w:rsidRPr="00DC6BBF">
        <w:rPr>
          <w:sz w:val="24"/>
          <w:szCs w:val="24"/>
        </w:rPr>
        <w:t>calcipotriol</w:t>
      </w:r>
      <w:proofErr w:type="spellEnd"/>
      <w:r w:rsidRPr="00DC6BBF">
        <w:rPr>
          <w:sz w:val="24"/>
          <w:szCs w:val="24"/>
        </w:rPr>
        <w:t>/</w:t>
      </w:r>
      <w:proofErr w:type="spellStart"/>
      <w:r w:rsidRPr="00DC6BBF">
        <w:rPr>
          <w:sz w:val="24"/>
          <w:szCs w:val="24"/>
        </w:rPr>
        <w:t>betamethason</w:t>
      </w:r>
      <w:proofErr w:type="spellEnd"/>
      <w:r w:rsidRPr="00DC6BBF">
        <w:rPr>
          <w:sz w:val="24"/>
          <w:szCs w:val="24"/>
        </w:rPr>
        <w:t xml:space="preserve"> skum blev bestemt i HPA-akse-studiet hos forsøgspersoner med omfattende psoriasis </w:t>
      </w:r>
      <w:proofErr w:type="spellStart"/>
      <w:r w:rsidRPr="00DC6BBF">
        <w:rPr>
          <w:sz w:val="24"/>
          <w:szCs w:val="24"/>
        </w:rPr>
        <w:t>vulgaris</w:t>
      </w:r>
      <w:proofErr w:type="spellEnd"/>
      <w:r w:rsidRPr="00DC6BBF">
        <w:rPr>
          <w:sz w:val="24"/>
          <w:szCs w:val="24"/>
        </w:rPr>
        <w:t xml:space="preserve"> (se pkt. 5.1). </w:t>
      </w:r>
      <w:proofErr w:type="spellStart"/>
      <w:r w:rsidRPr="00DC6BBF">
        <w:rPr>
          <w:sz w:val="24"/>
          <w:szCs w:val="24"/>
        </w:rPr>
        <w:t>Calcipotriol</w:t>
      </w:r>
      <w:proofErr w:type="spellEnd"/>
      <w:r w:rsidRPr="00DC6BBF">
        <w:rPr>
          <w:sz w:val="24"/>
          <w:szCs w:val="24"/>
        </w:rPr>
        <w:t xml:space="preserve"> og </w:t>
      </w:r>
      <w:proofErr w:type="spellStart"/>
      <w:r w:rsidRPr="00DC6BBF">
        <w:rPr>
          <w:sz w:val="24"/>
          <w:szCs w:val="24"/>
        </w:rPr>
        <w:t>betamethasondipropionat</w:t>
      </w:r>
      <w:proofErr w:type="spellEnd"/>
      <w:r w:rsidRPr="00DC6BBF">
        <w:rPr>
          <w:sz w:val="24"/>
          <w:szCs w:val="24"/>
        </w:rPr>
        <w:t xml:space="preserve"> var under den målbare grænse i hovedparten af prøverne fra 35 patienter, der blev behandlet én gang dagligt i 4 uger for udbredt psoriasis på kroppen og i hårbunden. </w:t>
      </w:r>
      <w:proofErr w:type="spellStart"/>
      <w:r w:rsidRPr="00DC6BBF">
        <w:rPr>
          <w:sz w:val="24"/>
          <w:szCs w:val="24"/>
        </w:rPr>
        <w:t>Calcipotriol</w:t>
      </w:r>
      <w:proofErr w:type="spellEnd"/>
      <w:r w:rsidRPr="00DC6BBF">
        <w:rPr>
          <w:sz w:val="24"/>
          <w:szCs w:val="24"/>
        </w:rPr>
        <w:t xml:space="preserve"> var målbar på et tidspunkt hos 1 forsøgsperson, </w:t>
      </w:r>
      <w:proofErr w:type="spellStart"/>
      <w:r w:rsidRPr="00DC6BBF">
        <w:rPr>
          <w:sz w:val="24"/>
          <w:szCs w:val="24"/>
        </w:rPr>
        <w:t>betamethasondipropionat</w:t>
      </w:r>
      <w:proofErr w:type="spellEnd"/>
      <w:r w:rsidRPr="00DC6BBF">
        <w:rPr>
          <w:sz w:val="24"/>
          <w:szCs w:val="24"/>
        </w:rPr>
        <w:t xml:space="preserve"> hos 5 forsøgspersoner og metabolitter af </w:t>
      </w:r>
      <w:proofErr w:type="spellStart"/>
      <w:r w:rsidRPr="00DC6BBF">
        <w:rPr>
          <w:sz w:val="24"/>
          <w:szCs w:val="24"/>
        </w:rPr>
        <w:t>calcipotriol</w:t>
      </w:r>
      <w:proofErr w:type="spellEnd"/>
      <w:r w:rsidRPr="00DC6BBF">
        <w:rPr>
          <w:sz w:val="24"/>
          <w:szCs w:val="24"/>
        </w:rPr>
        <w:t xml:space="preserve"> og </w:t>
      </w:r>
      <w:proofErr w:type="spellStart"/>
      <w:r w:rsidRPr="00DC6BBF">
        <w:rPr>
          <w:sz w:val="24"/>
          <w:szCs w:val="24"/>
        </w:rPr>
        <w:t>betamethasondipropionat</w:t>
      </w:r>
      <w:proofErr w:type="spellEnd"/>
      <w:r w:rsidRPr="00DC6BBF">
        <w:rPr>
          <w:sz w:val="24"/>
          <w:szCs w:val="24"/>
        </w:rPr>
        <w:t xml:space="preserve"> var målbare hos henholdsvis 3 og 27 forsøgspersoner.</w:t>
      </w:r>
    </w:p>
    <w:p w14:paraId="3FB4A3C9" w14:textId="77777777" w:rsidR="009260DE" w:rsidRPr="00DC6BBF" w:rsidRDefault="009260DE" w:rsidP="009260DE">
      <w:pPr>
        <w:tabs>
          <w:tab w:val="left" w:pos="851"/>
        </w:tabs>
        <w:ind w:left="851"/>
        <w:rPr>
          <w:sz w:val="24"/>
          <w:szCs w:val="24"/>
        </w:rPr>
      </w:pPr>
    </w:p>
    <w:p w14:paraId="0FFC29DE" w14:textId="77777777" w:rsidR="009260DE" w:rsidRPr="00DC6BBF" w:rsidRDefault="009260DE" w:rsidP="009260DE">
      <w:pPr>
        <w:tabs>
          <w:tab w:val="left" w:pos="851"/>
        </w:tabs>
        <w:ind w:left="851" w:hanging="851"/>
        <w:rPr>
          <w:b/>
          <w:sz w:val="24"/>
          <w:szCs w:val="24"/>
        </w:rPr>
      </w:pPr>
      <w:r w:rsidRPr="00DC6BBF">
        <w:rPr>
          <w:b/>
          <w:sz w:val="24"/>
          <w:szCs w:val="24"/>
        </w:rPr>
        <w:t>5.3</w:t>
      </w:r>
      <w:r w:rsidRPr="00DC6BBF">
        <w:rPr>
          <w:b/>
          <w:sz w:val="24"/>
          <w:szCs w:val="24"/>
        </w:rPr>
        <w:tab/>
      </w:r>
      <w:r w:rsidR="00BD7931" w:rsidRPr="00DC6BBF">
        <w:rPr>
          <w:b/>
          <w:sz w:val="24"/>
          <w:szCs w:val="24"/>
        </w:rPr>
        <w:t>Non-</w:t>
      </w:r>
      <w:r w:rsidRPr="00DC6BBF">
        <w:rPr>
          <w:b/>
          <w:sz w:val="24"/>
          <w:szCs w:val="24"/>
        </w:rPr>
        <w:t>kliniske sikkerhedsdata</w:t>
      </w:r>
    </w:p>
    <w:p w14:paraId="464F3E83" w14:textId="77777777" w:rsidR="008B2AE5" w:rsidRPr="00DC6BBF" w:rsidRDefault="008B2AE5" w:rsidP="00B42DE5">
      <w:pPr>
        <w:ind w:left="851"/>
        <w:rPr>
          <w:sz w:val="24"/>
          <w:szCs w:val="24"/>
        </w:rPr>
      </w:pPr>
      <w:r w:rsidRPr="00DC6BBF">
        <w:rPr>
          <w:sz w:val="24"/>
          <w:szCs w:val="24"/>
        </w:rPr>
        <w:t xml:space="preserve">Non-kliniske litteraturdata viser ingen speciel risiko for mennesker vurderet ud fra studier af sikkerhedsfarmakologi, genotoksicitet og </w:t>
      </w:r>
      <w:proofErr w:type="spellStart"/>
      <w:r w:rsidRPr="00DC6BBF">
        <w:rPr>
          <w:sz w:val="24"/>
          <w:szCs w:val="24"/>
        </w:rPr>
        <w:t>karcinogent</w:t>
      </w:r>
      <w:proofErr w:type="spellEnd"/>
      <w:r w:rsidRPr="00DC6BBF">
        <w:rPr>
          <w:sz w:val="24"/>
          <w:szCs w:val="24"/>
        </w:rPr>
        <w:t xml:space="preserve"> potentiale.</w:t>
      </w:r>
    </w:p>
    <w:p w14:paraId="691E01F4" w14:textId="77777777" w:rsidR="008B2AE5" w:rsidRPr="00DC6BBF" w:rsidRDefault="008B2AE5" w:rsidP="00B42DE5">
      <w:pPr>
        <w:ind w:left="851"/>
        <w:rPr>
          <w:sz w:val="24"/>
          <w:szCs w:val="24"/>
        </w:rPr>
      </w:pPr>
    </w:p>
    <w:p w14:paraId="3F3DC9BA" w14:textId="77777777" w:rsidR="008B2AE5" w:rsidRPr="00DC6BBF" w:rsidRDefault="008B2AE5" w:rsidP="00B42DE5">
      <w:pPr>
        <w:ind w:left="851"/>
        <w:rPr>
          <w:sz w:val="24"/>
          <w:szCs w:val="24"/>
        </w:rPr>
      </w:pPr>
      <w:r w:rsidRPr="00DC6BBF">
        <w:rPr>
          <w:sz w:val="24"/>
          <w:szCs w:val="24"/>
        </w:rPr>
        <w:t xml:space="preserve">I litteraturdata fra studier med gentagne doser hos mus, rotter, hunde og minigrise var fundene konsistente med en forøget farmakologisk aktivitet af de aktive stoffer. </w:t>
      </w:r>
      <w:proofErr w:type="spellStart"/>
      <w:r w:rsidRPr="00DC6BBF">
        <w:rPr>
          <w:sz w:val="24"/>
          <w:szCs w:val="24"/>
        </w:rPr>
        <w:t>Calcipotriol</w:t>
      </w:r>
      <w:proofErr w:type="spellEnd"/>
      <w:r w:rsidRPr="00DC6BBF">
        <w:rPr>
          <w:sz w:val="24"/>
          <w:szCs w:val="24"/>
        </w:rPr>
        <w:t xml:space="preserve"> medførte forstyrrelser i calcium-metabolismen med </w:t>
      </w:r>
      <w:proofErr w:type="spellStart"/>
      <w:r w:rsidRPr="00DC6BBF">
        <w:rPr>
          <w:sz w:val="24"/>
          <w:szCs w:val="24"/>
        </w:rPr>
        <w:t>hypercalcæmi</w:t>
      </w:r>
      <w:proofErr w:type="spellEnd"/>
      <w:r w:rsidRPr="00DC6BBF">
        <w:rPr>
          <w:sz w:val="24"/>
          <w:szCs w:val="24"/>
        </w:rPr>
        <w:t xml:space="preserve"> og </w:t>
      </w:r>
      <w:proofErr w:type="spellStart"/>
      <w:r w:rsidRPr="00DC6BBF">
        <w:rPr>
          <w:sz w:val="24"/>
          <w:szCs w:val="24"/>
        </w:rPr>
        <w:t>mineralisering</w:t>
      </w:r>
      <w:proofErr w:type="spellEnd"/>
      <w:r w:rsidRPr="00DC6BBF">
        <w:rPr>
          <w:sz w:val="24"/>
          <w:szCs w:val="24"/>
        </w:rPr>
        <w:t xml:space="preserve"> af blødt væv, mens </w:t>
      </w:r>
      <w:proofErr w:type="spellStart"/>
      <w:r w:rsidRPr="00DC6BBF">
        <w:rPr>
          <w:sz w:val="24"/>
          <w:szCs w:val="24"/>
        </w:rPr>
        <w:t>betamethasondipropionat</w:t>
      </w:r>
      <w:proofErr w:type="spellEnd"/>
      <w:r w:rsidRPr="00DC6BBF">
        <w:rPr>
          <w:sz w:val="24"/>
          <w:szCs w:val="24"/>
        </w:rPr>
        <w:t xml:space="preserve"> forårsagede klassetypiske </w:t>
      </w:r>
      <w:proofErr w:type="spellStart"/>
      <w:r w:rsidRPr="00DC6BBF">
        <w:rPr>
          <w:sz w:val="24"/>
          <w:szCs w:val="24"/>
        </w:rPr>
        <w:t>glukokortikoid</w:t>
      </w:r>
      <w:proofErr w:type="spellEnd"/>
      <w:r w:rsidRPr="00DC6BBF">
        <w:rPr>
          <w:sz w:val="24"/>
          <w:szCs w:val="24"/>
        </w:rPr>
        <w:t xml:space="preserve">-effekter såsom forstyrrelser af HPA-aksen, binyreatrofi, udtynding af huden og immunsuppression. Specifikt efter </w:t>
      </w:r>
      <w:proofErr w:type="spellStart"/>
      <w:r w:rsidRPr="00DC6BBF">
        <w:rPr>
          <w:sz w:val="24"/>
          <w:szCs w:val="24"/>
        </w:rPr>
        <w:t>dermal</w:t>
      </w:r>
      <w:proofErr w:type="spellEnd"/>
      <w:r w:rsidRPr="00DC6BBF">
        <w:rPr>
          <w:sz w:val="24"/>
          <w:szCs w:val="24"/>
        </w:rPr>
        <w:t xml:space="preserve"> administration var NOAEL ca. 3 µg/kg/dag hos mus, 0,4 µg/kg/dag hos rotter og hunde, og LOAEL var 4 µg/kg/dag hos minigrise, hvilket svarer til doser langt over, hvad der anses for klinisk relevante. I et 90-dages studie hos minigrise forårsagede den kombinerede </w:t>
      </w:r>
      <w:proofErr w:type="spellStart"/>
      <w:r w:rsidRPr="00DC6BBF">
        <w:rPr>
          <w:sz w:val="24"/>
          <w:szCs w:val="24"/>
        </w:rPr>
        <w:t>calcipotriol</w:t>
      </w:r>
      <w:proofErr w:type="spellEnd"/>
      <w:r w:rsidRPr="00DC6BBF">
        <w:rPr>
          <w:sz w:val="24"/>
          <w:szCs w:val="24"/>
        </w:rPr>
        <w:t>/</w:t>
      </w:r>
      <w:proofErr w:type="spellStart"/>
      <w:r w:rsidRPr="00DC6BBF">
        <w:rPr>
          <w:sz w:val="24"/>
          <w:szCs w:val="24"/>
        </w:rPr>
        <w:t>betamethason</w:t>
      </w:r>
      <w:proofErr w:type="spellEnd"/>
      <w:r w:rsidRPr="00DC6BBF">
        <w:rPr>
          <w:sz w:val="24"/>
          <w:szCs w:val="24"/>
        </w:rPr>
        <w:t>-formulering (salve) imidlertid minimal til moderat binyreatrofi og udtynding af huden ved klinisk relevante eksponeringer.</w:t>
      </w:r>
    </w:p>
    <w:p w14:paraId="4070C77A" w14:textId="77777777" w:rsidR="008B2AE5" w:rsidRPr="00DC6BBF" w:rsidRDefault="008B2AE5" w:rsidP="00B42DE5">
      <w:pPr>
        <w:ind w:left="851"/>
        <w:rPr>
          <w:sz w:val="24"/>
          <w:szCs w:val="24"/>
        </w:rPr>
      </w:pPr>
    </w:p>
    <w:p w14:paraId="41A1642B" w14:textId="77777777" w:rsidR="008B2AE5" w:rsidRPr="00DC6BBF" w:rsidRDefault="008B2AE5" w:rsidP="00B42DE5">
      <w:pPr>
        <w:ind w:left="851"/>
        <w:rPr>
          <w:sz w:val="24"/>
          <w:szCs w:val="24"/>
        </w:rPr>
      </w:pPr>
      <w:r w:rsidRPr="00DC6BBF">
        <w:rPr>
          <w:sz w:val="24"/>
          <w:szCs w:val="24"/>
        </w:rPr>
        <w:t>Litteraturdata fra reproduktions- og udviklingstoksicitetsstudier hos rotter, kaniner og aber (ikke-</w:t>
      </w:r>
      <w:proofErr w:type="spellStart"/>
      <w:r w:rsidRPr="00DC6BBF">
        <w:rPr>
          <w:sz w:val="24"/>
          <w:szCs w:val="24"/>
        </w:rPr>
        <w:t>dermal</w:t>
      </w:r>
      <w:proofErr w:type="spellEnd"/>
      <w:r w:rsidRPr="00DC6BBF">
        <w:rPr>
          <w:sz w:val="24"/>
          <w:szCs w:val="24"/>
        </w:rPr>
        <w:t xml:space="preserve"> administration) viste klasserelaterede effekter af </w:t>
      </w:r>
      <w:proofErr w:type="spellStart"/>
      <w:r w:rsidRPr="00DC6BBF">
        <w:rPr>
          <w:sz w:val="24"/>
          <w:szCs w:val="24"/>
        </w:rPr>
        <w:t>kortikosteroider</w:t>
      </w:r>
      <w:proofErr w:type="spellEnd"/>
      <w:r w:rsidRPr="00DC6BBF">
        <w:rPr>
          <w:sz w:val="24"/>
          <w:szCs w:val="24"/>
        </w:rPr>
        <w:t xml:space="preserve"> (væksthæmning, binyresuppression og ændringer i organmodning) ved </w:t>
      </w:r>
      <w:proofErr w:type="spellStart"/>
      <w:r w:rsidRPr="00DC6BBF">
        <w:rPr>
          <w:sz w:val="24"/>
          <w:szCs w:val="24"/>
        </w:rPr>
        <w:t>maternelt</w:t>
      </w:r>
      <w:proofErr w:type="spellEnd"/>
      <w:r w:rsidRPr="00DC6BBF">
        <w:rPr>
          <w:sz w:val="24"/>
          <w:szCs w:val="24"/>
        </w:rPr>
        <w:t xml:space="preserve"> eller systemisk toksiske doser. Der blev ikke observeret bivirkninger på fertilitet eller </w:t>
      </w:r>
      <w:proofErr w:type="spellStart"/>
      <w:r w:rsidRPr="00DC6BBF">
        <w:rPr>
          <w:sz w:val="24"/>
          <w:szCs w:val="24"/>
        </w:rPr>
        <w:t>embryoføtal</w:t>
      </w:r>
      <w:proofErr w:type="spellEnd"/>
      <w:r w:rsidRPr="00DC6BBF">
        <w:rPr>
          <w:sz w:val="24"/>
          <w:szCs w:val="24"/>
        </w:rPr>
        <w:t xml:space="preserve"> udvikling. Samlet set var de systemiske eksponeringer, der gav bivirkninger hos dyr, væsentligt højere end dem, der forventes hos mennesker efter </w:t>
      </w:r>
      <w:proofErr w:type="spellStart"/>
      <w:r w:rsidRPr="00DC6BBF">
        <w:rPr>
          <w:sz w:val="24"/>
          <w:szCs w:val="24"/>
        </w:rPr>
        <w:t>topikal</w:t>
      </w:r>
      <w:proofErr w:type="spellEnd"/>
      <w:r w:rsidRPr="00DC6BBF">
        <w:rPr>
          <w:sz w:val="24"/>
          <w:szCs w:val="24"/>
        </w:rPr>
        <w:t xml:space="preserve"> administration af </w:t>
      </w:r>
      <w:proofErr w:type="spellStart"/>
      <w:r w:rsidRPr="00DC6BBF">
        <w:rPr>
          <w:sz w:val="24"/>
          <w:szCs w:val="24"/>
        </w:rPr>
        <w:t>calcipotriol</w:t>
      </w:r>
      <w:proofErr w:type="spellEnd"/>
      <w:r w:rsidRPr="00DC6BBF">
        <w:rPr>
          <w:sz w:val="24"/>
          <w:szCs w:val="24"/>
        </w:rPr>
        <w:t>/</w:t>
      </w:r>
      <w:proofErr w:type="spellStart"/>
      <w:r w:rsidRPr="00DC6BBF">
        <w:rPr>
          <w:sz w:val="24"/>
          <w:szCs w:val="24"/>
        </w:rPr>
        <w:t>betamethason</w:t>
      </w:r>
      <w:proofErr w:type="spellEnd"/>
      <w:r w:rsidRPr="00DC6BBF">
        <w:rPr>
          <w:sz w:val="24"/>
          <w:szCs w:val="24"/>
        </w:rPr>
        <w:t xml:space="preserve"> skum, og de observerede fund anses ikke for klinisk relevante for den tilsigtede terapeutiske anvendelse. En potentiel </w:t>
      </w:r>
      <w:proofErr w:type="spellStart"/>
      <w:r w:rsidRPr="00DC6BBF">
        <w:rPr>
          <w:sz w:val="24"/>
          <w:szCs w:val="24"/>
        </w:rPr>
        <w:t>føtal</w:t>
      </w:r>
      <w:proofErr w:type="spellEnd"/>
      <w:r w:rsidRPr="00DC6BBF">
        <w:rPr>
          <w:sz w:val="24"/>
          <w:szCs w:val="24"/>
        </w:rPr>
        <w:t xml:space="preserve"> og/eller udviklingsmæssig risiko kan imidlertid ikke udelukkes på baggrund af de tilgængelige litteraturdata.</w:t>
      </w:r>
    </w:p>
    <w:p w14:paraId="1D4E755C" w14:textId="77777777" w:rsidR="009260DE" w:rsidRPr="00DC6BBF" w:rsidRDefault="009260DE" w:rsidP="009260DE">
      <w:pPr>
        <w:tabs>
          <w:tab w:val="left" w:pos="851"/>
        </w:tabs>
        <w:ind w:left="851"/>
        <w:rPr>
          <w:sz w:val="24"/>
          <w:szCs w:val="24"/>
        </w:rPr>
      </w:pPr>
    </w:p>
    <w:p w14:paraId="65F8FAAC" w14:textId="1F4ADDAF" w:rsidR="00282CB9" w:rsidRDefault="00282CB9">
      <w:pPr>
        <w:rPr>
          <w:sz w:val="24"/>
          <w:szCs w:val="24"/>
        </w:rPr>
      </w:pPr>
      <w:r>
        <w:rPr>
          <w:sz w:val="24"/>
          <w:szCs w:val="24"/>
        </w:rPr>
        <w:br w:type="page"/>
      </w:r>
    </w:p>
    <w:p w14:paraId="16274CD5" w14:textId="77777777" w:rsidR="009260DE" w:rsidRPr="00DC6BBF" w:rsidRDefault="009260DE" w:rsidP="009260DE">
      <w:pPr>
        <w:tabs>
          <w:tab w:val="left" w:pos="851"/>
        </w:tabs>
        <w:ind w:left="851"/>
        <w:rPr>
          <w:sz w:val="24"/>
          <w:szCs w:val="24"/>
        </w:rPr>
      </w:pPr>
    </w:p>
    <w:p w14:paraId="1BB597CA" w14:textId="77777777" w:rsidR="009260DE" w:rsidRPr="00DC6BBF" w:rsidRDefault="009260DE" w:rsidP="009260DE">
      <w:pPr>
        <w:tabs>
          <w:tab w:val="left" w:pos="851"/>
        </w:tabs>
        <w:ind w:left="851" w:hanging="851"/>
        <w:rPr>
          <w:b/>
          <w:sz w:val="24"/>
          <w:szCs w:val="24"/>
        </w:rPr>
      </w:pPr>
      <w:r w:rsidRPr="00DC6BBF">
        <w:rPr>
          <w:b/>
          <w:sz w:val="24"/>
          <w:szCs w:val="24"/>
        </w:rPr>
        <w:t>6.</w:t>
      </w:r>
      <w:r w:rsidRPr="00DC6BBF">
        <w:rPr>
          <w:b/>
          <w:sz w:val="24"/>
          <w:szCs w:val="24"/>
        </w:rPr>
        <w:tab/>
        <w:t>FARMACEUTISKE OPLYSNINGER</w:t>
      </w:r>
    </w:p>
    <w:p w14:paraId="208CEB2A" w14:textId="77777777" w:rsidR="009260DE" w:rsidRPr="00DC6BBF" w:rsidRDefault="009260DE" w:rsidP="009260DE">
      <w:pPr>
        <w:tabs>
          <w:tab w:val="left" w:pos="851"/>
        </w:tabs>
        <w:ind w:left="851"/>
        <w:rPr>
          <w:sz w:val="24"/>
          <w:szCs w:val="24"/>
        </w:rPr>
      </w:pPr>
    </w:p>
    <w:p w14:paraId="5926685F" w14:textId="77777777" w:rsidR="009260DE" w:rsidRPr="00DC6BBF" w:rsidRDefault="009260DE" w:rsidP="009260DE">
      <w:pPr>
        <w:tabs>
          <w:tab w:val="left" w:pos="851"/>
        </w:tabs>
        <w:ind w:left="851" w:hanging="851"/>
        <w:rPr>
          <w:b/>
          <w:sz w:val="24"/>
          <w:szCs w:val="24"/>
        </w:rPr>
      </w:pPr>
      <w:r w:rsidRPr="00DC6BBF">
        <w:rPr>
          <w:b/>
          <w:sz w:val="24"/>
          <w:szCs w:val="24"/>
        </w:rPr>
        <w:t>6.1</w:t>
      </w:r>
      <w:r w:rsidRPr="00DC6BBF">
        <w:rPr>
          <w:b/>
          <w:sz w:val="24"/>
          <w:szCs w:val="24"/>
        </w:rPr>
        <w:tab/>
        <w:t>Hjælpestoffer</w:t>
      </w:r>
    </w:p>
    <w:p w14:paraId="4E0EC457" w14:textId="77777777" w:rsidR="008B2AE5" w:rsidRPr="00DC6BBF" w:rsidRDefault="008B2AE5" w:rsidP="00B42DE5">
      <w:pPr>
        <w:ind w:left="851"/>
        <w:rPr>
          <w:sz w:val="24"/>
          <w:szCs w:val="24"/>
        </w:rPr>
      </w:pPr>
      <w:r w:rsidRPr="00DC6BBF">
        <w:rPr>
          <w:sz w:val="24"/>
          <w:szCs w:val="24"/>
        </w:rPr>
        <w:t>Paraffin, hvid blød</w:t>
      </w:r>
    </w:p>
    <w:p w14:paraId="278F29BB" w14:textId="77777777" w:rsidR="008B2AE5" w:rsidRPr="00DC6BBF" w:rsidRDefault="008B2AE5" w:rsidP="00B42DE5">
      <w:pPr>
        <w:ind w:left="851"/>
        <w:rPr>
          <w:sz w:val="24"/>
          <w:szCs w:val="24"/>
          <w:lang w:val="en-US"/>
        </w:rPr>
      </w:pPr>
      <w:proofErr w:type="spellStart"/>
      <w:r w:rsidRPr="00DC6BBF">
        <w:rPr>
          <w:sz w:val="24"/>
          <w:szCs w:val="24"/>
          <w:lang w:val="en-US"/>
        </w:rPr>
        <w:t>Paraffinolie</w:t>
      </w:r>
      <w:proofErr w:type="spellEnd"/>
    </w:p>
    <w:p w14:paraId="3A40A288" w14:textId="77777777" w:rsidR="008B2AE5" w:rsidRPr="00DC6BBF" w:rsidRDefault="008B2AE5" w:rsidP="00B42DE5">
      <w:pPr>
        <w:ind w:left="851"/>
        <w:rPr>
          <w:sz w:val="24"/>
          <w:szCs w:val="24"/>
          <w:lang w:val="en-US"/>
        </w:rPr>
      </w:pPr>
      <w:r w:rsidRPr="00DC6BBF">
        <w:rPr>
          <w:sz w:val="24"/>
          <w:szCs w:val="24"/>
          <w:lang w:val="en-US"/>
        </w:rPr>
        <w:t>All-</w:t>
      </w:r>
      <w:proofErr w:type="spellStart"/>
      <w:r w:rsidRPr="00DC6BBF">
        <w:rPr>
          <w:sz w:val="24"/>
          <w:szCs w:val="24"/>
          <w:lang w:val="en-US"/>
        </w:rPr>
        <w:t>rac</w:t>
      </w:r>
      <w:proofErr w:type="spellEnd"/>
      <w:r w:rsidRPr="00DC6BBF">
        <w:rPr>
          <w:sz w:val="24"/>
          <w:szCs w:val="24"/>
          <w:lang w:val="en-US"/>
        </w:rPr>
        <w:t>-</w:t>
      </w:r>
      <w:r w:rsidRPr="00DC6BBF">
        <w:rPr>
          <w:sz w:val="24"/>
          <w:szCs w:val="24"/>
        </w:rPr>
        <w:t>α</w:t>
      </w:r>
      <w:r w:rsidRPr="00DC6BBF">
        <w:rPr>
          <w:sz w:val="24"/>
          <w:szCs w:val="24"/>
          <w:lang w:val="en-US"/>
        </w:rPr>
        <w:t>-tocopherol</w:t>
      </w:r>
    </w:p>
    <w:p w14:paraId="5CA80CB4" w14:textId="77777777" w:rsidR="008B2AE5" w:rsidRPr="00DC6BBF" w:rsidRDefault="008B2AE5" w:rsidP="00B42DE5">
      <w:pPr>
        <w:ind w:left="851"/>
        <w:rPr>
          <w:sz w:val="24"/>
          <w:szCs w:val="24"/>
          <w:lang w:val="en-US"/>
        </w:rPr>
      </w:pPr>
      <w:proofErr w:type="spellStart"/>
      <w:r w:rsidRPr="00DC6BBF">
        <w:rPr>
          <w:sz w:val="24"/>
          <w:szCs w:val="24"/>
          <w:lang w:val="en-US"/>
        </w:rPr>
        <w:t>Isopropylalkohol</w:t>
      </w:r>
      <w:proofErr w:type="spellEnd"/>
    </w:p>
    <w:p w14:paraId="35FC324D" w14:textId="77777777" w:rsidR="008B2AE5" w:rsidRPr="00DC6BBF" w:rsidRDefault="008B2AE5" w:rsidP="00B42DE5">
      <w:pPr>
        <w:ind w:left="851"/>
        <w:rPr>
          <w:sz w:val="24"/>
          <w:szCs w:val="24"/>
        </w:rPr>
      </w:pPr>
      <w:proofErr w:type="spellStart"/>
      <w:r w:rsidRPr="00DC6BBF">
        <w:rPr>
          <w:sz w:val="24"/>
          <w:szCs w:val="24"/>
        </w:rPr>
        <w:t>Polyoxypropylenstearylether</w:t>
      </w:r>
      <w:proofErr w:type="spellEnd"/>
    </w:p>
    <w:p w14:paraId="272296CE" w14:textId="77777777" w:rsidR="008B2AE5" w:rsidRPr="00DC6BBF" w:rsidRDefault="008B2AE5" w:rsidP="00B42DE5">
      <w:pPr>
        <w:ind w:left="851"/>
        <w:rPr>
          <w:sz w:val="24"/>
          <w:szCs w:val="24"/>
        </w:rPr>
      </w:pPr>
      <w:proofErr w:type="spellStart"/>
      <w:r w:rsidRPr="00DC6BBF">
        <w:rPr>
          <w:sz w:val="24"/>
          <w:szCs w:val="24"/>
        </w:rPr>
        <w:t>Butylhydroxytoluen</w:t>
      </w:r>
      <w:proofErr w:type="spellEnd"/>
      <w:r w:rsidRPr="00DC6BBF">
        <w:rPr>
          <w:sz w:val="24"/>
          <w:szCs w:val="24"/>
        </w:rPr>
        <w:t xml:space="preserve"> (E 321)</w:t>
      </w:r>
    </w:p>
    <w:p w14:paraId="750026B6" w14:textId="77777777" w:rsidR="008B2AE5" w:rsidRPr="00DC6BBF" w:rsidRDefault="008B2AE5" w:rsidP="00B42DE5">
      <w:pPr>
        <w:ind w:left="851"/>
        <w:rPr>
          <w:sz w:val="24"/>
          <w:szCs w:val="24"/>
        </w:rPr>
      </w:pPr>
      <w:r w:rsidRPr="00DC6BBF">
        <w:rPr>
          <w:sz w:val="24"/>
          <w:szCs w:val="24"/>
        </w:rPr>
        <w:t>Butan</w:t>
      </w:r>
    </w:p>
    <w:p w14:paraId="6E7AADF4" w14:textId="77777777" w:rsidR="009260DE" w:rsidRPr="00DC6BBF" w:rsidRDefault="009260DE" w:rsidP="009260DE">
      <w:pPr>
        <w:tabs>
          <w:tab w:val="left" w:pos="851"/>
        </w:tabs>
        <w:ind w:left="851"/>
        <w:rPr>
          <w:sz w:val="24"/>
          <w:szCs w:val="24"/>
        </w:rPr>
      </w:pPr>
    </w:p>
    <w:p w14:paraId="73706D10" w14:textId="77777777" w:rsidR="009260DE" w:rsidRPr="00DC6BBF" w:rsidRDefault="009260DE" w:rsidP="009260DE">
      <w:pPr>
        <w:tabs>
          <w:tab w:val="left" w:pos="851"/>
        </w:tabs>
        <w:ind w:left="851" w:hanging="851"/>
        <w:rPr>
          <w:b/>
          <w:sz w:val="24"/>
          <w:szCs w:val="24"/>
        </w:rPr>
      </w:pPr>
      <w:r w:rsidRPr="00DC6BBF">
        <w:rPr>
          <w:b/>
          <w:sz w:val="24"/>
          <w:szCs w:val="24"/>
        </w:rPr>
        <w:t>6.2</w:t>
      </w:r>
      <w:r w:rsidRPr="00DC6BBF">
        <w:rPr>
          <w:b/>
          <w:sz w:val="24"/>
          <w:szCs w:val="24"/>
        </w:rPr>
        <w:tab/>
        <w:t>Uforligeligheder</w:t>
      </w:r>
    </w:p>
    <w:p w14:paraId="0B25138D" w14:textId="77777777" w:rsidR="008B2AE5" w:rsidRPr="00DC6BBF" w:rsidRDefault="008B2AE5" w:rsidP="00B42DE5">
      <w:pPr>
        <w:ind w:left="851"/>
        <w:rPr>
          <w:sz w:val="24"/>
          <w:szCs w:val="24"/>
        </w:rPr>
      </w:pPr>
      <w:r w:rsidRPr="00DC6BBF">
        <w:rPr>
          <w:sz w:val="24"/>
          <w:szCs w:val="24"/>
        </w:rPr>
        <w:t>Ikke relevant.</w:t>
      </w:r>
    </w:p>
    <w:p w14:paraId="2D3DA895" w14:textId="77777777" w:rsidR="009260DE" w:rsidRPr="00DC6BBF" w:rsidRDefault="009260DE" w:rsidP="009260DE">
      <w:pPr>
        <w:tabs>
          <w:tab w:val="left" w:pos="851"/>
        </w:tabs>
        <w:ind w:left="851"/>
        <w:rPr>
          <w:sz w:val="24"/>
          <w:szCs w:val="24"/>
        </w:rPr>
      </w:pPr>
    </w:p>
    <w:p w14:paraId="31793931" w14:textId="77777777" w:rsidR="009260DE" w:rsidRPr="00DC6BBF" w:rsidRDefault="009260DE" w:rsidP="009260DE">
      <w:pPr>
        <w:tabs>
          <w:tab w:val="left" w:pos="851"/>
        </w:tabs>
        <w:ind w:left="851" w:hanging="851"/>
        <w:rPr>
          <w:b/>
          <w:sz w:val="24"/>
          <w:szCs w:val="24"/>
        </w:rPr>
      </w:pPr>
      <w:r w:rsidRPr="00DC6BBF">
        <w:rPr>
          <w:b/>
          <w:sz w:val="24"/>
          <w:szCs w:val="24"/>
        </w:rPr>
        <w:t>6.3</w:t>
      </w:r>
      <w:r w:rsidRPr="00DC6BBF">
        <w:rPr>
          <w:b/>
          <w:sz w:val="24"/>
          <w:szCs w:val="24"/>
        </w:rPr>
        <w:tab/>
        <w:t>Opbevaringstid</w:t>
      </w:r>
    </w:p>
    <w:p w14:paraId="724D98E8" w14:textId="77777777" w:rsidR="008B2AE5" w:rsidRPr="00DC6BBF" w:rsidRDefault="008B2AE5" w:rsidP="00B42DE5">
      <w:pPr>
        <w:ind w:left="851"/>
        <w:rPr>
          <w:sz w:val="24"/>
          <w:szCs w:val="24"/>
        </w:rPr>
      </w:pPr>
      <w:r w:rsidRPr="00DC6BBF">
        <w:rPr>
          <w:sz w:val="24"/>
          <w:szCs w:val="24"/>
        </w:rPr>
        <w:t>24 måneder</w:t>
      </w:r>
    </w:p>
    <w:p w14:paraId="25EFF584" w14:textId="77777777" w:rsidR="008B2AE5" w:rsidRPr="00DC6BBF" w:rsidRDefault="008B2AE5" w:rsidP="00B42DE5">
      <w:pPr>
        <w:ind w:left="851"/>
        <w:rPr>
          <w:sz w:val="24"/>
          <w:szCs w:val="24"/>
        </w:rPr>
      </w:pPr>
    </w:p>
    <w:p w14:paraId="01AA9EE6" w14:textId="77777777" w:rsidR="008B2AE5" w:rsidRPr="00DC6BBF" w:rsidRDefault="008B2AE5" w:rsidP="00B42DE5">
      <w:pPr>
        <w:ind w:left="851"/>
        <w:rPr>
          <w:sz w:val="24"/>
          <w:szCs w:val="24"/>
        </w:rPr>
      </w:pPr>
      <w:r w:rsidRPr="00DC6BBF">
        <w:rPr>
          <w:sz w:val="24"/>
          <w:szCs w:val="24"/>
        </w:rPr>
        <w:t>Efter anbrud: 6 måneder</w:t>
      </w:r>
    </w:p>
    <w:p w14:paraId="4CB3CDE4" w14:textId="77777777" w:rsidR="009260DE" w:rsidRPr="00DC6BBF" w:rsidRDefault="009260DE" w:rsidP="009260DE">
      <w:pPr>
        <w:tabs>
          <w:tab w:val="left" w:pos="851"/>
        </w:tabs>
        <w:ind w:left="851"/>
        <w:rPr>
          <w:sz w:val="24"/>
          <w:szCs w:val="24"/>
        </w:rPr>
      </w:pPr>
    </w:p>
    <w:p w14:paraId="28EE822A" w14:textId="77777777" w:rsidR="009260DE" w:rsidRPr="00DC6BBF" w:rsidRDefault="009260DE" w:rsidP="009260DE">
      <w:pPr>
        <w:tabs>
          <w:tab w:val="left" w:pos="851"/>
        </w:tabs>
        <w:ind w:left="851" w:hanging="851"/>
        <w:rPr>
          <w:b/>
          <w:sz w:val="24"/>
          <w:szCs w:val="24"/>
        </w:rPr>
      </w:pPr>
      <w:r w:rsidRPr="00DC6BBF">
        <w:rPr>
          <w:b/>
          <w:sz w:val="24"/>
          <w:szCs w:val="24"/>
        </w:rPr>
        <w:t>6.4</w:t>
      </w:r>
      <w:r w:rsidRPr="00DC6BBF">
        <w:rPr>
          <w:b/>
          <w:sz w:val="24"/>
          <w:szCs w:val="24"/>
        </w:rPr>
        <w:tab/>
        <w:t>Særlige opbevaringsforhold</w:t>
      </w:r>
    </w:p>
    <w:p w14:paraId="1657B6C2" w14:textId="77777777" w:rsidR="008B2AE5" w:rsidRPr="00DC6BBF" w:rsidRDefault="008B2AE5" w:rsidP="00B42DE5">
      <w:pPr>
        <w:ind w:left="851"/>
        <w:rPr>
          <w:sz w:val="24"/>
          <w:szCs w:val="24"/>
        </w:rPr>
      </w:pPr>
      <w:r w:rsidRPr="00DC6BBF">
        <w:rPr>
          <w:sz w:val="24"/>
          <w:szCs w:val="24"/>
        </w:rPr>
        <w:t>Må ikke opbevares ved temperaturer over 30 °C.</w:t>
      </w:r>
    </w:p>
    <w:p w14:paraId="3E0AE3A7" w14:textId="77777777" w:rsidR="008B2AE5" w:rsidRPr="00DC6BBF" w:rsidRDefault="008B2AE5" w:rsidP="00B42DE5">
      <w:pPr>
        <w:ind w:left="851"/>
        <w:rPr>
          <w:sz w:val="24"/>
          <w:szCs w:val="24"/>
        </w:rPr>
      </w:pPr>
      <w:r w:rsidRPr="00DC6BBF">
        <w:rPr>
          <w:sz w:val="24"/>
          <w:szCs w:val="24"/>
        </w:rPr>
        <w:t>Opbevares opretstående.</w:t>
      </w:r>
    </w:p>
    <w:p w14:paraId="42CC59D4" w14:textId="77777777" w:rsidR="008B2AE5" w:rsidRPr="00DC6BBF" w:rsidRDefault="008B2AE5" w:rsidP="00B42DE5">
      <w:pPr>
        <w:ind w:left="851"/>
        <w:rPr>
          <w:sz w:val="24"/>
          <w:szCs w:val="24"/>
        </w:rPr>
      </w:pPr>
      <w:r w:rsidRPr="00DC6BBF">
        <w:rPr>
          <w:sz w:val="24"/>
          <w:szCs w:val="24"/>
        </w:rPr>
        <w:t>Beholderen skal kasseres 6 måneder efter anbrud.</w:t>
      </w:r>
    </w:p>
    <w:p w14:paraId="349F03E4" w14:textId="77777777" w:rsidR="008B2AE5" w:rsidRPr="00DC6BBF" w:rsidRDefault="008B2AE5" w:rsidP="00B42DE5">
      <w:pPr>
        <w:ind w:left="851"/>
        <w:rPr>
          <w:sz w:val="24"/>
          <w:szCs w:val="24"/>
        </w:rPr>
      </w:pPr>
    </w:p>
    <w:p w14:paraId="53650E8E" w14:textId="77777777" w:rsidR="008B2AE5" w:rsidRPr="00DC6BBF" w:rsidRDefault="008B2AE5" w:rsidP="00B42DE5">
      <w:pPr>
        <w:ind w:left="851"/>
        <w:rPr>
          <w:sz w:val="24"/>
          <w:szCs w:val="24"/>
        </w:rPr>
      </w:pPr>
      <w:r w:rsidRPr="00DC6BBF">
        <w:rPr>
          <w:sz w:val="24"/>
          <w:szCs w:val="24"/>
        </w:rPr>
        <w:t>Forsigtig:</w:t>
      </w:r>
    </w:p>
    <w:p w14:paraId="66EC376C" w14:textId="77777777" w:rsidR="008B2AE5" w:rsidRPr="00DC6BBF" w:rsidRDefault="008B2AE5" w:rsidP="00B42DE5">
      <w:pPr>
        <w:ind w:left="851"/>
        <w:rPr>
          <w:sz w:val="24"/>
          <w:szCs w:val="24"/>
        </w:rPr>
      </w:pPr>
    </w:p>
    <w:p w14:paraId="0F172246" w14:textId="77777777" w:rsidR="008B2AE5" w:rsidRPr="00DC6BBF" w:rsidRDefault="008B2AE5" w:rsidP="00B42DE5">
      <w:pPr>
        <w:ind w:left="851"/>
        <w:rPr>
          <w:sz w:val="24"/>
          <w:szCs w:val="24"/>
        </w:rPr>
      </w:pPr>
      <w:r w:rsidRPr="00DC6BBF">
        <w:rPr>
          <w:sz w:val="24"/>
          <w:szCs w:val="24"/>
        </w:rPr>
        <w:t>Yderst brandfarlig aerosol.</w:t>
      </w:r>
    </w:p>
    <w:p w14:paraId="058A8A76" w14:textId="77777777" w:rsidR="008B2AE5" w:rsidRPr="00DC6BBF" w:rsidRDefault="008B2AE5" w:rsidP="00B42DE5">
      <w:pPr>
        <w:ind w:left="851"/>
        <w:rPr>
          <w:sz w:val="24"/>
          <w:szCs w:val="24"/>
        </w:rPr>
      </w:pPr>
    </w:p>
    <w:p w14:paraId="2EEE78BB" w14:textId="77777777" w:rsidR="008B2AE5" w:rsidRPr="00DC6BBF" w:rsidRDefault="008B2AE5" w:rsidP="00B42DE5">
      <w:pPr>
        <w:ind w:left="851"/>
        <w:rPr>
          <w:sz w:val="24"/>
          <w:szCs w:val="24"/>
        </w:rPr>
      </w:pPr>
      <w:r w:rsidRPr="00DC6BBF">
        <w:rPr>
          <w:sz w:val="24"/>
          <w:szCs w:val="24"/>
        </w:rPr>
        <w:t>Beholder under tryk: Kan eksplodere ved opvarmning.</w:t>
      </w:r>
    </w:p>
    <w:p w14:paraId="0D9A69B1" w14:textId="77777777" w:rsidR="008B2AE5" w:rsidRPr="00DC6BBF" w:rsidRDefault="008B2AE5" w:rsidP="00B42DE5">
      <w:pPr>
        <w:ind w:left="851"/>
        <w:rPr>
          <w:sz w:val="24"/>
          <w:szCs w:val="24"/>
        </w:rPr>
      </w:pPr>
    </w:p>
    <w:p w14:paraId="77D550E9" w14:textId="77777777" w:rsidR="008B2AE5" w:rsidRPr="00DC6BBF" w:rsidRDefault="008B2AE5" w:rsidP="00B42DE5">
      <w:pPr>
        <w:ind w:left="851"/>
        <w:rPr>
          <w:sz w:val="24"/>
          <w:szCs w:val="24"/>
        </w:rPr>
      </w:pPr>
      <w:r w:rsidRPr="00DC6BBF">
        <w:rPr>
          <w:sz w:val="24"/>
          <w:szCs w:val="24"/>
        </w:rPr>
        <w:t>Beskyttes mod sollys.</w:t>
      </w:r>
    </w:p>
    <w:p w14:paraId="4D8E01E4" w14:textId="77777777" w:rsidR="008B2AE5" w:rsidRPr="00DC6BBF" w:rsidRDefault="008B2AE5" w:rsidP="00B42DE5">
      <w:pPr>
        <w:ind w:left="851"/>
        <w:rPr>
          <w:sz w:val="24"/>
          <w:szCs w:val="24"/>
        </w:rPr>
      </w:pPr>
    </w:p>
    <w:p w14:paraId="5BEB5C6C" w14:textId="77777777" w:rsidR="008B2AE5" w:rsidRPr="00DC6BBF" w:rsidRDefault="008B2AE5" w:rsidP="00B42DE5">
      <w:pPr>
        <w:ind w:left="851"/>
        <w:rPr>
          <w:sz w:val="24"/>
          <w:szCs w:val="24"/>
        </w:rPr>
      </w:pPr>
      <w:r w:rsidRPr="00DC6BBF">
        <w:rPr>
          <w:sz w:val="24"/>
          <w:szCs w:val="24"/>
        </w:rPr>
        <w:t>Må ikke udsættes for temperaturer over 50 °C.</w:t>
      </w:r>
    </w:p>
    <w:p w14:paraId="6F4577D8" w14:textId="77777777" w:rsidR="008B2AE5" w:rsidRPr="00DC6BBF" w:rsidRDefault="008B2AE5" w:rsidP="00B42DE5">
      <w:pPr>
        <w:ind w:left="851"/>
        <w:rPr>
          <w:sz w:val="24"/>
          <w:szCs w:val="24"/>
        </w:rPr>
      </w:pPr>
    </w:p>
    <w:p w14:paraId="571386CA" w14:textId="77777777" w:rsidR="008B2AE5" w:rsidRPr="00DC6BBF" w:rsidRDefault="008B2AE5" w:rsidP="00B42DE5">
      <w:pPr>
        <w:ind w:left="851"/>
        <w:rPr>
          <w:sz w:val="24"/>
          <w:szCs w:val="24"/>
        </w:rPr>
      </w:pPr>
      <w:r w:rsidRPr="00DC6BBF">
        <w:rPr>
          <w:sz w:val="24"/>
          <w:szCs w:val="24"/>
        </w:rPr>
        <w:t>Må ikke punkteres eller brændes, heller ikke når den er tom.</w:t>
      </w:r>
    </w:p>
    <w:p w14:paraId="2326CDD3" w14:textId="77777777" w:rsidR="008B2AE5" w:rsidRPr="00DC6BBF" w:rsidRDefault="008B2AE5" w:rsidP="00B42DE5">
      <w:pPr>
        <w:ind w:left="851"/>
        <w:rPr>
          <w:sz w:val="24"/>
          <w:szCs w:val="24"/>
        </w:rPr>
      </w:pPr>
    </w:p>
    <w:p w14:paraId="22B2D459" w14:textId="77777777" w:rsidR="008B2AE5" w:rsidRPr="00DC6BBF" w:rsidRDefault="008B2AE5" w:rsidP="00B42DE5">
      <w:pPr>
        <w:ind w:left="851"/>
        <w:rPr>
          <w:sz w:val="24"/>
          <w:szCs w:val="24"/>
        </w:rPr>
      </w:pPr>
      <w:r w:rsidRPr="00DC6BBF">
        <w:rPr>
          <w:sz w:val="24"/>
          <w:szCs w:val="24"/>
        </w:rPr>
        <w:t>Sprøjt ikke mod åben ild eller andre antændelseskilder.</w:t>
      </w:r>
    </w:p>
    <w:p w14:paraId="418912C1" w14:textId="77777777" w:rsidR="008B2AE5" w:rsidRPr="00DC6BBF" w:rsidRDefault="008B2AE5" w:rsidP="00B42DE5">
      <w:pPr>
        <w:ind w:left="851"/>
        <w:rPr>
          <w:sz w:val="24"/>
          <w:szCs w:val="24"/>
        </w:rPr>
      </w:pPr>
    </w:p>
    <w:p w14:paraId="42A14756" w14:textId="77777777" w:rsidR="008B2AE5" w:rsidRPr="00DC6BBF" w:rsidRDefault="008B2AE5" w:rsidP="00B42DE5">
      <w:pPr>
        <w:ind w:left="851"/>
        <w:rPr>
          <w:sz w:val="24"/>
          <w:szCs w:val="24"/>
        </w:rPr>
      </w:pPr>
      <w:r w:rsidRPr="00DC6BBF">
        <w:rPr>
          <w:sz w:val="24"/>
          <w:szCs w:val="24"/>
        </w:rPr>
        <w:t>Holdes borte fra gnister, åben ild og andre antændelseskilder.</w:t>
      </w:r>
    </w:p>
    <w:p w14:paraId="403A842F" w14:textId="77777777" w:rsidR="008B2AE5" w:rsidRPr="00DC6BBF" w:rsidRDefault="008B2AE5" w:rsidP="00B42DE5">
      <w:pPr>
        <w:ind w:left="851"/>
        <w:rPr>
          <w:sz w:val="24"/>
          <w:szCs w:val="24"/>
        </w:rPr>
      </w:pPr>
    </w:p>
    <w:p w14:paraId="1FEDE607" w14:textId="28380CA2" w:rsidR="008B2AE5" w:rsidRPr="00DC6BBF" w:rsidRDefault="008B2AE5" w:rsidP="00B42DE5">
      <w:pPr>
        <w:ind w:left="851"/>
        <w:rPr>
          <w:sz w:val="24"/>
          <w:szCs w:val="24"/>
        </w:rPr>
      </w:pPr>
      <w:r w:rsidRPr="00DC6BBF">
        <w:rPr>
          <w:sz w:val="24"/>
          <w:szCs w:val="24"/>
        </w:rPr>
        <w:t>Rygning forbudt i nærheden af beholderen.</w:t>
      </w:r>
    </w:p>
    <w:p w14:paraId="7DF24892" w14:textId="77777777" w:rsidR="009260DE" w:rsidRPr="00DC6BBF" w:rsidRDefault="009260DE" w:rsidP="009260DE">
      <w:pPr>
        <w:tabs>
          <w:tab w:val="left" w:pos="851"/>
        </w:tabs>
        <w:ind w:left="851"/>
        <w:rPr>
          <w:sz w:val="24"/>
          <w:szCs w:val="24"/>
        </w:rPr>
      </w:pPr>
    </w:p>
    <w:p w14:paraId="52D7141B" w14:textId="77777777" w:rsidR="009260DE" w:rsidRPr="00DC6BBF" w:rsidRDefault="009260DE" w:rsidP="009260DE">
      <w:pPr>
        <w:tabs>
          <w:tab w:val="left" w:pos="851"/>
        </w:tabs>
        <w:ind w:left="851" w:hanging="851"/>
        <w:rPr>
          <w:b/>
          <w:sz w:val="24"/>
          <w:szCs w:val="24"/>
        </w:rPr>
      </w:pPr>
      <w:r w:rsidRPr="00DC6BBF">
        <w:rPr>
          <w:b/>
          <w:sz w:val="24"/>
          <w:szCs w:val="24"/>
        </w:rPr>
        <w:t>6.5</w:t>
      </w:r>
      <w:r w:rsidRPr="00DC6BBF">
        <w:rPr>
          <w:b/>
          <w:sz w:val="24"/>
          <w:szCs w:val="24"/>
        </w:rPr>
        <w:tab/>
        <w:t>Emballagetype og pakningsstørrelser</w:t>
      </w:r>
    </w:p>
    <w:p w14:paraId="430FA728" w14:textId="77777777" w:rsidR="00F959C6" w:rsidRPr="00DC6BBF" w:rsidRDefault="00F959C6" w:rsidP="00B42DE5">
      <w:pPr>
        <w:ind w:left="851"/>
        <w:rPr>
          <w:sz w:val="24"/>
          <w:szCs w:val="24"/>
        </w:rPr>
      </w:pPr>
      <w:r w:rsidRPr="00DC6BBF">
        <w:rPr>
          <w:sz w:val="24"/>
          <w:szCs w:val="24"/>
        </w:rPr>
        <w:t xml:space="preserve">Aluminiumbeholder med indvendig lakbelægning, udstyret med en skumventil og </w:t>
      </w:r>
      <w:proofErr w:type="spellStart"/>
      <w:r w:rsidRPr="00DC6BBF">
        <w:rPr>
          <w:sz w:val="24"/>
          <w:szCs w:val="24"/>
        </w:rPr>
        <w:t>aktuator</w:t>
      </w:r>
      <w:proofErr w:type="spellEnd"/>
      <w:r w:rsidRPr="00DC6BBF">
        <w:rPr>
          <w:sz w:val="24"/>
          <w:szCs w:val="24"/>
        </w:rPr>
        <w:t>.</w:t>
      </w:r>
    </w:p>
    <w:p w14:paraId="4A8C6ED7" w14:textId="77777777" w:rsidR="00F959C6" w:rsidRPr="00DC6BBF" w:rsidRDefault="00F959C6" w:rsidP="00B42DE5">
      <w:pPr>
        <w:ind w:left="851"/>
        <w:rPr>
          <w:sz w:val="24"/>
          <w:szCs w:val="24"/>
        </w:rPr>
      </w:pPr>
      <w:r w:rsidRPr="00DC6BBF">
        <w:rPr>
          <w:sz w:val="24"/>
          <w:szCs w:val="24"/>
        </w:rPr>
        <w:t>Beholderen indeholder 60 g skum.</w:t>
      </w:r>
    </w:p>
    <w:p w14:paraId="0885089F" w14:textId="77777777" w:rsidR="00F959C6" w:rsidRPr="00DC6BBF" w:rsidRDefault="00F959C6" w:rsidP="00B42DE5">
      <w:pPr>
        <w:ind w:left="851"/>
        <w:rPr>
          <w:sz w:val="24"/>
          <w:szCs w:val="24"/>
        </w:rPr>
      </w:pPr>
    </w:p>
    <w:p w14:paraId="72A87F6B" w14:textId="3C4AC533" w:rsidR="00F959C6" w:rsidRPr="00DC6BBF" w:rsidRDefault="00F959C6" w:rsidP="00B42DE5">
      <w:pPr>
        <w:ind w:left="851"/>
        <w:rPr>
          <w:sz w:val="24"/>
          <w:szCs w:val="24"/>
        </w:rPr>
      </w:pPr>
      <w:r w:rsidRPr="00DC6BBF">
        <w:rPr>
          <w:sz w:val="24"/>
          <w:szCs w:val="24"/>
        </w:rPr>
        <w:t>Pakningsstørrelser: 60 g og 2 </w:t>
      </w:r>
      <w:r w:rsidR="00520598">
        <w:rPr>
          <w:sz w:val="24"/>
          <w:szCs w:val="24"/>
        </w:rPr>
        <w:t>×</w:t>
      </w:r>
      <w:r w:rsidRPr="00DC6BBF">
        <w:rPr>
          <w:sz w:val="24"/>
          <w:szCs w:val="24"/>
        </w:rPr>
        <w:t> 60 g.</w:t>
      </w:r>
    </w:p>
    <w:p w14:paraId="452D2CE6" w14:textId="77777777" w:rsidR="00F959C6" w:rsidRPr="00DC6BBF" w:rsidRDefault="00F959C6" w:rsidP="00B42DE5">
      <w:pPr>
        <w:ind w:left="851"/>
        <w:rPr>
          <w:sz w:val="24"/>
          <w:szCs w:val="24"/>
        </w:rPr>
      </w:pPr>
    </w:p>
    <w:p w14:paraId="7120454C" w14:textId="77777777" w:rsidR="00F959C6" w:rsidRPr="00DC6BBF" w:rsidRDefault="00F959C6" w:rsidP="00B42DE5">
      <w:pPr>
        <w:ind w:left="851"/>
        <w:rPr>
          <w:sz w:val="24"/>
          <w:szCs w:val="24"/>
        </w:rPr>
      </w:pPr>
      <w:r w:rsidRPr="00DC6BBF">
        <w:rPr>
          <w:sz w:val="24"/>
          <w:szCs w:val="24"/>
        </w:rPr>
        <w:t>Ikke alle pakningsstørrelser er nødvendigvis markedsført.</w:t>
      </w:r>
    </w:p>
    <w:p w14:paraId="33A18EB3" w14:textId="77777777" w:rsidR="009260DE" w:rsidRPr="00DC6BBF" w:rsidRDefault="009260DE" w:rsidP="009260DE">
      <w:pPr>
        <w:tabs>
          <w:tab w:val="left" w:pos="851"/>
        </w:tabs>
        <w:ind w:left="851"/>
        <w:rPr>
          <w:sz w:val="24"/>
          <w:szCs w:val="24"/>
        </w:rPr>
      </w:pPr>
    </w:p>
    <w:p w14:paraId="57EC4736" w14:textId="77777777" w:rsidR="009260DE" w:rsidRPr="00DC6BBF" w:rsidRDefault="009260DE" w:rsidP="009260DE">
      <w:pPr>
        <w:tabs>
          <w:tab w:val="left" w:pos="851"/>
        </w:tabs>
        <w:ind w:left="851" w:hanging="851"/>
        <w:rPr>
          <w:b/>
          <w:sz w:val="24"/>
          <w:szCs w:val="24"/>
        </w:rPr>
      </w:pPr>
      <w:r w:rsidRPr="00DC6BBF">
        <w:rPr>
          <w:b/>
          <w:sz w:val="24"/>
          <w:szCs w:val="24"/>
        </w:rPr>
        <w:t>6.6</w:t>
      </w:r>
      <w:r w:rsidRPr="00DC6BBF">
        <w:rPr>
          <w:b/>
          <w:sz w:val="24"/>
          <w:szCs w:val="24"/>
        </w:rPr>
        <w:tab/>
        <w:t xml:space="preserve">Regler for </w:t>
      </w:r>
      <w:r w:rsidR="00BD7931" w:rsidRPr="00DC6BBF">
        <w:rPr>
          <w:b/>
          <w:sz w:val="24"/>
          <w:szCs w:val="24"/>
        </w:rPr>
        <w:t>bortskaffelse</w:t>
      </w:r>
      <w:r w:rsidRPr="00DC6BBF">
        <w:rPr>
          <w:b/>
          <w:sz w:val="24"/>
          <w:szCs w:val="24"/>
        </w:rPr>
        <w:t xml:space="preserve"> og anden håndtering</w:t>
      </w:r>
    </w:p>
    <w:p w14:paraId="104096E2" w14:textId="77777777" w:rsidR="00F959C6" w:rsidRPr="00DC6BBF" w:rsidRDefault="00F959C6" w:rsidP="00B42DE5">
      <w:pPr>
        <w:ind w:left="851"/>
        <w:rPr>
          <w:sz w:val="24"/>
          <w:szCs w:val="24"/>
        </w:rPr>
      </w:pPr>
      <w:r w:rsidRPr="00DC6BBF">
        <w:rPr>
          <w:sz w:val="24"/>
          <w:szCs w:val="24"/>
        </w:rPr>
        <w:t>Ikke anvendt lægemiddel samt affald heraf skal bortskaffes i henhold til lokale retningslinjer.</w:t>
      </w:r>
    </w:p>
    <w:p w14:paraId="0148F0D7" w14:textId="77777777" w:rsidR="009260DE" w:rsidRPr="00DC6BBF" w:rsidRDefault="009260DE" w:rsidP="000730CA">
      <w:pPr>
        <w:tabs>
          <w:tab w:val="left" w:pos="851"/>
        </w:tabs>
        <w:ind w:left="851"/>
        <w:rPr>
          <w:sz w:val="24"/>
          <w:szCs w:val="24"/>
        </w:rPr>
      </w:pPr>
    </w:p>
    <w:p w14:paraId="664C25B2" w14:textId="77777777" w:rsidR="009260DE" w:rsidRPr="00DC6BBF" w:rsidRDefault="009260DE" w:rsidP="009260DE">
      <w:pPr>
        <w:tabs>
          <w:tab w:val="left" w:pos="851"/>
        </w:tabs>
        <w:ind w:left="851" w:hanging="851"/>
        <w:rPr>
          <w:b/>
          <w:sz w:val="24"/>
          <w:szCs w:val="24"/>
        </w:rPr>
      </w:pPr>
      <w:r w:rsidRPr="00DC6BBF">
        <w:rPr>
          <w:b/>
          <w:sz w:val="24"/>
          <w:szCs w:val="24"/>
        </w:rPr>
        <w:t>7.</w:t>
      </w:r>
      <w:r w:rsidRPr="00DC6BBF">
        <w:rPr>
          <w:b/>
          <w:sz w:val="24"/>
          <w:szCs w:val="24"/>
        </w:rPr>
        <w:tab/>
        <w:t>INDEHAVER AF MARKEDSFØRINGSTILLADELSEN</w:t>
      </w:r>
    </w:p>
    <w:p w14:paraId="44F980FA" w14:textId="77777777" w:rsidR="00F959C6" w:rsidRPr="00DC6BBF" w:rsidRDefault="00F959C6" w:rsidP="00B42DE5">
      <w:pPr>
        <w:ind w:left="851"/>
        <w:rPr>
          <w:sz w:val="24"/>
          <w:szCs w:val="24"/>
        </w:rPr>
      </w:pPr>
      <w:r w:rsidRPr="00DC6BBF">
        <w:rPr>
          <w:sz w:val="24"/>
          <w:szCs w:val="24"/>
        </w:rPr>
        <w:t xml:space="preserve">Glenmark </w:t>
      </w:r>
      <w:proofErr w:type="spellStart"/>
      <w:r w:rsidRPr="00DC6BBF">
        <w:rPr>
          <w:sz w:val="24"/>
          <w:szCs w:val="24"/>
        </w:rPr>
        <w:t>Arzneimittel</w:t>
      </w:r>
      <w:proofErr w:type="spellEnd"/>
      <w:r w:rsidRPr="00DC6BBF">
        <w:rPr>
          <w:sz w:val="24"/>
          <w:szCs w:val="24"/>
        </w:rPr>
        <w:t xml:space="preserve"> GmbH</w:t>
      </w:r>
    </w:p>
    <w:p w14:paraId="32D5CD5D" w14:textId="77777777" w:rsidR="00F959C6" w:rsidRPr="00DC6BBF" w:rsidRDefault="00F959C6" w:rsidP="00B42DE5">
      <w:pPr>
        <w:ind w:left="851"/>
        <w:rPr>
          <w:sz w:val="24"/>
          <w:szCs w:val="24"/>
        </w:rPr>
      </w:pPr>
      <w:proofErr w:type="spellStart"/>
      <w:r w:rsidRPr="00DC6BBF">
        <w:rPr>
          <w:sz w:val="24"/>
          <w:szCs w:val="24"/>
        </w:rPr>
        <w:t>Industriestr</w:t>
      </w:r>
      <w:proofErr w:type="spellEnd"/>
      <w:r w:rsidRPr="00DC6BBF">
        <w:rPr>
          <w:sz w:val="24"/>
          <w:szCs w:val="24"/>
        </w:rPr>
        <w:t>. 31</w:t>
      </w:r>
    </w:p>
    <w:p w14:paraId="4F343AC2" w14:textId="77777777" w:rsidR="00F959C6" w:rsidRPr="00DC6BBF" w:rsidRDefault="00F959C6" w:rsidP="00B42DE5">
      <w:pPr>
        <w:ind w:left="851"/>
        <w:rPr>
          <w:sz w:val="24"/>
          <w:szCs w:val="24"/>
        </w:rPr>
      </w:pPr>
      <w:r w:rsidRPr="00DC6BBF">
        <w:rPr>
          <w:sz w:val="24"/>
          <w:szCs w:val="24"/>
        </w:rPr>
        <w:t xml:space="preserve">82194 </w:t>
      </w:r>
      <w:proofErr w:type="spellStart"/>
      <w:r w:rsidRPr="00DC6BBF">
        <w:rPr>
          <w:sz w:val="24"/>
          <w:szCs w:val="24"/>
        </w:rPr>
        <w:t>Gröbenzell</w:t>
      </w:r>
      <w:proofErr w:type="spellEnd"/>
    </w:p>
    <w:p w14:paraId="21BEF361" w14:textId="77777777" w:rsidR="00F959C6" w:rsidRPr="00DC6BBF" w:rsidRDefault="00F959C6" w:rsidP="00B42DE5">
      <w:pPr>
        <w:ind w:left="851"/>
        <w:rPr>
          <w:sz w:val="24"/>
          <w:szCs w:val="24"/>
        </w:rPr>
      </w:pPr>
      <w:r w:rsidRPr="00DC6BBF">
        <w:rPr>
          <w:sz w:val="24"/>
          <w:szCs w:val="24"/>
        </w:rPr>
        <w:t>Tyskland</w:t>
      </w:r>
    </w:p>
    <w:p w14:paraId="7C401890" w14:textId="77777777" w:rsidR="009260DE" w:rsidRPr="00DC6BBF" w:rsidRDefault="009260DE" w:rsidP="00B42DE5">
      <w:pPr>
        <w:ind w:left="851"/>
        <w:rPr>
          <w:sz w:val="24"/>
          <w:szCs w:val="24"/>
        </w:rPr>
      </w:pPr>
    </w:p>
    <w:p w14:paraId="41FB4519" w14:textId="77777777" w:rsidR="00641C65" w:rsidRPr="00DC6BBF" w:rsidRDefault="00641C65" w:rsidP="00B42DE5">
      <w:pPr>
        <w:ind w:left="851"/>
        <w:rPr>
          <w:sz w:val="24"/>
          <w:szCs w:val="24"/>
        </w:rPr>
      </w:pPr>
      <w:r w:rsidRPr="00DC6BBF">
        <w:rPr>
          <w:b/>
          <w:sz w:val="24"/>
          <w:szCs w:val="24"/>
        </w:rPr>
        <w:t>Repræsentant</w:t>
      </w:r>
    </w:p>
    <w:p w14:paraId="7DD9A8C5" w14:textId="77777777" w:rsidR="00F959C6" w:rsidRPr="00DC6BBF" w:rsidRDefault="00F959C6" w:rsidP="00B42DE5">
      <w:pPr>
        <w:ind w:left="851"/>
        <w:rPr>
          <w:sz w:val="24"/>
          <w:szCs w:val="24"/>
        </w:rPr>
      </w:pPr>
      <w:r w:rsidRPr="00DC6BBF">
        <w:rPr>
          <w:sz w:val="24"/>
          <w:szCs w:val="24"/>
        </w:rPr>
        <w:t>Glenmark Pharmaceuticals Nordic AB</w:t>
      </w:r>
    </w:p>
    <w:p w14:paraId="222C7AF7" w14:textId="77777777" w:rsidR="00F959C6" w:rsidRPr="00DC6BBF" w:rsidRDefault="00F959C6" w:rsidP="00B42DE5">
      <w:pPr>
        <w:ind w:left="851"/>
        <w:rPr>
          <w:sz w:val="24"/>
          <w:szCs w:val="24"/>
        </w:rPr>
      </w:pPr>
      <w:proofErr w:type="spellStart"/>
      <w:r w:rsidRPr="00DC6BBF">
        <w:rPr>
          <w:sz w:val="24"/>
          <w:szCs w:val="24"/>
        </w:rPr>
        <w:t>Propellergatan</w:t>
      </w:r>
      <w:proofErr w:type="spellEnd"/>
      <w:r w:rsidRPr="00DC6BBF">
        <w:rPr>
          <w:sz w:val="24"/>
          <w:szCs w:val="24"/>
        </w:rPr>
        <w:t xml:space="preserve"> 2</w:t>
      </w:r>
    </w:p>
    <w:p w14:paraId="1F7610B4" w14:textId="77777777" w:rsidR="00F959C6" w:rsidRPr="00DC6BBF" w:rsidRDefault="00F959C6" w:rsidP="00B42DE5">
      <w:pPr>
        <w:ind w:left="851"/>
        <w:rPr>
          <w:sz w:val="24"/>
          <w:szCs w:val="24"/>
        </w:rPr>
      </w:pPr>
      <w:r w:rsidRPr="00DC6BBF">
        <w:rPr>
          <w:sz w:val="24"/>
          <w:szCs w:val="24"/>
        </w:rPr>
        <w:t>211 15 Malmø</w:t>
      </w:r>
    </w:p>
    <w:p w14:paraId="0F6B7AFF" w14:textId="77777777" w:rsidR="00F959C6" w:rsidRPr="00DC6BBF" w:rsidRDefault="00F959C6" w:rsidP="00B42DE5">
      <w:pPr>
        <w:ind w:left="851"/>
        <w:rPr>
          <w:sz w:val="24"/>
          <w:szCs w:val="24"/>
        </w:rPr>
      </w:pPr>
      <w:r w:rsidRPr="00DC6BBF">
        <w:rPr>
          <w:sz w:val="24"/>
          <w:szCs w:val="24"/>
        </w:rPr>
        <w:t>Sverige</w:t>
      </w:r>
    </w:p>
    <w:p w14:paraId="30E22157" w14:textId="77777777" w:rsidR="00641C65" w:rsidRPr="00DC6BBF" w:rsidRDefault="00641C65" w:rsidP="009260DE">
      <w:pPr>
        <w:tabs>
          <w:tab w:val="left" w:pos="851"/>
        </w:tabs>
        <w:ind w:left="851"/>
        <w:rPr>
          <w:sz w:val="24"/>
          <w:szCs w:val="24"/>
        </w:rPr>
      </w:pPr>
    </w:p>
    <w:p w14:paraId="6E25D61A" w14:textId="77777777" w:rsidR="009260DE" w:rsidRPr="00DC6BBF" w:rsidRDefault="009260DE" w:rsidP="009260DE">
      <w:pPr>
        <w:tabs>
          <w:tab w:val="left" w:pos="851"/>
        </w:tabs>
        <w:ind w:left="851" w:hanging="851"/>
        <w:rPr>
          <w:b/>
          <w:sz w:val="24"/>
          <w:szCs w:val="24"/>
        </w:rPr>
      </w:pPr>
      <w:r w:rsidRPr="00DC6BBF">
        <w:rPr>
          <w:b/>
          <w:sz w:val="24"/>
          <w:szCs w:val="24"/>
        </w:rPr>
        <w:t>8.</w:t>
      </w:r>
      <w:r w:rsidRPr="00DC6BBF">
        <w:rPr>
          <w:b/>
          <w:sz w:val="24"/>
          <w:szCs w:val="24"/>
        </w:rPr>
        <w:tab/>
        <w:t>MARKEDSFØRINGSTILLADELSESNUMMER (</w:t>
      </w:r>
      <w:r w:rsidR="00BF6243" w:rsidRPr="00DC6BBF">
        <w:rPr>
          <w:b/>
          <w:sz w:val="24"/>
          <w:szCs w:val="24"/>
        </w:rPr>
        <w:t>-</w:t>
      </w:r>
      <w:r w:rsidRPr="00DC6BBF">
        <w:rPr>
          <w:b/>
          <w:sz w:val="24"/>
          <w:szCs w:val="24"/>
        </w:rPr>
        <w:t>NUMRE)</w:t>
      </w:r>
    </w:p>
    <w:p w14:paraId="3C9398EF" w14:textId="22EAD067" w:rsidR="009260DE" w:rsidRPr="00DC6BBF" w:rsidRDefault="00F959C6" w:rsidP="009260DE">
      <w:pPr>
        <w:tabs>
          <w:tab w:val="left" w:pos="851"/>
        </w:tabs>
        <w:ind w:left="851"/>
        <w:rPr>
          <w:sz w:val="24"/>
          <w:szCs w:val="24"/>
        </w:rPr>
      </w:pPr>
      <w:r w:rsidRPr="00DC6BBF">
        <w:rPr>
          <w:sz w:val="24"/>
          <w:szCs w:val="24"/>
        </w:rPr>
        <w:t>72256</w:t>
      </w:r>
    </w:p>
    <w:p w14:paraId="055EDB79" w14:textId="77777777" w:rsidR="009260DE" w:rsidRPr="00DC6BBF" w:rsidRDefault="009260DE" w:rsidP="009260DE">
      <w:pPr>
        <w:tabs>
          <w:tab w:val="left" w:pos="851"/>
        </w:tabs>
        <w:ind w:left="851"/>
        <w:jc w:val="both"/>
        <w:rPr>
          <w:sz w:val="24"/>
          <w:szCs w:val="24"/>
        </w:rPr>
      </w:pPr>
    </w:p>
    <w:p w14:paraId="231671D9" w14:textId="77777777" w:rsidR="009260DE" w:rsidRPr="00DC6BBF" w:rsidRDefault="009260DE" w:rsidP="009260DE">
      <w:pPr>
        <w:tabs>
          <w:tab w:val="left" w:pos="851"/>
        </w:tabs>
        <w:ind w:left="851" w:hanging="851"/>
        <w:rPr>
          <w:b/>
          <w:sz w:val="24"/>
          <w:szCs w:val="24"/>
        </w:rPr>
      </w:pPr>
      <w:r w:rsidRPr="00DC6BBF">
        <w:rPr>
          <w:b/>
          <w:sz w:val="24"/>
          <w:szCs w:val="24"/>
        </w:rPr>
        <w:t>9.</w:t>
      </w:r>
      <w:r w:rsidRPr="00DC6BBF">
        <w:rPr>
          <w:b/>
          <w:sz w:val="24"/>
          <w:szCs w:val="24"/>
        </w:rPr>
        <w:tab/>
        <w:t>DATO FOR FØRSTE MARKEDSFØRINGSTILLADELSE</w:t>
      </w:r>
    </w:p>
    <w:p w14:paraId="2F1A50D9" w14:textId="66115783" w:rsidR="009260DE" w:rsidRPr="00DC6BBF" w:rsidRDefault="004D6A80" w:rsidP="009260DE">
      <w:pPr>
        <w:tabs>
          <w:tab w:val="left" w:pos="851"/>
        </w:tabs>
        <w:ind w:left="851"/>
        <w:rPr>
          <w:sz w:val="24"/>
          <w:szCs w:val="24"/>
        </w:rPr>
      </w:pPr>
      <w:r>
        <w:rPr>
          <w:sz w:val="24"/>
          <w:szCs w:val="24"/>
        </w:rPr>
        <w:t>12. marts 2026</w:t>
      </w:r>
    </w:p>
    <w:p w14:paraId="1F9C6575" w14:textId="77777777" w:rsidR="009260DE" w:rsidRPr="00DC6BBF" w:rsidRDefault="009260DE" w:rsidP="009260DE">
      <w:pPr>
        <w:tabs>
          <w:tab w:val="left" w:pos="851"/>
        </w:tabs>
        <w:ind w:left="851"/>
        <w:rPr>
          <w:sz w:val="24"/>
          <w:szCs w:val="24"/>
        </w:rPr>
      </w:pPr>
    </w:p>
    <w:p w14:paraId="4DECFE10" w14:textId="77777777" w:rsidR="009260DE" w:rsidRPr="00DC6BBF" w:rsidRDefault="009260DE" w:rsidP="009260DE">
      <w:pPr>
        <w:tabs>
          <w:tab w:val="left" w:pos="851"/>
        </w:tabs>
        <w:ind w:left="851" w:hanging="851"/>
        <w:rPr>
          <w:b/>
          <w:sz w:val="24"/>
          <w:szCs w:val="24"/>
        </w:rPr>
      </w:pPr>
      <w:r w:rsidRPr="00DC6BBF">
        <w:rPr>
          <w:b/>
          <w:sz w:val="24"/>
          <w:szCs w:val="24"/>
        </w:rPr>
        <w:t>10.</w:t>
      </w:r>
      <w:r w:rsidRPr="00DC6BBF">
        <w:rPr>
          <w:b/>
          <w:sz w:val="24"/>
          <w:szCs w:val="24"/>
        </w:rPr>
        <w:tab/>
        <w:t>DATO FOR ÆNDRING AF TEKSTEN</w:t>
      </w:r>
    </w:p>
    <w:p w14:paraId="17DB8D5F" w14:textId="4983C599" w:rsidR="009260DE" w:rsidRPr="00DC6BBF" w:rsidRDefault="00F959C6" w:rsidP="009260DE">
      <w:pPr>
        <w:tabs>
          <w:tab w:val="left" w:pos="851"/>
        </w:tabs>
        <w:ind w:left="851"/>
        <w:rPr>
          <w:sz w:val="24"/>
          <w:szCs w:val="24"/>
        </w:rPr>
      </w:pPr>
      <w:r w:rsidRPr="00DC6BBF">
        <w:rPr>
          <w:sz w:val="24"/>
          <w:szCs w:val="24"/>
        </w:rPr>
        <w:t>-</w:t>
      </w:r>
    </w:p>
    <w:sectPr w:rsidR="009260DE" w:rsidRPr="00DC6BBF"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73CBC" w14:textId="77777777" w:rsidR="006D302C" w:rsidRDefault="006D302C">
      <w:r>
        <w:separator/>
      </w:r>
    </w:p>
  </w:endnote>
  <w:endnote w:type="continuationSeparator" w:id="0">
    <w:p w14:paraId="7ECD905A" w14:textId="77777777" w:rsidR="006D302C" w:rsidRDefault="006D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8056" w14:textId="77777777" w:rsidR="000259B9" w:rsidRDefault="000259B9">
    <w:pPr>
      <w:pStyle w:val="Sidefod"/>
      <w:pBdr>
        <w:bottom w:val="single" w:sz="6" w:space="1" w:color="auto"/>
      </w:pBdr>
    </w:pPr>
  </w:p>
  <w:p w14:paraId="68B41CEF" w14:textId="77777777" w:rsidR="000259B9" w:rsidRDefault="000259B9" w:rsidP="00C42586">
    <w:pPr>
      <w:pStyle w:val="Sidefod"/>
      <w:tabs>
        <w:tab w:val="clear" w:pos="4819"/>
        <w:tab w:val="left" w:pos="8505"/>
      </w:tabs>
      <w:rPr>
        <w:i/>
        <w:sz w:val="18"/>
        <w:szCs w:val="18"/>
      </w:rPr>
    </w:pPr>
  </w:p>
  <w:p w14:paraId="60C6F7C8" w14:textId="70388337"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282CB9">
      <w:rPr>
        <w:i/>
        <w:noProof/>
        <w:sz w:val="18"/>
        <w:szCs w:val="18"/>
      </w:rPr>
      <w:t>Hilkota, kutanskum 50 mikrog-g+0,5 mg-g.docx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C4719" w14:textId="77777777" w:rsidR="006D302C" w:rsidRDefault="006D302C">
      <w:r>
        <w:separator/>
      </w:r>
    </w:p>
  </w:footnote>
  <w:footnote w:type="continuationSeparator" w:id="0">
    <w:p w14:paraId="25193E17" w14:textId="77777777" w:rsidR="006D302C" w:rsidRDefault="006D3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40294580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151303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9698400">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5228507">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422762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2C"/>
    <w:rsid w:val="000259B9"/>
    <w:rsid w:val="00041491"/>
    <w:rsid w:val="00050D16"/>
    <w:rsid w:val="000730CA"/>
    <w:rsid w:val="00074F2A"/>
    <w:rsid w:val="000A1CA8"/>
    <w:rsid w:val="000A466B"/>
    <w:rsid w:val="000B058C"/>
    <w:rsid w:val="000D68B0"/>
    <w:rsid w:val="000E4EE6"/>
    <w:rsid w:val="001454E2"/>
    <w:rsid w:val="00206CE8"/>
    <w:rsid w:val="0021526C"/>
    <w:rsid w:val="00282CB9"/>
    <w:rsid w:val="00283A2B"/>
    <w:rsid w:val="0028676F"/>
    <w:rsid w:val="002B30AD"/>
    <w:rsid w:val="002C1EC0"/>
    <w:rsid w:val="002C2C01"/>
    <w:rsid w:val="00344EA2"/>
    <w:rsid w:val="003A29AE"/>
    <w:rsid w:val="003A32D7"/>
    <w:rsid w:val="003B4074"/>
    <w:rsid w:val="003C769A"/>
    <w:rsid w:val="003D3A90"/>
    <w:rsid w:val="003F1838"/>
    <w:rsid w:val="004251C1"/>
    <w:rsid w:val="0045746C"/>
    <w:rsid w:val="0049104B"/>
    <w:rsid w:val="004D6A80"/>
    <w:rsid w:val="004E3B12"/>
    <w:rsid w:val="00520598"/>
    <w:rsid w:val="00532310"/>
    <w:rsid w:val="00565F0F"/>
    <w:rsid w:val="00594A86"/>
    <w:rsid w:val="00596D86"/>
    <w:rsid w:val="00637F5A"/>
    <w:rsid w:val="00641C65"/>
    <w:rsid w:val="00653FC0"/>
    <w:rsid w:val="006560B1"/>
    <w:rsid w:val="006756DD"/>
    <w:rsid w:val="006D302C"/>
    <w:rsid w:val="0071241E"/>
    <w:rsid w:val="00737275"/>
    <w:rsid w:val="00740EEC"/>
    <w:rsid w:val="0078011A"/>
    <w:rsid w:val="00782AF4"/>
    <w:rsid w:val="00790EE7"/>
    <w:rsid w:val="007B6649"/>
    <w:rsid w:val="0082576E"/>
    <w:rsid w:val="008767FD"/>
    <w:rsid w:val="0089346F"/>
    <w:rsid w:val="008B2AE5"/>
    <w:rsid w:val="00907F75"/>
    <w:rsid w:val="009260DE"/>
    <w:rsid w:val="0093258A"/>
    <w:rsid w:val="009C7BA3"/>
    <w:rsid w:val="009D1F5A"/>
    <w:rsid w:val="00A10294"/>
    <w:rsid w:val="00B003BF"/>
    <w:rsid w:val="00B373D7"/>
    <w:rsid w:val="00B42DE5"/>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DC6BBF"/>
    <w:rsid w:val="00E108AA"/>
    <w:rsid w:val="00E3749A"/>
    <w:rsid w:val="00E7437F"/>
    <w:rsid w:val="00E865B8"/>
    <w:rsid w:val="00EC0B9B"/>
    <w:rsid w:val="00ED5E9F"/>
    <w:rsid w:val="00F66D4F"/>
    <w:rsid w:val="00F959C6"/>
    <w:rsid w:val="00FB6D01"/>
    <w:rsid w:val="00FC4DC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BCEBC"/>
  <w15:chartTrackingRefBased/>
  <w15:docId w15:val="{E4629C25-4BEA-47D8-AA43-B710CC3C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8B2AE5"/>
    <w:rPr>
      <w:color w:val="0563C1" w:themeColor="hyperlink"/>
      <w:u w:val="single"/>
    </w:rPr>
  </w:style>
  <w:style w:type="character" w:styleId="Ulstomtale">
    <w:name w:val="Unresolved Mention"/>
    <w:basedOn w:val="Standardskrifttypeiafsnit"/>
    <w:uiPriority w:val="99"/>
    <w:semiHidden/>
    <w:unhideWhenUsed/>
    <w:rsid w:val="008B2AE5"/>
    <w:rPr>
      <w:color w:val="605E5C"/>
      <w:shd w:val="clear" w:color="auto" w:fill="E1DFDD"/>
    </w:rPr>
  </w:style>
  <w:style w:type="table" w:styleId="Tabel-Gitter">
    <w:name w:val="Table Grid"/>
    <w:basedOn w:val="Tabel-Normal"/>
    <w:uiPriority w:val="59"/>
    <w:rsid w:val="008B2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5662">
      <w:bodyDiv w:val="1"/>
      <w:marLeft w:val="0"/>
      <w:marRight w:val="0"/>
      <w:marTop w:val="0"/>
      <w:marBottom w:val="0"/>
      <w:divBdr>
        <w:top w:val="none" w:sz="0" w:space="0" w:color="auto"/>
        <w:left w:val="none" w:sz="0" w:space="0" w:color="auto"/>
        <w:bottom w:val="none" w:sz="0" w:space="0" w:color="auto"/>
        <w:right w:val="none" w:sz="0" w:space="0" w:color="auto"/>
      </w:divBdr>
    </w:div>
    <w:div w:id="28527576">
      <w:bodyDiv w:val="1"/>
      <w:marLeft w:val="0"/>
      <w:marRight w:val="0"/>
      <w:marTop w:val="0"/>
      <w:marBottom w:val="0"/>
      <w:divBdr>
        <w:top w:val="none" w:sz="0" w:space="0" w:color="auto"/>
        <w:left w:val="none" w:sz="0" w:space="0" w:color="auto"/>
        <w:bottom w:val="none" w:sz="0" w:space="0" w:color="auto"/>
        <w:right w:val="none" w:sz="0" w:space="0" w:color="auto"/>
      </w:divBdr>
    </w:div>
    <w:div w:id="41829160">
      <w:bodyDiv w:val="1"/>
      <w:marLeft w:val="0"/>
      <w:marRight w:val="0"/>
      <w:marTop w:val="0"/>
      <w:marBottom w:val="0"/>
      <w:divBdr>
        <w:top w:val="none" w:sz="0" w:space="0" w:color="auto"/>
        <w:left w:val="none" w:sz="0" w:space="0" w:color="auto"/>
        <w:bottom w:val="none" w:sz="0" w:space="0" w:color="auto"/>
        <w:right w:val="none" w:sz="0" w:space="0" w:color="auto"/>
      </w:divBdr>
    </w:div>
    <w:div w:id="52775945">
      <w:bodyDiv w:val="1"/>
      <w:marLeft w:val="0"/>
      <w:marRight w:val="0"/>
      <w:marTop w:val="0"/>
      <w:marBottom w:val="0"/>
      <w:divBdr>
        <w:top w:val="none" w:sz="0" w:space="0" w:color="auto"/>
        <w:left w:val="none" w:sz="0" w:space="0" w:color="auto"/>
        <w:bottom w:val="none" w:sz="0" w:space="0" w:color="auto"/>
        <w:right w:val="none" w:sz="0" w:space="0" w:color="auto"/>
      </w:divBdr>
    </w:div>
    <w:div w:id="61685869">
      <w:bodyDiv w:val="1"/>
      <w:marLeft w:val="0"/>
      <w:marRight w:val="0"/>
      <w:marTop w:val="0"/>
      <w:marBottom w:val="0"/>
      <w:divBdr>
        <w:top w:val="none" w:sz="0" w:space="0" w:color="auto"/>
        <w:left w:val="none" w:sz="0" w:space="0" w:color="auto"/>
        <w:bottom w:val="none" w:sz="0" w:space="0" w:color="auto"/>
        <w:right w:val="none" w:sz="0" w:space="0" w:color="auto"/>
      </w:divBdr>
    </w:div>
    <w:div w:id="61755864">
      <w:bodyDiv w:val="1"/>
      <w:marLeft w:val="0"/>
      <w:marRight w:val="0"/>
      <w:marTop w:val="0"/>
      <w:marBottom w:val="0"/>
      <w:divBdr>
        <w:top w:val="none" w:sz="0" w:space="0" w:color="auto"/>
        <w:left w:val="none" w:sz="0" w:space="0" w:color="auto"/>
        <w:bottom w:val="none" w:sz="0" w:space="0" w:color="auto"/>
        <w:right w:val="none" w:sz="0" w:space="0" w:color="auto"/>
      </w:divBdr>
    </w:div>
    <w:div w:id="10481413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69489829">
      <w:bodyDiv w:val="1"/>
      <w:marLeft w:val="0"/>
      <w:marRight w:val="0"/>
      <w:marTop w:val="0"/>
      <w:marBottom w:val="0"/>
      <w:divBdr>
        <w:top w:val="none" w:sz="0" w:space="0" w:color="auto"/>
        <w:left w:val="none" w:sz="0" w:space="0" w:color="auto"/>
        <w:bottom w:val="none" w:sz="0" w:space="0" w:color="auto"/>
        <w:right w:val="none" w:sz="0" w:space="0" w:color="auto"/>
      </w:divBdr>
    </w:div>
    <w:div w:id="270287206">
      <w:bodyDiv w:val="1"/>
      <w:marLeft w:val="0"/>
      <w:marRight w:val="0"/>
      <w:marTop w:val="0"/>
      <w:marBottom w:val="0"/>
      <w:divBdr>
        <w:top w:val="none" w:sz="0" w:space="0" w:color="auto"/>
        <w:left w:val="none" w:sz="0" w:space="0" w:color="auto"/>
        <w:bottom w:val="none" w:sz="0" w:space="0" w:color="auto"/>
        <w:right w:val="none" w:sz="0" w:space="0" w:color="auto"/>
      </w:divBdr>
    </w:div>
    <w:div w:id="360515755">
      <w:bodyDiv w:val="1"/>
      <w:marLeft w:val="0"/>
      <w:marRight w:val="0"/>
      <w:marTop w:val="0"/>
      <w:marBottom w:val="0"/>
      <w:divBdr>
        <w:top w:val="none" w:sz="0" w:space="0" w:color="auto"/>
        <w:left w:val="none" w:sz="0" w:space="0" w:color="auto"/>
        <w:bottom w:val="none" w:sz="0" w:space="0" w:color="auto"/>
        <w:right w:val="none" w:sz="0" w:space="0" w:color="auto"/>
      </w:divBdr>
    </w:div>
    <w:div w:id="416169472">
      <w:bodyDiv w:val="1"/>
      <w:marLeft w:val="0"/>
      <w:marRight w:val="0"/>
      <w:marTop w:val="0"/>
      <w:marBottom w:val="0"/>
      <w:divBdr>
        <w:top w:val="none" w:sz="0" w:space="0" w:color="auto"/>
        <w:left w:val="none" w:sz="0" w:space="0" w:color="auto"/>
        <w:bottom w:val="none" w:sz="0" w:space="0" w:color="auto"/>
        <w:right w:val="none" w:sz="0" w:space="0" w:color="auto"/>
      </w:divBdr>
    </w:div>
    <w:div w:id="422527799">
      <w:bodyDiv w:val="1"/>
      <w:marLeft w:val="0"/>
      <w:marRight w:val="0"/>
      <w:marTop w:val="0"/>
      <w:marBottom w:val="0"/>
      <w:divBdr>
        <w:top w:val="none" w:sz="0" w:space="0" w:color="auto"/>
        <w:left w:val="none" w:sz="0" w:space="0" w:color="auto"/>
        <w:bottom w:val="none" w:sz="0" w:space="0" w:color="auto"/>
        <w:right w:val="none" w:sz="0" w:space="0" w:color="auto"/>
      </w:divBdr>
    </w:div>
    <w:div w:id="481386594">
      <w:bodyDiv w:val="1"/>
      <w:marLeft w:val="0"/>
      <w:marRight w:val="0"/>
      <w:marTop w:val="0"/>
      <w:marBottom w:val="0"/>
      <w:divBdr>
        <w:top w:val="none" w:sz="0" w:space="0" w:color="auto"/>
        <w:left w:val="none" w:sz="0" w:space="0" w:color="auto"/>
        <w:bottom w:val="none" w:sz="0" w:space="0" w:color="auto"/>
        <w:right w:val="none" w:sz="0" w:space="0" w:color="auto"/>
      </w:divBdr>
    </w:div>
    <w:div w:id="698165811">
      <w:bodyDiv w:val="1"/>
      <w:marLeft w:val="0"/>
      <w:marRight w:val="0"/>
      <w:marTop w:val="0"/>
      <w:marBottom w:val="0"/>
      <w:divBdr>
        <w:top w:val="none" w:sz="0" w:space="0" w:color="auto"/>
        <w:left w:val="none" w:sz="0" w:space="0" w:color="auto"/>
        <w:bottom w:val="none" w:sz="0" w:space="0" w:color="auto"/>
        <w:right w:val="none" w:sz="0" w:space="0" w:color="auto"/>
      </w:divBdr>
    </w:div>
    <w:div w:id="772945326">
      <w:bodyDiv w:val="1"/>
      <w:marLeft w:val="0"/>
      <w:marRight w:val="0"/>
      <w:marTop w:val="0"/>
      <w:marBottom w:val="0"/>
      <w:divBdr>
        <w:top w:val="none" w:sz="0" w:space="0" w:color="auto"/>
        <w:left w:val="none" w:sz="0" w:space="0" w:color="auto"/>
        <w:bottom w:val="none" w:sz="0" w:space="0" w:color="auto"/>
        <w:right w:val="none" w:sz="0" w:space="0" w:color="auto"/>
      </w:divBdr>
    </w:div>
    <w:div w:id="781076770">
      <w:bodyDiv w:val="1"/>
      <w:marLeft w:val="0"/>
      <w:marRight w:val="0"/>
      <w:marTop w:val="0"/>
      <w:marBottom w:val="0"/>
      <w:divBdr>
        <w:top w:val="none" w:sz="0" w:space="0" w:color="auto"/>
        <w:left w:val="none" w:sz="0" w:space="0" w:color="auto"/>
        <w:bottom w:val="none" w:sz="0" w:space="0" w:color="auto"/>
        <w:right w:val="none" w:sz="0" w:space="0" w:color="auto"/>
      </w:divBdr>
    </w:div>
    <w:div w:id="893394988">
      <w:bodyDiv w:val="1"/>
      <w:marLeft w:val="0"/>
      <w:marRight w:val="0"/>
      <w:marTop w:val="0"/>
      <w:marBottom w:val="0"/>
      <w:divBdr>
        <w:top w:val="none" w:sz="0" w:space="0" w:color="auto"/>
        <w:left w:val="none" w:sz="0" w:space="0" w:color="auto"/>
        <w:bottom w:val="none" w:sz="0" w:space="0" w:color="auto"/>
        <w:right w:val="none" w:sz="0" w:space="0" w:color="auto"/>
      </w:divBdr>
    </w:div>
    <w:div w:id="954753716">
      <w:bodyDiv w:val="1"/>
      <w:marLeft w:val="0"/>
      <w:marRight w:val="0"/>
      <w:marTop w:val="0"/>
      <w:marBottom w:val="0"/>
      <w:divBdr>
        <w:top w:val="none" w:sz="0" w:space="0" w:color="auto"/>
        <w:left w:val="none" w:sz="0" w:space="0" w:color="auto"/>
        <w:bottom w:val="none" w:sz="0" w:space="0" w:color="auto"/>
        <w:right w:val="none" w:sz="0" w:space="0" w:color="auto"/>
      </w:divBdr>
    </w:div>
    <w:div w:id="961617923">
      <w:bodyDiv w:val="1"/>
      <w:marLeft w:val="0"/>
      <w:marRight w:val="0"/>
      <w:marTop w:val="0"/>
      <w:marBottom w:val="0"/>
      <w:divBdr>
        <w:top w:val="none" w:sz="0" w:space="0" w:color="auto"/>
        <w:left w:val="none" w:sz="0" w:space="0" w:color="auto"/>
        <w:bottom w:val="none" w:sz="0" w:space="0" w:color="auto"/>
        <w:right w:val="none" w:sz="0" w:space="0" w:color="auto"/>
      </w:divBdr>
    </w:div>
    <w:div w:id="1012339483">
      <w:bodyDiv w:val="1"/>
      <w:marLeft w:val="0"/>
      <w:marRight w:val="0"/>
      <w:marTop w:val="0"/>
      <w:marBottom w:val="0"/>
      <w:divBdr>
        <w:top w:val="none" w:sz="0" w:space="0" w:color="auto"/>
        <w:left w:val="none" w:sz="0" w:space="0" w:color="auto"/>
        <w:bottom w:val="none" w:sz="0" w:space="0" w:color="auto"/>
        <w:right w:val="none" w:sz="0" w:space="0" w:color="auto"/>
      </w:divBdr>
    </w:div>
    <w:div w:id="1030103446">
      <w:bodyDiv w:val="1"/>
      <w:marLeft w:val="0"/>
      <w:marRight w:val="0"/>
      <w:marTop w:val="0"/>
      <w:marBottom w:val="0"/>
      <w:divBdr>
        <w:top w:val="none" w:sz="0" w:space="0" w:color="auto"/>
        <w:left w:val="none" w:sz="0" w:space="0" w:color="auto"/>
        <w:bottom w:val="none" w:sz="0" w:space="0" w:color="auto"/>
        <w:right w:val="none" w:sz="0" w:space="0" w:color="auto"/>
      </w:divBdr>
    </w:div>
    <w:div w:id="1053772415">
      <w:bodyDiv w:val="1"/>
      <w:marLeft w:val="0"/>
      <w:marRight w:val="0"/>
      <w:marTop w:val="0"/>
      <w:marBottom w:val="0"/>
      <w:divBdr>
        <w:top w:val="none" w:sz="0" w:space="0" w:color="auto"/>
        <w:left w:val="none" w:sz="0" w:space="0" w:color="auto"/>
        <w:bottom w:val="none" w:sz="0" w:space="0" w:color="auto"/>
        <w:right w:val="none" w:sz="0" w:space="0" w:color="auto"/>
      </w:divBdr>
    </w:div>
    <w:div w:id="1079788946">
      <w:bodyDiv w:val="1"/>
      <w:marLeft w:val="0"/>
      <w:marRight w:val="0"/>
      <w:marTop w:val="0"/>
      <w:marBottom w:val="0"/>
      <w:divBdr>
        <w:top w:val="none" w:sz="0" w:space="0" w:color="auto"/>
        <w:left w:val="none" w:sz="0" w:space="0" w:color="auto"/>
        <w:bottom w:val="none" w:sz="0" w:space="0" w:color="auto"/>
        <w:right w:val="none" w:sz="0" w:space="0" w:color="auto"/>
      </w:divBdr>
    </w:div>
    <w:div w:id="1136609904">
      <w:bodyDiv w:val="1"/>
      <w:marLeft w:val="0"/>
      <w:marRight w:val="0"/>
      <w:marTop w:val="0"/>
      <w:marBottom w:val="0"/>
      <w:divBdr>
        <w:top w:val="none" w:sz="0" w:space="0" w:color="auto"/>
        <w:left w:val="none" w:sz="0" w:space="0" w:color="auto"/>
        <w:bottom w:val="none" w:sz="0" w:space="0" w:color="auto"/>
        <w:right w:val="none" w:sz="0" w:space="0" w:color="auto"/>
      </w:divBdr>
    </w:div>
    <w:div w:id="1174226325">
      <w:bodyDiv w:val="1"/>
      <w:marLeft w:val="0"/>
      <w:marRight w:val="0"/>
      <w:marTop w:val="0"/>
      <w:marBottom w:val="0"/>
      <w:divBdr>
        <w:top w:val="none" w:sz="0" w:space="0" w:color="auto"/>
        <w:left w:val="none" w:sz="0" w:space="0" w:color="auto"/>
        <w:bottom w:val="none" w:sz="0" w:space="0" w:color="auto"/>
        <w:right w:val="none" w:sz="0" w:space="0" w:color="auto"/>
      </w:divBdr>
    </w:div>
    <w:div w:id="1190605614">
      <w:bodyDiv w:val="1"/>
      <w:marLeft w:val="0"/>
      <w:marRight w:val="0"/>
      <w:marTop w:val="0"/>
      <w:marBottom w:val="0"/>
      <w:divBdr>
        <w:top w:val="none" w:sz="0" w:space="0" w:color="auto"/>
        <w:left w:val="none" w:sz="0" w:space="0" w:color="auto"/>
        <w:bottom w:val="none" w:sz="0" w:space="0" w:color="auto"/>
        <w:right w:val="none" w:sz="0" w:space="0" w:color="auto"/>
      </w:divBdr>
    </w:div>
    <w:div w:id="1198857975">
      <w:bodyDiv w:val="1"/>
      <w:marLeft w:val="0"/>
      <w:marRight w:val="0"/>
      <w:marTop w:val="0"/>
      <w:marBottom w:val="0"/>
      <w:divBdr>
        <w:top w:val="none" w:sz="0" w:space="0" w:color="auto"/>
        <w:left w:val="none" w:sz="0" w:space="0" w:color="auto"/>
        <w:bottom w:val="none" w:sz="0" w:space="0" w:color="auto"/>
        <w:right w:val="none" w:sz="0" w:space="0" w:color="auto"/>
      </w:divBdr>
    </w:div>
    <w:div w:id="1385790954">
      <w:bodyDiv w:val="1"/>
      <w:marLeft w:val="0"/>
      <w:marRight w:val="0"/>
      <w:marTop w:val="0"/>
      <w:marBottom w:val="0"/>
      <w:divBdr>
        <w:top w:val="none" w:sz="0" w:space="0" w:color="auto"/>
        <w:left w:val="none" w:sz="0" w:space="0" w:color="auto"/>
        <w:bottom w:val="none" w:sz="0" w:space="0" w:color="auto"/>
        <w:right w:val="none" w:sz="0" w:space="0" w:color="auto"/>
      </w:divBdr>
    </w:div>
    <w:div w:id="1413694766">
      <w:bodyDiv w:val="1"/>
      <w:marLeft w:val="0"/>
      <w:marRight w:val="0"/>
      <w:marTop w:val="0"/>
      <w:marBottom w:val="0"/>
      <w:divBdr>
        <w:top w:val="none" w:sz="0" w:space="0" w:color="auto"/>
        <w:left w:val="none" w:sz="0" w:space="0" w:color="auto"/>
        <w:bottom w:val="none" w:sz="0" w:space="0" w:color="auto"/>
        <w:right w:val="none" w:sz="0" w:space="0" w:color="auto"/>
      </w:divBdr>
    </w:div>
    <w:div w:id="1478839529">
      <w:bodyDiv w:val="1"/>
      <w:marLeft w:val="0"/>
      <w:marRight w:val="0"/>
      <w:marTop w:val="0"/>
      <w:marBottom w:val="0"/>
      <w:divBdr>
        <w:top w:val="none" w:sz="0" w:space="0" w:color="auto"/>
        <w:left w:val="none" w:sz="0" w:space="0" w:color="auto"/>
        <w:bottom w:val="none" w:sz="0" w:space="0" w:color="auto"/>
        <w:right w:val="none" w:sz="0" w:space="0" w:color="auto"/>
      </w:divBdr>
    </w:div>
    <w:div w:id="1482312457">
      <w:bodyDiv w:val="1"/>
      <w:marLeft w:val="0"/>
      <w:marRight w:val="0"/>
      <w:marTop w:val="0"/>
      <w:marBottom w:val="0"/>
      <w:divBdr>
        <w:top w:val="none" w:sz="0" w:space="0" w:color="auto"/>
        <w:left w:val="none" w:sz="0" w:space="0" w:color="auto"/>
        <w:bottom w:val="none" w:sz="0" w:space="0" w:color="auto"/>
        <w:right w:val="none" w:sz="0" w:space="0" w:color="auto"/>
      </w:divBdr>
    </w:div>
    <w:div w:id="1486971052">
      <w:bodyDiv w:val="1"/>
      <w:marLeft w:val="0"/>
      <w:marRight w:val="0"/>
      <w:marTop w:val="0"/>
      <w:marBottom w:val="0"/>
      <w:divBdr>
        <w:top w:val="none" w:sz="0" w:space="0" w:color="auto"/>
        <w:left w:val="none" w:sz="0" w:space="0" w:color="auto"/>
        <w:bottom w:val="none" w:sz="0" w:space="0" w:color="auto"/>
        <w:right w:val="none" w:sz="0" w:space="0" w:color="auto"/>
      </w:divBdr>
    </w:div>
    <w:div w:id="1499687990">
      <w:bodyDiv w:val="1"/>
      <w:marLeft w:val="0"/>
      <w:marRight w:val="0"/>
      <w:marTop w:val="0"/>
      <w:marBottom w:val="0"/>
      <w:divBdr>
        <w:top w:val="none" w:sz="0" w:space="0" w:color="auto"/>
        <w:left w:val="none" w:sz="0" w:space="0" w:color="auto"/>
        <w:bottom w:val="none" w:sz="0" w:space="0" w:color="auto"/>
        <w:right w:val="none" w:sz="0" w:space="0" w:color="auto"/>
      </w:divBdr>
    </w:div>
    <w:div w:id="1511720637">
      <w:bodyDiv w:val="1"/>
      <w:marLeft w:val="0"/>
      <w:marRight w:val="0"/>
      <w:marTop w:val="0"/>
      <w:marBottom w:val="0"/>
      <w:divBdr>
        <w:top w:val="none" w:sz="0" w:space="0" w:color="auto"/>
        <w:left w:val="none" w:sz="0" w:space="0" w:color="auto"/>
        <w:bottom w:val="none" w:sz="0" w:space="0" w:color="auto"/>
        <w:right w:val="none" w:sz="0" w:space="0" w:color="auto"/>
      </w:divBdr>
    </w:div>
    <w:div w:id="1515414978">
      <w:bodyDiv w:val="1"/>
      <w:marLeft w:val="0"/>
      <w:marRight w:val="0"/>
      <w:marTop w:val="0"/>
      <w:marBottom w:val="0"/>
      <w:divBdr>
        <w:top w:val="none" w:sz="0" w:space="0" w:color="auto"/>
        <w:left w:val="none" w:sz="0" w:space="0" w:color="auto"/>
        <w:bottom w:val="none" w:sz="0" w:space="0" w:color="auto"/>
        <w:right w:val="none" w:sz="0" w:space="0" w:color="auto"/>
      </w:divBdr>
    </w:div>
    <w:div w:id="1568420544">
      <w:bodyDiv w:val="1"/>
      <w:marLeft w:val="0"/>
      <w:marRight w:val="0"/>
      <w:marTop w:val="0"/>
      <w:marBottom w:val="0"/>
      <w:divBdr>
        <w:top w:val="none" w:sz="0" w:space="0" w:color="auto"/>
        <w:left w:val="none" w:sz="0" w:space="0" w:color="auto"/>
        <w:bottom w:val="none" w:sz="0" w:space="0" w:color="auto"/>
        <w:right w:val="none" w:sz="0" w:space="0" w:color="auto"/>
      </w:divBdr>
    </w:div>
    <w:div w:id="1583442640">
      <w:bodyDiv w:val="1"/>
      <w:marLeft w:val="0"/>
      <w:marRight w:val="0"/>
      <w:marTop w:val="0"/>
      <w:marBottom w:val="0"/>
      <w:divBdr>
        <w:top w:val="none" w:sz="0" w:space="0" w:color="auto"/>
        <w:left w:val="none" w:sz="0" w:space="0" w:color="auto"/>
        <w:bottom w:val="none" w:sz="0" w:space="0" w:color="auto"/>
        <w:right w:val="none" w:sz="0" w:space="0" w:color="auto"/>
      </w:divBdr>
    </w:div>
    <w:div w:id="1642266625">
      <w:bodyDiv w:val="1"/>
      <w:marLeft w:val="0"/>
      <w:marRight w:val="0"/>
      <w:marTop w:val="0"/>
      <w:marBottom w:val="0"/>
      <w:divBdr>
        <w:top w:val="none" w:sz="0" w:space="0" w:color="auto"/>
        <w:left w:val="none" w:sz="0" w:space="0" w:color="auto"/>
        <w:bottom w:val="none" w:sz="0" w:space="0" w:color="auto"/>
        <w:right w:val="none" w:sz="0" w:space="0" w:color="auto"/>
      </w:divBdr>
    </w:div>
    <w:div w:id="1644894588">
      <w:bodyDiv w:val="1"/>
      <w:marLeft w:val="0"/>
      <w:marRight w:val="0"/>
      <w:marTop w:val="0"/>
      <w:marBottom w:val="0"/>
      <w:divBdr>
        <w:top w:val="none" w:sz="0" w:space="0" w:color="auto"/>
        <w:left w:val="none" w:sz="0" w:space="0" w:color="auto"/>
        <w:bottom w:val="none" w:sz="0" w:space="0" w:color="auto"/>
        <w:right w:val="none" w:sz="0" w:space="0" w:color="auto"/>
      </w:divBdr>
    </w:div>
    <w:div w:id="1794791643">
      <w:bodyDiv w:val="1"/>
      <w:marLeft w:val="0"/>
      <w:marRight w:val="0"/>
      <w:marTop w:val="0"/>
      <w:marBottom w:val="0"/>
      <w:divBdr>
        <w:top w:val="none" w:sz="0" w:space="0" w:color="auto"/>
        <w:left w:val="none" w:sz="0" w:space="0" w:color="auto"/>
        <w:bottom w:val="none" w:sz="0" w:space="0" w:color="auto"/>
        <w:right w:val="none" w:sz="0" w:space="0" w:color="auto"/>
      </w:divBdr>
    </w:div>
    <w:div w:id="1888445209">
      <w:bodyDiv w:val="1"/>
      <w:marLeft w:val="0"/>
      <w:marRight w:val="0"/>
      <w:marTop w:val="0"/>
      <w:marBottom w:val="0"/>
      <w:divBdr>
        <w:top w:val="none" w:sz="0" w:space="0" w:color="auto"/>
        <w:left w:val="none" w:sz="0" w:space="0" w:color="auto"/>
        <w:bottom w:val="none" w:sz="0" w:space="0" w:color="auto"/>
        <w:right w:val="none" w:sz="0" w:space="0" w:color="auto"/>
      </w:divBdr>
    </w:div>
    <w:div w:id="1916740872">
      <w:bodyDiv w:val="1"/>
      <w:marLeft w:val="0"/>
      <w:marRight w:val="0"/>
      <w:marTop w:val="0"/>
      <w:marBottom w:val="0"/>
      <w:divBdr>
        <w:top w:val="none" w:sz="0" w:space="0" w:color="auto"/>
        <w:left w:val="none" w:sz="0" w:space="0" w:color="auto"/>
        <w:bottom w:val="none" w:sz="0" w:space="0" w:color="auto"/>
        <w:right w:val="none" w:sz="0" w:space="0" w:color="auto"/>
      </w:divBdr>
    </w:div>
    <w:div w:id="2044136967">
      <w:bodyDiv w:val="1"/>
      <w:marLeft w:val="0"/>
      <w:marRight w:val="0"/>
      <w:marTop w:val="0"/>
      <w:marBottom w:val="0"/>
      <w:divBdr>
        <w:top w:val="none" w:sz="0" w:space="0" w:color="auto"/>
        <w:left w:val="none" w:sz="0" w:space="0" w:color="auto"/>
        <w:bottom w:val="none" w:sz="0" w:space="0" w:color="auto"/>
        <w:right w:val="none" w:sz="0" w:space="0" w:color="auto"/>
      </w:divBdr>
    </w:div>
    <w:div w:id="2133748452">
      <w:bodyDiv w:val="1"/>
      <w:marLeft w:val="0"/>
      <w:marRight w:val="0"/>
      <w:marTop w:val="0"/>
      <w:marBottom w:val="0"/>
      <w:divBdr>
        <w:top w:val="none" w:sz="0" w:space="0" w:color="auto"/>
        <w:left w:val="none" w:sz="0" w:space="0" w:color="auto"/>
        <w:bottom w:val="none" w:sz="0" w:space="0" w:color="auto"/>
        <w:right w:val="none" w:sz="0" w:space="0" w:color="auto"/>
      </w:divBdr>
    </w:div>
    <w:div w:id="2140220209">
      <w:bodyDiv w:val="1"/>
      <w:marLeft w:val="0"/>
      <w:marRight w:val="0"/>
      <w:marTop w:val="0"/>
      <w:marBottom w:val="0"/>
      <w:divBdr>
        <w:top w:val="none" w:sz="0" w:space="0" w:color="auto"/>
        <w:left w:val="none" w:sz="0" w:space="0" w:color="auto"/>
        <w:bottom w:val="none" w:sz="0" w:space="0" w:color="auto"/>
        <w:right w:val="none" w:sz="0" w:space="0" w:color="auto"/>
      </w:divBdr>
    </w:div>
    <w:div w:id="214226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ldenbivirkning.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CB2AE-C2C9-40C8-82E5-6F1BBCDED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LGO-RKE-REG 008-01-SKB SPC Hum skabelon.dotx</Template>
  <TotalTime>46</TotalTime>
  <Pages>12</Pages>
  <Words>3273</Words>
  <Characters>21354</Characters>
  <Application>Microsoft Office Word</Application>
  <DocSecurity>0</DocSecurity>
  <Lines>177</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2024080180, MT</dc:description>
  <cp:lastModifiedBy>Gitte Jørgensen</cp:lastModifiedBy>
  <cp:revision>9</cp:revision>
  <cp:lastPrinted>2012-08-22T08:53:00Z</cp:lastPrinted>
  <dcterms:created xsi:type="dcterms:W3CDTF">2026-03-12T07:32:00Z</dcterms:created>
  <dcterms:modified xsi:type="dcterms:W3CDTF">2026-03-12T09:40:00Z</dcterms:modified>
</cp:coreProperties>
</file>