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295" w:rsidRPr="00E20765" w:rsidRDefault="00367295" w:rsidP="00367295">
      <w:pPr>
        <w:rPr>
          <w:sz w:val="24"/>
          <w:szCs w:val="24"/>
        </w:rPr>
      </w:pPr>
      <w:r w:rsidRPr="00E20765">
        <w:rPr>
          <w:noProof/>
          <w:sz w:val="24"/>
          <w:szCs w:val="24"/>
          <w:lang w:eastAsia="da-DK"/>
        </w:rPr>
        <w:drawing>
          <wp:anchor distT="0" distB="0" distL="114300" distR="114300" simplePos="0" relativeHeight="251659264" behindDoc="0" locked="0" layoutInCell="1" allowOverlap="1" wp14:anchorId="40E5E118" wp14:editId="4DF93C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20765">
        <w:rPr>
          <w:sz w:val="24"/>
          <w:szCs w:val="24"/>
        </w:rPr>
        <w:br w:type="textWrapping" w:clear="all"/>
      </w:r>
    </w:p>
    <w:p w:rsidR="00367295" w:rsidRPr="00E20765" w:rsidRDefault="00367295" w:rsidP="00367295">
      <w:pPr>
        <w:pStyle w:val="Titel"/>
        <w:tabs>
          <w:tab w:val="right" w:pos="9356"/>
        </w:tabs>
        <w:jc w:val="left"/>
        <w:rPr>
          <w:b w:val="0"/>
          <w:szCs w:val="24"/>
          <w:lang w:eastAsia="en-US"/>
        </w:rPr>
      </w:pPr>
    </w:p>
    <w:p w:rsidR="00367295" w:rsidRPr="00E20765" w:rsidRDefault="00367295" w:rsidP="00367295">
      <w:pPr>
        <w:pStyle w:val="Titel"/>
        <w:tabs>
          <w:tab w:val="right" w:pos="9356"/>
        </w:tabs>
        <w:jc w:val="left"/>
        <w:rPr>
          <w:b w:val="0"/>
          <w:szCs w:val="24"/>
          <w:lang w:eastAsia="en-US"/>
        </w:rPr>
      </w:pPr>
      <w:r w:rsidRPr="00E20765">
        <w:rPr>
          <w:b w:val="0"/>
          <w:szCs w:val="24"/>
          <w:lang w:eastAsia="en-US"/>
        </w:rPr>
        <w:tab/>
      </w:r>
      <w:r w:rsidR="005F0B7E">
        <w:rPr>
          <w:szCs w:val="24"/>
        </w:rPr>
        <w:t>19</w:t>
      </w:r>
      <w:r w:rsidR="00D13CC8">
        <w:rPr>
          <w:szCs w:val="24"/>
        </w:rPr>
        <w:t xml:space="preserve">. </w:t>
      </w:r>
      <w:r w:rsidR="005F0B7E">
        <w:rPr>
          <w:szCs w:val="24"/>
        </w:rPr>
        <w:t>januar</w:t>
      </w:r>
      <w:r w:rsidR="00D13CC8">
        <w:rPr>
          <w:szCs w:val="24"/>
        </w:rPr>
        <w:t xml:space="preserve"> 202</w:t>
      </w:r>
      <w:r w:rsidR="005F0B7E">
        <w:rPr>
          <w:szCs w:val="24"/>
        </w:rPr>
        <w:t>1</w:t>
      </w:r>
    </w:p>
    <w:p w:rsidR="00367295" w:rsidRPr="00E20765" w:rsidRDefault="00367295" w:rsidP="00367295">
      <w:pPr>
        <w:pStyle w:val="Titel"/>
        <w:tabs>
          <w:tab w:val="left" w:pos="8222"/>
        </w:tabs>
        <w:jc w:val="left"/>
        <w:rPr>
          <w:b w:val="0"/>
          <w:szCs w:val="24"/>
        </w:rPr>
      </w:pPr>
    </w:p>
    <w:p w:rsidR="00367295" w:rsidRPr="00E20765" w:rsidRDefault="00367295" w:rsidP="00367295">
      <w:pPr>
        <w:pStyle w:val="Titel"/>
        <w:jc w:val="left"/>
        <w:rPr>
          <w:b w:val="0"/>
          <w:szCs w:val="24"/>
        </w:rPr>
      </w:pPr>
    </w:p>
    <w:p w:rsidR="00367295" w:rsidRPr="00E20765" w:rsidRDefault="00367295" w:rsidP="00367295">
      <w:pPr>
        <w:jc w:val="center"/>
        <w:rPr>
          <w:b/>
          <w:sz w:val="24"/>
          <w:szCs w:val="24"/>
        </w:rPr>
      </w:pPr>
      <w:r w:rsidRPr="00E20765">
        <w:rPr>
          <w:b/>
          <w:sz w:val="24"/>
          <w:szCs w:val="24"/>
        </w:rPr>
        <w:t>PRODUKTRESUMÉ</w:t>
      </w:r>
    </w:p>
    <w:p w:rsidR="00367295" w:rsidRPr="00E20765" w:rsidRDefault="00367295" w:rsidP="00367295">
      <w:pPr>
        <w:jc w:val="center"/>
        <w:rPr>
          <w:b/>
          <w:sz w:val="24"/>
          <w:szCs w:val="24"/>
        </w:rPr>
      </w:pPr>
    </w:p>
    <w:p w:rsidR="00367295" w:rsidRPr="00E20765" w:rsidRDefault="00367295" w:rsidP="00367295">
      <w:pPr>
        <w:jc w:val="center"/>
        <w:rPr>
          <w:b/>
          <w:sz w:val="24"/>
          <w:szCs w:val="24"/>
        </w:rPr>
      </w:pPr>
      <w:r w:rsidRPr="00E20765">
        <w:rPr>
          <w:b/>
          <w:sz w:val="24"/>
          <w:szCs w:val="24"/>
        </w:rPr>
        <w:t>for</w:t>
      </w:r>
    </w:p>
    <w:p w:rsidR="00367295" w:rsidRPr="00E20765" w:rsidRDefault="00367295" w:rsidP="00367295">
      <w:pPr>
        <w:jc w:val="center"/>
        <w:rPr>
          <w:b/>
          <w:sz w:val="24"/>
          <w:szCs w:val="24"/>
        </w:rPr>
      </w:pPr>
    </w:p>
    <w:p w:rsidR="00367295" w:rsidRPr="00E20765" w:rsidRDefault="00367295" w:rsidP="00367295">
      <w:pPr>
        <w:jc w:val="center"/>
        <w:rPr>
          <w:b/>
          <w:sz w:val="24"/>
          <w:szCs w:val="24"/>
        </w:rPr>
      </w:pPr>
      <w:proofErr w:type="spellStart"/>
      <w:r w:rsidRPr="00E20765">
        <w:rPr>
          <w:b/>
          <w:sz w:val="24"/>
          <w:szCs w:val="24"/>
        </w:rPr>
        <w:t>Hjercatyl</w:t>
      </w:r>
      <w:proofErr w:type="spellEnd"/>
      <w:r w:rsidRPr="00E20765">
        <w:rPr>
          <w:b/>
          <w:sz w:val="24"/>
          <w:szCs w:val="24"/>
        </w:rPr>
        <w:t>, tabletter 75 mg</w:t>
      </w:r>
    </w:p>
    <w:p w:rsidR="00367295" w:rsidRPr="00E20765" w:rsidRDefault="00367295" w:rsidP="00367295">
      <w:pPr>
        <w:jc w:val="both"/>
        <w:rPr>
          <w:sz w:val="24"/>
          <w:szCs w:val="24"/>
        </w:rPr>
      </w:pPr>
    </w:p>
    <w:p w:rsidR="00367295" w:rsidRPr="00E20765" w:rsidRDefault="00367295" w:rsidP="00367295">
      <w:pPr>
        <w:jc w:val="both"/>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0.</w:t>
      </w:r>
      <w:r w:rsidRPr="00E20765">
        <w:rPr>
          <w:b/>
          <w:sz w:val="24"/>
          <w:szCs w:val="24"/>
        </w:rPr>
        <w:tab/>
        <w:t>D.SP.NR.</w:t>
      </w:r>
    </w:p>
    <w:p w:rsidR="00367295" w:rsidRPr="00E20765" w:rsidRDefault="00367295" w:rsidP="00367295">
      <w:pPr>
        <w:tabs>
          <w:tab w:val="left" w:pos="851"/>
        </w:tabs>
        <w:ind w:left="851"/>
        <w:rPr>
          <w:sz w:val="24"/>
          <w:szCs w:val="24"/>
        </w:rPr>
      </w:pPr>
      <w:r w:rsidRPr="00E20765">
        <w:rPr>
          <w:sz w:val="24"/>
          <w:szCs w:val="24"/>
        </w:rPr>
        <w:t>30170</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1.</w:t>
      </w:r>
      <w:r w:rsidRPr="00E20765">
        <w:rPr>
          <w:b/>
          <w:sz w:val="24"/>
          <w:szCs w:val="24"/>
        </w:rPr>
        <w:tab/>
        <w:t>LÆGEMIDLETS NAVN</w:t>
      </w:r>
    </w:p>
    <w:p w:rsidR="00367295" w:rsidRPr="00E20765" w:rsidRDefault="00367295" w:rsidP="00367295">
      <w:pPr>
        <w:tabs>
          <w:tab w:val="left" w:pos="851"/>
        </w:tabs>
        <w:ind w:left="851"/>
        <w:rPr>
          <w:sz w:val="24"/>
          <w:szCs w:val="24"/>
        </w:rPr>
      </w:pPr>
      <w:proofErr w:type="spellStart"/>
      <w:r w:rsidRPr="00E20765">
        <w:rPr>
          <w:sz w:val="24"/>
          <w:szCs w:val="24"/>
        </w:rPr>
        <w:t>Hjercatyl</w:t>
      </w:r>
      <w:proofErr w:type="spellEnd"/>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2.</w:t>
      </w:r>
      <w:r w:rsidRPr="00E20765">
        <w:rPr>
          <w:b/>
          <w:sz w:val="24"/>
          <w:szCs w:val="24"/>
        </w:rPr>
        <w:tab/>
        <w:t>KVALITATIV OG KVANTITATIV SAMMENSÆTNING</w:t>
      </w:r>
    </w:p>
    <w:p w:rsidR="00367295" w:rsidRPr="00E20765" w:rsidRDefault="00367295" w:rsidP="00367295">
      <w:pPr>
        <w:tabs>
          <w:tab w:val="left" w:pos="851"/>
        </w:tabs>
        <w:ind w:left="851"/>
        <w:rPr>
          <w:sz w:val="24"/>
          <w:szCs w:val="24"/>
        </w:rPr>
      </w:pPr>
      <w:r w:rsidRPr="00E20765">
        <w:rPr>
          <w:sz w:val="24"/>
          <w:szCs w:val="24"/>
        </w:rPr>
        <w:t>En tablet indeholder 75 mg acetylsalicylsyre.</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sz w:val="24"/>
          <w:szCs w:val="24"/>
        </w:rPr>
      </w:pPr>
      <w:r w:rsidRPr="00E20765">
        <w:rPr>
          <w:sz w:val="24"/>
          <w:szCs w:val="24"/>
        </w:rPr>
        <w:t xml:space="preserve">Alle hjælpestoffer er anført under pkt. 6.1. </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3.</w:t>
      </w:r>
      <w:r w:rsidRPr="00E20765">
        <w:rPr>
          <w:b/>
          <w:sz w:val="24"/>
          <w:szCs w:val="24"/>
        </w:rPr>
        <w:tab/>
        <w:t>LÆGEMIDDELFORM</w:t>
      </w:r>
    </w:p>
    <w:p w:rsidR="00367295" w:rsidRPr="00E20765" w:rsidRDefault="00367295" w:rsidP="00367295">
      <w:pPr>
        <w:tabs>
          <w:tab w:val="left" w:pos="851"/>
        </w:tabs>
        <w:ind w:left="851"/>
        <w:rPr>
          <w:sz w:val="24"/>
          <w:szCs w:val="24"/>
          <w:lang w:eastAsia="da-DK"/>
        </w:rPr>
      </w:pPr>
      <w:r w:rsidRPr="00E20765">
        <w:rPr>
          <w:sz w:val="24"/>
          <w:szCs w:val="24"/>
        </w:rPr>
        <w:t>Tabletter</w:t>
      </w:r>
    </w:p>
    <w:p w:rsidR="00367295" w:rsidRPr="00E20765" w:rsidRDefault="00367295" w:rsidP="00367295">
      <w:pPr>
        <w:ind w:left="851"/>
        <w:rPr>
          <w:i/>
          <w:sz w:val="24"/>
          <w:szCs w:val="24"/>
        </w:rPr>
      </w:pPr>
    </w:p>
    <w:p w:rsidR="00367295" w:rsidRPr="00E20765" w:rsidRDefault="00367295" w:rsidP="00367295">
      <w:pPr>
        <w:tabs>
          <w:tab w:val="left" w:pos="851"/>
        </w:tabs>
        <w:ind w:left="851"/>
        <w:rPr>
          <w:sz w:val="24"/>
          <w:szCs w:val="24"/>
        </w:rPr>
      </w:pPr>
      <w:r w:rsidRPr="00E20765">
        <w:rPr>
          <w:sz w:val="24"/>
          <w:szCs w:val="24"/>
        </w:rPr>
        <w:t>Hvide, runde</w:t>
      </w:r>
      <w:r>
        <w:rPr>
          <w:sz w:val="24"/>
          <w:szCs w:val="24"/>
        </w:rPr>
        <w:t>,</w:t>
      </w:r>
      <w:r w:rsidRPr="00E20765">
        <w:rPr>
          <w:sz w:val="24"/>
          <w:szCs w:val="24"/>
        </w:rPr>
        <w:t xml:space="preserve"> </w:t>
      </w:r>
      <w:proofErr w:type="spellStart"/>
      <w:r w:rsidRPr="00E20765">
        <w:rPr>
          <w:sz w:val="24"/>
          <w:szCs w:val="24"/>
        </w:rPr>
        <w:t>bikonvekse</w:t>
      </w:r>
      <w:proofErr w:type="spellEnd"/>
      <w:r w:rsidRPr="00E20765">
        <w:rPr>
          <w:sz w:val="24"/>
          <w:szCs w:val="24"/>
        </w:rPr>
        <w:t xml:space="preserve"> tabletter. Diameter 7 mm.</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w:t>
      </w:r>
      <w:r w:rsidRPr="00E20765">
        <w:rPr>
          <w:b/>
          <w:sz w:val="24"/>
          <w:szCs w:val="24"/>
        </w:rPr>
        <w:tab/>
        <w:t>KLINISKE OPLYSNINGER</w:t>
      </w:r>
    </w:p>
    <w:p w:rsidR="00367295" w:rsidRPr="00E20765" w:rsidRDefault="00367295" w:rsidP="00367295">
      <w:pPr>
        <w:tabs>
          <w:tab w:val="left" w:pos="851"/>
        </w:tabs>
        <w:ind w:left="851"/>
        <w:rPr>
          <w:b/>
          <w:sz w:val="24"/>
          <w:szCs w:val="24"/>
        </w:rPr>
      </w:pPr>
    </w:p>
    <w:p w:rsidR="00367295" w:rsidRPr="00E20765" w:rsidRDefault="00367295" w:rsidP="00367295">
      <w:pPr>
        <w:tabs>
          <w:tab w:val="left" w:pos="851"/>
        </w:tabs>
        <w:ind w:left="851" w:hanging="851"/>
        <w:rPr>
          <w:b/>
          <w:sz w:val="24"/>
          <w:szCs w:val="24"/>
          <w:u w:val="single"/>
        </w:rPr>
      </w:pPr>
      <w:r w:rsidRPr="00E20765">
        <w:rPr>
          <w:b/>
          <w:sz w:val="24"/>
          <w:szCs w:val="24"/>
        </w:rPr>
        <w:t>4.1</w:t>
      </w:r>
      <w:r w:rsidRPr="00E20765">
        <w:rPr>
          <w:b/>
          <w:sz w:val="24"/>
          <w:szCs w:val="24"/>
        </w:rPr>
        <w:tab/>
        <w:t>Terapeutiske indikationer</w:t>
      </w:r>
    </w:p>
    <w:p w:rsidR="00367295" w:rsidRPr="00E20765" w:rsidRDefault="00367295" w:rsidP="00367295">
      <w:pPr>
        <w:pStyle w:val="Brdtekst"/>
        <w:ind w:left="851"/>
        <w:jc w:val="left"/>
        <w:rPr>
          <w:sz w:val="24"/>
          <w:szCs w:val="24"/>
        </w:rPr>
      </w:pPr>
      <w:r w:rsidRPr="00E20765">
        <w:rPr>
          <w:sz w:val="24"/>
          <w:szCs w:val="24"/>
        </w:rPr>
        <w:t>Akut og kronisk iskæmisk hjertesygdom.</w:t>
      </w:r>
    </w:p>
    <w:p w:rsidR="00367295" w:rsidRPr="00E20765" w:rsidRDefault="00367295" w:rsidP="00367295">
      <w:pPr>
        <w:pStyle w:val="Brdtekst"/>
        <w:ind w:left="851"/>
        <w:jc w:val="left"/>
        <w:rPr>
          <w:sz w:val="24"/>
          <w:szCs w:val="24"/>
        </w:rPr>
      </w:pPr>
      <w:r w:rsidRPr="00E20765">
        <w:rPr>
          <w:sz w:val="24"/>
          <w:szCs w:val="24"/>
        </w:rPr>
        <w:t xml:space="preserve">Profylakse mod </w:t>
      </w:r>
      <w:proofErr w:type="spellStart"/>
      <w:r w:rsidRPr="00E20765">
        <w:rPr>
          <w:sz w:val="24"/>
          <w:szCs w:val="24"/>
        </w:rPr>
        <w:t>retrombose</w:t>
      </w:r>
      <w:proofErr w:type="spellEnd"/>
      <w:r w:rsidRPr="00E20765">
        <w:rPr>
          <w:sz w:val="24"/>
          <w:szCs w:val="24"/>
        </w:rPr>
        <w:t>.</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4.2</w:t>
      </w:r>
      <w:r w:rsidRPr="00E20765">
        <w:rPr>
          <w:b/>
          <w:sz w:val="24"/>
          <w:szCs w:val="24"/>
        </w:rPr>
        <w:tab/>
        <w:t>Dosering og indgivelsesmåde</w:t>
      </w:r>
    </w:p>
    <w:p w:rsidR="00367295" w:rsidRPr="00E20765" w:rsidRDefault="00367295" w:rsidP="00367295">
      <w:pPr>
        <w:tabs>
          <w:tab w:val="left" w:pos="851"/>
        </w:tabs>
        <w:ind w:left="851"/>
        <w:rPr>
          <w:b/>
          <w:sz w:val="24"/>
          <w:szCs w:val="24"/>
        </w:rPr>
      </w:pPr>
    </w:p>
    <w:p w:rsidR="00367295" w:rsidRPr="00E20765" w:rsidRDefault="00367295" w:rsidP="00367295">
      <w:pPr>
        <w:tabs>
          <w:tab w:val="left" w:pos="851"/>
        </w:tabs>
        <w:ind w:left="851"/>
        <w:rPr>
          <w:sz w:val="24"/>
          <w:szCs w:val="24"/>
          <w:lang w:eastAsia="da-DK"/>
        </w:rPr>
      </w:pPr>
      <w:r w:rsidRPr="00E20765">
        <w:rPr>
          <w:b/>
          <w:sz w:val="24"/>
          <w:szCs w:val="24"/>
        </w:rPr>
        <w:t>Dosering</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sz w:val="24"/>
          <w:szCs w:val="24"/>
          <w:u w:val="single"/>
        </w:rPr>
      </w:pPr>
      <w:r w:rsidRPr="00E20765">
        <w:rPr>
          <w:sz w:val="24"/>
          <w:szCs w:val="24"/>
          <w:u w:val="single"/>
        </w:rPr>
        <w:t>Voksne</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i/>
          <w:sz w:val="24"/>
          <w:szCs w:val="24"/>
        </w:rPr>
      </w:pPr>
      <w:r w:rsidRPr="00E20765">
        <w:rPr>
          <w:i/>
          <w:sz w:val="24"/>
          <w:szCs w:val="24"/>
        </w:rPr>
        <w:t>Akut og kronisk iskæmisk hjertesygdom</w:t>
      </w:r>
    </w:p>
    <w:p w:rsidR="00367295" w:rsidRPr="00E20765" w:rsidRDefault="00367295" w:rsidP="00367295">
      <w:pPr>
        <w:tabs>
          <w:tab w:val="left" w:pos="851"/>
        </w:tabs>
        <w:ind w:left="851"/>
        <w:rPr>
          <w:sz w:val="24"/>
          <w:szCs w:val="24"/>
        </w:rPr>
      </w:pPr>
      <w:r w:rsidRPr="00E20765">
        <w:rPr>
          <w:sz w:val="24"/>
          <w:szCs w:val="24"/>
        </w:rPr>
        <w:t>150 mg som startdosis, efterfulgt af 75 mg daglig.</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i/>
          <w:sz w:val="24"/>
          <w:szCs w:val="24"/>
        </w:rPr>
      </w:pPr>
      <w:r w:rsidRPr="00E20765">
        <w:rPr>
          <w:i/>
          <w:sz w:val="24"/>
          <w:szCs w:val="24"/>
        </w:rPr>
        <w:t>Akut myokardieinfarkt/ustabil angina pectoris</w:t>
      </w:r>
    </w:p>
    <w:p w:rsidR="00367295" w:rsidRPr="00E20765" w:rsidRDefault="00367295" w:rsidP="00367295">
      <w:pPr>
        <w:tabs>
          <w:tab w:val="left" w:pos="851"/>
        </w:tabs>
        <w:ind w:left="851"/>
        <w:rPr>
          <w:sz w:val="24"/>
          <w:szCs w:val="24"/>
        </w:rPr>
      </w:pPr>
      <w:r w:rsidRPr="00E20765">
        <w:rPr>
          <w:sz w:val="24"/>
          <w:szCs w:val="24"/>
        </w:rPr>
        <w:t>150-450 mg så hurtigt som muligt efter symptomdebut.</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i/>
          <w:sz w:val="24"/>
          <w:szCs w:val="24"/>
        </w:rPr>
      </w:pPr>
      <w:r w:rsidRPr="00E20765">
        <w:rPr>
          <w:i/>
          <w:sz w:val="24"/>
          <w:szCs w:val="24"/>
        </w:rPr>
        <w:lastRenderedPageBreak/>
        <w:t xml:space="preserve">Profylakse mod </w:t>
      </w:r>
      <w:proofErr w:type="spellStart"/>
      <w:r w:rsidRPr="00E20765">
        <w:rPr>
          <w:i/>
          <w:sz w:val="24"/>
          <w:szCs w:val="24"/>
        </w:rPr>
        <w:t>retrombose</w:t>
      </w:r>
      <w:proofErr w:type="spellEnd"/>
    </w:p>
    <w:p w:rsidR="00367295" w:rsidRPr="00E20765" w:rsidRDefault="00367295" w:rsidP="00367295">
      <w:pPr>
        <w:tabs>
          <w:tab w:val="left" w:pos="851"/>
        </w:tabs>
        <w:ind w:left="851"/>
        <w:rPr>
          <w:sz w:val="24"/>
          <w:szCs w:val="24"/>
        </w:rPr>
      </w:pPr>
      <w:r w:rsidRPr="00E20765">
        <w:rPr>
          <w:sz w:val="24"/>
          <w:szCs w:val="24"/>
        </w:rPr>
        <w:t>150 mg som startdosis, efterfulgt af 75 mg daglig.</w:t>
      </w:r>
    </w:p>
    <w:p w:rsidR="00367295" w:rsidRPr="00E20765" w:rsidRDefault="00367295" w:rsidP="00367295">
      <w:pPr>
        <w:ind w:left="851"/>
        <w:rPr>
          <w:sz w:val="24"/>
          <w:szCs w:val="24"/>
        </w:rPr>
      </w:pPr>
    </w:p>
    <w:p w:rsidR="00367295" w:rsidRPr="00E20765" w:rsidRDefault="00367295" w:rsidP="00367295">
      <w:pPr>
        <w:ind w:left="851"/>
        <w:rPr>
          <w:sz w:val="24"/>
          <w:szCs w:val="24"/>
          <w:u w:val="single"/>
        </w:rPr>
      </w:pPr>
      <w:r w:rsidRPr="00E20765">
        <w:rPr>
          <w:sz w:val="24"/>
          <w:szCs w:val="24"/>
          <w:u w:val="single"/>
        </w:rPr>
        <w:t>Børn under 2 år</w:t>
      </w:r>
    </w:p>
    <w:p w:rsidR="00367295" w:rsidRPr="00E20765" w:rsidRDefault="00367295" w:rsidP="00367295">
      <w:pPr>
        <w:ind w:left="851"/>
        <w:rPr>
          <w:sz w:val="24"/>
          <w:szCs w:val="24"/>
        </w:rPr>
      </w:pPr>
      <w:r w:rsidRPr="00E20765">
        <w:rPr>
          <w:sz w:val="24"/>
          <w:szCs w:val="24"/>
        </w:rPr>
        <w:t xml:space="preserve">Bør ikke anvendes uden lægens anvisning. </w:t>
      </w:r>
    </w:p>
    <w:p w:rsidR="00367295" w:rsidRPr="00E20765" w:rsidRDefault="00367295" w:rsidP="00367295">
      <w:pPr>
        <w:ind w:left="851"/>
        <w:rPr>
          <w:b/>
          <w:sz w:val="24"/>
          <w:szCs w:val="24"/>
        </w:rPr>
      </w:pPr>
    </w:p>
    <w:p w:rsidR="00367295" w:rsidRPr="00E20765" w:rsidRDefault="00367295" w:rsidP="00367295">
      <w:pPr>
        <w:ind w:left="851"/>
        <w:rPr>
          <w:spacing w:val="-3"/>
          <w:sz w:val="24"/>
          <w:szCs w:val="24"/>
          <w:u w:val="single"/>
        </w:rPr>
      </w:pPr>
      <w:r w:rsidRPr="00E20765">
        <w:rPr>
          <w:spacing w:val="-3"/>
          <w:sz w:val="24"/>
          <w:szCs w:val="24"/>
          <w:u w:val="single"/>
        </w:rPr>
        <w:t>Nedsat leverfunktion</w:t>
      </w:r>
    </w:p>
    <w:p w:rsidR="00367295" w:rsidRPr="00E20765" w:rsidRDefault="00367295" w:rsidP="00367295">
      <w:pPr>
        <w:ind w:left="851"/>
        <w:rPr>
          <w:spacing w:val="-3"/>
          <w:sz w:val="24"/>
          <w:szCs w:val="24"/>
        </w:rPr>
      </w:pPr>
      <w:r w:rsidRPr="00E20765">
        <w:rPr>
          <w:spacing w:val="-3"/>
          <w:sz w:val="24"/>
          <w:szCs w:val="24"/>
        </w:rPr>
        <w:t xml:space="preserve">Må ikke anvendes til patienter med svær leverinsufficiens (se pkt. 4.3). </w:t>
      </w:r>
    </w:p>
    <w:p w:rsidR="00367295" w:rsidRPr="00E20765" w:rsidRDefault="00367295" w:rsidP="00367295">
      <w:pPr>
        <w:ind w:left="851"/>
        <w:rPr>
          <w:spacing w:val="-3"/>
          <w:sz w:val="24"/>
          <w:szCs w:val="24"/>
        </w:rPr>
      </w:pPr>
      <w:r w:rsidRPr="00E20765">
        <w:rPr>
          <w:spacing w:val="-3"/>
          <w:sz w:val="24"/>
          <w:szCs w:val="24"/>
        </w:rPr>
        <w:t xml:space="preserve">Ved behandling af patienter med nedsat leverfunktion kan dosisjustering være nødvendig (se pkt. 4.4). </w:t>
      </w:r>
    </w:p>
    <w:p w:rsidR="00367295" w:rsidRPr="00E20765" w:rsidRDefault="00367295" w:rsidP="00367295">
      <w:pPr>
        <w:ind w:left="851"/>
        <w:rPr>
          <w:spacing w:val="-3"/>
          <w:sz w:val="24"/>
          <w:szCs w:val="24"/>
        </w:rPr>
      </w:pPr>
    </w:p>
    <w:p w:rsidR="00367295" w:rsidRPr="00E20765" w:rsidRDefault="00367295" w:rsidP="00367295">
      <w:pPr>
        <w:ind w:left="851"/>
        <w:rPr>
          <w:spacing w:val="-3"/>
          <w:sz w:val="24"/>
          <w:szCs w:val="24"/>
          <w:u w:val="single"/>
        </w:rPr>
      </w:pPr>
      <w:r w:rsidRPr="00E20765">
        <w:rPr>
          <w:spacing w:val="-3"/>
          <w:sz w:val="24"/>
          <w:szCs w:val="24"/>
          <w:u w:val="single"/>
        </w:rPr>
        <w:t>Nedsat nyrefunktion</w:t>
      </w:r>
    </w:p>
    <w:p w:rsidR="00367295" w:rsidRPr="00E20765" w:rsidRDefault="00367295" w:rsidP="00367295">
      <w:pPr>
        <w:ind w:left="851"/>
        <w:rPr>
          <w:spacing w:val="-3"/>
          <w:sz w:val="24"/>
          <w:szCs w:val="24"/>
        </w:rPr>
      </w:pPr>
      <w:r w:rsidRPr="00E20765">
        <w:rPr>
          <w:spacing w:val="-3"/>
          <w:sz w:val="24"/>
          <w:szCs w:val="24"/>
        </w:rPr>
        <w:t>Må ikke anvendes til patienter med svært nedsat nyrefunktion (GFR &lt; 0,2 ml/s (10 ml/min)) (se pkt. 4.3). Ved behandling af patienter med nedsat nyrefunktion kan dosisjustering være nødvendig (se pkt. 4.4).</w:t>
      </w:r>
    </w:p>
    <w:p w:rsidR="00367295" w:rsidRPr="00E20765" w:rsidRDefault="00367295" w:rsidP="00367295">
      <w:pPr>
        <w:ind w:left="851"/>
        <w:rPr>
          <w:spacing w:val="-3"/>
          <w:sz w:val="24"/>
          <w:szCs w:val="24"/>
        </w:rPr>
      </w:pPr>
    </w:p>
    <w:p w:rsidR="00367295" w:rsidRPr="00E20765" w:rsidRDefault="00367295" w:rsidP="00367295">
      <w:pPr>
        <w:tabs>
          <w:tab w:val="left" w:pos="851"/>
        </w:tabs>
        <w:ind w:left="851"/>
        <w:rPr>
          <w:b/>
          <w:sz w:val="24"/>
          <w:szCs w:val="24"/>
        </w:rPr>
      </w:pPr>
      <w:r w:rsidRPr="00E20765">
        <w:rPr>
          <w:b/>
          <w:sz w:val="24"/>
          <w:szCs w:val="24"/>
        </w:rPr>
        <w:t>Administration</w:t>
      </w:r>
    </w:p>
    <w:p w:rsidR="00367295" w:rsidRPr="00E20765" w:rsidRDefault="00367295" w:rsidP="00367295">
      <w:pPr>
        <w:tabs>
          <w:tab w:val="left" w:pos="851"/>
        </w:tabs>
        <w:ind w:left="851"/>
        <w:rPr>
          <w:sz w:val="24"/>
          <w:szCs w:val="24"/>
        </w:rPr>
      </w:pPr>
      <w:r w:rsidRPr="00E20765">
        <w:rPr>
          <w:sz w:val="24"/>
          <w:szCs w:val="24"/>
        </w:rPr>
        <w:t>Oral anvendelse.</w:t>
      </w:r>
    </w:p>
    <w:p w:rsidR="00367295" w:rsidRPr="00E20765" w:rsidRDefault="00367295" w:rsidP="00367295">
      <w:pPr>
        <w:tabs>
          <w:tab w:val="left" w:pos="851"/>
        </w:tabs>
        <w:ind w:left="851"/>
        <w:rPr>
          <w:sz w:val="24"/>
          <w:szCs w:val="24"/>
        </w:rPr>
      </w:pPr>
      <w:r w:rsidRPr="00E20765">
        <w:rPr>
          <w:sz w:val="24"/>
          <w:szCs w:val="24"/>
        </w:rPr>
        <w:t xml:space="preserve">Tabletterne kan eventuelt tygges eller </w:t>
      </w:r>
      <w:proofErr w:type="spellStart"/>
      <w:r w:rsidRPr="00E20765">
        <w:rPr>
          <w:sz w:val="24"/>
          <w:szCs w:val="24"/>
        </w:rPr>
        <w:t>opslemmes</w:t>
      </w:r>
      <w:proofErr w:type="spellEnd"/>
      <w:r w:rsidRPr="00E20765">
        <w:rPr>
          <w:sz w:val="24"/>
          <w:szCs w:val="24"/>
        </w:rPr>
        <w:t xml:space="preserve"> i vand for at sikre hurtig absorption.</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4.3</w:t>
      </w:r>
      <w:r w:rsidRPr="00E20765">
        <w:rPr>
          <w:b/>
          <w:sz w:val="24"/>
          <w:szCs w:val="24"/>
        </w:rPr>
        <w:tab/>
        <w:t>Kontraindikationer</w:t>
      </w:r>
    </w:p>
    <w:p w:rsidR="00367295" w:rsidRPr="00987706" w:rsidRDefault="00367295" w:rsidP="00367295">
      <w:pPr>
        <w:ind w:left="1134" w:hanging="283"/>
        <w:rPr>
          <w:sz w:val="24"/>
          <w:szCs w:val="24"/>
          <w:lang w:eastAsia="da-DK"/>
        </w:rPr>
      </w:pPr>
      <w:r w:rsidRPr="00987706">
        <w:rPr>
          <w:sz w:val="24"/>
          <w:szCs w:val="24"/>
          <w:lang w:eastAsia="da-DK"/>
        </w:rPr>
        <w:t xml:space="preserve">Acetylsalicylsyre er kontraindiceret hos patienter med følgende tilstande/sygdomme: </w:t>
      </w:r>
    </w:p>
    <w:p w:rsidR="00367295" w:rsidRPr="00987706" w:rsidRDefault="00367295" w:rsidP="00367295">
      <w:pPr>
        <w:numPr>
          <w:ilvl w:val="0"/>
          <w:numId w:val="6"/>
        </w:numPr>
        <w:tabs>
          <w:tab w:val="clear" w:pos="720"/>
        </w:tabs>
        <w:ind w:left="1134" w:hanging="283"/>
        <w:rPr>
          <w:sz w:val="24"/>
          <w:szCs w:val="24"/>
          <w:lang w:eastAsia="da-DK"/>
        </w:rPr>
      </w:pPr>
      <w:r w:rsidRPr="00987706">
        <w:rPr>
          <w:iCs/>
          <w:sz w:val="24"/>
          <w:szCs w:val="24"/>
          <w:lang w:eastAsia="da-DK"/>
        </w:rPr>
        <w:t xml:space="preserve">Overfølsomhed over for det aktive stof, </w:t>
      </w:r>
      <w:proofErr w:type="spellStart"/>
      <w:r w:rsidRPr="00987706">
        <w:rPr>
          <w:iCs/>
          <w:sz w:val="24"/>
          <w:szCs w:val="24"/>
          <w:lang w:eastAsia="da-DK"/>
        </w:rPr>
        <w:t>salicylater</w:t>
      </w:r>
      <w:proofErr w:type="spellEnd"/>
      <w:r w:rsidRPr="00987706">
        <w:rPr>
          <w:iCs/>
          <w:sz w:val="24"/>
          <w:szCs w:val="24"/>
          <w:lang w:eastAsia="da-DK"/>
        </w:rPr>
        <w:t xml:space="preserve">, </w:t>
      </w:r>
      <w:proofErr w:type="spellStart"/>
      <w:r w:rsidRPr="00987706">
        <w:rPr>
          <w:iCs/>
          <w:sz w:val="24"/>
          <w:szCs w:val="24"/>
          <w:lang w:eastAsia="da-DK"/>
        </w:rPr>
        <w:t>nonsteroide</w:t>
      </w:r>
      <w:proofErr w:type="spellEnd"/>
      <w:r w:rsidRPr="00987706">
        <w:rPr>
          <w:iCs/>
          <w:sz w:val="24"/>
          <w:szCs w:val="24"/>
          <w:lang w:eastAsia="da-DK"/>
        </w:rPr>
        <w:t xml:space="preserve"> antiinflammatoriske farmaka (NSAID) eller over for et eller flere af hjælpestofferne anført i pkt. 6.1.</w:t>
      </w:r>
    </w:p>
    <w:p w:rsidR="00367295" w:rsidRPr="00987706" w:rsidRDefault="00367295" w:rsidP="00367295">
      <w:pPr>
        <w:numPr>
          <w:ilvl w:val="0"/>
          <w:numId w:val="6"/>
        </w:numPr>
        <w:tabs>
          <w:tab w:val="clear" w:pos="720"/>
        </w:tabs>
        <w:ind w:left="1134" w:hanging="283"/>
        <w:rPr>
          <w:sz w:val="24"/>
          <w:szCs w:val="24"/>
          <w:lang w:eastAsia="da-DK"/>
        </w:rPr>
      </w:pPr>
      <w:r w:rsidRPr="00987706">
        <w:rPr>
          <w:sz w:val="24"/>
          <w:szCs w:val="24"/>
          <w:lang w:eastAsia="da-DK"/>
        </w:rPr>
        <w:t xml:space="preserve">Blødningstendens (vitamin K mangel, </w:t>
      </w:r>
      <w:proofErr w:type="spellStart"/>
      <w:r w:rsidRPr="00987706">
        <w:rPr>
          <w:sz w:val="24"/>
          <w:szCs w:val="24"/>
          <w:lang w:eastAsia="da-DK"/>
        </w:rPr>
        <w:t>trombocytopeni</w:t>
      </w:r>
      <w:proofErr w:type="spellEnd"/>
      <w:r w:rsidRPr="00987706">
        <w:rPr>
          <w:sz w:val="24"/>
          <w:szCs w:val="24"/>
          <w:lang w:eastAsia="da-DK"/>
        </w:rPr>
        <w:t>, hæmofili)</w:t>
      </w:r>
    </w:p>
    <w:p w:rsidR="00367295" w:rsidRPr="00987706" w:rsidRDefault="00367295" w:rsidP="00367295">
      <w:pPr>
        <w:numPr>
          <w:ilvl w:val="0"/>
          <w:numId w:val="7"/>
        </w:numPr>
        <w:ind w:left="1134" w:hanging="283"/>
        <w:rPr>
          <w:sz w:val="24"/>
          <w:szCs w:val="24"/>
          <w:lang w:eastAsia="da-DK"/>
        </w:rPr>
      </w:pPr>
      <w:r w:rsidRPr="00987706">
        <w:rPr>
          <w:sz w:val="24"/>
          <w:szCs w:val="24"/>
          <w:lang w:eastAsia="da-DK"/>
        </w:rPr>
        <w:t xml:space="preserve">Aktivt ulcus </w:t>
      </w:r>
      <w:proofErr w:type="spellStart"/>
      <w:r w:rsidRPr="00987706">
        <w:rPr>
          <w:sz w:val="24"/>
          <w:szCs w:val="24"/>
          <w:lang w:eastAsia="da-DK"/>
        </w:rPr>
        <w:t>pepticum</w:t>
      </w:r>
      <w:proofErr w:type="spellEnd"/>
    </w:p>
    <w:p w:rsidR="00367295" w:rsidRPr="00987706" w:rsidRDefault="00367295" w:rsidP="00367295">
      <w:pPr>
        <w:numPr>
          <w:ilvl w:val="0"/>
          <w:numId w:val="7"/>
        </w:numPr>
        <w:ind w:left="1134" w:hanging="283"/>
        <w:rPr>
          <w:sz w:val="24"/>
          <w:szCs w:val="24"/>
          <w:lang w:eastAsia="da-DK"/>
        </w:rPr>
      </w:pPr>
      <w:r w:rsidRPr="00987706">
        <w:rPr>
          <w:sz w:val="24"/>
          <w:szCs w:val="24"/>
          <w:lang w:eastAsia="da-DK"/>
        </w:rPr>
        <w:t>Svært nedsat nyrefunktion (GFR &lt; 0,2 ml/s (10 ml/min))</w:t>
      </w:r>
    </w:p>
    <w:p w:rsidR="00367295" w:rsidRPr="00987706" w:rsidRDefault="00367295" w:rsidP="00367295">
      <w:pPr>
        <w:numPr>
          <w:ilvl w:val="0"/>
          <w:numId w:val="7"/>
        </w:numPr>
        <w:ind w:left="1134" w:hanging="283"/>
        <w:rPr>
          <w:sz w:val="24"/>
          <w:szCs w:val="24"/>
          <w:lang w:eastAsia="da-DK"/>
        </w:rPr>
      </w:pPr>
      <w:r w:rsidRPr="00987706">
        <w:rPr>
          <w:sz w:val="24"/>
          <w:szCs w:val="24"/>
          <w:lang w:eastAsia="da-DK"/>
        </w:rPr>
        <w:t>Svært nedsat leverfunktion</w:t>
      </w:r>
    </w:p>
    <w:p w:rsidR="00367295" w:rsidRPr="00987706" w:rsidRDefault="00367295" w:rsidP="00367295">
      <w:pPr>
        <w:numPr>
          <w:ilvl w:val="0"/>
          <w:numId w:val="7"/>
        </w:numPr>
        <w:ind w:left="1134" w:hanging="283"/>
        <w:rPr>
          <w:sz w:val="24"/>
          <w:szCs w:val="24"/>
          <w:lang w:eastAsia="da-DK"/>
        </w:rPr>
      </w:pPr>
      <w:r w:rsidRPr="00987706">
        <w:rPr>
          <w:sz w:val="24"/>
          <w:szCs w:val="24"/>
          <w:lang w:eastAsia="da-DK"/>
        </w:rPr>
        <w:t>Svært nedsat hjertefunktion</w:t>
      </w:r>
    </w:p>
    <w:p w:rsidR="00367295" w:rsidRPr="00987706" w:rsidRDefault="00367295" w:rsidP="00367295">
      <w:pPr>
        <w:numPr>
          <w:ilvl w:val="0"/>
          <w:numId w:val="7"/>
        </w:numPr>
        <w:ind w:left="1134" w:hanging="283"/>
        <w:rPr>
          <w:sz w:val="24"/>
          <w:szCs w:val="24"/>
          <w:lang w:eastAsia="da-DK"/>
        </w:rPr>
      </w:pPr>
      <w:r w:rsidRPr="00987706">
        <w:rPr>
          <w:sz w:val="24"/>
          <w:szCs w:val="24"/>
          <w:lang w:eastAsia="da-DK"/>
        </w:rPr>
        <w:t>Doser over 100 mg/dag i tredje trimester af graviditeten</w:t>
      </w:r>
    </w:p>
    <w:p w:rsidR="00367295" w:rsidRPr="00E20765" w:rsidRDefault="00367295" w:rsidP="00367295">
      <w:pPr>
        <w:numPr>
          <w:ilvl w:val="0"/>
          <w:numId w:val="7"/>
        </w:numPr>
        <w:ind w:left="1134" w:hanging="283"/>
        <w:rPr>
          <w:sz w:val="24"/>
          <w:szCs w:val="24"/>
          <w:lang w:eastAsia="da-DK"/>
        </w:rPr>
      </w:pPr>
      <w:r w:rsidRPr="00987706">
        <w:rPr>
          <w:sz w:val="24"/>
          <w:szCs w:val="24"/>
          <w:lang w:eastAsia="da-DK"/>
        </w:rPr>
        <w:t>Børn under 15 år med feber (risiko for Reyes syndrom se pkt. 4.4).</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4.4</w:t>
      </w:r>
      <w:r w:rsidRPr="00E20765">
        <w:rPr>
          <w:b/>
          <w:sz w:val="24"/>
          <w:szCs w:val="24"/>
        </w:rPr>
        <w:tab/>
        <w:t>Særlige advarsler og forsigtighedsregler vedrørende brugen</w:t>
      </w:r>
    </w:p>
    <w:p w:rsidR="00367295" w:rsidRPr="00E20765" w:rsidRDefault="00367295" w:rsidP="00367295">
      <w:pPr>
        <w:ind w:left="851"/>
        <w:rPr>
          <w:sz w:val="24"/>
          <w:szCs w:val="24"/>
          <w:lang w:eastAsia="da-DK"/>
        </w:rPr>
      </w:pPr>
      <w:r w:rsidRPr="00E20765">
        <w:rPr>
          <w:sz w:val="24"/>
          <w:szCs w:val="24"/>
        </w:rPr>
        <w:t>Vedvarende brug af acetylsalicylsyre i kombination med andre NSAID bør undgås på grund af øget risiko for bivirkninger (se pkt. 4.5).</w:t>
      </w:r>
    </w:p>
    <w:p w:rsidR="00367295" w:rsidRPr="00E20765" w:rsidRDefault="00367295" w:rsidP="00367295">
      <w:pPr>
        <w:ind w:left="851"/>
        <w:rPr>
          <w:sz w:val="24"/>
          <w:szCs w:val="24"/>
        </w:rPr>
      </w:pPr>
    </w:p>
    <w:p w:rsidR="00367295" w:rsidRPr="00E20765" w:rsidRDefault="00367295" w:rsidP="00367295">
      <w:pPr>
        <w:tabs>
          <w:tab w:val="left" w:pos="851"/>
        </w:tabs>
        <w:ind w:left="851"/>
        <w:rPr>
          <w:sz w:val="24"/>
          <w:szCs w:val="24"/>
        </w:rPr>
      </w:pPr>
      <w:r w:rsidRPr="00E20765">
        <w:rPr>
          <w:spacing w:val="-3"/>
          <w:sz w:val="24"/>
          <w:szCs w:val="24"/>
        </w:rPr>
        <w:t>Acetylsalicylsyre</w:t>
      </w:r>
      <w:r w:rsidRPr="00E20765">
        <w:rPr>
          <w:sz w:val="24"/>
          <w:szCs w:val="24"/>
        </w:rPr>
        <w:t xml:space="preserve"> må ikke anvendes til børn under 2 år uden lægens anvisning.</w:t>
      </w:r>
    </w:p>
    <w:p w:rsidR="00367295" w:rsidRPr="00E20765" w:rsidRDefault="00367295" w:rsidP="00367295">
      <w:pPr>
        <w:ind w:left="851"/>
        <w:rPr>
          <w:sz w:val="24"/>
          <w:szCs w:val="24"/>
        </w:rPr>
      </w:pPr>
    </w:p>
    <w:p w:rsidR="00367295" w:rsidRPr="00E20765" w:rsidRDefault="00367295" w:rsidP="00367295">
      <w:pPr>
        <w:tabs>
          <w:tab w:val="left" w:pos="851"/>
        </w:tabs>
        <w:ind w:left="851"/>
        <w:rPr>
          <w:sz w:val="24"/>
          <w:szCs w:val="24"/>
        </w:rPr>
      </w:pPr>
      <w:r w:rsidRPr="00E20765">
        <w:rPr>
          <w:sz w:val="24"/>
          <w:szCs w:val="24"/>
        </w:rPr>
        <w:t xml:space="preserve">Langvarig brug til ældre for behandling af smerte, inflammation, feber eller reumatiske sygdomme bør undgås på grund af risiko for </w:t>
      </w:r>
      <w:proofErr w:type="spellStart"/>
      <w:r w:rsidRPr="00E20765">
        <w:rPr>
          <w:sz w:val="24"/>
          <w:szCs w:val="24"/>
        </w:rPr>
        <w:t>gastrointestinal</w:t>
      </w:r>
      <w:proofErr w:type="spellEnd"/>
      <w:r w:rsidRPr="00E20765">
        <w:rPr>
          <w:sz w:val="24"/>
          <w:szCs w:val="24"/>
        </w:rPr>
        <w:t xml:space="preserve"> blødning. Lav-dosis behandling med acetylsalicylsyre til akut eller kronisk iskæmisk hjertesygdom, slagtilfælde, profylakse mod slagtilfælde eller iskæmiske hjertesygdomme bør gives med forsigtighed til ældre på grund af risikoen for </w:t>
      </w:r>
      <w:proofErr w:type="spellStart"/>
      <w:r w:rsidRPr="00E20765">
        <w:rPr>
          <w:sz w:val="24"/>
          <w:szCs w:val="24"/>
        </w:rPr>
        <w:t>gastrointestinale</w:t>
      </w:r>
      <w:proofErr w:type="spellEnd"/>
      <w:r w:rsidRPr="00E20765">
        <w:rPr>
          <w:sz w:val="24"/>
          <w:szCs w:val="24"/>
        </w:rPr>
        <w:t xml:space="preserve"> blødninger.</w:t>
      </w:r>
    </w:p>
    <w:p w:rsidR="00367295" w:rsidRPr="00E20765" w:rsidRDefault="00367295" w:rsidP="00367295">
      <w:pPr>
        <w:ind w:left="851"/>
        <w:rPr>
          <w:sz w:val="24"/>
          <w:szCs w:val="24"/>
        </w:rPr>
      </w:pPr>
    </w:p>
    <w:p w:rsidR="00367295" w:rsidRPr="00E20765" w:rsidRDefault="00367295" w:rsidP="00367295">
      <w:pPr>
        <w:ind w:left="851"/>
        <w:rPr>
          <w:sz w:val="24"/>
          <w:szCs w:val="24"/>
        </w:rPr>
      </w:pPr>
      <w:r w:rsidRPr="00E20765">
        <w:rPr>
          <w:sz w:val="24"/>
          <w:szCs w:val="24"/>
        </w:rPr>
        <w:t xml:space="preserve">Produkter, der indeholder acetylsalicylsyre, må ikke anvendes til behandling af virusinfektioner hos børn under 15 år uden rådføring med en læge. I forbindelse med visse virussygdomme, især influenza A, influenza B og </w:t>
      </w:r>
      <w:proofErr w:type="spellStart"/>
      <w:r w:rsidRPr="00E20765">
        <w:rPr>
          <w:sz w:val="24"/>
          <w:szCs w:val="24"/>
        </w:rPr>
        <w:t>varicella</w:t>
      </w:r>
      <w:proofErr w:type="spellEnd"/>
      <w:r w:rsidRPr="00E20765">
        <w:rPr>
          <w:sz w:val="24"/>
          <w:szCs w:val="24"/>
        </w:rPr>
        <w:t xml:space="preserve">, er der risiko for Reyes syndrom, som er en meget sjælden, men potentielt livstruende sygdom, der kræver øjeblikkelig medicinsk behandling. Risikoen kan forøges ved samtidig administration af acetylsalicylsyre, men der er ikke påvist en årsagssammenhæng. Hvis der forekommer </w:t>
      </w:r>
      <w:r w:rsidRPr="00E20765">
        <w:rPr>
          <w:sz w:val="24"/>
          <w:szCs w:val="24"/>
        </w:rPr>
        <w:lastRenderedPageBreak/>
        <w:t>vedvarende opkastning i forbindelse med sådanne sygdomme, kan dette være tegn på Reyes syndrom.</w:t>
      </w:r>
    </w:p>
    <w:p w:rsidR="00367295" w:rsidRPr="00E20765" w:rsidRDefault="00367295" w:rsidP="00367295">
      <w:pPr>
        <w:ind w:left="851"/>
        <w:rPr>
          <w:sz w:val="24"/>
          <w:szCs w:val="24"/>
        </w:rPr>
      </w:pPr>
    </w:p>
    <w:p w:rsidR="00367295" w:rsidRPr="00E20765" w:rsidRDefault="00367295" w:rsidP="00367295">
      <w:pPr>
        <w:ind w:left="851"/>
        <w:rPr>
          <w:sz w:val="24"/>
          <w:szCs w:val="24"/>
        </w:rPr>
      </w:pPr>
      <w:r w:rsidRPr="00E20765">
        <w:rPr>
          <w:sz w:val="24"/>
          <w:szCs w:val="24"/>
        </w:rPr>
        <w:t>Det bør vurderes om lav-dosis behandling bør midlertidig ophøre nogle dage før planlagte operationer hvis risikoen for øget blødning overstiger risikoen for iskæmi.</w:t>
      </w:r>
    </w:p>
    <w:p w:rsidR="00367295" w:rsidRPr="00E20765" w:rsidRDefault="00367295" w:rsidP="00367295">
      <w:pPr>
        <w:ind w:left="851"/>
        <w:rPr>
          <w:sz w:val="24"/>
          <w:szCs w:val="24"/>
        </w:rPr>
      </w:pPr>
    </w:p>
    <w:p w:rsidR="00367295" w:rsidRPr="00E20765" w:rsidRDefault="00367295" w:rsidP="00367295">
      <w:pPr>
        <w:ind w:left="851"/>
        <w:rPr>
          <w:sz w:val="24"/>
          <w:szCs w:val="24"/>
        </w:rPr>
      </w:pPr>
      <w:r w:rsidRPr="00E20765">
        <w:rPr>
          <w:sz w:val="24"/>
          <w:szCs w:val="24"/>
        </w:rPr>
        <w:t xml:space="preserve">Acetylsalicylsyre kan fremkalde </w:t>
      </w:r>
      <w:proofErr w:type="spellStart"/>
      <w:r w:rsidRPr="00E20765">
        <w:rPr>
          <w:sz w:val="24"/>
          <w:szCs w:val="24"/>
        </w:rPr>
        <w:t>bronkospasmer</w:t>
      </w:r>
      <w:proofErr w:type="spellEnd"/>
      <w:r w:rsidRPr="00E20765">
        <w:rPr>
          <w:sz w:val="24"/>
          <w:szCs w:val="24"/>
        </w:rPr>
        <w:t xml:space="preserve"> og inducere astmaanfald eller andre overfølsomhedsreaktioner. Risikofaktorer omfatter eksisterende astma, høfeber, nasale polypper og kroniske respiratoriske sygdomme. Dette gælder også for patienter, der udviser allergiske reaktioner (f.eks. </w:t>
      </w:r>
      <w:proofErr w:type="spellStart"/>
      <w:r w:rsidRPr="00E20765">
        <w:rPr>
          <w:sz w:val="24"/>
          <w:szCs w:val="24"/>
        </w:rPr>
        <w:t>kutane</w:t>
      </w:r>
      <w:proofErr w:type="spellEnd"/>
      <w:r w:rsidRPr="00E20765">
        <w:rPr>
          <w:sz w:val="24"/>
          <w:szCs w:val="24"/>
        </w:rPr>
        <w:t xml:space="preserve"> reaktioner, kløe og </w:t>
      </w:r>
      <w:proofErr w:type="spellStart"/>
      <w:r w:rsidRPr="00E20765">
        <w:rPr>
          <w:sz w:val="24"/>
          <w:szCs w:val="24"/>
        </w:rPr>
        <w:t>urticaria</w:t>
      </w:r>
      <w:proofErr w:type="spellEnd"/>
      <w:r w:rsidRPr="00E20765">
        <w:rPr>
          <w:sz w:val="24"/>
          <w:szCs w:val="24"/>
        </w:rPr>
        <w:t xml:space="preserve">) over for andre stoffer. Acetylsalicylsyre bør derfor anvendes med særlig forsigtighed til patienter med overfølsomhed over for andre </w:t>
      </w:r>
      <w:proofErr w:type="spellStart"/>
      <w:r w:rsidRPr="00E20765">
        <w:rPr>
          <w:sz w:val="24"/>
          <w:szCs w:val="24"/>
        </w:rPr>
        <w:t>analgetika</w:t>
      </w:r>
      <w:proofErr w:type="spellEnd"/>
      <w:r w:rsidRPr="00E20765">
        <w:rPr>
          <w:sz w:val="24"/>
          <w:szCs w:val="24"/>
        </w:rPr>
        <w:t>/antiinflammatoriske farmaka/</w:t>
      </w:r>
      <w:proofErr w:type="spellStart"/>
      <w:r w:rsidRPr="00E20765">
        <w:rPr>
          <w:sz w:val="24"/>
          <w:szCs w:val="24"/>
        </w:rPr>
        <w:t>antireumatika</w:t>
      </w:r>
      <w:proofErr w:type="spellEnd"/>
      <w:r w:rsidRPr="00E20765">
        <w:rPr>
          <w:sz w:val="24"/>
          <w:szCs w:val="24"/>
        </w:rPr>
        <w:t xml:space="preserve"> og ved tilstedeværelse af andre allergier.</w:t>
      </w:r>
    </w:p>
    <w:p w:rsidR="00367295" w:rsidRPr="00E20765" w:rsidRDefault="00367295" w:rsidP="00367295">
      <w:pPr>
        <w:ind w:left="851"/>
        <w:rPr>
          <w:sz w:val="24"/>
          <w:szCs w:val="24"/>
        </w:rPr>
      </w:pPr>
    </w:p>
    <w:p w:rsidR="00367295" w:rsidRPr="00E20765" w:rsidRDefault="00367295" w:rsidP="00367295">
      <w:pPr>
        <w:ind w:left="851"/>
        <w:rPr>
          <w:sz w:val="24"/>
          <w:szCs w:val="24"/>
        </w:rPr>
      </w:pPr>
      <w:r w:rsidRPr="00E20765">
        <w:rPr>
          <w:sz w:val="24"/>
          <w:szCs w:val="24"/>
        </w:rPr>
        <w:t xml:space="preserve">Der bør udvises særlig forsigtighed i følgende tilfælde: </w:t>
      </w:r>
    </w:p>
    <w:p w:rsidR="00367295" w:rsidRPr="00E20765" w:rsidRDefault="00367295" w:rsidP="00367295">
      <w:pPr>
        <w:numPr>
          <w:ilvl w:val="0"/>
          <w:numId w:val="7"/>
        </w:numPr>
        <w:tabs>
          <w:tab w:val="clear" w:pos="360"/>
          <w:tab w:val="num" w:pos="1134"/>
        </w:tabs>
        <w:ind w:left="1134" w:hanging="283"/>
        <w:rPr>
          <w:sz w:val="24"/>
          <w:szCs w:val="24"/>
        </w:rPr>
      </w:pPr>
      <w:r w:rsidRPr="00E20765">
        <w:rPr>
          <w:sz w:val="24"/>
          <w:szCs w:val="24"/>
        </w:rPr>
        <w:t xml:space="preserve">Sygdom i mave-tarm </w:t>
      </w:r>
      <w:proofErr w:type="spellStart"/>
      <w:proofErr w:type="gramStart"/>
      <w:r w:rsidRPr="00E20765">
        <w:rPr>
          <w:sz w:val="24"/>
          <w:szCs w:val="24"/>
        </w:rPr>
        <w:t>slimhinden.Tendens</w:t>
      </w:r>
      <w:proofErr w:type="spellEnd"/>
      <w:proofErr w:type="gramEnd"/>
      <w:r w:rsidRPr="00E20765">
        <w:rPr>
          <w:sz w:val="24"/>
          <w:szCs w:val="24"/>
        </w:rPr>
        <w:t xml:space="preserve"> til dyspepsi.</w:t>
      </w:r>
    </w:p>
    <w:p w:rsidR="00367295" w:rsidRPr="00E20765" w:rsidRDefault="00367295" w:rsidP="00367295">
      <w:pPr>
        <w:numPr>
          <w:ilvl w:val="0"/>
          <w:numId w:val="7"/>
        </w:numPr>
        <w:tabs>
          <w:tab w:val="clear" w:pos="360"/>
          <w:tab w:val="num" w:pos="1134"/>
        </w:tabs>
        <w:ind w:left="1134" w:hanging="283"/>
        <w:rPr>
          <w:sz w:val="24"/>
          <w:szCs w:val="24"/>
        </w:rPr>
      </w:pPr>
      <w:r w:rsidRPr="00E20765">
        <w:rPr>
          <w:sz w:val="24"/>
          <w:szCs w:val="24"/>
        </w:rPr>
        <w:t xml:space="preserve">Samtidig behandling med </w:t>
      </w:r>
      <w:proofErr w:type="spellStart"/>
      <w:r w:rsidRPr="00E20765">
        <w:rPr>
          <w:sz w:val="24"/>
          <w:szCs w:val="24"/>
        </w:rPr>
        <w:t>antikoagulantia</w:t>
      </w:r>
      <w:proofErr w:type="spellEnd"/>
      <w:r w:rsidRPr="00E20765">
        <w:rPr>
          <w:sz w:val="24"/>
          <w:szCs w:val="24"/>
        </w:rPr>
        <w:t xml:space="preserve"> [vitamin K-antagonister og </w:t>
      </w:r>
      <w:proofErr w:type="spellStart"/>
      <w:r w:rsidRPr="00E20765">
        <w:rPr>
          <w:sz w:val="24"/>
          <w:szCs w:val="24"/>
        </w:rPr>
        <w:t>heparin</w:t>
      </w:r>
      <w:proofErr w:type="spellEnd"/>
      <w:r w:rsidRPr="00E20765">
        <w:rPr>
          <w:sz w:val="24"/>
          <w:szCs w:val="24"/>
        </w:rPr>
        <w:t xml:space="preserve"> (se pkt. 4.5)].</w:t>
      </w:r>
    </w:p>
    <w:p w:rsidR="00367295" w:rsidRPr="00E20765" w:rsidRDefault="00367295" w:rsidP="00367295">
      <w:pPr>
        <w:numPr>
          <w:ilvl w:val="0"/>
          <w:numId w:val="7"/>
        </w:numPr>
        <w:tabs>
          <w:tab w:val="clear" w:pos="360"/>
          <w:tab w:val="num" w:pos="1134"/>
        </w:tabs>
        <w:ind w:left="1134" w:hanging="283"/>
        <w:rPr>
          <w:sz w:val="24"/>
          <w:szCs w:val="24"/>
        </w:rPr>
      </w:pPr>
      <w:r w:rsidRPr="00E20765">
        <w:rPr>
          <w:sz w:val="24"/>
          <w:szCs w:val="24"/>
        </w:rPr>
        <w:t>Nedsat nyrefunktion.</w:t>
      </w:r>
    </w:p>
    <w:p w:rsidR="00367295" w:rsidRPr="00E20765" w:rsidRDefault="00367295" w:rsidP="00367295">
      <w:pPr>
        <w:numPr>
          <w:ilvl w:val="0"/>
          <w:numId w:val="7"/>
        </w:numPr>
        <w:tabs>
          <w:tab w:val="clear" w:pos="360"/>
          <w:tab w:val="num" w:pos="1134"/>
        </w:tabs>
        <w:ind w:left="1134" w:hanging="283"/>
        <w:rPr>
          <w:sz w:val="24"/>
          <w:szCs w:val="24"/>
        </w:rPr>
      </w:pPr>
      <w:r w:rsidRPr="00E20765">
        <w:rPr>
          <w:sz w:val="24"/>
          <w:szCs w:val="24"/>
        </w:rPr>
        <w:t>Nedsat leverfunktion.</w:t>
      </w:r>
    </w:p>
    <w:p w:rsidR="00367295" w:rsidRPr="00E20765" w:rsidRDefault="00367295" w:rsidP="00367295">
      <w:pPr>
        <w:ind w:left="851"/>
        <w:rPr>
          <w:sz w:val="24"/>
          <w:szCs w:val="24"/>
        </w:rPr>
      </w:pPr>
    </w:p>
    <w:p w:rsidR="00367295" w:rsidRPr="00E20765" w:rsidRDefault="00367295" w:rsidP="00367295">
      <w:pPr>
        <w:ind w:left="851"/>
        <w:rPr>
          <w:sz w:val="24"/>
          <w:szCs w:val="24"/>
          <w:u w:val="single"/>
        </w:rPr>
      </w:pPr>
      <w:r w:rsidRPr="00E20765">
        <w:rPr>
          <w:sz w:val="24"/>
          <w:szCs w:val="24"/>
          <w:u w:val="single"/>
        </w:rPr>
        <w:t>Fertilitet</w:t>
      </w:r>
    </w:p>
    <w:p w:rsidR="00367295" w:rsidRPr="00E20765" w:rsidRDefault="00367295" w:rsidP="00367295">
      <w:pPr>
        <w:ind w:left="851"/>
        <w:rPr>
          <w:sz w:val="24"/>
          <w:szCs w:val="24"/>
        </w:rPr>
      </w:pPr>
      <w:r w:rsidRPr="00E20765">
        <w:rPr>
          <w:sz w:val="24"/>
          <w:szCs w:val="24"/>
        </w:rPr>
        <w:t xml:space="preserve">Anvendelsen af acetylsalicylsyre kan reducere fertiliteten og bør ikke anvendes til kvinder, som ønsker at blive gravide. For kvinder, som har problemer med at blive gravide, eller som undersøges for </w:t>
      </w:r>
      <w:proofErr w:type="spellStart"/>
      <w:r w:rsidRPr="00E20765">
        <w:rPr>
          <w:sz w:val="24"/>
          <w:szCs w:val="24"/>
        </w:rPr>
        <w:t>infertilitet</w:t>
      </w:r>
      <w:proofErr w:type="spellEnd"/>
      <w:r w:rsidRPr="00E20765">
        <w:rPr>
          <w:sz w:val="24"/>
          <w:szCs w:val="24"/>
        </w:rPr>
        <w:t xml:space="preserve">, bør </w:t>
      </w:r>
      <w:proofErr w:type="spellStart"/>
      <w:r w:rsidRPr="00E20765">
        <w:rPr>
          <w:sz w:val="24"/>
          <w:szCs w:val="24"/>
        </w:rPr>
        <w:t>seponering</w:t>
      </w:r>
      <w:proofErr w:type="spellEnd"/>
      <w:r w:rsidRPr="00E20765">
        <w:rPr>
          <w:sz w:val="24"/>
          <w:szCs w:val="24"/>
        </w:rPr>
        <w:t xml:space="preserve"> af acetylsalicylsyre overvejes (se pkt. 4.6).</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4.5</w:t>
      </w:r>
      <w:r w:rsidRPr="00E20765">
        <w:rPr>
          <w:b/>
          <w:sz w:val="24"/>
          <w:szCs w:val="24"/>
        </w:rPr>
        <w:tab/>
        <w:t>Interaktion med andre lægemidler og andre former for interaktion</w:t>
      </w:r>
    </w:p>
    <w:p w:rsidR="00367295" w:rsidRPr="00E20765" w:rsidRDefault="00367295" w:rsidP="00367295">
      <w:pPr>
        <w:ind w:left="851"/>
        <w:rPr>
          <w:sz w:val="24"/>
          <w:szCs w:val="24"/>
          <w:u w:val="single"/>
          <w:lang w:eastAsia="nb-NO"/>
        </w:rPr>
      </w:pPr>
    </w:p>
    <w:p w:rsidR="00367295" w:rsidRPr="00F4200A" w:rsidRDefault="00367295" w:rsidP="00367295">
      <w:pPr>
        <w:ind w:left="851"/>
        <w:rPr>
          <w:sz w:val="24"/>
          <w:szCs w:val="24"/>
          <w:u w:val="single"/>
          <w:lang w:eastAsia="nb-NO"/>
        </w:rPr>
      </w:pPr>
      <w:r w:rsidRPr="00F4200A">
        <w:rPr>
          <w:sz w:val="24"/>
          <w:szCs w:val="24"/>
          <w:u w:val="single"/>
          <w:lang w:eastAsia="nb-NO"/>
        </w:rPr>
        <w:t>Samtidig anvendelse af følgende præparater bør undgås</w:t>
      </w:r>
    </w:p>
    <w:p w:rsidR="00367295" w:rsidRPr="00F4200A" w:rsidRDefault="00367295" w:rsidP="00367295">
      <w:pPr>
        <w:ind w:left="851"/>
        <w:rPr>
          <w:sz w:val="24"/>
          <w:szCs w:val="24"/>
          <w:lang w:eastAsia="nb-NO"/>
        </w:rPr>
      </w:pPr>
    </w:p>
    <w:p w:rsidR="00367295" w:rsidRPr="00F4200A" w:rsidRDefault="00367295" w:rsidP="00367295">
      <w:pPr>
        <w:ind w:left="851"/>
        <w:rPr>
          <w:i/>
          <w:sz w:val="24"/>
          <w:szCs w:val="24"/>
          <w:lang w:eastAsia="nb-NO"/>
        </w:rPr>
      </w:pPr>
      <w:proofErr w:type="spellStart"/>
      <w:r w:rsidRPr="00F4200A">
        <w:rPr>
          <w:i/>
          <w:sz w:val="24"/>
          <w:szCs w:val="24"/>
          <w:lang w:eastAsia="nb-NO"/>
        </w:rPr>
        <w:t>Methotrexat</w:t>
      </w:r>
      <w:proofErr w:type="spellEnd"/>
      <w:r w:rsidRPr="00F4200A">
        <w:rPr>
          <w:i/>
          <w:sz w:val="24"/>
          <w:szCs w:val="24"/>
          <w:lang w:eastAsia="nb-NO"/>
        </w:rPr>
        <w:t xml:space="preserve"> </w:t>
      </w:r>
    </w:p>
    <w:p w:rsidR="00367295" w:rsidRPr="00F4200A" w:rsidRDefault="00367295" w:rsidP="00367295">
      <w:pPr>
        <w:ind w:left="851"/>
        <w:rPr>
          <w:sz w:val="24"/>
          <w:szCs w:val="24"/>
          <w:lang w:eastAsia="da-DK"/>
        </w:rPr>
      </w:pPr>
      <w:r w:rsidRPr="00F4200A">
        <w:rPr>
          <w:sz w:val="24"/>
          <w:szCs w:val="24"/>
          <w:lang w:eastAsia="da-DK"/>
        </w:rPr>
        <w:t xml:space="preserve">Mulig mekanisme: Nedsat </w:t>
      </w:r>
      <w:proofErr w:type="spellStart"/>
      <w:r w:rsidRPr="00F4200A">
        <w:rPr>
          <w:sz w:val="24"/>
          <w:szCs w:val="24"/>
          <w:lang w:eastAsia="da-DK"/>
        </w:rPr>
        <w:t>methotrexatclearance</w:t>
      </w:r>
      <w:proofErr w:type="spellEnd"/>
      <w:r w:rsidRPr="00F4200A">
        <w:rPr>
          <w:sz w:val="24"/>
          <w:szCs w:val="24"/>
          <w:lang w:eastAsia="da-DK"/>
        </w:rPr>
        <w:t>.</w:t>
      </w:r>
    </w:p>
    <w:p w:rsidR="00367295" w:rsidRPr="00F4200A" w:rsidRDefault="00367295" w:rsidP="00367295">
      <w:pPr>
        <w:ind w:left="851"/>
        <w:rPr>
          <w:sz w:val="24"/>
          <w:szCs w:val="24"/>
          <w:lang w:eastAsia="da-DK"/>
        </w:rPr>
      </w:pPr>
      <w:r w:rsidRPr="00F4200A">
        <w:rPr>
          <w:sz w:val="24"/>
          <w:szCs w:val="24"/>
          <w:lang w:eastAsia="da-DK"/>
        </w:rPr>
        <w:t xml:space="preserve">Effekt: </w:t>
      </w:r>
      <w:proofErr w:type="spellStart"/>
      <w:r w:rsidRPr="00F4200A">
        <w:rPr>
          <w:sz w:val="24"/>
          <w:szCs w:val="24"/>
          <w:lang w:eastAsia="da-DK"/>
        </w:rPr>
        <w:t>Methotrexat</w:t>
      </w:r>
      <w:proofErr w:type="spellEnd"/>
      <w:r w:rsidRPr="00F4200A">
        <w:rPr>
          <w:sz w:val="24"/>
          <w:szCs w:val="24"/>
          <w:lang w:eastAsia="da-DK"/>
        </w:rPr>
        <w:t xml:space="preserve"> toksicitet (</w:t>
      </w:r>
      <w:proofErr w:type="spellStart"/>
      <w:r w:rsidRPr="00F4200A">
        <w:rPr>
          <w:sz w:val="24"/>
          <w:szCs w:val="24"/>
          <w:lang w:eastAsia="da-DK"/>
        </w:rPr>
        <w:t>leukopeni</w:t>
      </w:r>
      <w:proofErr w:type="spellEnd"/>
      <w:r w:rsidRPr="00F4200A">
        <w:rPr>
          <w:sz w:val="24"/>
          <w:szCs w:val="24"/>
          <w:lang w:eastAsia="da-DK"/>
        </w:rPr>
        <w:t xml:space="preserve">, </w:t>
      </w:r>
      <w:proofErr w:type="spellStart"/>
      <w:r w:rsidRPr="00F4200A">
        <w:rPr>
          <w:sz w:val="24"/>
          <w:szCs w:val="24"/>
          <w:lang w:eastAsia="da-DK"/>
        </w:rPr>
        <w:t>trombocytopeni</w:t>
      </w:r>
      <w:proofErr w:type="spellEnd"/>
      <w:r w:rsidRPr="00F4200A">
        <w:rPr>
          <w:sz w:val="24"/>
          <w:szCs w:val="24"/>
          <w:lang w:eastAsia="da-DK"/>
        </w:rPr>
        <w:t xml:space="preserve">, anæmi, </w:t>
      </w:r>
      <w:proofErr w:type="spellStart"/>
      <w:r w:rsidRPr="00F4200A">
        <w:rPr>
          <w:sz w:val="24"/>
          <w:szCs w:val="24"/>
          <w:lang w:eastAsia="da-DK"/>
        </w:rPr>
        <w:t>nefrotoksicitet</w:t>
      </w:r>
      <w:proofErr w:type="spellEnd"/>
      <w:r w:rsidRPr="00F4200A">
        <w:rPr>
          <w:sz w:val="24"/>
          <w:szCs w:val="24"/>
          <w:lang w:eastAsia="da-DK"/>
        </w:rPr>
        <w:t xml:space="preserve">, </w:t>
      </w:r>
      <w:proofErr w:type="spellStart"/>
      <w:r w:rsidRPr="00F4200A">
        <w:rPr>
          <w:sz w:val="24"/>
          <w:szCs w:val="24"/>
          <w:lang w:eastAsia="da-DK"/>
        </w:rPr>
        <w:t>mucosa</w:t>
      </w:r>
      <w:proofErr w:type="spellEnd"/>
      <w:r w:rsidRPr="00F4200A">
        <w:rPr>
          <w:sz w:val="24"/>
          <w:szCs w:val="24"/>
          <w:lang w:eastAsia="da-DK"/>
        </w:rPr>
        <w:t xml:space="preserve"> </w:t>
      </w:r>
      <w:proofErr w:type="spellStart"/>
      <w:r w:rsidRPr="00F4200A">
        <w:rPr>
          <w:sz w:val="24"/>
          <w:szCs w:val="24"/>
          <w:lang w:eastAsia="da-DK"/>
        </w:rPr>
        <w:t>ulcerationer</w:t>
      </w:r>
      <w:proofErr w:type="spellEnd"/>
      <w:r w:rsidRPr="00F4200A">
        <w:rPr>
          <w:sz w:val="24"/>
          <w:szCs w:val="24"/>
          <w:lang w:eastAsia="da-DK"/>
        </w:rPr>
        <w:t>).</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r w:rsidRPr="00F4200A">
        <w:rPr>
          <w:i/>
          <w:sz w:val="24"/>
          <w:szCs w:val="24"/>
          <w:lang w:eastAsia="da-DK"/>
        </w:rPr>
        <w:t xml:space="preserve">ACE </w:t>
      </w:r>
      <w:proofErr w:type="spellStart"/>
      <w:r w:rsidRPr="00F4200A">
        <w:rPr>
          <w:i/>
          <w:sz w:val="24"/>
          <w:szCs w:val="24"/>
          <w:lang w:eastAsia="da-DK"/>
        </w:rPr>
        <w:t>hæmmere</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Hæmning af </w:t>
      </w:r>
      <w:proofErr w:type="spellStart"/>
      <w:r w:rsidRPr="00F4200A">
        <w:rPr>
          <w:sz w:val="24"/>
          <w:szCs w:val="24"/>
          <w:lang w:eastAsia="da-DK"/>
        </w:rPr>
        <w:t>prostaglandinsyntesen</w:t>
      </w:r>
      <w:proofErr w:type="spellEnd"/>
      <w:r w:rsidRPr="00F4200A">
        <w:rPr>
          <w:sz w:val="24"/>
          <w:szCs w:val="24"/>
          <w:lang w:eastAsia="da-DK"/>
        </w:rPr>
        <w:t>.</w:t>
      </w:r>
    </w:p>
    <w:p w:rsidR="00367295" w:rsidRPr="00F4200A" w:rsidRDefault="00367295" w:rsidP="00367295">
      <w:pPr>
        <w:ind w:left="851"/>
        <w:rPr>
          <w:sz w:val="24"/>
          <w:szCs w:val="24"/>
          <w:lang w:eastAsia="da-DK"/>
        </w:rPr>
      </w:pPr>
      <w:r w:rsidRPr="00F4200A">
        <w:rPr>
          <w:sz w:val="24"/>
          <w:szCs w:val="24"/>
          <w:lang w:eastAsia="da-DK"/>
        </w:rPr>
        <w:t xml:space="preserve">Effekt: Nedsat effekt af ACE </w:t>
      </w:r>
      <w:proofErr w:type="spellStart"/>
      <w:r w:rsidRPr="00F4200A">
        <w:rPr>
          <w:sz w:val="24"/>
          <w:szCs w:val="24"/>
          <w:lang w:eastAsia="da-DK"/>
        </w:rPr>
        <w:t>hæmmere</w:t>
      </w:r>
      <w:proofErr w:type="spellEnd"/>
      <w:r w:rsidRPr="00F4200A">
        <w:rPr>
          <w:sz w:val="24"/>
          <w:szCs w:val="24"/>
          <w:lang w:eastAsia="da-DK"/>
        </w:rPr>
        <w:t>.</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Acetazolamid</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Øget </w:t>
      </w:r>
      <w:proofErr w:type="spellStart"/>
      <w:r w:rsidRPr="00F4200A">
        <w:rPr>
          <w:sz w:val="24"/>
          <w:szCs w:val="24"/>
          <w:lang w:eastAsia="da-DK"/>
        </w:rPr>
        <w:t>acetazolamidkoncentration</w:t>
      </w:r>
      <w:proofErr w:type="spellEnd"/>
      <w:r w:rsidRPr="00F4200A">
        <w:rPr>
          <w:sz w:val="24"/>
          <w:szCs w:val="24"/>
          <w:lang w:eastAsia="da-DK"/>
        </w:rPr>
        <w:t xml:space="preserve"> kan medføre, at </w:t>
      </w:r>
      <w:proofErr w:type="spellStart"/>
      <w:r w:rsidRPr="00F4200A">
        <w:rPr>
          <w:sz w:val="24"/>
          <w:szCs w:val="24"/>
          <w:lang w:eastAsia="da-DK"/>
        </w:rPr>
        <w:t>salicylat</w:t>
      </w:r>
      <w:proofErr w:type="spellEnd"/>
      <w:r w:rsidRPr="00F4200A">
        <w:rPr>
          <w:sz w:val="24"/>
          <w:szCs w:val="24"/>
          <w:lang w:eastAsia="da-DK"/>
        </w:rPr>
        <w:t xml:space="preserve"> diffunderer fra plasma ud i væv.</w:t>
      </w:r>
    </w:p>
    <w:p w:rsidR="00367295" w:rsidRPr="00F4200A" w:rsidRDefault="00367295" w:rsidP="00367295">
      <w:pPr>
        <w:ind w:left="851"/>
        <w:rPr>
          <w:i/>
          <w:sz w:val="24"/>
          <w:szCs w:val="24"/>
          <w:lang w:eastAsia="da-DK"/>
        </w:rPr>
      </w:pPr>
      <w:r w:rsidRPr="00F4200A">
        <w:rPr>
          <w:sz w:val="24"/>
          <w:szCs w:val="24"/>
          <w:lang w:eastAsia="da-DK"/>
        </w:rPr>
        <w:t xml:space="preserve">Effekt: </w:t>
      </w:r>
      <w:proofErr w:type="spellStart"/>
      <w:r w:rsidRPr="00F4200A" w:rsidDel="001141EB">
        <w:rPr>
          <w:spacing w:val="-3"/>
          <w:sz w:val="24"/>
          <w:szCs w:val="24"/>
          <w:lang w:eastAsia="da-DK"/>
        </w:rPr>
        <w:t>Acetazolamid</w:t>
      </w:r>
      <w:proofErr w:type="spellEnd"/>
      <w:r w:rsidRPr="00F4200A">
        <w:rPr>
          <w:spacing w:val="-3"/>
          <w:sz w:val="24"/>
          <w:szCs w:val="24"/>
          <w:lang w:eastAsia="da-DK"/>
        </w:rPr>
        <w:t>-toks</w:t>
      </w:r>
      <w:r w:rsidRPr="00F4200A" w:rsidDel="001141EB">
        <w:rPr>
          <w:spacing w:val="-3"/>
          <w:sz w:val="24"/>
          <w:szCs w:val="24"/>
          <w:lang w:eastAsia="da-DK"/>
        </w:rPr>
        <w:t xml:space="preserve">icitet (træthed, letargi, </w:t>
      </w:r>
      <w:proofErr w:type="spellStart"/>
      <w:r w:rsidRPr="00F4200A" w:rsidDel="001141EB">
        <w:rPr>
          <w:spacing w:val="-3"/>
          <w:sz w:val="24"/>
          <w:szCs w:val="24"/>
          <w:lang w:eastAsia="da-DK"/>
        </w:rPr>
        <w:t>somnolens</w:t>
      </w:r>
      <w:proofErr w:type="spellEnd"/>
      <w:r w:rsidRPr="00F4200A" w:rsidDel="001141EB">
        <w:rPr>
          <w:spacing w:val="-3"/>
          <w:sz w:val="24"/>
          <w:szCs w:val="24"/>
          <w:lang w:eastAsia="da-DK"/>
        </w:rPr>
        <w:t xml:space="preserve">, konfusion, </w:t>
      </w:r>
      <w:proofErr w:type="spellStart"/>
      <w:r w:rsidRPr="00F4200A" w:rsidDel="001141EB">
        <w:rPr>
          <w:spacing w:val="-3"/>
          <w:sz w:val="24"/>
          <w:szCs w:val="24"/>
          <w:lang w:eastAsia="da-DK"/>
        </w:rPr>
        <w:t>hyperchloræmisk</w:t>
      </w:r>
      <w:proofErr w:type="spellEnd"/>
      <w:r w:rsidRPr="00F4200A" w:rsidDel="001141EB">
        <w:rPr>
          <w:spacing w:val="-3"/>
          <w:sz w:val="24"/>
          <w:szCs w:val="24"/>
          <w:lang w:eastAsia="da-DK"/>
        </w:rPr>
        <w:t xml:space="preserve"> metabolisk </w:t>
      </w:r>
      <w:proofErr w:type="spellStart"/>
      <w:r w:rsidRPr="00F4200A" w:rsidDel="001141EB">
        <w:rPr>
          <w:spacing w:val="-3"/>
          <w:sz w:val="24"/>
          <w:szCs w:val="24"/>
          <w:lang w:eastAsia="da-DK"/>
        </w:rPr>
        <w:t>acidose</w:t>
      </w:r>
      <w:proofErr w:type="spellEnd"/>
      <w:r w:rsidRPr="00F4200A" w:rsidDel="001141EB">
        <w:rPr>
          <w:spacing w:val="-3"/>
          <w:sz w:val="24"/>
          <w:szCs w:val="24"/>
          <w:lang w:eastAsia="da-DK"/>
        </w:rPr>
        <w:t>)</w:t>
      </w:r>
      <w:r w:rsidRPr="00F4200A">
        <w:rPr>
          <w:spacing w:val="-3"/>
          <w:sz w:val="24"/>
          <w:szCs w:val="24"/>
          <w:lang w:eastAsia="da-DK"/>
        </w:rPr>
        <w:t xml:space="preserve">. </w:t>
      </w:r>
      <w:proofErr w:type="spellStart"/>
      <w:r w:rsidRPr="00F4200A" w:rsidDel="001141EB">
        <w:rPr>
          <w:spacing w:val="-3"/>
          <w:sz w:val="24"/>
          <w:szCs w:val="24"/>
          <w:lang w:eastAsia="da-DK"/>
        </w:rPr>
        <w:t>Salicylat</w:t>
      </w:r>
      <w:proofErr w:type="spellEnd"/>
      <w:r w:rsidRPr="00F4200A">
        <w:rPr>
          <w:spacing w:val="-3"/>
          <w:sz w:val="24"/>
          <w:szCs w:val="24"/>
          <w:lang w:eastAsia="da-DK"/>
        </w:rPr>
        <w:t>-toks</w:t>
      </w:r>
      <w:r w:rsidRPr="00F4200A" w:rsidDel="001141EB">
        <w:rPr>
          <w:spacing w:val="-3"/>
          <w:sz w:val="24"/>
          <w:szCs w:val="24"/>
          <w:lang w:eastAsia="da-DK"/>
        </w:rPr>
        <w:t xml:space="preserve">icitet (opkastning, </w:t>
      </w:r>
      <w:proofErr w:type="spellStart"/>
      <w:r w:rsidRPr="00F4200A" w:rsidDel="001141EB">
        <w:rPr>
          <w:spacing w:val="-3"/>
          <w:sz w:val="24"/>
          <w:szCs w:val="24"/>
          <w:lang w:eastAsia="da-DK"/>
        </w:rPr>
        <w:t>ta</w:t>
      </w:r>
      <w:r w:rsidRPr="00F4200A">
        <w:rPr>
          <w:spacing w:val="-3"/>
          <w:sz w:val="24"/>
          <w:szCs w:val="24"/>
          <w:lang w:eastAsia="da-DK"/>
        </w:rPr>
        <w:t>k</w:t>
      </w:r>
      <w:r w:rsidRPr="00F4200A" w:rsidDel="001141EB">
        <w:rPr>
          <w:spacing w:val="-3"/>
          <w:sz w:val="24"/>
          <w:szCs w:val="24"/>
          <w:lang w:eastAsia="da-DK"/>
        </w:rPr>
        <w:t>ykardi</w:t>
      </w:r>
      <w:proofErr w:type="spellEnd"/>
      <w:r w:rsidRPr="00F4200A" w:rsidDel="001141EB">
        <w:rPr>
          <w:spacing w:val="-3"/>
          <w:sz w:val="24"/>
          <w:szCs w:val="24"/>
          <w:lang w:eastAsia="da-DK"/>
        </w:rPr>
        <w:t xml:space="preserve">, </w:t>
      </w:r>
      <w:proofErr w:type="spellStart"/>
      <w:r w:rsidRPr="00F4200A" w:rsidDel="001141EB">
        <w:rPr>
          <w:spacing w:val="-3"/>
          <w:sz w:val="24"/>
          <w:szCs w:val="24"/>
          <w:lang w:eastAsia="da-DK"/>
        </w:rPr>
        <w:t>hyperpnø</w:t>
      </w:r>
      <w:proofErr w:type="spellEnd"/>
      <w:r w:rsidRPr="00F4200A" w:rsidDel="001141EB">
        <w:rPr>
          <w:spacing w:val="-3"/>
          <w:sz w:val="24"/>
          <w:szCs w:val="24"/>
          <w:lang w:eastAsia="da-DK"/>
        </w:rPr>
        <w:t>, konfusion).</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Probenecid</w:t>
      </w:r>
      <w:proofErr w:type="spellEnd"/>
      <w:r w:rsidRPr="00F4200A">
        <w:rPr>
          <w:i/>
          <w:sz w:val="24"/>
          <w:szCs w:val="24"/>
          <w:lang w:eastAsia="da-DK"/>
        </w:rPr>
        <w:t xml:space="preserve">, </w:t>
      </w:r>
      <w:proofErr w:type="spellStart"/>
      <w:r w:rsidRPr="00F4200A">
        <w:rPr>
          <w:i/>
          <w:sz w:val="24"/>
          <w:szCs w:val="24"/>
          <w:lang w:eastAsia="da-DK"/>
        </w:rPr>
        <w:t>sulfinpyrazon</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w:t>
      </w:r>
      <w:proofErr w:type="spellStart"/>
      <w:r w:rsidRPr="00F4200A">
        <w:rPr>
          <w:sz w:val="24"/>
          <w:szCs w:val="24"/>
          <w:lang w:eastAsia="da-DK"/>
        </w:rPr>
        <w:t>Probenecid</w:t>
      </w:r>
      <w:proofErr w:type="spellEnd"/>
      <w:r w:rsidRPr="00F4200A">
        <w:rPr>
          <w:sz w:val="24"/>
          <w:szCs w:val="24"/>
          <w:lang w:eastAsia="da-DK"/>
        </w:rPr>
        <w:t xml:space="preserve"> og høje </w:t>
      </w:r>
      <w:proofErr w:type="spellStart"/>
      <w:r w:rsidRPr="00F4200A">
        <w:rPr>
          <w:sz w:val="24"/>
          <w:szCs w:val="24"/>
          <w:lang w:eastAsia="da-DK"/>
        </w:rPr>
        <w:t>salicylatdoser</w:t>
      </w:r>
      <w:proofErr w:type="spellEnd"/>
      <w:r w:rsidRPr="00F4200A">
        <w:rPr>
          <w:sz w:val="24"/>
          <w:szCs w:val="24"/>
          <w:lang w:eastAsia="da-DK"/>
        </w:rPr>
        <w:t xml:space="preserve"> (&gt; 500 mg) blokerer gensidigt hinandens virkning på udskillelsen af urinsyre.</w:t>
      </w:r>
    </w:p>
    <w:p w:rsidR="00367295" w:rsidRPr="00F4200A" w:rsidRDefault="00367295" w:rsidP="00367295">
      <w:pPr>
        <w:ind w:left="851"/>
        <w:rPr>
          <w:sz w:val="24"/>
          <w:szCs w:val="24"/>
          <w:lang w:eastAsia="da-DK"/>
        </w:rPr>
      </w:pPr>
      <w:r w:rsidRPr="00F4200A">
        <w:rPr>
          <w:sz w:val="24"/>
          <w:szCs w:val="24"/>
          <w:lang w:eastAsia="da-DK"/>
        </w:rPr>
        <w:t>Effekt: Nedsat urinsyreudskillelse</w:t>
      </w:r>
      <w:r w:rsidRPr="00F4200A" w:rsidDel="00CC5A8A">
        <w:rPr>
          <w:sz w:val="24"/>
          <w:szCs w:val="24"/>
          <w:lang w:eastAsia="da-DK"/>
        </w:rPr>
        <w:t>n</w:t>
      </w:r>
      <w:r w:rsidRPr="00F4200A">
        <w:rPr>
          <w:sz w:val="24"/>
          <w:szCs w:val="24"/>
          <w:lang w:eastAsia="da-DK"/>
        </w:rPr>
        <w:t>.</w:t>
      </w:r>
    </w:p>
    <w:p w:rsidR="00367295" w:rsidRPr="00E20765" w:rsidRDefault="00367295" w:rsidP="00367295">
      <w:pPr>
        <w:rPr>
          <w:i/>
          <w:sz w:val="24"/>
          <w:szCs w:val="24"/>
          <w:lang w:eastAsia="da-DK"/>
        </w:rPr>
      </w:pPr>
      <w:r w:rsidRPr="00E20765">
        <w:rPr>
          <w:i/>
          <w:sz w:val="24"/>
          <w:szCs w:val="24"/>
          <w:lang w:eastAsia="da-DK"/>
        </w:rPr>
        <w:br w:type="page"/>
      </w:r>
    </w:p>
    <w:p w:rsidR="00367295" w:rsidRPr="00F4200A" w:rsidRDefault="00367295" w:rsidP="00367295">
      <w:pPr>
        <w:ind w:left="851"/>
        <w:rPr>
          <w:i/>
          <w:sz w:val="24"/>
          <w:szCs w:val="24"/>
          <w:lang w:eastAsia="da-DK"/>
        </w:rPr>
      </w:pPr>
    </w:p>
    <w:p w:rsidR="00367295" w:rsidRPr="00F4200A" w:rsidRDefault="00367295" w:rsidP="00367295">
      <w:pPr>
        <w:ind w:left="851"/>
        <w:rPr>
          <w:sz w:val="24"/>
          <w:szCs w:val="24"/>
          <w:u w:val="single"/>
          <w:lang w:eastAsia="da-DK"/>
        </w:rPr>
      </w:pPr>
      <w:r w:rsidRPr="00F4200A">
        <w:rPr>
          <w:sz w:val="24"/>
          <w:szCs w:val="24"/>
          <w:u w:val="single"/>
          <w:lang w:eastAsia="da-DK"/>
        </w:rPr>
        <w:t>Samtidig anvendelse af følgende andre præparater kræver forsigtighed</w:t>
      </w:r>
    </w:p>
    <w:p w:rsidR="00367295" w:rsidRPr="00D13CC8" w:rsidRDefault="00367295" w:rsidP="00367295">
      <w:pPr>
        <w:ind w:left="851"/>
        <w:rPr>
          <w:sz w:val="24"/>
          <w:szCs w:val="24"/>
          <w:lang w:eastAsia="da-DK"/>
        </w:rPr>
      </w:pPr>
    </w:p>
    <w:p w:rsidR="00D13CC8" w:rsidRDefault="00D13CC8" w:rsidP="00D13CC8">
      <w:pPr>
        <w:ind w:left="851"/>
        <w:rPr>
          <w:i/>
          <w:sz w:val="24"/>
          <w:szCs w:val="24"/>
          <w:lang w:eastAsia="da-DK"/>
        </w:rPr>
      </w:pPr>
      <w:proofErr w:type="spellStart"/>
      <w:r>
        <w:rPr>
          <w:i/>
          <w:sz w:val="24"/>
          <w:szCs w:val="24"/>
          <w:lang w:eastAsia="da-DK"/>
        </w:rPr>
        <w:t>Metamizol</w:t>
      </w:r>
      <w:proofErr w:type="spellEnd"/>
    </w:p>
    <w:p w:rsidR="00D13CC8" w:rsidRDefault="00D13CC8" w:rsidP="00D13CC8">
      <w:pPr>
        <w:ind w:left="851"/>
        <w:rPr>
          <w:sz w:val="24"/>
          <w:szCs w:val="24"/>
          <w:lang w:eastAsia="da-DK"/>
        </w:rPr>
      </w:pPr>
      <w:proofErr w:type="spellStart"/>
      <w:r>
        <w:rPr>
          <w:sz w:val="24"/>
          <w:szCs w:val="24"/>
          <w:lang w:eastAsia="da-DK"/>
        </w:rPr>
        <w:t>Metamizol</w:t>
      </w:r>
      <w:proofErr w:type="spellEnd"/>
      <w:r>
        <w:rPr>
          <w:sz w:val="24"/>
          <w:szCs w:val="24"/>
          <w:lang w:eastAsia="da-DK"/>
        </w:rPr>
        <w:t xml:space="preserve"> kan reducere acetylsalicylsyres effekt på </w:t>
      </w:r>
      <w:proofErr w:type="spellStart"/>
      <w:r>
        <w:rPr>
          <w:sz w:val="24"/>
          <w:szCs w:val="24"/>
          <w:lang w:eastAsia="da-DK"/>
        </w:rPr>
        <w:t>trombocytaggregationen</w:t>
      </w:r>
      <w:proofErr w:type="spellEnd"/>
      <w:r>
        <w:rPr>
          <w:sz w:val="24"/>
          <w:szCs w:val="24"/>
          <w:lang w:eastAsia="da-DK"/>
        </w:rPr>
        <w:t xml:space="preserve">, ved samtidig indtagelse. Derfor, bør denne kombination anvendes med forsigtighed hos patienter, som tager en lav dosis acetylsalicylsyre for </w:t>
      </w:r>
      <w:proofErr w:type="spellStart"/>
      <w:r>
        <w:rPr>
          <w:sz w:val="24"/>
          <w:szCs w:val="24"/>
          <w:lang w:eastAsia="da-DK"/>
        </w:rPr>
        <w:t>kardioprotektion</w:t>
      </w:r>
      <w:proofErr w:type="spellEnd"/>
      <w:r>
        <w:rPr>
          <w:sz w:val="24"/>
          <w:szCs w:val="24"/>
          <w:lang w:eastAsia="da-DK"/>
        </w:rPr>
        <w:t>.</w:t>
      </w:r>
    </w:p>
    <w:p w:rsidR="00D13CC8" w:rsidRPr="00D13CC8" w:rsidRDefault="00D13CC8" w:rsidP="00367295">
      <w:pPr>
        <w:ind w:left="851"/>
        <w:rPr>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Clopidogrel</w:t>
      </w:r>
      <w:proofErr w:type="spellEnd"/>
      <w:r w:rsidRPr="00F4200A">
        <w:rPr>
          <w:i/>
          <w:sz w:val="24"/>
          <w:szCs w:val="24"/>
          <w:lang w:eastAsia="da-DK"/>
        </w:rPr>
        <w:t xml:space="preserve">, </w:t>
      </w:r>
      <w:proofErr w:type="spellStart"/>
      <w:r w:rsidRPr="00F4200A">
        <w:rPr>
          <w:i/>
          <w:sz w:val="24"/>
          <w:szCs w:val="24"/>
          <w:lang w:eastAsia="da-DK"/>
        </w:rPr>
        <w:t>ticlopidin</w:t>
      </w:r>
      <w:proofErr w:type="spellEnd"/>
    </w:p>
    <w:p w:rsidR="00367295" w:rsidRPr="00F4200A" w:rsidRDefault="00367295" w:rsidP="00367295">
      <w:pPr>
        <w:ind w:left="851"/>
        <w:rPr>
          <w:sz w:val="24"/>
          <w:szCs w:val="24"/>
          <w:lang w:eastAsia="da-DK"/>
        </w:rPr>
      </w:pPr>
      <w:r w:rsidRPr="00F4200A">
        <w:rPr>
          <w:sz w:val="24"/>
          <w:szCs w:val="24"/>
          <w:lang w:eastAsia="da-DK"/>
        </w:rPr>
        <w:t xml:space="preserve">Kombinationen af </w:t>
      </w:r>
      <w:proofErr w:type="spellStart"/>
      <w:r w:rsidRPr="00F4200A">
        <w:rPr>
          <w:sz w:val="24"/>
          <w:szCs w:val="24"/>
          <w:lang w:eastAsia="da-DK"/>
        </w:rPr>
        <w:t>clopidogrel</w:t>
      </w:r>
      <w:proofErr w:type="spellEnd"/>
      <w:r w:rsidRPr="00F4200A">
        <w:rPr>
          <w:sz w:val="24"/>
          <w:szCs w:val="24"/>
          <w:lang w:eastAsia="da-DK"/>
        </w:rPr>
        <w:t xml:space="preserve"> og acetylsalicylsyre har en synergieffekt. En øget risiko for blødning er dog forbundet med kombinationen. Kombinationen skal kun gives med forsigtighed.</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Antikoagulantia</w:t>
      </w:r>
      <w:proofErr w:type="spellEnd"/>
      <w:r w:rsidRPr="00F4200A">
        <w:rPr>
          <w:i/>
          <w:sz w:val="24"/>
          <w:szCs w:val="24"/>
          <w:lang w:eastAsia="da-DK"/>
        </w:rPr>
        <w:t xml:space="preserve">: </w:t>
      </w:r>
      <w:proofErr w:type="spellStart"/>
      <w:r w:rsidRPr="00F4200A">
        <w:rPr>
          <w:i/>
          <w:sz w:val="24"/>
          <w:szCs w:val="24"/>
          <w:lang w:eastAsia="da-DK"/>
        </w:rPr>
        <w:t>Warfarin</w:t>
      </w:r>
      <w:proofErr w:type="spellEnd"/>
      <w:r w:rsidRPr="00F4200A">
        <w:rPr>
          <w:i/>
          <w:sz w:val="24"/>
          <w:szCs w:val="24"/>
          <w:lang w:eastAsia="da-DK"/>
        </w:rPr>
        <w:t xml:space="preserve">, </w:t>
      </w:r>
      <w:proofErr w:type="spellStart"/>
      <w:r w:rsidRPr="00F4200A">
        <w:rPr>
          <w:i/>
          <w:sz w:val="24"/>
          <w:szCs w:val="24"/>
          <w:lang w:eastAsia="da-DK"/>
        </w:rPr>
        <w:t>phenprocoumon</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Reducerer </w:t>
      </w:r>
      <w:proofErr w:type="spellStart"/>
      <w:r w:rsidRPr="00F4200A">
        <w:rPr>
          <w:sz w:val="24"/>
          <w:szCs w:val="24"/>
          <w:lang w:eastAsia="da-DK"/>
        </w:rPr>
        <w:t>trombindannelsen</w:t>
      </w:r>
      <w:proofErr w:type="spellEnd"/>
      <w:r w:rsidRPr="00F4200A">
        <w:rPr>
          <w:sz w:val="24"/>
          <w:szCs w:val="24"/>
          <w:lang w:eastAsia="da-DK"/>
        </w:rPr>
        <w:t>, der resulterer i indirekte reduktion af blodpladeaktiviteten (Vitamin K antagonist).</w:t>
      </w:r>
    </w:p>
    <w:p w:rsidR="00367295" w:rsidRPr="00F4200A" w:rsidRDefault="00367295" w:rsidP="00367295">
      <w:pPr>
        <w:ind w:left="851"/>
        <w:rPr>
          <w:sz w:val="24"/>
          <w:szCs w:val="24"/>
          <w:lang w:eastAsia="da-DK"/>
        </w:rPr>
      </w:pPr>
      <w:r w:rsidRPr="00F4200A">
        <w:rPr>
          <w:sz w:val="24"/>
          <w:szCs w:val="24"/>
          <w:lang w:eastAsia="da-DK"/>
        </w:rPr>
        <w:t>Effekt: Øget risiko for blødninger.</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Abciximab</w:t>
      </w:r>
      <w:proofErr w:type="spellEnd"/>
      <w:r w:rsidRPr="00F4200A">
        <w:rPr>
          <w:i/>
          <w:sz w:val="24"/>
          <w:szCs w:val="24"/>
          <w:lang w:eastAsia="da-DK"/>
        </w:rPr>
        <w:t xml:space="preserve">, </w:t>
      </w:r>
      <w:proofErr w:type="spellStart"/>
      <w:r w:rsidRPr="00F4200A">
        <w:rPr>
          <w:i/>
          <w:sz w:val="24"/>
          <w:szCs w:val="24"/>
          <w:lang w:eastAsia="da-DK"/>
        </w:rPr>
        <w:t>tirofiban</w:t>
      </w:r>
      <w:proofErr w:type="spellEnd"/>
      <w:r w:rsidRPr="00F4200A">
        <w:rPr>
          <w:i/>
          <w:sz w:val="24"/>
          <w:szCs w:val="24"/>
          <w:lang w:eastAsia="da-DK"/>
        </w:rPr>
        <w:t xml:space="preserve">, </w:t>
      </w:r>
      <w:proofErr w:type="spellStart"/>
      <w:r w:rsidRPr="00F4200A">
        <w:rPr>
          <w:i/>
          <w:sz w:val="24"/>
          <w:szCs w:val="24"/>
          <w:lang w:eastAsia="da-DK"/>
        </w:rPr>
        <w:t>eptifibatid</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Hæmmer </w:t>
      </w:r>
      <w:proofErr w:type="spellStart"/>
      <w:r w:rsidRPr="00F4200A">
        <w:rPr>
          <w:sz w:val="24"/>
          <w:szCs w:val="24"/>
          <w:lang w:eastAsia="da-DK"/>
        </w:rPr>
        <w:t>glycoprotein</w:t>
      </w:r>
      <w:proofErr w:type="spellEnd"/>
      <w:r w:rsidRPr="00F4200A">
        <w:rPr>
          <w:sz w:val="24"/>
          <w:szCs w:val="24"/>
          <w:lang w:eastAsia="da-DK"/>
        </w:rPr>
        <w:t xml:space="preserve"> </w:t>
      </w:r>
      <w:proofErr w:type="spellStart"/>
      <w:r w:rsidRPr="00F4200A">
        <w:rPr>
          <w:sz w:val="24"/>
          <w:szCs w:val="24"/>
          <w:lang w:eastAsia="da-DK"/>
        </w:rPr>
        <w:t>IIb</w:t>
      </w:r>
      <w:proofErr w:type="spellEnd"/>
      <w:r w:rsidRPr="00F4200A">
        <w:rPr>
          <w:sz w:val="24"/>
          <w:szCs w:val="24"/>
          <w:lang w:eastAsia="da-DK"/>
        </w:rPr>
        <w:t>/</w:t>
      </w:r>
      <w:proofErr w:type="spellStart"/>
      <w:r w:rsidRPr="00F4200A">
        <w:rPr>
          <w:sz w:val="24"/>
          <w:szCs w:val="24"/>
          <w:lang w:eastAsia="da-DK"/>
        </w:rPr>
        <w:t>IIIa</w:t>
      </w:r>
      <w:proofErr w:type="spellEnd"/>
      <w:r w:rsidRPr="00F4200A">
        <w:rPr>
          <w:sz w:val="24"/>
          <w:szCs w:val="24"/>
          <w:lang w:eastAsia="da-DK"/>
        </w:rPr>
        <w:t>-receptorerne på blodpladerne.</w:t>
      </w:r>
    </w:p>
    <w:p w:rsidR="00367295" w:rsidRPr="00F4200A" w:rsidRDefault="00367295" w:rsidP="00367295">
      <w:pPr>
        <w:ind w:left="851"/>
        <w:rPr>
          <w:sz w:val="24"/>
          <w:szCs w:val="24"/>
          <w:lang w:eastAsia="da-DK"/>
        </w:rPr>
      </w:pPr>
      <w:r w:rsidRPr="00F4200A">
        <w:rPr>
          <w:sz w:val="24"/>
          <w:szCs w:val="24"/>
          <w:lang w:eastAsia="da-DK"/>
        </w:rPr>
        <w:t>Effekt: Øget risiko for blødninger.</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Heparin</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Reducerer </w:t>
      </w:r>
      <w:proofErr w:type="spellStart"/>
      <w:r w:rsidRPr="00F4200A">
        <w:rPr>
          <w:sz w:val="24"/>
          <w:szCs w:val="24"/>
          <w:lang w:eastAsia="da-DK"/>
        </w:rPr>
        <w:t>trombindannelsen</w:t>
      </w:r>
      <w:proofErr w:type="spellEnd"/>
      <w:r w:rsidRPr="00F4200A">
        <w:rPr>
          <w:sz w:val="24"/>
          <w:szCs w:val="24"/>
          <w:lang w:eastAsia="da-DK"/>
        </w:rPr>
        <w:t>, der resulterer i indirekte reduktion af blodpladeaktiviteten.</w:t>
      </w:r>
    </w:p>
    <w:p w:rsidR="00367295" w:rsidRPr="00F4200A" w:rsidRDefault="00367295" w:rsidP="00367295">
      <w:pPr>
        <w:ind w:left="851"/>
        <w:rPr>
          <w:sz w:val="24"/>
          <w:szCs w:val="24"/>
          <w:lang w:eastAsia="da-DK"/>
        </w:rPr>
      </w:pPr>
      <w:r w:rsidRPr="00F4200A">
        <w:rPr>
          <w:sz w:val="24"/>
          <w:szCs w:val="24"/>
          <w:lang w:eastAsia="da-DK"/>
        </w:rPr>
        <w:t>Effekt: Øget risiko for blødninger.</w:t>
      </w:r>
    </w:p>
    <w:p w:rsidR="00367295" w:rsidRPr="00F4200A" w:rsidRDefault="00367295" w:rsidP="00367295">
      <w:pPr>
        <w:ind w:left="851"/>
        <w:rPr>
          <w:sz w:val="24"/>
          <w:szCs w:val="24"/>
          <w:lang w:eastAsia="da-DK"/>
        </w:rPr>
      </w:pPr>
    </w:p>
    <w:p w:rsidR="00367295" w:rsidRPr="00F4200A" w:rsidRDefault="00367295" w:rsidP="00367295">
      <w:pPr>
        <w:ind w:left="851"/>
        <w:rPr>
          <w:sz w:val="24"/>
          <w:szCs w:val="24"/>
          <w:lang w:eastAsia="da-DK"/>
        </w:rPr>
      </w:pPr>
      <w:r w:rsidRPr="00F4200A">
        <w:rPr>
          <w:sz w:val="24"/>
          <w:szCs w:val="24"/>
          <w:lang w:eastAsia="da-DK"/>
        </w:rPr>
        <w:t>Hvis to eller flere af de ovenfor nævnte stoffer indgives sammen med acetylsalicylsyre kan det medføre en synergieffekt med øget hæmning af blodpladeaktivitet og øget blødningstendens til følge.</w:t>
      </w:r>
    </w:p>
    <w:p w:rsidR="00367295" w:rsidRPr="00F4200A" w:rsidRDefault="00367295" w:rsidP="00367295">
      <w:pPr>
        <w:ind w:left="851"/>
        <w:rPr>
          <w:i/>
          <w:sz w:val="24"/>
          <w:szCs w:val="24"/>
          <w:lang w:eastAsia="da-DK"/>
        </w:rPr>
      </w:pPr>
    </w:p>
    <w:p w:rsidR="00367295" w:rsidRPr="00F4200A" w:rsidDel="00082715" w:rsidRDefault="00367295" w:rsidP="00367295">
      <w:pPr>
        <w:ind w:left="851"/>
        <w:rPr>
          <w:i/>
          <w:sz w:val="24"/>
          <w:szCs w:val="24"/>
          <w:lang w:eastAsia="da-DK"/>
        </w:rPr>
      </w:pPr>
      <w:r w:rsidRPr="00F4200A">
        <w:rPr>
          <w:i/>
          <w:sz w:val="24"/>
          <w:szCs w:val="24"/>
          <w:lang w:eastAsia="da-DK"/>
        </w:rPr>
        <w:t xml:space="preserve">NSAID og COX-2 </w:t>
      </w:r>
      <w:proofErr w:type="spellStart"/>
      <w:r w:rsidRPr="00F4200A">
        <w:rPr>
          <w:i/>
          <w:sz w:val="24"/>
          <w:szCs w:val="24"/>
          <w:lang w:eastAsia="da-DK"/>
        </w:rPr>
        <w:t>hæmmere</w:t>
      </w:r>
      <w:proofErr w:type="spellEnd"/>
      <w:r w:rsidRPr="00F4200A">
        <w:rPr>
          <w:i/>
          <w:sz w:val="24"/>
          <w:szCs w:val="24"/>
          <w:lang w:eastAsia="da-DK"/>
        </w:rPr>
        <w:t xml:space="preserve"> (</w:t>
      </w:r>
      <w:proofErr w:type="spellStart"/>
      <w:r w:rsidRPr="00F4200A">
        <w:rPr>
          <w:i/>
          <w:sz w:val="24"/>
          <w:szCs w:val="24"/>
          <w:lang w:eastAsia="da-DK"/>
        </w:rPr>
        <w:t>celecoxib</w:t>
      </w:r>
      <w:proofErr w:type="spellEnd"/>
      <w:r w:rsidRPr="00F4200A">
        <w:rPr>
          <w:i/>
          <w:sz w:val="24"/>
          <w:szCs w:val="24"/>
          <w:lang w:eastAsia="da-DK"/>
        </w:rPr>
        <w:t>)</w:t>
      </w:r>
    </w:p>
    <w:p w:rsidR="00367295" w:rsidRPr="00F4200A" w:rsidRDefault="00367295" w:rsidP="00367295">
      <w:pPr>
        <w:ind w:left="851"/>
        <w:rPr>
          <w:sz w:val="24"/>
          <w:szCs w:val="24"/>
          <w:lang w:eastAsia="da-DK"/>
        </w:rPr>
      </w:pPr>
      <w:r w:rsidRPr="00F4200A">
        <w:rPr>
          <w:sz w:val="24"/>
          <w:szCs w:val="24"/>
          <w:lang w:eastAsia="da-DK"/>
        </w:rPr>
        <w:t xml:space="preserve">Mulig mekanisme: Additiv </w:t>
      </w:r>
      <w:proofErr w:type="spellStart"/>
      <w:r w:rsidRPr="00F4200A">
        <w:rPr>
          <w:sz w:val="24"/>
          <w:szCs w:val="24"/>
          <w:lang w:eastAsia="da-DK"/>
        </w:rPr>
        <w:t>gastrointestinal</w:t>
      </w:r>
      <w:proofErr w:type="spellEnd"/>
      <w:r w:rsidRPr="00F4200A">
        <w:rPr>
          <w:sz w:val="24"/>
          <w:szCs w:val="24"/>
          <w:lang w:eastAsia="da-DK"/>
        </w:rPr>
        <w:t xml:space="preserve"> irritation.</w:t>
      </w:r>
    </w:p>
    <w:p w:rsidR="00367295" w:rsidRPr="00F4200A" w:rsidRDefault="00367295" w:rsidP="00367295">
      <w:pPr>
        <w:ind w:left="851"/>
        <w:rPr>
          <w:sz w:val="24"/>
          <w:szCs w:val="24"/>
          <w:lang w:eastAsia="da-DK"/>
        </w:rPr>
      </w:pPr>
      <w:r w:rsidRPr="00F4200A">
        <w:rPr>
          <w:sz w:val="24"/>
          <w:szCs w:val="24"/>
          <w:lang w:eastAsia="da-DK"/>
        </w:rPr>
        <w:t xml:space="preserve">Effekt: Øget risiko for </w:t>
      </w:r>
      <w:proofErr w:type="spellStart"/>
      <w:r w:rsidRPr="00F4200A">
        <w:rPr>
          <w:sz w:val="24"/>
          <w:szCs w:val="24"/>
          <w:lang w:eastAsia="da-DK"/>
        </w:rPr>
        <w:t>gastrointestinal</w:t>
      </w:r>
      <w:proofErr w:type="spellEnd"/>
      <w:r w:rsidRPr="00F4200A">
        <w:rPr>
          <w:sz w:val="24"/>
          <w:szCs w:val="24"/>
          <w:lang w:eastAsia="da-DK"/>
        </w:rPr>
        <w:t xml:space="preserve"> blødning.</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r w:rsidRPr="00F4200A">
        <w:rPr>
          <w:i/>
          <w:sz w:val="24"/>
          <w:szCs w:val="24"/>
          <w:lang w:eastAsia="da-DK"/>
        </w:rPr>
        <w:t>Ibuprofen</w:t>
      </w:r>
    </w:p>
    <w:p w:rsidR="00367295" w:rsidRPr="00F4200A" w:rsidRDefault="00367295" w:rsidP="00367295">
      <w:pPr>
        <w:ind w:left="851"/>
        <w:rPr>
          <w:sz w:val="24"/>
          <w:szCs w:val="24"/>
          <w:lang w:eastAsia="da-DK"/>
        </w:rPr>
      </w:pPr>
      <w:r w:rsidRPr="00F4200A">
        <w:rPr>
          <w:sz w:val="24"/>
          <w:szCs w:val="24"/>
          <w:lang w:eastAsia="da-DK"/>
        </w:rPr>
        <w:t xml:space="preserve">Eksperimentelle data tyder på, at ibuprofen muligvis </w:t>
      </w:r>
      <w:proofErr w:type="spellStart"/>
      <w:r w:rsidRPr="00F4200A">
        <w:rPr>
          <w:sz w:val="24"/>
          <w:szCs w:val="24"/>
          <w:lang w:eastAsia="da-DK"/>
        </w:rPr>
        <w:t>kompetitivt</w:t>
      </w:r>
      <w:proofErr w:type="spellEnd"/>
      <w:r w:rsidRPr="00F4200A">
        <w:rPr>
          <w:sz w:val="24"/>
          <w:szCs w:val="24"/>
          <w:lang w:eastAsia="da-DK"/>
        </w:rPr>
        <w:t xml:space="preserve"> hæmmer virkningen af lave doser acetylsalicylsyre på </w:t>
      </w:r>
      <w:proofErr w:type="spellStart"/>
      <w:r w:rsidRPr="00F4200A">
        <w:rPr>
          <w:sz w:val="24"/>
          <w:szCs w:val="24"/>
          <w:lang w:eastAsia="da-DK"/>
        </w:rPr>
        <w:t>trombocytaggregation</w:t>
      </w:r>
      <w:proofErr w:type="spellEnd"/>
      <w:r w:rsidRPr="00F4200A">
        <w:rPr>
          <w:sz w:val="24"/>
          <w:szCs w:val="24"/>
          <w:lang w:eastAsia="da-DK"/>
        </w:rPr>
        <w:t xml:space="preserve"> ved samtidig administration. Der er usikkerhed vedrørende ekstrapolation af disse data til den kliniske situation, men muligheden for, at regelmæssig langvarig behandling med ibuprofen kan nedsætte den </w:t>
      </w:r>
      <w:proofErr w:type="spellStart"/>
      <w:r w:rsidRPr="00F4200A">
        <w:rPr>
          <w:sz w:val="24"/>
          <w:szCs w:val="24"/>
          <w:lang w:eastAsia="da-DK"/>
        </w:rPr>
        <w:t>kardioprotektive</w:t>
      </w:r>
      <w:proofErr w:type="spellEnd"/>
      <w:r w:rsidRPr="00F4200A">
        <w:rPr>
          <w:sz w:val="24"/>
          <w:szCs w:val="24"/>
          <w:lang w:eastAsia="da-DK"/>
        </w:rPr>
        <w:t xml:space="preserve"> virkning af lavdosis acetylsalicylsyre, kan ikke udelukkes. En klinisk relevant virkning ved lejlighedsvis brug af ibuprofen anses ikke for at være sandsynlig (se pkt. 5.1).</w:t>
      </w:r>
    </w:p>
    <w:p w:rsidR="00367295" w:rsidRPr="00F4200A" w:rsidRDefault="00367295" w:rsidP="00367295">
      <w:pPr>
        <w:ind w:left="851"/>
        <w:rPr>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Furosemid</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Hæmning af den </w:t>
      </w:r>
      <w:proofErr w:type="spellStart"/>
      <w:r w:rsidRPr="00F4200A">
        <w:rPr>
          <w:sz w:val="24"/>
          <w:szCs w:val="24"/>
          <w:lang w:eastAsia="da-DK"/>
        </w:rPr>
        <w:t>proximale</w:t>
      </w:r>
      <w:proofErr w:type="spellEnd"/>
      <w:r w:rsidRPr="00F4200A">
        <w:rPr>
          <w:sz w:val="24"/>
          <w:szCs w:val="24"/>
          <w:lang w:eastAsia="da-DK"/>
        </w:rPr>
        <w:t xml:space="preserve"> </w:t>
      </w:r>
      <w:proofErr w:type="spellStart"/>
      <w:r w:rsidRPr="00F4200A">
        <w:rPr>
          <w:sz w:val="24"/>
          <w:szCs w:val="24"/>
          <w:lang w:eastAsia="da-DK"/>
        </w:rPr>
        <w:t>tubulære</w:t>
      </w:r>
      <w:proofErr w:type="spellEnd"/>
      <w:r w:rsidRPr="00F4200A">
        <w:rPr>
          <w:sz w:val="24"/>
          <w:szCs w:val="24"/>
          <w:lang w:eastAsia="da-DK"/>
        </w:rPr>
        <w:t xml:space="preserve"> udskillelse af </w:t>
      </w:r>
      <w:proofErr w:type="spellStart"/>
      <w:r w:rsidRPr="00F4200A">
        <w:rPr>
          <w:sz w:val="24"/>
          <w:szCs w:val="24"/>
          <w:lang w:eastAsia="da-DK"/>
        </w:rPr>
        <w:t>furosemid</w:t>
      </w:r>
      <w:proofErr w:type="spellEnd"/>
      <w:r w:rsidRPr="00F4200A">
        <w:rPr>
          <w:sz w:val="24"/>
          <w:szCs w:val="24"/>
          <w:lang w:eastAsia="da-DK"/>
        </w:rPr>
        <w:t>.</w:t>
      </w:r>
    </w:p>
    <w:p w:rsidR="00367295" w:rsidRPr="00F4200A" w:rsidRDefault="00367295" w:rsidP="00367295">
      <w:pPr>
        <w:ind w:left="851"/>
        <w:rPr>
          <w:sz w:val="24"/>
          <w:szCs w:val="24"/>
          <w:lang w:eastAsia="da-DK"/>
        </w:rPr>
      </w:pPr>
      <w:r w:rsidRPr="00F4200A">
        <w:rPr>
          <w:sz w:val="24"/>
          <w:szCs w:val="24"/>
          <w:lang w:eastAsia="da-DK"/>
        </w:rPr>
        <w:t>Effekt:</w:t>
      </w:r>
      <w:r w:rsidRPr="00F4200A" w:rsidDel="00082715">
        <w:rPr>
          <w:sz w:val="24"/>
          <w:szCs w:val="24"/>
          <w:lang w:eastAsia="da-DK"/>
        </w:rPr>
        <w:t xml:space="preserve"> </w:t>
      </w:r>
      <w:r w:rsidRPr="00F4200A">
        <w:rPr>
          <w:sz w:val="24"/>
          <w:szCs w:val="24"/>
          <w:lang w:eastAsia="da-DK"/>
        </w:rPr>
        <w:t xml:space="preserve">Reducerer </w:t>
      </w:r>
      <w:proofErr w:type="spellStart"/>
      <w:r w:rsidRPr="00F4200A">
        <w:rPr>
          <w:sz w:val="24"/>
          <w:szCs w:val="24"/>
          <w:lang w:eastAsia="da-DK"/>
        </w:rPr>
        <w:t>furosemids</w:t>
      </w:r>
      <w:proofErr w:type="spellEnd"/>
      <w:r w:rsidRPr="00F4200A">
        <w:rPr>
          <w:sz w:val="24"/>
          <w:szCs w:val="24"/>
          <w:lang w:eastAsia="da-DK"/>
        </w:rPr>
        <w:t xml:space="preserve"> diuretiske effekt.</w:t>
      </w:r>
    </w:p>
    <w:p w:rsidR="00367295" w:rsidRPr="00F4200A" w:rsidRDefault="00367295" w:rsidP="00367295">
      <w:pPr>
        <w:ind w:left="851"/>
        <w:rPr>
          <w:i/>
          <w:sz w:val="24"/>
          <w:szCs w:val="24"/>
          <w:lang w:eastAsia="da-DK"/>
        </w:rPr>
      </w:pPr>
    </w:p>
    <w:p w:rsidR="00367295" w:rsidRPr="00F4200A" w:rsidDel="001141EB" w:rsidRDefault="00367295" w:rsidP="00367295">
      <w:pPr>
        <w:ind w:left="851"/>
        <w:rPr>
          <w:i/>
          <w:spacing w:val="-3"/>
          <w:sz w:val="24"/>
          <w:szCs w:val="24"/>
          <w:lang w:eastAsia="da-DK"/>
        </w:rPr>
      </w:pPr>
      <w:proofErr w:type="spellStart"/>
      <w:r w:rsidRPr="00F4200A" w:rsidDel="001141EB">
        <w:rPr>
          <w:i/>
          <w:spacing w:val="-3"/>
          <w:sz w:val="24"/>
          <w:szCs w:val="24"/>
          <w:lang w:eastAsia="da-DK"/>
        </w:rPr>
        <w:t>Quinidin</w:t>
      </w:r>
      <w:proofErr w:type="spellEnd"/>
    </w:p>
    <w:p w:rsidR="00367295" w:rsidRPr="00F4200A" w:rsidDel="001141EB" w:rsidRDefault="00367295" w:rsidP="00367295">
      <w:pPr>
        <w:ind w:left="851"/>
        <w:rPr>
          <w:spacing w:val="-3"/>
          <w:sz w:val="24"/>
          <w:szCs w:val="24"/>
          <w:lang w:eastAsia="da-DK"/>
        </w:rPr>
      </w:pPr>
      <w:r w:rsidRPr="00F4200A" w:rsidDel="001141EB">
        <w:rPr>
          <w:spacing w:val="-3"/>
          <w:sz w:val="24"/>
          <w:szCs w:val="24"/>
          <w:lang w:eastAsia="da-DK"/>
        </w:rPr>
        <w:t>Mulig mekanisme: Additiv indvirkning på blodpladerne</w:t>
      </w:r>
      <w:r w:rsidRPr="00F4200A">
        <w:rPr>
          <w:spacing w:val="-3"/>
          <w:sz w:val="24"/>
          <w:szCs w:val="24"/>
          <w:lang w:eastAsia="da-DK"/>
        </w:rPr>
        <w:t>.</w:t>
      </w:r>
    </w:p>
    <w:p w:rsidR="00367295" w:rsidRPr="00F4200A" w:rsidRDefault="00367295" w:rsidP="00367295">
      <w:pPr>
        <w:ind w:left="851"/>
        <w:rPr>
          <w:spacing w:val="-3"/>
          <w:sz w:val="24"/>
          <w:szCs w:val="24"/>
          <w:lang w:eastAsia="da-DK"/>
        </w:rPr>
      </w:pPr>
      <w:r w:rsidRPr="00F4200A" w:rsidDel="001141EB">
        <w:rPr>
          <w:spacing w:val="-3"/>
          <w:sz w:val="24"/>
          <w:szCs w:val="24"/>
          <w:lang w:eastAsia="da-DK"/>
        </w:rPr>
        <w:t>Effekt: Forlænget blødningstid</w:t>
      </w:r>
      <w:r w:rsidRPr="00F4200A">
        <w:rPr>
          <w:spacing w:val="-3"/>
          <w:sz w:val="24"/>
          <w:szCs w:val="24"/>
          <w:lang w:eastAsia="da-DK"/>
        </w:rPr>
        <w:t>.</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Spironolacton</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Ændret </w:t>
      </w:r>
      <w:proofErr w:type="spellStart"/>
      <w:r w:rsidRPr="00F4200A">
        <w:rPr>
          <w:sz w:val="24"/>
          <w:szCs w:val="24"/>
          <w:lang w:eastAsia="da-DK"/>
        </w:rPr>
        <w:t>renineffekt</w:t>
      </w:r>
      <w:proofErr w:type="spellEnd"/>
      <w:r w:rsidRPr="00F4200A">
        <w:rPr>
          <w:sz w:val="24"/>
          <w:szCs w:val="24"/>
          <w:lang w:eastAsia="da-DK"/>
        </w:rPr>
        <w:t>.</w:t>
      </w:r>
    </w:p>
    <w:p w:rsidR="00367295" w:rsidRPr="00F4200A" w:rsidRDefault="00367295" w:rsidP="00367295">
      <w:pPr>
        <w:ind w:left="851"/>
        <w:rPr>
          <w:sz w:val="24"/>
          <w:szCs w:val="24"/>
          <w:lang w:eastAsia="da-DK"/>
        </w:rPr>
      </w:pPr>
      <w:r w:rsidRPr="00F4200A">
        <w:rPr>
          <w:sz w:val="24"/>
          <w:szCs w:val="24"/>
          <w:lang w:eastAsia="da-DK"/>
        </w:rPr>
        <w:t xml:space="preserve">Effekt: Nedsat effekt af </w:t>
      </w:r>
      <w:proofErr w:type="spellStart"/>
      <w:r w:rsidRPr="00F4200A">
        <w:rPr>
          <w:sz w:val="24"/>
          <w:szCs w:val="24"/>
          <w:lang w:eastAsia="da-DK"/>
        </w:rPr>
        <w:t>spironolacton</w:t>
      </w:r>
      <w:proofErr w:type="spellEnd"/>
      <w:r w:rsidRPr="00F4200A">
        <w:rPr>
          <w:sz w:val="24"/>
          <w:szCs w:val="24"/>
          <w:lang w:eastAsia="da-DK"/>
        </w:rPr>
        <w:t>.</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r w:rsidRPr="00F4200A">
        <w:rPr>
          <w:i/>
          <w:sz w:val="24"/>
          <w:szCs w:val="24"/>
          <w:lang w:eastAsia="da-DK"/>
        </w:rPr>
        <w:t>SSRI</w:t>
      </w:r>
    </w:p>
    <w:p w:rsidR="00367295" w:rsidRPr="00F4200A" w:rsidRDefault="00367295" w:rsidP="00367295">
      <w:pPr>
        <w:ind w:left="851"/>
        <w:rPr>
          <w:spacing w:val="-3"/>
          <w:sz w:val="24"/>
          <w:szCs w:val="24"/>
          <w:lang w:eastAsia="da-DK"/>
        </w:rPr>
      </w:pPr>
      <w:r w:rsidRPr="00F4200A">
        <w:rPr>
          <w:spacing w:val="-3"/>
          <w:sz w:val="24"/>
          <w:szCs w:val="24"/>
          <w:lang w:eastAsia="da-DK"/>
        </w:rPr>
        <w:t>Mulig mekanisme:</w:t>
      </w:r>
      <w:r w:rsidRPr="00F4200A">
        <w:rPr>
          <w:sz w:val="24"/>
          <w:szCs w:val="24"/>
          <w:lang w:eastAsia="da-DK"/>
        </w:rPr>
        <w:t xml:space="preserve"> Additiv </w:t>
      </w:r>
      <w:proofErr w:type="spellStart"/>
      <w:r w:rsidRPr="00F4200A">
        <w:rPr>
          <w:sz w:val="24"/>
          <w:szCs w:val="24"/>
          <w:lang w:eastAsia="da-DK"/>
        </w:rPr>
        <w:t>gastrointestinal</w:t>
      </w:r>
      <w:proofErr w:type="spellEnd"/>
      <w:r w:rsidRPr="00F4200A">
        <w:rPr>
          <w:sz w:val="24"/>
          <w:szCs w:val="24"/>
          <w:lang w:eastAsia="da-DK"/>
        </w:rPr>
        <w:t xml:space="preserve"> irritation.</w:t>
      </w:r>
    </w:p>
    <w:p w:rsidR="00367295" w:rsidRPr="00F4200A" w:rsidRDefault="00367295" w:rsidP="00367295">
      <w:pPr>
        <w:ind w:left="851"/>
        <w:rPr>
          <w:spacing w:val="-3"/>
          <w:sz w:val="24"/>
          <w:szCs w:val="24"/>
          <w:lang w:eastAsia="da-DK"/>
        </w:rPr>
      </w:pPr>
      <w:r w:rsidRPr="00F4200A">
        <w:rPr>
          <w:spacing w:val="-3"/>
          <w:sz w:val="24"/>
          <w:szCs w:val="24"/>
          <w:lang w:eastAsia="da-DK"/>
        </w:rPr>
        <w:t xml:space="preserve">Effekt: Øget risiko for </w:t>
      </w:r>
      <w:proofErr w:type="spellStart"/>
      <w:r w:rsidRPr="00F4200A">
        <w:rPr>
          <w:spacing w:val="-3"/>
          <w:sz w:val="24"/>
          <w:szCs w:val="24"/>
          <w:lang w:eastAsia="da-DK"/>
        </w:rPr>
        <w:t>gastrointestinal</w:t>
      </w:r>
      <w:proofErr w:type="spellEnd"/>
      <w:r w:rsidRPr="00F4200A">
        <w:rPr>
          <w:spacing w:val="-3"/>
          <w:sz w:val="24"/>
          <w:szCs w:val="24"/>
          <w:lang w:eastAsia="da-DK"/>
        </w:rPr>
        <w:t xml:space="preserve"> blødning.</w:t>
      </w:r>
    </w:p>
    <w:p w:rsidR="00367295" w:rsidRPr="00F4200A" w:rsidRDefault="00367295" w:rsidP="00367295">
      <w:pPr>
        <w:ind w:left="851"/>
        <w:rPr>
          <w:i/>
          <w:spacing w:val="-3"/>
          <w:sz w:val="24"/>
          <w:szCs w:val="24"/>
          <w:lang w:eastAsia="da-DK"/>
        </w:rPr>
      </w:pPr>
    </w:p>
    <w:p w:rsidR="00367295" w:rsidRPr="00F4200A" w:rsidRDefault="00367295" w:rsidP="00367295">
      <w:pPr>
        <w:ind w:left="851"/>
        <w:rPr>
          <w:spacing w:val="-3"/>
          <w:sz w:val="24"/>
          <w:szCs w:val="24"/>
          <w:lang w:eastAsia="da-DK"/>
        </w:rPr>
      </w:pPr>
      <w:proofErr w:type="spellStart"/>
      <w:r w:rsidRPr="00F4200A">
        <w:rPr>
          <w:i/>
          <w:spacing w:val="-3"/>
          <w:sz w:val="24"/>
          <w:szCs w:val="24"/>
          <w:lang w:eastAsia="da-DK"/>
        </w:rPr>
        <w:t>Valproat</w:t>
      </w:r>
      <w:proofErr w:type="spellEnd"/>
    </w:p>
    <w:p w:rsidR="00367295" w:rsidRPr="00F4200A" w:rsidRDefault="00367295" w:rsidP="00367295">
      <w:pPr>
        <w:ind w:left="851"/>
        <w:rPr>
          <w:spacing w:val="-3"/>
          <w:sz w:val="24"/>
          <w:szCs w:val="24"/>
          <w:lang w:eastAsia="da-DK"/>
        </w:rPr>
      </w:pPr>
      <w:r w:rsidRPr="00F4200A">
        <w:rPr>
          <w:spacing w:val="-3"/>
          <w:sz w:val="24"/>
          <w:szCs w:val="24"/>
          <w:lang w:eastAsia="da-DK"/>
        </w:rPr>
        <w:t xml:space="preserve">Mulig mekanisme: Acetylsalicylsyre ændrer binding og metabolisme for </w:t>
      </w:r>
      <w:proofErr w:type="spellStart"/>
      <w:r w:rsidRPr="00F4200A">
        <w:rPr>
          <w:spacing w:val="-3"/>
          <w:sz w:val="24"/>
          <w:szCs w:val="24"/>
          <w:lang w:eastAsia="da-DK"/>
        </w:rPr>
        <w:t>valproat</w:t>
      </w:r>
      <w:proofErr w:type="spellEnd"/>
      <w:r w:rsidRPr="00F4200A">
        <w:rPr>
          <w:spacing w:val="-3"/>
          <w:sz w:val="24"/>
          <w:szCs w:val="24"/>
          <w:lang w:eastAsia="da-DK"/>
        </w:rPr>
        <w:t>.</w:t>
      </w:r>
    </w:p>
    <w:p w:rsidR="00367295" w:rsidRPr="00F4200A" w:rsidRDefault="00367295" w:rsidP="00367295">
      <w:pPr>
        <w:ind w:left="851"/>
        <w:rPr>
          <w:spacing w:val="-3"/>
          <w:sz w:val="24"/>
          <w:szCs w:val="24"/>
          <w:lang w:eastAsia="da-DK"/>
        </w:rPr>
      </w:pPr>
      <w:r w:rsidRPr="00F4200A">
        <w:rPr>
          <w:spacing w:val="-3"/>
          <w:sz w:val="24"/>
          <w:szCs w:val="24"/>
          <w:lang w:eastAsia="da-DK"/>
        </w:rPr>
        <w:t xml:space="preserve">Effekt: </w:t>
      </w:r>
      <w:proofErr w:type="spellStart"/>
      <w:r w:rsidRPr="00F4200A">
        <w:rPr>
          <w:spacing w:val="-3"/>
          <w:sz w:val="24"/>
          <w:szCs w:val="24"/>
          <w:lang w:eastAsia="da-DK"/>
        </w:rPr>
        <w:t>Valproat</w:t>
      </w:r>
      <w:proofErr w:type="spellEnd"/>
      <w:r w:rsidRPr="00F4200A">
        <w:rPr>
          <w:spacing w:val="-3"/>
          <w:sz w:val="24"/>
          <w:szCs w:val="24"/>
          <w:lang w:eastAsia="da-DK"/>
        </w:rPr>
        <w:t xml:space="preserve"> toksicitet (</w:t>
      </w:r>
      <w:proofErr w:type="gramStart"/>
      <w:r w:rsidRPr="00F4200A">
        <w:rPr>
          <w:spacing w:val="-3"/>
          <w:sz w:val="24"/>
          <w:szCs w:val="24"/>
          <w:lang w:eastAsia="da-DK"/>
        </w:rPr>
        <w:t>CNS depression</w:t>
      </w:r>
      <w:proofErr w:type="gramEnd"/>
      <w:r w:rsidRPr="00F4200A">
        <w:rPr>
          <w:spacing w:val="-3"/>
          <w:sz w:val="24"/>
          <w:szCs w:val="24"/>
          <w:lang w:eastAsia="da-DK"/>
        </w:rPr>
        <w:t xml:space="preserve">, </w:t>
      </w:r>
      <w:proofErr w:type="spellStart"/>
      <w:r w:rsidRPr="00F4200A">
        <w:rPr>
          <w:spacing w:val="-3"/>
          <w:sz w:val="24"/>
          <w:szCs w:val="24"/>
          <w:lang w:eastAsia="da-DK"/>
        </w:rPr>
        <w:t>gastrointestinale</w:t>
      </w:r>
      <w:proofErr w:type="spellEnd"/>
      <w:r w:rsidRPr="00F4200A">
        <w:rPr>
          <w:spacing w:val="-3"/>
          <w:sz w:val="24"/>
          <w:szCs w:val="24"/>
          <w:lang w:eastAsia="da-DK"/>
        </w:rPr>
        <w:t xml:space="preserve"> gener).</w:t>
      </w:r>
    </w:p>
    <w:p w:rsidR="00367295" w:rsidRPr="00F4200A" w:rsidRDefault="00367295" w:rsidP="00367295">
      <w:pPr>
        <w:ind w:left="851"/>
        <w:rPr>
          <w:sz w:val="24"/>
          <w:szCs w:val="24"/>
          <w:lang w:eastAsia="da-DK"/>
        </w:rPr>
      </w:pPr>
      <w:r w:rsidRPr="00F4200A">
        <w:rPr>
          <w:sz w:val="24"/>
          <w:szCs w:val="24"/>
          <w:lang w:eastAsia="da-DK"/>
        </w:rPr>
        <w:t xml:space="preserve">Kombinationen kan kræve dosisjustering af </w:t>
      </w:r>
      <w:proofErr w:type="spellStart"/>
      <w:r w:rsidRPr="00F4200A">
        <w:rPr>
          <w:sz w:val="24"/>
          <w:szCs w:val="24"/>
          <w:lang w:eastAsia="da-DK"/>
        </w:rPr>
        <w:t>valproat</w:t>
      </w:r>
      <w:proofErr w:type="spellEnd"/>
      <w:r w:rsidRPr="00F4200A">
        <w:rPr>
          <w:sz w:val="24"/>
          <w:szCs w:val="24"/>
          <w:lang w:eastAsia="da-DK"/>
        </w:rPr>
        <w:t>.</w:t>
      </w:r>
    </w:p>
    <w:p w:rsidR="00367295" w:rsidRPr="00F4200A" w:rsidRDefault="00367295" w:rsidP="00367295">
      <w:pPr>
        <w:ind w:left="851"/>
        <w:rPr>
          <w:i/>
          <w:sz w:val="24"/>
          <w:szCs w:val="24"/>
          <w:lang w:eastAsia="da-DK"/>
        </w:rPr>
      </w:pPr>
    </w:p>
    <w:p w:rsidR="00367295" w:rsidRPr="00F4200A" w:rsidRDefault="00367295" w:rsidP="00367295">
      <w:pPr>
        <w:ind w:left="851"/>
        <w:rPr>
          <w:i/>
          <w:spacing w:val="-3"/>
          <w:sz w:val="24"/>
          <w:szCs w:val="24"/>
          <w:lang w:eastAsia="da-DK"/>
        </w:rPr>
      </w:pPr>
      <w:proofErr w:type="spellStart"/>
      <w:r w:rsidRPr="00F4200A">
        <w:rPr>
          <w:i/>
          <w:spacing w:val="-3"/>
          <w:sz w:val="24"/>
          <w:szCs w:val="24"/>
          <w:lang w:eastAsia="da-DK"/>
        </w:rPr>
        <w:t>Kortikosteroider</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Additiv </w:t>
      </w:r>
      <w:proofErr w:type="spellStart"/>
      <w:r w:rsidRPr="00F4200A">
        <w:rPr>
          <w:sz w:val="24"/>
          <w:szCs w:val="24"/>
          <w:lang w:eastAsia="da-DK"/>
        </w:rPr>
        <w:t>gastrointestinal</w:t>
      </w:r>
      <w:proofErr w:type="spellEnd"/>
      <w:r w:rsidRPr="00F4200A">
        <w:rPr>
          <w:sz w:val="24"/>
          <w:szCs w:val="24"/>
          <w:lang w:eastAsia="da-DK"/>
        </w:rPr>
        <w:t xml:space="preserve"> irritation, samt øgning af </w:t>
      </w:r>
      <w:proofErr w:type="spellStart"/>
      <w:r w:rsidRPr="00F4200A">
        <w:rPr>
          <w:sz w:val="24"/>
          <w:szCs w:val="24"/>
          <w:lang w:eastAsia="da-DK"/>
        </w:rPr>
        <w:t>renal</w:t>
      </w:r>
      <w:proofErr w:type="spellEnd"/>
      <w:r w:rsidRPr="00F4200A">
        <w:rPr>
          <w:sz w:val="24"/>
          <w:szCs w:val="24"/>
          <w:lang w:eastAsia="da-DK"/>
        </w:rPr>
        <w:t xml:space="preserve"> </w:t>
      </w:r>
      <w:proofErr w:type="spellStart"/>
      <w:r w:rsidRPr="00F4200A">
        <w:rPr>
          <w:sz w:val="24"/>
          <w:szCs w:val="24"/>
          <w:lang w:eastAsia="da-DK"/>
        </w:rPr>
        <w:t>clearance</w:t>
      </w:r>
      <w:proofErr w:type="spellEnd"/>
      <w:r w:rsidRPr="00F4200A">
        <w:rPr>
          <w:sz w:val="24"/>
          <w:szCs w:val="24"/>
          <w:lang w:eastAsia="da-DK"/>
        </w:rPr>
        <w:t xml:space="preserve"> eller </w:t>
      </w:r>
      <w:proofErr w:type="spellStart"/>
      <w:r w:rsidRPr="00F4200A">
        <w:rPr>
          <w:sz w:val="24"/>
          <w:szCs w:val="24"/>
          <w:lang w:eastAsia="da-DK"/>
        </w:rPr>
        <w:t>metabolisering</w:t>
      </w:r>
      <w:proofErr w:type="spellEnd"/>
      <w:r w:rsidRPr="00F4200A">
        <w:rPr>
          <w:sz w:val="24"/>
          <w:szCs w:val="24"/>
          <w:lang w:eastAsia="da-DK"/>
        </w:rPr>
        <w:t xml:space="preserve"> af </w:t>
      </w:r>
      <w:proofErr w:type="spellStart"/>
      <w:r w:rsidRPr="00F4200A">
        <w:rPr>
          <w:sz w:val="24"/>
          <w:szCs w:val="24"/>
          <w:lang w:eastAsia="da-DK"/>
        </w:rPr>
        <w:t>salicylater</w:t>
      </w:r>
      <w:proofErr w:type="spellEnd"/>
      <w:r w:rsidRPr="00F4200A">
        <w:rPr>
          <w:sz w:val="24"/>
          <w:szCs w:val="24"/>
          <w:lang w:eastAsia="da-DK"/>
        </w:rPr>
        <w:t xml:space="preserve">. </w:t>
      </w:r>
    </w:p>
    <w:p w:rsidR="00367295" w:rsidRPr="00F4200A" w:rsidRDefault="00367295" w:rsidP="00367295">
      <w:pPr>
        <w:ind w:left="851"/>
        <w:rPr>
          <w:sz w:val="24"/>
          <w:szCs w:val="24"/>
          <w:lang w:eastAsia="da-DK"/>
        </w:rPr>
      </w:pPr>
      <w:r w:rsidRPr="00F4200A">
        <w:rPr>
          <w:sz w:val="24"/>
          <w:szCs w:val="24"/>
          <w:lang w:eastAsia="da-DK"/>
        </w:rPr>
        <w:t xml:space="preserve">Effekt: Øget risiko for </w:t>
      </w:r>
      <w:proofErr w:type="spellStart"/>
      <w:r w:rsidRPr="00F4200A">
        <w:rPr>
          <w:sz w:val="24"/>
          <w:szCs w:val="24"/>
          <w:lang w:eastAsia="da-DK"/>
        </w:rPr>
        <w:t>gastrointestinalt</w:t>
      </w:r>
      <w:proofErr w:type="spellEnd"/>
      <w:r w:rsidRPr="00F4200A">
        <w:rPr>
          <w:sz w:val="24"/>
          <w:szCs w:val="24"/>
          <w:lang w:eastAsia="da-DK"/>
        </w:rPr>
        <w:t xml:space="preserve"> ulcus og subterapeutisk plasmakoncentration af </w:t>
      </w:r>
      <w:proofErr w:type="spellStart"/>
      <w:r w:rsidRPr="00F4200A">
        <w:rPr>
          <w:sz w:val="24"/>
          <w:szCs w:val="24"/>
          <w:lang w:eastAsia="da-DK"/>
        </w:rPr>
        <w:t>salicylat</w:t>
      </w:r>
      <w:proofErr w:type="spellEnd"/>
      <w:r w:rsidRPr="00F4200A">
        <w:rPr>
          <w:sz w:val="24"/>
          <w:szCs w:val="24"/>
          <w:lang w:eastAsia="da-DK"/>
        </w:rPr>
        <w:t>.</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nb-NO"/>
        </w:rPr>
      </w:pPr>
      <w:proofErr w:type="spellStart"/>
      <w:r w:rsidRPr="00F4200A">
        <w:rPr>
          <w:i/>
          <w:sz w:val="24"/>
          <w:szCs w:val="24"/>
          <w:lang w:eastAsia="nb-NO"/>
        </w:rPr>
        <w:t>Antidiabetika</w:t>
      </w:r>
      <w:proofErr w:type="spellEnd"/>
    </w:p>
    <w:p w:rsidR="00367295" w:rsidRPr="00F4200A" w:rsidDel="001141EB" w:rsidRDefault="00367295" w:rsidP="00367295">
      <w:pPr>
        <w:tabs>
          <w:tab w:val="left" w:pos="851"/>
        </w:tabs>
        <w:ind w:left="851"/>
        <w:rPr>
          <w:spacing w:val="-3"/>
          <w:sz w:val="24"/>
          <w:szCs w:val="24"/>
          <w:lang w:eastAsia="da-DK"/>
        </w:rPr>
      </w:pPr>
      <w:r w:rsidRPr="00F4200A" w:rsidDel="001141EB">
        <w:rPr>
          <w:spacing w:val="-3"/>
          <w:sz w:val="24"/>
          <w:szCs w:val="24"/>
          <w:lang w:eastAsia="da-DK"/>
        </w:rPr>
        <w:t>Mulig mekanisme: Add</w:t>
      </w:r>
      <w:r w:rsidRPr="00F4200A">
        <w:rPr>
          <w:spacing w:val="-3"/>
          <w:sz w:val="24"/>
          <w:szCs w:val="24"/>
          <w:lang w:eastAsia="da-DK"/>
        </w:rPr>
        <w:t xml:space="preserve">itiv </w:t>
      </w:r>
      <w:proofErr w:type="spellStart"/>
      <w:r w:rsidRPr="00F4200A">
        <w:rPr>
          <w:spacing w:val="-3"/>
          <w:sz w:val="24"/>
          <w:szCs w:val="24"/>
          <w:lang w:eastAsia="da-DK"/>
        </w:rPr>
        <w:t>hypoglyk</w:t>
      </w:r>
      <w:r w:rsidRPr="00F4200A" w:rsidDel="001141EB">
        <w:rPr>
          <w:spacing w:val="-3"/>
          <w:sz w:val="24"/>
          <w:szCs w:val="24"/>
          <w:lang w:eastAsia="da-DK"/>
        </w:rPr>
        <w:t>æmisk</w:t>
      </w:r>
      <w:proofErr w:type="spellEnd"/>
      <w:r w:rsidRPr="00F4200A" w:rsidDel="001141EB">
        <w:rPr>
          <w:spacing w:val="-3"/>
          <w:sz w:val="24"/>
          <w:szCs w:val="24"/>
          <w:lang w:eastAsia="da-DK"/>
        </w:rPr>
        <w:t xml:space="preserve"> effekt</w:t>
      </w:r>
      <w:r w:rsidRPr="00F4200A">
        <w:rPr>
          <w:spacing w:val="-3"/>
          <w:sz w:val="24"/>
          <w:szCs w:val="24"/>
          <w:lang w:eastAsia="da-DK"/>
        </w:rPr>
        <w:t>.</w:t>
      </w:r>
    </w:p>
    <w:p w:rsidR="00367295" w:rsidRPr="00F4200A" w:rsidRDefault="00367295" w:rsidP="00367295">
      <w:pPr>
        <w:tabs>
          <w:tab w:val="left" w:pos="851"/>
        </w:tabs>
        <w:ind w:left="851"/>
        <w:rPr>
          <w:i/>
          <w:spacing w:val="-3"/>
          <w:sz w:val="24"/>
          <w:szCs w:val="24"/>
          <w:lang w:eastAsia="da-DK"/>
        </w:rPr>
      </w:pPr>
      <w:r w:rsidRPr="00F4200A" w:rsidDel="001141EB">
        <w:rPr>
          <w:spacing w:val="-3"/>
          <w:sz w:val="24"/>
          <w:szCs w:val="24"/>
          <w:lang w:eastAsia="da-DK"/>
        </w:rPr>
        <w:t>Effek</w:t>
      </w:r>
      <w:r w:rsidRPr="00F4200A">
        <w:rPr>
          <w:spacing w:val="-3"/>
          <w:sz w:val="24"/>
          <w:szCs w:val="24"/>
          <w:lang w:eastAsia="da-DK"/>
        </w:rPr>
        <w:t>t</w:t>
      </w:r>
      <w:r w:rsidRPr="00F4200A" w:rsidDel="001141EB">
        <w:rPr>
          <w:spacing w:val="-3"/>
          <w:sz w:val="24"/>
          <w:szCs w:val="24"/>
          <w:lang w:eastAsia="da-DK"/>
        </w:rPr>
        <w:t xml:space="preserve">: </w:t>
      </w:r>
      <w:r w:rsidRPr="00F4200A">
        <w:rPr>
          <w:spacing w:val="-3"/>
          <w:sz w:val="24"/>
          <w:szCs w:val="24"/>
          <w:lang w:eastAsia="da-DK"/>
        </w:rPr>
        <w:t>Hypoglyk</w:t>
      </w:r>
      <w:r w:rsidRPr="00F4200A" w:rsidDel="001141EB">
        <w:rPr>
          <w:spacing w:val="-3"/>
          <w:sz w:val="24"/>
          <w:szCs w:val="24"/>
          <w:lang w:eastAsia="da-DK"/>
        </w:rPr>
        <w:t>æmi</w:t>
      </w:r>
      <w:r w:rsidRPr="00F4200A">
        <w:rPr>
          <w:spacing w:val="-3"/>
          <w:sz w:val="24"/>
          <w:szCs w:val="24"/>
          <w:lang w:eastAsia="da-DK"/>
        </w:rPr>
        <w:t xml:space="preserve">. </w:t>
      </w:r>
    </w:p>
    <w:p w:rsidR="00367295" w:rsidRPr="00F4200A" w:rsidRDefault="00367295" w:rsidP="00367295">
      <w:pPr>
        <w:ind w:left="851"/>
        <w:rPr>
          <w:i/>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Antacida</w:t>
      </w:r>
      <w:proofErr w:type="spellEnd"/>
    </w:p>
    <w:p w:rsidR="00367295" w:rsidRPr="00F4200A" w:rsidDel="001141EB" w:rsidRDefault="00367295" w:rsidP="00367295">
      <w:pPr>
        <w:tabs>
          <w:tab w:val="left" w:pos="851"/>
        </w:tabs>
        <w:ind w:left="851"/>
        <w:rPr>
          <w:spacing w:val="-3"/>
          <w:sz w:val="24"/>
          <w:szCs w:val="24"/>
          <w:lang w:eastAsia="da-DK"/>
        </w:rPr>
      </w:pPr>
      <w:r w:rsidRPr="00F4200A" w:rsidDel="001141EB">
        <w:rPr>
          <w:spacing w:val="-3"/>
          <w:sz w:val="24"/>
          <w:szCs w:val="24"/>
          <w:lang w:eastAsia="da-DK"/>
        </w:rPr>
        <w:t xml:space="preserve">Mulig mekanisme: Øget </w:t>
      </w:r>
      <w:proofErr w:type="spellStart"/>
      <w:r w:rsidRPr="00F4200A" w:rsidDel="001141EB">
        <w:rPr>
          <w:spacing w:val="-3"/>
          <w:sz w:val="24"/>
          <w:szCs w:val="24"/>
          <w:lang w:eastAsia="da-DK"/>
        </w:rPr>
        <w:t>renal</w:t>
      </w:r>
      <w:proofErr w:type="spellEnd"/>
      <w:r w:rsidRPr="00F4200A" w:rsidDel="001141EB">
        <w:rPr>
          <w:spacing w:val="-3"/>
          <w:sz w:val="24"/>
          <w:szCs w:val="24"/>
          <w:lang w:eastAsia="da-DK"/>
        </w:rPr>
        <w:t xml:space="preserve"> </w:t>
      </w:r>
      <w:proofErr w:type="spellStart"/>
      <w:r w:rsidRPr="00F4200A" w:rsidDel="001141EB">
        <w:rPr>
          <w:spacing w:val="-3"/>
          <w:sz w:val="24"/>
          <w:szCs w:val="24"/>
          <w:lang w:eastAsia="da-DK"/>
        </w:rPr>
        <w:t>clearance</w:t>
      </w:r>
      <w:proofErr w:type="spellEnd"/>
      <w:r w:rsidRPr="00F4200A" w:rsidDel="001141EB">
        <w:rPr>
          <w:spacing w:val="-3"/>
          <w:sz w:val="24"/>
          <w:szCs w:val="24"/>
          <w:lang w:eastAsia="da-DK"/>
        </w:rPr>
        <w:t xml:space="preserve"> og reduceret </w:t>
      </w:r>
      <w:proofErr w:type="spellStart"/>
      <w:r w:rsidRPr="00F4200A" w:rsidDel="001141EB">
        <w:rPr>
          <w:spacing w:val="-3"/>
          <w:sz w:val="24"/>
          <w:szCs w:val="24"/>
          <w:lang w:eastAsia="da-DK"/>
        </w:rPr>
        <w:t>renal</w:t>
      </w:r>
      <w:proofErr w:type="spellEnd"/>
      <w:r w:rsidRPr="00F4200A" w:rsidDel="001141EB">
        <w:rPr>
          <w:spacing w:val="-3"/>
          <w:sz w:val="24"/>
          <w:szCs w:val="24"/>
          <w:lang w:eastAsia="da-DK"/>
        </w:rPr>
        <w:t xml:space="preserve"> absorption (på grund af øget pH i urinen)</w:t>
      </w:r>
      <w:r w:rsidRPr="00F4200A">
        <w:rPr>
          <w:spacing w:val="-3"/>
          <w:sz w:val="24"/>
          <w:szCs w:val="24"/>
          <w:lang w:eastAsia="da-DK"/>
        </w:rPr>
        <w:t>.</w:t>
      </w:r>
    </w:p>
    <w:p w:rsidR="00367295" w:rsidRPr="00F4200A" w:rsidRDefault="00367295" w:rsidP="00367295">
      <w:pPr>
        <w:tabs>
          <w:tab w:val="left" w:pos="851"/>
        </w:tabs>
        <w:ind w:left="851"/>
        <w:rPr>
          <w:spacing w:val="-3"/>
          <w:sz w:val="24"/>
          <w:szCs w:val="24"/>
          <w:lang w:eastAsia="da-DK"/>
        </w:rPr>
      </w:pPr>
      <w:r w:rsidRPr="00F4200A" w:rsidDel="001141EB">
        <w:rPr>
          <w:spacing w:val="-3"/>
          <w:sz w:val="24"/>
          <w:szCs w:val="24"/>
          <w:lang w:eastAsia="da-DK"/>
        </w:rPr>
        <w:t xml:space="preserve">Effekt: Reduceret effekt af </w:t>
      </w:r>
      <w:r w:rsidRPr="00F4200A">
        <w:rPr>
          <w:spacing w:val="-3"/>
          <w:sz w:val="24"/>
          <w:szCs w:val="24"/>
          <w:lang w:eastAsia="da-DK"/>
        </w:rPr>
        <w:t>acetylsalicylsyre.</w:t>
      </w:r>
    </w:p>
    <w:p w:rsidR="00367295" w:rsidRPr="00F4200A" w:rsidRDefault="00367295" w:rsidP="00367295">
      <w:pPr>
        <w:ind w:left="851"/>
        <w:rPr>
          <w:i/>
          <w:sz w:val="24"/>
          <w:szCs w:val="24"/>
          <w:lang w:eastAsia="da-DK"/>
        </w:rPr>
      </w:pPr>
    </w:p>
    <w:p w:rsidR="00367295" w:rsidRPr="00F4200A" w:rsidRDefault="00367295" w:rsidP="00367295">
      <w:pPr>
        <w:ind w:left="851"/>
        <w:rPr>
          <w:i/>
          <w:spacing w:val="-3"/>
          <w:sz w:val="24"/>
          <w:szCs w:val="24"/>
          <w:lang w:eastAsia="da-DK"/>
        </w:rPr>
      </w:pPr>
      <w:proofErr w:type="spellStart"/>
      <w:r w:rsidRPr="00F4200A">
        <w:rPr>
          <w:i/>
          <w:spacing w:val="-3"/>
          <w:sz w:val="24"/>
          <w:szCs w:val="24"/>
          <w:lang w:eastAsia="da-DK"/>
        </w:rPr>
        <w:t>Varicella</w:t>
      </w:r>
      <w:proofErr w:type="spellEnd"/>
      <w:r w:rsidRPr="00F4200A">
        <w:rPr>
          <w:i/>
          <w:spacing w:val="-3"/>
          <w:sz w:val="24"/>
          <w:szCs w:val="24"/>
          <w:lang w:eastAsia="da-DK"/>
        </w:rPr>
        <w:t xml:space="preserve"> vaccine</w:t>
      </w:r>
    </w:p>
    <w:p w:rsidR="00367295" w:rsidRPr="00F4200A" w:rsidRDefault="00367295" w:rsidP="00367295">
      <w:pPr>
        <w:ind w:left="851"/>
        <w:rPr>
          <w:sz w:val="24"/>
          <w:szCs w:val="24"/>
          <w:lang w:eastAsia="da-DK"/>
        </w:rPr>
      </w:pPr>
      <w:r w:rsidRPr="00F4200A">
        <w:rPr>
          <w:sz w:val="24"/>
          <w:szCs w:val="24"/>
          <w:lang w:eastAsia="da-DK"/>
        </w:rPr>
        <w:t>Mekanisme: Ukendt.</w:t>
      </w:r>
    </w:p>
    <w:p w:rsidR="00367295" w:rsidRPr="00F4200A" w:rsidRDefault="00367295" w:rsidP="00367295">
      <w:pPr>
        <w:ind w:left="851"/>
        <w:rPr>
          <w:sz w:val="24"/>
          <w:szCs w:val="24"/>
          <w:lang w:eastAsia="da-DK"/>
        </w:rPr>
      </w:pPr>
      <w:r w:rsidRPr="00F4200A">
        <w:rPr>
          <w:sz w:val="24"/>
          <w:szCs w:val="24"/>
          <w:lang w:eastAsia="da-DK"/>
        </w:rPr>
        <w:t xml:space="preserve">Effekt: Øget risiko for udvikling af Reyes syndrom. </w:t>
      </w:r>
    </w:p>
    <w:p w:rsidR="00367295" w:rsidRPr="00F4200A" w:rsidRDefault="00367295" w:rsidP="00367295">
      <w:pPr>
        <w:ind w:left="851"/>
        <w:rPr>
          <w:sz w:val="24"/>
          <w:szCs w:val="24"/>
          <w:lang w:eastAsia="da-DK"/>
        </w:rPr>
      </w:pPr>
    </w:p>
    <w:p w:rsidR="00367295" w:rsidRPr="00F4200A" w:rsidRDefault="00367295" w:rsidP="00367295">
      <w:pPr>
        <w:ind w:left="851"/>
        <w:rPr>
          <w:i/>
          <w:sz w:val="24"/>
          <w:szCs w:val="24"/>
          <w:lang w:eastAsia="da-DK"/>
        </w:rPr>
      </w:pPr>
      <w:proofErr w:type="spellStart"/>
      <w:r w:rsidRPr="00F4200A">
        <w:rPr>
          <w:i/>
          <w:sz w:val="24"/>
          <w:szCs w:val="24"/>
          <w:lang w:eastAsia="da-DK"/>
        </w:rPr>
        <w:t>Ginkgo</w:t>
      </w:r>
      <w:proofErr w:type="spellEnd"/>
      <w:r w:rsidRPr="00F4200A">
        <w:rPr>
          <w:i/>
          <w:sz w:val="24"/>
          <w:szCs w:val="24"/>
          <w:lang w:eastAsia="da-DK"/>
        </w:rPr>
        <w:t xml:space="preserve"> </w:t>
      </w:r>
      <w:proofErr w:type="spellStart"/>
      <w:r w:rsidRPr="00F4200A">
        <w:rPr>
          <w:i/>
          <w:sz w:val="24"/>
          <w:szCs w:val="24"/>
          <w:lang w:eastAsia="da-DK"/>
        </w:rPr>
        <w:t>Biloba</w:t>
      </w:r>
      <w:proofErr w:type="spellEnd"/>
    </w:p>
    <w:p w:rsidR="00367295" w:rsidRPr="00F4200A" w:rsidRDefault="00367295" w:rsidP="00367295">
      <w:pPr>
        <w:ind w:left="851"/>
        <w:rPr>
          <w:sz w:val="24"/>
          <w:szCs w:val="24"/>
          <w:lang w:eastAsia="da-DK"/>
        </w:rPr>
      </w:pPr>
      <w:r w:rsidRPr="00F4200A">
        <w:rPr>
          <w:sz w:val="24"/>
          <w:szCs w:val="24"/>
          <w:lang w:eastAsia="da-DK"/>
        </w:rPr>
        <w:t xml:space="preserve">Mulig mekanisme: </w:t>
      </w:r>
      <w:proofErr w:type="spellStart"/>
      <w:r w:rsidRPr="00F4200A">
        <w:rPr>
          <w:sz w:val="24"/>
          <w:szCs w:val="24"/>
          <w:lang w:eastAsia="da-DK"/>
        </w:rPr>
        <w:t>Ginkgo</w:t>
      </w:r>
      <w:proofErr w:type="spellEnd"/>
      <w:r w:rsidRPr="00F4200A">
        <w:rPr>
          <w:sz w:val="24"/>
          <w:szCs w:val="24"/>
          <w:lang w:eastAsia="da-DK"/>
        </w:rPr>
        <w:t xml:space="preserve"> </w:t>
      </w:r>
      <w:proofErr w:type="spellStart"/>
      <w:r w:rsidRPr="00F4200A">
        <w:rPr>
          <w:sz w:val="24"/>
          <w:szCs w:val="24"/>
          <w:lang w:eastAsia="da-DK"/>
        </w:rPr>
        <w:t>Biloba</w:t>
      </w:r>
      <w:proofErr w:type="spellEnd"/>
      <w:r w:rsidRPr="00F4200A">
        <w:rPr>
          <w:sz w:val="24"/>
          <w:szCs w:val="24"/>
          <w:lang w:eastAsia="da-DK"/>
        </w:rPr>
        <w:t xml:space="preserve"> hæmmer blodpladernes aggregering.</w:t>
      </w:r>
    </w:p>
    <w:p w:rsidR="00367295" w:rsidRPr="00E20765" w:rsidRDefault="00367295" w:rsidP="00367295">
      <w:pPr>
        <w:ind w:left="851"/>
        <w:rPr>
          <w:sz w:val="24"/>
          <w:szCs w:val="24"/>
          <w:lang w:val="nb-NO" w:eastAsia="da-DK"/>
        </w:rPr>
      </w:pPr>
      <w:r w:rsidRPr="00F4200A">
        <w:rPr>
          <w:sz w:val="24"/>
          <w:szCs w:val="24"/>
          <w:lang w:val="nb-NO" w:eastAsia="da-DK"/>
        </w:rPr>
        <w:t>Effekt: Øget risiko for blødning.</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4.6</w:t>
      </w:r>
      <w:r w:rsidRPr="00E20765">
        <w:rPr>
          <w:b/>
          <w:sz w:val="24"/>
          <w:szCs w:val="24"/>
        </w:rPr>
        <w:tab/>
        <w:t>Graviditet og amning</w:t>
      </w:r>
    </w:p>
    <w:p w:rsidR="00367295" w:rsidRPr="00E20765" w:rsidRDefault="00367295" w:rsidP="00367295">
      <w:pPr>
        <w:ind w:left="851"/>
        <w:rPr>
          <w:b/>
          <w:spacing w:val="-3"/>
          <w:sz w:val="24"/>
          <w:szCs w:val="24"/>
          <w:lang w:eastAsia="da-DK"/>
        </w:rPr>
      </w:pPr>
    </w:p>
    <w:p w:rsidR="00367295" w:rsidRPr="00E20765" w:rsidRDefault="00367295" w:rsidP="00367295">
      <w:pPr>
        <w:ind w:left="851"/>
        <w:rPr>
          <w:b/>
          <w:spacing w:val="-3"/>
          <w:sz w:val="24"/>
          <w:szCs w:val="24"/>
        </w:rPr>
      </w:pPr>
      <w:r w:rsidRPr="00E20765">
        <w:rPr>
          <w:b/>
          <w:sz w:val="24"/>
          <w:szCs w:val="24"/>
        </w:rPr>
        <w:t>Fertilitet</w:t>
      </w:r>
    </w:p>
    <w:p w:rsidR="00367295" w:rsidRPr="00E20765" w:rsidRDefault="00367295" w:rsidP="00367295">
      <w:pPr>
        <w:ind w:left="851"/>
        <w:rPr>
          <w:sz w:val="24"/>
          <w:szCs w:val="24"/>
        </w:rPr>
      </w:pPr>
      <w:r w:rsidRPr="00E20765">
        <w:rPr>
          <w:sz w:val="24"/>
          <w:szCs w:val="24"/>
        </w:rPr>
        <w:t xml:space="preserve">Acetylsalicylsyre bør ikke anvendes til kvinder, som ønsker at blive gravide, da </w:t>
      </w:r>
      <w:proofErr w:type="spellStart"/>
      <w:r w:rsidRPr="00E20765">
        <w:rPr>
          <w:sz w:val="24"/>
          <w:szCs w:val="24"/>
        </w:rPr>
        <w:t>prostaglandinsyntesehæmmere</w:t>
      </w:r>
      <w:proofErr w:type="spellEnd"/>
      <w:r w:rsidRPr="00E20765">
        <w:rPr>
          <w:sz w:val="24"/>
          <w:szCs w:val="24"/>
        </w:rPr>
        <w:t xml:space="preserve"> menes at kunne nedsætte fertiliteten.</w:t>
      </w:r>
    </w:p>
    <w:p w:rsidR="00367295" w:rsidRPr="00E20765" w:rsidRDefault="00367295" w:rsidP="00367295">
      <w:pPr>
        <w:ind w:left="851"/>
        <w:rPr>
          <w:sz w:val="24"/>
          <w:szCs w:val="24"/>
        </w:rPr>
      </w:pPr>
      <w:r w:rsidRPr="00E20765">
        <w:rPr>
          <w:sz w:val="24"/>
          <w:szCs w:val="24"/>
        </w:rPr>
        <w:t xml:space="preserve">Hvis behandling med acetylsalicylsyre er nødvendig, bør behandlingen være så kortvarig og i så lave doser som muligt. Virkningen på fertiliteten er reversibel. </w:t>
      </w:r>
      <w:r w:rsidRPr="00E20765">
        <w:rPr>
          <w:i/>
          <w:iCs/>
          <w:sz w:val="24"/>
          <w:szCs w:val="24"/>
        </w:rPr>
        <w:t>  </w:t>
      </w:r>
    </w:p>
    <w:p w:rsidR="00367295" w:rsidRPr="00E20765" w:rsidRDefault="00367295" w:rsidP="00367295">
      <w:pPr>
        <w:ind w:left="851"/>
        <w:rPr>
          <w:i/>
          <w:sz w:val="24"/>
          <w:szCs w:val="24"/>
        </w:rPr>
      </w:pPr>
    </w:p>
    <w:p w:rsidR="00367295" w:rsidRPr="00E20765" w:rsidRDefault="00367295" w:rsidP="00367295">
      <w:pPr>
        <w:ind w:left="851"/>
        <w:rPr>
          <w:sz w:val="24"/>
          <w:szCs w:val="24"/>
        </w:rPr>
      </w:pPr>
      <w:r w:rsidRPr="00E20765">
        <w:rPr>
          <w:sz w:val="24"/>
          <w:szCs w:val="24"/>
        </w:rPr>
        <w:t xml:space="preserve">Hæmning af </w:t>
      </w:r>
      <w:proofErr w:type="spellStart"/>
      <w:r w:rsidRPr="00E20765">
        <w:rPr>
          <w:sz w:val="24"/>
          <w:szCs w:val="24"/>
        </w:rPr>
        <w:t>prostaglandinsyntesen</w:t>
      </w:r>
      <w:proofErr w:type="spellEnd"/>
      <w:r w:rsidRPr="00E20765">
        <w:rPr>
          <w:sz w:val="24"/>
          <w:szCs w:val="24"/>
        </w:rPr>
        <w:t xml:space="preserve"> kan have en skadelig indvirkning på graviditeten og/eller den embryonale/</w:t>
      </w:r>
      <w:proofErr w:type="spellStart"/>
      <w:r w:rsidRPr="00E20765">
        <w:rPr>
          <w:sz w:val="24"/>
          <w:szCs w:val="24"/>
        </w:rPr>
        <w:t>føtale</w:t>
      </w:r>
      <w:proofErr w:type="spellEnd"/>
      <w:r w:rsidRPr="00E20765">
        <w:rPr>
          <w:sz w:val="24"/>
          <w:szCs w:val="24"/>
        </w:rPr>
        <w:t xml:space="preserve"> udvikling. Data fra epidemiologiske studier tyder på en øget risiko for spontan abort og for medfødte misdannelser i barnets hjerte samt gastroschisis ved brug af </w:t>
      </w:r>
      <w:proofErr w:type="spellStart"/>
      <w:r w:rsidRPr="00E20765">
        <w:rPr>
          <w:sz w:val="24"/>
          <w:szCs w:val="24"/>
        </w:rPr>
        <w:t>prostaglandinsyntesehæmmere</w:t>
      </w:r>
      <w:proofErr w:type="spellEnd"/>
      <w:r w:rsidRPr="00E20765">
        <w:rPr>
          <w:sz w:val="24"/>
          <w:szCs w:val="24"/>
        </w:rPr>
        <w:t xml:space="preserve"> under den tidlige graviditet. Den absolutte risiko for medfødte misdannelser i hjertet stiger fra mindre end 1 % til cirka 1,5 %. Risikoen menes at stige med øget dosis og behandlingsvarighed. Hos dyr har </w:t>
      </w:r>
      <w:r w:rsidRPr="00E20765">
        <w:rPr>
          <w:sz w:val="24"/>
          <w:szCs w:val="24"/>
        </w:rPr>
        <w:lastRenderedPageBreak/>
        <w:t xml:space="preserve">administration af </w:t>
      </w:r>
      <w:proofErr w:type="spellStart"/>
      <w:r w:rsidRPr="00E20765">
        <w:rPr>
          <w:sz w:val="24"/>
          <w:szCs w:val="24"/>
        </w:rPr>
        <w:t>prostaglandinsyntesehæmmere</w:t>
      </w:r>
      <w:proofErr w:type="spellEnd"/>
      <w:r w:rsidRPr="00E20765">
        <w:rPr>
          <w:sz w:val="24"/>
          <w:szCs w:val="24"/>
        </w:rPr>
        <w:t xml:space="preserve"> vist sig at medføre en øget hyppighed af præ- og postimplantationstab samt embryo-/fosterdød. Endvidere er der fundet en øget forekomst af flere misdannelser, herunder </w:t>
      </w:r>
      <w:proofErr w:type="spellStart"/>
      <w:r w:rsidRPr="00E20765">
        <w:rPr>
          <w:sz w:val="24"/>
          <w:szCs w:val="24"/>
        </w:rPr>
        <w:t>kardiovaskulære</w:t>
      </w:r>
      <w:proofErr w:type="spellEnd"/>
      <w:r w:rsidRPr="00E20765">
        <w:rPr>
          <w:sz w:val="24"/>
          <w:szCs w:val="24"/>
        </w:rPr>
        <w:t xml:space="preserve"> hos dyr, der har været eksponeret for en </w:t>
      </w:r>
      <w:proofErr w:type="spellStart"/>
      <w:r w:rsidRPr="00E20765">
        <w:rPr>
          <w:sz w:val="24"/>
          <w:szCs w:val="24"/>
        </w:rPr>
        <w:t>prostaglandinsyntesehæmmer</w:t>
      </w:r>
      <w:proofErr w:type="spellEnd"/>
      <w:r w:rsidRPr="00E20765">
        <w:rPr>
          <w:sz w:val="24"/>
          <w:szCs w:val="24"/>
        </w:rPr>
        <w:t xml:space="preserve"> under den organudviklende periode.</w:t>
      </w:r>
    </w:p>
    <w:p w:rsidR="00367295" w:rsidRPr="00E20765" w:rsidRDefault="00367295" w:rsidP="00367295">
      <w:pPr>
        <w:ind w:left="851"/>
        <w:rPr>
          <w:sz w:val="24"/>
          <w:szCs w:val="24"/>
        </w:rPr>
      </w:pPr>
    </w:p>
    <w:p w:rsidR="00367295" w:rsidRPr="00E20765" w:rsidRDefault="00367295" w:rsidP="00367295">
      <w:pPr>
        <w:tabs>
          <w:tab w:val="left" w:pos="753"/>
        </w:tabs>
        <w:ind w:left="851"/>
        <w:rPr>
          <w:noProof/>
          <w:sz w:val="24"/>
          <w:szCs w:val="24"/>
        </w:rPr>
      </w:pPr>
      <w:r w:rsidRPr="00E20765">
        <w:rPr>
          <w:sz w:val="24"/>
          <w:szCs w:val="24"/>
        </w:rPr>
        <w:t>Grundet ovenstående er acetylsalicylsyre 100 mg/dag eller højere doser kontraindiceret under tredje trimester af graviditeten.</w:t>
      </w:r>
      <w:r w:rsidRPr="00E20765">
        <w:rPr>
          <w:noProof/>
          <w:sz w:val="24"/>
          <w:szCs w:val="24"/>
        </w:rPr>
        <w:t xml:space="preserve"> </w:t>
      </w:r>
    </w:p>
    <w:p w:rsidR="00367295" w:rsidRPr="00E20765" w:rsidRDefault="00367295" w:rsidP="00367295">
      <w:pPr>
        <w:ind w:left="851"/>
        <w:rPr>
          <w:b/>
          <w:spacing w:val="-3"/>
          <w:sz w:val="24"/>
          <w:szCs w:val="24"/>
        </w:rPr>
      </w:pPr>
    </w:p>
    <w:p w:rsidR="00367295" w:rsidRPr="00E20765" w:rsidRDefault="00367295" w:rsidP="00367295">
      <w:pPr>
        <w:ind w:left="851"/>
        <w:rPr>
          <w:b/>
          <w:spacing w:val="-3"/>
          <w:sz w:val="24"/>
          <w:szCs w:val="24"/>
        </w:rPr>
      </w:pPr>
      <w:r w:rsidRPr="00E20765">
        <w:rPr>
          <w:b/>
          <w:spacing w:val="-3"/>
          <w:sz w:val="24"/>
          <w:szCs w:val="24"/>
        </w:rPr>
        <w:t>Graviditet</w:t>
      </w:r>
    </w:p>
    <w:p w:rsidR="00367295" w:rsidRPr="00E20765" w:rsidRDefault="00367295" w:rsidP="00367295">
      <w:pPr>
        <w:ind w:left="851"/>
        <w:rPr>
          <w:sz w:val="24"/>
          <w:szCs w:val="24"/>
          <w:u w:val="single"/>
        </w:rPr>
      </w:pPr>
    </w:p>
    <w:p w:rsidR="00367295" w:rsidRPr="00E20765" w:rsidRDefault="00367295" w:rsidP="00367295">
      <w:pPr>
        <w:ind w:left="851"/>
        <w:rPr>
          <w:sz w:val="24"/>
          <w:szCs w:val="24"/>
          <w:u w:val="single"/>
        </w:rPr>
      </w:pPr>
      <w:r w:rsidRPr="00E20765">
        <w:rPr>
          <w:sz w:val="24"/>
          <w:szCs w:val="24"/>
          <w:u w:val="single"/>
        </w:rPr>
        <w:t>Lave doser (op til 100 mg/dag)</w:t>
      </w:r>
    </w:p>
    <w:p w:rsidR="00367295" w:rsidRPr="00E20765" w:rsidRDefault="00367295" w:rsidP="00367295">
      <w:pPr>
        <w:ind w:left="851"/>
        <w:rPr>
          <w:sz w:val="24"/>
          <w:szCs w:val="24"/>
        </w:rPr>
      </w:pPr>
      <w:r w:rsidRPr="00E20765">
        <w:rPr>
          <w:sz w:val="24"/>
          <w:szCs w:val="24"/>
        </w:rPr>
        <w:t>Kliniske studier tyder på at doser op til 100 mg/dag er sikre at bruge ved visse obstetriske tilstande, der kræver særlig opfølgning.</w:t>
      </w:r>
    </w:p>
    <w:p w:rsidR="00367295" w:rsidRPr="00E20765" w:rsidRDefault="00367295" w:rsidP="00367295">
      <w:pPr>
        <w:ind w:left="851"/>
        <w:rPr>
          <w:i/>
          <w:sz w:val="24"/>
          <w:szCs w:val="24"/>
        </w:rPr>
      </w:pPr>
    </w:p>
    <w:p w:rsidR="00367295" w:rsidRPr="00E20765" w:rsidRDefault="00367295" w:rsidP="00367295">
      <w:pPr>
        <w:ind w:left="851"/>
        <w:rPr>
          <w:sz w:val="24"/>
          <w:szCs w:val="24"/>
          <w:u w:val="single"/>
        </w:rPr>
      </w:pPr>
      <w:r w:rsidRPr="00E20765">
        <w:rPr>
          <w:sz w:val="24"/>
          <w:szCs w:val="24"/>
          <w:u w:val="single"/>
        </w:rPr>
        <w:t>Doser på 100–500 mg/dag</w:t>
      </w:r>
    </w:p>
    <w:p w:rsidR="00367295" w:rsidRPr="00E20765" w:rsidRDefault="00367295" w:rsidP="00367295">
      <w:pPr>
        <w:ind w:left="851"/>
        <w:rPr>
          <w:sz w:val="24"/>
          <w:szCs w:val="24"/>
        </w:rPr>
      </w:pPr>
      <w:r w:rsidRPr="00E20765">
        <w:rPr>
          <w:sz w:val="24"/>
          <w:szCs w:val="24"/>
        </w:rPr>
        <w:t>Der findes utilstrækkelige kliniske erfaringer med doser mellem 100-500 mg/dag, derfor gælder nedenstående rekommandation for doser på 500 mg/dag eller højere.</w:t>
      </w:r>
    </w:p>
    <w:p w:rsidR="00367295" w:rsidRPr="00E20765" w:rsidRDefault="00367295" w:rsidP="00367295">
      <w:pPr>
        <w:ind w:left="851"/>
        <w:rPr>
          <w:i/>
          <w:spacing w:val="-3"/>
          <w:sz w:val="24"/>
          <w:szCs w:val="24"/>
        </w:rPr>
      </w:pPr>
    </w:p>
    <w:p w:rsidR="00367295" w:rsidRPr="00E20765" w:rsidRDefault="00367295" w:rsidP="00367295">
      <w:pPr>
        <w:ind w:left="851"/>
        <w:rPr>
          <w:sz w:val="24"/>
          <w:szCs w:val="24"/>
          <w:u w:val="single"/>
        </w:rPr>
      </w:pPr>
      <w:r w:rsidRPr="00E20765">
        <w:rPr>
          <w:sz w:val="24"/>
          <w:szCs w:val="24"/>
          <w:u w:val="single"/>
        </w:rPr>
        <w:t>Doser på 500 mg/dag eller højere</w:t>
      </w:r>
    </w:p>
    <w:p w:rsidR="00367295" w:rsidRPr="00E20765" w:rsidRDefault="00367295" w:rsidP="00367295">
      <w:pPr>
        <w:ind w:left="851"/>
        <w:rPr>
          <w:i/>
          <w:spacing w:val="-3"/>
          <w:sz w:val="24"/>
          <w:szCs w:val="24"/>
        </w:rPr>
      </w:pPr>
    </w:p>
    <w:p w:rsidR="00367295" w:rsidRPr="00E20765" w:rsidRDefault="00367295" w:rsidP="00367295">
      <w:pPr>
        <w:ind w:left="851"/>
        <w:rPr>
          <w:i/>
          <w:spacing w:val="-3"/>
          <w:sz w:val="24"/>
          <w:szCs w:val="24"/>
        </w:rPr>
      </w:pPr>
      <w:proofErr w:type="spellStart"/>
      <w:r w:rsidRPr="00E20765">
        <w:rPr>
          <w:i/>
          <w:spacing w:val="-3"/>
          <w:sz w:val="24"/>
          <w:szCs w:val="24"/>
        </w:rPr>
        <w:t>Tredie</w:t>
      </w:r>
      <w:proofErr w:type="spellEnd"/>
      <w:r w:rsidRPr="00E20765">
        <w:rPr>
          <w:i/>
          <w:spacing w:val="-3"/>
          <w:sz w:val="24"/>
          <w:szCs w:val="24"/>
        </w:rPr>
        <w:t xml:space="preserve"> trimester</w:t>
      </w:r>
    </w:p>
    <w:p w:rsidR="00367295" w:rsidRPr="00E20765" w:rsidRDefault="00367295" w:rsidP="00367295">
      <w:pPr>
        <w:ind w:left="851"/>
        <w:rPr>
          <w:sz w:val="24"/>
          <w:szCs w:val="24"/>
        </w:rPr>
      </w:pPr>
      <w:proofErr w:type="spellStart"/>
      <w:r w:rsidRPr="00E20765">
        <w:rPr>
          <w:sz w:val="24"/>
          <w:szCs w:val="24"/>
        </w:rPr>
        <w:t>Prostaglandinsyntesehæmmere</w:t>
      </w:r>
      <w:proofErr w:type="spellEnd"/>
      <w:r w:rsidRPr="00E20765">
        <w:rPr>
          <w:sz w:val="24"/>
          <w:szCs w:val="24"/>
        </w:rPr>
        <w:t xml:space="preserve"> er kontraindiceret under tredje trimester af graviditeten,</w:t>
      </w:r>
    </w:p>
    <w:p w:rsidR="00367295" w:rsidRPr="00E20765" w:rsidRDefault="00367295" w:rsidP="00367295">
      <w:pPr>
        <w:ind w:left="851"/>
        <w:rPr>
          <w:sz w:val="24"/>
          <w:szCs w:val="24"/>
        </w:rPr>
      </w:pPr>
      <w:r w:rsidRPr="00E20765">
        <w:rPr>
          <w:sz w:val="24"/>
          <w:szCs w:val="24"/>
        </w:rPr>
        <w:t xml:space="preserve">da </w:t>
      </w:r>
      <w:proofErr w:type="spellStart"/>
      <w:r w:rsidRPr="00E20765">
        <w:rPr>
          <w:sz w:val="24"/>
          <w:szCs w:val="24"/>
        </w:rPr>
        <w:t>prostaglandinsyntesehæmmere</w:t>
      </w:r>
      <w:proofErr w:type="spellEnd"/>
      <w:r w:rsidRPr="00E20765">
        <w:rPr>
          <w:sz w:val="24"/>
          <w:szCs w:val="24"/>
        </w:rPr>
        <w:t xml:space="preserve"> under tredje trimester af graviditeten kan udsætte fosteret for:</w:t>
      </w:r>
    </w:p>
    <w:p w:rsidR="00367295" w:rsidRPr="00E20765" w:rsidRDefault="00367295" w:rsidP="00367295">
      <w:pPr>
        <w:numPr>
          <w:ilvl w:val="0"/>
          <w:numId w:val="8"/>
        </w:numPr>
        <w:tabs>
          <w:tab w:val="clear" w:pos="720"/>
          <w:tab w:val="num" w:pos="1134"/>
        </w:tabs>
        <w:ind w:left="1134" w:hanging="283"/>
        <w:rPr>
          <w:sz w:val="24"/>
          <w:szCs w:val="24"/>
        </w:rPr>
      </w:pPr>
      <w:proofErr w:type="spellStart"/>
      <w:r w:rsidRPr="00E20765">
        <w:rPr>
          <w:sz w:val="24"/>
          <w:szCs w:val="24"/>
        </w:rPr>
        <w:t>kardiopulmonær</w:t>
      </w:r>
      <w:proofErr w:type="spellEnd"/>
      <w:r w:rsidRPr="00E20765">
        <w:rPr>
          <w:sz w:val="24"/>
          <w:szCs w:val="24"/>
        </w:rPr>
        <w:t xml:space="preserve"> toksicitet (for tidlig lukning af </w:t>
      </w:r>
      <w:proofErr w:type="spellStart"/>
      <w:r w:rsidRPr="00E20765">
        <w:rPr>
          <w:sz w:val="24"/>
          <w:szCs w:val="24"/>
        </w:rPr>
        <w:t>ductus</w:t>
      </w:r>
      <w:proofErr w:type="spellEnd"/>
      <w:r w:rsidRPr="00E20765">
        <w:rPr>
          <w:sz w:val="24"/>
          <w:szCs w:val="24"/>
        </w:rPr>
        <w:t xml:space="preserve"> </w:t>
      </w:r>
      <w:proofErr w:type="spellStart"/>
      <w:r w:rsidRPr="00E20765">
        <w:rPr>
          <w:sz w:val="24"/>
          <w:szCs w:val="24"/>
        </w:rPr>
        <w:t>arteriosus</w:t>
      </w:r>
      <w:proofErr w:type="spellEnd"/>
      <w:r w:rsidRPr="00E20765">
        <w:rPr>
          <w:sz w:val="24"/>
          <w:szCs w:val="24"/>
        </w:rPr>
        <w:t xml:space="preserve"> og </w:t>
      </w:r>
      <w:proofErr w:type="spellStart"/>
      <w:r w:rsidRPr="00E20765">
        <w:rPr>
          <w:sz w:val="24"/>
          <w:szCs w:val="24"/>
        </w:rPr>
        <w:t>pulmonær</w:t>
      </w:r>
      <w:proofErr w:type="spellEnd"/>
      <w:r w:rsidRPr="00E20765">
        <w:rPr>
          <w:sz w:val="24"/>
          <w:szCs w:val="24"/>
        </w:rPr>
        <w:t xml:space="preserve"> hypertension)</w:t>
      </w:r>
    </w:p>
    <w:p w:rsidR="00367295" w:rsidRPr="00E20765" w:rsidRDefault="00367295" w:rsidP="00367295">
      <w:pPr>
        <w:numPr>
          <w:ilvl w:val="0"/>
          <w:numId w:val="8"/>
        </w:numPr>
        <w:tabs>
          <w:tab w:val="clear" w:pos="720"/>
          <w:tab w:val="num" w:pos="1134"/>
        </w:tabs>
        <w:ind w:left="1134" w:hanging="283"/>
        <w:rPr>
          <w:sz w:val="24"/>
          <w:szCs w:val="24"/>
        </w:rPr>
      </w:pPr>
      <w:proofErr w:type="spellStart"/>
      <w:r w:rsidRPr="00E20765">
        <w:rPr>
          <w:sz w:val="24"/>
          <w:szCs w:val="24"/>
        </w:rPr>
        <w:t>renal</w:t>
      </w:r>
      <w:proofErr w:type="spellEnd"/>
      <w:r w:rsidRPr="00E20765">
        <w:rPr>
          <w:sz w:val="24"/>
          <w:szCs w:val="24"/>
        </w:rPr>
        <w:t xml:space="preserve"> dysfunktion som kan lede til nyresvigt og dermed en reduceret mængde fostervand</w:t>
      </w:r>
    </w:p>
    <w:p w:rsidR="00367295" w:rsidRPr="00E20765" w:rsidRDefault="00367295" w:rsidP="00367295">
      <w:pPr>
        <w:tabs>
          <w:tab w:val="num" w:pos="1134"/>
        </w:tabs>
        <w:ind w:left="851"/>
        <w:rPr>
          <w:sz w:val="24"/>
          <w:szCs w:val="24"/>
        </w:rPr>
      </w:pPr>
      <w:r w:rsidRPr="00E20765">
        <w:rPr>
          <w:sz w:val="24"/>
          <w:szCs w:val="24"/>
        </w:rPr>
        <w:t xml:space="preserve">og ved graviditetens slutning kan </w:t>
      </w:r>
      <w:proofErr w:type="spellStart"/>
      <w:r w:rsidRPr="00E20765">
        <w:rPr>
          <w:sz w:val="24"/>
          <w:szCs w:val="24"/>
        </w:rPr>
        <w:t>prostaglandinsyntesehæmmere</w:t>
      </w:r>
      <w:proofErr w:type="spellEnd"/>
      <w:r w:rsidRPr="00E20765">
        <w:rPr>
          <w:sz w:val="24"/>
          <w:szCs w:val="24"/>
        </w:rPr>
        <w:t xml:space="preserve"> udsætte moderen og det nyfødte barn for:</w:t>
      </w:r>
    </w:p>
    <w:p w:rsidR="00367295" w:rsidRPr="00E20765" w:rsidRDefault="00367295" w:rsidP="00367295">
      <w:pPr>
        <w:numPr>
          <w:ilvl w:val="0"/>
          <w:numId w:val="8"/>
        </w:numPr>
        <w:tabs>
          <w:tab w:val="clear" w:pos="720"/>
          <w:tab w:val="num" w:pos="1134"/>
        </w:tabs>
        <w:ind w:left="1134" w:hanging="283"/>
        <w:rPr>
          <w:sz w:val="24"/>
          <w:szCs w:val="24"/>
        </w:rPr>
      </w:pPr>
      <w:r w:rsidRPr="00E20765">
        <w:rPr>
          <w:sz w:val="24"/>
          <w:szCs w:val="24"/>
        </w:rPr>
        <w:t xml:space="preserve">forlænget blødningstid som følge af en nedsat aggregationsevne for </w:t>
      </w:r>
      <w:proofErr w:type="spellStart"/>
      <w:r w:rsidRPr="00E20765">
        <w:rPr>
          <w:sz w:val="24"/>
          <w:szCs w:val="24"/>
        </w:rPr>
        <w:t>trombocytterne</w:t>
      </w:r>
      <w:proofErr w:type="spellEnd"/>
      <w:r w:rsidRPr="00E20765">
        <w:rPr>
          <w:sz w:val="24"/>
          <w:szCs w:val="24"/>
        </w:rPr>
        <w:t>, hvilket kan forekomme selv ved meget lave doser</w:t>
      </w:r>
    </w:p>
    <w:p w:rsidR="00367295" w:rsidRPr="00E20765" w:rsidRDefault="00367295" w:rsidP="00367295">
      <w:pPr>
        <w:numPr>
          <w:ilvl w:val="0"/>
          <w:numId w:val="8"/>
        </w:numPr>
        <w:tabs>
          <w:tab w:val="clear" w:pos="720"/>
          <w:tab w:val="num" w:pos="1134"/>
        </w:tabs>
        <w:ind w:left="1134" w:hanging="283"/>
        <w:rPr>
          <w:sz w:val="24"/>
          <w:szCs w:val="24"/>
        </w:rPr>
      </w:pPr>
      <w:r w:rsidRPr="00E20765">
        <w:rPr>
          <w:sz w:val="24"/>
          <w:szCs w:val="24"/>
        </w:rPr>
        <w:t>hæmning af livmoderkontraktioner, hvilket kan resultere i for sen eller forlænget fødsel.</w:t>
      </w:r>
    </w:p>
    <w:p w:rsidR="00367295" w:rsidRPr="00E20765" w:rsidRDefault="00367295" w:rsidP="00367295">
      <w:pPr>
        <w:ind w:left="851"/>
        <w:rPr>
          <w:sz w:val="24"/>
          <w:szCs w:val="24"/>
        </w:rPr>
      </w:pPr>
    </w:p>
    <w:p w:rsidR="00367295" w:rsidRPr="00E20765" w:rsidRDefault="00367295" w:rsidP="00367295">
      <w:pPr>
        <w:ind w:left="851"/>
        <w:rPr>
          <w:i/>
          <w:sz w:val="24"/>
          <w:szCs w:val="24"/>
        </w:rPr>
      </w:pPr>
      <w:r w:rsidRPr="00E20765">
        <w:rPr>
          <w:i/>
          <w:sz w:val="24"/>
          <w:szCs w:val="24"/>
        </w:rPr>
        <w:t>Første og andet trimester</w:t>
      </w:r>
    </w:p>
    <w:p w:rsidR="00367295" w:rsidRPr="00E20765" w:rsidRDefault="00367295" w:rsidP="00367295">
      <w:pPr>
        <w:ind w:left="851"/>
        <w:rPr>
          <w:i/>
          <w:sz w:val="24"/>
          <w:szCs w:val="24"/>
        </w:rPr>
      </w:pPr>
      <w:proofErr w:type="spellStart"/>
      <w:r w:rsidRPr="00E20765">
        <w:rPr>
          <w:sz w:val="24"/>
          <w:szCs w:val="24"/>
        </w:rPr>
        <w:t>Prostaglandinsyntesehæmmere</w:t>
      </w:r>
      <w:proofErr w:type="spellEnd"/>
      <w:r w:rsidRPr="00E20765">
        <w:rPr>
          <w:sz w:val="24"/>
          <w:szCs w:val="24"/>
        </w:rPr>
        <w:t xml:space="preserve"> bør kun anvendes på tvingende indikation under første og andet trimester af graviditeten, og dosis bør være så lav og behandlingstiden så kort som muligt.</w:t>
      </w:r>
    </w:p>
    <w:p w:rsidR="00367295" w:rsidRPr="00E20765" w:rsidRDefault="00367295" w:rsidP="00367295">
      <w:pPr>
        <w:ind w:left="851"/>
        <w:rPr>
          <w:i/>
          <w:color w:val="0000FF"/>
          <w:sz w:val="24"/>
          <w:szCs w:val="24"/>
        </w:rPr>
      </w:pPr>
    </w:p>
    <w:p w:rsidR="00367295" w:rsidRPr="00E20765" w:rsidRDefault="00367295" w:rsidP="00367295">
      <w:pPr>
        <w:ind w:left="851"/>
        <w:rPr>
          <w:b/>
          <w:sz w:val="24"/>
          <w:szCs w:val="24"/>
        </w:rPr>
      </w:pPr>
      <w:r w:rsidRPr="00E20765">
        <w:rPr>
          <w:b/>
          <w:sz w:val="24"/>
          <w:szCs w:val="24"/>
        </w:rPr>
        <w:t>Amning</w:t>
      </w:r>
    </w:p>
    <w:p w:rsidR="00367295" w:rsidRPr="00E20765" w:rsidRDefault="00367295" w:rsidP="00367295">
      <w:pPr>
        <w:ind w:left="851"/>
        <w:rPr>
          <w:i/>
          <w:sz w:val="24"/>
          <w:szCs w:val="24"/>
        </w:rPr>
      </w:pPr>
      <w:r w:rsidRPr="00E20765">
        <w:rPr>
          <w:spacing w:val="-3"/>
          <w:sz w:val="24"/>
          <w:szCs w:val="24"/>
        </w:rPr>
        <w:t xml:space="preserve">Erfaring savnes. Før administration af acetylsalicylsyre bør fordele ved behandlingen opvejes mod den mulige risiko for barnet. </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4.7</w:t>
      </w:r>
      <w:r w:rsidRPr="00E20765">
        <w:rPr>
          <w:b/>
          <w:sz w:val="24"/>
          <w:szCs w:val="24"/>
        </w:rPr>
        <w:tab/>
        <w:t>Virkninger på evnen til at føre motorkøretøj eller betjene maskiner</w:t>
      </w:r>
    </w:p>
    <w:p w:rsidR="00367295" w:rsidRPr="00E20765" w:rsidRDefault="00367295" w:rsidP="00367295">
      <w:pPr>
        <w:ind w:left="851"/>
        <w:rPr>
          <w:sz w:val="24"/>
          <w:szCs w:val="24"/>
          <w:lang w:eastAsia="da-DK"/>
        </w:rPr>
      </w:pPr>
      <w:r w:rsidRPr="00E20765">
        <w:rPr>
          <w:sz w:val="24"/>
          <w:szCs w:val="24"/>
        </w:rPr>
        <w:t>Ikke mærkning.</w:t>
      </w:r>
    </w:p>
    <w:p w:rsidR="00367295" w:rsidRPr="00E20765" w:rsidRDefault="00367295" w:rsidP="00367295">
      <w:pPr>
        <w:ind w:left="851"/>
        <w:rPr>
          <w:sz w:val="24"/>
          <w:szCs w:val="24"/>
        </w:rPr>
      </w:pPr>
      <w:proofErr w:type="spellStart"/>
      <w:r w:rsidRPr="00E20765">
        <w:rPr>
          <w:sz w:val="24"/>
          <w:szCs w:val="24"/>
        </w:rPr>
        <w:t>Hjercatyl</w:t>
      </w:r>
      <w:proofErr w:type="spellEnd"/>
      <w:r w:rsidRPr="00E20765">
        <w:rPr>
          <w:sz w:val="24"/>
          <w:szCs w:val="24"/>
        </w:rPr>
        <w:t xml:space="preserve"> påvirker ikke eller kun i ubetydelig grad evnen til at føre motorkøretøj eller betjene maskiner. </w:t>
      </w:r>
    </w:p>
    <w:p w:rsidR="00367295" w:rsidRDefault="00367295" w:rsidP="00367295">
      <w:pPr>
        <w:rPr>
          <w:sz w:val="24"/>
          <w:szCs w:val="24"/>
        </w:rPr>
      </w:pPr>
      <w:r>
        <w:rPr>
          <w:sz w:val="24"/>
          <w:szCs w:val="24"/>
        </w:rPr>
        <w:br w:type="page"/>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4.8</w:t>
      </w:r>
      <w:r w:rsidRPr="00E20765">
        <w:rPr>
          <w:b/>
          <w:sz w:val="24"/>
          <w:szCs w:val="24"/>
        </w:rPr>
        <w:tab/>
        <w:t>Bivirkninger</w:t>
      </w:r>
    </w:p>
    <w:p w:rsidR="00367295" w:rsidRPr="00E20765" w:rsidRDefault="00367295" w:rsidP="00367295">
      <w:pPr>
        <w:tabs>
          <w:tab w:val="left" w:pos="851"/>
        </w:tabs>
        <w:ind w:left="851"/>
        <w:rPr>
          <w:sz w:val="24"/>
          <w:szCs w:val="24"/>
          <w:lang w:eastAsia="da-DK"/>
        </w:rPr>
      </w:pPr>
      <w:r w:rsidRPr="00E20765">
        <w:rPr>
          <w:sz w:val="24"/>
          <w:szCs w:val="24"/>
          <w:lang w:eastAsia="da-DK"/>
        </w:rPr>
        <w:t xml:space="preserve">De hyppigst forekommende bivirkninger er </w:t>
      </w:r>
      <w:proofErr w:type="spellStart"/>
      <w:r w:rsidRPr="00E20765">
        <w:rPr>
          <w:sz w:val="24"/>
          <w:szCs w:val="24"/>
          <w:lang w:eastAsia="da-DK"/>
        </w:rPr>
        <w:t>gastrointestinale</w:t>
      </w:r>
      <w:proofErr w:type="spellEnd"/>
      <w:r w:rsidRPr="00E20765">
        <w:rPr>
          <w:sz w:val="24"/>
          <w:szCs w:val="24"/>
          <w:lang w:eastAsia="da-DK"/>
        </w:rPr>
        <w:t xml:space="preserve"> gener.</w:t>
      </w:r>
    </w:p>
    <w:p w:rsidR="00367295" w:rsidRPr="00E20765" w:rsidRDefault="00367295" w:rsidP="00367295">
      <w:pPr>
        <w:tabs>
          <w:tab w:val="left" w:pos="851"/>
        </w:tabs>
        <w:ind w:left="851"/>
        <w:rPr>
          <w:sz w:val="24"/>
          <w:szCs w:val="24"/>
          <w:lang w:eastAsia="da-DK"/>
        </w:rPr>
      </w:pPr>
      <w:r w:rsidRPr="00E20765">
        <w:rPr>
          <w:sz w:val="24"/>
          <w:szCs w:val="24"/>
          <w:lang w:eastAsia="da-DK"/>
        </w:rPr>
        <w:t>Bivirkningerne er generelt relateret til dosis og behandlingsvarighed.</w:t>
      </w:r>
    </w:p>
    <w:p w:rsidR="00367295" w:rsidRPr="00E20765" w:rsidRDefault="00367295" w:rsidP="00367295">
      <w:pPr>
        <w:tabs>
          <w:tab w:val="left" w:pos="0"/>
          <w:tab w:val="left" w:pos="851"/>
          <w:tab w:val="left" w:pos="2281"/>
        </w:tabs>
        <w:ind w:left="851"/>
        <w:jc w:val="both"/>
        <w:rPr>
          <w:spacing w:val="-3"/>
          <w:sz w:val="24"/>
          <w:szCs w:val="24"/>
          <w:lang w:eastAsia="da-DK"/>
        </w:rPr>
      </w:pPr>
    </w:p>
    <w:tbl>
      <w:tblPr>
        <w:tblW w:w="95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31"/>
        <w:gridCol w:w="1870"/>
        <w:gridCol w:w="1564"/>
        <w:gridCol w:w="1563"/>
        <w:gridCol w:w="1564"/>
      </w:tblGrid>
      <w:tr w:rsidR="00367295" w:rsidRPr="00E20765" w:rsidTr="003B4BCE">
        <w:trPr>
          <w:cantSplit/>
          <w:trHeight w:val="152"/>
          <w:tblHeader/>
        </w:trPr>
        <w:tc>
          <w:tcPr>
            <w:tcW w:w="1418" w:type="dxa"/>
            <w:shd w:val="clear" w:color="auto" w:fill="D9D9D9"/>
          </w:tcPr>
          <w:p w:rsidR="00367295" w:rsidRPr="00E20765" w:rsidRDefault="00367295" w:rsidP="003B4BCE">
            <w:pPr>
              <w:ind w:left="-79"/>
              <w:rPr>
                <w:spacing w:val="-3"/>
                <w:sz w:val="22"/>
                <w:szCs w:val="22"/>
                <w:lang w:eastAsia="da-DK"/>
              </w:rPr>
            </w:pPr>
            <w:r w:rsidRPr="00E20765">
              <w:rPr>
                <w:spacing w:val="-3"/>
                <w:sz w:val="22"/>
                <w:szCs w:val="22"/>
                <w:lang w:eastAsia="da-DK"/>
              </w:rPr>
              <w:t>Frekvens</w:t>
            </w:r>
          </w:p>
          <w:p w:rsidR="00367295" w:rsidRPr="00E20765" w:rsidRDefault="00367295" w:rsidP="003B4BCE">
            <w:pPr>
              <w:ind w:left="-79"/>
              <w:rPr>
                <w:spacing w:val="-3"/>
                <w:sz w:val="22"/>
                <w:szCs w:val="22"/>
                <w:lang w:eastAsia="da-DK"/>
              </w:rPr>
            </w:pPr>
          </w:p>
          <w:p w:rsidR="00367295" w:rsidRPr="00E20765" w:rsidRDefault="00367295" w:rsidP="003B4BCE">
            <w:pPr>
              <w:ind w:left="-79"/>
              <w:rPr>
                <w:spacing w:val="-3"/>
                <w:sz w:val="22"/>
                <w:szCs w:val="22"/>
                <w:lang w:eastAsia="da-DK"/>
              </w:rPr>
            </w:pPr>
          </w:p>
          <w:p w:rsidR="00367295" w:rsidRPr="00E20765" w:rsidRDefault="00367295" w:rsidP="003B4BCE">
            <w:pPr>
              <w:ind w:left="-79"/>
              <w:rPr>
                <w:spacing w:val="-3"/>
                <w:sz w:val="22"/>
                <w:szCs w:val="22"/>
                <w:lang w:eastAsia="da-DK"/>
              </w:rPr>
            </w:pPr>
            <w:r w:rsidRPr="00E20765">
              <w:rPr>
                <w:spacing w:val="-3"/>
                <w:sz w:val="22"/>
                <w:szCs w:val="22"/>
                <w:lang w:eastAsia="da-DK"/>
              </w:rPr>
              <w:t>Organklasse</w:t>
            </w:r>
          </w:p>
        </w:tc>
        <w:tc>
          <w:tcPr>
            <w:tcW w:w="1531" w:type="dxa"/>
            <w:shd w:val="clear" w:color="auto" w:fill="D9D9D9"/>
          </w:tcPr>
          <w:p w:rsidR="00367295" w:rsidRPr="00E20765" w:rsidRDefault="00367295" w:rsidP="003B4BCE">
            <w:pPr>
              <w:rPr>
                <w:sz w:val="22"/>
                <w:szCs w:val="22"/>
                <w:lang w:eastAsia="da-DK"/>
              </w:rPr>
            </w:pPr>
            <w:r w:rsidRPr="00E20765">
              <w:rPr>
                <w:sz w:val="22"/>
                <w:szCs w:val="22"/>
                <w:lang w:eastAsia="da-DK"/>
              </w:rPr>
              <w:t xml:space="preserve">Meget </w:t>
            </w:r>
          </w:p>
          <w:p w:rsidR="00367295" w:rsidRPr="00E20765" w:rsidRDefault="00367295" w:rsidP="003B4BCE">
            <w:pPr>
              <w:rPr>
                <w:sz w:val="22"/>
                <w:szCs w:val="22"/>
                <w:lang w:eastAsia="da-DK"/>
              </w:rPr>
            </w:pPr>
            <w:r w:rsidRPr="00E20765">
              <w:rPr>
                <w:sz w:val="22"/>
                <w:szCs w:val="22"/>
                <w:lang w:eastAsia="da-DK"/>
              </w:rPr>
              <w:t xml:space="preserve">almindelig </w:t>
            </w:r>
          </w:p>
          <w:p w:rsidR="00367295" w:rsidRPr="00E20765" w:rsidRDefault="00367295" w:rsidP="003B4BCE">
            <w:pPr>
              <w:rPr>
                <w:b/>
                <w:bCs/>
                <w:sz w:val="22"/>
                <w:szCs w:val="22"/>
                <w:lang w:eastAsia="da-DK"/>
              </w:rPr>
            </w:pPr>
            <w:r w:rsidRPr="00E20765">
              <w:rPr>
                <w:sz w:val="22"/>
                <w:szCs w:val="22"/>
                <w:lang w:eastAsia="da-DK"/>
              </w:rPr>
              <w:t>(</w:t>
            </w:r>
            <w:r w:rsidRPr="00E20765">
              <w:rPr>
                <w:rFonts w:ascii="Symbol" w:hAnsi="Symbol"/>
                <w:sz w:val="22"/>
                <w:szCs w:val="22"/>
                <w:lang w:eastAsia="da-DK"/>
              </w:rPr>
              <w:t></w:t>
            </w:r>
            <w:r w:rsidRPr="00E20765">
              <w:rPr>
                <w:sz w:val="22"/>
                <w:szCs w:val="22"/>
                <w:lang w:eastAsia="da-DK"/>
              </w:rPr>
              <w:t>1/10)</w:t>
            </w:r>
          </w:p>
          <w:p w:rsidR="00367295" w:rsidRPr="00E20765" w:rsidRDefault="00367295" w:rsidP="003B4BCE">
            <w:pPr>
              <w:tabs>
                <w:tab w:val="left" w:pos="0"/>
                <w:tab w:val="left" w:pos="851"/>
              </w:tabs>
              <w:jc w:val="center"/>
              <w:rPr>
                <w:spacing w:val="-3"/>
                <w:sz w:val="22"/>
                <w:szCs w:val="22"/>
                <w:lang w:eastAsia="da-DK"/>
              </w:rPr>
            </w:pPr>
          </w:p>
        </w:tc>
        <w:tc>
          <w:tcPr>
            <w:tcW w:w="1870" w:type="dxa"/>
            <w:shd w:val="clear" w:color="auto" w:fill="D9D9D9"/>
          </w:tcPr>
          <w:p w:rsidR="00367295" w:rsidRPr="00E20765" w:rsidRDefault="00367295" w:rsidP="003B4BCE">
            <w:pPr>
              <w:rPr>
                <w:sz w:val="22"/>
                <w:szCs w:val="22"/>
                <w:lang w:eastAsia="da-DK"/>
              </w:rPr>
            </w:pPr>
            <w:r w:rsidRPr="00E20765">
              <w:rPr>
                <w:sz w:val="22"/>
                <w:szCs w:val="22"/>
                <w:lang w:eastAsia="da-DK"/>
              </w:rPr>
              <w:t xml:space="preserve">Almindelig </w:t>
            </w:r>
          </w:p>
          <w:p w:rsidR="00367295" w:rsidRPr="00E20765" w:rsidRDefault="00367295" w:rsidP="003B4BCE">
            <w:pPr>
              <w:rPr>
                <w:b/>
                <w:bCs/>
                <w:sz w:val="22"/>
                <w:szCs w:val="22"/>
                <w:lang w:eastAsia="da-DK"/>
              </w:rPr>
            </w:pPr>
            <w:r w:rsidRPr="00E20765">
              <w:rPr>
                <w:sz w:val="22"/>
                <w:szCs w:val="22"/>
                <w:lang w:eastAsia="da-DK"/>
              </w:rPr>
              <w:t>(</w:t>
            </w:r>
            <w:r w:rsidRPr="00E20765">
              <w:rPr>
                <w:rFonts w:ascii="Symbol" w:hAnsi="Symbol"/>
                <w:sz w:val="22"/>
                <w:szCs w:val="22"/>
                <w:lang w:eastAsia="da-DK"/>
              </w:rPr>
              <w:t></w:t>
            </w:r>
            <w:r w:rsidRPr="00E20765">
              <w:rPr>
                <w:sz w:val="22"/>
                <w:szCs w:val="22"/>
                <w:lang w:eastAsia="da-DK"/>
              </w:rPr>
              <w:t>1/100 til &lt;1/10)</w:t>
            </w:r>
          </w:p>
          <w:p w:rsidR="00367295" w:rsidRPr="00E20765" w:rsidRDefault="00367295" w:rsidP="003B4BCE">
            <w:pPr>
              <w:tabs>
                <w:tab w:val="left" w:pos="0"/>
                <w:tab w:val="left" w:pos="851"/>
              </w:tabs>
              <w:jc w:val="center"/>
              <w:rPr>
                <w:spacing w:val="-3"/>
                <w:sz w:val="22"/>
                <w:szCs w:val="22"/>
                <w:lang w:eastAsia="da-DK"/>
              </w:rPr>
            </w:pPr>
          </w:p>
        </w:tc>
        <w:tc>
          <w:tcPr>
            <w:tcW w:w="1564" w:type="dxa"/>
            <w:shd w:val="clear" w:color="auto" w:fill="D9D9D9"/>
          </w:tcPr>
          <w:p w:rsidR="00367295" w:rsidRPr="00E20765" w:rsidRDefault="00367295" w:rsidP="003B4BCE">
            <w:pPr>
              <w:ind w:left="-66"/>
              <w:rPr>
                <w:sz w:val="22"/>
                <w:szCs w:val="22"/>
                <w:lang w:val="de-DE" w:eastAsia="da-DK"/>
              </w:rPr>
            </w:pPr>
            <w:proofErr w:type="spellStart"/>
            <w:r w:rsidRPr="00E20765">
              <w:rPr>
                <w:sz w:val="22"/>
                <w:szCs w:val="22"/>
                <w:lang w:val="de-DE" w:eastAsia="da-DK"/>
              </w:rPr>
              <w:t>Ikke</w:t>
            </w:r>
            <w:proofErr w:type="spellEnd"/>
            <w:r w:rsidRPr="00E20765">
              <w:rPr>
                <w:sz w:val="22"/>
                <w:szCs w:val="22"/>
                <w:lang w:val="de-DE" w:eastAsia="da-DK"/>
              </w:rPr>
              <w:t xml:space="preserve"> </w:t>
            </w:r>
            <w:r w:rsidRPr="00E20765">
              <w:rPr>
                <w:sz w:val="22"/>
                <w:szCs w:val="22"/>
                <w:lang w:eastAsia="da-DK"/>
              </w:rPr>
              <w:t>almindelig</w:t>
            </w:r>
            <w:r w:rsidRPr="00E20765">
              <w:rPr>
                <w:sz w:val="22"/>
                <w:szCs w:val="22"/>
                <w:lang w:val="de-DE" w:eastAsia="da-DK"/>
              </w:rPr>
              <w:t xml:space="preserve"> (</w:t>
            </w:r>
            <w:r w:rsidRPr="00E20765">
              <w:rPr>
                <w:rFonts w:ascii="Symbol" w:hAnsi="Symbol"/>
                <w:sz w:val="22"/>
                <w:szCs w:val="22"/>
                <w:lang w:eastAsia="da-DK"/>
              </w:rPr>
              <w:t></w:t>
            </w:r>
            <w:r w:rsidRPr="00E20765">
              <w:rPr>
                <w:sz w:val="22"/>
                <w:szCs w:val="22"/>
                <w:lang w:val="de-DE" w:eastAsia="da-DK"/>
              </w:rPr>
              <w:t>1</w:t>
            </w:r>
            <w:r w:rsidRPr="00E20765">
              <w:rPr>
                <w:sz w:val="22"/>
                <w:szCs w:val="22"/>
                <w:lang w:eastAsia="da-DK"/>
              </w:rPr>
              <w:t>/</w:t>
            </w:r>
            <w:r w:rsidRPr="00E20765">
              <w:rPr>
                <w:sz w:val="22"/>
                <w:szCs w:val="22"/>
                <w:lang w:val="de-DE" w:eastAsia="da-DK"/>
              </w:rPr>
              <w:t>1.000</w:t>
            </w:r>
            <w:r w:rsidRPr="00E20765">
              <w:rPr>
                <w:sz w:val="22"/>
                <w:szCs w:val="22"/>
                <w:lang w:eastAsia="da-DK"/>
              </w:rPr>
              <w:t xml:space="preserve"> til</w:t>
            </w:r>
            <w:r w:rsidRPr="00E20765">
              <w:rPr>
                <w:sz w:val="22"/>
                <w:szCs w:val="22"/>
                <w:lang w:val="de-DE" w:eastAsia="da-DK"/>
              </w:rPr>
              <w:t xml:space="preserve"> </w:t>
            </w:r>
            <w:r w:rsidRPr="00E20765">
              <w:rPr>
                <w:rFonts w:ascii="Symbol" w:hAnsi="Symbol"/>
                <w:sz w:val="22"/>
                <w:szCs w:val="22"/>
                <w:lang w:eastAsia="da-DK"/>
              </w:rPr>
              <w:t></w:t>
            </w:r>
            <w:r w:rsidRPr="00E20765">
              <w:rPr>
                <w:sz w:val="22"/>
                <w:szCs w:val="22"/>
                <w:lang w:val="de-DE" w:eastAsia="da-DK"/>
              </w:rPr>
              <w:t>1/100)</w:t>
            </w:r>
          </w:p>
          <w:p w:rsidR="00367295" w:rsidRPr="00E20765" w:rsidRDefault="00367295" w:rsidP="003B4BCE">
            <w:pPr>
              <w:tabs>
                <w:tab w:val="left" w:pos="0"/>
                <w:tab w:val="left" w:pos="851"/>
              </w:tabs>
              <w:ind w:left="-66"/>
              <w:jc w:val="center"/>
              <w:rPr>
                <w:spacing w:val="-3"/>
                <w:sz w:val="22"/>
                <w:szCs w:val="22"/>
                <w:lang w:eastAsia="da-DK"/>
              </w:rPr>
            </w:pPr>
          </w:p>
        </w:tc>
        <w:tc>
          <w:tcPr>
            <w:tcW w:w="1563" w:type="dxa"/>
            <w:shd w:val="clear" w:color="auto" w:fill="D9D9D9"/>
          </w:tcPr>
          <w:p w:rsidR="00367295" w:rsidRPr="00E20765" w:rsidRDefault="00367295" w:rsidP="003B4BCE">
            <w:pPr>
              <w:tabs>
                <w:tab w:val="left" w:pos="0"/>
              </w:tabs>
              <w:rPr>
                <w:sz w:val="22"/>
                <w:szCs w:val="22"/>
                <w:lang w:eastAsia="da-DK"/>
              </w:rPr>
            </w:pPr>
            <w:r w:rsidRPr="00E20765">
              <w:rPr>
                <w:sz w:val="22"/>
                <w:szCs w:val="22"/>
                <w:lang w:eastAsia="da-DK"/>
              </w:rPr>
              <w:t>Sjælden</w:t>
            </w:r>
          </w:p>
          <w:p w:rsidR="00367295" w:rsidRPr="00E20765" w:rsidRDefault="00367295" w:rsidP="003B4BCE">
            <w:pPr>
              <w:tabs>
                <w:tab w:val="left" w:pos="0"/>
              </w:tabs>
              <w:rPr>
                <w:spacing w:val="-3"/>
                <w:sz w:val="22"/>
                <w:szCs w:val="22"/>
                <w:lang w:eastAsia="da-DK"/>
              </w:rPr>
            </w:pPr>
            <w:r w:rsidRPr="00E20765">
              <w:rPr>
                <w:sz w:val="22"/>
                <w:szCs w:val="22"/>
                <w:lang w:val="el-GR" w:eastAsia="da-DK"/>
              </w:rPr>
              <w:t>(</w:t>
            </w:r>
            <w:r w:rsidRPr="00E20765">
              <w:rPr>
                <w:rFonts w:ascii="Symbol" w:hAnsi="Symbol"/>
                <w:sz w:val="22"/>
                <w:szCs w:val="22"/>
                <w:lang w:eastAsia="da-DK"/>
              </w:rPr>
              <w:t></w:t>
            </w:r>
            <w:r w:rsidRPr="00E20765">
              <w:rPr>
                <w:sz w:val="22"/>
                <w:szCs w:val="22"/>
                <w:lang w:val="el-GR" w:eastAsia="da-DK"/>
              </w:rPr>
              <w:t>1/10</w:t>
            </w:r>
            <w:r w:rsidRPr="00E20765">
              <w:rPr>
                <w:sz w:val="22"/>
                <w:szCs w:val="22"/>
                <w:lang w:eastAsia="da-DK"/>
              </w:rPr>
              <w:t>.</w:t>
            </w:r>
            <w:r w:rsidRPr="00E20765">
              <w:rPr>
                <w:sz w:val="22"/>
                <w:szCs w:val="22"/>
                <w:lang w:val="el-GR" w:eastAsia="da-DK"/>
              </w:rPr>
              <w:t>000</w:t>
            </w:r>
            <w:r w:rsidRPr="00E20765">
              <w:rPr>
                <w:sz w:val="22"/>
                <w:szCs w:val="22"/>
                <w:lang w:eastAsia="da-DK"/>
              </w:rPr>
              <w:t xml:space="preserve"> til</w:t>
            </w:r>
            <w:r w:rsidRPr="00E20765">
              <w:rPr>
                <w:sz w:val="22"/>
                <w:szCs w:val="22"/>
                <w:lang w:val="el-GR" w:eastAsia="da-DK"/>
              </w:rPr>
              <w:t xml:space="preserve"> </w:t>
            </w:r>
            <w:r w:rsidRPr="00E20765">
              <w:rPr>
                <w:rFonts w:ascii="Symbol" w:hAnsi="Symbol"/>
                <w:sz w:val="22"/>
                <w:szCs w:val="22"/>
                <w:lang w:eastAsia="da-DK"/>
              </w:rPr>
              <w:t></w:t>
            </w:r>
            <w:r w:rsidRPr="00E20765">
              <w:rPr>
                <w:sz w:val="22"/>
                <w:szCs w:val="22"/>
                <w:lang w:val="el-GR" w:eastAsia="da-DK"/>
              </w:rPr>
              <w:t>1/1</w:t>
            </w:r>
            <w:r w:rsidRPr="00E20765">
              <w:rPr>
                <w:sz w:val="22"/>
                <w:szCs w:val="22"/>
                <w:lang w:eastAsia="da-DK"/>
              </w:rPr>
              <w:t>.</w:t>
            </w:r>
            <w:r w:rsidRPr="00E20765">
              <w:rPr>
                <w:sz w:val="22"/>
                <w:szCs w:val="22"/>
                <w:lang w:val="el-GR" w:eastAsia="da-DK"/>
              </w:rPr>
              <w:t>000)</w:t>
            </w:r>
          </w:p>
        </w:tc>
        <w:tc>
          <w:tcPr>
            <w:tcW w:w="1564" w:type="dxa"/>
            <w:shd w:val="clear" w:color="auto" w:fill="D9D9D9"/>
          </w:tcPr>
          <w:p w:rsidR="00367295" w:rsidRPr="00E20765" w:rsidRDefault="00367295" w:rsidP="003B4BCE">
            <w:pPr>
              <w:rPr>
                <w:b/>
                <w:i/>
                <w:sz w:val="22"/>
                <w:szCs w:val="22"/>
                <w:lang w:eastAsia="da-DK"/>
              </w:rPr>
            </w:pPr>
            <w:r w:rsidRPr="00E20765">
              <w:rPr>
                <w:sz w:val="22"/>
                <w:szCs w:val="22"/>
                <w:lang w:eastAsia="da-DK"/>
              </w:rPr>
              <w:t>Meget sjælden (</w:t>
            </w:r>
            <w:r w:rsidRPr="00E20765">
              <w:rPr>
                <w:rFonts w:ascii="Symbol" w:hAnsi="Symbol"/>
                <w:sz w:val="22"/>
                <w:szCs w:val="22"/>
                <w:lang w:eastAsia="da-DK"/>
              </w:rPr>
              <w:t></w:t>
            </w:r>
            <w:r w:rsidRPr="00E20765">
              <w:rPr>
                <w:sz w:val="22"/>
                <w:szCs w:val="22"/>
                <w:lang w:eastAsia="da-DK"/>
              </w:rPr>
              <w:t>1/10.000)</w:t>
            </w:r>
          </w:p>
          <w:p w:rsidR="00367295" w:rsidRPr="00E20765" w:rsidRDefault="00367295" w:rsidP="003B4BCE">
            <w:pPr>
              <w:tabs>
                <w:tab w:val="left" w:pos="0"/>
                <w:tab w:val="left" w:pos="851"/>
              </w:tabs>
              <w:jc w:val="center"/>
              <w:rPr>
                <w:spacing w:val="-3"/>
                <w:sz w:val="22"/>
                <w:szCs w:val="22"/>
                <w:lang w:eastAsia="da-DK"/>
              </w:rPr>
            </w:pPr>
          </w:p>
        </w:tc>
      </w:tr>
      <w:tr w:rsidR="00367295" w:rsidRPr="00E20765" w:rsidTr="003B4BCE">
        <w:trPr>
          <w:cantSplit/>
          <w:trHeight w:val="152"/>
        </w:trPr>
        <w:tc>
          <w:tcPr>
            <w:tcW w:w="1418" w:type="dxa"/>
            <w:shd w:val="clear" w:color="auto" w:fill="D9D9D9"/>
          </w:tcPr>
          <w:p w:rsidR="00367295" w:rsidRPr="00E20765" w:rsidRDefault="00367295" w:rsidP="003B4BCE">
            <w:pPr>
              <w:ind w:left="-79"/>
              <w:rPr>
                <w:bCs/>
                <w:noProof/>
                <w:sz w:val="22"/>
                <w:szCs w:val="22"/>
                <w:lang w:eastAsia="da-DK"/>
              </w:rPr>
            </w:pPr>
            <w:r w:rsidRPr="00E20765">
              <w:rPr>
                <w:bCs/>
                <w:noProof/>
                <w:sz w:val="22"/>
                <w:szCs w:val="22"/>
                <w:lang w:eastAsia="da-DK"/>
              </w:rPr>
              <w:t xml:space="preserve">Blod og lymfesystem  </w:t>
            </w:r>
          </w:p>
          <w:p w:rsidR="00367295" w:rsidRPr="00E20765" w:rsidRDefault="00367295" w:rsidP="003B4BCE">
            <w:pPr>
              <w:ind w:left="-79"/>
              <w:rPr>
                <w:bCs/>
                <w:noProof/>
                <w:sz w:val="22"/>
                <w:szCs w:val="22"/>
                <w:lang w:eastAsia="da-DK"/>
              </w:rPr>
            </w:pPr>
          </w:p>
        </w:tc>
        <w:tc>
          <w:tcPr>
            <w:tcW w:w="1531" w:type="dxa"/>
          </w:tcPr>
          <w:p w:rsidR="00367295" w:rsidRPr="00E20765" w:rsidRDefault="00367295" w:rsidP="003B4BCE">
            <w:pPr>
              <w:rPr>
                <w:sz w:val="22"/>
                <w:szCs w:val="22"/>
                <w:lang w:eastAsia="da-DK"/>
              </w:rPr>
            </w:pPr>
            <w:r w:rsidRPr="00E20765">
              <w:rPr>
                <w:sz w:val="22"/>
                <w:szCs w:val="22"/>
                <w:lang w:eastAsia="da-DK"/>
              </w:rPr>
              <w:t xml:space="preserve">Hæmning af </w:t>
            </w:r>
            <w:proofErr w:type="spellStart"/>
            <w:r w:rsidRPr="00E20765">
              <w:rPr>
                <w:sz w:val="22"/>
                <w:szCs w:val="22"/>
                <w:lang w:eastAsia="da-DK"/>
              </w:rPr>
              <w:t>trombocytag</w:t>
            </w:r>
            <w:r>
              <w:rPr>
                <w:sz w:val="22"/>
                <w:szCs w:val="22"/>
                <w:lang w:eastAsia="da-DK"/>
              </w:rPr>
              <w:softHyphen/>
            </w:r>
            <w:r w:rsidRPr="00E20765">
              <w:rPr>
                <w:sz w:val="22"/>
                <w:szCs w:val="22"/>
                <w:lang w:eastAsia="da-DK"/>
              </w:rPr>
              <w:t>gregation</w:t>
            </w:r>
            <w:proofErr w:type="spellEnd"/>
            <w:r w:rsidRPr="00E20765">
              <w:rPr>
                <w:sz w:val="22"/>
                <w:szCs w:val="22"/>
                <w:lang w:eastAsia="da-DK"/>
              </w:rPr>
              <w:t>.</w:t>
            </w:r>
          </w:p>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r w:rsidRPr="00E20765">
              <w:rPr>
                <w:sz w:val="22"/>
                <w:szCs w:val="22"/>
                <w:lang w:eastAsia="da-DK"/>
              </w:rPr>
              <w:t>Øget blødningstendens.</w:t>
            </w:r>
          </w:p>
          <w:p w:rsidR="00367295" w:rsidRPr="00E20765" w:rsidRDefault="00367295" w:rsidP="003B4BCE">
            <w:pPr>
              <w:rPr>
                <w:sz w:val="22"/>
                <w:szCs w:val="22"/>
                <w:lang w:eastAsia="da-DK"/>
              </w:rPr>
            </w:pPr>
          </w:p>
          <w:p w:rsidR="00367295" w:rsidRPr="00E20765" w:rsidRDefault="00367295" w:rsidP="003B4BCE">
            <w:pPr>
              <w:tabs>
                <w:tab w:val="left" w:pos="0"/>
                <w:tab w:val="left" w:pos="851"/>
              </w:tabs>
              <w:rPr>
                <w:sz w:val="22"/>
                <w:szCs w:val="22"/>
                <w:lang w:eastAsia="da-DK"/>
              </w:rPr>
            </w:pPr>
          </w:p>
        </w:tc>
        <w:tc>
          <w:tcPr>
            <w:tcW w:w="1564" w:type="dxa"/>
          </w:tcPr>
          <w:p w:rsidR="00367295" w:rsidRPr="00E20765" w:rsidRDefault="00367295" w:rsidP="003B4BCE">
            <w:pPr>
              <w:ind w:left="-66"/>
              <w:rPr>
                <w:sz w:val="22"/>
                <w:szCs w:val="22"/>
                <w:lang w:eastAsia="da-DK"/>
              </w:rPr>
            </w:pPr>
            <w:r w:rsidRPr="00E20765">
              <w:rPr>
                <w:sz w:val="22"/>
                <w:szCs w:val="22"/>
                <w:lang w:eastAsia="da-DK"/>
              </w:rPr>
              <w:t>Okkult blødning.</w:t>
            </w:r>
          </w:p>
          <w:p w:rsidR="00367295" w:rsidRPr="00E20765" w:rsidRDefault="00367295" w:rsidP="003B4BCE">
            <w:pPr>
              <w:tabs>
                <w:tab w:val="left" w:pos="0"/>
                <w:tab w:val="left" w:pos="851"/>
              </w:tabs>
              <w:ind w:left="-66"/>
              <w:rPr>
                <w:sz w:val="22"/>
                <w:szCs w:val="22"/>
                <w:lang w:eastAsia="da-DK"/>
              </w:rPr>
            </w:pPr>
          </w:p>
        </w:tc>
        <w:tc>
          <w:tcPr>
            <w:tcW w:w="1563" w:type="dxa"/>
          </w:tcPr>
          <w:p w:rsidR="00367295" w:rsidRPr="00E20765" w:rsidRDefault="00367295" w:rsidP="003B4BCE">
            <w:pPr>
              <w:tabs>
                <w:tab w:val="left" w:pos="0"/>
              </w:tabs>
              <w:rPr>
                <w:sz w:val="22"/>
                <w:szCs w:val="22"/>
                <w:lang w:eastAsia="da-DK"/>
              </w:rPr>
            </w:pPr>
            <w:r w:rsidRPr="00E20765">
              <w:rPr>
                <w:sz w:val="22"/>
                <w:szCs w:val="22"/>
                <w:lang w:eastAsia="da-DK"/>
              </w:rPr>
              <w:t>Anæmi ved langtidsbe</w:t>
            </w:r>
            <w:r>
              <w:rPr>
                <w:sz w:val="22"/>
                <w:szCs w:val="22"/>
                <w:lang w:eastAsia="da-DK"/>
              </w:rPr>
              <w:softHyphen/>
            </w:r>
            <w:r w:rsidRPr="00E20765">
              <w:rPr>
                <w:sz w:val="22"/>
                <w:szCs w:val="22"/>
                <w:lang w:eastAsia="da-DK"/>
              </w:rPr>
              <w:t xml:space="preserve">handling, </w:t>
            </w:r>
            <w:proofErr w:type="spellStart"/>
            <w:r w:rsidRPr="00E20765">
              <w:rPr>
                <w:sz w:val="22"/>
                <w:szCs w:val="22"/>
                <w:lang w:eastAsia="da-DK"/>
              </w:rPr>
              <w:t>hæmolyse</w:t>
            </w:r>
            <w:proofErr w:type="spellEnd"/>
            <w:r w:rsidRPr="00E20765">
              <w:rPr>
                <w:sz w:val="22"/>
                <w:szCs w:val="22"/>
                <w:lang w:eastAsia="da-DK"/>
              </w:rPr>
              <w:t xml:space="preserve"> ved medfø</w:t>
            </w:r>
            <w:r>
              <w:rPr>
                <w:sz w:val="22"/>
                <w:szCs w:val="22"/>
                <w:lang w:eastAsia="da-DK"/>
              </w:rPr>
              <w:t>dt glucose-6-fosfat</w:t>
            </w:r>
            <w:r w:rsidRPr="00E20765">
              <w:rPr>
                <w:sz w:val="22"/>
                <w:szCs w:val="22"/>
                <w:lang w:eastAsia="da-DK"/>
              </w:rPr>
              <w:t>dehydro</w:t>
            </w:r>
            <w:r>
              <w:rPr>
                <w:sz w:val="22"/>
                <w:szCs w:val="22"/>
                <w:lang w:eastAsia="da-DK"/>
              </w:rPr>
              <w:softHyphen/>
            </w:r>
            <w:r>
              <w:rPr>
                <w:sz w:val="22"/>
                <w:szCs w:val="22"/>
                <w:lang w:eastAsia="da-DK"/>
              </w:rPr>
              <w:softHyphen/>
              <w:t>-</w:t>
            </w:r>
            <w:r w:rsidRPr="00E20765">
              <w:rPr>
                <w:sz w:val="22"/>
                <w:szCs w:val="22"/>
                <w:lang w:eastAsia="da-DK"/>
              </w:rPr>
              <w:t>genmangel.</w:t>
            </w:r>
          </w:p>
        </w:tc>
        <w:tc>
          <w:tcPr>
            <w:tcW w:w="1564" w:type="dxa"/>
          </w:tcPr>
          <w:p w:rsidR="00367295" w:rsidRPr="00E20765" w:rsidRDefault="00367295" w:rsidP="003B4BCE">
            <w:pPr>
              <w:rPr>
                <w:spacing w:val="-3"/>
                <w:sz w:val="22"/>
                <w:szCs w:val="22"/>
                <w:lang w:eastAsia="da-DK"/>
              </w:rPr>
            </w:pPr>
            <w:proofErr w:type="spellStart"/>
            <w:r w:rsidRPr="00E20765">
              <w:rPr>
                <w:sz w:val="22"/>
                <w:szCs w:val="22"/>
                <w:lang w:eastAsia="da-DK"/>
              </w:rPr>
              <w:t>Hypoprotrom-binæmi</w:t>
            </w:r>
            <w:proofErr w:type="spellEnd"/>
            <w:r w:rsidRPr="00E20765">
              <w:rPr>
                <w:sz w:val="22"/>
                <w:szCs w:val="22"/>
                <w:lang w:eastAsia="da-DK"/>
              </w:rPr>
              <w:t xml:space="preserve"> (høje doser), </w:t>
            </w:r>
            <w:proofErr w:type="spellStart"/>
            <w:r w:rsidRPr="00E20765">
              <w:rPr>
                <w:sz w:val="22"/>
                <w:szCs w:val="22"/>
                <w:lang w:eastAsia="da-DK"/>
              </w:rPr>
              <w:t>trombocytope</w:t>
            </w:r>
            <w:r>
              <w:rPr>
                <w:sz w:val="22"/>
                <w:szCs w:val="22"/>
                <w:lang w:eastAsia="da-DK"/>
              </w:rPr>
              <w:softHyphen/>
            </w:r>
            <w:r w:rsidRPr="00E20765">
              <w:rPr>
                <w:sz w:val="22"/>
                <w:szCs w:val="22"/>
                <w:lang w:eastAsia="da-DK"/>
              </w:rPr>
              <w:t>ni</w:t>
            </w:r>
            <w:proofErr w:type="spellEnd"/>
            <w:r w:rsidRPr="00E20765">
              <w:rPr>
                <w:sz w:val="22"/>
                <w:szCs w:val="22"/>
                <w:lang w:eastAsia="da-DK"/>
              </w:rPr>
              <w:t>,</w:t>
            </w:r>
            <w:r w:rsidRPr="00E20765">
              <w:rPr>
                <w:b/>
                <w:sz w:val="22"/>
                <w:szCs w:val="22"/>
                <w:lang w:eastAsia="da-DK"/>
              </w:rPr>
              <w:t xml:space="preserve"> </w:t>
            </w:r>
            <w:proofErr w:type="spellStart"/>
            <w:r w:rsidRPr="00E20765">
              <w:rPr>
                <w:sz w:val="22"/>
                <w:szCs w:val="22"/>
                <w:lang w:eastAsia="da-DK"/>
              </w:rPr>
              <w:t>neutropeni</w:t>
            </w:r>
            <w:proofErr w:type="spellEnd"/>
            <w:r w:rsidRPr="00E20765">
              <w:rPr>
                <w:sz w:val="22"/>
                <w:szCs w:val="22"/>
                <w:lang w:eastAsia="da-DK"/>
              </w:rPr>
              <w:t xml:space="preserve">, </w:t>
            </w:r>
            <w:proofErr w:type="spellStart"/>
            <w:r w:rsidRPr="00E20765">
              <w:rPr>
                <w:sz w:val="22"/>
                <w:szCs w:val="22"/>
                <w:lang w:eastAsia="da-DK"/>
              </w:rPr>
              <w:t>eosinofili</w:t>
            </w:r>
            <w:proofErr w:type="spellEnd"/>
            <w:r w:rsidRPr="00E20765">
              <w:rPr>
                <w:sz w:val="22"/>
                <w:szCs w:val="22"/>
                <w:lang w:eastAsia="da-DK"/>
              </w:rPr>
              <w:t xml:space="preserve">, </w:t>
            </w:r>
            <w:proofErr w:type="spellStart"/>
            <w:r w:rsidRPr="00E20765">
              <w:rPr>
                <w:sz w:val="22"/>
                <w:szCs w:val="22"/>
                <w:lang w:eastAsia="da-DK"/>
              </w:rPr>
              <w:t>agranulocyto</w:t>
            </w:r>
            <w:r>
              <w:rPr>
                <w:sz w:val="22"/>
                <w:szCs w:val="22"/>
                <w:lang w:eastAsia="da-DK"/>
              </w:rPr>
              <w:softHyphen/>
            </w:r>
            <w:r w:rsidRPr="00E20765">
              <w:rPr>
                <w:sz w:val="22"/>
                <w:szCs w:val="22"/>
                <w:lang w:eastAsia="da-DK"/>
              </w:rPr>
              <w:t>se</w:t>
            </w:r>
            <w:proofErr w:type="spellEnd"/>
            <w:r w:rsidRPr="00E20765">
              <w:rPr>
                <w:sz w:val="22"/>
                <w:szCs w:val="22"/>
                <w:lang w:eastAsia="da-DK"/>
              </w:rPr>
              <w:t xml:space="preserve">, </w:t>
            </w:r>
            <w:proofErr w:type="spellStart"/>
            <w:r w:rsidRPr="00E20765">
              <w:rPr>
                <w:sz w:val="22"/>
                <w:szCs w:val="22"/>
                <w:lang w:eastAsia="da-DK"/>
              </w:rPr>
              <w:t>aplastisk</w:t>
            </w:r>
            <w:proofErr w:type="spellEnd"/>
            <w:r w:rsidRPr="00E20765">
              <w:rPr>
                <w:sz w:val="22"/>
                <w:szCs w:val="22"/>
                <w:lang w:eastAsia="da-DK"/>
              </w:rPr>
              <w:t xml:space="preserve"> anæmi.</w:t>
            </w:r>
          </w:p>
        </w:tc>
      </w:tr>
      <w:tr w:rsidR="00367295" w:rsidRPr="00E20765" w:rsidTr="003B4BCE">
        <w:trPr>
          <w:cantSplit/>
          <w:trHeight w:val="421"/>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 xml:space="preserve">Immun-systemet </w:t>
            </w: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proofErr w:type="spellStart"/>
            <w:r w:rsidRPr="00E20765">
              <w:rPr>
                <w:sz w:val="22"/>
                <w:szCs w:val="22"/>
                <w:lang w:eastAsia="da-DK"/>
              </w:rPr>
              <w:t>Anafylaktiske</w:t>
            </w:r>
            <w:proofErr w:type="spellEnd"/>
            <w:r w:rsidRPr="00E20765">
              <w:rPr>
                <w:sz w:val="22"/>
                <w:szCs w:val="22"/>
                <w:lang w:eastAsia="da-DK"/>
              </w:rPr>
              <w:t xml:space="preserve"> reaktioner.</w:t>
            </w:r>
          </w:p>
        </w:tc>
        <w:tc>
          <w:tcPr>
            <w:tcW w:w="1563" w:type="dxa"/>
          </w:tcPr>
          <w:p w:rsidR="00367295" w:rsidRPr="00E20765" w:rsidRDefault="00367295" w:rsidP="003B4BCE">
            <w:pPr>
              <w:rPr>
                <w:sz w:val="22"/>
                <w:szCs w:val="22"/>
                <w:lang w:eastAsia="da-DK"/>
              </w:rPr>
            </w:pPr>
          </w:p>
        </w:tc>
        <w:tc>
          <w:tcPr>
            <w:tcW w:w="1564" w:type="dxa"/>
          </w:tcPr>
          <w:p w:rsidR="00367295" w:rsidRPr="00E20765" w:rsidRDefault="00367295" w:rsidP="003B4BCE">
            <w:pPr>
              <w:tabs>
                <w:tab w:val="left" w:pos="0"/>
                <w:tab w:val="left" w:pos="851"/>
              </w:tabs>
              <w:rPr>
                <w:sz w:val="22"/>
                <w:szCs w:val="22"/>
                <w:lang w:eastAsia="da-DK"/>
              </w:rPr>
            </w:pPr>
          </w:p>
        </w:tc>
      </w:tr>
      <w:tr w:rsidR="00367295" w:rsidRPr="00E20765" w:rsidTr="003B4BCE">
        <w:trPr>
          <w:cantSplit/>
          <w:trHeight w:val="733"/>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Det endokrine system</w:t>
            </w: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p>
        </w:tc>
        <w:tc>
          <w:tcPr>
            <w:tcW w:w="1563" w:type="dxa"/>
          </w:tcPr>
          <w:p w:rsidR="00367295" w:rsidRPr="00E20765" w:rsidRDefault="00367295" w:rsidP="003B4BCE">
            <w:pPr>
              <w:rPr>
                <w:sz w:val="22"/>
                <w:szCs w:val="22"/>
                <w:lang w:eastAsia="da-DK"/>
              </w:rPr>
            </w:pPr>
            <w:r w:rsidRPr="00E20765">
              <w:rPr>
                <w:sz w:val="22"/>
                <w:szCs w:val="22"/>
                <w:lang w:eastAsia="da-DK"/>
              </w:rPr>
              <w:t>Hypoglykæmi.</w:t>
            </w:r>
          </w:p>
        </w:tc>
        <w:tc>
          <w:tcPr>
            <w:tcW w:w="1564" w:type="dxa"/>
          </w:tcPr>
          <w:p w:rsidR="00367295" w:rsidRPr="00E20765" w:rsidRDefault="00367295" w:rsidP="003B4BCE">
            <w:pPr>
              <w:tabs>
                <w:tab w:val="left" w:pos="0"/>
                <w:tab w:val="left" w:pos="851"/>
              </w:tabs>
              <w:rPr>
                <w:sz w:val="22"/>
                <w:szCs w:val="22"/>
                <w:lang w:eastAsia="da-DK"/>
              </w:rPr>
            </w:pPr>
          </w:p>
        </w:tc>
      </w:tr>
      <w:tr w:rsidR="00367295" w:rsidRPr="00E20765" w:rsidTr="003B4BCE">
        <w:trPr>
          <w:cantSplit/>
          <w:trHeight w:val="480"/>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 xml:space="preserve">Psykiske forstyrrelser   </w:t>
            </w: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r w:rsidRPr="00E20765">
              <w:rPr>
                <w:sz w:val="22"/>
                <w:szCs w:val="22"/>
                <w:lang w:eastAsia="da-DK"/>
              </w:rPr>
              <w:t>Søvnløshed.</w:t>
            </w:r>
          </w:p>
        </w:tc>
        <w:tc>
          <w:tcPr>
            <w:tcW w:w="1564" w:type="dxa"/>
          </w:tcPr>
          <w:p w:rsidR="00367295" w:rsidRPr="00E20765" w:rsidRDefault="00367295" w:rsidP="003B4BCE">
            <w:pPr>
              <w:ind w:left="-66"/>
              <w:rPr>
                <w:sz w:val="22"/>
                <w:szCs w:val="22"/>
                <w:lang w:eastAsia="da-DK"/>
              </w:rPr>
            </w:pPr>
          </w:p>
        </w:tc>
        <w:tc>
          <w:tcPr>
            <w:tcW w:w="1563" w:type="dxa"/>
          </w:tcPr>
          <w:p w:rsidR="00367295" w:rsidRPr="00E20765" w:rsidRDefault="00367295" w:rsidP="003B4BCE">
            <w:pPr>
              <w:rPr>
                <w:sz w:val="22"/>
                <w:szCs w:val="22"/>
                <w:lang w:eastAsia="da-DK"/>
              </w:rPr>
            </w:pPr>
          </w:p>
        </w:tc>
        <w:tc>
          <w:tcPr>
            <w:tcW w:w="1564" w:type="dxa"/>
          </w:tcPr>
          <w:p w:rsidR="00367295" w:rsidRPr="00E20765" w:rsidRDefault="00367295" w:rsidP="003B4BCE">
            <w:pPr>
              <w:tabs>
                <w:tab w:val="left" w:pos="0"/>
                <w:tab w:val="left" w:pos="851"/>
              </w:tabs>
              <w:rPr>
                <w:sz w:val="22"/>
                <w:szCs w:val="22"/>
                <w:lang w:eastAsia="da-DK"/>
              </w:rPr>
            </w:pPr>
          </w:p>
        </w:tc>
      </w:tr>
      <w:tr w:rsidR="00367295" w:rsidRPr="00E20765" w:rsidTr="003B4BCE">
        <w:trPr>
          <w:cantSplit/>
          <w:trHeight w:val="152"/>
        </w:trPr>
        <w:tc>
          <w:tcPr>
            <w:tcW w:w="1418" w:type="dxa"/>
            <w:shd w:val="clear" w:color="auto" w:fill="D9D9D9"/>
          </w:tcPr>
          <w:p w:rsidR="00367295" w:rsidRPr="00E20765" w:rsidRDefault="00367295" w:rsidP="003B4BCE">
            <w:pPr>
              <w:ind w:left="-79"/>
              <w:rPr>
                <w:bCs/>
                <w:noProof/>
                <w:sz w:val="22"/>
                <w:szCs w:val="22"/>
                <w:lang w:eastAsia="da-DK"/>
              </w:rPr>
            </w:pPr>
            <w:r w:rsidRPr="00E20765">
              <w:rPr>
                <w:bCs/>
                <w:noProof/>
                <w:sz w:val="22"/>
                <w:szCs w:val="22"/>
                <w:lang w:eastAsia="da-DK"/>
              </w:rPr>
              <w:t xml:space="preserve">Nerve-systemet  </w:t>
            </w: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r w:rsidRPr="00E20765">
              <w:rPr>
                <w:sz w:val="22"/>
                <w:szCs w:val="22"/>
                <w:lang w:eastAsia="da-DK"/>
              </w:rPr>
              <w:t>Hovedpine.</w:t>
            </w:r>
          </w:p>
          <w:p w:rsidR="00367295" w:rsidRPr="00E20765" w:rsidRDefault="00367295" w:rsidP="003B4BCE">
            <w:pPr>
              <w:tabs>
                <w:tab w:val="left" w:pos="0"/>
                <w:tab w:val="left" w:pos="851"/>
              </w:tabs>
              <w:rPr>
                <w:spacing w:val="-3"/>
                <w:sz w:val="22"/>
                <w:szCs w:val="22"/>
                <w:lang w:eastAsia="da-DK"/>
              </w:rPr>
            </w:pPr>
          </w:p>
        </w:tc>
        <w:tc>
          <w:tcPr>
            <w:tcW w:w="1564" w:type="dxa"/>
          </w:tcPr>
          <w:p w:rsidR="00367295" w:rsidRPr="00E20765" w:rsidRDefault="00367295" w:rsidP="003B4BCE">
            <w:pPr>
              <w:ind w:left="-66"/>
              <w:rPr>
                <w:spacing w:val="-3"/>
                <w:sz w:val="22"/>
                <w:szCs w:val="22"/>
                <w:lang w:eastAsia="da-DK"/>
              </w:rPr>
            </w:pPr>
            <w:proofErr w:type="spellStart"/>
            <w:r w:rsidRPr="00E20765">
              <w:rPr>
                <w:sz w:val="22"/>
                <w:szCs w:val="22"/>
                <w:lang w:eastAsia="da-DK"/>
              </w:rPr>
              <w:t>Vertigo</w:t>
            </w:r>
            <w:proofErr w:type="spellEnd"/>
            <w:r w:rsidRPr="00E20765">
              <w:rPr>
                <w:sz w:val="22"/>
                <w:szCs w:val="22"/>
                <w:lang w:eastAsia="da-DK"/>
              </w:rPr>
              <w:t xml:space="preserve">, døsighed. </w:t>
            </w:r>
          </w:p>
        </w:tc>
        <w:tc>
          <w:tcPr>
            <w:tcW w:w="1563" w:type="dxa"/>
          </w:tcPr>
          <w:p w:rsidR="00367295" w:rsidRPr="00E20765" w:rsidRDefault="00367295" w:rsidP="003B4BCE">
            <w:pPr>
              <w:tabs>
                <w:tab w:val="left" w:pos="0"/>
              </w:tabs>
              <w:rPr>
                <w:spacing w:val="-3"/>
                <w:sz w:val="22"/>
                <w:szCs w:val="22"/>
                <w:lang w:eastAsia="da-DK"/>
              </w:rPr>
            </w:pPr>
            <w:r w:rsidRPr="00E20765">
              <w:rPr>
                <w:bCs/>
                <w:noProof/>
                <w:sz w:val="22"/>
                <w:szCs w:val="22"/>
                <w:lang w:eastAsia="da-DK"/>
              </w:rPr>
              <w:t>Intracerebral hæmorrhagi.</w:t>
            </w:r>
          </w:p>
        </w:tc>
        <w:tc>
          <w:tcPr>
            <w:tcW w:w="1564" w:type="dxa"/>
          </w:tcPr>
          <w:p w:rsidR="00367295" w:rsidRPr="00E20765" w:rsidRDefault="00367295" w:rsidP="003B4BCE">
            <w:pPr>
              <w:tabs>
                <w:tab w:val="left" w:pos="0"/>
                <w:tab w:val="left" w:pos="851"/>
              </w:tabs>
              <w:rPr>
                <w:spacing w:val="-3"/>
                <w:sz w:val="22"/>
                <w:szCs w:val="22"/>
                <w:lang w:eastAsia="da-DK"/>
              </w:rPr>
            </w:pPr>
          </w:p>
        </w:tc>
      </w:tr>
      <w:tr w:rsidR="00367295" w:rsidRPr="00E20765" w:rsidTr="003B4BCE">
        <w:trPr>
          <w:cantSplit/>
          <w:trHeight w:val="152"/>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 xml:space="preserve">Øre og labyrint  </w:t>
            </w:r>
          </w:p>
          <w:p w:rsidR="00367295" w:rsidRPr="00E20765" w:rsidRDefault="00367295" w:rsidP="003B4BCE">
            <w:pPr>
              <w:ind w:left="-79"/>
              <w:rPr>
                <w:bCs/>
                <w:noProof/>
                <w:sz w:val="22"/>
                <w:szCs w:val="22"/>
                <w:lang w:eastAsia="da-DK"/>
              </w:rPr>
            </w:pP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r w:rsidRPr="00E20765">
              <w:rPr>
                <w:sz w:val="22"/>
                <w:szCs w:val="22"/>
                <w:lang w:eastAsia="da-DK"/>
              </w:rPr>
              <w:t>Tinnitus.</w:t>
            </w:r>
          </w:p>
        </w:tc>
        <w:tc>
          <w:tcPr>
            <w:tcW w:w="1563" w:type="dxa"/>
          </w:tcPr>
          <w:p w:rsidR="00367295" w:rsidRPr="00E20765" w:rsidRDefault="00367295" w:rsidP="003B4BCE">
            <w:pPr>
              <w:rPr>
                <w:sz w:val="22"/>
                <w:szCs w:val="22"/>
                <w:lang w:eastAsia="da-DK"/>
              </w:rPr>
            </w:pPr>
            <w:r w:rsidRPr="00E20765">
              <w:rPr>
                <w:sz w:val="22"/>
                <w:szCs w:val="22"/>
                <w:lang w:eastAsia="da-DK"/>
              </w:rPr>
              <w:t>Dosisrelateret reversibelt tab af hørelse og døvhed (ved lavere plasmakoncen</w:t>
            </w:r>
            <w:r>
              <w:rPr>
                <w:sz w:val="22"/>
                <w:szCs w:val="22"/>
                <w:lang w:eastAsia="da-DK"/>
              </w:rPr>
              <w:softHyphen/>
            </w:r>
            <w:r w:rsidRPr="00E20765">
              <w:rPr>
                <w:sz w:val="22"/>
                <w:szCs w:val="22"/>
                <w:lang w:eastAsia="da-DK"/>
              </w:rPr>
              <w:t>trationer).</w:t>
            </w:r>
          </w:p>
        </w:tc>
        <w:tc>
          <w:tcPr>
            <w:tcW w:w="1564" w:type="dxa"/>
          </w:tcPr>
          <w:p w:rsidR="00367295" w:rsidRPr="00E20765" w:rsidRDefault="00367295" w:rsidP="003B4BCE">
            <w:pPr>
              <w:tabs>
                <w:tab w:val="left" w:pos="0"/>
                <w:tab w:val="left" w:pos="851"/>
              </w:tabs>
              <w:rPr>
                <w:spacing w:val="-3"/>
                <w:sz w:val="22"/>
                <w:szCs w:val="22"/>
                <w:lang w:eastAsia="da-DK"/>
              </w:rPr>
            </w:pPr>
          </w:p>
        </w:tc>
      </w:tr>
      <w:tr w:rsidR="00367295" w:rsidRPr="00E20765" w:rsidTr="003B4BCE">
        <w:trPr>
          <w:cantSplit/>
          <w:trHeight w:val="542"/>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Vaskulære sygdomme</w:t>
            </w: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p>
        </w:tc>
        <w:tc>
          <w:tcPr>
            <w:tcW w:w="1563" w:type="dxa"/>
          </w:tcPr>
          <w:p w:rsidR="00367295" w:rsidRPr="00E20765" w:rsidRDefault="00367295" w:rsidP="003B4BCE">
            <w:pPr>
              <w:rPr>
                <w:sz w:val="22"/>
                <w:szCs w:val="22"/>
                <w:lang w:eastAsia="da-DK"/>
              </w:rPr>
            </w:pPr>
            <w:proofErr w:type="spellStart"/>
            <w:r w:rsidRPr="00E20765">
              <w:rPr>
                <w:sz w:val="22"/>
                <w:szCs w:val="22"/>
                <w:lang w:eastAsia="da-DK"/>
              </w:rPr>
              <w:t>Hæmoragisk</w:t>
            </w:r>
            <w:proofErr w:type="spellEnd"/>
            <w:r w:rsidRPr="00E20765">
              <w:rPr>
                <w:sz w:val="22"/>
                <w:szCs w:val="22"/>
                <w:lang w:eastAsia="da-DK"/>
              </w:rPr>
              <w:t xml:space="preserve"> </w:t>
            </w:r>
            <w:proofErr w:type="spellStart"/>
            <w:r w:rsidRPr="00E20765">
              <w:rPr>
                <w:sz w:val="22"/>
                <w:szCs w:val="22"/>
                <w:lang w:eastAsia="da-DK"/>
              </w:rPr>
              <w:t>vaskulit</w:t>
            </w:r>
            <w:proofErr w:type="spellEnd"/>
            <w:r w:rsidRPr="00E20765">
              <w:rPr>
                <w:sz w:val="22"/>
                <w:szCs w:val="22"/>
                <w:lang w:eastAsia="da-DK"/>
              </w:rPr>
              <w:t>.</w:t>
            </w:r>
          </w:p>
        </w:tc>
        <w:tc>
          <w:tcPr>
            <w:tcW w:w="1564" w:type="dxa"/>
          </w:tcPr>
          <w:p w:rsidR="00367295" w:rsidRPr="00E20765" w:rsidRDefault="00367295" w:rsidP="003B4BCE">
            <w:pPr>
              <w:tabs>
                <w:tab w:val="left" w:pos="0"/>
                <w:tab w:val="left" w:pos="851"/>
              </w:tabs>
              <w:rPr>
                <w:sz w:val="22"/>
                <w:szCs w:val="22"/>
                <w:lang w:eastAsia="da-DK"/>
              </w:rPr>
            </w:pPr>
          </w:p>
        </w:tc>
      </w:tr>
      <w:tr w:rsidR="00367295" w:rsidRPr="00E20765" w:rsidTr="003B4BCE">
        <w:trPr>
          <w:cantSplit/>
          <w:trHeight w:val="152"/>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 xml:space="preserve">Luftveje, thorax og mediastinum  </w:t>
            </w:r>
          </w:p>
          <w:p w:rsidR="00367295" w:rsidRPr="00E20765" w:rsidRDefault="00367295" w:rsidP="003B4BCE">
            <w:pPr>
              <w:ind w:left="-79"/>
              <w:rPr>
                <w:noProof/>
                <w:sz w:val="22"/>
                <w:szCs w:val="22"/>
                <w:lang w:eastAsia="da-DK"/>
              </w:rPr>
            </w:pP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roofErr w:type="spellStart"/>
            <w:r w:rsidRPr="00E20765">
              <w:rPr>
                <w:sz w:val="22"/>
                <w:szCs w:val="22"/>
                <w:lang w:eastAsia="da-DK"/>
              </w:rPr>
              <w:t>Bronkospasmer</w:t>
            </w:r>
            <w:proofErr w:type="spellEnd"/>
            <w:r w:rsidRPr="00E20765">
              <w:rPr>
                <w:sz w:val="22"/>
                <w:szCs w:val="22"/>
                <w:lang w:eastAsia="da-DK"/>
              </w:rPr>
              <w:t xml:space="preserve"> hos astma patienter (se pkt. 4.4).</w:t>
            </w:r>
          </w:p>
        </w:tc>
        <w:tc>
          <w:tcPr>
            <w:tcW w:w="1564" w:type="dxa"/>
          </w:tcPr>
          <w:p w:rsidR="00367295" w:rsidRPr="00E20765" w:rsidRDefault="00367295" w:rsidP="003B4BCE">
            <w:pPr>
              <w:ind w:left="-66"/>
              <w:rPr>
                <w:sz w:val="22"/>
                <w:szCs w:val="22"/>
                <w:lang w:eastAsia="da-DK"/>
              </w:rPr>
            </w:pPr>
            <w:r w:rsidRPr="00E20765">
              <w:rPr>
                <w:sz w:val="22"/>
                <w:szCs w:val="22"/>
                <w:lang w:eastAsia="da-DK"/>
              </w:rPr>
              <w:t>Dyspnø.</w:t>
            </w:r>
          </w:p>
          <w:p w:rsidR="00367295" w:rsidRPr="00E20765" w:rsidRDefault="00367295" w:rsidP="003B4BCE">
            <w:pPr>
              <w:tabs>
                <w:tab w:val="left" w:pos="567"/>
                <w:tab w:val="left" w:pos="851"/>
                <w:tab w:val="num" w:pos="1134"/>
                <w:tab w:val="left" w:pos="1418"/>
                <w:tab w:val="left" w:pos="5000"/>
                <w:tab w:val="left" w:pos="6680"/>
              </w:tabs>
              <w:ind w:left="-66"/>
              <w:rPr>
                <w:sz w:val="22"/>
                <w:szCs w:val="22"/>
                <w:lang w:eastAsia="da-DK"/>
              </w:rPr>
            </w:pPr>
          </w:p>
        </w:tc>
        <w:tc>
          <w:tcPr>
            <w:tcW w:w="1563" w:type="dxa"/>
          </w:tcPr>
          <w:p w:rsidR="00367295" w:rsidRPr="00E20765" w:rsidRDefault="00367295" w:rsidP="003B4BCE">
            <w:pPr>
              <w:tabs>
                <w:tab w:val="left" w:pos="567"/>
                <w:tab w:val="num" w:pos="1134"/>
                <w:tab w:val="left" w:pos="1418"/>
                <w:tab w:val="left" w:pos="5000"/>
                <w:tab w:val="left" w:pos="6680"/>
              </w:tabs>
              <w:rPr>
                <w:sz w:val="22"/>
                <w:szCs w:val="22"/>
                <w:lang w:eastAsia="da-DK"/>
              </w:rPr>
            </w:pPr>
          </w:p>
        </w:tc>
        <w:tc>
          <w:tcPr>
            <w:tcW w:w="1564" w:type="dxa"/>
          </w:tcPr>
          <w:p w:rsidR="00367295" w:rsidRPr="00E20765" w:rsidRDefault="00367295" w:rsidP="003B4BCE">
            <w:pPr>
              <w:tabs>
                <w:tab w:val="left" w:pos="0"/>
                <w:tab w:val="left" w:pos="851"/>
              </w:tabs>
              <w:rPr>
                <w:spacing w:val="-3"/>
                <w:sz w:val="22"/>
                <w:szCs w:val="22"/>
                <w:lang w:eastAsia="da-DK"/>
              </w:rPr>
            </w:pPr>
          </w:p>
        </w:tc>
      </w:tr>
      <w:tr w:rsidR="00367295" w:rsidRPr="00E20765" w:rsidTr="003B4BCE">
        <w:trPr>
          <w:cantSplit/>
          <w:trHeight w:val="152"/>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 xml:space="preserve">Mave-tarm-kanalen  </w:t>
            </w:r>
          </w:p>
          <w:p w:rsidR="00367295" w:rsidRPr="00E20765" w:rsidRDefault="00367295" w:rsidP="003B4BCE">
            <w:pPr>
              <w:ind w:left="-79"/>
              <w:rPr>
                <w:noProof/>
                <w:sz w:val="22"/>
                <w:szCs w:val="22"/>
                <w:lang w:eastAsia="da-DK"/>
              </w:rPr>
            </w:pPr>
          </w:p>
        </w:tc>
        <w:tc>
          <w:tcPr>
            <w:tcW w:w="1531" w:type="dxa"/>
          </w:tcPr>
          <w:p w:rsidR="00367295" w:rsidRPr="00E20765" w:rsidRDefault="00367295" w:rsidP="003B4BCE">
            <w:pPr>
              <w:rPr>
                <w:sz w:val="22"/>
                <w:szCs w:val="22"/>
                <w:lang w:eastAsia="da-DK"/>
              </w:rPr>
            </w:pPr>
            <w:r w:rsidRPr="00E20765">
              <w:rPr>
                <w:sz w:val="22"/>
                <w:szCs w:val="22"/>
                <w:lang w:eastAsia="da-DK"/>
              </w:rPr>
              <w:t xml:space="preserve">Halsbrand, sure opstød, </w:t>
            </w:r>
            <w:proofErr w:type="spellStart"/>
            <w:r w:rsidRPr="00E20765">
              <w:rPr>
                <w:sz w:val="22"/>
                <w:szCs w:val="22"/>
                <w:lang w:eastAsia="da-DK"/>
              </w:rPr>
              <w:t>abdominal</w:t>
            </w:r>
            <w:r>
              <w:rPr>
                <w:sz w:val="22"/>
                <w:szCs w:val="22"/>
                <w:lang w:eastAsia="da-DK"/>
              </w:rPr>
              <w:softHyphen/>
            </w:r>
            <w:r w:rsidRPr="00E20765">
              <w:rPr>
                <w:sz w:val="22"/>
                <w:szCs w:val="22"/>
                <w:lang w:eastAsia="da-DK"/>
              </w:rPr>
              <w:t>smerter</w:t>
            </w:r>
            <w:proofErr w:type="spellEnd"/>
            <w:r w:rsidRPr="00E20765">
              <w:rPr>
                <w:sz w:val="22"/>
                <w:szCs w:val="22"/>
                <w:lang w:eastAsia="da-DK"/>
              </w:rPr>
              <w:t xml:space="preserve">. </w:t>
            </w:r>
          </w:p>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roofErr w:type="spellStart"/>
            <w:r w:rsidRPr="00E20765">
              <w:rPr>
                <w:sz w:val="22"/>
                <w:szCs w:val="22"/>
                <w:lang w:eastAsia="da-DK"/>
              </w:rPr>
              <w:t>Erytem</w:t>
            </w:r>
            <w:proofErr w:type="spellEnd"/>
            <w:r w:rsidRPr="00E20765">
              <w:rPr>
                <w:sz w:val="22"/>
                <w:szCs w:val="22"/>
                <w:lang w:eastAsia="da-DK"/>
              </w:rPr>
              <w:t xml:space="preserve"> og erosion i den øvre del af mave-tarm</w:t>
            </w:r>
            <w:r>
              <w:rPr>
                <w:sz w:val="22"/>
                <w:szCs w:val="22"/>
                <w:lang w:eastAsia="da-DK"/>
              </w:rPr>
              <w:t>-</w:t>
            </w:r>
            <w:r w:rsidRPr="00E20765">
              <w:rPr>
                <w:sz w:val="22"/>
                <w:szCs w:val="22"/>
                <w:lang w:eastAsia="da-DK"/>
              </w:rPr>
              <w:t>kana</w:t>
            </w:r>
            <w:r>
              <w:rPr>
                <w:sz w:val="22"/>
                <w:szCs w:val="22"/>
                <w:lang w:eastAsia="da-DK"/>
              </w:rPr>
              <w:softHyphen/>
            </w:r>
            <w:r w:rsidRPr="00E20765">
              <w:rPr>
                <w:sz w:val="22"/>
                <w:szCs w:val="22"/>
                <w:lang w:eastAsia="da-DK"/>
              </w:rPr>
              <w:t xml:space="preserve">len, kvalme, opkastning, </w:t>
            </w:r>
            <w:proofErr w:type="spellStart"/>
            <w:r w:rsidRPr="00E20765">
              <w:rPr>
                <w:sz w:val="22"/>
                <w:szCs w:val="22"/>
                <w:lang w:eastAsia="da-DK"/>
              </w:rPr>
              <w:t>diaré</w:t>
            </w:r>
            <w:proofErr w:type="spellEnd"/>
            <w:r w:rsidRPr="00E20765">
              <w:rPr>
                <w:sz w:val="22"/>
                <w:szCs w:val="22"/>
                <w:lang w:eastAsia="da-DK"/>
              </w:rPr>
              <w:t>.</w:t>
            </w:r>
          </w:p>
          <w:p w:rsidR="00367295" w:rsidRPr="00E20765" w:rsidRDefault="00367295" w:rsidP="003B4BCE">
            <w:pPr>
              <w:tabs>
                <w:tab w:val="left" w:pos="0"/>
                <w:tab w:val="left" w:pos="851"/>
              </w:tabs>
              <w:rPr>
                <w:sz w:val="22"/>
                <w:szCs w:val="22"/>
                <w:lang w:eastAsia="da-DK"/>
              </w:rPr>
            </w:pPr>
          </w:p>
        </w:tc>
        <w:tc>
          <w:tcPr>
            <w:tcW w:w="1564" w:type="dxa"/>
          </w:tcPr>
          <w:p w:rsidR="00367295" w:rsidRPr="00E20765" w:rsidRDefault="00367295" w:rsidP="003B4BCE">
            <w:pPr>
              <w:ind w:left="-66"/>
              <w:rPr>
                <w:sz w:val="22"/>
                <w:szCs w:val="22"/>
                <w:lang w:eastAsia="da-DK"/>
              </w:rPr>
            </w:pPr>
            <w:r w:rsidRPr="00E20765">
              <w:rPr>
                <w:noProof/>
                <w:sz w:val="22"/>
                <w:szCs w:val="22"/>
                <w:lang w:eastAsia="da-DK"/>
              </w:rPr>
              <w:t>Sår og blødning i den øvre del af mave-tarm</w:t>
            </w:r>
            <w:r>
              <w:rPr>
                <w:noProof/>
                <w:sz w:val="22"/>
                <w:szCs w:val="22"/>
                <w:lang w:eastAsia="da-DK"/>
              </w:rPr>
              <w:t>-</w:t>
            </w:r>
            <w:r w:rsidRPr="00E20765">
              <w:rPr>
                <w:noProof/>
                <w:sz w:val="22"/>
                <w:szCs w:val="22"/>
                <w:lang w:eastAsia="da-DK"/>
              </w:rPr>
              <w:t>kanalen, hæmatemese, melæna</w:t>
            </w:r>
            <w:r w:rsidRPr="00E20765">
              <w:rPr>
                <w:sz w:val="22"/>
                <w:szCs w:val="22"/>
                <w:lang w:eastAsia="da-DK"/>
              </w:rPr>
              <w:t>.</w:t>
            </w:r>
          </w:p>
          <w:p w:rsidR="00367295" w:rsidRPr="00E20765" w:rsidRDefault="00367295" w:rsidP="003B4BCE">
            <w:pPr>
              <w:tabs>
                <w:tab w:val="left" w:pos="0"/>
                <w:tab w:val="left" w:pos="851"/>
              </w:tabs>
              <w:ind w:left="-66"/>
              <w:rPr>
                <w:sz w:val="22"/>
                <w:szCs w:val="22"/>
                <w:lang w:eastAsia="da-DK"/>
              </w:rPr>
            </w:pPr>
          </w:p>
        </w:tc>
        <w:tc>
          <w:tcPr>
            <w:tcW w:w="1563" w:type="dxa"/>
          </w:tcPr>
          <w:p w:rsidR="00367295" w:rsidRPr="00E20765" w:rsidRDefault="00367295" w:rsidP="003B4BCE">
            <w:pPr>
              <w:rPr>
                <w:sz w:val="22"/>
                <w:szCs w:val="22"/>
                <w:lang w:eastAsia="da-DK"/>
              </w:rPr>
            </w:pPr>
            <w:r w:rsidRPr="00E20765">
              <w:rPr>
                <w:sz w:val="22"/>
                <w:szCs w:val="22"/>
                <w:lang w:eastAsia="da-DK"/>
              </w:rPr>
              <w:t xml:space="preserve">Alvorlig øvre </w:t>
            </w:r>
            <w:proofErr w:type="spellStart"/>
            <w:r w:rsidRPr="00E20765">
              <w:rPr>
                <w:sz w:val="22"/>
                <w:szCs w:val="22"/>
                <w:lang w:eastAsia="da-DK"/>
              </w:rPr>
              <w:t>gastrointestinal</w:t>
            </w:r>
            <w:proofErr w:type="spellEnd"/>
            <w:r w:rsidRPr="00E20765">
              <w:rPr>
                <w:sz w:val="22"/>
                <w:szCs w:val="22"/>
                <w:lang w:eastAsia="da-DK"/>
              </w:rPr>
              <w:t xml:space="preserve"> blødning, perforation.</w:t>
            </w:r>
          </w:p>
          <w:p w:rsidR="00367295" w:rsidRPr="00E20765" w:rsidRDefault="00367295" w:rsidP="003B4BCE">
            <w:pPr>
              <w:tabs>
                <w:tab w:val="left" w:pos="0"/>
              </w:tabs>
              <w:rPr>
                <w:sz w:val="22"/>
                <w:szCs w:val="22"/>
                <w:lang w:eastAsia="da-DK"/>
              </w:rPr>
            </w:pPr>
          </w:p>
        </w:tc>
        <w:tc>
          <w:tcPr>
            <w:tcW w:w="1564" w:type="dxa"/>
          </w:tcPr>
          <w:p w:rsidR="00367295" w:rsidRPr="00E20765" w:rsidRDefault="00367295" w:rsidP="003B4BCE">
            <w:pPr>
              <w:rPr>
                <w:spacing w:val="-3"/>
                <w:sz w:val="22"/>
                <w:szCs w:val="22"/>
                <w:lang w:eastAsia="da-DK"/>
              </w:rPr>
            </w:pPr>
            <w:proofErr w:type="spellStart"/>
            <w:r w:rsidRPr="00E20765">
              <w:rPr>
                <w:sz w:val="22"/>
                <w:szCs w:val="22"/>
                <w:lang w:eastAsia="da-DK"/>
              </w:rPr>
              <w:t>Stomatit</w:t>
            </w:r>
            <w:proofErr w:type="spellEnd"/>
            <w:r w:rsidRPr="00E20765">
              <w:rPr>
                <w:sz w:val="22"/>
                <w:szCs w:val="22"/>
                <w:lang w:eastAsia="da-DK"/>
              </w:rPr>
              <w:t xml:space="preserve">, </w:t>
            </w:r>
            <w:proofErr w:type="spellStart"/>
            <w:r w:rsidRPr="00E20765">
              <w:rPr>
                <w:sz w:val="22"/>
                <w:szCs w:val="22"/>
                <w:lang w:eastAsia="da-DK"/>
              </w:rPr>
              <w:t>øsofagit</w:t>
            </w:r>
            <w:proofErr w:type="spellEnd"/>
            <w:r w:rsidRPr="00E20765">
              <w:rPr>
                <w:sz w:val="22"/>
                <w:szCs w:val="22"/>
                <w:lang w:eastAsia="da-DK"/>
              </w:rPr>
              <w:t xml:space="preserve">, nedre </w:t>
            </w:r>
            <w:proofErr w:type="spellStart"/>
            <w:r w:rsidRPr="00E20765">
              <w:rPr>
                <w:sz w:val="22"/>
                <w:szCs w:val="22"/>
                <w:lang w:eastAsia="da-DK"/>
              </w:rPr>
              <w:t>gastrointestinal</w:t>
            </w:r>
            <w:proofErr w:type="spellEnd"/>
            <w:r w:rsidRPr="00E20765">
              <w:rPr>
                <w:sz w:val="22"/>
                <w:szCs w:val="22"/>
                <w:lang w:eastAsia="da-DK"/>
              </w:rPr>
              <w:t xml:space="preserve"> toksicitet med </w:t>
            </w:r>
            <w:proofErr w:type="spellStart"/>
            <w:r w:rsidRPr="00E20765">
              <w:rPr>
                <w:sz w:val="22"/>
                <w:szCs w:val="22"/>
                <w:lang w:eastAsia="da-DK"/>
              </w:rPr>
              <w:t>ulceration</w:t>
            </w:r>
            <w:proofErr w:type="spellEnd"/>
            <w:r w:rsidRPr="00E20765">
              <w:rPr>
                <w:sz w:val="22"/>
                <w:szCs w:val="22"/>
                <w:lang w:eastAsia="da-DK"/>
              </w:rPr>
              <w:t xml:space="preserve">, strikturer, </w:t>
            </w:r>
            <w:proofErr w:type="spellStart"/>
            <w:r w:rsidRPr="00E20765">
              <w:rPr>
                <w:sz w:val="22"/>
                <w:szCs w:val="22"/>
                <w:lang w:eastAsia="da-DK"/>
              </w:rPr>
              <w:t>kolit</w:t>
            </w:r>
            <w:proofErr w:type="spellEnd"/>
            <w:r w:rsidRPr="00E20765">
              <w:rPr>
                <w:sz w:val="22"/>
                <w:szCs w:val="22"/>
                <w:lang w:eastAsia="da-DK"/>
              </w:rPr>
              <w:t xml:space="preserve">, </w:t>
            </w:r>
            <w:r w:rsidRPr="00E20765">
              <w:rPr>
                <w:noProof/>
                <w:sz w:val="22"/>
                <w:szCs w:val="22"/>
                <w:lang w:eastAsia="da-DK"/>
              </w:rPr>
              <w:t>forværring af inflamma-toriske tarm-sygdomme</w:t>
            </w:r>
            <w:r w:rsidRPr="00E20765">
              <w:rPr>
                <w:b/>
                <w:noProof/>
                <w:sz w:val="22"/>
                <w:szCs w:val="22"/>
                <w:lang w:eastAsia="da-DK"/>
              </w:rPr>
              <w:t>.</w:t>
            </w:r>
          </w:p>
        </w:tc>
      </w:tr>
      <w:tr w:rsidR="00367295" w:rsidRPr="00E20765" w:rsidTr="003B4BCE">
        <w:trPr>
          <w:cantSplit/>
          <w:trHeight w:val="733"/>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lastRenderedPageBreak/>
              <w:t xml:space="preserve">Lever og galdeveje   </w:t>
            </w:r>
          </w:p>
          <w:p w:rsidR="00367295" w:rsidRPr="00E20765" w:rsidRDefault="00367295" w:rsidP="003B4BCE">
            <w:pPr>
              <w:ind w:left="-79"/>
              <w:rPr>
                <w:noProof/>
                <w:sz w:val="22"/>
                <w:szCs w:val="22"/>
                <w:lang w:eastAsia="da-DK"/>
              </w:rPr>
            </w:pP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p>
        </w:tc>
        <w:tc>
          <w:tcPr>
            <w:tcW w:w="1563" w:type="dxa"/>
          </w:tcPr>
          <w:p w:rsidR="00367295" w:rsidRPr="00E20765" w:rsidRDefault="00367295" w:rsidP="003B4BCE">
            <w:pPr>
              <w:rPr>
                <w:sz w:val="22"/>
                <w:szCs w:val="22"/>
                <w:lang w:eastAsia="da-DK"/>
              </w:rPr>
            </w:pPr>
          </w:p>
        </w:tc>
        <w:tc>
          <w:tcPr>
            <w:tcW w:w="1564" w:type="dxa"/>
          </w:tcPr>
          <w:p w:rsidR="00367295" w:rsidRPr="00E20765" w:rsidRDefault="00367295" w:rsidP="003B4BCE">
            <w:pPr>
              <w:rPr>
                <w:sz w:val="22"/>
                <w:szCs w:val="22"/>
                <w:lang w:eastAsia="da-DK"/>
              </w:rPr>
            </w:pPr>
            <w:r w:rsidRPr="00E20765">
              <w:rPr>
                <w:sz w:val="22"/>
                <w:szCs w:val="22"/>
                <w:lang w:eastAsia="da-DK"/>
              </w:rPr>
              <w:t xml:space="preserve">Dosisrelateret, mild, reversibel toksisk </w:t>
            </w:r>
            <w:proofErr w:type="spellStart"/>
            <w:r w:rsidRPr="00E20765">
              <w:rPr>
                <w:sz w:val="22"/>
                <w:szCs w:val="22"/>
                <w:lang w:eastAsia="da-DK"/>
              </w:rPr>
              <w:t>hepatit</w:t>
            </w:r>
            <w:proofErr w:type="spellEnd"/>
            <w:r w:rsidRPr="00E20765">
              <w:rPr>
                <w:noProof/>
                <w:sz w:val="22"/>
                <w:szCs w:val="22"/>
                <w:lang w:eastAsia="da-DK"/>
              </w:rPr>
              <w:t xml:space="preserve"> i forbindelse med forskel</w:t>
            </w:r>
            <w:r>
              <w:rPr>
                <w:noProof/>
                <w:sz w:val="22"/>
                <w:szCs w:val="22"/>
                <w:lang w:eastAsia="da-DK"/>
              </w:rPr>
              <w:softHyphen/>
            </w:r>
            <w:r w:rsidRPr="00E20765">
              <w:rPr>
                <w:noProof/>
                <w:sz w:val="22"/>
                <w:szCs w:val="22"/>
                <w:lang w:eastAsia="da-DK"/>
              </w:rPr>
              <w:t>lige virale sygdomme (influenza A og B og varicella)</w:t>
            </w:r>
            <w:r w:rsidRPr="00E20765">
              <w:rPr>
                <w:sz w:val="22"/>
                <w:szCs w:val="22"/>
                <w:lang w:eastAsia="da-DK"/>
              </w:rPr>
              <w:t xml:space="preserve">, </w:t>
            </w:r>
            <w:r w:rsidRPr="00E20765">
              <w:rPr>
                <w:noProof/>
                <w:sz w:val="22"/>
                <w:szCs w:val="22"/>
                <w:lang w:eastAsia="da-DK"/>
              </w:rPr>
              <w:t>Salicylater spiller mulig</w:t>
            </w:r>
            <w:r>
              <w:rPr>
                <w:noProof/>
                <w:sz w:val="22"/>
                <w:szCs w:val="22"/>
                <w:lang w:eastAsia="da-DK"/>
              </w:rPr>
              <w:softHyphen/>
            </w:r>
            <w:r w:rsidRPr="00E20765">
              <w:rPr>
                <w:noProof/>
                <w:sz w:val="22"/>
                <w:szCs w:val="22"/>
                <w:lang w:eastAsia="da-DK"/>
              </w:rPr>
              <w:t>vis en rolle i patogenesen ved</w:t>
            </w:r>
            <w:r w:rsidRPr="00E20765">
              <w:rPr>
                <w:sz w:val="22"/>
                <w:szCs w:val="22"/>
                <w:lang w:eastAsia="da-DK"/>
              </w:rPr>
              <w:t xml:space="preserve"> </w:t>
            </w:r>
            <w:proofErr w:type="spellStart"/>
            <w:r w:rsidRPr="00E20765">
              <w:rPr>
                <w:sz w:val="22"/>
                <w:szCs w:val="22"/>
                <w:lang w:eastAsia="da-DK"/>
              </w:rPr>
              <w:t>Reye</w:t>
            </w:r>
            <w:r>
              <w:rPr>
                <w:sz w:val="22"/>
                <w:szCs w:val="22"/>
                <w:lang w:eastAsia="da-DK"/>
              </w:rPr>
              <w:t>'</w:t>
            </w:r>
            <w:r w:rsidRPr="00E20765">
              <w:rPr>
                <w:sz w:val="22"/>
                <w:szCs w:val="22"/>
                <w:lang w:eastAsia="da-DK"/>
              </w:rPr>
              <w:t>s</w:t>
            </w:r>
            <w:proofErr w:type="spellEnd"/>
            <w:r w:rsidRPr="00E20765">
              <w:rPr>
                <w:sz w:val="22"/>
                <w:szCs w:val="22"/>
                <w:lang w:eastAsia="da-DK"/>
              </w:rPr>
              <w:t xml:space="preserve"> syndrom (se pkt. 4.4).</w:t>
            </w:r>
          </w:p>
        </w:tc>
      </w:tr>
      <w:tr w:rsidR="00367295" w:rsidRPr="00E20765" w:rsidTr="003B4BCE">
        <w:trPr>
          <w:cantSplit/>
          <w:trHeight w:val="432"/>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 xml:space="preserve">Hud og subkutane væv </w:t>
            </w:r>
          </w:p>
          <w:p w:rsidR="00367295" w:rsidRPr="00E20765" w:rsidRDefault="00367295" w:rsidP="003B4BCE">
            <w:pPr>
              <w:ind w:left="-79"/>
              <w:rPr>
                <w:noProof/>
                <w:sz w:val="22"/>
                <w:szCs w:val="22"/>
                <w:lang w:eastAsia="da-DK"/>
              </w:rPr>
            </w:pP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r w:rsidRPr="00E20765">
              <w:rPr>
                <w:sz w:val="22"/>
                <w:szCs w:val="22"/>
                <w:lang w:eastAsia="da-DK"/>
              </w:rPr>
              <w:t>Allergiske reaktioner (</w:t>
            </w:r>
            <w:proofErr w:type="spellStart"/>
            <w:r w:rsidRPr="00E20765">
              <w:rPr>
                <w:sz w:val="22"/>
                <w:szCs w:val="22"/>
                <w:lang w:eastAsia="da-DK"/>
              </w:rPr>
              <w:t>Urticaria</w:t>
            </w:r>
            <w:proofErr w:type="spellEnd"/>
            <w:r w:rsidRPr="00E20765">
              <w:rPr>
                <w:sz w:val="22"/>
                <w:szCs w:val="22"/>
                <w:lang w:eastAsia="da-DK"/>
              </w:rPr>
              <w:t>, angioødem</w:t>
            </w:r>
            <w:r w:rsidRPr="00E20765">
              <w:rPr>
                <w:b/>
                <w:noProof/>
                <w:sz w:val="22"/>
                <w:szCs w:val="22"/>
                <w:vertAlign w:val="superscript"/>
                <w:lang w:eastAsia="da-DK"/>
              </w:rPr>
              <w:t>1</w:t>
            </w:r>
            <w:r w:rsidRPr="00E20765">
              <w:rPr>
                <w:sz w:val="22"/>
                <w:szCs w:val="22"/>
                <w:lang w:eastAsia="da-DK"/>
              </w:rPr>
              <w:t xml:space="preserve">). </w:t>
            </w:r>
          </w:p>
          <w:p w:rsidR="00367295" w:rsidRPr="00E20765" w:rsidRDefault="00367295" w:rsidP="003B4BCE">
            <w:pPr>
              <w:tabs>
                <w:tab w:val="left" w:pos="0"/>
                <w:tab w:val="left" w:pos="851"/>
              </w:tabs>
              <w:ind w:left="-66"/>
              <w:rPr>
                <w:sz w:val="22"/>
                <w:szCs w:val="22"/>
                <w:lang w:eastAsia="da-DK"/>
              </w:rPr>
            </w:pPr>
          </w:p>
        </w:tc>
        <w:tc>
          <w:tcPr>
            <w:tcW w:w="1563" w:type="dxa"/>
          </w:tcPr>
          <w:p w:rsidR="00367295" w:rsidRPr="00E20765" w:rsidRDefault="00367295" w:rsidP="003B4BCE">
            <w:pPr>
              <w:rPr>
                <w:sz w:val="22"/>
                <w:szCs w:val="22"/>
                <w:lang w:eastAsia="da-DK"/>
              </w:rPr>
            </w:pPr>
          </w:p>
        </w:tc>
        <w:tc>
          <w:tcPr>
            <w:tcW w:w="1564" w:type="dxa"/>
          </w:tcPr>
          <w:p w:rsidR="00367295" w:rsidRPr="00E20765" w:rsidRDefault="00367295" w:rsidP="003B4BCE">
            <w:pPr>
              <w:rPr>
                <w:b/>
                <w:sz w:val="22"/>
                <w:szCs w:val="22"/>
                <w:lang w:eastAsia="da-DK"/>
              </w:rPr>
            </w:pPr>
            <w:r w:rsidRPr="00E20765">
              <w:rPr>
                <w:noProof/>
                <w:sz w:val="22"/>
                <w:szCs w:val="22"/>
                <w:lang w:eastAsia="da-DK"/>
              </w:rPr>
              <w:t>Purpura, erythema multiforme, Stevens-Johnson</w:t>
            </w:r>
            <w:r>
              <w:rPr>
                <w:noProof/>
                <w:sz w:val="22"/>
                <w:szCs w:val="22"/>
                <w:lang w:eastAsia="da-DK"/>
              </w:rPr>
              <w:t>'s</w:t>
            </w:r>
            <w:r w:rsidRPr="00E20765">
              <w:rPr>
                <w:noProof/>
                <w:sz w:val="22"/>
                <w:szCs w:val="22"/>
                <w:lang w:eastAsia="da-DK"/>
              </w:rPr>
              <w:t xml:space="preserve"> syndrom, tok</w:t>
            </w:r>
            <w:r>
              <w:rPr>
                <w:noProof/>
                <w:sz w:val="22"/>
                <w:szCs w:val="22"/>
                <w:lang w:eastAsia="da-DK"/>
              </w:rPr>
              <w:t>sisk epidermal nekrolyse (Lyell'</w:t>
            </w:r>
            <w:r w:rsidRPr="00E20765">
              <w:rPr>
                <w:noProof/>
                <w:sz w:val="22"/>
                <w:szCs w:val="22"/>
                <w:lang w:eastAsia="da-DK"/>
              </w:rPr>
              <w:t>s syndrom).</w:t>
            </w:r>
          </w:p>
        </w:tc>
      </w:tr>
      <w:tr w:rsidR="00367295" w:rsidRPr="00E20765" w:rsidTr="003B4BCE">
        <w:trPr>
          <w:cantSplit/>
          <w:trHeight w:val="505"/>
        </w:trPr>
        <w:tc>
          <w:tcPr>
            <w:tcW w:w="1418" w:type="dxa"/>
            <w:shd w:val="clear" w:color="auto" w:fill="D9D9D9"/>
          </w:tcPr>
          <w:p w:rsidR="00367295" w:rsidRPr="00E20765" w:rsidRDefault="00367295" w:rsidP="003B4BCE">
            <w:pPr>
              <w:ind w:left="-79"/>
              <w:rPr>
                <w:noProof/>
                <w:sz w:val="22"/>
                <w:szCs w:val="22"/>
                <w:lang w:eastAsia="da-DK"/>
              </w:rPr>
            </w:pPr>
            <w:r w:rsidRPr="00E20765">
              <w:rPr>
                <w:noProof/>
                <w:sz w:val="22"/>
                <w:szCs w:val="22"/>
                <w:lang w:eastAsia="da-DK"/>
              </w:rPr>
              <w:t>Nyrer og urinveje</w:t>
            </w:r>
          </w:p>
        </w:tc>
        <w:tc>
          <w:tcPr>
            <w:tcW w:w="1531" w:type="dxa"/>
          </w:tcPr>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tabs>
                <w:tab w:val="left" w:pos="0"/>
                <w:tab w:val="left" w:pos="851"/>
              </w:tabs>
              <w:rPr>
                <w:sz w:val="22"/>
                <w:szCs w:val="22"/>
                <w:lang w:eastAsia="da-DK"/>
              </w:rPr>
            </w:pPr>
          </w:p>
        </w:tc>
        <w:tc>
          <w:tcPr>
            <w:tcW w:w="1564" w:type="dxa"/>
          </w:tcPr>
          <w:p w:rsidR="00367295" w:rsidRPr="00E20765" w:rsidRDefault="00367295" w:rsidP="003B4BCE">
            <w:pPr>
              <w:tabs>
                <w:tab w:val="left" w:pos="0"/>
                <w:tab w:val="left" w:pos="851"/>
              </w:tabs>
              <w:ind w:left="-66"/>
              <w:rPr>
                <w:sz w:val="22"/>
                <w:szCs w:val="22"/>
                <w:lang w:eastAsia="da-DK"/>
              </w:rPr>
            </w:pPr>
          </w:p>
        </w:tc>
        <w:tc>
          <w:tcPr>
            <w:tcW w:w="1563" w:type="dxa"/>
          </w:tcPr>
          <w:p w:rsidR="00367295" w:rsidRPr="00E20765" w:rsidRDefault="00367295" w:rsidP="003B4BCE">
            <w:pPr>
              <w:tabs>
                <w:tab w:val="left" w:pos="0"/>
              </w:tabs>
              <w:rPr>
                <w:sz w:val="22"/>
                <w:szCs w:val="22"/>
                <w:lang w:eastAsia="da-DK"/>
              </w:rPr>
            </w:pPr>
            <w:r w:rsidRPr="00E20765">
              <w:rPr>
                <w:noProof/>
                <w:sz w:val="22"/>
                <w:szCs w:val="22"/>
                <w:lang w:eastAsia="da-DK"/>
              </w:rPr>
              <w:t>Forstyrrelser i nyrefunktion</w:t>
            </w:r>
          </w:p>
        </w:tc>
        <w:tc>
          <w:tcPr>
            <w:tcW w:w="1564" w:type="dxa"/>
          </w:tcPr>
          <w:p w:rsidR="00367295" w:rsidRPr="00E20765" w:rsidRDefault="00367295" w:rsidP="003B4BCE">
            <w:pPr>
              <w:rPr>
                <w:spacing w:val="-3"/>
                <w:sz w:val="22"/>
                <w:szCs w:val="22"/>
                <w:lang w:eastAsia="da-DK"/>
              </w:rPr>
            </w:pPr>
          </w:p>
        </w:tc>
      </w:tr>
      <w:tr w:rsidR="00367295" w:rsidRPr="00E20765" w:rsidTr="003B4BCE">
        <w:trPr>
          <w:cantSplit/>
          <w:trHeight w:val="849"/>
        </w:trPr>
        <w:tc>
          <w:tcPr>
            <w:tcW w:w="1418" w:type="dxa"/>
            <w:shd w:val="clear" w:color="auto" w:fill="D9D9D9"/>
          </w:tcPr>
          <w:p w:rsidR="00367295" w:rsidRPr="00E20765" w:rsidRDefault="00367295" w:rsidP="003B4BCE">
            <w:pPr>
              <w:ind w:left="-79"/>
              <w:rPr>
                <w:bCs/>
                <w:noProof/>
                <w:sz w:val="22"/>
                <w:szCs w:val="22"/>
                <w:lang w:eastAsia="da-DK"/>
              </w:rPr>
            </w:pPr>
            <w:r w:rsidRPr="00E20765">
              <w:rPr>
                <w:bCs/>
                <w:noProof/>
                <w:sz w:val="22"/>
                <w:szCs w:val="22"/>
                <w:lang w:eastAsia="da-DK"/>
              </w:rPr>
              <w:t xml:space="preserve">Undersøgel-ser  </w:t>
            </w:r>
          </w:p>
          <w:p w:rsidR="00367295" w:rsidRPr="00E20765" w:rsidRDefault="00367295" w:rsidP="003B4BCE">
            <w:pPr>
              <w:ind w:left="-79"/>
              <w:rPr>
                <w:noProof/>
                <w:sz w:val="22"/>
                <w:szCs w:val="22"/>
                <w:lang w:eastAsia="da-DK"/>
              </w:rPr>
            </w:pPr>
          </w:p>
        </w:tc>
        <w:tc>
          <w:tcPr>
            <w:tcW w:w="1531" w:type="dxa"/>
          </w:tcPr>
          <w:p w:rsidR="00367295" w:rsidRPr="00E20765" w:rsidRDefault="00367295" w:rsidP="003B4BCE">
            <w:pPr>
              <w:rPr>
                <w:sz w:val="22"/>
                <w:szCs w:val="22"/>
                <w:lang w:eastAsia="da-DK"/>
              </w:rPr>
            </w:pPr>
            <w:r w:rsidRPr="00E20765">
              <w:rPr>
                <w:sz w:val="22"/>
                <w:szCs w:val="22"/>
                <w:lang w:eastAsia="da-DK"/>
              </w:rPr>
              <w:t>Forlænget blødningstid.</w:t>
            </w:r>
          </w:p>
          <w:p w:rsidR="00367295" w:rsidRPr="00E20765" w:rsidRDefault="00367295" w:rsidP="003B4BCE">
            <w:pPr>
              <w:tabs>
                <w:tab w:val="left" w:pos="0"/>
                <w:tab w:val="left" w:pos="851"/>
              </w:tabs>
              <w:rPr>
                <w:spacing w:val="-3"/>
                <w:sz w:val="22"/>
                <w:szCs w:val="22"/>
                <w:lang w:eastAsia="da-DK"/>
              </w:rPr>
            </w:pPr>
          </w:p>
        </w:tc>
        <w:tc>
          <w:tcPr>
            <w:tcW w:w="1870" w:type="dxa"/>
          </w:tcPr>
          <w:p w:rsidR="00367295" w:rsidRPr="00E20765" w:rsidRDefault="00367295" w:rsidP="003B4BCE">
            <w:pPr>
              <w:rPr>
                <w:sz w:val="22"/>
                <w:szCs w:val="22"/>
                <w:lang w:eastAsia="da-DK"/>
              </w:rPr>
            </w:pPr>
          </w:p>
        </w:tc>
        <w:tc>
          <w:tcPr>
            <w:tcW w:w="1564" w:type="dxa"/>
          </w:tcPr>
          <w:p w:rsidR="00367295" w:rsidRPr="00E20765" w:rsidRDefault="00367295" w:rsidP="003B4BCE">
            <w:pPr>
              <w:ind w:left="-66"/>
              <w:rPr>
                <w:sz w:val="22"/>
                <w:szCs w:val="22"/>
                <w:lang w:eastAsia="da-DK"/>
              </w:rPr>
            </w:pPr>
          </w:p>
        </w:tc>
        <w:tc>
          <w:tcPr>
            <w:tcW w:w="1563" w:type="dxa"/>
          </w:tcPr>
          <w:p w:rsidR="00367295" w:rsidRPr="00E20765" w:rsidRDefault="00367295" w:rsidP="003B4BCE">
            <w:pPr>
              <w:rPr>
                <w:sz w:val="22"/>
                <w:szCs w:val="22"/>
                <w:lang w:eastAsia="da-DK"/>
              </w:rPr>
            </w:pPr>
            <w:r w:rsidRPr="00E20765">
              <w:rPr>
                <w:noProof/>
                <w:sz w:val="22"/>
                <w:szCs w:val="22"/>
                <w:lang w:eastAsia="da-DK"/>
              </w:rPr>
              <w:t>Forhøjede transaminase- og basisk phosphatase- værdier.</w:t>
            </w:r>
          </w:p>
        </w:tc>
        <w:tc>
          <w:tcPr>
            <w:tcW w:w="1564" w:type="dxa"/>
          </w:tcPr>
          <w:p w:rsidR="00367295" w:rsidRPr="00E20765" w:rsidRDefault="00367295" w:rsidP="003B4BCE">
            <w:pPr>
              <w:tabs>
                <w:tab w:val="left" w:pos="0"/>
                <w:tab w:val="left" w:pos="851"/>
              </w:tabs>
              <w:rPr>
                <w:spacing w:val="-3"/>
                <w:sz w:val="22"/>
                <w:szCs w:val="22"/>
                <w:lang w:eastAsia="da-DK"/>
              </w:rPr>
            </w:pPr>
          </w:p>
        </w:tc>
      </w:tr>
    </w:tbl>
    <w:p w:rsidR="00367295" w:rsidRPr="00E20765" w:rsidRDefault="00367295" w:rsidP="00367295">
      <w:pPr>
        <w:tabs>
          <w:tab w:val="left" w:pos="0"/>
          <w:tab w:val="left" w:pos="851"/>
        </w:tabs>
        <w:ind w:left="851"/>
        <w:jc w:val="both"/>
        <w:rPr>
          <w:spacing w:val="-3"/>
          <w:sz w:val="24"/>
          <w:szCs w:val="24"/>
          <w:lang w:eastAsia="da-DK"/>
        </w:rPr>
      </w:pPr>
      <w:r w:rsidRPr="00E20765">
        <w:rPr>
          <w:spacing w:val="-3"/>
          <w:sz w:val="24"/>
          <w:szCs w:val="24"/>
          <w:vertAlign w:val="superscript"/>
          <w:lang w:eastAsia="da-DK"/>
        </w:rPr>
        <w:t>1</w:t>
      </w:r>
      <w:r w:rsidRPr="00E20765">
        <w:rPr>
          <w:spacing w:val="-3"/>
          <w:sz w:val="24"/>
          <w:szCs w:val="24"/>
          <w:lang w:eastAsia="da-DK"/>
        </w:rPr>
        <w:t>Angioødem forekommer oftere hos allergikere.</w:t>
      </w:r>
    </w:p>
    <w:p w:rsidR="00367295" w:rsidRPr="00E20765" w:rsidRDefault="00367295" w:rsidP="00367295">
      <w:pPr>
        <w:ind w:left="851"/>
        <w:rPr>
          <w:sz w:val="24"/>
          <w:szCs w:val="24"/>
          <w:lang w:eastAsia="da-DK"/>
        </w:rPr>
      </w:pPr>
    </w:p>
    <w:p w:rsidR="00367295" w:rsidRPr="00E20765" w:rsidRDefault="00367295" w:rsidP="00367295">
      <w:pPr>
        <w:ind w:left="851"/>
        <w:rPr>
          <w:sz w:val="24"/>
          <w:szCs w:val="24"/>
          <w:u w:val="single"/>
          <w:lang w:eastAsia="da-DK"/>
        </w:rPr>
      </w:pPr>
      <w:r w:rsidRPr="00E20765">
        <w:rPr>
          <w:sz w:val="24"/>
          <w:szCs w:val="24"/>
          <w:u w:val="single"/>
          <w:lang w:eastAsia="da-DK"/>
        </w:rPr>
        <w:t>Indberetning af formodede bivirkninger</w:t>
      </w:r>
    </w:p>
    <w:p w:rsidR="00367295" w:rsidRPr="00E20765" w:rsidRDefault="00367295" w:rsidP="00367295">
      <w:pPr>
        <w:ind w:left="851"/>
        <w:rPr>
          <w:sz w:val="24"/>
          <w:szCs w:val="24"/>
          <w:lang w:eastAsia="da-DK"/>
        </w:rPr>
      </w:pPr>
      <w:r w:rsidRPr="00E20765">
        <w:rPr>
          <w:sz w:val="24"/>
          <w:szCs w:val="24"/>
          <w:lang w:eastAsia="da-DK"/>
        </w:rPr>
        <w:t>Når lægemidlet er godkendt, er indberetning af formodede bivirkninger vigtig. Det muliggør løbende overvågning af benefit/</w:t>
      </w:r>
      <w:proofErr w:type="spellStart"/>
      <w:r w:rsidRPr="00E20765">
        <w:rPr>
          <w:sz w:val="24"/>
          <w:szCs w:val="24"/>
          <w:lang w:eastAsia="da-DK"/>
        </w:rPr>
        <w:t>risk</w:t>
      </w:r>
      <w:proofErr w:type="spellEnd"/>
      <w:r w:rsidRPr="00E20765">
        <w:rPr>
          <w:sz w:val="24"/>
          <w:szCs w:val="24"/>
          <w:lang w:eastAsia="da-DK"/>
        </w:rPr>
        <w:t>-forholdet for lægemidlet. Læger og sundhedspersonale anmodes om at indberette alle formodede bivirkninger via:</w:t>
      </w:r>
    </w:p>
    <w:p w:rsidR="00367295" w:rsidRPr="00E20765" w:rsidRDefault="00367295" w:rsidP="00367295">
      <w:pPr>
        <w:ind w:left="851"/>
        <w:rPr>
          <w:sz w:val="24"/>
          <w:szCs w:val="24"/>
          <w:lang w:eastAsia="da-DK"/>
        </w:rPr>
      </w:pPr>
    </w:p>
    <w:p w:rsidR="00367295" w:rsidRPr="00E20765" w:rsidRDefault="00367295" w:rsidP="00367295">
      <w:pPr>
        <w:ind w:left="851"/>
        <w:rPr>
          <w:sz w:val="24"/>
          <w:szCs w:val="24"/>
          <w:lang w:eastAsia="da-DK"/>
        </w:rPr>
      </w:pPr>
      <w:r w:rsidRPr="00E20765">
        <w:rPr>
          <w:sz w:val="24"/>
          <w:szCs w:val="24"/>
          <w:lang w:eastAsia="da-DK"/>
        </w:rPr>
        <w:t>Lægemiddelstyrelsen</w:t>
      </w:r>
    </w:p>
    <w:p w:rsidR="00367295" w:rsidRPr="00E20765" w:rsidRDefault="00367295" w:rsidP="00367295">
      <w:pPr>
        <w:ind w:left="851"/>
        <w:rPr>
          <w:sz w:val="24"/>
          <w:szCs w:val="24"/>
          <w:lang w:eastAsia="da-DK"/>
        </w:rPr>
      </w:pPr>
      <w:r w:rsidRPr="00E20765">
        <w:rPr>
          <w:sz w:val="24"/>
          <w:szCs w:val="24"/>
          <w:lang w:eastAsia="da-DK"/>
        </w:rPr>
        <w:t>Axel Heides Gade 1</w:t>
      </w:r>
    </w:p>
    <w:p w:rsidR="00367295" w:rsidRPr="00E20765" w:rsidRDefault="00367295" w:rsidP="00367295">
      <w:pPr>
        <w:ind w:left="851"/>
        <w:rPr>
          <w:sz w:val="24"/>
          <w:szCs w:val="24"/>
          <w:lang w:eastAsia="da-DK"/>
        </w:rPr>
      </w:pPr>
      <w:r w:rsidRPr="00E20765">
        <w:rPr>
          <w:sz w:val="24"/>
          <w:szCs w:val="24"/>
          <w:lang w:eastAsia="da-DK"/>
        </w:rPr>
        <w:t>DK-2300 København S</w:t>
      </w:r>
    </w:p>
    <w:p w:rsidR="00367295" w:rsidRPr="00E20765" w:rsidRDefault="00367295" w:rsidP="00367295">
      <w:pPr>
        <w:ind w:left="851"/>
        <w:rPr>
          <w:sz w:val="24"/>
          <w:szCs w:val="24"/>
          <w:lang w:val="en-US" w:eastAsia="da-DK"/>
        </w:rPr>
      </w:pPr>
      <w:proofErr w:type="spellStart"/>
      <w:r w:rsidRPr="00E20765">
        <w:rPr>
          <w:sz w:val="24"/>
          <w:szCs w:val="24"/>
          <w:lang w:val="en-US" w:eastAsia="da-DK"/>
        </w:rPr>
        <w:t>Websted</w:t>
      </w:r>
      <w:proofErr w:type="spellEnd"/>
      <w:r w:rsidRPr="00E20765">
        <w:rPr>
          <w:sz w:val="24"/>
          <w:szCs w:val="24"/>
          <w:lang w:val="en-US" w:eastAsia="da-DK"/>
        </w:rPr>
        <w:t>: www.meldenbivirkning.dk</w:t>
      </w:r>
    </w:p>
    <w:p w:rsidR="00367295" w:rsidRPr="00CE1B63" w:rsidRDefault="00367295" w:rsidP="00367295">
      <w:pPr>
        <w:pStyle w:val="Sidehoved"/>
        <w:tabs>
          <w:tab w:val="left" w:pos="851"/>
        </w:tabs>
        <w:ind w:left="851"/>
        <w:rPr>
          <w:szCs w:val="24"/>
          <w:lang w:val="en-US"/>
        </w:rPr>
      </w:pPr>
    </w:p>
    <w:p w:rsidR="00367295" w:rsidRPr="000A2AE9" w:rsidRDefault="00367295" w:rsidP="005012A0">
      <w:pPr>
        <w:keepNext/>
        <w:tabs>
          <w:tab w:val="left" w:pos="851"/>
        </w:tabs>
        <w:ind w:left="851" w:hanging="851"/>
        <w:rPr>
          <w:b/>
          <w:sz w:val="24"/>
          <w:szCs w:val="24"/>
          <w:lang w:val="en-US"/>
        </w:rPr>
      </w:pPr>
      <w:r w:rsidRPr="000A2AE9">
        <w:rPr>
          <w:b/>
          <w:sz w:val="24"/>
          <w:szCs w:val="24"/>
          <w:lang w:val="en-US"/>
        </w:rPr>
        <w:lastRenderedPageBreak/>
        <w:t>4.9</w:t>
      </w:r>
      <w:r w:rsidRPr="000A2AE9">
        <w:rPr>
          <w:b/>
          <w:sz w:val="24"/>
          <w:szCs w:val="24"/>
          <w:lang w:val="en-US"/>
        </w:rPr>
        <w:tab/>
      </w:r>
      <w:proofErr w:type="spellStart"/>
      <w:r w:rsidRPr="000A2AE9">
        <w:rPr>
          <w:b/>
          <w:sz w:val="24"/>
          <w:szCs w:val="24"/>
          <w:lang w:val="en-US"/>
        </w:rPr>
        <w:t>Overdosering</w:t>
      </w:r>
      <w:proofErr w:type="spellEnd"/>
    </w:p>
    <w:p w:rsidR="00367295" w:rsidRPr="000A2AE9" w:rsidRDefault="00367295" w:rsidP="005012A0">
      <w:pPr>
        <w:keepNext/>
        <w:ind w:left="851"/>
        <w:rPr>
          <w:i/>
          <w:sz w:val="24"/>
          <w:szCs w:val="24"/>
          <w:u w:val="single"/>
          <w:lang w:val="en-US" w:eastAsia="da-DK"/>
        </w:rPr>
      </w:pPr>
    </w:p>
    <w:p w:rsidR="00367295" w:rsidRPr="000A2AE9" w:rsidRDefault="00367295" w:rsidP="00367295">
      <w:pPr>
        <w:ind w:left="851"/>
        <w:rPr>
          <w:sz w:val="24"/>
          <w:szCs w:val="24"/>
          <w:u w:val="single"/>
          <w:lang w:val="en-US" w:eastAsia="da-DK"/>
        </w:rPr>
      </w:pPr>
      <w:proofErr w:type="spellStart"/>
      <w:r w:rsidRPr="000A2AE9">
        <w:rPr>
          <w:sz w:val="24"/>
          <w:szCs w:val="24"/>
          <w:u w:val="single"/>
          <w:lang w:val="en-US" w:eastAsia="da-DK"/>
        </w:rPr>
        <w:t>Toksicitet</w:t>
      </w:r>
      <w:proofErr w:type="spellEnd"/>
    </w:p>
    <w:p w:rsidR="00367295" w:rsidRPr="000A2AE9" w:rsidRDefault="00367295" w:rsidP="00367295">
      <w:pPr>
        <w:ind w:left="851"/>
        <w:rPr>
          <w:i/>
          <w:sz w:val="24"/>
          <w:szCs w:val="24"/>
          <w:lang w:val="en-US" w:eastAsia="da-DK"/>
        </w:rPr>
      </w:pPr>
    </w:p>
    <w:p w:rsidR="00367295" w:rsidRPr="00066913" w:rsidRDefault="00367295" w:rsidP="00367295">
      <w:pPr>
        <w:ind w:left="851"/>
        <w:rPr>
          <w:i/>
          <w:sz w:val="24"/>
          <w:szCs w:val="24"/>
          <w:lang w:eastAsia="da-DK"/>
        </w:rPr>
      </w:pPr>
      <w:r w:rsidRPr="00066913">
        <w:rPr>
          <w:i/>
          <w:sz w:val="24"/>
          <w:szCs w:val="24"/>
          <w:lang w:eastAsia="da-DK"/>
        </w:rPr>
        <w:t>Farlig dosis</w:t>
      </w:r>
    </w:p>
    <w:p w:rsidR="00367295" w:rsidRPr="00066913" w:rsidRDefault="00367295" w:rsidP="00367295">
      <w:pPr>
        <w:ind w:left="851"/>
        <w:rPr>
          <w:sz w:val="24"/>
          <w:szCs w:val="24"/>
          <w:lang w:val="nb-NO" w:eastAsia="da-DK"/>
        </w:rPr>
      </w:pPr>
      <w:r w:rsidRPr="00066913">
        <w:rPr>
          <w:sz w:val="24"/>
          <w:szCs w:val="24"/>
          <w:lang w:val="nb-NO" w:eastAsia="da-DK"/>
        </w:rPr>
        <w:t>Voksne: 300 mg/kg.</w:t>
      </w:r>
    </w:p>
    <w:p w:rsidR="00367295" w:rsidRPr="00066913" w:rsidRDefault="00367295" w:rsidP="00367295">
      <w:pPr>
        <w:ind w:left="851"/>
        <w:rPr>
          <w:b/>
          <w:i/>
          <w:sz w:val="24"/>
          <w:szCs w:val="24"/>
          <w:lang w:eastAsia="da-DK"/>
        </w:rPr>
      </w:pPr>
      <w:r w:rsidRPr="00066913">
        <w:rPr>
          <w:sz w:val="24"/>
          <w:szCs w:val="24"/>
          <w:lang w:eastAsia="da-DK"/>
        </w:rPr>
        <w:t>Børn: Enkelt dosis på 150 mg/kg eller mere end 100 mg/kg/dag i mere end 2 dage.</w:t>
      </w:r>
    </w:p>
    <w:p w:rsidR="00367295" w:rsidRPr="00066913" w:rsidRDefault="00367295" w:rsidP="00367295">
      <w:pPr>
        <w:tabs>
          <w:tab w:val="left" w:pos="851"/>
        </w:tabs>
        <w:ind w:left="851"/>
        <w:rPr>
          <w:sz w:val="24"/>
          <w:szCs w:val="24"/>
          <w:u w:val="single"/>
          <w:lang w:eastAsia="da-DK"/>
        </w:rPr>
      </w:pPr>
    </w:p>
    <w:p w:rsidR="00367295" w:rsidRPr="00066913" w:rsidRDefault="00367295" w:rsidP="00367295">
      <w:pPr>
        <w:tabs>
          <w:tab w:val="left" w:pos="851"/>
        </w:tabs>
        <w:ind w:left="851"/>
        <w:rPr>
          <w:sz w:val="24"/>
          <w:szCs w:val="24"/>
          <w:u w:val="single"/>
          <w:lang w:eastAsia="da-DK"/>
        </w:rPr>
      </w:pPr>
      <w:r w:rsidRPr="00066913">
        <w:rPr>
          <w:sz w:val="24"/>
          <w:szCs w:val="24"/>
          <w:u w:val="single"/>
          <w:lang w:eastAsia="da-DK"/>
        </w:rPr>
        <w:t>Symptomer</w:t>
      </w:r>
    </w:p>
    <w:p w:rsidR="00367295" w:rsidRPr="00066913" w:rsidRDefault="00367295" w:rsidP="00367295">
      <w:pPr>
        <w:tabs>
          <w:tab w:val="left" w:pos="0"/>
          <w:tab w:val="left" w:pos="851"/>
        </w:tabs>
        <w:ind w:left="851"/>
        <w:rPr>
          <w:spacing w:val="-3"/>
          <w:sz w:val="24"/>
          <w:szCs w:val="24"/>
          <w:lang w:eastAsia="da-DK"/>
        </w:rPr>
      </w:pPr>
      <w:r w:rsidRPr="00066913" w:rsidDel="0015429C">
        <w:rPr>
          <w:spacing w:val="-3"/>
          <w:sz w:val="24"/>
          <w:szCs w:val="24"/>
          <w:lang w:eastAsia="da-DK"/>
        </w:rPr>
        <w:t xml:space="preserve">Mild kronisk </w:t>
      </w:r>
      <w:proofErr w:type="spellStart"/>
      <w:r w:rsidRPr="00066913" w:rsidDel="0015429C">
        <w:rPr>
          <w:spacing w:val="-3"/>
          <w:sz w:val="24"/>
          <w:szCs w:val="24"/>
          <w:lang w:eastAsia="da-DK"/>
        </w:rPr>
        <w:t>salicylatforgiftning</w:t>
      </w:r>
      <w:proofErr w:type="spellEnd"/>
      <w:r w:rsidRPr="00066913" w:rsidDel="0015429C">
        <w:rPr>
          <w:spacing w:val="-3"/>
          <w:sz w:val="24"/>
          <w:szCs w:val="24"/>
          <w:lang w:eastAsia="da-DK"/>
        </w:rPr>
        <w:t xml:space="preserve"> finder sædvanligvis kun st</w:t>
      </w:r>
      <w:r w:rsidRPr="00066913">
        <w:rPr>
          <w:spacing w:val="-3"/>
          <w:sz w:val="24"/>
          <w:szCs w:val="24"/>
          <w:lang w:eastAsia="da-DK"/>
        </w:rPr>
        <w:t>e</w:t>
      </w:r>
      <w:r w:rsidRPr="00066913" w:rsidDel="0015429C">
        <w:rPr>
          <w:spacing w:val="-3"/>
          <w:sz w:val="24"/>
          <w:szCs w:val="24"/>
          <w:lang w:eastAsia="da-DK"/>
        </w:rPr>
        <w:t>d efter langvarig indtage</w:t>
      </w:r>
      <w:r w:rsidRPr="00066913">
        <w:rPr>
          <w:spacing w:val="-3"/>
          <w:sz w:val="24"/>
          <w:szCs w:val="24"/>
          <w:lang w:eastAsia="da-DK"/>
        </w:rPr>
        <w:t>lse</w:t>
      </w:r>
      <w:r w:rsidRPr="00066913" w:rsidDel="0015429C">
        <w:rPr>
          <w:spacing w:val="-3"/>
          <w:sz w:val="24"/>
          <w:szCs w:val="24"/>
          <w:lang w:eastAsia="da-DK"/>
        </w:rPr>
        <w:t xml:space="preserve"> af høje doser. Symptomerne inkluderer: </w:t>
      </w:r>
      <w:r w:rsidRPr="00066913">
        <w:rPr>
          <w:spacing w:val="-3"/>
          <w:sz w:val="24"/>
          <w:szCs w:val="24"/>
          <w:lang w:eastAsia="da-DK"/>
        </w:rPr>
        <w:t xml:space="preserve">Feber, </w:t>
      </w:r>
      <w:proofErr w:type="spellStart"/>
      <w:r w:rsidRPr="00066913">
        <w:rPr>
          <w:spacing w:val="-3"/>
          <w:sz w:val="24"/>
          <w:szCs w:val="24"/>
          <w:lang w:eastAsia="da-DK"/>
        </w:rPr>
        <w:t>takypnø</w:t>
      </w:r>
      <w:proofErr w:type="spellEnd"/>
      <w:r w:rsidRPr="00066913">
        <w:rPr>
          <w:spacing w:val="-3"/>
          <w:sz w:val="24"/>
          <w:szCs w:val="24"/>
          <w:lang w:eastAsia="da-DK"/>
        </w:rPr>
        <w:t xml:space="preserve">, </w:t>
      </w:r>
      <w:r w:rsidRPr="00066913" w:rsidDel="0015429C">
        <w:rPr>
          <w:spacing w:val="-3"/>
          <w:sz w:val="24"/>
          <w:szCs w:val="24"/>
          <w:lang w:eastAsia="da-DK"/>
        </w:rPr>
        <w:t xml:space="preserve">tinnitus, </w:t>
      </w:r>
      <w:r w:rsidRPr="00066913">
        <w:rPr>
          <w:spacing w:val="-3"/>
          <w:sz w:val="24"/>
          <w:szCs w:val="24"/>
          <w:lang w:eastAsia="da-DK"/>
        </w:rPr>
        <w:t xml:space="preserve">respiratorisk </w:t>
      </w:r>
      <w:proofErr w:type="spellStart"/>
      <w:r w:rsidRPr="00066913">
        <w:rPr>
          <w:spacing w:val="-3"/>
          <w:sz w:val="24"/>
          <w:szCs w:val="24"/>
          <w:lang w:eastAsia="da-DK"/>
        </w:rPr>
        <w:t>alkalose</w:t>
      </w:r>
      <w:proofErr w:type="spellEnd"/>
      <w:r w:rsidRPr="00066913">
        <w:rPr>
          <w:spacing w:val="-3"/>
          <w:sz w:val="24"/>
          <w:szCs w:val="24"/>
          <w:lang w:eastAsia="da-DK"/>
        </w:rPr>
        <w:t xml:space="preserve">, metabolisk </w:t>
      </w:r>
      <w:proofErr w:type="spellStart"/>
      <w:r w:rsidRPr="00066913">
        <w:rPr>
          <w:spacing w:val="-3"/>
          <w:sz w:val="24"/>
          <w:szCs w:val="24"/>
          <w:lang w:eastAsia="da-DK"/>
        </w:rPr>
        <w:t>acidose</w:t>
      </w:r>
      <w:proofErr w:type="spellEnd"/>
      <w:r w:rsidRPr="00066913">
        <w:rPr>
          <w:spacing w:val="-3"/>
          <w:sz w:val="24"/>
          <w:szCs w:val="24"/>
          <w:lang w:eastAsia="da-DK"/>
        </w:rPr>
        <w:t xml:space="preserve">, letargi, mild </w:t>
      </w:r>
      <w:proofErr w:type="spellStart"/>
      <w:r w:rsidRPr="00066913">
        <w:rPr>
          <w:spacing w:val="-3"/>
          <w:sz w:val="24"/>
          <w:szCs w:val="24"/>
          <w:lang w:eastAsia="da-DK"/>
        </w:rPr>
        <w:t>dehydration</w:t>
      </w:r>
      <w:proofErr w:type="spellEnd"/>
      <w:r w:rsidRPr="00066913">
        <w:rPr>
          <w:spacing w:val="-3"/>
          <w:sz w:val="24"/>
          <w:szCs w:val="24"/>
          <w:lang w:eastAsia="da-DK"/>
        </w:rPr>
        <w:t>,</w:t>
      </w:r>
      <w:r w:rsidRPr="00066913" w:rsidDel="0015429C">
        <w:rPr>
          <w:spacing w:val="-3"/>
          <w:sz w:val="24"/>
          <w:szCs w:val="24"/>
          <w:lang w:eastAsia="da-DK"/>
        </w:rPr>
        <w:t xml:space="preserve"> kvalme og opkastning. </w:t>
      </w:r>
    </w:p>
    <w:p w:rsidR="00367295" w:rsidRPr="00066913" w:rsidRDefault="00367295" w:rsidP="00367295">
      <w:pPr>
        <w:tabs>
          <w:tab w:val="left" w:pos="0"/>
          <w:tab w:val="left" w:pos="851"/>
        </w:tabs>
        <w:ind w:left="851"/>
        <w:rPr>
          <w:spacing w:val="-3"/>
          <w:sz w:val="24"/>
          <w:szCs w:val="24"/>
          <w:lang w:eastAsia="da-DK"/>
        </w:rPr>
      </w:pPr>
    </w:p>
    <w:p w:rsidR="00367295" w:rsidRPr="00066913" w:rsidRDefault="00367295" w:rsidP="00367295">
      <w:pPr>
        <w:tabs>
          <w:tab w:val="left" w:pos="0"/>
          <w:tab w:val="left" w:pos="851"/>
        </w:tabs>
        <w:ind w:left="851"/>
        <w:rPr>
          <w:spacing w:val="-3"/>
          <w:sz w:val="24"/>
          <w:szCs w:val="24"/>
          <w:lang w:eastAsia="da-DK"/>
        </w:rPr>
      </w:pPr>
      <w:r w:rsidRPr="00066913" w:rsidDel="0015429C">
        <w:rPr>
          <w:spacing w:val="-3"/>
          <w:sz w:val="24"/>
          <w:szCs w:val="24"/>
          <w:lang w:eastAsia="da-DK"/>
        </w:rPr>
        <w:t>Sym</w:t>
      </w:r>
      <w:r w:rsidRPr="00066913">
        <w:rPr>
          <w:spacing w:val="-3"/>
          <w:sz w:val="24"/>
          <w:szCs w:val="24"/>
          <w:lang w:eastAsia="da-DK"/>
        </w:rPr>
        <w:t>p</w:t>
      </w:r>
      <w:r w:rsidRPr="00066913" w:rsidDel="0015429C">
        <w:rPr>
          <w:spacing w:val="-3"/>
          <w:sz w:val="24"/>
          <w:szCs w:val="24"/>
          <w:lang w:eastAsia="da-DK"/>
        </w:rPr>
        <w:t>tomerne på</w:t>
      </w:r>
      <w:r w:rsidRPr="00066913">
        <w:rPr>
          <w:spacing w:val="-3"/>
          <w:sz w:val="24"/>
          <w:szCs w:val="24"/>
          <w:lang w:eastAsia="da-DK"/>
        </w:rPr>
        <w:t xml:space="preserve"> svær eller</w:t>
      </w:r>
      <w:r w:rsidRPr="00066913" w:rsidDel="0015429C">
        <w:rPr>
          <w:spacing w:val="-3"/>
          <w:sz w:val="24"/>
          <w:szCs w:val="24"/>
          <w:lang w:eastAsia="da-DK"/>
        </w:rPr>
        <w:t xml:space="preserve"> akut </w:t>
      </w:r>
      <w:proofErr w:type="spellStart"/>
      <w:r w:rsidRPr="00066913" w:rsidDel="0015429C">
        <w:rPr>
          <w:spacing w:val="-3"/>
          <w:sz w:val="24"/>
          <w:szCs w:val="24"/>
          <w:lang w:eastAsia="da-DK"/>
        </w:rPr>
        <w:t>salicylatforgiftning</w:t>
      </w:r>
      <w:proofErr w:type="spellEnd"/>
      <w:r w:rsidRPr="00066913" w:rsidDel="0015429C">
        <w:rPr>
          <w:spacing w:val="-3"/>
          <w:sz w:val="24"/>
          <w:szCs w:val="24"/>
          <w:lang w:eastAsia="da-DK"/>
        </w:rPr>
        <w:t xml:space="preserve"> </w:t>
      </w:r>
      <w:r w:rsidRPr="00066913">
        <w:rPr>
          <w:spacing w:val="-3"/>
          <w:sz w:val="24"/>
          <w:szCs w:val="24"/>
          <w:lang w:eastAsia="da-DK"/>
        </w:rPr>
        <w:t xml:space="preserve">inkluderer hypoglykæmi (især hos børn), </w:t>
      </w:r>
      <w:proofErr w:type="spellStart"/>
      <w:r w:rsidRPr="00066913">
        <w:rPr>
          <w:spacing w:val="-3"/>
          <w:sz w:val="24"/>
          <w:szCs w:val="24"/>
          <w:lang w:eastAsia="da-DK"/>
        </w:rPr>
        <w:t>encephalopati</w:t>
      </w:r>
      <w:proofErr w:type="spellEnd"/>
      <w:r w:rsidRPr="00066913">
        <w:rPr>
          <w:spacing w:val="-3"/>
          <w:sz w:val="24"/>
          <w:szCs w:val="24"/>
          <w:lang w:eastAsia="da-DK"/>
        </w:rPr>
        <w:t xml:space="preserve">, koma, hypotension, </w:t>
      </w:r>
      <w:proofErr w:type="spellStart"/>
      <w:r w:rsidRPr="00066913">
        <w:rPr>
          <w:spacing w:val="-3"/>
          <w:sz w:val="24"/>
          <w:szCs w:val="24"/>
          <w:lang w:eastAsia="da-DK"/>
        </w:rPr>
        <w:t>pulmonal</w:t>
      </w:r>
      <w:proofErr w:type="spellEnd"/>
      <w:r w:rsidRPr="00066913">
        <w:rPr>
          <w:spacing w:val="-3"/>
          <w:sz w:val="24"/>
          <w:szCs w:val="24"/>
          <w:lang w:eastAsia="da-DK"/>
        </w:rPr>
        <w:t xml:space="preserve"> ødem, kramper, </w:t>
      </w:r>
      <w:proofErr w:type="spellStart"/>
      <w:r w:rsidRPr="00066913">
        <w:rPr>
          <w:spacing w:val="-3"/>
          <w:sz w:val="24"/>
          <w:szCs w:val="24"/>
          <w:lang w:eastAsia="da-DK"/>
        </w:rPr>
        <w:t>koagulopati</w:t>
      </w:r>
      <w:proofErr w:type="spellEnd"/>
      <w:r w:rsidRPr="00066913">
        <w:rPr>
          <w:spacing w:val="-3"/>
          <w:sz w:val="24"/>
          <w:szCs w:val="24"/>
          <w:lang w:eastAsia="da-DK"/>
        </w:rPr>
        <w:t xml:space="preserve">, cerebralødem og </w:t>
      </w:r>
      <w:proofErr w:type="spellStart"/>
      <w:r w:rsidRPr="00066913">
        <w:rPr>
          <w:spacing w:val="-3"/>
          <w:sz w:val="24"/>
          <w:szCs w:val="24"/>
          <w:lang w:eastAsia="da-DK"/>
        </w:rPr>
        <w:t>dysrytmier</w:t>
      </w:r>
      <w:proofErr w:type="spellEnd"/>
      <w:r w:rsidRPr="00066913">
        <w:rPr>
          <w:spacing w:val="-3"/>
          <w:sz w:val="24"/>
          <w:szCs w:val="24"/>
          <w:lang w:eastAsia="da-DK"/>
        </w:rPr>
        <w:t>.</w:t>
      </w:r>
      <w:r w:rsidRPr="00066913" w:rsidDel="0015429C">
        <w:rPr>
          <w:spacing w:val="-3"/>
          <w:sz w:val="24"/>
          <w:szCs w:val="24"/>
          <w:lang w:eastAsia="da-DK"/>
        </w:rPr>
        <w:t xml:space="preserve"> </w:t>
      </w:r>
    </w:p>
    <w:p w:rsidR="00367295" w:rsidRPr="00066913" w:rsidRDefault="00367295" w:rsidP="00367295">
      <w:pPr>
        <w:tabs>
          <w:tab w:val="left" w:pos="0"/>
          <w:tab w:val="left" w:pos="851"/>
        </w:tabs>
        <w:ind w:left="851"/>
        <w:rPr>
          <w:spacing w:val="-3"/>
          <w:sz w:val="24"/>
          <w:szCs w:val="24"/>
          <w:lang w:eastAsia="da-DK"/>
        </w:rPr>
      </w:pPr>
      <w:r w:rsidRPr="00066913" w:rsidDel="0015429C">
        <w:rPr>
          <w:spacing w:val="-3"/>
          <w:sz w:val="24"/>
          <w:szCs w:val="24"/>
          <w:lang w:eastAsia="da-DK"/>
        </w:rPr>
        <w:t xml:space="preserve">Akut </w:t>
      </w:r>
      <w:proofErr w:type="spellStart"/>
      <w:r w:rsidRPr="00066913" w:rsidDel="0015429C">
        <w:rPr>
          <w:spacing w:val="-3"/>
          <w:sz w:val="24"/>
          <w:szCs w:val="24"/>
          <w:lang w:eastAsia="da-DK"/>
        </w:rPr>
        <w:t>salicylatforgiftning</w:t>
      </w:r>
      <w:proofErr w:type="spellEnd"/>
      <w:r w:rsidRPr="00066913" w:rsidDel="0015429C">
        <w:rPr>
          <w:spacing w:val="-3"/>
          <w:sz w:val="24"/>
          <w:szCs w:val="24"/>
          <w:lang w:eastAsia="da-DK"/>
        </w:rPr>
        <w:t xml:space="preserve"> (&gt; 300 mg/kg) giver ofte anledning til akut nyreinsufficiens og doser over 500 mg/kg kan være dødelige.</w:t>
      </w:r>
    </w:p>
    <w:p w:rsidR="00367295" w:rsidRPr="00066913" w:rsidRDefault="00367295" w:rsidP="00367295">
      <w:pPr>
        <w:ind w:left="851"/>
        <w:rPr>
          <w:i/>
          <w:sz w:val="24"/>
          <w:szCs w:val="24"/>
          <w:lang w:eastAsia="da-DK"/>
        </w:rPr>
      </w:pPr>
    </w:p>
    <w:p w:rsidR="00367295" w:rsidRPr="00066913" w:rsidRDefault="00367295" w:rsidP="00367295">
      <w:pPr>
        <w:ind w:left="851"/>
        <w:rPr>
          <w:sz w:val="24"/>
          <w:szCs w:val="24"/>
          <w:lang w:eastAsia="da-DK"/>
        </w:rPr>
      </w:pPr>
      <w:r w:rsidRPr="00066913">
        <w:rPr>
          <w:sz w:val="24"/>
          <w:szCs w:val="24"/>
          <w:lang w:eastAsia="da-DK"/>
        </w:rPr>
        <w:t>Toksicitet er generel mere alvorlig hos patienter med kronisk overdosering eller medicinmisbrug, ældre eller spædbørn.</w:t>
      </w:r>
    </w:p>
    <w:p w:rsidR="00367295" w:rsidRPr="00066913" w:rsidRDefault="00367295" w:rsidP="00367295">
      <w:pPr>
        <w:tabs>
          <w:tab w:val="left" w:pos="1650"/>
        </w:tabs>
        <w:ind w:left="851"/>
        <w:rPr>
          <w:b/>
          <w:sz w:val="24"/>
          <w:szCs w:val="24"/>
          <w:lang w:eastAsia="da-DK"/>
        </w:rPr>
      </w:pPr>
      <w:r w:rsidRPr="00066913">
        <w:rPr>
          <w:sz w:val="24"/>
          <w:szCs w:val="24"/>
          <w:lang w:eastAsia="da-DK"/>
        </w:rPr>
        <w:tab/>
      </w:r>
    </w:p>
    <w:p w:rsidR="00367295" w:rsidRPr="00066913" w:rsidRDefault="00367295" w:rsidP="00367295">
      <w:pPr>
        <w:ind w:left="851"/>
        <w:rPr>
          <w:sz w:val="24"/>
          <w:szCs w:val="24"/>
          <w:u w:val="single"/>
          <w:lang w:eastAsia="da-DK"/>
        </w:rPr>
      </w:pPr>
      <w:r w:rsidRPr="00066913">
        <w:rPr>
          <w:sz w:val="24"/>
          <w:szCs w:val="24"/>
          <w:u w:val="single"/>
          <w:lang w:eastAsia="da-DK"/>
        </w:rPr>
        <w:t>Behandling</w:t>
      </w:r>
    </w:p>
    <w:p w:rsidR="00367295" w:rsidRPr="00066913" w:rsidRDefault="00367295" w:rsidP="00367295">
      <w:pPr>
        <w:ind w:left="851"/>
        <w:rPr>
          <w:sz w:val="24"/>
          <w:szCs w:val="24"/>
          <w:lang w:eastAsia="da-DK"/>
        </w:rPr>
      </w:pPr>
      <w:r w:rsidRPr="00066913">
        <w:rPr>
          <w:sz w:val="24"/>
          <w:szCs w:val="24"/>
          <w:lang w:eastAsia="da-DK"/>
        </w:rPr>
        <w:t xml:space="preserve">Ved akut acetylsalicylsyre-overdosering bør maven tømmes. Ved mistanke om indtagelse af mere end 120 mg/kg kan gentagne doser aktivt kul gives. </w:t>
      </w:r>
      <w:proofErr w:type="spellStart"/>
      <w:r w:rsidRPr="00066913">
        <w:rPr>
          <w:sz w:val="24"/>
          <w:szCs w:val="24"/>
          <w:lang w:eastAsia="da-DK"/>
        </w:rPr>
        <w:t>Serumsalicylat</w:t>
      </w:r>
      <w:proofErr w:type="spellEnd"/>
      <w:r w:rsidRPr="00066913">
        <w:rPr>
          <w:sz w:val="24"/>
          <w:szCs w:val="24"/>
          <w:lang w:eastAsia="da-DK"/>
        </w:rPr>
        <w:t xml:space="preserve"> bør måles mindst hver 2. time efter indtagelse og indtil </w:t>
      </w:r>
      <w:proofErr w:type="spellStart"/>
      <w:r w:rsidRPr="00066913">
        <w:rPr>
          <w:sz w:val="24"/>
          <w:szCs w:val="24"/>
          <w:lang w:eastAsia="da-DK"/>
        </w:rPr>
        <w:t>salicylatniveauet</w:t>
      </w:r>
      <w:proofErr w:type="spellEnd"/>
      <w:r w:rsidRPr="00066913">
        <w:rPr>
          <w:sz w:val="24"/>
          <w:szCs w:val="24"/>
          <w:lang w:eastAsia="da-DK"/>
        </w:rPr>
        <w:t xml:space="preserve"> er konstant faldende og syre-basebalancen er forbedret.</w:t>
      </w:r>
    </w:p>
    <w:p w:rsidR="00367295" w:rsidRPr="00066913" w:rsidRDefault="00367295" w:rsidP="00367295">
      <w:pPr>
        <w:ind w:left="851"/>
        <w:rPr>
          <w:sz w:val="24"/>
          <w:szCs w:val="24"/>
          <w:lang w:eastAsia="da-DK"/>
        </w:rPr>
      </w:pPr>
    </w:p>
    <w:p w:rsidR="00367295" w:rsidRPr="00066913" w:rsidRDefault="00367295" w:rsidP="00367295">
      <w:pPr>
        <w:ind w:left="851"/>
        <w:rPr>
          <w:sz w:val="24"/>
          <w:szCs w:val="24"/>
          <w:lang w:eastAsia="da-DK"/>
        </w:rPr>
      </w:pPr>
      <w:proofErr w:type="spellStart"/>
      <w:r w:rsidRPr="00066913">
        <w:rPr>
          <w:sz w:val="24"/>
          <w:szCs w:val="24"/>
          <w:lang w:eastAsia="da-DK"/>
        </w:rPr>
        <w:t>Protrombin</w:t>
      </w:r>
      <w:proofErr w:type="spellEnd"/>
      <w:r w:rsidRPr="00066913">
        <w:rPr>
          <w:sz w:val="24"/>
          <w:szCs w:val="24"/>
          <w:lang w:eastAsia="da-DK"/>
        </w:rPr>
        <w:t xml:space="preserve"> tid og/eller INR bør monitoreres, især hvis blødning mistænkes.</w:t>
      </w:r>
    </w:p>
    <w:p w:rsidR="00367295" w:rsidRPr="00066913" w:rsidRDefault="00367295" w:rsidP="00367295">
      <w:pPr>
        <w:ind w:left="851"/>
        <w:rPr>
          <w:i/>
          <w:sz w:val="24"/>
          <w:szCs w:val="24"/>
          <w:lang w:eastAsia="da-DK"/>
        </w:rPr>
      </w:pPr>
    </w:p>
    <w:p w:rsidR="00367295" w:rsidRPr="00E20765" w:rsidRDefault="00367295" w:rsidP="00367295">
      <w:pPr>
        <w:ind w:left="851"/>
        <w:rPr>
          <w:sz w:val="24"/>
          <w:szCs w:val="24"/>
          <w:lang w:eastAsia="da-DK"/>
        </w:rPr>
      </w:pPr>
      <w:r w:rsidRPr="00066913">
        <w:rPr>
          <w:sz w:val="24"/>
          <w:szCs w:val="24"/>
          <w:lang w:eastAsia="da-DK"/>
        </w:rPr>
        <w:t xml:space="preserve">Væske- og elektrolytbalancen bør genoprettes. Alkalisk diurese og hæmodialyse er effektive metoder til fjernelse af </w:t>
      </w:r>
      <w:proofErr w:type="spellStart"/>
      <w:r w:rsidRPr="00066913">
        <w:rPr>
          <w:sz w:val="24"/>
          <w:szCs w:val="24"/>
          <w:lang w:eastAsia="da-DK"/>
        </w:rPr>
        <w:t>salicylat</w:t>
      </w:r>
      <w:proofErr w:type="spellEnd"/>
      <w:r w:rsidRPr="00066913">
        <w:rPr>
          <w:sz w:val="24"/>
          <w:szCs w:val="24"/>
          <w:lang w:eastAsia="da-DK"/>
        </w:rPr>
        <w:t xml:space="preserve"> i plasma. Hæmodialyse bør overvejes ved svær forgiftning, da det hurtigt forøger </w:t>
      </w:r>
      <w:proofErr w:type="spellStart"/>
      <w:r w:rsidRPr="00066913">
        <w:rPr>
          <w:sz w:val="24"/>
          <w:szCs w:val="24"/>
          <w:lang w:eastAsia="da-DK"/>
        </w:rPr>
        <w:t>salicylat</w:t>
      </w:r>
      <w:proofErr w:type="spellEnd"/>
      <w:r w:rsidRPr="00066913">
        <w:rPr>
          <w:sz w:val="24"/>
          <w:szCs w:val="24"/>
          <w:lang w:eastAsia="da-DK"/>
        </w:rPr>
        <w:t xml:space="preserve"> </w:t>
      </w:r>
      <w:proofErr w:type="spellStart"/>
      <w:r w:rsidRPr="00066913">
        <w:rPr>
          <w:sz w:val="24"/>
          <w:szCs w:val="24"/>
          <w:lang w:eastAsia="da-DK"/>
        </w:rPr>
        <w:t>clearance</w:t>
      </w:r>
      <w:proofErr w:type="spellEnd"/>
      <w:r w:rsidRPr="00066913">
        <w:rPr>
          <w:sz w:val="24"/>
          <w:szCs w:val="24"/>
          <w:lang w:eastAsia="da-DK"/>
        </w:rPr>
        <w:t xml:space="preserve"> samt genopretter syre-basebalancen og væske- og elektrolytbalancen.</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4.10</w:t>
      </w:r>
      <w:r w:rsidRPr="00E20765">
        <w:rPr>
          <w:b/>
          <w:sz w:val="24"/>
          <w:szCs w:val="24"/>
        </w:rPr>
        <w:tab/>
        <w:t>Udlevering</w:t>
      </w:r>
    </w:p>
    <w:p w:rsidR="00367295" w:rsidRPr="007014D5" w:rsidRDefault="00367295" w:rsidP="00367295">
      <w:pPr>
        <w:tabs>
          <w:tab w:val="left" w:pos="851"/>
          <w:tab w:val="left" w:pos="1985"/>
          <w:tab w:val="left" w:pos="8789"/>
        </w:tabs>
        <w:ind w:left="851"/>
        <w:rPr>
          <w:sz w:val="24"/>
          <w:szCs w:val="24"/>
          <w:lang w:eastAsia="da-DK"/>
        </w:rPr>
      </w:pPr>
      <w:r w:rsidRPr="007014D5">
        <w:rPr>
          <w:sz w:val="24"/>
          <w:szCs w:val="24"/>
          <w:lang w:eastAsia="da-DK"/>
        </w:rPr>
        <w:t>HX: Pakninger indeholdende højst 66 stk.</w:t>
      </w:r>
    </w:p>
    <w:p w:rsidR="00367295" w:rsidRPr="007014D5" w:rsidRDefault="00367295" w:rsidP="00367295">
      <w:pPr>
        <w:tabs>
          <w:tab w:val="left" w:pos="851"/>
          <w:tab w:val="left" w:pos="1985"/>
          <w:tab w:val="left" w:pos="8789"/>
        </w:tabs>
        <w:ind w:left="851"/>
        <w:rPr>
          <w:sz w:val="24"/>
          <w:szCs w:val="24"/>
          <w:lang w:eastAsia="da-DK"/>
        </w:rPr>
      </w:pPr>
      <w:r w:rsidRPr="007014D5">
        <w:rPr>
          <w:sz w:val="24"/>
          <w:szCs w:val="24"/>
          <w:lang w:eastAsia="da-DK"/>
        </w:rPr>
        <w:t>HA: Pakninger indeholdende højst 133 stk.</w:t>
      </w:r>
    </w:p>
    <w:p w:rsidR="00367295" w:rsidRPr="007014D5" w:rsidRDefault="00367295" w:rsidP="00367295">
      <w:pPr>
        <w:tabs>
          <w:tab w:val="left" w:pos="851"/>
          <w:tab w:val="left" w:pos="1985"/>
          <w:tab w:val="left" w:pos="8789"/>
        </w:tabs>
        <w:ind w:left="851"/>
        <w:rPr>
          <w:sz w:val="24"/>
          <w:szCs w:val="24"/>
          <w:lang w:eastAsia="da-DK"/>
        </w:rPr>
      </w:pPr>
      <w:r w:rsidRPr="007014D5">
        <w:rPr>
          <w:sz w:val="24"/>
          <w:szCs w:val="24"/>
          <w:lang w:eastAsia="da-DK"/>
        </w:rPr>
        <w:t>B: Ingen øvre grænse.</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5.</w:t>
      </w:r>
      <w:r w:rsidRPr="00E20765">
        <w:rPr>
          <w:b/>
          <w:sz w:val="24"/>
          <w:szCs w:val="24"/>
        </w:rPr>
        <w:tab/>
        <w:t>FARMAKOLOGISKE EGENSKABER</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5.0</w:t>
      </w:r>
      <w:r w:rsidRPr="00E20765">
        <w:rPr>
          <w:b/>
          <w:sz w:val="24"/>
          <w:szCs w:val="24"/>
        </w:rPr>
        <w:tab/>
        <w:t>Terapeutisk klassifikation</w:t>
      </w:r>
    </w:p>
    <w:p w:rsidR="00367295" w:rsidRDefault="00367295" w:rsidP="00367295">
      <w:pPr>
        <w:tabs>
          <w:tab w:val="left" w:pos="851"/>
        </w:tabs>
        <w:ind w:left="851"/>
        <w:rPr>
          <w:sz w:val="24"/>
          <w:szCs w:val="24"/>
        </w:rPr>
      </w:pPr>
      <w:r w:rsidRPr="007014D5">
        <w:rPr>
          <w:sz w:val="24"/>
          <w:szCs w:val="24"/>
        </w:rPr>
        <w:t>ATC-kode: B 01 AC 06.</w:t>
      </w:r>
      <w:r>
        <w:rPr>
          <w:sz w:val="24"/>
          <w:szCs w:val="24"/>
        </w:rPr>
        <w:t xml:space="preserve"> </w:t>
      </w:r>
      <w:proofErr w:type="spellStart"/>
      <w:r w:rsidRPr="007014D5">
        <w:rPr>
          <w:sz w:val="24"/>
          <w:szCs w:val="24"/>
        </w:rPr>
        <w:t>Antithrombosemidler</w:t>
      </w:r>
      <w:proofErr w:type="spellEnd"/>
      <w:r w:rsidRPr="007014D5">
        <w:rPr>
          <w:sz w:val="24"/>
          <w:szCs w:val="24"/>
        </w:rPr>
        <w:t>, blodplade-</w:t>
      </w:r>
      <w:proofErr w:type="spellStart"/>
      <w:r w:rsidRPr="007014D5">
        <w:rPr>
          <w:sz w:val="24"/>
          <w:szCs w:val="24"/>
        </w:rPr>
        <w:t>aggregationshæmmere</w:t>
      </w:r>
      <w:proofErr w:type="spellEnd"/>
      <w:r w:rsidRPr="007014D5">
        <w:rPr>
          <w:sz w:val="24"/>
          <w:szCs w:val="24"/>
        </w:rPr>
        <w:t xml:space="preserve"> </w:t>
      </w:r>
      <w:r>
        <w:rPr>
          <w:sz w:val="24"/>
          <w:szCs w:val="24"/>
        </w:rPr>
        <w:t>eksklusive</w:t>
      </w:r>
      <w:r w:rsidRPr="007014D5">
        <w:rPr>
          <w:sz w:val="24"/>
          <w:szCs w:val="24"/>
        </w:rPr>
        <w:t xml:space="preserve"> </w:t>
      </w:r>
      <w:proofErr w:type="spellStart"/>
      <w:r w:rsidRPr="007014D5">
        <w:rPr>
          <w:sz w:val="24"/>
          <w:szCs w:val="24"/>
        </w:rPr>
        <w:t>heparin</w:t>
      </w:r>
      <w:proofErr w:type="spellEnd"/>
      <w:r w:rsidRPr="007014D5">
        <w:rPr>
          <w:sz w:val="24"/>
          <w:szCs w:val="24"/>
        </w:rPr>
        <w:t xml:space="preserve">. </w:t>
      </w:r>
    </w:p>
    <w:p w:rsidR="00367295" w:rsidRPr="00E20765" w:rsidRDefault="00367295" w:rsidP="00367295">
      <w:pPr>
        <w:tabs>
          <w:tab w:val="left" w:pos="851"/>
        </w:tabs>
        <w:ind w:left="851"/>
        <w:rPr>
          <w:sz w:val="24"/>
          <w:szCs w:val="24"/>
        </w:rPr>
      </w:pPr>
    </w:p>
    <w:p w:rsidR="00367295" w:rsidRPr="00E20765" w:rsidRDefault="00367295" w:rsidP="00367295">
      <w:pPr>
        <w:tabs>
          <w:tab w:val="num" w:pos="851"/>
        </w:tabs>
        <w:ind w:left="851" w:hanging="851"/>
        <w:rPr>
          <w:b/>
          <w:sz w:val="24"/>
          <w:szCs w:val="24"/>
        </w:rPr>
      </w:pPr>
      <w:r w:rsidRPr="00E20765">
        <w:rPr>
          <w:b/>
          <w:sz w:val="24"/>
          <w:szCs w:val="24"/>
        </w:rPr>
        <w:t>5.1</w:t>
      </w:r>
      <w:r w:rsidRPr="00E20765">
        <w:rPr>
          <w:b/>
          <w:sz w:val="24"/>
          <w:szCs w:val="24"/>
        </w:rPr>
        <w:tab/>
      </w:r>
      <w:proofErr w:type="spellStart"/>
      <w:r w:rsidRPr="00E20765">
        <w:rPr>
          <w:b/>
          <w:sz w:val="24"/>
          <w:szCs w:val="24"/>
        </w:rPr>
        <w:t>Farmakodynamiske</w:t>
      </w:r>
      <w:proofErr w:type="spellEnd"/>
      <w:r w:rsidRPr="00E20765">
        <w:rPr>
          <w:b/>
          <w:sz w:val="24"/>
          <w:szCs w:val="24"/>
        </w:rPr>
        <w:t xml:space="preserve"> egenskaber</w:t>
      </w: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Acetylsalicylsyre er et analgetisk, antiinflammatorisk, </w:t>
      </w:r>
      <w:proofErr w:type="spellStart"/>
      <w:r w:rsidRPr="00094918">
        <w:rPr>
          <w:sz w:val="24"/>
          <w:szCs w:val="24"/>
          <w:lang w:eastAsia="da-DK"/>
        </w:rPr>
        <w:t>antipyretisk</w:t>
      </w:r>
      <w:proofErr w:type="spellEnd"/>
      <w:r w:rsidRPr="00094918">
        <w:rPr>
          <w:sz w:val="24"/>
          <w:szCs w:val="24"/>
          <w:lang w:eastAsia="da-DK"/>
        </w:rPr>
        <w:t xml:space="preserve"> stof, der også forhindrer blodpladerne i at hæfte sig sammen. Det øger blødningstiden.</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lang w:eastAsia="da-DK"/>
        </w:rPr>
      </w:pPr>
      <w:r w:rsidRPr="00094918">
        <w:rPr>
          <w:sz w:val="24"/>
          <w:szCs w:val="24"/>
          <w:lang w:eastAsia="da-DK"/>
        </w:rPr>
        <w:lastRenderedPageBreak/>
        <w:t xml:space="preserve">Acetylsalicylsyres farmakologiske effekt er hovedsagelig hæmning af dannelsen af </w:t>
      </w:r>
      <w:proofErr w:type="spellStart"/>
      <w:r w:rsidRPr="00094918">
        <w:rPr>
          <w:sz w:val="24"/>
          <w:szCs w:val="24"/>
          <w:lang w:eastAsia="da-DK"/>
        </w:rPr>
        <w:t>prostaglandiner</w:t>
      </w:r>
      <w:proofErr w:type="spellEnd"/>
      <w:r w:rsidRPr="00094918">
        <w:rPr>
          <w:sz w:val="24"/>
          <w:szCs w:val="24"/>
          <w:lang w:eastAsia="da-DK"/>
        </w:rPr>
        <w:t xml:space="preserve"> og </w:t>
      </w:r>
      <w:proofErr w:type="spellStart"/>
      <w:r w:rsidRPr="00094918">
        <w:rPr>
          <w:sz w:val="24"/>
          <w:szCs w:val="24"/>
          <w:lang w:eastAsia="da-DK"/>
        </w:rPr>
        <w:t>tromboxaner</w:t>
      </w:r>
      <w:proofErr w:type="spellEnd"/>
      <w:r w:rsidRPr="00094918">
        <w:rPr>
          <w:sz w:val="24"/>
          <w:szCs w:val="24"/>
          <w:lang w:eastAsia="da-DK"/>
        </w:rPr>
        <w:t>.</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Den analgetiske effekt er en perifer effekt forårsaget af hæmning af enzymet </w:t>
      </w:r>
      <w:proofErr w:type="spellStart"/>
      <w:r w:rsidRPr="00094918">
        <w:rPr>
          <w:sz w:val="24"/>
          <w:szCs w:val="24"/>
          <w:lang w:eastAsia="da-DK"/>
        </w:rPr>
        <w:t>cyclooxygenase</w:t>
      </w:r>
      <w:proofErr w:type="spellEnd"/>
      <w:r w:rsidRPr="00094918">
        <w:rPr>
          <w:sz w:val="24"/>
          <w:szCs w:val="24"/>
          <w:lang w:eastAsia="da-DK"/>
        </w:rPr>
        <w:t>.</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lang w:eastAsia="da-DK"/>
        </w:rPr>
      </w:pPr>
      <w:r w:rsidRPr="00094918">
        <w:rPr>
          <w:sz w:val="24"/>
          <w:szCs w:val="24"/>
          <w:lang w:eastAsia="da-DK"/>
        </w:rPr>
        <w:t>Den antiinflammatoriske effekt er relateret til den lavere blodgennemstrømning forårsaget af hæmning af PGE</w:t>
      </w:r>
      <w:r w:rsidRPr="00094918">
        <w:rPr>
          <w:sz w:val="24"/>
          <w:szCs w:val="24"/>
          <w:vertAlign w:val="subscript"/>
          <w:lang w:eastAsia="da-DK"/>
        </w:rPr>
        <w:t>2</w:t>
      </w:r>
      <w:r w:rsidRPr="00094918">
        <w:rPr>
          <w:sz w:val="24"/>
          <w:szCs w:val="24"/>
          <w:lang w:eastAsia="da-DK"/>
        </w:rPr>
        <w:t xml:space="preserve"> syntesen.</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Acetylsalicylsyre </w:t>
      </w:r>
      <w:proofErr w:type="spellStart"/>
      <w:r w:rsidRPr="00094918">
        <w:rPr>
          <w:sz w:val="24"/>
          <w:szCs w:val="24"/>
          <w:lang w:eastAsia="da-DK"/>
        </w:rPr>
        <w:t>acetylerer</w:t>
      </w:r>
      <w:proofErr w:type="spellEnd"/>
      <w:r w:rsidRPr="00094918">
        <w:rPr>
          <w:sz w:val="24"/>
          <w:szCs w:val="24"/>
          <w:lang w:eastAsia="da-DK"/>
        </w:rPr>
        <w:t xml:space="preserve"> og hæmmer </w:t>
      </w:r>
      <w:proofErr w:type="spellStart"/>
      <w:r w:rsidRPr="00094918">
        <w:rPr>
          <w:sz w:val="24"/>
          <w:szCs w:val="24"/>
          <w:lang w:eastAsia="da-DK"/>
        </w:rPr>
        <w:t>prostaglandin</w:t>
      </w:r>
      <w:proofErr w:type="spellEnd"/>
      <w:r w:rsidRPr="00094918">
        <w:rPr>
          <w:sz w:val="24"/>
          <w:szCs w:val="24"/>
          <w:lang w:eastAsia="da-DK"/>
        </w:rPr>
        <w:t xml:space="preserve"> G/H </w:t>
      </w:r>
      <w:proofErr w:type="spellStart"/>
      <w:r w:rsidRPr="00094918">
        <w:rPr>
          <w:sz w:val="24"/>
          <w:szCs w:val="24"/>
          <w:lang w:eastAsia="da-DK"/>
        </w:rPr>
        <w:t>synthase</w:t>
      </w:r>
      <w:proofErr w:type="spellEnd"/>
      <w:r w:rsidRPr="00094918">
        <w:rPr>
          <w:sz w:val="24"/>
          <w:szCs w:val="24"/>
          <w:lang w:eastAsia="da-DK"/>
        </w:rPr>
        <w:t xml:space="preserve"> irreversibelt, og virkningen på blodpladerne varer længere end acetylsalicylsyrens tilstedeværelse i kroppen. Acetylsalicylsyrens virkning på </w:t>
      </w:r>
      <w:proofErr w:type="spellStart"/>
      <w:r w:rsidRPr="00094918">
        <w:rPr>
          <w:sz w:val="24"/>
          <w:szCs w:val="24"/>
          <w:lang w:eastAsia="da-DK"/>
        </w:rPr>
        <w:t>tromboxanbiosyntesen</w:t>
      </w:r>
      <w:proofErr w:type="spellEnd"/>
      <w:r w:rsidRPr="00094918">
        <w:rPr>
          <w:sz w:val="24"/>
          <w:szCs w:val="24"/>
          <w:lang w:eastAsia="da-DK"/>
        </w:rPr>
        <w:t xml:space="preserve"> i blodpladerne og på blødningstiden opretholdes mange dage efter behandlingsophør. Først ved konstatering af nye blodplader i plasma er virkning ophørt.</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lang w:eastAsia="da-DK"/>
        </w:rPr>
      </w:pPr>
      <w:proofErr w:type="spellStart"/>
      <w:r w:rsidRPr="00094918">
        <w:rPr>
          <w:sz w:val="24"/>
          <w:szCs w:val="24"/>
          <w:lang w:eastAsia="da-DK"/>
        </w:rPr>
        <w:t>Salicylat</w:t>
      </w:r>
      <w:proofErr w:type="spellEnd"/>
      <w:r w:rsidRPr="00094918">
        <w:rPr>
          <w:sz w:val="24"/>
          <w:szCs w:val="24"/>
          <w:lang w:eastAsia="da-DK"/>
        </w:rPr>
        <w:t xml:space="preserve"> (den aktive metabolit) har udover nogen antiinflammatorisk virkning, en virkning på respiration, syre/base-balance og maven. </w:t>
      </w:r>
      <w:proofErr w:type="spellStart"/>
      <w:r w:rsidRPr="00094918">
        <w:rPr>
          <w:sz w:val="24"/>
          <w:szCs w:val="24"/>
          <w:lang w:eastAsia="da-DK"/>
        </w:rPr>
        <w:t>Salicylater</w:t>
      </w:r>
      <w:proofErr w:type="spellEnd"/>
      <w:r w:rsidRPr="00094918">
        <w:rPr>
          <w:sz w:val="24"/>
          <w:szCs w:val="24"/>
          <w:lang w:eastAsia="da-DK"/>
        </w:rPr>
        <w:t xml:space="preserve"> stimulerer respirationen hovedsageligt ved direkte påvirkning af </w:t>
      </w:r>
      <w:proofErr w:type="spellStart"/>
      <w:r w:rsidRPr="00094918">
        <w:rPr>
          <w:sz w:val="24"/>
          <w:szCs w:val="24"/>
          <w:lang w:eastAsia="da-DK"/>
        </w:rPr>
        <w:t>medulla</w:t>
      </w:r>
      <w:proofErr w:type="spellEnd"/>
      <w:r w:rsidRPr="00094918">
        <w:rPr>
          <w:sz w:val="24"/>
          <w:szCs w:val="24"/>
          <w:lang w:eastAsia="da-DK"/>
        </w:rPr>
        <w:t xml:space="preserve">. De har en direkte irriterende effekt på maveslimhinden som på grund af hæmning af </w:t>
      </w:r>
      <w:proofErr w:type="spellStart"/>
      <w:r w:rsidRPr="00094918">
        <w:rPr>
          <w:sz w:val="24"/>
          <w:szCs w:val="24"/>
          <w:lang w:eastAsia="da-DK"/>
        </w:rPr>
        <w:t>vasodilatoriske</w:t>
      </w:r>
      <w:proofErr w:type="spellEnd"/>
      <w:r w:rsidRPr="00094918">
        <w:rPr>
          <w:sz w:val="24"/>
          <w:szCs w:val="24"/>
          <w:lang w:eastAsia="da-DK"/>
        </w:rPr>
        <w:t xml:space="preserve"> og </w:t>
      </w:r>
      <w:proofErr w:type="spellStart"/>
      <w:r w:rsidRPr="00094918">
        <w:rPr>
          <w:sz w:val="24"/>
          <w:szCs w:val="24"/>
          <w:lang w:eastAsia="da-DK"/>
        </w:rPr>
        <w:t>cytobeskyttende</w:t>
      </w:r>
      <w:proofErr w:type="spellEnd"/>
      <w:r w:rsidRPr="00094918">
        <w:rPr>
          <w:sz w:val="24"/>
          <w:szCs w:val="24"/>
          <w:lang w:eastAsia="da-DK"/>
        </w:rPr>
        <w:t xml:space="preserve"> </w:t>
      </w:r>
      <w:proofErr w:type="spellStart"/>
      <w:r w:rsidRPr="00094918">
        <w:rPr>
          <w:sz w:val="24"/>
          <w:szCs w:val="24"/>
          <w:lang w:eastAsia="da-DK"/>
        </w:rPr>
        <w:t>prostaglandiner</w:t>
      </w:r>
      <w:proofErr w:type="spellEnd"/>
      <w:r w:rsidRPr="00094918">
        <w:rPr>
          <w:sz w:val="24"/>
          <w:szCs w:val="24"/>
          <w:lang w:eastAsia="da-DK"/>
        </w:rPr>
        <w:t xml:space="preserve"> yderligere bevirker en prædisponering for </w:t>
      </w:r>
      <w:proofErr w:type="spellStart"/>
      <w:r w:rsidRPr="00094918">
        <w:rPr>
          <w:sz w:val="24"/>
          <w:szCs w:val="24"/>
          <w:lang w:eastAsia="da-DK"/>
        </w:rPr>
        <w:t>ulceration</w:t>
      </w:r>
      <w:proofErr w:type="spellEnd"/>
      <w:r w:rsidRPr="00094918">
        <w:rPr>
          <w:sz w:val="24"/>
          <w:szCs w:val="24"/>
          <w:lang w:eastAsia="da-DK"/>
        </w:rPr>
        <w:t>.</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Eksperimentelle data tyder på, at ibuprofen muligvis </w:t>
      </w:r>
      <w:proofErr w:type="spellStart"/>
      <w:r w:rsidRPr="00094918">
        <w:rPr>
          <w:sz w:val="24"/>
          <w:szCs w:val="24"/>
          <w:lang w:eastAsia="da-DK"/>
        </w:rPr>
        <w:t>kompetitivt</w:t>
      </w:r>
      <w:proofErr w:type="spellEnd"/>
      <w:r w:rsidRPr="00094918">
        <w:rPr>
          <w:sz w:val="24"/>
          <w:szCs w:val="24"/>
          <w:lang w:eastAsia="da-DK"/>
        </w:rPr>
        <w:t xml:space="preserve"> hæmmer virkningen af lavdosis acetylsalicylsyre på </w:t>
      </w:r>
      <w:proofErr w:type="spellStart"/>
      <w:r w:rsidRPr="00094918">
        <w:rPr>
          <w:sz w:val="24"/>
          <w:szCs w:val="24"/>
          <w:lang w:eastAsia="da-DK"/>
        </w:rPr>
        <w:t>trombocytaggregation</w:t>
      </w:r>
      <w:proofErr w:type="spellEnd"/>
      <w:r w:rsidRPr="00094918">
        <w:rPr>
          <w:sz w:val="24"/>
          <w:szCs w:val="24"/>
          <w:lang w:eastAsia="da-DK"/>
        </w:rPr>
        <w:t xml:space="preserve"> ved samtidig administration. Nogle </w:t>
      </w:r>
      <w:proofErr w:type="spellStart"/>
      <w:r w:rsidRPr="00094918">
        <w:rPr>
          <w:sz w:val="24"/>
          <w:szCs w:val="24"/>
          <w:lang w:eastAsia="da-DK"/>
        </w:rPr>
        <w:t>farmakodynamiske</w:t>
      </w:r>
      <w:proofErr w:type="spellEnd"/>
      <w:r w:rsidRPr="00094918">
        <w:rPr>
          <w:sz w:val="24"/>
          <w:szCs w:val="24"/>
          <w:lang w:eastAsia="da-DK"/>
        </w:rPr>
        <w:t xml:space="preserve"> studier viser, at acetylsalicylsyres virkning på dannelsen af </w:t>
      </w:r>
      <w:proofErr w:type="spellStart"/>
      <w:r w:rsidRPr="00094918">
        <w:rPr>
          <w:sz w:val="24"/>
          <w:szCs w:val="24"/>
          <w:lang w:eastAsia="da-DK"/>
        </w:rPr>
        <w:t>tromboxan</w:t>
      </w:r>
      <w:proofErr w:type="spellEnd"/>
      <w:r w:rsidRPr="00094918">
        <w:rPr>
          <w:sz w:val="24"/>
          <w:szCs w:val="24"/>
          <w:lang w:eastAsia="da-DK"/>
        </w:rPr>
        <w:t xml:space="preserve"> eller </w:t>
      </w:r>
      <w:proofErr w:type="spellStart"/>
      <w:r w:rsidRPr="00094918">
        <w:rPr>
          <w:sz w:val="24"/>
          <w:szCs w:val="24"/>
          <w:lang w:eastAsia="da-DK"/>
        </w:rPr>
        <w:t>trombocytaggregation</w:t>
      </w:r>
      <w:proofErr w:type="spellEnd"/>
      <w:r w:rsidRPr="00094918">
        <w:rPr>
          <w:sz w:val="24"/>
          <w:szCs w:val="24"/>
          <w:lang w:eastAsia="da-DK"/>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094918">
        <w:rPr>
          <w:sz w:val="24"/>
          <w:szCs w:val="24"/>
          <w:lang w:eastAsia="da-DK"/>
        </w:rPr>
        <w:t>kardioprotektive</w:t>
      </w:r>
      <w:proofErr w:type="spellEnd"/>
      <w:r w:rsidRPr="00094918">
        <w:rPr>
          <w:sz w:val="24"/>
          <w:szCs w:val="24"/>
          <w:lang w:eastAsia="da-DK"/>
        </w:rPr>
        <w:t xml:space="preserve"> virkning af lavdosis acetylsalicylsyre, kan ikke udelukkes. En klinisk relevant virkning ved lejlighedsvis brug af ibuprofen anses ikke for at være sandsynlig (se pkt. 4.5).</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5.2</w:t>
      </w:r>
      <w:r w:rsidRPr="00E20765">
        <w:rPr>
          <w:b/>
          <w:sz w:val="24"/>
          <w:szCs w:val="24"/>
        </w:rPr>
        <w:tab/>
      </w:r>
      <w:proofErr w:type="spellStart"/>
      <w:r w:rsidRPr="00E20765">
        <w:rPr>
          <w:b/>
          <w:sz w:val="24"/>
          <w:szCs w:val="24"/>
        </w:rPr>
        <w:t>Farmakokinetiske</w:t>
      </w:r>
      <w:proofErr w:type="spellEnd"/>
      <w:r w:rsidRPr="00E20765">
        <w:rPr>
          <w:b/>
          <w:sz w:val="24"/>
          <w:szCs w:val="24"/>
        </w:rPr>
        <w:t xml:space="preserve"> egenskaber</w:t>
      </w:r>
    </w:p>
    <w:p w:rsidR="00367295"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u w:val="single"/>
          <w:lang w:eastAsia="da-DK"/>
        </w:rPr>
      </w:pPr>
      <w:r w:rsidRPr="00094918">
        <w:rPr>
          <w:sz w:val="24"/>
          <w:szCs w:val="24"/>
          <w:u w:val="single"/>
          <w:lang w:eastAsia="da-DK"/>
        </w:rPr>
        <w:t>Absorption</w:t>
      </w: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Acetylsalicylsyre absorberes hurtigt fra mavetarmkanalen. Efter oral administration vil absorption af ikke-ioniseret acetylsalicylsyre foregå i maven og tarmen. Absorptionen forsinkes af mad og nedsættes hos patienter, der lider af migræneanfald. Absorptionshastigheden er øget hos patienter, der lider af </w:t>
      </w:r>
      <w:proofErr w:type="spellStart"/>
      <w:r w:rsidRPr="00094918">
        <w:rPr>
          <w:sz w:val="24"/>
          <w:szCs w:val="24"/>
          <w:lang w:eastAsia="da-DK"/>
        </w:rPr>
        <w:t>achlorhydria</w:t>
      </w:r>
      <w:proofErr w:type="spellEnd"/>
      <w:r w:rsidRPr="00094918">
        <w:rPr>
          <w:sz w:val="24"/>
          <w:szCs w:val="24"/>
          <w:lang w:eastAsia="da-DK"/>
        </w:rPr>
        <w:t xml:space="preserve"> eller hos patienter i behandling med </w:t>
      </w:r>
      <w:proofErr w:type="spellStart"/>
      <w:r w:rsidRPr="00094918">
        <w:rPr>
          <w:sz w:val="24"/>
          <w:szCs w:val="24"/>
          <w:lang w:eastAsia="da-DK"/>
        </w:rPr>
        <w:t>polysorbater</w:t>
      </w:r>
      <w:proofErr w:type="spellEnd"/>
      <w:r w:rsidRPr="00094918">
        <w:rPr>
          <w:sz w:val="24"/>
          <w:szCs w:val="24"/>
          <w:lang w:eastAsia="da-DK"/>
        </w:rPr>
        <w:t xml:space="preserve"> eller </w:t>
      </w:r>
      <w:proofErr w:type="spellStart"/>
      <w:r w:rsidRPr="00094918">
        <w:rPr>
          <w:sz w:val="24"/>
          <w:szCs w:val="24"/>
          <w:lang w:eastAsia="da-DK"/>
        </w:rPr>
        <w:t>antacida</w:t>
      </w:r>
      <w:proofErr w:type="spellEnd"/>
      <w:r w:rsidRPr="00094918">
        <w:rPr>
          <w:sz w:val="24"/>
          <w:szCs w:val="24"/>
          <w:lang w:eastAsia="da-DK"/>
        </w:rPr>
        <w:t>. Peak serumkoncentration for acetylsalicylsyre opnås inden for en halv time og for salicylsyre er det inden for 1-2 timer.</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u w:val="single"/>
          <w:lang w:eastAsia="da-DK"/>
        </w:rPr>
      </w:pPr>
      <w:r w:rsidRPr="00094918">
        <w:rPr>
          <w:sz w:val="24"/>
          <w:szCs w:val="24"/>
          <w:u w:val="single"/>
          <w:lang w:eastAsia="da-DK"/>
        </w:rPr>
        <w:t>Fordeling</w:t>
      </w:r>
    </w:p>
    <w:p w:rsidR="00367295" w:rsidRPr="00094918" w:rsidRDefault="00367295" w:rsidP="00367295">
      <w:pPr>
        <w:tabs>
          <w:tab w:val="left" w:pos="851"/>
        </w:tabs>
        <w:ind w:left="851"/>
        <w:rPr>
          <w:sz w:val="24"/>
          <w:szCs w:val="24"/>
          <w:lang w:eastAsia="da-DK"/>
        </w:rPr>
      </w:pPr>
      <w:r w:rsidRPr="00094918">
        <w:rPr>
          <w:sz w:val="24"/>
          <w:szCs w:val="24"/>
          <w:lang w:eastAsia="da-DK"/>
        </w:rPr>
        <w:t>Acetylsalicylsyre har en plasmaproteinbinding på 80-90 %. Fordelingsvolumen er rapporteret til 170 ml/kg legemsvægt hos voksne. Når plasmakoncentrationen stiger, er proteinernes bindingssteder mættet og dette giver øget fordelingsvolumen.</w:t>
      </w:r>
    </w:p>
    <w:p w:rsidR="00367295" w:rsidRPr="00094918" w:rsidRDefault="00367295" w:rsidP="00367295">
      <w:pPr>
        <w:tabs>
          <w:tab w:val="left" w:pos="851"/>
        </w:tabs>
        <w:ind w:left="851"/>
        <w:rPr>
          <w:sz w:val="24"/>
          <w:szCs w:val="24"/>
          <w:lang w:eastAsia="da-DK"/>
        </w:rPr>
      </w:pPr>
      <w:proofErr w:type="spellStart"/>
      <w:r w:rsidRPr="00094918">
        <w:rPr>
          <w:sz w:val="24"/>
          <w:szCs w:val="24"/>
          <w:lang w:eastAsia="da-DK"/>
        </w:rPr>
        <w:t>Salicylaterne</w:t>
      </w:r>
      <w:proofErr w:type="spellEnd"/>
      <w:r w:rsidRPr="00094918">
        <w:rPr>
          <w:sz w:val="24"/>
          <w:szCs w:val="24"/>
          <w:lang w:eastAsia="da-DK"/>
        </w:rPr>
        <w:t xml:space="preserve"> bindes i vid udstrækning til plasmaproteiner og fordeles hurtigt i kroppen. </w:t>
      </w:r>
      <w:proofErr w:type="spellStart"/>
      <w:r w:rsidRPr="00094918">
        <w:rPr>
          <w:sz w:val="24"/>
          <w:szCs w:val="24"/>
          <w:lang w:eastAsia="da-DK"/>
        </w:rPr>
        <w:t>Salicylater</w:t>
      </w:r>
      <w:proofErr w:type="spellEnd"/>
      <w:r w:rsidRPr="00094918">
        <w:rPr>
          <w:sz w:val="24"/>
          <w:szCs w:val="24"/>
          <w:lang w:eastAsia="da-DK"/>
        </w:rPr>
        <w:t xml:space="preserve"> forekommer i modermælk og kan passere placentabarrieren.</w:t>
      </w:r>
    </w:p>
    <w:p w:rsidR="00367295" w:rsidRDefault="00367295" w:rsidP="00367295">
      <w:pPr>
        <w:rPr>
          <w:sz w:val="24"/>
          <w:szCs w:val="24"/>
          <w:lang w:eastAsia="da-DK"/>
        </w:rPr>
      </w:pPr>
      <w:r>
        <w:rPr>
          <w:sz w:val="24"/>
          <w:szCs w:val="24"/>
          <w:lang w:eastAsia="da-DK"/>
        </w:rPr>
        <w:br w:type="page"/>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u w:val="single"/>
          <w:lang w:eastAsia="da-DK"/>
        </w:rPr>
      </w:pPr>
      <w:r w:rsidRPr="00094918">
        <w:rPr>
          <w:sz w:val="24"/>
          <w:szCs w:val="24"/>
          <w:u w:val="single"/>
          <w:lang w:eastAsia="da-DK"/>
        </w:rPr>
        <w:t>Biotransformation</w:t>
      </w: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Acetylsalicylsyre hydrolyseres til en vis grad til den aktive metabolit </w:t>
      </w:r>
      <w:proofErr w:type="spellStart"/>
      <w:r w:rsidRPr="00094918">
        <w:rPr>
          <w:sz w:val="24"/>
          <w:szCs w:val="24"/>
          <w:lang w:eastAsia="da-DK"/>
        </w:rPr>
        <w:t>salicylat</w:t>
      </w:r>
      <w:proofErr w:type="spellEnd"/>
      <w:r w:rsidRPr="00094918">
        <w:rPr>
          <w:sz w:val="24"/>
          <w:szCs w:val="24"/>
          <w:lang w:eastAsia="da-DK"/>
        </w:rPr>
        <w:t xml:space="preserve"> i tarmvæggen. Efter absorption omdannes acetylsalicylsyre hurtigt til salicylsyre, men i de første 20 minutter efter oral indtagelse, er acetylsalicylsyre den dominerende form i plasma.</w:t>
      </w:r>
    </w:p>
    <w:p w:rsidR="00367295" w:rsidRPr="00094918" w:rsidRDefault="00367295" w:rsidP="00367295">
      <w:pPr>
        <w:tabs>
          <w:tab w:val="left" w:pos="851"/>
        </w:tabs>
        <w:ind w:left="851"/>
        <w:rPr>
          <w:sz w:val="24"/>
          <w:szCs w:val="24"/>
          <w:lang w:eastAsia="da-DK"/>
        </w:rPr>
      </w:pPr>
    </w:p>
    <w:p w:rsidR="00367295" w:rsidRPr="00094918" w:rsidRDefault="00367295" w:rsidP="00367295">
      <w:pPr>
        <w:tabs>
          <w:tab w:val="left" w:pos="851"/>
        </w:tabs>
        <w:ind w:left="851"/>
        <w:rPr>
          <w:sz w:val="24"/>
          <w:szCs w:val="24"/>
          <w:u w:val="single"/>
          <w:lang w:eastAsia="da-DK"/>
        </w:rPr>
      </w:pPr>
      <w:r w:rsidRPr="00094918">
        <w:rPr>
          <w:sz w:val="24"/>
          <w:szCs w:val="24"/>
          <w:u w:val="single"/>
          <w:lang w:eastAsia="da-DK"/>
        </w:rPr>
        <w:t>Elimination</w:t>
      </w:r>
    </w:p>
    <w:p w:rsidR="00367295" w:rsidRPr="00094918" w:rsidRDefault="00367295" w:rsidP="00367295">
      <w:pPr>
        <w:tabs>
          <w:tab w:val="left" w:pos="851"/>
        </w:tabs>
        <w:ind w:left="851"/>
        <w:rPr>
          <w:sz w:val="24"/>
          <w:szCs w:val="24"/>
          <w:lang w:eastAsia="da-DK"/>
        </w:rPr>
      </w:pPr>
      <w:proofErr w:type="spellStart"/>
      <w:r w:rsidRPr="00094918">
        <w:rPr>
          <w:sz w:val="24"/>
          <w:szCs w:val="24"/>
          <w:lang w:eastAsia="da-DK"/>
        </w:rPr>
        <w:t>Salicylat</w:t>
      </w:r>
      <w:proofErr w:type="spellEnd"/>
      <w:r w:rsidRPr="00094918">
        <w:rPr>
          <w:sz w:val="24"/>
          <w:szCs w:val="24"/>
          <w:lang w:eastAsia="da-DK"/>
        </w:rPr>
        <w:t xml:space="preserve"> elimineres hovedsageligt ved </w:t>
      </w:r>
      <w:proofErr w:type="spellStart"/>
      <w:r w:rsidRPr="00094918">
        <w:rPr>
          <w:sz w:val="24"/>
          <w:szCs w:val="24"/>
          <w:lang w:eastAsia="da-DK"/>
        </w:rPr>
        <w:t>hepatisk</w:t>
      </w:r>
      <w:proofErr w:type="spellEnd"/>
      <w:r w:rsidRPr="00094918">
        <w:rPr>
          <w:sz w:val="24"/>
          <w:szCs w:val="24"/>
          <w:lang w:eastAsia="da-DK"/>
        </w:rPr>
        <w:t xml:space="preserve"> metabolisme. </w:t>
      </w:r>
      <w:proofErr w:type="spellStart"/>
      <w:r w:rsidRPr="00094918">
        <w:rPr>
          <w:sz w:val="24"/>
          <w:szCs w:val="24"/>
          <w:lang w:eastAsia="da-DK"/>
        </w:rPr>
        <w:t>Steady</w:t>
      </w:r>
      <w:proofErr w:type="spellEnd"/>
      <w:r w:rsidRPr="00094918">
        <w:rPr>
          <w:sz w:val="24"/>
          <w:szCs w:val="24"/>
          <w:lang w:eastAsia="da-DK"/>
        </w:rPr>
        <w:t xml:space="preserve"> </w:t>
      </w:r>
      <w:proofErr w:type="spellStart"/>
      <w:r w:rsidRPr="00094918">
        <w:rPr>
          <w:sz w:val="24"/>
          <w:szCs w:val="24"/>
          <w:lang w:eastAsia="da-DK"/>
        </w:rPr>
        <w:t>state</w:t>
      </w:r>
      <w:proofErr w:type="spellEnd"/>
      <w:r w:rsidRPr="00094918">
        <w:rPr>
          <w:sz w:val="24"/>
          <w:szCs w:val="24"/>
          <w:lang w:eastAsia="da-DK"/>
        </w:rPr>
        <w:t xml:space="preserve"> </w:t>
      </w:r>
      <w:proofErr w:type="spellStart"/>
      <w:r w:rsidRPr="00094918">
        <w:rPr>
          <w:sz w:val="24"/>
          <w:szCs w:val="24"/>
          <w:lang w:eastAsia="da-DK"/>
        </w:rPr>
        <w:t>plasmasalicylatkoncentrationen</w:t>
      </w:r>
      <w:proofErr w:type="spellEnd"/>
      <w:r w:rsidRPr="00094918">
        <w:rPr>
          <w:sz w:val="24"/>
          <w:szCs w:val="24"/>
          <w:lang w:eastAsia="da-DK"/>
        </w:rPr>
        <w:t xml:space="preserve"> vil således øges disproportionalt med dosis. Ved en dosis på 325 mg acetylsalicylsyre følger eliminationen 1. ordens kinetik og halveringstiden for </w:t>
      </w:r>
      <w:proofErr w:type="spellStart"/>
      <w:r w:rsidRPr="00094918">
        <w:rPr>
          <w:sz w:val="24"/>
          <w:szCs w:val="24"/>
          <w:lang w:eastAsia="da-DK"/>
        </w:rPr>
        <w:t>plasmasalicylat</w:t>
      </w:r>
      <w:proofErr w:type="spellEnd"/>
      <w:r w:rsidRPr="00094918">
        <w:rPr>
          <w:sz w:val="24"/>
          <w:szCs w:val="24"/>
          <w:lang w:eastAsia="da-DK"/>
        </w:rPr>
        <w:t xml:space="preserve"> er 2-3 timer. Ved høje acetylsalicylsyredoser øges halveringstiden til 15-30 timer. </w:t>
      </w:r>
      <w:proofErr w:type="spellStart"/>
      <w:r w:rsidRPr="00094918">
        <w:rPr>
          <w:sz w:val="24"/>
          <w:szCs w:val="24"/>
          <w:lang w:eastAsia="da-DK"/>
        </w:rPr>
        <w:t>Salicylat</w:t>
      </w:r>
      <w:proofErr w:type="spellEnd"/>
      <w:r w:rsidRPr="00094918">
        <w:rPr>
          <w:sz w:val="24"/>
          <w:szCs w:val="24"/>
          <w:lang w:eastAsia="da-DK"/>
        </w:rPr>
        <w:t xml:space="preserve"> udskilles også </w:t>
      </w:r>
      <w:proofErr w:type="spellStart"/>
      <w:r w:rsidRPr="00094918">
        <w:rPr>
          <w:sz w:val="24"/>
          <w:szCs w:val="24"/>
          <w:lang w:eastAsia="da-DK"/>
        </w:rPr>
        <w:t>uomdannet</w:t>
      </w:r>
      <w:proofErr w:type="spellEnd"/>
      <w:r w:rsidRPr="00094918">
        <w:rPr>
          <w:sz w:val="24"/>
          <w:szCs w:val="24"/>
          <w:lang w:eastAsia="da-DK"/>
        </w:rPr>
        <w:t xml:space="preserve"> via urinen. Mængden, der udskilles, er afhængig af dosis og pH i urinen. Ca. 30 % af dosis vil blive udskilt i urinen, hvis denne er basisk, mens kun 2 % udskilles i sur urin.</w:t>
      </w:r>
    </w:p>
    <w:p w:rsidR="00367295" w:rsidRPr="00094918" w:rsidRDefault="00367295" w:rsidP="00367295">
      <w:pPr>
        <w:tabs>
          <w:tab w:val="left" w:pos="851"/>
        </w:tabs>
        <w:ind w:left="851"/>
        <w:rPr>
          <w:sz w:val="24"/>
          <w:szCs w:val="24"/>
          <w:lang w:eastAsia="da-DK"/>
        </w:rPr>
      </w:pPr>
      <w:r w:rsidRPr="00094918">
        <w:rPr>
          <w:sz w:val="24"/>
          <w:szCs w:val="24"/>
          <w:lang w:eastAsia="da-DK"/>
        </w:rPr>
        <w:t xml:space="preserve">Udskillelse gennem </w:t>
      </w:r>
      <w:proofErr w:type="spellStart"/>
      <w:r w:rsidRPr="00094918">
        <w:rPr>
          <w:sz w:val="24"/>
          <w:szCs w:val="24"/>
          <w:lang w:eastAsia="da-DK"/>
        </w:rPr>
        <w:t>nyrene</w:t>
      </w:r>
      <w:proofErr w:type="spellEnd"/>
      <w:r w:rsidRPr="00094918">
        <w:rPr>
          <w:sz w:val="24"/>
          <w:szCs w:val="24"/>
          <w:lang w:eastAsia="da-DK"/>
        </w:rPr>
        <w:t xml:space="preserve"> involverer </w:t>
      </w:r>
      <w:proofErr w:type="spellStart"/>
      <w:r w:rsidRPr="00094918">
        <w:rPr>
          <w:sz w:val="24"/>
          <w:szCs w:val="24"/>
          <w:lang w:eastAsia="da-DK"/>
        </w:rPr>
        <w:t>glomerulær</w:t>
      </w:r>
      <w:proofErr w:type="spellEnd"/>
      <w:r w:rsidRPr="00094918">
        <w:rPr>
          <w:sz w:val="24"/>
          <w:szCs w:val="24"/>
          <w:lang w:eastAsia="da-DK"/>
        </w:rPr>
        <w:t xml:space="preserve"> filtrering, aktiv </w:t>
      </w:r>
      <w:proofErr w:type="spellStart"/>
      <w:r w:rsidRPr="00094918">
        <w:rPr>
          <w:sz w:val="24"/>
          <w:szCs w:val="24"/>
          <w:lang w:eastAsia="da-DK"/>
        </w:rPr>
        <w:t>renal</w:t>
      </w:r>
      <w:proofErr w:type="spellEnd"/>
      <w:r w:rsidRPr="00094918">
        <w:rPr>
          <w:sz w:val="24"/>
          <w:szCs w:val="24"/>
          <w:lang w:eastAsia="da-DK"/>
        </w:rPr>
        <w:t xml:space="preserve"> </w:t>
      </w:r>
      <w:proofErr w:type="spellStart"/>
      <w:r w:rsidRPr="00094918">
        <w:rPr>
          <w:sz w:val="24"/>
          <w:szCs w:val="24"/>
          <w:lang w:eastAsia="da-DK"/>
        </w:rPr>
        <w:t>tubulær</w:t>
      </w:r>
      <w:proofErr w:type="spellEnd"/>
      <w:r w:rsidRPr="00094918">
        <w:rPr>
          <w:sz w:val="24"/>
          <w:szCs w:val="24"/>
          <w:lang w:eastAsia="da-DK"/>
        </w:rPr>
        <w:t xml:space="preserve"> sekretion og passiv </w:t>
      </w:r>
      <w:proofErr w:type="spellStart"/>
      <w:r w:rsidRPr="00094918">
        <w:rPr>
          <w:sz w:val="24"/>
          <w:szCs w:val="24"/>
          <w:lang w:eastAsia="da-DK"/>
        </w:rPr>
        <w:t>tubulær</w:t>
      </w:r>
      <w:proofErr w:type="spellEnd"/>
      <w:r w:rsidRPr="00094918">
        <w:rPr>
          <w:sz w:val="24"/>
          <w:szCs w:val="24"/>
          <w:lang w:eastAsia="da-DK"/>
        </w:rPr>
        <w:t xml:space="preserve"> </w:t>
      </w:r>
      <w:proofErr w:type="spellStart"/>
      <w:r w:rsidRPr="00094918">
        <w:rPr>
          <w:sz w:val="24"/>
          <w:szCs w:val="24"/>
          <w:lang w:eastAsia="da-DK"/>
        </w:rPr>
        <w:t>reabsorption</w:t>
      </w:r>
      <w:proofErr w:type="spellEnd"/>
      <w:r w:rsidRPr="00094918">
        <w:rPr>
          <w:sz w:val="24"/>
          <w:szCs w:val="24"/>
          <w:lang w:eastAsia="da-DK"/>
        </w:rPr>
        <w:t>.</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5.3</w:t>
      </w:r>
      <w:r w:rsidRPr="00E20765">
        <w:rPr>
          <w:b/>
          <w:sz w:val="24"/>
          <w:szCs w:val="24"/>
        </w:rPr>
        <w:tab/>
        <w:t>Prækliniske sikkerhedsdata</w:t>
      </w:r>
    </w:p>
    <w:p w:rsidR="00367295" w:rsidRPr="00EE3586" w:rsidRDefault="00367295" w:rsidP="00367295">
      <w:pPr>
        <w:tabs>
          <w:tab w:val="left" w:pos="851"/>
        </w:tabs>
        <w:ind w:left="851"/>
        <w:rPr>
          <w:sz w:val="24"/>
          <w:szCs w:val="24"/>
        </w:rPr>
      </w:pPr>
      <w:r w:rsidRPr="00EE3586">
        <w:rPr>
          <w:sz w:val="24"/>
          <w:szCs w:val="24"/>
        </w:rPr>
        <w:t xml:space="preserve">Prækliniske data viser ingen særlig risiko i relation til genotoksicitet, </w:t>
      </w:r>
      <w:proofErr w:type="spellStart"/>
      <w:r w:rsidRPr="00EE3586">
        <w:rPr>
          <w:sz w:val="24"/>
          <w:szCs w:val="24"/>
        </w:rPr>
        <w:t>mutagenicitet</w:t>
      </w:r>
      <w:proofErr w:type="spellEnd"/>
      <w:r w:rsidRPr="00EE3586">
        <w:rPr>
          <w:sz w:val="24"/>
          <w:szCs w:val="24"/>
        </w:rPr>
        <w:t xml:space="preserve"> og </w:t>
      </w:r>
      <w:proofErr w:type="spellStart"/>
      <w:r w:rsidRPr="00EE3586">
        <w:rPr>
          <w:sz w:val="24"/>
          <w:szCs w:val="24"/>
        </w:rPr>
        <w:t>karcinogenicitet</w:t>
      </w:r>
      <w:proofErr w:type="spellEnd"/>
      <w:r w:rsidRPr="00EE3586">
        <w:rPr>
          <w:sz w:val="24"/>
          <w:szCs w:val="24"/>
        </w:rPr>
        <w:t xml:space="preserve"> hos mennesker. </w:t>
      </w:r>
    </w:p>
    <w:p w:rsidR="00367295" w:rsidRPr="00EE3586" w:rsidRDefault="00367295" w:rsidP="00367295">
      <w:pPr>
        <w:tabs>
          <w:tab w:val="left" w:pos="851"/>
        </w:tabs>
        <w:ind w:left="851"/>
        <w:rPr>
          <w:sz w:val="24"/>
          <w:szCs w:val="24"/>
        </w:rPr>
      </w:pPr>
    </w:p>
    <w:p w:rsidR="00367295" w:rsidRPr="00EE3586" w:rsidRDefault="00367295" w:rsidP="00367295">
      <w:pPr>
        <w:tabs>
          <w:tab w:val="left" w:pos="851"/>
        </w:tabs>
        <w:ind w:left="851"/>
        <w:rPr>
          <w:sz w:val="24"/>
          <w:szCs w:val="24"/>
        </w:rPr>
      </w:pPr>
      <w:r w:rsidRPr="00EE3586">
        <w:rPr>
          <w:sz w:val="24"/>
          <w:szCs w:val="24"/>
        </w:rPr>
        <w:t xml:space="preserve">Prækliniske data viser at </w:t>
      </w:r>
      <w:proofErr w:type="spellStart"/>
      <w:r w:rsidRPr="00EE3586">
        <w:rPr>
          <w:sz w:val="24"/>
          <w:szCs w:val="24"/>
        </w:rPr>
        <w:t>salicylater</w:t>
      </w:r>
      <w:proofErr w:type="spellEnd"/>
      <w:r w:rsidRPr="00EE3586">
        <w:rPr>
          <w:sz w:val="24"/>
          <w:szCs w:val="24"/>
        </w:rPr>
        <w:t xml:space="preserve"> i relativt høje doser har </w:t>
      </w:r>
      <w:proofErr w:type="spellStart"/>
      <w:r w:rsidRPr="00EE3586">
        <w:rPr>
          <w:sz w:val="24"/>
          <w:szCs w:val="24"/>
        </w:rPr>
        <w:t>teratogen</w:t>
      </w:r>
      <w:proofErr w:type="spellEnd"/>
      <w:r w:rsidRPr="00EE3586">
        <w:rPr>
          <w:sz w:val="24"/>
          <w:szCs w:val="24"/>
        </w:rPr>
        <w:t xml:space="preserve"> virkning hos en række dyrearter og studier viser effekt på implantation samt embryo- /</w:t>
      </w:r>
      <w:proofErr w:type="spellStart"/>
      <w:r w:rsidRPr="00EE3586">
        <w:rPr>
          <w:sz w:val="24"/>
          <w:szCs w:val="24"/>
        </w:rPr>
        <w:t>føtotoksiske</w:t>
      </w:r>
      <w:proofErr w:type="spellEnd"/>
      <w:r w:rsidRPr="00EE3586">
        <w:rPr>
          <w:sz w:val="24"/>
          <w:szCs w:val="24"/>
        </w:rPr>
        <w:t xml:space="preserve"> effekter.</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rPr>
          <w:sz w:val="24"/>
          <w:szCs w:val="24"/>
        </w:rPr>
      </w:pPr>
    </w:p>
    <w:p w:rsidR="00367295" w:rsidRPr="00B374E2" w:rsidRDefault="00367295" w:rsidP="00367295">
      <w:pPr>
        <w:tabs>
          <w:tab w:val="left" w:pos="851"/>
        </w:tabs>
        <w:ind w:left="851" w:hanging="851"/>
        <w:rPr>
          <w:b/>
          <w:sz w:val="24"/>
          <w:szCs w:val="24"/>
        </w:rPr>
      </w:pPr>
      <w:r w:rsidRPr="00B374E2">
        <w:rPr>
          <w:b/>
          <w:sz w:val="24"/>
          <w:szCs w:val="24"/>
        </w:rPr>
        <w:t>6.</w:t>
      </w:r>
      <w:r w:rsidRPr="00B374E2">
        <w:rPr>
          <w:b/>
          <w:sz w:val="24"/>
          <w:szCs w:val="24"/>
        </w:rPr>
        <w:tab/>
        <w:t>FARMACEUTISKE OPLYSNINGER</w:t>
      </w:r>
    </w:p>
    <w:p w:rsidR="00367295" w:rsidRPr="00B374E2" w:rsidRDefault="00367295" w:rsidP="00367295">
      <w:pPr>
        <w:tabs>
          <w:tab w:val="left" w:pos="851"/>
        </w:tabs>
        <w:ind w:left="851"/>
        <w:rPr>
          <w:sz w:val="24"/>
          <w:szCs w:val="24"/>
        </w:rPr>
      </w:pPr>
    </w:p>
    <w:p w:rsidR="00367295" w:rsidRPr="00B374E2" w:rsidRDefault="00367295" w:rsidP="00367295">
      <w:pPr>
        <w:tabs>
          <w:tab w:val="left" w:pos="851"/>
        </w:tabs>
        <w:ind w:left="851" w:hanging="851"/>
        <w:rPr>
          <w:b/>
          <w:sz w:val="24"/>
          <w:szCs w:val="24"/>
        </w:rPr>
      </w:pPr>
      <w:r w:rsidRPr="00B374E2">
        <w:rPr>
          <w:b/>
          <w:sz w:val="24"/>
          <w:szCs w:val="24"/>
        </w:rPr>
        <w:t>6.1</w:t>
      </w:r>
      <w:r w:rsidRPr="00B374E2">
        <w:rPr>
          <w:b/>
          <w:sz w:val="24"/>
          <w:szCs w:val="24"/>
        </w:rPr>
        <w:tab/>
        <w:t>Hjælpestoffer</w:t>
      </w:r>
    </w:p>
    <w:p w:rsidR="00367295" w:rsidRPr="00B374E2" w:rsidRDefault="00367295" w:rsidP="00367295">
      <w:pPr>
        <w:tabs>
          <w:tab w:val="left" w:pos="851"/>
        </w:tabs>
        <w:ind w:left="851"/>
        <w:rPr>
          <w:sz w:val="24"/>
          <w:szCs w:val="24"/>
          <w:lang w:eastAsia="da-DK"/>
        </w:rPr>
      </w:pPr>
      <w:r w:rsidRPr="00B374E2">
        <w:rPr>
          <w:sz w:val="24"/>
          <w:szCs w:val="24"/>
        </w:rPr>
        <w:t>Magnesiumoxid</w:t>
      </w:r>
    </w:p>
    <w:p w:rsidR="00367295" w:rsidRPr="00B374E2" w:rsidRDefault="00367295" w:rsidP="00367295">
      <w:pPr>
        <w:tabs>
          <w:tab w:val="left" w:pos="851"/>
        </w:tabs>
        <w:ind w:left="851"/>
        <w:rPr>
          <w:sz w:val="24"/>
          <w:szCs w:val="24"/>
        </w:rPr>
      </w:pPr>
      <w:r w:rsidRPr="00B374E2">
        <w:rPr>
          <w:sz w:val="24"/>
          <w:szCs w:val="24"/>
        </w:rPr>
        <w:t>Gelatine</w:t>
      </w:r>
    </w:p>
    <w:p w:rsidR="00367295" w:rsidRPr="00B374E2" w:rsidRDefault="00367295" w:rsidP="00367295">
      <w:pPr>
        <w:tabs>
          <w:tab w:val="left" w:pos="851"/>
        </w:tabs>
        <w:ind w:left="851"/>
        <w:rPr>
          <w:sz w:val="24"/>
          <w:szCs w:val="24"/>
        </w:rPr>
      </w:pPr>
      <w:r w:rsidRPr="00B374E2">
        <w:rPr>
          <w:sz w:val="24"/>
          <w:szCs w:val="24"/>
        </w:rPr>
        <w:t>Majsstivelse</w:t>
      </w:r>
    </w:p>
    <w:p w:rsidR="00367295" w:rsidRPr="00B374E2" w:rsidRDefault="00367295" w:rsidP="00367295">
      <w:pPr>
        <w:tabs>
          <w:tab w:val="left" w:pos="851"/>
        </w:tabs>
        <w:ind w:left="851"/>
        <w:rPr>
          <w:sz w:val="24"/>
          <w:szCs w:val="24"/>
        </w:rPr>
      </w:pPr>
      <w:r w:rsidRPr="00B374E2">
        <w:rPr>
          <w:sz w:val="24"/>
          <w:szCs w:val="24"/>
        </w:rPr>
        <w:t>Cellulose, mikrokrystallinsk</w:t>
      </w:r>
    </w:p>
    <w:p w:rsidR="00367295" w:rsidRPr="00B374E2" w:rsidRDefault="00367295" w:rsidP="00367295">
      <w:pPr>
        <w:tabs>
          <w:tab w:val="left" w:pos="851"/>
        </w:tabs>
        <w:ind w:left="851"/>
        <w:rPr>
          <w:sz w:val="24"/>
          <w:szCs w:val="24"/>
        </w:rPr>
      </w:pPr>
      <w:proofErr w:type="spellStart"/>
      <w:r w:rsidRPr="00B374E2">
        <w:rPr>
          <w:sz w:val="24"/>
          <w:szCs w:val="24"/>
        </w:rPr>
        <w:t>Silica</w:t>
      </w:r>
      <w:proofErr w:type="spellEnd"/>
      <w:r w:rsidRPr="00B374E2">
        <w:rPr>
          <w:sz w:val="24"/>
          <w:szCs w:val="24"/>
        </w:rPr>
        <w:t>, kolloid vandfri</w:t>
      </w:r>
    </w:p>
    <w:p w:rsidR="00367295" w:rsidRPr="00B374E2" w:rsidRDefault="00367295" w:rsidP="00367295">
      <w:pPr>
        <w:tabs>
          <w:tab w:val="left" w:pos="851"/>
        </w:tabs>
        <w:ind w:left="851"/>
        <w:rPr>
          <w:sz w:val="24"/>
          <w:szCs w:val="24"/>
        </w:rPr>
      </w:pPr>
    </w:p>
    <w:p w:rsidR="00367295" w:rsidRPr="00B374E2" w:rsidRDefault="00367295" w:rsidP="00367295">
      <w:pPr>
        <w:tabs>
          <w:tab w:val="left" w:pos="851"/>
        </w:tabs>
        <w:ind w:left="851" w:hanging="851"/>
        <w:rPr>
          <w:b/>
          <w:sz w:val="24"/>
          <w:szCs w:val="24"/>
        </w:rPr>
      </w:pPr>
      <w:r w:rsidRPr="00B374E2">
        <w:rPr>
          <w:b/>
          <w:sz w:val="24"/>
          <w:szCs w:val="24"/>
        </w:rPr>
        <w:t>6.2</w:t>
      </w:r>
      <w:r w:rsidRPr="00B374E2">
        <w:rPr>
          <w:b/>
          <w:sz w:val="24"/>
          <w:szCs w:val="24"/>
        </w:rPr>
        <w:tab/>
        <w:t>Uforligeligheder</w:t>
      </w:r>
    </w:p>
    <w:p w:rsidR="00367295" w:rsidRPr="00B374E2" w:rsidRDefault="00367295" w:rsidP="00367295">
      <w:pPr>
        <w:tabs>
          <w:tab w:val="left" w:pos="851"/>
        </w:tabs>
        <w:ind w:left="851"/>
        <w:rPr>
          <w:sz w:val="24"/>
          <w:szCs w:val="24"/>
        </w:rPr>
      </w:pPr>
      <w:r>
        <w:rPr>
          <w:sz w:val="24"/>
          <w:szCs w:val="24"/>
        </w:rPr>
        <w:t>Ikke relevant.</w:t>
      </w:r>
    </w:p>
    <w:p w:rsidR="00367295" w:rsidRPr="00B374E2"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6.3</w:t>
      </w:r>
      <w:r w:rsidRPr="00E20765">
        <w:rPr>
          <w:b/>
          <w:sz w:val="24"/>
          <w:szCs w:val="24"/>
        </w:rPr>
        <w:tab/>
        <w:t>Opbevaringstid</w:t>
      </w:r>
    </w:p>
    <w:p w:rsidR="00367295" w:rsidRPr="00E20765" w:rsidRDefault="00367295" w:rsidP="00367295">
      <w:pPr>
        <w:tabs>
          <w:tab w:val="left" w:pos="851"/>
        </w:tabs>
        <w:ind w:left="851" w:hanging="851"/>
        <w:rPr>
          <w:sz w:val="24"/>
          <w:szCs w:val="24"/>
        </w:rPr>
      </w:pPr>
      <w:r w:rsidRPr="00E20765">
        <w:rPr>
          <w:sz w:val="24"/>
          <w:szCs w:val="24"/>
        </w:rPr>
        <w:tab/>
      </w:r>
      <w:r w:rsidR="005F0B7E">
        <w:rPr>
          <w:sz w:val="24"/>
          <w:szCs w:val="24"/>
        </w:rPr>
        <w:t>3</w:t>
      </w:r>
      <w:r>
        <w:rPr>
          <w:sz w:val="24"/>
          <w:szCs w:val="24"/>
        </w:rPr>
        <w:t xml:space="preserve"> år.</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6.4</w:t>
      </w:r>
      <w:r w:rsidRPr="00E20765">
        <w:rPr>
          <w:b/>
          <w:sz w:val="24"/>
          <w:szCs w:val="24"/>
        </w:rPr>
        <w:tab/>
        <w:t>Særlige opbevaringsforhold</w:t>
      </w:r>
    </w:p>
    <w:p w:rsidR="00367295" w:rsidRPr="00E20765" w:rsidRDefault="00367295" w:rsidP="00367295">
      <w:pPr>
        <w:ind w:left="851"/>
        <w:rPr>
          <w:sz w:val="24"/>
          <w:szCs w:val="24"/>
          <w:lang w:eastAsia="da-DK"/>
        </w:rPr>
      </w:pPr>
      <w:r w:rsidRPr="00B374E2">
        <w:rPr>
          <w:sz w:val="24"/>
          <w:szCs w:val="24"/>
          <w:lang w:eastAsia="da-DK"/>
        </w:rPr>
        <w:t>Opbevares i den originale beholder for at beskytte mod lys og fugt.</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6.5</w:t>
      </w:r>
      <w:r w:rsidRPr="00E20765">
        <w:rPr>
          <w:b/>
          <w:sz w:val="24"/>
          <w:szCs w:val="24"/>
        </w:rPr>
        <w:tab/>
        <w:t>Emballagetyper og pakningsstørrelser</w:t>
      </w:r>
    </w:p>
    <w:p w:rsidR="00367295" w:rsidRPr="00B374E2" w:rsidRDefault="00367295" w:rsidP="00367295">
      <w:pPr>
        <w:tabs>
          <w:tab w:val="left" w:pos="851"/>
        </w:tabs>
        <w:ind w:left="851"/>
        <w:rPr>
          <w:sz w:val="24"/>
          <w:szCs w:val="24"/>
          <w:lang w:eastAsia="da-DK"/>
        </w:rPr>
      </w:pPr>
      <w:r w:rsidRPr="00B374E2">
        <w:rPr>
          <w:sz w:val="24"/>
          <w:szCs w:val="24"/>
          <w:lang w:eastAsia="da-DK"/>
        </w:rPr>
        <w:t>HDPE-beholder med PP-sikkerhedsskruelåg indeholdende tørremiddel (pakket i HDPE kapsel).</w:t>
      </w:r>
    </w:p>
    <w:p w:rsidR="00367295" w:rsidRPr="00B374E2" w:rsidRDefault="00367295" w:rsidP="00367295">
      <w:pPr>
        <w:tabs>
          <w:tab w:val="left" w:pos="851"/>
        </w:tabs>
        <w:ind w:left="851"/>
        <w:rPr>
          <w:sz w:val="24"/>
          <w:szCs w:val="24"/>
          <w:lang w:eastAsia="da-DK"/>
        </w:rPr>
      </w:pPr>
    </w:p>
    <w:p w:rsidR="00367295" w:rsidRPr="00E20765" w:rsidRDefault="00367295" w:rsidP="00367295">
      <w:pPr>
        <w:tabs>
          <w:tab w:val="left" w:pos="851"/>
        </w:tabs>
        <w:ind w:left="851"/>
        <w:rPr>
          <w:sz w:val="24"/>
          <w:szCs w:val="24"/>
        </w:rPr>
      </w:pPr>
      <w:r w:rsidRPr="00B374E2">
        <w:rPr>
          <w:spacing w:val="-3"/>
          <w:sz w:val="24"/>
          <w:szCs w:val="24"/>
          <w:lang w:val="nb-NO" w:eastAsia="da-DK"/>
        </w:rPr>
        <w:t>Pak</w:t>
      </w:r>
      <w:r>
        <w:rPr>
          <w:spacing w:val="-3"/>
          <w:sz w:val="24"/>
          <w:szCs w:val="24"/>
          <w:lang w:val="nb-NO" w:eastAsia="da-DK"/>
        </w:rPr>
        <w:t>ningsstørrelser: 100 stk.</w:t>
      </w:r>
      <w:r w:rsidRPr="00E20765">
        <w:rPr>
          <w:sz w:val="24"/>
          <w:szCs w:val="24"/>
        </w:rPr>
        <w:t xml:space="preserve"> </w:t>
      </w:r>
    </w:p>
    <w:p w:rsidR="00367295" w:rsidRDefault="00367295" w:rsidP="00367295">
      <w:pPr>
        <w:rPr>
          <w:sz w:val="24"/>
          <w:szCs w:val="24"/>
        </w:rPr>
      </w:pPr>
      <w:r>
        <w:rPr>
          <w:sz w:val="24"/>
          <w:szCs w:val="24"/>
        </w:rPr>
        <w:br w:type="page"/>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6.6</w:t>
      </w:r>
      <w:r w:rsidRPr="00E20765">
        <w:rPr>
          <w:b/>
          <w:sz w:val="24"/>
          <w:szCs w:val="24"/>
        </w:rPr>
        <w:tab/>
        <w:t>Regler for destruktion og anden håndtering</w:t>
      </w:r>
    </w:p>
    <w:p w:rsidR="00367295" w:rsidRPr="00E20765" w:rsidRDefault="00367295" w:rsidP="00367295">
      <w:pPr>
        <w:tabs>
          <w:tab w:val="left" w:pos="851"/>
        </w:tabs>
        <w:ind w:left="851"/>
        <w:rPr>
          <w:sz w:val="24"/>
          <w:szCs w:val="24"/>
          <w:lang w:eastAsia="da-DK"/>
        </w:rPr>
      </w:pPr>
      <w:r w:rsidRPr="00B374E2">
        <w:rPr>
          <w:sz w:val="24"/>
          <w:szCs w:val="24"/>
          <w:lang w:eastAsia="da-DK"/>
        </w:rPr>
        <w:t>Ikke anvendt lægemiddel samt affald heraf bør destrueres i henhold til lokale retningslinjer.</w:t>
      </w:r>
    </w:p>
    <w:p w:rsidR="00367295" w:rsidRPr="00E20765" w:rsidRDefault="00367295" w:rsidP="00367295">
      <w:pPr>
        <w:tabs>
          <w:tab w:val="left" w:pos="851"/>
        </w:tabs>
        <w:ind w:left="851"/>
        <w:jc w:val="both"/>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7.</w:t>
      </w:r>
      <w:r w:rsidRPr="00E20765">
        <w:rPr>
          <w:b/>
          <w:sz w:val="24"/>
          <w:szCs w:val="24"/>
        </w:rPr>
        <w:tab/>
        <w:t>INDEHAVER AF MARKEDSFØRINGSTILLADELSEN</w:t>
      </w:r>
    </w:p>
    <w:p w:rsidR="00367295" w:rsidRPr="00B374E2" w:rsidRDefault="00367295" w:rsidP="00367295">
      <w:pPr>
        <w:tabs>
          <w:tab w:val="left" w:pos="851"/>
        </w:tabs>
        <w:ind w:left="851"/>
        <w:rPr>
          <w:sz w:val="24"/>
          <w:szCs w:val="24"/>
          <w:lang w:eastAsia="da-DK"/>
        </w:rPr>
      </w:pPr>
      <w:proofErr w:type="spellStart"/>
      <w:r w:rsidRPr="00B374E2">
        <w:rPr>
          <w:sz w:val="24"/>
          <w:szCs w:val="24"/>
          <w:lang w:eastAsia="da-DK"/>
        </w:rPr>
        <w:t>Orifarm</w:t>
      </w:r>
      <w:proofErr w:type="spellEnd"/>
      <w:r w:rsidRPr="00B374E2">
        <w:rPr>
          <w:sz w:val="24"/>
          <w:szCs w:val="24"/>
          <w:lang w:eastAsia="da-DK"/>
        </w:rPr>
        <w:t xml:space="preserve"> </w:t>
      </w:r>
      <w:proofErr w:type="spellStart"/>
      <w:r w:rsidRPr="00B374E2">
        <w:rPr>
          <w:sz w:val="24"/>
          <w:szCs w:val="24"/>
          <w:lang w:eastAsia="da-DK"/>
        </w:rPr>
        <w:t>Generics</w:t>
      </w:r>
      <w:proofErr w:type="spellEnd"/>
      <w:r w:rsidRPr="00B374E2">
        <w:rPr>
          <w:sz w:val="24"/>
          <w:szCs w:val="24"/>
          <w:lang w:eastAsia="da-DK"/>
        </w:rPr>
        <w:t xml:space="preserve"> A/S</w:t>
      </w:r>
    </w:p>
    <w:p w:rsidR="00367295" w:rsidRPr="00CE1B63" w:rsidRDefault="00367295" w:rsidP="00367295">
      <w:pPr>
        <w:tabs>
          <w:tab w:val="left" w:pos="851"/>
        </w:tabs>
        <w:ind w:left="851"/>
        <w:rPr>
          <w:sz w:val="24"/>
          <w:szCs w:val="24"/>
          <w:lang w:eastAsia="da-DK"/>
        </w:rPr>
      </w:pPr>
      <w:r w:rsidRPr="00CE1B63">
        <w:rPr>
          <w:sz w:val="24"/>
          <w:szCs w:val="24"/>
          <w:lang w:eastAsia="da-DK"/>
        </w:rPr>
        <w:t>Energivej 15</w:t>
      </w:r>
    </w:p>
    <w:p w:rsidR="00367295" w:rsidRPr="00B374E2" w:rsidRDefault="00367295" w:rsidP="00367295">
      <w:pPr>
        <w:tabs>
          <w:tab w:val="left" w:pos="851"/>
        </w:tabs>
        <w:ind w:left="851"/>
        <w:rPr>
          <w:sz w:val="24"/>
          <w:szCs w:val="24"/>
          <w:lang w:eastAsia="da-DK"/>
        </w:rPr>
      </w:pPr>
      <w:r w:rsidRPr="00B374E2">
        <w:rPr>
          <w:sz w:val="24"/>
          <w:szCs w:val="24"/>
          <w:lang w:eastAsia="da-DK"/>
        </w:rPr>
        <w:t>5260 Odense S</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8.</w:t>
      </w:r>
      <w:r w:rsidRPr="00E20765">
        <w:rPr>
          <w:b/>
          <w:sz w:val="24"/>
          <w:szCs w:val="24"/>
        </w:rPr>
        <w:tab/>
        <w:t>MARKEDSFØRINGSTILLADELSESNUMMER (NUMRE)</w:t>
      </w:r>
    </w:p>
    <w:p w:rsidR="00367295" w:rsidRPr="00E20765" w:rsidRDefault="00367295" w:rsidP="00367295">
      <w:pPr>
        <w:tabs>
          <w:tab w:val="left" w:pos="851"/>
        </w:tabs>
        <w:ind w:left="851"/>
        <w:rPr>
          <w:sz w:val="24"/>
          <w:szCs w:val="24"/>
        </w:rPr>
      </w:pPr>
      <w:r>
        <w:rPr>
          <w:sz w:val="24"/>
          <w:szCs w:val="24"/>
        </w:rPr>
        <w:t>57308</w:t>
      </w:r>
    </w:p>
    <w:p w:rsidR="00367295" w:rsidRPr="00E20765" w:rsidRDefault="00367295" w:rsidP="00367295">
      <w:pPr>
        <w:tabs>
          <w:tab w:val="left" w:pos="851"/>
        </w:tabs>
        <w:ind w:left="851"/>
        <w:jc w:val="both"/>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9.</w:t>
      </w:r>
      <w:r w:rsidRPr="00E20765">
        <w:rPr>
          <w:b/>
          <w:sz w:val="24"/>
          <w:szCs w:val="24"/>
        </w:rPr>
        <w:tab/>
        <w:t>DATO FOR FØRSTE MARKEDSFØRINGSTILLADELSE</w:t>
      </w:r>
    </w:p>
    <w:p w:rsidR="00367295" w:rsidRPr="00E20765" w:rsidRDefault="00367295" w:rsidP="00367295">
      <w:pPr>
        <w:tabs>
          <w:tab w:val="left" w:pos="851"/>
        </w:tabs>
        <w:ind w:left="851"/>
        <w:rPr>
          <w:sz w:val="24"/>
          <w:szCs w:val="24"/>
        </w:rPr>
      </w:pPr>
      <w:r>
        <w:rPr>
          <w:sz w:val="24"/>
          <w:szCs w:val="24"/>
        </w:rPr>
        <w:t>19. juni 2017</w:t>
      </w:r>
    </w:p>
    <w:p w:rsidR="00367295" w:rsidRPr="00E20765" w:rsidRDefault="00367295" w:rsidP="00367295">
      <w:pPr>
        <w:tabs>
          <w:tab w:val="left" w:pos="851"/>
        </w:tabs>
        <w:ind w:left="851"/>
        <w:rPr>
          <w:sz w:val="24"/>
          <w:szCs w:val="24"/>
        </w:rPr>
      </w:pPr>
    </w:p>
    <w:p w:rsidR="00367295" w:rsidRPr="00E20765" w:rsidRDefault="00367295" w:rsidP="00367295">
      <w:pPr>
        <w:tabs>
          <w:tab w:val="left" w:pos="851"/>
        </w:tabs>
        <w:ind w:left="851" w:hanging="851"/>
        <w:rPr>
          <w:b/>
          <w:sz w:val="24"/>
          <w:szCs w:val="24"/>
        </w:rPr>
      </w:pPr>
      <w:r w:rsidRPr="00E20765">
        <w:rPr>
          <w:b/>
          <w:sz w:val="24"/>
          <w:szCs w:val="24"/>
        </w:rPr>
        <w:t>10.</w:t>
      </w:r>
      <w:r w:rsidRPr="00E20765">
        <w:rPr>
          <w:b/>
          <w:sz w:val="24"/>
          <w:szCs w:val="24"/>
        </w:rPr>
        <w:tab/>
        <w:t>DATO FOR ÆNDRING AF TEKSTEN</w:t>
      </w:r>
    </w:p>
    <w:p w:rsidR="00367295" w:rsidRPr="00D13CC8" w:rsidRDefault="005F0B7E" w:rsidP="00367295">
      <w:pPr>
        <w:tabs>
          <w:tab w:val="left" w:pos="851"/>
        </w:tabs>
        <w:ind w:left="851"/>
        <w:rPr>
          <w:sz w:val="24"/>
          <w:szCs w:val="24"/>
        </w:rPr>
      </w:pPr>
      <w:r>
        <w:rPr>
          <w:sz w:val="24"/>
          <w:szCs w:val="24"/>
        </w:rPr>
        <w:t>19</w:t>
      </w:r>
      <w:bookmarkStart w:id="0" w:name="_GoBack"/>
      <w:bookmarkEnd w:id="0"/>
      <w:r w:rsidR="00D13CC8" w:rsidRPr="00D13CC8">
        <w:rPr>
          <w:sz w:val="24"/>
          <w:szCs w:val="24"/>
        </w:rPr>
        <w:t xml:space="preserve">. </w:t>
      </w:r>
      <w:r>
        <w:rPr>
          <w:sz w:val="24"/>
          <w:szCs w:val="24"/>
        </w:rPr>
        <w:t>januar</w:t>
      </w:r>
      <w:r w:rsidR="00D13CC8" w:rsidRPr="00D13CC8">
        <w:rPr>
          <w:sz w:val="24"/>
          <w:szCs w:val="24"/>
        </w:rPr>
        <w:t xml:space="preserve"> 202</w:t>
      </w:r>
      <w:r>
        <w:rPr>
          <w:sz w:val="24"/>
          <w:szCs w:val="24"/>
        </w:rPr>
        <w:t>1</w:t>
      </w:r>
    </w:p>
    <w:p w:rsidR="00367295" w:rsidRPr="009100A8" w:rsidRDefault="00367295" w:rsidP="00367295"/>
    <w:p w:rsidR="00367295" w:rsidRPr="00AF338A" w:rsidRDefault="00367295" w:rsidP="00367295"/>
    <w:p w:rsidR="009260DE" w:rsidRPr="00367295" w:rsidRDefault="009260DE" w:rsidP="00367295"/>
    <w:sectPr w:rsidR="009260DE" w:rsidRPr="0036729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95" w:rsidRDefault="00367295">
      <w:r>
        <w:separator/>
      </w:r>
    </w:p>
  </w:endnote>
  <w:endnote w:type="continuationSeparator" w:id="0">
    <w:p w:rsidR="00367295" w:rsidRDefault="0036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13CC8">
      <w:rPr>
        <w:i/>
        <w:noProof/>
        <w:sz w:val="18"/>
        <w:szCs w:val="18"/>
      </w:rPr>
      <w:t>Hjercatyl, tabletter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95" w:rsidRDefault="00367295">
      <w:r>
        <w:separator/>
      </w:r>
    </w:p>
  </w:footnote>
  <w:footnote w:type="continuationSeparator" w:id="0">
    <w:p w:rsidR="00367295" w:rsidRDefault="00367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5DF1"/>
    <w:multiLevelType w:val="hybridMultilevel"/>
    <w:tmpl w:val="F880FFE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B70B8F"/>
    <w:multiLevelType w:val="hybridMultilevel"/>
    <w:tmpl w:val="40160A14"/>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3D7916"/>
    <w:multiLevelType w:val="hybridMultilevel"/>
    <w:tmpl w:val="0E121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295"/>
    <w:rsid w:val="000259B9"/>
    <w:rsid w:val="00041491"/>
    <w:rsid w:val="000433E2"/>
    <w:rsid w:val="00050D16"/>
    <w:rsid w:val="00074F2A"/>
    <w:rsid w:val="000A1CA8"/>
    <w:rsid w:val="000A2AE9"/>
    <w:rsid w:val="000A466B"/>
    <w:rsid w:val="000B058C"/>
    <w:rsid w:val="000E4EE6"/>
    <w:rsid w:val="001454E2"/>
    <w:rsid w:val="00206CE8"/>
    <w:rsid w:val="0021526C"/>
    <w:rsid w:val="00283A2B"/>
    <w:rsid w:val="002A0BD9"/>
    <w:rsid w:val="002B30AD"/>
    <w:rsid w:val="002C2C01"/>
    <w:rsid w:val="00367295"/>
    <w:rsid w:val="003A29AE"/>
    <w:rsid w:val="003A32D7"/>
    <w:rsid w:val="003B4074"/>
    <w:rsid w:val="003C769A"/>
    <w:rsid w:val="003F1838"/>
    <w:rsid w:val="0045746C"/>
    <w:rsid w:val="0049104B"/>
    <w:rsid w:val="004E3B12"/>
    <w:rsid w:val="005012A0"/>
    <w:rsid w:val="00532310"/>
    <w:rsid w:val="00560ECC"/>
    <w:rsid w:val="00565F0F"/>
    <w:rsid w:val="00594A86"/>
    <w:rsid w:val="00596D86"/>
    <w:rsid w:val="005F0B7E"/>
    <w:rsid w:val="00637F5A"/>
    <w:rsid w:val="006560B1"/>
    <w:rsid w:val="006756DD"/>
    <w:rsid w:val="006B7EF4"/>
    <w:rsid w:val="00737275"/>
    <w:rsid w:val="00740EEC"/>
    <w:rsid w:val="0078011A"/>
    <w:rsid w:val="00782AF4"/>
    <w:rsid w:val="00790EE7"/>
    <w:rsid w:val="007B6649"/>
    <w:rsid w:val="007F007E"/>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13CC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F69DB"/>
  <w15:chartTrackingRefBased/>
  <w15:docId w15:val="{30E8114F-EECB-4B96-A020-C60FDF46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unhideWhenUsed/>
    <w:rsid w:val="00367295"/>
    <w:pPr>
      <w:jc w:val="both"/>
    </w:pPr>
    <w:rPr>
      <w:sz w:val="22"/>
      <w:lang w:eastAsia="nb-NO"/>
    </w:rPr>
  </w:style>
  <w:style w:type="character" w:customStyle="1" w:styleId="BrdtekstTegn">
    <w:name w:val="Brødtekst Tegn"/>
    <w:basedOn w:val="Standardskrifttypeiafsnit"/>
    <w:link w:val="Brdtekst"/>
    <w:uiPriority w:val="99"/>
    <w:rsid w:val="00367295"/>
    <w:rPr>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80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12</Pages>
  <Words>2643</Words>
  <Characters>18589</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2020122241 pkt. 6.3 ændret fra 2 år til 3 år.</dc:description>
  <cp:lastModifiedBy>Helle Søndersted</cp:lastModifiedBy>
  <cp:revision>2</cp:revision>
  <cp:lastPrinted>2012-08-22T08:53:00Z</cp:lastPrinted>
  <dcterms:created xsi:type="dcterms:W3CDTF">2021-01-19T09:54:00Z</dcterms:created>
  <dcterms:modified xsi:type="dcterms:W3CDTF">2021-01-19T09:54:00Z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