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18867"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745CB207" wp14:editId="2326A27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9CA9D67" w14:textId="77777777" w:rsidR="009260DE" w:rsidRPr="00C84483" w:rsidRDefault="009260DE" w:rsidP="009260DE">
      <w:pPr>
        <w:pStyle w:val="Titel"/>
        <w:tabs>
          <w:tab w:val="right" w:pos="9356"/>
        </w:tabs>
        <w:jc w:val="left"/>
        <w:rPr>
          <w:b w:val="0"/>
          <w:szCs w:val="24"/>
          <w:lang w:eastAsia="en-US"/>
        </w:rPr>
      </w:pPr>
    </w:p>
    <w:p w14:paraId="0D0544EC" w14:textId="44158280"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9861F3">
        <w:rPr>
          <w:szCs w:val="24"/>
        </w:rPr>
        <w:t>13. februar 2026</w:t>
      </w:r>
    </w:p>
    <w:p w14:paraId="1E31D6AC" w14:textId="77777777" w:rsidR="009260DE" w:rsidRPr="00C84483" w:rsidRDefault="009260DE" w:rsidP="009260DE">
      <w:pPr>
        <w:pStyle w:val="Titel"/>
        <w:tabs>
          <w:tab w:val="left" w:pos="8222"/>
        </w:tabs>
        <w:jc w:val="left"/>
        <w:rPr>
          <w:b w:val="0"/>
          <w:szCs w:val="24"/>
        </w:rPr>
      </w:pPr>
    </w:p>
    <w:p w14:paraId="79053C27" w14:textId="77777777" w:rsidR="009260DE" w:rsidRPr="00C84483" w:rsidRDefault="009260DE" w:rsidP="009260DE">
      <w:pPr>
        <w:pStyle w:val="Titel"/>
        <w:jc w:val="left"/>
        <w:rPr>
          <w:b w:val="0"/>
          <w:szCs w:val="24"/>
        </w:rPr>
      </w:pPr>
    </w:p>
    <w:p w14:paraId="58E1A2CC" w14:textId="77777777" w:rsidR="009260DE" w:rsidRPr="00C84483" w:rsidRDefault="009260DE" w:rsidP="009260DE">
      <w:pPr>
        <w:pStyle w:val="Titel"/>
        <w:jc w:val="left"/>
        <w:rPr>
          <w:b w:val="0"/>
          <w:szCs w:val="24"/>
        </w:rPr>
      </w:pPr>
    </w:p>
    <w:p w14:paraId="632F450C" w14:textId="77777777" w:rsidR="009260DE" w:rsidRPr="00C84483" w:rsidRDefault="009260DE" w:rsidP="009260DE">
      <w:pPr>
        <w:jc w:val="center"/>
        <w:rPr>
          <w:b/>
          <w:sz w:val="24"/>
          <w:szCs w:val="24"/>
        </w:rPr>
      </w:pPr>
      <w:r w:rsidRPr="00C84483">
        <w:rPr>
          <w:b/>
          <w:sz w:val="24"/>
          <w:szCs w:val="24"/>
        </w:rPr>
        <w:t>PRODUKTRESUMÉ</w:t>
      </w:r>
    </w:p>
    <w:p w14:paraId="2778CE81" w14:textId="77777777" w:rsidR="009260DE" w:rsidRPr="00C84483" w:rsidRDefault="009260DE" w:rsidP="009260DE">
      <w:pPr>
        <w:jc w:val="center"/>
        <w:rPr>
          <w:b/>
          <w:sz w:val="24"/>
          <w:szCs w:val="24"/>
        </w:rPr>
      </w:pPr>
    </w:p>
    <w:p w14:paraId="6096E8FA" w14:textId="77777777" w:rsidR="009260DE" w:rsidRDefault="009260DE" w:rsidP="009260DE">
      <w:pPr>
        <w:jc w:val="center"/>
        <w:rPr>
          <w:b/>
          <w:sz w:val="24"/>
          <w:szCs w:val="24"/>
        </w:rPr>
      </w:pPr>
      <w:r w:rsidRPr="00C84483">
        <w:rPr>
          <w:b/>
          <w:sz w:val="24"/>
          <w:szCs w:val="24"/>
        </w:rPr>
        <w:t>for</w:t>
      </w:r>
    </w:p>
    <w:p w14:paraId="1874AEEA" w14:textId="77777777" w:rsidR="000B058C" w:rsidRPr="00C84483" w:rsidRDefault="000B058C" w:rsidP="009260DE">
      <w:pPr>
        <w:jc w:val="center"/>
        <w:rPr>
          <w:b/>
          <w:sz w:val="24"/>
          <w:szCs w:val="24"/>
        </w:rPr>
      </w:pPr>
    </w:p>
    <w:p w14:paraId="4F6716A8" w14:textId="77777777" w:rsidR="009260DE" w:rsidRPr="00C84483" w:rsidRDefault="001410CB" w:rsidP="009260DE">
      <w:pPr>
        <w:jc w:val="center"/>
        <w:rPr>
          <w:b/>
          <w:sz w:val="24"/>
          <w:szCs w:val="24"/>
        </w:rPr>
      </w:pPr>
      <w:r>
        <w:rPr>
          <w:b/>
          <w:sz w:val="24"/>
          <w:szCs w:val="24"/>
        </w:rPr>
        <w:t>Hjertelan, filmovertrukne tabletter</w:t>
      </w:r>
    </w:p>
    <w:p w14:paraId="40DD0818" w14:textId="77777777" w:rsidR="009260DE" w:rsidRPr="00C84483" w:rsidRDefault="009260DE" w:rsidP="009260DE">
      <w:pPr>
        <w:jc w:val="both"/>
        <w:rPr>
          <w:sz w:val="24"/>
          <w:szCs w:val="24"/>
        </w:rPr>
      </w:pPr>
    </w:p>
    <w:p w14:paraId="7A8C4B1F" w14:textId="77777777" w:rsidR="009260DE" w:rsidRPr="00C84483" w:rsidRDefault="009260DE" w:rsidP="009260DE">
      <w:pPr>
        <w:jc w:val="both"/>
        <w:rPr>
          <w:sz w:val="24"/>
          <w:szCs w:val="24"/>
        </w:rPr>
      </w:pPr>
    </w:p>
    <w:p w14:paraId="732ACC42"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BEB04AD" w14:textId="5D20D156" w:rsidR="009260DE" w:rsidRPr="00C84483" w:rsidRDefault="00764430" w:rsidP="009260DE">
      <w:pPr>
        <w:tabs>
          <w:tab w:val="left" w:pos="851"/>
        </w:tabs>
        <w:ind w:left="851"/>
        <w:rPr>
          <w:sz w:val="24"/>
          <w:szCs w:val="24"/>
        </w:rPr>
      </w:pPr>
      <w:r>
        <w:rPr>
          <w:sz w:val="24"/>
          <w:szCs w:val="24"/>
        </w:rPr>
        <w:t>34287</w:t>
      </w:r>
    </w:p>
    <w:p w14:paraId="121F2EB4" w14:textId="77777777" w:rsidR="009260DE" w:rsidRPr="00C84483" w:rsidRDefault="009260DE" w:rsidP="009260DE">
      <w:pPr>
        <w:tabs>
          <w:tab w:val="left" w:pos="851"/>
        </w:tabs>
        <w:ind w:left="851"/>
        <w:rPr>
          <w:sz w:val="24"/>
          <w:szCs w:val="24"/>
        </w:rPr>
      </w:pPr>
    </w:p>
    <w:p w14:paraId="514F584D"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6BFB628E" w14:textId="4E4AA934" w:rsidR="009260DE" w:rsidRPr="00C84483" w:rsidRDefault="00764430" w:rsidP="009260DE">
      <w:pPr>
        <w:tabs>
          <w:tab w:val="left" w:pos="851"/>
        </w:tabs>
        <w:ind w:left="851"/>
        <w:rPr>
          <w:sz w:val="24"/>
          <w:szCs w:val="24"/>
        </w:rPr>
      </w:pPr>
      <w:r>
        <w:rPr>
          <w:sz w:val="24"/>
          <w:szCs w:val="24"/>
        </w:rPr>
        <w:t>Hjertelan</w:t>
      </w:r>
    </w:p>
    <w:p w14:paraId="2600C099" w14:textId="77777777" w:rsidR="009260DE" w:rsidRPr="00C84483" w:rsidRDefault="009260DE" w:rsidP="009260DE">
      <w:pPr>
        <w:tabs>
          <w:tab w:val="left" w:pos="851"/>
        </w:tabs>
        <w:ind w:left="851"/>
        <w:rPr>
          <w:sz w:val="24"/>
          <w:szCs w:val="24"/>
        </w:rPr>
      </w:pPr>
    </w:p>
    <w:p w14:paraId="05E96D5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17BD4FE0" w14:textId="51CF1882" w:rsidR="00764430" w:rsidRPr="00764430" w:rsidRDefault="00764430" w:rsidP="00764430">
      <w:pPr>
        <w:tabs>
          <w:tab w:val="left" w:pos="851"/>
        </w:tabs>
        <w:ind w:left="851"/>
        <w:rPr>
          <w:sz w:val="24"/>
          <w:szCs w:val="24"/>
        </w:rPr>
      </w:pPr>
      <w:r w:rsidRPr="00764430">
        <w:rPr>
          <w:sz w:val="24"/>
          <w:szCs w:val="24"/>
        </w:rPr>
        <w:t>Hver tablet indeholders 75 mg acetylsalicylsyre</w:t>
      </w:r>
      <w:r>
        <w:rPr>
          <w:sz w:val="24"/>
          <w:szCs w:val="24"/>
        </w:rPr>
        <w:t>.</w:t>
      </w:r>
    </w:p>
    <w:p w14:paraId="54AE1406" w14:textId="77777777" w:rsidR="00764430" w:rsidRPr="00764430" w:rsidRDefault="00764430" w:rsidP="00764430">
      <w:pPr>
        <w:tabs>
          <w:tab w:val="left" w:pos="851"/>
        </w:tabs>
        <w:ind w:left="851"/>
        <w:rPr>
          <w:sz w:val="24"/>
          <w:szCs w:val="24"/>
        </w:rPr>
      </w:pPr>
    </w:p>
    <w:p w14:paraId="3543073E" w14:textId="10EC1CE1" w:rsidR="00764430" w:rsidRPr="00764430" w:rsidRDefault="00764430" w:rsidP="00764430">
      <w:pPr>
        <w:tabs>
          <w:tab w:val="left" w:pos="851"/>
        </w:tabs>
        <w:ind w:left="851"/>
        <w:rPr>
          <w:sz w:val="24"/>
          <w:szCs w:val="24"/>
        </w:rPr>
      </w:pPr>
      <w:r w:rsidRPr="00764430">
        <w:rPr>
          <w:sz w:val="24"/>
          <w:szCs w:val="24"/>
        </w:rPr>
        <w:t>Alle hjælpestoffer er anført under pkt. 6.1</w:t>
      </w:r>
      <w:r>
        <w:rPr>
          <w:sz w:val="24"/>
          <w:szCs w:val="24"/>
        </w:rPr>
        <w:t>.</w:t>
      </w:r>
    </w:p>
    <w:p w14:paraId="67799FED" w14:textId="77777777" w:rsidR="00764430" w:rsidRPr="00764430" w:rsidRDefault="00764430" w:rsidP="00764430">
      <w:pPr>
        <w:tabs>
          <w:tab w:val="left" w:pos="851"/>
        </w:tabs>
        <w:ind w:left="851"/>
        <w:rPr>
          <w:sz w:val="24"/>
          <w:szCs w:val="24"/>
        </w:rPr>
      </w:pPr>
    </w:p>
    <w:p w14:paraId="2106AAB9" w14:textId="77777777" w:rsidR="009260DE" w:rsidRPr="00C84483" w:rsidRDefault="009260DE" w:rsidP="009260DE">
      <w:pPr>
        <w:tabs>
          <w:tab w:val="left" w:pos="851"/>
        </w:tabs>
        <w:ind w:left="851"/>
        <w:rPr>
          <w:sz w:val="24"/>
          <w:szCs w:val="24"/>
        </w:rPr>
      </w:pPr>
    </w:p>
    <w:p w14:paraId="17D03A26"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CE6437F" w14:textId="207B3CD8" w:rsidR="00764430" w:rsidRPr="00764430" w:rsidRDefault="00764430" w:rsidP="00764430">
      <w:pPr>
        <w:tabs>
          <w:tab w:val="left" w:pos="851"/>
        </w:tabs>
        <w:ind w:left="851"/>
        <w:rPr>
          <w:sz w:val="24"/>
          <w:szCs w:val="24"/>
        </w:rPr>
      </w:pPr>
      <w:r w:rsidRPr="00764430">
        <w:rPr>
          <w:sz w:val="24"/>
          <w:szCs w:val="24"/>
        </w:rPr>
        <w:t>Filmovertruk</w:t>
      </w:r>
      <w:r>
        <w:rPr>
          <w:sz w:val="24"/>
          <w:szCs w:val="24"/>
        </w:rPr>
        <w:t>ne</w:t>
      </w:r>
      <w:r w:rsidRPr="00764430">
        <w:rPr>
          <w:sz w:val="24"/>
          <w:szCs w:val="24"/>
        </w:rPr>
        <w:t xml:space="preserve"> tablet</w:t>
      </w:r>
      <w:r>
        <w:rPr>
          <w:sz w:val="24"/>
          <w:szCs w:val="24"/>
        </w:rPr>
        <w:t>ter</w:t>
      </w:r>
    </w:p>
    <w:p w14:paraId="68B841D1" w14:textId="77777777" w:rsidR="00764430" w:rsidRPr="00764430" w:rsidRDefault="00764430" w:rsidP="00764430">
      <w:pPr>
        <w:tabs>
          <w:tab w:val="left" w:pos="851"/>
        </w:tabs>
        <w:ind w:left="851"/>
        <w:rPr>
          <w:sz w:val="24"/>
          <w:szCs w:val="24"/>
        </w:rPr>
      </w:pPr>
    </w:p>
    <w:p w14:paraId="7FC1D13A" w14:textId="32D9E1D8" w:rsidR="00764430" w:rsidRPr="00764430" w:rsidRDefault="00764430" w:rsidP="00764430">
      <w:pPr>
        <w:tabs>
          <w:tab w:val="left" w:pos="851"/>
        </w:tabs>
        <w:ind w:left="851"/>
        <w:rPr>
          <w:sz w:val="24"/>
          <w:szCs w:val="24"/>
        </w:rPr>
      </w:pPr>
      <w:r w:rsidRPr="00764430">
        <w:rPr>
          <w:sz w:val="24"/>
          <w:szCs w:val="24"/>
        </w:rPr>
        <w:t>Hvide, runde, bikonvekse</w:t>
      </w:r>
      <w:r>
        <w:rPr>
          <w:sz w:val="24"/>
          <w:szCs w:val="24"/>
        </w:rPr>
        <w:t>,</w:t>
      </w:r>
      <w:r w:rsidRPr="00764430">
        <w:rPr>
          <w:sz w:val="24"/>
          <w:szCs w:val="24"/>
        </w:rPr>
        <w:t xml:space="preserve"> filmovertrukne tabletter med en diameter på 6 mm.</w:t>
      </w:r>
    </w:p>
    <w:p w14:paraId="6266B08C" w14:textId="77777777" w:rsidR="009260DE" w:rsidRPr="00C84483" w:rsidRDefault="009260DE" w:rsidP="009260DE">
      <w:pPr>
        <w:tabs>
          <w:tab w:val="left" w:pos="851"/>
        </w:tabs>
        <w:ind w:left="851"/>
        <w:rPr>
          <w:sz w:val="24"/>
          <w:szCs w:val="24"/>
        </w:rPr>
      </w:pPr>
    </w:p>
    <w:p w14:paraId="188FCC0B" w14:textId="77777777" w:rsidR="009260DE" w:rsidRPr="00C84483" w:rsidRDefault="009260DE" w:rsidP="009260DE">
      <w:pPr>
        <w:tabs>
          <w:tab w:val="left" w:pos="851"/>
        </w:tabs>
        <w:ind w:left="851"/>
        <w:rPr>
          <w:sz w:val="24"/>
          <w:szCs w:val="24"/>
        </w:rPr>
      </w:pPr>
    </w:p>
    <w:p w14:paraId="5F938C06"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A6FADB4" w14:textId="77777777" w:rsidR="009260DE" w:rsidRPr="00C84483" w:rsidRDefault="009260DE" w:rsidP="009260DE">
      <w:pPr>
        <w:tabs>
          <w:tab w:val="left" w:pos="851"/>
        </w:tabs>
        <w:ind w:left="851"/>
        <w:rPr>
          <w:b/>
          <w:sz w:val="24"/>
          <w:szCs w:val="24"/>
        </w:rPr>
      </w:pPr>
    </w:p>
    <w:p w14:paraId="69679EF7"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95244AC" w14:textId="77777777" w:rsidR="00764430" w:rsidRPr="00764430" w:rsidRDefault="00764430" w:rsidP="00764430">
      <w:pPr>
        <w:numPr>
          <w:ilvl w:val="2"/>
          <w:numId w:val="6"/>
        </w:numPr>
        <w:tabs>
          <w:tab w:val="left" w:pos="851"/>
        </w:tabs>
        <w:ind w:left="1134" w:hanging="283"/>
        <w:rPr>
          <w:sz w:val="24"/>
          <w:szCs w:val="24"/>
          <w:lang w:val="en-US"/>
        </w:rPr>
      </w:pPr>
      <w:r w:rsidRPr="00764430">
        <w:rPr>
          <w:sz w:val="24"/>
          <w:szCs w:val="24"/>
        </w:rPr>
        <w:t>Sekundær forebyggelse af myokardieinfarkt.</w:t>
      </w:r>
    </w:p>
    <w:p w14:paraId="34212379" w14:textId="77777777" w:rsidR="00764430" w:rsidRPr="00764430" w:rsidRDefault="00764430" w:rsidP="00764430">
      <w:pPr>
        <w:numPr>
          <w:ilvl w:val="2"/>
          <w:numId w:val="6"/>
        </w:numPr>
        <w:tabs>
          <w:tab w:val="left" w:pos="851"/>
        </w:tabs>
        <w:ind w:left="1134" w:hanging="283"/>
        <w:rPr>
          <w:sz w:val="24"/>
          <w:szCs w:val="24"/>
        </w:rPr>
      </w:pPr>
      <w:r w:rsidRPr="00764430">
        <w:rPr>
          <w:sz w:val="24"/>
          <w:szCs w:val="24"/>
        </w:rPr>
        <w:t>Forebyggelse af hjerte-kar-sygdomme hos patienter, der lider af stabil angina pectoris.</w:t>
      </w:r>
    </w:p>
    <w:p w14:paraId="765A9A24" w14:textId="77777777" w:rsidR="00764430" w:rsidRPr="00764430" w:rsidRDefault="00764430" w:rsidP="00764430">
      <w:pPr>
        <w:numPr>
          <w:ilvl w:val="2"/>
          <w:numId w:val="6"/>
        </w:numPr>
        <w:tabs>
          <w:tab w:val="left" w:pos="851"/>
        </w:tabs>
        <w:ind w:left="1134" w:hanging="283"/>
        <w:rPr>
          <w:sz w:val="24"/>
          <w:szCs w:val="24"/>
        </w:rPr>
      </w:pPr>
      <w:r w:rsidRPr="00764430">
        <w:rPr>
          <w:sz w:val="24"/>
          <w:szCs w:val="24"/>
        </w:rPr>
        <w:t>Ustabil angina pecturis i anamnesen, undtagen i den akutte fase.</w:t>
      </w:r>
    </w:p>
    <w:p w14:paraId="0CD85855" w14:textId="77777777" w:rsidR="00764430" w:rsidRPr="00764430" w:rsidRDefault="00764430" w:rsidP="00764430">
      <w:pPr>
        <w:numPr>
          <w:ilvl w:val="2"/>
          <w:numId w:val="6"/>
        </w:numPr>
        <w:tabs>
          <w:tab w:val="left" w:pos="851"/>
        </w:tabs>
        <w:ind w:left="1134" w:hanging="283"/>
        <w:rPr>
          <w:sz w:val="24"/>
          <w:szCs w:val="24"/>
        </w:rPr>
      </w:pPr>
      <w:r w:rsidRPr="00764430">
        <w:rPr>
          <w:sz w:val="24"/>
          <w:szCs w:val="24"/>
        </w:rPr>
        <w:t>Forebyggelse af graftokklusion  efter koronar arteriebypassoperation (CABG).</w:t>
      </w:r>
    </w:p>
    <w:p w14:paraId="62C17517" w14:textId="77777777" w:rsidR="00764430" w:rsidRPr="00764430" w:rsidRDefault="00764430" w:rsidP="00764430">
      <w:pPr>
        <w:numPr>
          <w:ilvl w:val="2"/>
          <w:numId w:val="6"/>
        </w:numPr>
        <w:tabs>
          <w:tab w:val="left" w:pos="851"/>
        </w:tabs>
        <w:ind w:left="1134" w:hanging="283"/>
        <w:rPr>
          <w:sz w:val="24"/>
          <w:szCs w:val="24"/>
        </w:rPr>
      </w:pPr>
      <w:r w:rsidRPr="00764430">
        <w:rPr>
          <w:sz w:val="24"/>
          <w:szCs w:val="24"/>
        </w:rPr>
        <w:t>Koronar angioplastik, undtagen i den akutte fase.</w:t>
      </w:r>
    </w:p>
    <w:p w14:paraId="32B5E6BF" w14:textId="77777777" w:rsidR="00764430" w:rsidRPr="00764430" w:rsidRDefault="00764430" w:rsidP="00764430">
      <w:pPr>
        <w:numPr>
          <w:ilvl w:val="2"/>
          <w:numId w:val="6"/>
        </w:numPr>
        <w:tabs>
          <w:tab w:val="left" w:pos="851"/>
        </w:tabs>
        <w:ind w:left="1134" w:hanging="283"/>
        <w:rPr>
          <w:sz w:val="24"/>
          <w:szCs w:val="24"/>
        </w:rPr>
      </w:pPr>
      <w:r w:rsidRPr="00764430">
        <w:rPr>
          <w:sz w:val="24"/>
          <w:szCs w:val="24"/>
        </w:rPr>
        <w:t>Sekundær forebyggelse af transitorisk iskæmisk anfald (TIA) og iskæmiske cerebrovaskulære hændelser (CVA), forudsat at intracerebral hæmoragi  er udelukket.</w:t>
      </w:r>
    </w:p>
    <w:p w14:paraId="0761FCBD" w14:textId="77777777" w:rsidR="00764430" w:rsidRPr="00764430" w:rsidRDefault="00764430" w:rsidP="00764430">
      <w:pPr>
        <w:numPr>
          <w:ilvl w:val="2"/>
          <w:numId w:val="6"/>
        </w:numPr>
        <w:tabs>
          <w:tab w:val="left" w:pos="851"/>
        </w:tabs>
        <w:ind w:left="1134" w:hanging="283"/>
        <w:rPr>
          <w:sz w:val="24"/>
          <w:szCs w:val="24"/>
          <w:lang w:val="en-US"/>
        </w:rPr>
      </w:pPr>
      <w:r w:rsidRPr="00764430">
        <w:rPr>
          <w:sz w:val="24"/>
          <w:szCs w:val="24"/>
        </w:rPr>
        <w:t>Akut myokardieinfarkt</w:t>
      </w:r>
    </w:p>
    <w:p w14:paraId="0AB81F8E" w14:textId="64858A5E" w:rsidR="00764430" w:rsidRDefault="00764430">
      <w:pPr>
        <w:rPr>
          <w:sz w:val="24"/>
          <w:szCs w:val="24"/>
        </w:rPr>
      </w:pPr>
      <w:r>
        <w:rPr>
          <w:sz w:val="24"/>
          <w:szCs w:val="24"/>
        </w:rPr>
        <w:br w:type="page"/>
      </w:r>
    </w:p>
    <w:p w14:paraId="721A2B9C" w14:textId="77777777" w:rsidR="009260DE" w:rsidRPr="00C84483" w:rsidRDefault="009260DE" w:rsidP="009260DE">
      <w:pPr>
        <w:tabs>
          <w:tab w:val="left" w:pos="851"/>
        </w:tabs>
        <w:ind w:left="851"/>
        <w:rPr>
          <w:sz w:val="24"/>
          <w:szCs w:val="24"/>
        </w:rPr>
      </w:pPr>
    </w:p>
    <w:p w14:paraId="549F3CDD"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2866E0D" w14:textId="77777777" w:rsidR="00764430" w:rsidRPr="00764430" w:rsidRDefault="00764430" w:rsidP="00764430">
      <w:pPr>
        <w:tabs>
          <w:tab w:val="left" w:pos="851"/>
        </w:tabs>
        <w:ind w:left="851"/>
        <w:rPr>
          <w:b/>
          <w:sz w:val="24"/>
          <w:szCs w:val="24"/>
          <w:lang w:val="en-US"/>
        </w:rPr>
      </w:pPr>
    </w:p>
    <w:p w14:paraId="0A38C962" w14:textId="77777777" w:rsidR="00764430" w:rsidRPr="00764430" w:rsidRDefault="00764430" w:rsidP="00764430">
      <w:pPr>
        <w:tabs>
          <w:tab w:val="left" w:pos="851"/>
        </w:tabs>
        <w:ind w:left="851"/>
        <w:rPr>
          <w:sz w:val="24"/>
          <w:szCs w:val="24"/>
        </w:rPr>
      </w:pPr>
      <w:r w:rsidRPr="00764430">
        <w:rPr>
          <w:sz w:val="24"/>
          <w:szCs w:val="24"/>
          <w:u w:val="single"/>
        </w:rPr>
        <w:t>Voksne</w:t>
      </w:r>
    </w:p>
    <w:p w14:paraId="5F6FF136" w14:textId="77777777" w:rsidR="00764430" w:rsidRDefault="00764430" w:rsidP="00764430">
      <w:pPr>
        <w:tabs>
          <w:tab w:val="left" w:pos="851"/>
        </w:tabs>
        <w:ind w:left="851"/>
        <w:rPr>
          <w:i/>
          <w:iCs/>
          <w:sz w:val="24"/>
          <w:szCs w:val="24"/>
        </w:rPr>
      </w:pPr>
    </w:p>
    <w:p w14:paraId="3F927437" w14:textId="7107FC5A" w:rsidR="00764430" w:rsidRPr="00764430" w:rsidRDefault="00764430" w:rsidP="00764430">
      <w:pPr>
        <w:tabs>
          <w:tab w:val="left" w:pos="851"/>
        </w:tabs>
        <w:ind w:left="851"/>
        <w:rPr>
          <w:i/>
          <w:sz w:val="24"/>
          <w:szCs w:val="24"/>
        </w:rPr>
      </w:pPr>
      <w:r w:rsidRPr="00764430">
        <w:rPr>
          <w:i/>
          <w:iCs/>
          <w:sz w:val="24"/>
          <w:szCs w:val="24"/>
        </w:rPr>
        <w:t>Sekundær forebyggelse af myokardieinfarkt</w:t>
      </w:r>
    </w:p>
    <w:p w14:paraId="708143FC" w14:textId="77777777" w:rsidR="00764430" w:rsidRPr="00764430" w:rsidRDefault="00764430" w:rsidP="00764430">
      <w:pPr>
        <w:tabs>
          <w:tab w:val="left" w:pos="851"/>
        </w:tabs>
        <w:ind w:left="851"/>
        <w:rPr>
          <w:sz w:val="24"/>
          <w:szCs w:val="24"/>
        </w:rPr>
      </w:pPr>
      <w:r w:rsidRPr="00764430">
        <w:rPr>
          <w:sz w:val="24"/>
          <w:szCs w:val="24"/>
        </w:rPr>
        <w:t>Den anbefalede dosis er 75-160 mg én gang dagligt.</w:t>
      </w:r>
    </w:p>
    <w:p w14:paraId="2A1A0ADE" w14:textId="77777777" w:rsidR="00764430" w:rsidRPr="00764430" w:rsidRDefault="00764430" w:rsidP="00764430">
      <w:pPr>
        <w:tabs>
          <w:tab w:val="left" w:pos="851"/>
        </w:tabs>
        <w:ind w:left="851"/>
        <w:rPr>
          <w:sz w:val="24"/>
          <w:szCs w:val="24"/>
        </w:rPr>
      </w:pPr>
    </w:p>
    <w:p w14:paraId="441FA4EA" w14:textId="5A68EC20" w:rsidR="00764430" w:rsidRPr="00764430" w:rsidRDefault="00764430" w:rsidP="00764430">
      <w:pPr>
        <w:tabs>
          <w:tab w:val="left" w:pos="851"/>
        </w:tabs>
        <w:ind w:left="851"/>
        <w:rPr>
          <w:i/>
          <w:sz w:val="24"/>
          <w:szCs w:val="24"/>
        </w:rPr>
      </w:pPr>
      <w:r w:rsidRPr="00764430">
        <w:rPr>
          <w:i/>
          <w:iCs/>
          <w:sz w:val="24"/>
          <w:szCs w:val="24"/>
        </w:rPr>
        <w:t>Forebyggelse af hjerte-kar-sygdomme hos patienter, der lider af stabil angina pectoris</w:t>
      </w:r>
    </w:p>
    <w:p w14:paraId="0D067CAD" w14:textId="77777777" w:rsidR="00764430" w:rsidRPr="00764430" w:rsidRDefault="00764430" w:rsidP="00764430">
      <w:pPr>
        <w:tabs>
          <w:tab w:val="left" w:pos="851"/>
        </w:tabs>
        <w:ind w:left="851"/>
        <w:rPr>
          <w:sz w:val="24"/>
          <w:szCs w:val="24"/>
        </w:rPr>
      </w:pPr>
      <w:r w:rsidRPr="00764430">
        <w:rPr>
          <w:sz w:val="24"/>
          <w:szCs w:val="24"/>
        </w:rPr>
        <w:t>Den anbefalede dosis er 75-160 mg én gang dagligt.</w:t>
      </w:r>
    </w:p>
    <w:p w14:paraId="4CE9C041" w14:textId="77777777" w:rsidR="00764430" w:rsidRPr="00764430" w:rsidRDefault="00764430" w:rsidP="00764430">
      <w:pPr>
        <w:tabs>
          <w:tab w:val="left" w:pos="851"/>
        </w:tabs>
        <w:ind w:left="851"/>
        <w:rPr>
          <w:sz w:val="24"/>
          <w:szCs w:val="24"/>
        </w:rPr>
      </w:pPr>
    </w:p>
    <w:p w14:paraId="3E815B6D" w14:textId="063762F7" w:rsidR="00764430" w:rsidRPr="00764430" w:rsidRDefault="00764430" w:rsidP="00764430">
      <w:pPr>
        <w:tabs>
          <w:tab w:val="left" w:pos="851"/>
        </w:tabs>
        <w:ind w:left="851"/>
        <w:rPr>
          <w:i/>
          <w:sz w:val="24"/>
          <w:szCs w:val="24"/>
        </w:rPr>
      </w:pPr>
      <w:r w:rsidRPr="00764430">
        <w:rPr>
          <w:i/>
          <w:iCs/>
          <w:sz w:val="24"/>
          <w:szCs w:val="24"/>
        </w:rPr>
        <w:t>Tidligereustabil angina pectoris undtagen i den akutte fase</w:t>
      </w:r>
    </w:p>
    <w:p w14:paraId="039D27F6" w14:textId="77777777" w:rsidR="00764430" w:rsidRPr="00764430" w:rsidRDefault="00764430" w:rsidP="00764430">
      <w:pPr>
        <w:tabs>
          <w:tab w:val="left" w:pos="851"/>
        </w:tabs>
        <w:ind w:left="851"/>
        <w:rPr>
          <w:sz w:val="24"/>
          <w:szCs w:val="24"/>
        </w:rPr>
      </w:pPr>
      <w:r w:rsidRPr="00764430">
        <w:rPr>
          <w:sz w:val="24"/>
          <w:szCs w:val="24"/>
        </w:rPr>
        <w:t>Den anbefalede dosis er 75-160 mg én gang dagligt.</w:t>
      </w:r>
    </w:p>
    <w:p w14:paraId="3F12C728" w14:textId="77777777" w:rsidR="00764430" w:rsidRPr="00764430" w:rsidRDefault="00764430" w:rsidP="00764430">
      <w:pPr>
        <w:tabs>
          <w:tab w:val="left" w:pos="851"/>
        </w:tabs>
        <w:ind w:left="851"/>
        <w:rPr>
          <w:sz w:val="24"/>
          <w:szCs w:val="24"/>
        </w:rPr>
      </w:pPr>
    </w:p>
    <w:p w14:paraId="4E6F2B9D" w14:textId="15DC6152" w:rsidR="00764430" w:rsidRPr="00764430" w:rsidRDefault="00764430" w:rsidP="00764430">
      <w:pPr>
        <w:tabs>
          <w:tab w:val="left" w:pos="851"/>
        </w:tabs>
        <w:ind w:left="851"/>
        <w:rPr>
          <w:i/>
          <w:sz w:val="24"/>
          <w:szCs w:val="24"/>
        </w:rPr>
      </w:pPr>
      <w:r w:rsidRPr="00764430">
        <w:rPr>
          <w:i/>
          <w:iCs/>
          <w:sz w:val="24"/>
          <w:szCs w:val="24"/>
        </w:rPr>
        <w:t>Forebyggelse af graftokklusion efter koronararteriebypassoperation (CABG)</w:t>
      </w:r>
    </w:p>
    <w:p w14:paraId="19E8F6F6" w14:textId="77777777" w:rsidR="00764430" w:rsidRPr="00764430" w:rsidRDefault="00764430" w:rsidP="00764430">
      <w:pPr>
        <w:tabs>
          <w:tab w:val="left" w:pos="851"/>
        </w:tabs>
        <w:ind w:left="851"/>
        <w:rPr>
          <w:sz w:val="24"/>
          <w:szCs w:val="24"/>
        </w:rPr>
      </w:pPr>
      <w:r w:rsidRPr="00764430">
        <w:rPr>
          <w:sz w:val="24"/>
          <w:szCs w:val="24"/>
        </w:rPr>
        <w:t>Den anbefalede dosis er 75-160 mg én gang dagligt.</w:t>
      </w:r>
    </w:p>
    <w:p w14:paraId="1956F570" w14:textId="77777777" w:rsidR="00764430" w:rsidRPr="00764430" w:rsidRDefault="00764430" w:rsidP="00764430">
      <w:pPr>
        <w:tabs>
          <w:tab w:val="left" w:pos="851"/>
        </w:tabs>
        <w:ind w:left="851"/>
        <w:rPr>
          <w:sz w:val="24"/>
          <w:szCs w:val="24"/>
        </w:rPr>
      </w:pPr>
    </w:p>
    <w:p w14:paraId="38129AC3" w14:textId="428E341F" w:rsidR="00764430" w:rsidRPr="00764430" w:rsidRDefault="00764430" w:rsidP="00764430">
      <w:pPr>
        <w:tabs>
          <w:tab w:val="left" w:pos="851"/>
        </w:tabs>
        <w:ind w:left="851"/>
        <w:rPr>
          <w:i/>
          <w:sz w:val="24"/>
          <w:szCs w:val="24"/>
        </w:rPr>
      </w:pPr>
      <w:r w:rsidRPr="00764430">
        <w:rPr>
          <w:i/>
          <w:iCs/>
          <w:sz w:val="24"/>
          <w:szCs w:val="24"/>
        </w:rPr>
        <w:t>Koronar angioplastik, undtagen i den akutte fase</w:t>
      </w:r>
    </w:p>
    <w:p w14:paraId="3CC7F2D9" w14:textId="77777777" w:rsidR="00764430" w:rsidRPr="00764430" w:rsidRDefault="00764430" w:rsidP="00764430">
      <w:pPr>
        <w:tabs>
          <w:tab w:val="left" w:pos="851"/>
        </w:tabs>
        <w:ind w:left="851"/>
        <w:rPr>
          <w:sz w:val="24"/>
          <w:szCs w:val="24"/>
        </w:rPr>
      </w:pPr>
      <w:r w:rsidRPr="00764430">
        <w:rPr>
          <w:sz w:val="24"/>
          <w:szCs w:val="24"/>
        </w:rPr>
        <w:t xml:space="preserve">Den anbefalede dosis er 75-160 mg én gang dagligt. </w:t>
      </w:r>
    </w:p>
    <w:p w14:paraId="5DBC37A9" w14:textId="77777777" w:rsidR="00764430" w:rsidRPr="00764430" w:rsidRDefault="00764430" w:rsidP="00764430">
      <w:pPr>
        <w:tabs>
          <w:tab w:val="left" w:pos="851"/>
        </w:tabs>
        <w:ind w:left="851"/>
        <w:rPr>
          <w:sz w:val="24"/>
          <w:szCs w:val="24"/>
        </w:rPr>
      </w:pPr>
    </w:p>
    <w:p w14:paraId="18B03D84" w14:textId="64725EFA" w:rsidR="00764430" w:rsidRPr="00764430" w:rsidRDefault="00764430" w:rsidP="00764430">
      <w:pPr>
        <w:tabs>
          <w:tab w:val="left" w:pos="851"/>
        </w:tabs>
        <w:ind w:left="851"/>
        <w:rPr>
          <w:i/>
          <w:sz w:val="24"/>
          <w:szCs w:val="24"/>
        </w:rPr>
      </w:pPr>
      <w:r w:rsidRPr="00764430">
        <w:rPr>
          <w:i/>
          <w:iCs/>
          <w:sz w:val="24"/>
          <w:szCs w:val="24"/>
        </w:rPr>
        <w:t>Sekundær forebyggelse af</w:t>
      </w:r>
      <w:r w:rsidRPr="00764430">
        <w:rPr>
          <w:i/>
          <w:sz w:val="24"/>
          <w:szCs w:val="24"/>
        </w:rPr>
        <w:t xml:space="preserve"> transitorisk </w:t>
      </w:r>
      <w:r w:rsidRPr="00764430">
        <w:rPr>
          <w:i/>
          <w:iCs/>
          <w:sz w:val="24"/>
          <w:szCs w:val="24"/>
        </w:rPr>
        <w:t xml:space="preserve"> iskæmisk anfald (TIA) og iskæmisk cerebrovaskulær hændelse (CVA), når intracerebral </w:t>
      </w:r>
      <w:r w:rsidRPr="00764430">
        <w:rPr>
          <w:i/>
          <w:sz w:val="24"/>
          <w:szCs w:val="24"/>
        </w:rPr>
        <w:t>hæmoragi</w:t>
      </w:r>
      <w:r w:rsidRPr="00764430">
        <w:rPr>
          <w:i/>
          <w:iCs/>
          <w:sz w:val="24"/>
          <w:szCs w:val="24"/>
        </w:rPr>
        <w:t xml:space="preserve"> er udelukket</w:t>
      </w:r>
    </w:p>
    <w:p w14:paraId="3C34B2BE" w14:textId="12B2953C" w:rsidR="00764430" w:rsidRDefault="00764430" w:rsidP="00764430">
      <w:pPr>
        <w:tabs>
          <w:tab w:val="left" w:pos="851"/>
        </w:tabs>
        <w:ind w:left="851"/>
        <w:rPr>
          <w:sz w:val="24"/>
          <w:szCs w:val="24"/>
        </w:rPr>
      </w:pPr>
      <w:r w:rsidRPr="00764430">
        <w:rPr>
          <w:sz w:val="24"/>
          <w:szCs w:val="24"/>
        </w:rPr>
        <w:t>Den anbefalede dosis er 75-325 mg én gang dagligt.</w:t>
      </w:r>
    </w:p>
    <w:p w14:paraId="6813CE4D" w14:textId="77777777" w:rsidR="00764430" w:rsidRPr="00764430" w:rsidRDefault="00764430" w:rsidP="00764430">
      <w:pPr>
        <w:tabs>
          <w:tab w:val="left" w:pos="851"/>
        </w:tabs>
        <w:ind w:left="851"/>
        <w:rPr>
          <w:sz w:val="24"/>
          <w:szCs w:val="24"/>
        </w:rPr>
      </w:pPr>
    </w:p>
    <w:p w14:paraId="4CB9E8EE" w14:textId="77777777" w:rsidR="00764430" w:rsidRPr="00764430" w:rsidRDefault="00764430" w:rsidP="00764430">
      <w:pPr>
        <w:tabs>
          <w:tab w:val="left" w:pos="851"/>
        </w:tabs>
        <w:ind w:left="851"/>
        <w:rPr>
          <w:i/>
          <w:sz w:val="24"/>
          <w:szCs w:val="24"/>
        </w:rPr>
      </w:pPr>
      <w:r w:rsidRPr="00764430">
        <w:rPr>
          <w:i/>
          <w:iCs/>
          <w:sz w:val="24"/>
          <w:szCs w:val="24"/>
        </w:rPr>
        <w:t>Akut myokardieinfarkt</w:t>
      </w:r>
    </w:p>
    <w:p w14:paraId="1329DE5C" w14:textId="77777777" w:rsidR="00764430" w:rsidRPr="00764430" w:rsidRDefault="00764430" w:rsidP="00764430">
      <w:pPr>
        <w:tabs>
          <w:tab w:val="left" w:pos="851"/>
        </w:tabs>
        <w:ind w:left="851"/>
        <w:rPr>
          <w:sz w:val="24"/>
          <w:szCs w:val="24"/>
        </w:rPr>
      </w:pPr>
      <w:r w:rsidRPr="00764430">
        <w:rPr>
          <w:sz w:val="24"/>
          <w:szCs w:val="24"/>
        </w:rPr>
        <w:t>Den anbefalede startdosis er 150-450 mg. Startdosen administreres så hurtigt som muligt efter symptomernes begyndelse.</w:t>
      </w:r>
    </w:p>
    <w:p w14:paraId="4844387A" w14:textId="77777777" w:rsidR="00764430" w:rsidRPr="00764430" w:rsidRDefault="00764430" w:rsidP="00764430">
      <w:pPr>
        <w:tabs>
          <w:tab w:val="left" w:pos="851"/>
        </w:tabs>
        <w:ind w:left="851"/>
        <w:rPr>
          <w:sz w:val="24"/>
          <w:szCs w:val="24"/>
          <w:u w:val="single"/>
        </w:rPr>
      </w:pPr>
    </w:p>
    <w:p w14:paraId="7C377DFA" w14:textId="77777777" w:rsidR="00764430" w:rsidRPr="00764430" w:rsidRDefault="00764430" w:rsidP="00764430">
      <w:pPr>
        <w:tabs>
          <w:tab w:val="left" w:pos="851"/>
        </w:tabs>
        <w:ind w:left="851"/>
        <w:rPr>
          <w:sz w:val="24"/>
          <w:szCs w:val="24"/>
        </w:rPr>
      </w:pPr>
      <w:r w:rsidRPr="00764430">
        <w:rPr>
          <w:sz w:val="24"/>
          <w:szCs w:val="24"/>
          <w:u w:val="single"/>
        </w:rPr>
        <w:t>Ældre</w:t>
      </w:r>
    </w:p>
    <w:p w14:paraId="77E8E1F8" w14:textId="5ADE3FF4" w:rsidR="00764430" w:rsidRDefault="00764430" w:rsidP="00764430">
      <w:pPr>
        <w:tabs>
          <w:tab w:val="left" w:pos="851"/>
        </w:tabs>
        <w:ind w:left="851"/>
        <w:rPr>
          <w:sz w:val="24"/>
          <w:szCs w:val="24"/>
        </w:rPr>
      </w:pPr>
      <w:r w:rsidRPr="00764430">
        <w:rPr>
          <w:sz w:val="24"/>
          <w:szCs w:val="24"/>
        </w:rPr>
        <w:t>Generelt bør acetylsalicylsyre anvendes med forsigtighed til ældre patienter, som har øget risiko for   at få bivirkninger. Det anbefales at anvende den sædvanlige dosis til voksne, hvis der ikke foreligger alvorlig nyre- eller leverinsufficiens (se pkt. 4.3 og 4.4). Behandlingen bør evalueres med jævne mellemrum.</w:t>
      </w:r>
    </w:p>
    <w:p w14:paraId="1B4867A2" w14:textId="77777777" w:rsidR="00764430" w:rsidRPr="00764430" w:rsidRDefault="00764430" w:rsidP="00764430">
      <w:pPr>
        <w:tabs>
          <w:tab w:val="left" w:pos="851"/>
        </w:tabs>
        <w:ind w:left="851"/>
        <w:rPr>
          <w:sz w:val="24"/>
          <w:szCs w:val="24"/>
        </w:rPr>
      </w:pPr>
    </w:p>
    <w:p w14:paraId="3C31D491" w14:textId="77777777" w:rsidR="00764430" w:rsidRPr="00764430" w:rsidRDefault="00764430" w:rsidP="00764430">
      <w:pPr>
        <w:tabs>
          <w:tab w:val="left" w:pos="851"/>
        </w:tabs>
        <w:ind w:left="851"/>
        <w:rPr>
          <w:sz w:val="24"/>
          <w:szCs w:val="24"/>
        </w:rPr>
      </w:pPr>
      <w:r w:rsidRPr="00764430">
        <w:rPr>
          <w:sz w:val="24"/>
          <w:szCs w:val="24"/>
          <w:u w:val="single"/>
        </w:rPr>
        <w:t>Pædiatrisk population</w:t>
      </w:r>
    </w:p>
    <w:p w14:paraId="5EB480B0" w14:textId="43BC6C39" w:rsidR="00764430" w:rsidRDefault="00764430" w:rsidP="00764430">
      <w:pPr>
        <w:tabs>
          <w:tab w:val="left" w:pos="851"/>
        </w:tabs>
        <w:ind w:left="851"/>
        <w:rPr>
          <w:sz w:val="24"/>
          <w:szCs w:val="24"/>
        </w:rPr>
      </w:pPr>
      <w:r w:rsidRPr="00764430">
        <w:rPr>
          <w:sz w:val="24"/>
          <w:szCs w:val="24"/>
        </w:rPr>
        <w:t>Acetylsalicylsyre bør ikke gives til børn og unge under 16 år, medmindre det er efter lægelig anvisning, hvor fordelene opvejer risikoen (se pkt. 4.4).</w:t>
      </w:r>
    </w:p>
    <w:p w14:paraId="2E908D4A" w14:textId="77777777" w:rsidR="00764430" w:rsidRPr="00764430" w:rsidRDefault="00764430" w:rsidP="00764430">
      <w:pPr>
        <w:tabs>
          <w:tab w:val="left" w:pos="851"/>
        </w:tabs>
        <w:ind w:left="851"/>
        <w:rPr>
          <w:sz w:val="24"/>
          <w:szCs w:val="24"/>
        </w:rPr>
      </w:pPr>
    </w:p>
    <w:p w14:paraId="4DB9BAC0" w14:textId="300FACAE" w:rsidR="00764430" w:rsidRPr="00764430" w:rsidRDefault="00764430" w:rsidP="00764430">
      <w:pPr>
        <w:tabs>
          <w:tab w:val="left" w:pos="851"/>
        </w:tabs>
        <w:ind w:left="851"/>
        <w:rPr>
          <w:sz w:val="24"/>
          <w:szCs w:val="24"/>
        </w:rPr>
      </w:pPr>
      <w:r>
        <w:rPr>
          <w:sz w:val="24"/>
          <w:szCs w:val="24"/>
          <w:u w:val="single"/>
        </w:rPr>
        <w:t>Administration</w:t>
      </w:r>
    </w:p>
    <w:p w14:paraId="693E3748" w14:textId="071DC8BA" w:rsidR="00764430" w:rsidRPr="00764430" w:rsidRDefault="00764430" w:rsidP="00764430">
      <w:pPr>
        <w:tabs>
          <w:tab w:val="left" w:pos="851"/>
        </w:tabs>
        <w:ind w:left="851"/>
        <w:rPr>
          <w:sz w:val="24"/>
          <w:szCs w:val="24"/>
        </w:rPr>
      </w:pPr>
      <w:r>
        <w:rPr>
          <w:sz w:val="24"/>
          <w:szCs w:val="24"/>
        </w:rPr>
        <w:t>O</w:t>
      </w:r>
      <w:r w:rsidRPr="00764430">
        <w:rPr>
          <w:sz w:val="24"/>
          <w:szCs w:val="24"/>
        </w:rPr>
        <w:t>ral anvendelse</w:t>
      </w:r>
    </w:p>
    <w:p w14:paraId="11377930" w14:textId="77777777" w:rsidR="009260DE" w:rsidRPr="00C84483" w:rsidRDefault="009260DE" w:rsidP="009260DE">
      <w:pPr>
        <w:tabs>
          <w:tab w:val="left" w:pos="851"/>
        </w:tabs>
        <w:ind w:left="851"/>
        <w:rPr>
          <w:sz w:val="24"/>
          <w:szCs w:val="24"/>
        </w:rPr>
      </w:pPr>
    </w:p>
    <w:p w14:paraId="1830EEBF"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62C53588" w14:textId="77777777" w:rsidR="005F01EC" w:rsidRPr="005F01EC" w:rsidRDefault="005F01EC" w:rsidP="005F01EC">
      <w:pPr>
        <w:numPr>
          <w:ilvl w:val="2"/>
          <w:numId w:val="6"/>
        </w:numPr>
        <w:tabs>
          <w:tab w:val="left" w:pos="1134"/>
        </w:tabs>
        <w:ind w:left="1134" w:hanging="283"/>
        <w:rPr>
          <w:sz w:val="24"/>
          <w:szCs w:val="24"/>
        </w:rPr>
      </w:pPr>
      <w:r w:rsidRPr="005F01EC">
        <w:rPr>
          <w:sz w:val="24"/>
          <w:szCs w:val="24"/>
        </w:rPr>
        <w:t>Overfølsomhed over for salicylsyreforbindelser eller prostaglandinsyntetasehæmmere (f.eks. visse astmapatienter, der kan få et anfald eller besvime) eller over for et eller flere af hjælpestofferne anført i pkt. 6.1</w:t>
      </w:r>
    </w:p>
    <w:p w14:paraId="14BFD01D" w14:textId="07B3548D" w:rsidR="005F01EC" w:rsidRPr="005F01EC" w:rsidRDefault="005F01EC" w:rsidP="005F01EC">
      <w:pPr>
        <w:numPr>
          <w:ilvl w:val="2"/>
          <w:numId w:val="6"/>
        </w:numPr>
        <w:tabs>
          <w:tab w:val="left" w:pos="1134"/>
        </w:tabs>
        <w:ind w:left="1134" w:hanging="283"/>
        <w:rPr>
          <w:sz w:val="24"/>
          <w:szCs w:val="24"/>
        </w:rPr>
      </w:pPr>
      <w:r w:rsidRPr="005F01EC">
        <w:rPr>
          <w:sz w:val="24"/>
          <w:szCs w:val="24"/>
        </w:rPr>
        <w:t>Aktiv eller tidligere tilbagevendende mavesår og/eller mave-/tarmblødning eller andre former for blødning, såsom cerebrovaskulær hæmoragi</w:t>
      </w:r>
    </w:p>
    <w:p w14:paraId="1D9FA6A7" w14:textId="77777777" w:rsidR="005F01EC" w:rsidRPr="005F01EC" w:rsidRDefault="005F01EC" w:rsidP="005F01EC">
      <w:pPr>
        <w:numPr>
          <w:ilvl w:val="2"/>
          <w:numId w:val="6"/>
        </w:numPr>
        <w:tabs>
          <w:tab w:val="left" w:pos="1134"/>
        </w:tabs>
        <w:ind w:left="1134" w:hanging="283"/>
        <w:rPr>
          <w:sz w:val="24"/>
          <w:szCs w:val="24"/>
        </w:rPr>
      </w:pPr>
      <w:r w:rsidRPr="005F01EC">
        <w:rPr>
          <w:sz w:val="24"/>
          <w:szCs w:val="24"/>
        </w:rPr>
        <w:t>Hæmoragisk diatese, koagulationsforstyrrelser såsom hæmofili og trombocytopeni</w:t>
      </w:r>
    </w:p>
    <w:p w14:paraId="10C91E67" w14:textId="77777777" w:rsidR="005F01EC" w:rsidRPr="005F01EC" w:rsidRDefault="005F01EC" w:rsidP="005F01EC">
      <w:pPr>
        <w:numPr>
          <w:ilvl w:val="2"/>
          <w:numId w:val="6"/>
        </w:numPr>
        <w:tabs>
          <w:tab w:val="left" w:pos="1134"/>
        </w:tabs>
        <w:ind w:left="1134" w:hanging="283"/>
        <w:rPr>
          <w:sz w:val="24"/>
          <w:szCs w:val="24"/>
          <w:lang w:val="en-US"/>
        </w:rPr>
      </w:pPr>
      <w:r w:rsidRPr="005F01EC">
        <w:rPr>
          <w:sz w:val="24"/>
          <w:szCs w:val="24"/>
        </w:rPr>
        <w:t>Alvorlig leverinsufficiens</w:t>
      </w:r>
    </w:p>
    <w:p w14:paraId="0E9FFEB5" w14:textId="77777777" w:rsidR="005F01EC" w:rsidRPr="005F01EC" w:rsidRDefault="005F01EC" w:rsidP="005F01EC">
      <w:pPr>
        <w:numPr>
          <w:ilvl w:val="2"/>
          <w:numId w:val="6"/>
        </w:numPr>
        <w:tabs>
          <w:tab w:val="left" w:pos="1134"/>
        </w:tabs>
        <w:ind w:left="1134" w:hanging="283"/>
        <w:rPr>
          <w:sz w:val="24"/>
          <w:szCs w:val="24"/>
          <w:lang w:val="en-US"/>
        </w:rPr>
      </w:pPr>
      <w:r w:rsidRPr="005F01EC">
        <w:rPr>
          <w:sz w:val="24"/>
          <w:szCs w:val="24"/>
        </w:rPr>
        <w:t>Alvorlig nyreinsufficiens</w:t>
      </w:r>
    </w:p>
    <w:p w14:paraId="2AFB1C74" w14:textId="77777777" w:rsidR="005F01EC" w:rsidRPr="005F01EC" w:rsidRDefault="005F01EC" w:rsidP="005F01EC">
      <w:pPr>
        <w:numPr>
          <w:ilvl w:val="2"/>
          <w:numId w:val="6"/>
        </w:numPr>
        <w:tabs>
          <w:tab w:val="left" w:pos="1134"/>
        </w:tabs>
        <w:ind w:left="1134" w:hanging="283"/>
        <w:rPr>
          <w:sz w:val="24"/>
          <w:szCs w:val="24"/>
          <w:lang w:val="en-US"/>
        </w:rPr>
      </w:pPr>
      <w:r w:rsidRPr="005F01EC">
        <w:rPr>
          <w:sz w:val="24"/>
          <w:szCs w:val="24"/>
        </w:rPr>
        <w:t>Gigt</w:t>
      </w:r>
    </w:p>
    <w:p w14:paraId="7E7F588A" w14:textId="77777777" w:rsidR="005F01EC" w:rsidRPr="005F01EC" w:rsidRDefault="005F01EC" w:rsidP="005F01EC">
      <w:pPr>
        <w:numPr>
          <w:ilvl w:val="2"/>
          <w:numId w:val="6"/>
        </w:numPr>
        <w:tabs>
          <w:tab w:val="left" w:pos="1134"/>
        </w:tabs>
        <w:ind w:left="1134" w:hanging="283"/>
        <w:rPr>
          <w:sz w:val="24"/>
          <w:szCs w:val="24"/>
        </w:rPr>
      </w:pPr>
      <w:r w:rsidRPr="005F01EC">
        <w:rPr>
          <w:sz w:val="24"/>
          <w:szCs w:val="24"/>
        </w:rPr>
        <w:lastRenderedPageBreak/>
        <w:t>Doser &gt;100 mg/dag i graviditetens tredje trimester (se pkt. 4.6)</w:t>
      </w:r>
    </w:p>
    <w:p w14:paraId="7674B47E" w14:textId="77777777" w:rsidR="005F01EC" w:rsidRPr="005F01EC" w:rsidRDefault="005F01EC" w:rsidP="005F01EC">
      <w:pPr>
        <w:numPr>
          <w:ilvl w:val="2"/>
          <w:numId w:val="6"/>
        </w:numPr>
        <w:tabs>
          <w:tab w:val="left" w:pos="1134"/>
        </w:tabs>
        <w:ind w:left="1134" w:hanging="283"/>
        <w:rPr>
          <w:sz w:val="24"/>
          <w:szCs w:val="24"/>
        </w:rPr>
      </w:pPr>
      <w:r w:rsidRPr="005F01EC">
        <w:rPr>
          <w:sz w:val="24"/>
          <w:szCs w:val="24"/>
        </w:rPr>
        <w:t>Metotrexat anvendt i doser &gt;15 mg/uge (se pkt. 4.5)</w:t>
      </w:r>
    </w:p>
    <w:p w14:paraId="4D1E6534" w14:textId="77777777" w:rsidR="009260DE" w:rsidRPr="00C84483" w:rsidRDefault="009260DE" w:rsidP="009260DE">
      <w:pPr>
        <w:tabs>
          <w:tab w:val="left" w:pos="851"/>
        </w:tabs>
        <w:ind w:left="851"/>
        <w:rPr>
          <w:sz w:val="24"/>
          <w:szCs w:val="24"/>
        </w:rPr>
      </w:pPr>
    </w:p>
    <w:p w14:paraId="221D658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A7AD089" w14:textId="77777777" w:rsidR="005F01EC" w:rsidRPr="005F01EC" w:rsidRDefault="005F01EC" w:rsidP="005F01EC">
      <w:pPr>
        <w:tabs>
          <w:tab w:val="left" w:pos="851"/>
        </w:tabs>
        <w:ind w:left="851"/>
        <w:rPr>
          <w:sz w:val="24"/>
          <w:szCs w:val="24"/>
        </w:rPr>
      </w:pPr>
      <w:r w:rsidRPr="005F01EC">
        <w:rPr>
          <w:sz w:val="24"/>
          <w:szCs w:val="24"/>
        </w:rPr>
        <w:t>Hjertelan er ikke egnet til brug som antiinflammatorisk/analgetisk/antipyretisk middel.</w:t>
      </w:r>
    </w:p>
    <w:p w14:paraId="77931B4E" w14:textId="77777777" w:rsidR="005F01EC" w:rsidRDefault="005F01EC" w:rsidP="005F01EC">
      <w:pPr>
        <w:tabs>
          <w:tab w:val="left" w:pos="851"/>
        </w:tabs>
        <w:ind w:left="851"/>
        <w:rPr>
          <w:sz w:val="24"/>
          <w:szCs w:val="24"/>
        </w:rPr>
      </w:pPr>
    </w:p>
    <w:p w14:paraId="449EE026" w14:textId="610AD4D0" w:rsidR="005F01EC" w:rsidRPr="005F01EC" w:rsidRDefault="005F01EC" w:rsidP="005F01EC">
      <w:pPr>
        <w:tabs>
          <w:tab w:val="left" w:pos="851"/>
        </w:tabs>
        <w:ind w:left="851"/>
        <w:rPr>
          <w:sz w:val="24"/>
          <w:szCs w:val="24"/>
        </w:rPr>
      </w:pPr>
      <w:r w:rsidRPr="005F01EC">
        <w:rPr>
          <w:sz w:val="24"/>
          <w:szCs w:val="24"/>
        </w:rPr>
        <w:t>Anbefales til voksne og unge fra 16 år. Dette lægemiddel anbefales ikke til unge/børn under 16 år, medmindre de forventede fordele opvejer risiciene. Acetylsalicylsyre kan være en medvirkende faktor til udvikling af Reye's syndrom hos visse børn.</w:t>
      </w:r>
    </w:p>
    <w:p w14:paraId="40CDD5B0" w14:textId="77777777" w:rsidR="005F01EC" w:rsidRDefault="005F01EC" w:rsidP="005F01EC">
      <w:pPr>
        <w:tabs>
          <w:tab w:val="left" w:pos="851"/>
        </w:tabs>
        <w:ind w:left="851"/>
        <w:rPr>
          <w:sz w:val="24"/>
          <w:szCs w:val="24"/>
        </w:rPr>
      </w:pPr>
    </w:p>
    <w:p w14:paraId="1E09FD7B" w14:textId="618B872E" w:rsidR="005F01EC" w:rsidRPr="005F01EC" w:rsidRDefault="005F01EC" w:rsidP="005F01EC">
      <w:pPr>
        <w:tabs>
          <w:tab w:val="left" w:pos="851"/>
        </w:tabs>
        <w:ind w:left="851"/>
        <w:rPr>
          <w:sz w:val="24"/>
          <w:szCs w:val="24"/>
        </w:rPr>
      </w:pPr>
      <w:r w:rsidRPr="005F01EC">
        <w:rPr>
          <w:sz w:val="24"/>
          <w:szCs w:val="24"/>
        </w:rPr>
        <w:t>Der er en øget risiko for blødning, især under eller efter operative indgreb (selv ved mindre indgreb såsom tandudtrækning). Skal anvendes med forsigtighed før kirurgiske indgreb, herunder tand-udtrækning. Det kan være nødvendigt at afbryde behandlingen midlertidigt.</w:t>
      </w:r>
    </w:p>
    <w:p w14:paraId="0EF6E7DF" w14:textId="77777777" w:rsidR="005F01EC" w:rsidRDefault="005F01EC" w:rsidP="005F01EC">
      <w:pPr>
        <w:tabs>
          <w:tab w:val="left" w:pos="851"/>
        </w:tabs>
        <w:ind w:left="851"/>
        <w:rPr>
          <w:sz w:val="24"/>
          <w:szCs w:val="24"/>
        </w:rPr>
      </w:pPr>
    </w:p>
    <w:p w14:paraId="004E0BD7" w14:textId="338BA2F2" w:rsidR="005F01EC" w:rsidRPr="005F01EC" w:rsidRDefault="005F01EC" w:rsidP="005F01EC">
      <w:pPr>
        <w:tabs>
          <w:tab w:val="left" w:pos="851"/>
        </w:tabs>
        <w:ind w:left="851"/>
        <w:rPr>
          <w:sz w:val="24"/>
          <w:szCs w:val="24"/>
        </w:rPr>
      </w:pPr>
      <w:r w:rsidRPr="005F01EC">
        <w:rPr>
          <w:sz w:val="24"/>
          <w:szCs w:val="24"/>
        </w:rPr>
        <w:t>Hjertelan anbefales ikke ved menorrhagi, hvor det kan øge menstruationsblødning.</w:t>
      </w:r>
    </w:p>
    <w:p w14:paraId="2910E00A" w14:textId="77777777" w:rsidR="005F01EC" w:rsidRDefault="005F01EC" w:rsidP="005F01EC">
      <w:pPr>
        <w:tabs>
          <w:tab w:val="left" w:pos="851"/>
        </w:tabs>
        <w:ind w:left="851"/>
        <w:rPr>
          <w:sz w:val="24"/>
          <w:szCs w:val="24"/>
        </w:rPr>
      </w:pPr>
    </w:p>
    <w:p w14:paraId="4D28D467" w14:textId="176F6F63" w:rsidR="005F01EC" w:rsidRPr="005F01EC" w:rsidRDefault="005F01EC" w:rsidP="005F01EC">
      <w:pPr>
        <w:tabs>
          <w:tab w:val="left" w:pos="851"/>
        </w:tabs>
        <w:ind w:left="851"/>
        <w:rPr>
          <w:sz w:val="24"/>
          <w:szCs w:val="24"/>
        </w:rPr>
      </w:pPr>
      <w:r w:rsidRPr="005F01EC">
        <w:rPr>
          <w:sz w:val="24"/>
          <w:szCs w:val="24"/>
        </w:rPr>
        <w:t>Skal anvendes med forsigtighed i tilfælde af hypertension og hvor patienten tidligere har haft ulcus ventriculi, ulcus duodeni, hæmoragi eller er i behandling med antikoagulantia.</w:t>
      </w:r>
    </w:p>
    <w:p w14:paraId="3655DF97" w14:textId="77777777" w:rsidR="005F01EC" w:rsidRDefault="005F01EC" w:rsidP="005F01EC">
      <w:pPr>
        <w:tabs>
          <w:tab w:val="left" w:pos="851"/>
        </w:tabs>
        <w:ind w:left="851"/>
        <w:rPr>
          <w:sz w:val="24"/>
          <w:szCs w:val="24"/>
        </w:rPr>
      </w:pPr>
    </w:p>
    <w:p w14:paraId="32694E15" w14:textId="312A1434" w:rsidR="005F01EC" w:rsidRPr="005F01EC" w:rsidRDefault="005F01EC" w:rsidP="005F01EC">
      <w:pPr>
        <w:tabs>
          <w:tab w:val="left" w:pos="851"/>
        </w:tabs>
        <w:ind w:left="851"/>
        <w:rPr>
          <w:sz w:val="24"/>
          <w:szCs w:val="24"/>
        </w:rPr>
      </w:pPr>
      <w:r w:rsidRPr="005F01EC">
        <w:rPr>
          <w:sz w:val="24"/>
          <w:szCs w:val="24"/>
        </w:rPr>
        <w:t>Patienten skal rapportere eventuelle usædvanlige blødningssymptomer til sin læge. Hvis der opstår gastrointestinal blødning eller sårdannelse, skal behandlingen seponeres.</w:t>
      </w:r>
    </w:p>
    <w:p w14:paraId="0CE55B9E" w14:textId="77777777" w:rsidR="005F01EC" w:rsidRPr="005F01EC" w:rsidRDefault="005F01EC" w:rsidP="005F01EC">
      <w:pPr>
        <w:tabs>
          <w:tab w:val="left" w:pos="851"/>
        </w:tabs>
        <w:ind w:left="851"/>
        <w:rPr>
          <w:sz w:val="24"/>
          <w:szCs w:val="24"/>
        </w:rPr>
      </w:pPr>
    </w:p>
    <w:p w14:paraId="55F863A9" w14:textId="77777777" w:rsidR="005F01EC" w:rsidRPr="005F01EC" w:rsidRDefault="005F01EC" w:rsidP="005F01EC">
      <w:pPr>
        <w:tabs>
          <w:tab w:val="left" w:pos="851"/>
        </w:tabs>
        <w:ind w:left="851"/>
        <w:rPr>
          <w:sz w:val="24"/>
          <w:szCs w:val="24"/>
        </w:rPr>
      </w:pPr>
      <w:r w:rsidRPr="005F01EC">
        <w:rPr>
          <w:sz w:val="24"/>
          <w:szCs w:val="24"/>
        </w:rPr>
        <w:t>Acetylsalicylsyre skal anvendes med forsigtighed hos patienter med moderat nedsat nyre- eller leverfunktion (kontraindiceret ved svær nedsat funktion) eller hos dehydrerede patienter, da brug af NSAID'er kan medføre forværring af nyrefunktionen. Der bør udføres regelmæssige leverfunktions-tests hos patienter med mild eller moderat leverinsufficiens.</w:t>
      </w:r>
    </w:p>
    <w:p w14:paraId="6153E959" w14:textId="77777777" w:rsidR="005F01EC" w:rsidRDefault="005F01EC" w:rsidP="005F01EC">
      <w:pPr>
        <w:tabs>
          <w:tab w:val="left" w:pos="851"/>
        </w:tabs>
        <w:ind w:left="851"/>
        <w:rPr>
          <w:sz w:val="24"/>
          <w:szCs w:val="24"/>
        </w:rPr>
      </w:pPr>
    </w:p>
    <w:p w14:paraId="35142B21" w14:textId="076FA685" w:rsidR="005F01EC" w:rsidRPr="005F01EC" w:rsidRDefault="005F01EC" w:rsidP="005F01EC">
      <w:pPr>
        <w:tabs>
          <w:tab w:val="left" w:pos="851"/>
        </w:tabs>
        <w:ind w:left="851"/>
        <w:rPr>
          <w:sz w:val="24"/>
          <w:szCs w:val="24"/>
        </w:rPr>
      </w:pPr>
      <w:r w:rsidRPr="005F01EC">
        <w:rPr>
          <w:sz w:val="24"/>
          <w:szCs w:val="24"/>
        </w:rPr>
        <w:t>Acetylsalicylsyre kan fremme bronkospasmer og astmaanfald eller andre overfølsomhedsreaktioner. Risikofaktorer er eksisterende astma, høfeber, næsepolypper eller kroniske luftvejssygdomme. Det samme gælder for patienter, der også viser allergiske reaktioner over for andre stoffer (f.eks. med hudreaktioner, kløe eller urticaria).</w:t>
      </w:r>
    </w:p>
    <w:p w14:paraId="0C921FAB" w14:textId="77777777" w:rsidR="005F01EC" w:rsidRDefault="005F01EC" w:rsidP="005F01EC">
      <w:pPr>
        <w:tabs>
          <w:tab w:val="left" w:pos="851"/>
        </w:tabs>
        <w:ind w:left="851"/>
        <w:rPr>
          <w:sz w:val="24"/>
          <w:szCs w:val="24"/>
        </w:rPr>
      </w:pPr>
    </w:p>
    <w:p w14:paraId="61C75792" w14:textId="6B2BDB8A" w:rsidR="005F01EC" w:rsidRPr="005F01EC" w:rsidRDefault="005F01EC" w:rsidP="005F01EC">
      <w:pPr>
        <w:tabs>
          <w:tab w:val="left" w:pos="851"/>
        </w:tabs>
        <w:ind w:left="851"/>
        <w:rPr>
          <w:sz w:val="24"/>
          <w:szCs w:val="24"/>
        </w:rPr>
      </w:pPr>
      <w:r w:rsidRPr="005F01EC">
        <w:rPr>
          <w:sz w:val="24"/>
          <w:szCs w:val="24"/>
        </w:rPr>
        <w:t>Der er sjældent rapporteret om alvorlige hudreaktioner, herunder Stevens-Johnsons syndrom, i forbindelse med brug af acetylsalicylsyre (se pkt. 4.8). Hjertelan bør seponeres ved første tegn på hududslæt, slimhindeforandringer eller andre tegn på overfølsomhed.</w:t>
      </w:r>
    </w:p>
    <w:p w14:paraId="08304692" w14:textId="77777777" w:rsidR="005F01EC" w:rsidRDefault="005F01EC" w:rsidP="005F01EC">
      <w:pPr>
        <w:tabs>
          <w:tab w:val="left" w:pos="851"/>
        </w:tabs>
        <w:ind w:left="851"/>
        <w:rPr>
          <w:sz w:val="24"/>
          <w:szCs w:val="24"/>
        </w:rPr>
      </w:pPr>
    </w:p>
    <w:p w14:paraId="78C1A36C" w14:textId="62A525FD" w:rsidR="005F01EC" w:rsidRPr="005F01EC" w:rsidRDefault="005F01EC" w:rsidP="005F01EC">
      <w:pPr>
        <w:tabs>
          <w:tab w:val="left" w:pos="851"/>
        </w:tabs>
        <w:ind w:left="851"/>
        <w:rPr>
          <w:sz w:val="24"/>
          <w:szCs w:val="24"/>
        </w:rPr>
      </w:pPr>
      <w:r w:rsidRPr="005F01EC">
        <w:rPr>
          <w:sz w:val="24"/>
          <w:szCs w:val="24"/>
        </w:rPr>
        <w:t>Ældre patienter er særligt følsomme over for bivirkninger ved NSAID'er, herunder acetylsalicylsyre,</w:t>
      </w:r>
      <w:r>
        <w:rPr>
          <w:sz w:val="24"/>
          <w:szCs w:val="24"/>
        </w:rPr>
        <w:t xml:space="preserve"> </w:t>
      </w:r>
      <w:r w:rsidRPr="005F01EC">
        <w:rPr>
          <w:sz w:val="24"/>
          <w:szCs w:val="24"/>
        </w:rPr>
        <w:t>især gastrointestinal blødning og perforering, som kan være livstruende (se pkt. 4.2). Hvor langvarig behandling er påkrævet, bør patienten undersøges regelmæssigt.</w:t>
      </w:r>
    </w:p>
    <w:p w14:paraId="44604BDB" w14:textId="77777777" w:rsidR="005F01EC" w:rsidRDefault="005F01EC" w:rsidP="005F01EC">
      <w:pPr>
        <w:tabs>
          <w:tab w:val="left" w:pos="851"/>
        </w:tabs>
        <w:ind w:left="851"/>
        <w:rPr>
          <w:sz w:val="24"/>
          <w:szCs w:val="24"/>
        </w:rPr>
      </w:pPr>
    </w:p>
    <w:p w14:paraId="37A76DA1" w14:textId="6C0CDBFC" w:rsidR="005F01EC" w:rsidRPr="005F01EC" w:rsidRDefault="005F01EC" w:rsidP="005F01EC">
      <w:pPr>
        <w:tabs>
          <w:tab w:val="left" w:pos="851"/>
        </w:tabs>
        <w:ind w:left="851"/>
        <w:rPr>
          <w:sz w:val="24"/>
          <w:szCs w:val="24"/>
        </w:rPr>
      </w:pPr>
      <w:r w:rsidRPr="005F01EC">
        <w:rPr>
          <w:sz w:val="24"/>
          <w:szCs w:val="24"/>
        </w:rPr>
        <w:t>Samtidig behandling med Hjertelan og andre lægemidler, der påvirker hæmostasen (dvs. anti-koagulantia såsom warfarin, trombolytika og antiplateletmidler, antiinflammatoriske lægemidler og selektive serotoninreoptagelseshæmmere), anbefales ikke, medmindre det er strengt nødvendigt, da disse kan øge risikoen for blødning (se pkt. 4.5). Hvis kombinationen ikke kan undgås, anbefales det at holde øje med tegn på blødning.</w:t>
      </w:r>
    </w:p>
    <w:p w14:paraId="7E82178D" w14:textId="77777777" w:rsidR="005F01EC" w:rsidRDefault="005F01EC" w:rsidP="005F01EC">
      <w:pPr>
        <w:tabs>
          <w:tab w:val="left" w:pos="851"/>
        </w:tabs>
        <w:ind w:left="851"/>
        <w:rPr>
          <w:sz w:val="24"/>
          <w:szCs w:val="24"/>
        </w:rPr>
      </w:pPr>
    </w:p>
    <w:p w14:paraId="2D259C05" w14:textId="3D4AED65" w:rsidR="005F01EC" w:rsidRPr="005F01EC" w:rsidRDefault="005F01EC" w:rsidP="005F01EC">
      <w:pPr>
        <w:tabs>
          <w:tab w:val="left" w:pos="851"/>
        </w:tabs>
        <w:ind w:left="851"/>
        <w:rPr>
          <w:sz w:val="24"/>
          <w:szCs w:val="24"/>
        </w:rPr>
      </w:pPr>
      <w:r w:rsidRPr="005F01EC">
        <w:rPr>
          <w:sz w:val="24"/>
          <w:szCs w:val="24"/>
        </w:rPr>
        <w:t>Der bør udvises forsigtighed hos patienter med samtidig medicin, der kan øge risikoen for sårdannelse, såsom orale kortikosteroider, selektive serotonin-genoptagelsesinhibitorer og deferasirox (se pkt. 4.5).</w:t>
      </w:r>
    </w:p>
    <w:p w14:paraId="0DC207C8" w14:textId="77777777" w:rsidR="005F01EC" w:rsidRDefault="005F01EC" w:rsidP="005F01EC">
      <w:pPr>
        <w:tabs>
          <w:tab w:val="left" w:pos="851"/>
        </w:tabs>
        <w:ind w:left="851"/>
        <w:rPr>
          <w:sz w:val="24"/>
          <w:szCs w:val="24"/>
        </w:rPr>
      </w:pPr>
    </w:p>
    <w:p w14:paraId="16DF4030" w14:textId="5FCE7096" w:rsidR="005F01EC" w:rsidRPr="005F01EC" w:rsidRDefault="005F01EC" w:rsidP="005F01EC">
      <w:pPr>
        <w:tabs>
          <w:tab w:val="left" w:pos="851"/>
        </w:tabs>
        <w:ind w:left="851"/>
        <w:rPr>
          <w:sz w:val="24"/>
          <w:szCs w:val="24"/>
        </w:rPr>
      </w:pPr>
      <w:r w:rsidRPr="005F01EC">
        <w:rPr>
          <w:sz w:val="24"/>
          <w:szCs w:val="24"/>
        </w:rPr>
        <w:lastRenderedPageBreak/>
        <w:t>Acetylsalicylsyre bør undgås i slutningen af graviditeten og generelt under amning (se pkt. 4.6).</w:t>
      </w:r>
    </w:p>
    <w:p w14:paraId="156EBB96" w14:textId="77777777" w:rsidR="005F01EC" w:rsidRDefault="005F01EC" w:rsidP="005F01EC">
      <w:pPr>
        <w:tabs>
          <w:tab w:val="left" w:pos="851"/>
        </w:tabs>
        <w:ind w:left="851"/>
        <w:rPr>
          <w:sz w:val="24"/>
          <w:szCs w:val="24"/>
        </w:rPr>
      </w:pPr>
    </w:p>
    <w:p w14:paraId="0DAE3926" w14:textId="67B13C9A" w:rsidR="005F01EC" w:rsidRPr="005F01EC" w:rsidRDefault="005F01EC" w:rsidP="005F01EC">
      <w:pPr>
        <w:tabs>
          <w:tab w:val="left" w:pos="851"/>
        </w:tabs>
        <w:ind w:left="851"/>
        <w:rPr>
          <w:sz w:val="24"/>
          <w:szCs w:val="24"/>
        </w:rPr>
      </w:pPr>
      <w:r w:rsidRPr="005F01EC">
        <w:rPr>
          <w:sz w:val="24"/>
          <w:szCs w:val="24"/>
        </w:rPr>
        <w:t>Acetylsalicylsyre i lave doser reducerer udskillelsen af urinsyre. Derfor kan patienter med tendens til nedsat udskillelse af urinsyre, opleve gigtanfald (se pkt. 4.5).</w:t>
      </w:r>
    </w:p>
    <w:p w14:paraId="497EBE11" w14:textId="77777777" w:rsidR="005F01EC" w:rsidRDefault="005F01EC" w:rsidP="005F01EC">
      <w:pPr>
        <w:tabs>
          <w:tab w:val="left" w:pos="851"/>
        </w:tabs>
        <w:ind w:left="851"/>
        <w:rPr>
          <w:sz w:val="24"/>
          <w:szCs w:val="24"/>
        </w:rPr>
      </w:pPr>
    </w:p>
    <w:p w14:paraId="6FD313C2" w14:textId="541F2296" w:rsidR="005F01EC" w:rsidRPr="005F01EC" w:rsidRDefault="005F01EC" w:rsidP="005F01EC">
      <w:pPr>
        <w:tabs>
          <w:tab w:val="left" w:pos="851"/>
        </w:tabs>
        <w:ind w:left="851"/>
        <w:rPr>
          <w:sz w:val="24"/>
          <w:szCs w:val="24"/>
        </w:rPr>
      </w:pPr>
      <w:r w:rsidRPr="005F01EC">
        <w:rPr>
          <w:sz w:val="24"/>
          <w:szCs w:val="24"/>
        </w:rPr>
        <w:t xml:space="preserve">Risikoen for hypoglykæmisk virkning med sulfonylurinstoffer og insuliner kan forstærkes ved overdosering af Hjertelan (se pkt. 4.5). </w:t>
      </w:r>
    </w:p>
    <w:p w14:paraId="412E0BA7" w14:textId="77777777" w:rsidR="005F01EC" w:rsidRDefault="005F01EC" w:rsidP="005F01EC">
      <w:pPr>
        <w:tabs>
          <w:tab w:val="left" w:pos="851"/>
        </w:tabs>
        <w:ind w:left="851"/>
        <w:rPr>
          <w:b/>
          <w:bCs/>
          <w:sz w:val="24"/>
          <w:szCs w:val="24"/>
        </w:rPr>
      </w:pPr>
    </w:p>
    <w:p w14:paraId="0FA9F915" w14:textId="1E4E6965" w:rsidR="005F01EC" w:rsidRPr="005F01EC" w:rsidRDefault="005F01EC" w:rsidP="005F01EC">
      <w:pPr>
        <w:tabs>
          <w:tab w:val="left" w:pos="851"/>
        </w:tabs>
        <w:ind w:left="851"/>
        <w:rPr>
          <w:b/>
          <w:bCs/>
          <w:sz w:val="24"/>
          <w:szCs w:val="24"/>
        </w:rPr>
      </w:pPr>
      <w:r w:rsidRPr="005F01EC">
        <w:rPr>
          <w:b/>
          <w:bCs/>
          <w:sz w:val="24"/>
          <w:szCs w:val="24"/>
        </w:rPr>
        <w:t>Hjælpestoffer</w:t>
      </w:r>
    </w:p>
    <w:p w14:paraId="06C55AFF" w14:textId="1E81D5D8" w:rsidR="005F01EC" w:rsidRDefault="005F01EC" w:rsidP="005F01EC">
      <w:pPr>
        <w:tabs>
          <w:tab w:val="left" w:pos="851"/>
        </w:tabs>
        <w:ind w:left="851"/>
        <w:rPr>
          <w:sz w:val="24"/>
          <w:szCs w:val="24"/>
        </w:rPr>
      </w:pPr>
      <w:r w:rsidRPr="005F01EC">
        <w:rPr>
          <w:sz w:val="24"/>
          <w:szCs w:val="24"/>
        </w:rPr>
        <w:t>Dette lægemiddel indeholder mindre end 1 mmol natrium (23 mg) pr. dosisenhed, dvs., det er i det væsentlige natriumfrit.</w:t>
      </w:r>
    </w:p>
    <w:p w14:paraId="75F58094" w14:textId="77777777" w:rsidR="005F01EC" w:rsidRPr="005F01EC" w:rsidRDefault="005F01EC" w:rsidP="005F01EC">
      <w:pPr>
        <w:tabs>
          <w:tab w:val="left" w:pos="851"/>
        </w:tabs>
        <w:ind w:left="851"/>
        <w:rPr>
          <w:sz w:val="24"/>
          <w:szCs w:val="24"/>
        </w:rPr>
      </w:pPr>
    </w:p>
    <w:p w14:paraId="10C11B0A"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FDB4EFB" w14:textId="77777777" w:rsidR="005F01EC" w:rsidRDefault="005F01EC" w:rsidP="005F01EC">
      <w:pPr>
        <w:tabs>
          <w:tab w:val="left" w:pos="851"/>
        </w:tabs>
        <w:ind w:left="851"/>
        <w:rPr>
          <w:sz w:val="24"/>
          <w:szCs w:val="24"/>
          <w:u w:val="single"/>
        </w:rPr>
      </w:pPr>
    </w:p>
    <w:p w14:paraId="11A2C97A" w14:textId="2EC111F9" w:rsidR="005F01EC" w:rsidRPr="005F01EC" w:rsidRDefault="005F01EC" w:rsidP="005F01EC">
      <w:pPr>
        <w:tabs>
          <w:tab w:val="left" w:pos="851"/>
        </w:tabs>
        <w:ind w:left="851"/>
        <w:rPr>
          <w:sz w:val="24"/>
          <w:szCs w:val="24"/>
        </w:rPr>
      </w:pPr>
      <w:r w:rsidRPr="005F01EC">
        <w:rPr>
          <w:sz w:val="24"/>
          <w:szCs w:val="24"/>
          <w:u w:val="single"/>
        </w:rPr>
        <w:t>Kontraindicerede kombinationer</w:t>
      </w:r>
    </w:p>
    <w:p w14:paraId="35AB49AF" w14:textId="77777777" w:rsidR="005F01EC" w:rsidRDefault="005F01EC" w:rsidP="005F01EC">
      <w:pPr>
        <w:tabs>
          <w:tab w:val="left" w:pos="851"/>
        </w:tabs>
        <w:ind w:left="851"/>
        <w:rPr>
          <w:i/>
          <w:iCs/>
          <w:sz w:val="24"/>
          <w:szCs w:val="24"/>
        </w:rPr>
      </w:pPr>
    </w:p>
    <w:p w14:paraId="2D180F42" w14:textId="5B71BEA3" w:rsidR="005F01EC" w:rsidRPr="005F01EC" w:rsidRDefault="005F01EC" w:rsidP="005F01EC">
      <w:pPr>
        <w:tabs>
          <w:tab w:val="left" w:pos="851"/>
        </w:tabs>
        <w:ind w:left="851"/>
        <w:rPr>
          <w:i/>
          <w:sz w:val="24"/>
          <w:szCs w:val="24"/>
        </w:rPr>
      </w:pPr>
      <w:r w:rsidRPr="005F01EC">
        <w:rPr>
          <w:i/>
          <w:iCs/>
          <w:sz w:val="24"/>
          <w:szCs w:val="24"/>
        </w:rPr>
        <w:t>Metotrexat (anvendt i doser &gt;15 mg/uge)</w:t>
      </w:r>
    </w:p>
    <w:p w14:paraId="0F0E2AD3" w14:textId="77777777" w:rsidR="005F01EC" w:rsidRPr="005F01EC" w:rsidRDefault="005F01EC" w:rsidP="005F01EC">
      <w:pPr>
        <w:tabs>
          <w:tab w:val="left" w:pos="851"/>
        </w:tabs>
        <w:ind w:left="851"/>
        <w:rPr>
          <w:sz w:val="24"/>
          <w:szCs w:val="24"/>
        </w:rPr>
      </w:pPr>
      <w:r w:rsidRPr="005F01EC">
        <w:rPr>
          <w:sz w:val="24"/>
          <w:szCs w:val="24"/>
        </w:rPr>
        <w:t>De kombinerede lægemidler, methotrexat og acetylsalicylsyre, forstærker methotrexats hæmato-logiske toksicitet på grund af acetylsalicylsyres mindskede nyre-clearance af methotrexat. Derfor er samtidig brug af methotrexat (i doser &gt;15 mg/uge) og Hjertelan kontraindiceret (se pkt. 4.3).</w:t>
      </w:r>
    </w:p>
    <w:p w14:paraId="5248C5C9" w14:textId="77777777" w:rsidR="005F01EC" w:rsidRDefault="005F01EC" w:rsidP="005F01EC">
      <w:pPr>
        <w:tabs>
          <w:tab w:val="left" w:pos="851"/>
        </w:tabs>
        <w:ind w:left="851"/>
        <w:rPr>
          <w:sz w:val="24"/>
          <w:szCs w:val="24"/>
          <w:u w:val="single"/>
        </w:rPr>
      </w:pPr>
    </w:p>
    <w:p w14:paraId="2D8D9DF2" w14:textId="07368995" w:rsidR="005F01EC" w:rsidRPr="005F01EC" w:rsidRDefault="005F01EC" w:rsidP="005F01EC">
      <w:pPr>
        <w:tabs>
          <w:tab w:val="left" w:pos="851"/>
        </w:tabs>
        <w:ind w:left="851"/>
        <w:rPr>
          <w:sz w:val="24"/>
          <w:szCs w:val="24"/>
        </w:rPr>
      </w:pPr>
      <w:r w:rsidRPr="005F01EC">
        <w:rPr>
          <w:sz w:val="24"/>
          <w:szCs w:val="24"/>
          <w:u w:val="single"/>
        </w:rPr>
        <w:t>Ikke-kontraindicerede kombinationer</w:t>
      </w:r>
    </w:p>
    <w:p w14:paraId="2BA8FD86" w14:textId="77777777" w:rsidR="005F01EC" w:rsidRDefault="005F01EC" w:rsidP="005F01EC">
      <w:pPr>
        <w:tabs>
          <w:tab w:val="left" w:pos="851"/>
        </w:tabs>
        <w:ind w:left="851"/>
        <w:rPr>
          <w:i/>
          <w:iCs/>
          <w:sz w:val="24"/>
          <w:szCs w:val="24"/>
        </w:rPr>
      </w:pPr>
    </w:p>
    <w:p w14:paraId="2CF116B8" w14:textId="4CD893C0" w:rsidR="005F01EC" w:rsidRPr="005F01EC" w:rsidRDefault="005F01EC" w:rsidP="005F01EC">
      <w:pPr>
        <w:tabs>
          <w:tab w:val="left" w:pos="851"/>
        </w:tabs>
        <w:ind w:left="851"/>
        <w:rPr>
          <w:i/>
          <w:sz w:val="24"/>
          <w:szCs w:val="24"/>
        </w:rPr>
      </w:pPr>
      <w:r w:rsidRPr="005F01EC">
        <w:rPr>
          <w:i/>
          <w:iCs/>
          <w:sz w:val="24"/>
          <w:szCs w:val="24"/>
        </w:rPr>
        <w:t>Urinsyreudskillende midler, f.eks. probenecid</w:t>
      </w:r>
    </w:p>
    <w:p w14:paraId="38016776" w14:textId="77777777" w:rsidR="005F01EC" w:rsidRPr="005F01EC" w:rsidRDefault="005F01EC" w:rsidP="005F01EC">
      <w:pPr>
        <w:tabs>
          <w:tab w:val="left" w:pos="851"/>
        </w:tabs>
        <w:ind w:left="851"/>
        <w:rPr>
          <w:sz w:val="24"/>
          <w:szCs w:val="24"/>
        </w:rPr>
      </w:pPr>
      <w:r w:rsidRPr="005F01EC">
        <w:rPr>
          <w:sz w:val="24"/>
          <w:szCs w:val="24"/>
        </w:rPr>
        <w:t>Salicylater modvirker virkningen af probenecid. Kombinationen bør undgås.</w:t>
      </w:r>
    </w:p>
    <w:p w14:paraId="25C927AA" w14:textId="77777777" w:rsidR="005F01EC" w:rsidRDefault="005F01EC" w:rsidP="005F01EC">
      <w:pPr>
        <w:tabs>
          <w:tab w:val="left" w:pos="851"/>
        </w:tabs>
        <w:ind w:left="851"/>
        <w:rPr>
          <w:sz w:val="24"/>
          <w:szCs w:val="24"/>
          <w:u w:val="single"/>
        </w:rPr>
      </w:pPr>
    </w:p>
    <w:p w14:paraId="28EAF2CF" w14:textId="0D12D02E" w:rsidR="005F01EC" w:rsidRPr="005F01EC" w:rsidRDefault="005F01EC" w:rsidP="005F01EC">
      <w:pPr>
        <w:tabs>
          <w:tab w:val="left" w:pos="851"/>
        </w:tabs>
        <w:ind w:left="851"/>
        <w:rPr>
          <w:sz w:val="24"/>
          <w:szCs w:val="24"/>
        </w:rPr>
      </w:pPr>
      <w:r w:rsidRPr="005F01EC">
        <w:rPr>
          <w:sz w:val="24"/>
          <w:szCs w:val="24"/>
          <w:u w:val="single"/>
        </w:rPr>
        <w:t>Kombinationer, der kræver forsigtighed ved brug eller skal overvejes</w:t>
      </w:r>
    </w:p>
    <w:p w14:paraId="6B53A553" w14:textId="77777777" w:rsidR="005F01EC" w:rsidRDefault="005F01EC" w:rsidP="005F01EC">
      <w:pPr>
        <w:tabs>
          <w:tab w:val="left" w:pos="851"/>
        </w:tabs>
        <w:ind w:left="851"/>
        <w:rPr>
          <w:i/>
          <w:iCs/>
          <w:sz w:val="24"/>
          <w:szCs w:val="24"/>
        </w:rPr>
      </w:pPr>
    </w:p>
    <w:p w14:paraId="5871B9FA" w14:textId="31036C04" w:rsidR="005F01EC" w:rsidRPr="005F01EC" w:rsidRDefault="005F01EC" w:rsidP="005F01EC">
      <w:pPr>
        <w:tabs>
          <w:tab w:val="left" w:pos="851"/>
        </w:tabs>
        <w:ind w:left="851"/>
        <w:rPr>
          <w:i/>
          <w:sz w:val="24"/>
          <w:szCs w:val="24"/>
        </w:rPr>
      </w:pPr>
      <w:r w:rsidRPr="005F01EC">
        <w:rPr>
          <w:i/>
          <w:iCs/>
          <w:sz w:val="24"/>
          <w:szCs w:val="24"/>
        </w:rPr>
        <w:t>Antikoagulantia, f.eks. coumarin, heparin, warfarin</w:t>
      </w:r>
    </w:p>
    <w:p w14:paraId="1DF8904D" w14:textId="77777777" w:rsidR="005F01EC" w:rsidRPr="005F01EC" w:rsidRDefault="005F01EC" w:rsidP="005F01EC">
      <w:pPr>
        <w:tabs>
          <w:tab w:val="left" w:pos="851"/>
        </w:tabs>
        <w:ind w:left="851"/>
        <w:rPr>
          <w:sz w:val="24"/>
          <w:szCs w:val="24"/>
        </w:rPr>
      </w:pPr>
      <w:r w:rsidRPr="005F01EC">
        <w:rPr>
          <w:sz w:val="24"/>
          <w:szCs w:val="24"/>
        </w:rPr>
        <w:t>Øget risiko for blødning på grund af hæmmet trombocytfunktion, skade på tolvfingertarmsslimhinden og fortrængning af orale antikoagulantia fra deres plasmaproteinbindingspunkter. Blødningstiden bør overvåges (se pkt. 4.4).</w:t>
      </w:r>
    </w:p>
    <w:p w14:paraId="58538A60" w14:textId="77777777" w:rsidR="005F01EC" w:rsidRDefault="005F01EC" w:rsidP="005F01EC">
      <w:pPr>
        <w:tabs>
          <w:tab w:val="left" w:pos="851"/>
        </w:tabs>
        <w:ind w:left="851"/>
        <w:rPr>
          <w:i/>
          <w:iCs/>
          <w:sz w:val="24"/>
          <w:szCs w:val="24"/>
        </w:rPr>
      </w:pPr>
    </w:p>
    <w:p w14:paraId="63C4A3B3" w14:textId="02FA531F" w:rsidR="005F01EC" w:rsidRPr="005F01EC" w:rsidRDefault="005F01EC" w:rsidP="005F01EC">
      <w:pPr>
        <w:tabs>
          <w:tab w:val="left" w:pos="851"/>
        </w:tabs>
        <w:ind w:left="851"/>
        <w:rPr>
          <w:i/>
          <w:sz w:val="24"/>
          <w:szCs w:val="24"/>
        </w:rPr>
      </w:pPr>
      <w:r w:rsidRPr="005F01EC">
        <w:rPr>
          <w:i/>
          <w:iCs/>
          <w:sz w:val="24"/>
          <w:szCs w:val="24"/>
        </w:rPr>
        <w:t>Antiplateletmidler (f.eks. clopidogrel og dipyridamol) og selektive serotonin-genoptagelsesinhibitorer (SSRI'er, såsom sertralin eller paroxetin)</w:t>
      </w:r>
    </w:p>
    <w:p w14:paraId="09C9000B" w14:textId="77777777" w:rsidR="005F01EC" w:rsidRPr="005F01EC" w:rsidRDefault="005F01EC" w:rsidP="005F01EC">
      <w:pPr>
        <w:tabs>
          <w:tab w:val="left" w:pos="851"/>
        </w:tabs>
        <w:ind w:left="851"/>
        <w:rPr>
          <w:sz w:val="24"/>
          <w:szCs w:val="24"/>
        </w:rPr>
      </w:pPr>
      <w:r w:rsidRPr="005F01EC">
        <w:rPr>
          <w:sz w:val="24"/>
          <w:szCs w:val="24"/>
        </w:rPr>
        <w:t>Øget risiko for gastrointestinal blødning (se pkt. 4.4).</w:t>
      </w:r>
    </w:p>
    <w:p w14:paraId="7F135CB1" w14:textId="77777777" w:rsidR="005F01EC" w:rsidRPr="005F01EC" w:rsidRDefault="005F01EC" w:rsidP="005F01EC">
      <w:pPr>
        <w:tabs>
          <w:tab w:val="left" w:pos="851"/>
        </w:tabs>
        <w:ind w:left="851"/>
        <w:rPr>
          <w:sz w:val="24"/>
          <w:szCs w:val="24"/>
        </w:rPr>
      </w:pPr>
    </w:p>
    <w:p w14:paraId="24D7E312" w14:textId="77777777" w:rsidR="005F01EC" w:rsidRPr="005F01EC" w:rsidRDefault="005F01EC" w:rsidP="005F01EC">
      <w:pPr>
        <w:tabs>
          <w:tab w:val="left" w:pos="851"/>
        </w:tabs>
        <w:ind w:left="851"/>
        <w:rPr>
          <w:i/>
          <w:sz w:val="24"/>
          <w:szCs w:val="24"/>
        </w:rPr>
      </w:pPr>
      <w:r w:rsidRPr="005F01EC">
        <w:rPr>
          <w:i/>
          <w:iCs/>
          <w:sz w:val="24"/>
          <w:szCs w:val="24"/>
        </w:rPr>
        <w:t>Antidiabetika, f.eks. sulfonylurinstoffer</w:t>
      </w:r>
    </w:p>
    <w:p w14:paraId="092EEB41" w14:textId="77777777" w:rsidR="005F01EC" w:rsidRPr="005F01EC" w:rsidRDefault="005F01EC" w:rsidP="005F01EC">
      <w:pPr>
        <w:tabs>
          <w:tab w:val="left" w:pos="851"/>
        </w:tabs>
        <w:ind w:left="851"/>
        <w:rPr>
          <w:sz w:val="24"/>
          <w:szCs w:val="24"/>
        </w:rPr>
      </w:pPr>
      <w:r w:rsidRPr="005F01EC">
        <w:rPr>
          <w:sz w:val="24"/>
          <w:szCs w:val="24"/>
        </w:rPr>
        <w:t>Salicylsyre kan øge den hypoglykæmiske virkning af sulfonylurinstoffer.</w:t>
      </w:r>
    </w:p>
    <w:p w14:paraId="6803DB8D" w14:textId="77777777" w:rsidR="005F01EC" w:rsidRPr="005F01EC" w:rsidRDefault="005F01EC" w:rsidP="005F01EC">
      <w:pPr>
        <w:tabs>
          <w:tab w:val="left" w:pos="851"/>
        </w:tabs>
        <w:ind w:left="851"/>
        <w:rPr>
          <w:sz w:val="24"/>
          <w:szCs w:val="24"/>
        </w:rPr>
      </w:pPr>
    </w:p>
    <w:p w14:paraId="770AA03D" w14:textId="77777777" w:rsidR="005F01EC" w:rsidRPr="005F01EC" w:rsidRDefault="005F01EC" w:rsidP="005F01EC">
      <w:pPr>
        <w:tabs>
          <w:tab w:val="left" w:pos="851"/>
        </w:tabs>
        <w:ind w:left="851"/>
        <w:rPr>
          <w:i/>
          <w:sz w:val="24"/>
          <w:szCs w:val="24"/>
        </w:rPr>
      </w:pPr>
      <w:r w:rsidRPr="005F01EC">
        <w:rPr>
          <w:i/>
          <w:iCs/>
          <w:sz w:val="24"/>
          <w:szCs w:val="24"/>
        </w:rPr>
        <w:t>Digoxin og lithium</w:t>
      </w:r>
    </w:p>
    <w:p w14:paraId="6DB23334" w14:textId="77777777" w:rsidR="005F01EC" w:rsidRPr="005F01EC" w:rsidRDefault="005F01EC" w:rsidP="005F01EC">
      <w:pPr>
        <w:tabs>
          <w:tab w:val="left" w:pos="851"/>
        </w:tabs>
        <w:ind w:left="851"/>
        <w:rPr>
          <w:sz w:val="24"/>
          <w:szCs w:val="24"/>
        </w:rPr>
      </w:pPr>
      <w:r w:rsidRPr="005F01EC">
        <w:rPr>
          <w:sz w:val="24"/>
          <w:szCs w:val="24"/>
        </w:rPr>
        <w:t>Acetylsalicylsyre hæmmer udskillelsen af digoxin og lithium via nyrerne, hvilket resulterer i forhøjede plasmakoncentrationer. Det anbefales at overvåge plasmakoncentrationerne af digoxin og lithium, når behandlingen med acetylsalicylsyre påbegyndes og afsluttes. Dosisjustering kan være nødvendig .</w:t>
      </w:r>
    </w:p>
    <w:p w14:paraId="68633338" w14:textId="00977EFE" w:rsidR="00AC5296" w:rsidRDefault="00AC5296">
      <w:pPr>
        <w:rPr>
          <w:sz w:val="24"/>
          <w:szCs w:val="24"/>
        </w:rPr>
      </w:pPr>
      <w:r>
        <w:rPr>
          <w:sz w:val="24"/>
          <w:szCs w:val="24"/>
        </w:rPr>
        <w:br w:type="page"/>
      </w:r>
    </w:p>
    <w:p w14:paraId="4EEF761E" w14:textId="77777777" w:rsidR="005F01EC" w:rsidRPr="005F01EC" w:rsidRDefault="005F01EC" w:rsidP="005F01EC">
      <w:pPr>
        <w:tabs>
          <w:tab w:val="left" w:pos="851"/>
        </w:tabs>
        <w:ind w:left="851"/>
        <w:rPr>
          <w:sz w:val="24"/>
          <w:szCs w:val="24"/>
        </w:rPr>
      </w:pPr>
    </w:p>
    <w:p w14:paraId="40B0E9C0" w14:textId="77777777" w:rsidR="005F01EC" w:rsidRPr="005F01EC" w:rsidRDefault="005F01EC" w:rsidP="005F01EC">
      <w:pPr>
        <w:tabs>
          <w:tab w:val="left" w:pos="851"/>
        </w:tabs>
        <w:ind w:left="851"/>
        <w:rPr>
          <w:i/>
          <w:sz w:val="24"/>
          <w:szCs w:val="24"/>
        </w:rPr>
      </w:pPr>
      <w:r w:rsidRPr="005F01EC">
        <w:rPr>
          <w:i/>
          <w:iCs/>
          <w:sz w:val="24"/>
          <w:szCs w:val="24"/>
        </w:rPr>
        <w:t>Diuretika og antihypertensiva</w:t>
      </w:r>
    </w:p>
    <w:p w14:paraId="5E042EA2" w14:textId="77777777" w:rsidR="005F01EC" w:rsidRPr="005F01EC" w:rsidRDefault="005F01EC" w:rsidP="005F01EC">
      <w:pPr>
        <w:tabs>
          <w:tab w:val="left" w:pos="851"/>
        </w:tabs>
        <w:ind w:left="851"/>
        <w:rPr>
          <w:sz w:val="24"/>
          <w:szCs w:val="24"/>
        </w:rPr>
      </w:pPr>
      <w:r w:rsidRPr="005F01EC">
        <w:rPr>
          <w:sz w:val="24"/>
          <w:szCs w:val="24"/>
        </w:rPr>
        <w:t>NSAID'er kan mindske den blodtrykssænkende virkning af diuretika og andre blodtrykssænkende midler. Som for andre NSAID'er øger samtidig administration med ACE-hæmmere risikoen for akut nyreinsufficiens.</w:t>
      </w:r>
    </w:p>
    <w:p w14:paraId="617DEC6B" w14:textId="77777777" w:rsidR="005F01EC" w:rsidRPr="005F01EC" w:rsidRDefault="005F01EC" w:rsidP="005F01EC">
      <w:pPr>
        <w:tabs>
          <w:tab w:val="left" w:pos="851"/>
        </w:tabs>
        <w:ind w:left="851"/>
        <w:rPr>
          <w:sz w:val="24"/>
          <w:szCs w:val="24"/>
        </w:rPr>
      </w:pPr>
      <w:r w:rsidRPr="005F01EC">
        <w:rPr>
          <w:sz w:val="24"/>
          <w:szCs w:val="24"/>
        </w:rPr>
        <w:t>Diuretika: Risiko for akut nyresvigt på grund af nedsat glomerulær filtration via nedsat prosta-glandinsyntese i nyrerne. Det anbefales at hydrere patienten og overvåge nyrefunktionen ved behandlingens start.</w:t>
      </w:r>
    </w:p>
    <w:p w14:paraId="36E3B078" w14:textId="77777777" w:rsidR="005F01EC" w:rsidRPr="005F01EC" w:rsidRDefault="005F01EC" w:rsidP="005F01EC">
      <w:pPr>
        <w:tabs>
          <w:tab w:val="left" w:pos="851"/>
        </w:tabs>
        <w:ind w:left="851"/>
        <w:rPr>
          <w:sz w:val="24"/>
          <w:szCs w:val="24"/>
        </w:rPr>
      </w:pPr>
    </w:p>
    <w:p w14:paraId="57F5BF23" w14:textId="77777777" w:rsidR="005F01EC" w:rsidRPr="005F01EC" w:rsidRDefault="005F01EC" w:rsidP="005F01EC">
      <w:pPr>
        <w:tabs>
          <w:tab w:val="left" w:pos="851"/>
        </w:tabs>
        <w:ind w:left="851"/>
        <w:rPr>
          <w:i/>
          <w:sz w:val="24"/>
          <w:szCs w:val="24"/>
        </w:rPr>
      </w:pPr>
      <w:r w:rsidRPr="005F01EC">
        <w:rPr>
          <w:i/>
          <w:iCs/>
          <w:sz w:val="24"/>
          <w:szCs w:val="24"/>
        </w:rPr>
        <w:t>Karbonsyreanhydrasehæmmere (acetazolamid)</w:t>
      </w:r>
    </w:p>
    <w:p w14:paraId="09B28FDD" w14:textId="77777777" w:rsidR="005F01EC" w:rsidRPr="005F01EC" w:rsidRDefault="005F01EC" w:rsidP="005F01EC">
      <w:pPr>
        <w:tabs>
          <w:tab w:val="left" w:pos="851"/>
        </w:tabs>
        <w:ind w:left="851"/>
        <w:rPr>
          <w:sz w:val="24"/>
          <w:szCs w:val="24"/>
        </w:rPr>
      </w:pPr>
      <w:r w:rsidRPr="005F01EC">
        <w:rPr>
          <w:sz w:val="24"/>
          <w:szCs w:val="24"/>
        </w:rPr>
        <w:t>Kan medføre alvorlig acidose og øget toksicitet i centralnervesystemet.</w:t>
      </w:r>
    </w:p>
    <w:p w14:paraId="2245C536" w14:textId="77777777" w:rsidR="005F01EC" w:rsidRPr="005F01EC" w:rsidRDefault="005F01EC" w:rsidP="005F01EC">
      <w:pPr>
        <w:tabs>
          <w:tab w:val="left" w:pos="851"/>
        </w:tabs>
        <w:ind w:left="851"/>
        <w:rPr>
          <w:sz w:val="24"/>
          <w:szCs w:val="24"/>
        </w:rPr>
      </w:pPr>
    </w:p>
    <w:p w14:paraId="69AB7DBC" w14:textId="77777777" w:rsidR="005F01EC" w:rsidRPr="005F01EC" w:rsidRDefault="005F01EC" w:rsidP="005F01EC">
      <w:pPr>
        <w:tabs>
          <w:tab w:val="left" w:pos="851"/>
        </w:tabs>
        <w:ind w:left="851"/>
        <w:rPr>
          <w:i/>
          <w:sz w:val="24"/>
          <w:szCs w:val="24"/>
        </w:rPr>
      </w:pPr>
      <w:r w:rsidRPr="005F01EC">
        <w:rPr>
          <w:i/>
          <w:iCs/>
          <w:sz w:val="24"/>
          <w:szCs w:val="24"/>
        </w:rPr>
        <w:t>Systemiske kortikosteroider</w:t>
      </w:r>
    </w:p>
    <w:p w14:paraId="73037C52" w14:textId="77777777" w:rsidR="005F01EC" w:rsidRPr="005F01EC" w:rsidRDefault="005F01EC" w:rsidP="005F01EC">
      <w:pPr>
        <w:tabs>
          <w:tab w:val="left" w:pos="851"/>
        </w:tabs>
        <w:ind w:left="851"/>
        <w:rPr>
          <w:sz w:val="24"/>
          <w:szCs w:val="24"/>
        </w:rPr>
      </w:pPr>
      <w:r w:rsidRPr="005F01EC">
        <w:rPr>
          <w:sz w:val="24"/>
          <w:szCs w:val="24"/>
        </w:rPr>
        <w:t>Risikoen for mavesår og blødninger kan øges, når acetylsalicylsyre og kortikosteroider gives samtidigt (se pkt. 4.4).</w:t>
      </w:r>
    </w:p>
    <w:p w14:paraId="67C54CA0" w14:textId="77777777" w:rsidR="005F01EC" w:rsidRPr="005F01EC" w:rsidRDefault="005F01EC" w:rsidP="005F01EC">
      <w:pPr>
        <w:tabs>
          <w:tab w:val="left" w:pos="851"/>
        </w:tabs>
        <w:ind w:left="851"/>
        <w:rPr>
          <w:sz w:val="24"/>
          <w:szCs w:val="24"/>
        </w:rPr>
      </w:pPr>
    </w:p>
    <w:p w14:paraId="17197344" w14:textId="77777777" w:rsidR="005F01EC" w:rsidRPr="005F01EC" w:rsidRDefault="005F01EC" w:rsidP="005F01EC">
      <w:pPr>
        <w:tabs>
          <w:tab w:val="left" w:pos="851"/>
        </w:tabs>
        <w:ind w:left="851"/>
        <w:rPr>
          <w:i/>
          <w:sz w:val="24"/>
          <w:szCs w:val="24"/>
        </w:rPr>
      </w:pPr>
      <w:r w:rsidRPr="005F01EC">
        <w:rPr>
          <w:i/>
          <w:iCs/>
          <w:sz w:val="24"/>
          <w:szCs w:val="24"/>
        </w:rPr>
        <w:t>Metotrexat (anvendt i doser &lt;15 mg/uge)</w:t>
      </w:r>
    </w:p>
    <w:p w14:paraId="4667A2B6" w14:textId="77777777" w:rsidR="005F01EC" w:rsidRPr="005F01EC" w:rsidRDefault="005F01EC" w:rsidP="005F01EC">
      <w:pPr>
        <w:tabs>
          <w:tab w:val="left" w:pos="851"/>
        </w:tabs>
        <w:ind w:left="851"/>
        <w:rPr>
          <w:sz w:val="24"/>
          <w:szCs w:val="24"/>
        </w:rPr>
      </w:pPr>
      <w:r w:rsidRPr="005F01EC">
        <w:rPr>
          <w:sz w:val="24"/>
          <w:szCs w:val="24"/>
        </w:rPr>
        <w:t>Samtidig brug af lægemidlerne, methotrexat og acetylsalicylsyre, kan øge methotrexats hæmatologiske toksicitet idet acetylsalicylsyre nedsætter den renale clearance af methotrexat. Der bør foretages ugentlige blodtællingskontroller i de første uger af kombinationsbehandlingen. Der bør foretages øget overvågning ved selv mild, nedsat nyrefunktion samt hos ældre.</w:t>
      </w:r>
    </w:p>
    <w:p w14:paraId="10DA0400" w14:textId="77777777" w:rsidR="005F01EC" w:rsidRPr="005F01EC" w:rsidRDefault="005F01EC" w:rsidP="005F01EC">
      <w:pPr>
        <w:tabs>
          <w:tab w:val="left" w:pos="851"/>
        </w:tabs>
        <w:ind w:left="851"/>
        <w:rPr>
          <w:sz w:val="24"/>
          <w:szCs w:val="24"/>
        </w:rPr>
      </w:pPr>
    </w:p>
    <w:p w14:paraId="16D82C59" w14:textId="77777777" w:rsidR="005F01EC" w:rsidRPr="005F01EC" w:rsidRDefault="005F01EC" w:rsidP="005F01EC">
      <w:pPr>
        <w:tabs>
          <w:tab w:val="left" w:pos="851"/>
        </w:tabs>
        <w:ind w:left="851"/>
        <w:rPr>
          <w:i/>
          <w:sz w:val="24"/>
          <w:szCs w:val="24"/>
        </w:rPr>
      </w:pPr>
      <w:r w:rsidRPr="005F01EC">
        <w:rPr>
          <w:i/>
          <w:iCs/>
          <w:sz w:val="24"/>
          <w:szCs w:val="24"/>
        </w:rPr>
        <w:t>Andre NSAID'er</w:t>
      </w:r>
    </w:p>
    <w:p w14:paraId="7E2A1C95" w14:textId="77777777" w:rsidR="005F01EC" w:rsidRPr="005F01EC" w:rsidRDefault="005F01EC" w:rsidP="005F01EC">
      <w:pPr>
        <w:tabs>
          <w:tab w:val="left" w:pos="851"/>
        </w:tabs>
        <w:ind w:left="851"/>
        <w:rPr>
          <w:sz w:val="24"/>
          <w:szCs w:val="24"/>
        </w:rPr>
      </w:pPr>
      <w:r w:rsidRPr="005F01EC">
        <w:rPr>
          <w:sz w:val="24"/>
          <w:szCs w:val="24"/>
        </w:rPr>
        <w:t>Øget risiko for ulceration og gastrointestinal blødning som følge ad synergieffekten.</w:t>
      </w:r>
    </w:p>
    <w:p w14:paraId="3097808F" w14:textId="77777777" w:rsidR="005F01EC" w:rsidRPr="005F01EC" w:rsidRDefault="005F01EC" w:rsidP="005F01EC">
      <w:pPr>
        <w:tabs>
          <w:tab w:val="left" w:pos="851"/>
        </w:tabs>
        <w:ind w:left="851"/>
        <w:rPr>
          <w:sz w:val="24"/>
          <w:szCs w:val="24"/>
        </w:rPr>
      </w:pPr>
    </w:p>
    <w:p w14:paraId="3F2BAE50" w14:textId="77777777" w:rsidR="005F01EC" w:rsidRPr="005F01EC" w:rsidRDefault="005F01EC" w:rsidP="005F01EC">
      <w:pPr>
        <w:tabs>
          <w:tab w:val="left" w:pos="851"/>
        </w:tabs>
        <w:ind w:left="851"/>
        <w:rPr>
          <w:i/>
          <w:sz w:val="24"/>
          <w:szCs w:val="24"/>
        </w:rPr>
      </w:pPr>
      <w:r w:rsidRPr="005F01EC">
        <w:rPr>
          <w:i/>
          <w:iCs/>
          <w:sz w:val="24"/>
          <w:szCs w:val="24"/>
        </w:rPr>
        <w:t>Ibuprofen</w:t>
      </w:r>
    </w:p>
    <w:p w14:paraId="09CB0E07" w14:textId="77777777" w:rsidR="005F01EC" w:rsidRPr="005F01EC" w:rsidRDefault="005F01EC" w:rsidP="005F01EC">
      <w:pPr>
        <w:tabs>
          <w:tab w:val="left" w:pos="851"/>
        </w:tabs>
        <w:ind w:left="851"/>
        <w:rPr>
          <w:sz w:val="24"/>
          <w:szCs w:val="24"/>
        </w:rPr>
      </w:pPr>
      <w:r w:rsidRPr="005F01EC">
        <w:rPr>
          <w:sz w:val="24"/>
          <w:szCs w:val="24"/>
        </w:rPr>
        <w:t>Forsøgsdata peger på, at ibuprofen kan hæmme den effekt små doser acetylsalicylsyre har på aggregationen af blodplader, hvis de indgives samtidigt. De begrænsede data og usikkerheden vedrørende ekstrapolationen af ex vivo-data i forhold til den kliniske situation betyder imidlertid, at der ikke kan udledes endelige konklusioner om regelmæssig brug af ibuprofen, og der er formentlig ingen klinisk relevant effekt af periodisk brug (se pkt. 5.1).</w:t>
      </w:r>
    </w:p>
    <w:p w14:paraId="4DE5E9A6" w14:textId="77777777" w:rsidR="005F01EC" w:rsidRPr="005F01EC" w:rsidRDefault="005F01EC" w:rsidP="005F01EC">
      <w:pPr>
        <w:tabs>
          <w:tab w:val="left" w:pos="851"/>
        </w:tabs>
        <w:ind w:left="851"/>
        <w:rPr>
          <w:sz w:val="24"/>
          <w:szCs w:val="24"/>
        </w:rPr>
      </w:pPr>
    </w:p>
    <w:p w14:paraId="08416D9C" w14:textId="77777777" w:rsidR="005F01EC" w:rsidRPr="005F01EC" w:rsidRDefault="005F01EC" w:rsidP="005F01EC">
      <w:pPr>
        <w:tabs>
          <w:tab w:val="left" w:pos="851"/>
        </w:tabs>
        <w:ind w:left="851"/>
        <w:rPr>
          <w:i/>
          <w:sz w:val="24"/>
          <w:szCs w:val="24"/>
        </w:rPr>
      </w:pPr>
      <w:r w:rsidRPr="005F01EC">
        <w:rPr>
          <w:i/>
          <w:iCs/>
          <w:sz w:val="24"/>
          <w:szCs w:val="24"/>
        </w:rPr>
        <w:t>Metamizol</w:t>
      </w:r>
    </w:p>
    <w:p w14:paraId="5116A727" w14:textId="77777777" w:rsidR="005F01EC" w:rsidRPr="005F01EC" w:rsidRDefault="005F01EC" w:rsidP="005F01EC">
      <w:pPr>
        <w:tabs>
          <w:tab w:val="left" w:pos="851"/>
        </w:tabs>
        <w:ind w:left="851"/>
        <w:rPr>
          <w:sz w:val="24"/>
          <w:szCs w:val="24"/>
        </w:rPr>
      </w:pPr>
      <w:r w:rsidRPr="005F01EC">
        <w:rPr>
          <w:sz w:val="24"/>
          <w:szCs w:val="24"/>
        </w:rPr>
        <w:t>Metamizol kan reducere acetylsalicylsyres effekt på trombocytaggregationen ved samtidig indtagelse. Derfor bør denne kombination anvendes med forsigtighed hos patienter, der tager lave doser acetylsalicylsyre til hjertebeskyttelse.</w:t>
      </w:r>
    </w:p>
    <w:p w14:paraId="52CA20BC" w14:textId="77777777" w:rsidR="00AC5296" w:rsidRDefault="00AC5296" w:rsidP="005F01EC">
      <w:pPr>
        <w:tabs>
          <w:tab w:val="left" w:pos="851"/>
        </w:tabs>
        <w:ind w:left="851"/>
        <w:rPr>
          <w:i/>
          <w:iCs/>
          <w:sz w:val="24"/>
          <w:szCs w:val="24"/>
        </w:rPr>
      </w:pPr>
    </w:p>
    <w:p w14:paraId="6D1766D2" w14:textId="53933E4E" w:rsidR="005F01EC" w:rsidRPr="005F01EC" w:rsidRDefault="005F01EC" w:rsidP="005F01EC">
      <w:pPr>
        <w:tabs>
          <w:tab w:val="left" w:pos="851"/>
        </w:tabs>
        <w:ind w:left="851"/>
        <w:rPr>
          <w:i/>
          <w:sz w:val="24"/>
          <w:szCs w:val="24"/>
        </w:rPr>
      </w:pPr>
      <w:r w:rsidRPr="005F01EC">
        <w:rPr>
          <w:i/>
          <w:iCs/>
          <w:sz w:val="24"/>
          <w:szCs w:val="24"/>
        </w:rPr>
        <w:t>Ciclosporin, tacrolimus</w:t>
      </w:r>
    </w:p>
    <w:p w14:paraId="35D07675" w14:textId="77777777" w:rsidR="005F01EC" w:rsidRPr="005F01EC" w:rsidRDefault="005F01EC" w:rsidP="005F01EC">
      <w:pPr>
        <w:tabs>
          <w:tab w:val="left" w:pos="851"/>
        </w:tabs>
        <w:ind w:left="851"/>
        <w:rPr>
          <w:sz w:val="24"/>
          <w:szCs w:val="24"/>
        </w:rPr>
      </w:pPr>
      <w:r w:rsidRPr="005F01EC">
        <w:rPr>
          <w:sz w:val="24"/>
          <w:szCs w:val="24"/>
        </w:rPr>
        <w:t>Samtidig brug af NSAID'er og ciclosporin eller tacrolimus kan øge den nefrotoksiske virkning af ciclosporin og tacrolimus. Nyrefunktionen bør overvåges ved samtidig brug af disse midler med acetylsalicylsyre.</w:t>
      </w:r>
    </w:p>
    <w:p w14:paraId="195D3D33" w14:textId="77777777" w:rsidR="005F01EC" w:rsidRPr="005F01EC" w:rsidRDefault="005F01EC" w:rsidP="005F01EC">
      <w:pPr>
        <w:tabs>
          <w:tab w:val="left" w:pos="851"/>
        </w:tabs>
        <w:ind w:left="851"/>
        <w:rPr>
          <w:sz w:val="24"/>
          <w:szCs w:val="24"/>
        </w:rPr>
      </w:pPr>
    </w:p>
    <w:p w14:paraId="29018713" w14:textId="77777777" w:rsidR="005F01EC" w:rsidRPr="005F01EC" w:rsidRDefault="005F01EC" w:rsidP="005F01EC">
      <w:pPr>
        <w:tabs>
          <w:tab w:val="left" w:pos="851"/>
        </w:tabs>
        <w:ind w:left="851"/>
        <w:rPr>
          <w:i/>
          <w:sz w:val="24"/>
          <w:szCs w:val="24"/>
        </w:rPr>
      </w:pPr>
      <w:r w:rsidRPr="005F01EC">
        <w:rPr>
          <w:i/>
          <w:iCs/>
          <w:sz w:val="24"/>
          <w:szCs w:val="24"/>
        </w:rPr>
        <w:t>Syreneutraliserende midler</w:t>
      </w:r>
    </w:p>
    <w:p w14:paraId="3AA7AA8F" w14:textId="77777777" w:rsidR="005F01EC" w:rsidRPr="005F01EC" w:rsidRDefault="005F01EC" w:rsidP="005F01EC">
      <w:pPr>
        <w:tabs>
          <w:tab w:val="left" w:pos="851"/>
        </w:tabs>
        <w:ind w:left="851"/>
        <w:rPr>
          <w:sz w:val="24"/>
          <w:szCs w:val="24"/>
        </w:rPr>
      </w:pPr>
      <w:r w:rsidRPr="005F01EC">
        <w:rPr>
          <w:sz w:val="24"/>
          <w:szCs w:val="24"/>
        </w:rPr>
        <w:t>Udskillelsen af acetylsalicylsyre øges af alkalisk urin, hvilket kan forekomme ved brug af visse antacida.</w:t>
      </w:r>
    </w:p>
    <w:p w14:paraId="4D4714CD" w14:textId="77777777" w:rsidR="005F01EC" w:rsidRPr="005F01EC" w:rsidRDefault="005F01EC" w:rsidP="005F01EC">
      <w:pPr>
        <w:tabs>
          <w:tab w:val="left" w:pos="851"/>
        </w:tabs>
        <w:ind w:left="851"/>
        <w:rPr>
          <w:i/>
          <w:iCs/>
          <w:sz w:val="24"/>
          <w:szCs w:val="24"/>
        </w:rPr>
      </w:pPr>
    </w:p>
    <w:p w14:paraId="3AF5E90B" w14:textId="77777777" w:rsidR="005F01EC" w:rsidRPr="005F01EC" w:rsidRDefault="005F01EC" w:rsidP="005F01EC">
      <w:pPr>
        <w:tabs>
          <w:tab w:val="left" w:pos="851"/>
        </w:tabs>
        <w:ind w:left="851"/>
        <w:rPr>
          <w:i/>
          <w:sz w:val="24"/>
          <w:szCs w:val="24"/>
        </w:rPr>
      </w:pPr>
      <w:r w:rsidRPr="005F01EC">
        <w:rPr>
          <w:i/>
          <w:iCs/>
          <w:sz w:val="24"/>
          <w:szCs w:val="24"/>
        </w:rPr>
        <w:t>Alkohol</w:t>
      </w:r>
    </w:p>
    <w:p w14:paraId="06FA2C68" w14:textId="1ABAF14B" w:rsidR="005F01EC" w:rsidRPr="005F01EC" w:rsidRDefault="005F01EC" w:rsidP="005F01EC">
      <w:pPr>
        <w:tabs>
          <w:tab w:val="left" w:pos="851"/>
        </w:tabs>
        <w:ind w:left="851"/>
        <w:rPr>
          <w:sz w:val="24"/>
          <w:szCs w:val="24"/>
        </w:rPr>
      </w:pPr>
      <w:r w:rsidRPr="005F01EC">
        <w:rPr>
          <w:sz w:val="24"/>
          <w:szCs w:val="24"/>
        </w:rPr>
        <w:t>Samtidig indtagelse af alkohol og acetylsalicylsyre øger risikoen for gastrointestinal blødning</w:t>
      </w:r>
      <w:r w:rsidR="00AC5296">
        <w:rPr>
          <w:sz w:val="24"/>
          <w:szCs w:val="24"/>
        </w:rPr>
        <w:t>.</w:t>
      </w:r>
    </w:p>
    <w:p w14:paraId="69DCCC62" w14:textId="77777777" w:rsidR="009260DE" w:rsidRPr="00C84483" w:rsidRDefault="009260DE" w:rsidP="009260DE">
      <w:pPr>
        <w:tabs>
          <w:tab w:val="left" w:pos="851"/>
        </w:tabs>
        <w:ind w:left="851"/>
        <w:rPr>
          <w:sz w:val="24"/>
          <w:szCs w:val="24"/>
        </w:rPr>
      </w:pPr>
    </w:p>
    <w:p w14:paraId="5699B819"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2B1F89F2" w14:textId="77777777" w:rsidR="00FD1789" w:rsidRPr="009861F3" w:rsidRDefault="00FD1789" w:rsidP="00FD1789">
      <w:pPr>
        <w:tabs>
          <w:tab w:val="left" w:pos="851"/>
        </w:tabs>
        <w:ind w:left="851"/>
        <w:rPr>
          <w:b/>
          <w:sz w:val="24"/>
          <w:szCs w:val="24"/>
        </w:rPr>
      </w:pPr>
    </w:p>
    <w:p w14:paraId="73FBDD6E" w14:textId="77777777" w:rsidR="00FD1789" w:rsidRPr="00FD1789" w:rsidRDefault="00FD1789" w:rsidP="00FD1789">
      <w:pPr>
        <w:tabs>
          <w:tab w:val="left" w:pos="851"/>
        </w:tabs>
        <w:ind w:left="851"/>
        <w:rPr>
          <w:sz w:val="24"/>
          <w:szCs w:val="24"/>
        </w:rPr>
      </w:pPr>
      <w:r w:rsidRPr="00FD1789">
        <w:rPr>
          <w:sz w:val="24"/>
          <w:szCs w:val="24"/>
          <w:u w:val="single"/>
        </w:rPr>
        <w:t>Graviditet</w:t>
      </w:r>
    </w:p>
    <w:p w14:paraId="112808B8" w14:textId="77777777" w:rsidR="00FD1789" w:rsidRDefault="00FD1789" w:rsidP="00FD1789">
      <w:pPr>
        <w:tabs>
          <w:tab w:val="left" w:pos="851"/>
        </w:tabs>
        <w:ind w:left="851"/>
        <w:rPr>
          <w:i/>
          <w:iCs/>
          <w:sz w:val="24"/>
          <w:szCs w:val="24"/>
        </w:rPr>
      </w:pPr>
    </w:p>
    <w:p w14:paraId="206AC0F8" w14:textId="47E324CE" w:rsidR="00FD1789" w:rsidRPr="00FD1789" w:rsidRDefault="00FD1789" w:rsidP="00FD1789">
      <w:pPr>
        <w:tabs>
          <w:tab w:val="left" w:pos="851"/>
        </w:tabs>
        <w:ind w:left="851"/>
        <w:rPr>
          <w:i/>
          <w:sz w:val="24"/>
          <w:szCs w:val="24"/>
        </w:rPr>
      </w:pPr>
      <w:r w:rsidRPr="00FD1789">
        <w:rPr>
          <w:i/>
          <w:iCs/>
          <w:sz w:val="24"/>
          <w:szCs w:val="24"/>
        </w:rPr>
        <w:t>Lave doser (op til og med 100 mg/dag)</w:t>
      </w:r>
    </w:p>
    <w:p w14:paraId="3A79B53F" w14:textId="77777777" w:rsidR="00FD1789" w:rsidRPr="00FD1789" w:rsidRDefault="00FD1789" w:rsidP="00FD1789">
      <w:pPr>
        <w:tabs>
          <w:tab w:val="left" w:pos="851"/>
        </w:tabs>
        <w:ind w:left="851"/>
        <w:rPr>
          <w:sz w:val="24"/>
          <w:szCs w:val="24"/>
        </w:rPr>
      </w:pPr>
      <w:r w:rsidRPr="00FD1789">
        <w:rPr>
          <w:sz w:val="24"/>
          <w:szCs w:val="24"/>
        </w:rPr>
        <w:t>Kliniske forsøg viser, at doser på op til 100 mg/dag ved begrænset obstetrisk brug, som kræver særlig overvågning, formentling er sikre.</w:t>
      </w:r>
    </w:p>
    <w:p w14:paraId="6A2B12D7" w14:textId="77777777" w:rsidR="00FD1789" w:rsidRPr="00FD1789" w:rsidRDefault="00FD1789" w:rsidP="00FD1789">
      <w:pPr>
        <w:tabs>
          <w:tab w:val="left" w:pos="851"/>
        </w:tabs>
        <w:ind w:left="851"/>
        <w:rPr>
          <w:sz w:val="24"/>
          <w:szCs w:val="24"/>
        </w:rPr>
      </w:pPr>
    </w:p>
    <w:p w14:paraId="47305F87" w14:textId="7007C1E2" w:rsidR="00FD1789" w:rsidRPr="00FD1789" w:rsidRDefault="00FD1789" w:rsidP="00FD1789">
      <w:pPr>
        <w:tabs>
          <w:tab w:val="left" w:pos="851"/>
        </w:tabs>
        <w:ind w:left="851"/>
        <w:rPr>
          <w:i/>
          <w:sz w:val="24"/>
          <w:szCs w:val="24"/>
        </w:rPr>
      </w:pPr>
      <w:r w:rsidRPr="00FD1789">
        <w:rPr>
          <w:i/>
          <w:iCs/>
          <w:sz w:val="24"/>
          <w:szCs w:val="24"/>
        </w:rPr>
        <w:t>Doser på over 100 mg/dag. og op til 500 mg/dag</w:t>
      </w:r>
    </w:p>
    <w:p w14:paraId="25CD897F" w14:textId="77777777" w:rsidR="00FD1789" w:rsidRPr="00FD1789" w:rsidRDefault="00FD1789" w:rsidP="00FD1789">
      <w:pPr>
        <w:tabs>
          <w:tab w:val="left" w:pos="851"/>
        </w:tabs>
        <w:ind w:left="851"/>
        <w:rPr>
          <w:sz w:val="24"/>
          <w:szCs w:val="24"/>
        </w:rPr>
      </w:pPr>
      <w:r w:rsidRPr="00FD1789">
        <w:rPr>
          <w:sz w:val="24"/>
          <w:szCs w:val="24"/>
        </w:rPr>
        <w:t>Der er utilstrækkelig klinisk erfaring med doser på over 100 mg/dag og op til 500 mg/dag Derfor gælder nedenstående anbefalinger for doser på 500 mg/dag og derover også for dette dosisinterval.</w:t>
      </w:r>
    </w:p>
    <w:p w14:paraId="5920A39A" w14:textId="77777777" w:rsidR="00FD1789" w:rsidRPr="00FD1789" w:rsidRDefault="00FD1789" w:rsidP="00FD1789">
      <w:pPr>
        <w:tabs>
          <w:tab w:val="left" w:pos="851"/>
        </w:tabs>
        <w:ind w:left="851"/>
        <w:rPr>
          <w:sz w:val="24"/>
          <w:szCs w:val="24"/>
        </w:rPr>
      </w:pPr>
    </w:p>
    <w:p w14:paraId="54313C50" w14:textId="77777777" w:rsidR="00FD1789" w:rsidRPr="00FD1789" w:rsidRDefault="00FD1789" w:rsidP="00FD1789">
      <w:pPr>
        <w:tabs>
          <w:tab w:val="left" w:pos="851"/>
        </w:tabs>
        <w:ind w:left="851"/>
        <w:rPr>
          <w:sz w:val="24"/>
          <w:szCs w:val="24"/>
        </w:rPr>
      </w:pPr>
      <w:r w:rsidRPr="00FD1789">
        <w:rPr>
          <w:i/>
          <w:iCs/>
          <w:sz w:val="24"/>
          <w:szCs w:val="24"/>
        </w:rPr>
        <w:t>Doser på 500 mg/dag og derover</w:t>
      </w:r>
    </w:p>
    <w:p w14:paraId="7FE39C14" w14:textId="77777777" w:rsidR="00FD1789" w:rsidRPr="00FD1789" w:rsidRDefault="00FD1789" w:rsidP="00FD1789">
      <w:pPr>
        <w:tabs>
          <w:tab w:val="left" w:pos="851"/>
        </w:tabs>
        <w:ind w:left="851"/>
        <w:rPr>
          <w:sz w:val="24"/>
          <w:szCs w:val="24"/>
        </w:rPr>
      </w:pPr>
      <w:r w:rsidRPr="00FD1789">
        <w:rPr>
          <w:sz w:val="24"/>
          <w:szCs w:val="24"/>
        </w:rPr>
        <w:t xml:space="preserve">Hæmning af prostaglandinsyntesen kan have en negativ indvirkning på graviditeten og/eller fosterudvikling. Data fra epidemiologiske studier tyder på en øget risiko for abort, hjertefejl og gastroschisis efter brug af en prostaglandinsyntesehæmmer under den tidlige graviditet. Den absolutte risiko for kardiovaskulær misdannelse steg fra under 1 % til ca. 1,5 %. Risikoen menes at stige med dosis og behandlingsvarighed. Hos dyr har administration af en prostaglandinsyntesehæmmer vist sig at medføre øget præ- og postimplantationsabort og embryoføtal dødelighed. Derudover er der rapporteret øget forekomst af forskellige mis-dannelser, herunder kardiovaskulære, hos dyr, der har fået en prostaglandinsyntesehæmmer i den organogenetiske periode. </w:t>
      </w:r>
    </w:p>
    <w:p w14:paraId="59E7B55B" w14:textId="77777777" w:rsidR="00FD1789" w:rsidRPr="00FD1789" w:rsidRDefault="00FD1789" w:rsidP="00FD1789">
      <w:pPr>
        <w:tabs>
          <w:tab w:val="left" w:pos="851"/>
        </w:tabs>
        <w:ind w:left="851"/>
        <w:rPr>
          <w:sz w:val="24"/>
          <w:szCs w:val="24"/>
        </w:rPr>
      </w:pPr>
    </w:p>
    <w:p w14:paraId="29255B45" w14:textId="77777777" w:rsidR="00FD1789" w:rsidRPr="00FD1789" w:rsidRDefault="00FD1789" w:rsidP="00FD1789">
      <w:pPr>
        <w:tabs>
          <w:tab w:val="left" w:pos="851"/>
        </w:tabs>
        <w:ind w:left="851"/>
        <w:rPr>
          <w:sz w:val="24"/>
          <w:szCs w:val="24"/>
        </w:rPr>
      </w:pPr>
      <w:r w:rsidRPr="00FD1789">
        <w:rPr>
          <w:sz w:val="24"/>
          <w:szCs w:val="24"/>
        </w:rPr>
        <w:t xml:space="preserve">Fra den 20. graviditetsuge og fremefter kan anvendelse forårsage oligohydramnios som følge af føtal nyredysfunktion. Dette kan forekomme umiddelbart efter behandlingsstart og er normalt reversibelt ved seponering. Derudover har der været rapporter om ductus arteriosus konstriktion efter behandling i andet trimester, hvoraf hovedparten forsvandt efter afslutning på behandling. Derfor bør acetylsalicylsyre ikke anvendes under graviditetens første og andet trimester,  medmindre det er tvingende nødvendigt. Hvis acetylsalicylsyre anvendes af en kvinde, der forsøger at blive gravid, eller er i første eller andet trimester af graviditeten, skal dosis holdes så lav og behandlingsvarigheden så kort som muligt. </w:t>
      </w:r>
    </w:p>
    <w:p w14:paraId="192B3F89" w14:textId="77777777" w:rsidR="00FD1789" w:rsidRPr="00FD1789" w:rsidRDefault="00FD1789" w:rsidP="00FD1789">
      <w:pPr>
        <w:tabs>
          <w:tab w:val="left" w:pos="851"/>
        </w:tabs>
        <w:ind w:left="851"/>
        <w:rPr>
          <w:sz w:val="24"/>
          <w:szCs w:val="24"/>
        </w:rPr>
      </w:pPr>
      <w:r w:rsidRPr="00FD1789">
        <w:rPr>
          <w:sz w:val="24"/>
          <w:szCs w:val="24"/>
        </w:rPr>
        <w:t>Efter 20. graviditetsuge bør prænatal overvågning for oligohydramnios og ductus arteriosus konstriktion overvejes efter eksponering af acetylsalicylsyre i flere dage. Hvis oligohydramnios eller ductus arteriosus konstriktion konstateres, bør acetylsalicylsyre seponeres.</w:t>
      </w:r>
    </w:p>
    <w:p w14:paraId="2B31199A" w14:textId="77777777" w:rsidR="00FD1789" w:rsidRPr="00FD1789" w:rsidRDefault="00FD1789" w:rsidP="00FD1789">
      <w:pPr>
        <w:tabs>
          <w:tab w:val="left" w:pos="851"/>
        </w:tabs>
        <w:ind w:left="851"/>
        <w:rPr>
          <w:sz w:val="24"/>
          <w:szCs w:val="24"/>
        </w:rPr>
      </w:pPr>
      <w:r w:rsidRPr="00FD1789">
        <w:rPr>
          <w:sz w:val="24"/>
          <w:szCs w:val="24"/>
        </w:rPr>
        <w:t xml:space="preserve"> </w:t>
      </w:r>
    </w:p>
    <w:p w14:paraId="15AFF094" w14:textId="77777777" w:rsidR="00FD1789" w:rsidRPr="00FD1789" w:rsidRDefault="00FD1789" w:rsidP="00FD1789">
      <w:pPr>
        <w:tabs>
          <w:tab w:val="left" w:pos="851"/>
        </w:tabs>
        <w:ind w:left="851"/>
        <w:rPr>
          <w:sz w:val="24"/>
          <w:szCs w:val="24"/>
        </w:rPr>
      </w:pPr>
      <w:r w:rsidRPr="00FD1789">
        <w:rPr>
          <w:sz w:val="24"/>
          <w:szCs w:val="24"/>
        </w:rPr>
        <w:t>I graviditetens tredje trimester kan alle prostaglandinsyntesehæmmere udsætte fosteret for:</w:t>
      </w:r>
    </w:p>
    <w:p w14:paraId="19AD2A1F" w14:textId="77777777" w:rsidR="00FD1789" w:rsidRPr="00FD1789" w:rsidRDefault="00FD1789" w:rsidP="00FD1789">
      <w:pPr>
        <w:numPr>
          <w:ilvl w:val="0"/>
          <w:numId w:val="7"/>
        </w:numPr>
        <w:tabs>
          <w:tab w:val="left" w:pos="851"/>
        </w:tabs>
        <w:ind w:left="1134" w:hanging="283"/>
        <w:rPr>
          <w:sz w:val="24"/>
          <w:szCs w:val="24"/>
        </w:rPr>
      </w:pPr>
      <w:r w:rsidRPr="00FD1789">
        <w:rPr>
          <w:sz w:val="24"/>
          <w:szCs w:val="24"/>
        </w:rPr>
        <w:t>kardiopulmonal toksicitet (for tidlig lukning af ductus arteriosus og pulmonal hypertension)</w:t>
      </w:r>
    </w:p>
    <w:p w14:paraId="23359E43" w14:textId="0E89B461" w:rsidR="00FD1789" w:rsidRPr="00FD1789" w:rsidRDefault="00FD1789" w:rsidP="00FD1789">
      <w:pPr>
        <w:numPr>
          <w:ilvl w:val="0"/>
          <w:numId w:val="7"/>
        </w:numPr>
        <w:tabs>
          <w:tab w:val="left" w:pos="851"/>
        </w:tabs>
        <w:ind w:left="1134" w:hanging="283"/>
        <w:rPr>
          <w:sz w:val="24"/>
          <w:szCs w:val="24"/>
          <w:lang w:val="en-US"/>
        </w:rPr>
      </w:pPr>
      <w:r w:rsidRPr="00FD1789">
        <w:rPr>
          <w:sz w:val="24"/>
          <w:szCs w:val="24"/>
          <w:lang w:val="en-US"/>
        </w:rPr>
        <w:t xml:space="preserve">nedsat </w:t>
      </w:r>
      <w:r w:rsidRPr="00FD1789">
        <w:rPr>
          <w:sz w:val="24"/>
          <w:szCs w:val="24"/>
        </w:rPr>
        <w:t>nyrefunktion (se ovenfor)</w:t>
      </w:r>
    </w:p>
    <w:p w14:paraId="53D9AE80" w14:textId="77777777" w:rsidR="00FD1789" w:rsidRPr="00FD1789" w:rsidRDefault="00FD1789" w:rsidP="00FD1789">
      <w:pPr>
        <w:tabs>
          <w:tab w:val="left" w:pos="851"/>
        </w:tabs>
        <w:ind w:left="1134"/>
        <w:rPr>
          <w:sz w:val="24"/>
          <w:szCs w:val="24"/>
          <w:lang w:val="en-US"/>
        </w:rPr>
      </w:pPr>
    </w:p>
    <w:p w14:paraId="5B053041" w14:textId="77777777" w:rsidR="00FD1789" w:rsidRPr="00FD1789" w:rsidRDefault="00FD1789" w:rsidP="00FD1789">
      <w:pPr>
        <w:tabs>
          <w:tab w:val="left" w:pos="851"/>
        </w:tabs>
        <w:ind w:left="1134" w:hanging="283"/>
        <w:rPr>
          <w:sz w:val="24"/>
          <w:szCs w:val="24"/>
        </w:rPr>
      </w:pPr>
      <w:r w:rsidRPr="00FD1789">
        <w:rPr>
          <w:sz w:val="24"/>
          <w:szCs w:val="24"/>
        </w:rPr>
        <w:t>Moderen og det nyfødte barn ved graviditetens afslutning for:</w:t>
      </w:r>
    </w:p>
    <w:p w14:paraId="71190520" w14:textId="77777777" w:rsidR="00FD1789" w:rsidRPr="00FD1789" w:rsidRDefault="00FD1789" w:rsidP="00FD1789">
      <w:pPr>
        <w:numPr>
          <w:ilvl w:val="0"/>
          <w:numId w:val="7"/>
        </w:numPr>
        <w:tabs>
          <w:tab w:val="left" w:pos="851"/>
        </w:tabs>
        <w:ind w:left="1134" w:hanging="283"/>
        <w:rPr>
          <w:sz w:val="24"/>
          <w:szCs w:val="24"/>
        </w:rPr>
      </w:pPr>
      <w:r w:rsidRPr="00FD1789">
        <w:rPr>
          <w:sz w:val="24"/>
          <w:szCs w:val="24"/>
        </w:rPr>
        <w:t>mulig forlængelse af blødningstiden, en antiaggregerende virkning, som kan forekomme selv ved meget lave doser</w:t>
      </w:r>
    </w:p>
    <w:p w14:paraId="67E6A2D2" w14:textId="6108465B" w:rsidR="00FD1789" w:rsidRDefault="00FD1789" w:rsidP="00FD1789">
      <w:pPr>
        <w:numPr>
          <w:ilvl w:val="0"/>
          <w:numId w:val="7"/>
        </w:numPr>
        <w:tabs>
          <w:tab w:val="left" w:pos="851"/>
        </w:tabs>
        <w:ind w:left="1134" w:hanging="283"/>
        <w:rPr>
          <w:sz w:val="24"/>
          <w:szCs w:val="24"/>
        </w:rPr>
      </w:pPr>
      <w:r w:rsidRPr="00FD1789">
        <w:rPr>
          <w:sz w:val="24"/>
          <w:szCs w:val="24"/>
        </w:rPr>
        <w:t>hæmning af uterine kontraktioner, hvilket resulterer i forsinket eller forlænget fødselsveer.</w:t>
      </w:r>
    </w:p>
    <w:p w14:paraId="157FF371" w14:textId="77777777" w:rsidR="00FD1789" w:rsidRPr="00FD1789" w:rsidRDefault="00FD1789" w:rsidP="00FD1789">
      <w:pPr>
        <w:tabs>
          <w:tab w:val="left" w:pos="851"/>
        </w:tabs>
        <w:ind w:left="1134"/>
        <w:rPr>
          <w:sz w:val="24"/>
          <w:szCs w:val="24"/>
        </w:rPr>
      </w:pPr>
    </w:p>
    <w:p w14:paraId="1601386B" w14:textId="02A4F100" w:rsidR="00FD1789" w:rsidRDefault="00FD1789" w:rsidP="00FD1789">
      <w:pPr>
        <w:tabs>
          <w:tab w:val="left" w:pos="851"/>
        </w:tabs>
        <w:ind w:left="851"/>
        <w:rPr>
          <w:sz w:val="24"/>
          <w:szCs w:val="24"/>
        </w:rPr>
      </w:pPr>
      <w:r w:rsidRPr="00FD1789">
        <w:rPr>
          <w:sz w:val="24"/>
          <w:szCs w:val="24"/>
        </w:rPr>
        <w:lastRenderedPageBreak/>
        <w:t>Derfor er acetylsalicylsyre i doser på over 100 mg/dag kontraindiceret i graviditetens tredje trimester (se pkt. 4.3). Doser på op til og med 100 mg/dag kan anvendes under streng obstetrisk overvågning.</w:t>
      </w:r>
    </w:p>
    <w:p w14:paraId="0CBE3936" w14:textId="77777777" w:rsidR="00FD1789" w:rsidRPr="00FD1789" w:rsidRDefault="00FD1789" w:rsidP="00FD1789">
      <w:pPr>
        <w:tabs>
          <w:tab w:val="left" w:pos="851"/>
        </w:tabs>
        <w:ind w:left="851"/>
        <w:rPr>
          <w:sz w:val="24"/>
          <w:szCs w:val="24"/>
        </w:rPr>
      </w:pPr>
    </w:p>
    <w:p w14:paraId="47DE2A73" w14:textId="77777777" w:rsidR="00FD1789" w:rsidRPr="00FD1789" w:rsidRDefault="00FD1789" w:rsidP="00FD1789">
      <w:pPr>
        <w:tabs>
          <w:tab w:val="left" w:pos="851"/>
        </w:tabs>
        <w:ind w:left="851"/>
        <w:rPr>
          <w:sz w:val="24"/>
          <w:szCs w:val="24"/>
        </w:rPr>
      </w:pPr>
      <w:r w:rsidRPr="00FD1789">
        <w:rPr>
          <w:sz w:val="24"/>
          <w:szCs w:val="24"/>
          <w:u w:val="single"/>
        </w:rPr>
        <w:t>Amning</w:t>
      </w:r>
    </w:p>
    <w:p w14:paraId="310F65DB" w14:textId="77777777" w:rsidR="00FD1789" w:rsidRPr="00FD1789" w:rsidRDefault="00FD1789" w:rsidP="00FD1789">
      <w:pPr>
        <w:tabs>
          <w:tab w:val="left" w:pos="851"/>
        </w:tabs>
        <w:ind w:left="851"/>
        <w:rPr>
          <w:sz w:val="24"/>
          <w:szCs w:val="24"/>
        </w:rPr>
      </w:pPr>
      <w:r w:rsidRPr="00FD1789">
        <w:rPr>
          <w:sz w:val="24"/>
          <w:szCs w:val="24"/>
        </w:rPr>
        <w:t>Der udskilles små mængder salicylater og deres metabolitter i modermælken. Da der hidtil ikke er rapporteret om bivirkninger for spædbørn, er det ikke nødvendigt at afbryde amningen ved kortvarig brug af den anbefalede dosis. Ved langvarig brug og/eller administration af højere doser bør amning afbrydes.</w:t>
      </w:r>
    </w:p>
    <w:p w14:paraId="2A67DE60" w14:textId="77777777" w:rsidR="009260DE" w:rsidRPr="00C84483" w:rsidRDefault="009260DE" w:rsidP="009260DE">
      <w:pPr>
        <w:tabs>
          <w:tab w:val="left" w:pos="851"/>
        </w:tabs>
        <w:ind w:left="851"/>
        <w:rPr>
          <w:sz w:val="24"/>
          <w:szCs w:val="24"/>
        </w:rPr>
      </w:pPr>
    </w:p>
    <w:p w14:paraId="6DCAC14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644F5E56" w14:textId="6B38039E" w:rsidR="00FD1789" w:rsidRPr="00FD1789" w:rsidRDefault="00FD1789" w:rsidP="00FD1789">
      <w:pPr>
        <w:tabs>
          <w:tab w:val="left" w:pos="851"/>
        </w:tabs>
        <w:ind w:left="851"/>
        <w:rPr>
          <w:sz w:val="24"/>
          <w:szCs w:val="24"/>
        </w:rPr>
      </w:pPr>
      <w:r w:rsidRPr="00FD1789">
        <w:rPr>
          <w:sz w:val="24"/>
          <w:szCs w:val="24"/>
        </w:rPr>
        <w:t>Ikke mærkning</w:t>
      </w:r>
      <w:r>
        <w:rPr>
          <w:sz w:val="24"/>
          <w:szCs w:val="24"/>
        </w:rPr>
        <w:t>.</w:t>
      </w:r>
    </w:p>
    <w:p w14:paraId="53E2E34E" w14:textId="77777777" w:rsidR="00FD1789" w:rsidRPr="00FD1789" w:rsidRDefault="00FD1789" w:rsidP="00FD1789">
      <w:pPr>
        <w:tabs>
          <w:tab w:val="left" w:pos="851"/>
        </w:tabs>
        <w:ind w:left="851"/>
        <w:rPr>
          <w:sz w:val="24"/>
          <w:szCs w:val="24"/>
        </w:rPr>
      </w:pPr>
      <w:r w:rsidRPr="00FD1789">
        <w:rPr>
          <w:sz w:val="24"/>
          <w:szCs w:val="24"/>
        </w:rPr>
        <w:t>Der er ikke lavet undersøgelser af virkningerne på evnen til at køre bil og betjene maskiner med Hjertelan. Baseret på de farmakodynamiske egenskaber og bivirkningerne af acetylsalicylsyre forventes der ingen indflydelse på reaktionsevnen og evnen til at køre bil eller betjene maskiner.</w:t>
      </w:r>
    </w:p>
    <w:p w14:paraId="6E5E2E52" w14:textId="77777777" w:rsidR="009260DE" w:rsidRPr="00C84483" w:rsidRDefault="009260DE" w:rsidP="009260DE">
      <w:pPr>
        <w:tabs>
          <w:tab w:val="left" w:pos="851"/>
        </w:tabs>
        <w:ind w:left="851"/>
        <w:rPr>
          <w:sz w:val="24"/>
          <w:szCs w:val="24"/>
        </w:rPr>
      </w:pPr>
    </w:p>
    <w:p w14:paraId="2E23E6BE"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98F4232" w14:textId="77777777" w:rsidR="00FD1789" w:rsidRPr="00143734" w:rsidRDefault="00FD1789" w:rsidP="00143734">
      <w:pPr>
        <w:pStyle w:val="Brdtekst"/>
        <w:ind w:left="851" w:right="356"/>
        <w:rPr>
          <w:sz w:val="24"/>
          <w:szCs w:val="24"/>
          <w:lang w:val="da-DK"/>
        </w:rPr>
      </w:pPr>
      <w:r w:rsidRPr="00143734">
        <w:rPr>
          <w:sz w:val="24"/>
          <w:szCs w:val="24"/>
          <w:lang w:val="da-DK"/>
        </w:rPr>
        <w:t>Bivirkninger er grupperet på basis af organklasse. Inden for hver organklasse defineres hyppigheden som: Meget almindelig (</w:t>
      </w:r>
      <w:r w:rsidRPr="00143734">
        <w:rPr>
          <w:sz w:val="24"/>
          <w:szCs w:val="24"/>
          <w:lang w:val="da-DK"/>
        </w:rPr>
        <w:sym w:font="Symbol" w:char="F0B3"/>
      </w:r>
      <w:r w:rsidRPr="00143734">
        <w:rPr>
          <w:sz w:val="24"/>
          <w:szCs w:val="24"/>
          <w:lang w:val="da-DK"/>
        </w:rPr>
        <w:t>1/10), almindelig (</w:t>
      </w:r>
      <w:r w:rsidRPr="00143734">
        <w:rPr>
          <w:sz w:val="24"/>
          <w:szCs w:val="24"/>
          <w:lang w:val="da-DK"/>
        </w:rPr>
        <w:sym w:font="Symbol" w:char="F0B3"/>
      </w:r>
      <w:r w:rsidRPr="00143734">
        <w:rPr>
          <w:sz w:val="24"/>
          <w:szCs w:val="24"/>
          <w:lang w:val="da-DK"/>
        </w:rPr>
        <w:t>1/100 til &lt;1/10), ikke almindelig (</w:t>
      </w:r>
      <w:r w:rsidRPr="00143734">
        <w:rPr>
          <w:sz w:val="24"/>
          <w:szCs w:val="24"/>
          <w:lang w:val="da-DK"/>
        </w:rPr>
        <w:sym w:font="Symbol" w:char="F0B3"/>
      </w:r>
      <w:r w:rsidRPr="00143734">
        <w:rPr>
          <w:sz w:val="24"/>
          <w:szCs w:val="24"/>
          <w:lang w:val="da-DK"/>
        </w:rPr>
        <w:t>1/1.000 til &lt;1/100), sjældne (</w:t>
      </w:r>
      <w:r w:rsidRPr="00143734">
        <w:rPr>
          <w:sz w:val="24"/>
          <w:szCs w:val="24"/>
          <w:lang w:val="da-DK"/>
        </w:rPr>
        <w:sym w:font="Symbol" w:char="F0B3"/>
      </w:r>
      <w:r w:rsidRPr="00143734">
        <w:rPr>
          <w:sz w:val="24"/>
          <w:szCs w:val="24"/>
          <w:lang w:val="da-DK"/>
        </w:rPr>
        <w:t>1/10.000 til &lt;1/1.000), meget sjælden (&lt;1/10.000) og ikke kendt (kan ikke vurderes ud fra foreliggende data).</w:t>
      </w:r>
    </w:p>
    <w:p w14:paraId="47EB54B3" w14:textId="77777777" w:rsidR="00FD1789" w:rsidRPr="00143734" w:rsidRDefault="00FD1789" w:rsidP="00143734">
      <w:pPr>
        <w:pStyle w:val="Brdtekst"/>
        <w:ind w:left="851"/>
        <w:rPr>
          <w:sz w:val="24"/>
          <w:szCs w:val="24"/>
          <w:lang w:val="da-DK"/>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7109"/>
      </w:tblGrid>
      <w:tr w:rsidR="00FD1789" w14:paraId="26EEF74A" w14:textId="77777777" w:rsidTr="00FD1789">
        <w:trPr>
          <w:trHeight w:val="3541"/>
        </w:trPr>
        <w:tc>
          <w:tcPr>
            <w:tcW w:w="2179" w:type="dxa"/>
            <w:tcBorders>
              <w:top w:val="single" w:sz="4" w:space="0" w:color="000000"/>
              <w:left w:val="single" w:sz="4" w:space="0" w:color="000000"/>
              <w:bottom w:val="single" w:sz="4" w:space="0" w:color="000000"/>
              <w:right w:val="single" w:sz="4" w:space="0" w:color="000000"/>
            </w:tcBorders>
            <w:hideMark/>
          </w:tcPr>
          <w:p w14:paraId="2A1D3D62" w14:textId="77777777" w:rsidR="00FD1789" w:rsidRDefault="00FD1789" w:rsidP="00FD1789">
            <w:pPr>
              <w:pStyle w:val="TableParagraph"/>
              <w:ind w:left="108"/>
              <w:rPr>
                <w:b/>
                <w:lang w:val="da-DK"/>
              </w:rPr>
            </w:pPr>
            <w:r>
              <w:rPr>
                <w:b/>
                <w:bCs/>
                <w:lang w:val="da-DK"/>
              </w:rPr>
              <w:t>Blod og lymfesystem</w:t>
            </w:r>
          </w:p>
        </w:tc>
        <w:tc>
          <w:tcPr>
            <w:tcW w:w="7109" w:type="dxa"/>
            <w:tcBorders>
              <w:top w:val="single" w:sz="4" w:space="0" w:color="000000"/>
              <w:left w:val="single" w:sz="4" w:space="0" w:color="000000"/>
              <w:bottom w:val="single" w:sz="4" w:space="0" w:color="000000"/>
              <w:right w:val="single" w:sz="4" w:space="0" w:color="000000"/>
            </w:tcBorders>
          </w:tcPr>
          <w:p w14:paraId="3EC890B9" w14:textId="77777777" w:rsidR="00FD1789" w:rsidRDefault="00FD1789">
            <w:pPr>
              <w:pStyle w:val="TableParagraph"/>
              <w:rPr>
                <w:i/>
                <w:lang w:val="da-DK"/>
              </w:rPr>
            </w:pPr>
            <w:r>
              <w:rPr>
                <w:u w:val="single"/>
                <w:lang w:val="da-DK"/>
              </w:rPr>
              <w:t>Almindelig</w:t>
            </w:r>
          </w:p>
          <w:p w14:paraId="2F64E4EC" w14:textId="77777777" w:rsidR="00FD1789" w:rsidRDefault="00FD1789">
            <w:pPr>
              <w:pStyle w:val="TableParagraph"/>
              <w:rPr>
                <w:lang w:val="da-DK"/>
              </w:rPr>
            </w:pPr>
            <w:r>
              <w:rPr>
                <w:lang w:val="da-DK"/>
              </w:rPr>
              <w:t>Øget blødningstendens.</w:t>
            </w:r>
          </w:p>
          <w:p w14:paraId="4CAEF1CC" w14:textId="77777777" w:rsidR="00FD1789" w:rsidRDefault="00FD1789">
            <w:pPr>
              <w:pStyle w:val="TableParagraph"/>
              <w:ind w:left="0"/>
              <w:rPr>
                <w:lang w:val="da-DK"/>
              </w:rPr>
            </w:pPr>
          </w:p>
          <w:p w14:paraId="6E7F048F" w14:textId="77777777" w:rsidR="00FD1789" w:rsidRDefault="00FD1789">
            <w:pPr>
              <w:pStyle w:val="TableParagraph"/>
              <w:rPr>
                <w:i/>
                <w:lang w:val="da-DK"/>
              </w:rPr>
            </w:pPr>
            <w:r>
              <w:rPr>
                <w:u w:val="single"/>
                <w:lang w:val="da-DK"/>
              </w:rPr>
              <w:t>Sjælden</w:t>
            </w:r>
          </w:p>
          <w:p w14:paraId="19DEDFE8" w14:textId="77777777" w:rsidR="00FD1789" w:rsidRDefault="00FD1789">
            <w:pPr>
              <w:pStyle w:val="TableParagraph"/>
              <w:rPr>
                <w:lang w:val="da-DK"/>
              </w:rPr>
            </w:pPr>
            <w:r>
              <w:rPr>
                <w:lang w:val="da-DK"/>
              </w:rPr>
              <w:t>Trombocytopeni, granulocytose, aplastisk anæmi.</w:t>
            </w:r>
          </w:p>
          <w:p w14:paraId="164087CC" w14:textId="77777777" w:rsidR="00FD1789" w:rsidRDefault="00FD1789">
            <w:pPr>
              <w:pStyle w:val="TableParagraph"/>
              <w:ind w:left="0"/>
              <w:rPr>
                <w:lang w:val="da-DK"/>
              </w:rPr>
            </w:pPr>
          </w:p>
          <w:p w14:paraId="44A65FA5" w14:textId="77777777" w:rsidR="00FD1789" w:rsidRDefault="00FD1789">
            <w:pPr>
              <w:pStyle w:val="TableParagraph"/>
              <w:rPr>
                <w:i/>
                <w:lang w:val="da-DK"/>
              </w:rPr>
            </w:pPr>
            <w:r>
              <w:rPr>
                <w:u w:val="single"/>
                <w:lang w:val="da-DK"/>
              </w:rPr>
              <w:t>Ikke kendt</w:t>
            </w:r>
          </w:p>
          <w:p w14:paraId="3DB0222C" w14:textId="77777777" w:rsidR="00FD1789" w:rsidRDefault="00FD1789">
            <w:pPr>
              <w:pStyle w:val="TableParagraph"/>
              <w:rPr>
                <w:lang w:val="da-DK"/>
              </w:rPr>
            </w:pPr>
            <w:r>
              <w:rPr>
                <w:lang w:val="da-DK"/>
              </w:rPr>
              <w:t>Tilfælde af blødning med forlænget blødningstid, såsom næseblod og tandkødsblødning. Symptomerne kan vare ved i 4-8 dage efter seponering af acetylsalicylsyre. Som følge heraf kan der bestå en øget risiko for blødning under kirurgiske indgreb.</w:t>
            </w:r>
          </w:p>
          <w:p w14:paraId="291BB4AC" w14:textId="77777777" w:rsidR="00FD1789" w:rsidRDefault="00FD1789">
            <w:pPr>
              <w:pStyle w:val="TableParagraph"/>
              <w:rPr>
                <w:lang w:val="da-DK"/>
              </w:rPr>
            </w:pPr>
            <w:r>
              <w:rPr>
                <w:lang w:val="da-DK"/>
              </w:rPr>
              <w:t>Eksisterende (hæmatemese, melaena) eller okkult gastrointestinal blødning, som kan føre til jernmangelanæmi (hyppigere ved højere doser).</w:t>
            </w:r>
          </w:p>
        </w:tc>
      </w:tr>
      <w:tr w:rsidR="00FD1789" w14:paraId="0EC1D942" w14:textId="77777777" w:rsidTr="00FD1789">
        <w:trPr>
          <w:trHeight w:val="1011"/>
        </w:trPr>
        <w:tc>
          <w:tcPr>
            <w:tcW w:w="2179" w:type="dxa"/>
            <w:tcBorders>
              <w:top w:val="single" w:sz="4" w:space="0" w:color="000000"/>
              <w:left w:val="single" w:sz="4" w:space="0" w:color="000000"/>
              <w:bottom w:val="single" w:sz="4" w:space="0" w:color="000000"/>
              <w:right w:val="single" w:sz="4" w:space="0" w:color="000000"/>
            </w:tcBorders>
            <w:hideMark/>
          </w:tcPr>
          <w:p w14:paraId="38918C54" w14:textId="77777777" w:rsidR="00FD1789" w:rsidRDefault="00FD1789" w:rsidP="00FD1789">
            <w:pPr>
              <w:pStyle w:val="TableParagraph"/>
              <w:rPr>
                <w:b/>
              </w:rPr>
            </w:pPr>
            <w:r>
              <w:rPr>
                <w:b/>
                <w:bCs/>
                <w:lang w:val="da-DK"/>
              </w:rPr>
              <w:t>Immunsystemet</w:t>
            </w:r>
          </w:p>
        </w:tc>
        <w:tc>
          <w:tcPr>
            <w:tcW w:w="7109" w:type="dxa"/>
            <w:tcBorders>
              <w:top w:val="single" w:sz="4" w:space="0" w:color="000000"/>
              <w:left w:val="single" w:sz="4" w:space="0" w:color="000000"/>
              <w:bottom w:val="single" w:sz="4" w:space="0" w:color="000000"/>
              <w:right w:val="single" w:sz="4" w:space="0" w:color="000000"/>
            </w:tcBorders>
            <w:hideMark/>
          </w:tcPr>
          <w:p w14:paraId="42C14011" w14:textId="77777777" w:rsidR="00FD1789" w:rsidRDefault="00FD1789">
            <w:pPr>
              <w:pStyle w:val="TableParagraph"/>
              <w:rPr>
                <w:i/>
                <w:lang w:val="da-DK"/>
              </w:rPr>
            </w:pPr>
            <w:r>
              <w:rPr>
                <w:u w:val="single"/>
                <w:lang w:val="da-DK"/>
              </w:rPr>
              <w:t>Sjælden</w:t>
            </w:r>
          </w:p>
          <w:p w14:paraId="0AC3A5F2" w14:textId="77777777" w:rsidR="00FD1789" w:rsidRDefault="00FD1789">
            <w:pPr>
              <w:pStyle w:val="TableParagraph"/>
              <w:rPr>
                <w:lang w:val="da-DK"/>
              </w:rPr>
            </w:pPr>
            <w:r>
              <w:rPr>
                <w:lang w:val="da-DK"/>
              </w:rPr>
              <w:t>Overfølsomhedsreaktioner, angioødem, allergisk ødem, anafylaktiske reaktioner, herunder shock.</w:t>
            </w:r>
          </w:p>
        </w:tc>
      </w:tr>
      <w:tr w:rsidR="00FD1789" w14:paraId="14B953CE" w14:textId="77777777" w:rsidTr="00FD1789">
        <w:trPr>
          <w:trHeight w:val="758"/>
        </w:trPr>
        <w:tc>
          <w:tcPr>
            <w:tcW w:w="2179" w:type="dxa"/>
            <w:tcBorders>
              <w:top w:val="single" w:sz="4" w:space="0" w:color="000000"/>
              <w:left w:val="single" w:sz="4" w:space="0" w:color="000000"/>
              <w:bottom w:val="single" w:sz="4" w:space="0" w:color="000000"/>
              <w:right w:val="single" w:sz="4" w:space="0" w:color="000000"/>
            </w:tcBorders>
            <w:hideMark/>
          </w:tcPr>
          <w:p w14:paraId="3DB87020" w14:textId="47C8A2B6" w:rsidR="00FD1789" w:rsidRDefault="00FD1789" w:rsidP="00FD1789">
            <w:pPr>
              <w:pStyle w:val="TableParagraph"/>
              <w:spacing w:line="250" w:lineRule="atLeast"/>
              <w:ind w:left="108"/>
              <w:rPr>
                <w:b/>
                <w:lang w:val="da-DK"/>
              </w:rPr>
            </w:pPr>
            <w:r>
              <w:rPr>
                <w:b/>
                <w:bCs/>
                <w:lang w:val="da-DK"/>
              </w:rPr>
              <w:t>Metabolisme og ernæring</w:t>
            </w:r>
          </w:p>
        </w:tc>
        <w:tc>
          <w:tcPr>
            <w:tcW w:w="7109" w:type="dxa"/>
            <w:tcBorders>
              <w:top w:val="single" w:sz="4" w:space="0" w:color="000000"/>
              <w:left w:val="single" w:sz="4" w:space="0" w:color="000000"/>
              <w:bottom w:val="single" w:sz="4" w:space="0" w:color="000000"/>
              <w:right w:val="single" w:sz="4" w:space="0" w:color="000000"/>
            </w:tcBorders>
            <w:hideMark/>
          </w:tcPr>
          <w:p w14:paraId="67B24979" w14:textId="77777777" w:rsidR="00FD1789" w:rsidRDefault="00FD1789">
            <w:pPr>
              <w:pStyle w:val="TableParagraph"/>
              <w:rPr>
                <w:i/>
              </w:rPr>
            </w:pPr>
            <w:r>
              <w:rPr>
                <w:u w:val="single"/>
                <w:lang w:val="da-DK"/>
              </w:rPr>
              <w:t>Ikke kendt</w:t>
            </w:r>
          </w:p>
          <w:p w14:paraId="3DB99C98" w14:textId="77777777" w:rsidR="00FD1789" w:rsidRDefault="00FD1789">
            <w:pPr>
              <w:pStyle w:val="TableParagraph"/>
            </w:pPr>
            <w:r>
              <w:rPr>
                <w:lang w:val="da-DK"/>
              </w:rPr>
              <w:t>Hyperurikæmi.</w:t>
            </w:r>
          </w:p>
        </w:tc>
      </w:tr>
      <w:tr w:rsidR="00FD1789" w14:paraId="148C4BDE" w14:textId="77777777" w:rsidTr="00FD1789">
        <w:trPr>
          <w:trHeight w:val="1517"/>
        </w:trPr>
        <w:tc>
          <w:tcPr>
            <w:tcW w:w="2179" w:type="dxa"/>
            <w:tcBorders>
              <w:top w:val="single" w:sz="4" w:space="0" w:color="000000"/>
              <w:left w:val="single" w:sz="4" w:space="0" w:color="000000"/>
              <w:bottom w:val="single" w:sz="4" w:space="0" w:color="000000"/>
              <w:right w:val="single" w:sz="4" w:space="0" w:color="000000"/>
            </w:tcBorders>
            <w:hideMark/>
          </w:tcPr>
          <w:p w14:paraId="24D0BE7C" w14:textId="77777777" w:rsidR="00FD1789" w:rsidRDefault="00FD1789" w:rsidP="00FD1789">
            <w:pPr>
              <w:pStyle w:val="TableParagraph"/>
              <w:ind w:left="108"/>
              <w:rPr>
                <w:b/>
              </w:rPr>
            </w:pPr>
            <w:r>
              <w:rPr>
                <w:b/>
                <w:bCs/>
                <w:lang w:val="da-DK"/>
              </w:rPr>
              <w:t>Nervesystemet</w:t>
            </w:r>
          </w:p>
        </w:tc>
        <w:tc>
          <w:tcPr>
            <w:tcW w:w="7109" w:type="dxa"/>
            <w:tcBorders>
              <w:top w:val="single" w:sz="4" w:space="0" w:color="000000"/>
              <w:left w:val="single" w:sz="4" w:space="0" w:color="000000"/>
              <w:bottom w:val="single" w:sz="4" w:space="0" w:color="000000"/>
              <w:right w:val="single" w:sz="4" w:space="0" w:color="000000"/>
            </w:tcBorders>
          </w:tcPr>
          <w:p w14:paraId="77285ACF" w14:textId="77777777" w:rsidR="00FD1789" w:rsidRDefault="00FD1789">
            <w:pPr>
              <w:pStyle w:val="TableParagraph"/>
              <w:rPr>
                <w:i/>
                <w:lang w:val="da-DK"/>
              </w:rPr>
            </w:pPr>
            <w:r>
              <w:rPr>
                <w:u w:val="single"/>
                <w:lang w:val="da-DK"/>
              </w:rPr>
              <w:t>Sjælden</w:t>
            </w:r>
          </w:p>
          <w:p w14:paraId="6230A724" w14:textId="77777777" w:rsidR="00FD1789" w:rsidRDefault="00FD1789">
            <w:pPr>
              <w:pStyle w:val="TableParagraph"/>
              <w:rPr>
                <w:lang w:val="da-DK"/>
              </w:rPr>
            </w:pPr>
            <w:r>
              <w:rPr>
                <w:lang w:val="da-DK"/>
              </w:rPr>
              <w:t xml:space="preserve">Intrakraniel </w:t>
            </w:r>
            <w:r w:rsidRPr="00FD1789">
              <w:rPr>
                <w:sz w:val="24"/>
                <w:szCs w:val="24"/>
                <w:lang w:val="da-DK"/>
              </w:rPr>
              <w:t>hæmoragi</w:t>
            </w:r>
            <w:r>
              <w:rPr>
                <w:lang w:val="da-DK"/>
              </w:rPr>
              <w:t xml:space="preserve"> blødning.</w:t>
            </w:r>
          </w:p>
          <w:p w14:paraId="7F88F84D" w14:textId="77777777" w:rsidR="00FD1789" w:rsidRDefault="00FD1789">
            <w:pPr>
              <w:pStyle w:val="TableParagraph"/>
              <w:ind w:left="0"/>
              <w:rPr>
                <w:lang w:val="da-DK"/>
              </w:rPr>
            </w:pPr>
          </w:p>
          <w:p w14:paraId="44AA9536" w14:textId="77777777" w:rsidR="00FD1789" w:rsidRDefault="00FD1789">
            <w:pPr>
              <w:pStyle w:val="TableParagraph"/>
              <w:rPr>
                <w:i/>
                <w:lang w:val="da-DK"/>
              </w:rPr>
            </w:pPr>
            <w:r>
              <w:rPr>
                <w:u w:val="single"/>
                <w:lang w:val="da-DK"/>
              </w:rPr>
              <w:t>Ikke kendt</w:t>
            </w:r>
          </w:p>
          <w:p w14:paraId="5F2B208B" w14:textId="77777777" w:rsidR="00FD1789" w:rsidRDefault="00FD1789">
            <w:pPr>
              <w:pStyle w:val="TableParagraph"/>
              <w:rPr>
                <w:lang w:val="da-DK"/>
              </w:rPr>
            </w:pPr>
            <w:r>
              <w:rPr>
                <w:lang w:val="da-DK"/>
              </w:rPr>
              <w:t>Hovedpine, vertigo</w:t>
            </w:r>
          </w:p>
        </w:tc>
      </w:tr>
      <w:tr w:rsidR="00FD1789" w14:paraId="056919D0" w14:textId="77777777" w:rsidTr="00FD1789">
        <w:trPr>
          <w:trHeight w:val="758"/>
        </w:trPr>
        <w:tc>
          <w:tcPr>
            <w:tcW w:w="2179" w:type="dxa"/>
            <w:tcBorders>
              <w:top w:val="single" w:sz="4" w:space="0" w:color="000000"/>
              <w:left w:val="single" w:sz="4" w:space="0" w:color="000000"/>
              <w:bottom w:val="single" w:sz="4" w:space="0" w:color="000000"/>
              <w:right w:val="single" w:sz="4" w:space="0" w:color="000000"/>
            </w:tcBorders>
            <w:hideMark/>
          </w:tcPr>
          <w:p w14:paraId="65472F2E" w14:textId="77777777" w:rsidR="00FD1789" w:rsidRDefault="00FD1789" w:rsidP="00FD1789">
            <w:pPr>
              <w:pStyle w:val="TableParagraph"/>
              <w:ind w:left="108"/>
              <w:rPr>
                <w:b/>
              </w:rPr>
            </w:pPr>
            <w:r>
              <w:rPr>
                <w:b/>
                <w:bCs/>
                <w:lang w:val="da-DK"/>
              </w:rPr>
              <w:t>Øre og labyrint</w:t>
            </w:r>
          </w:p>
        </w:tc>
        <w:tc>
          <w:tcPr>
            <w:tcW w:w="7109" w:type="dxa"/>
            <w:tcBorders>
              <w:top w:val="single" w:sz="4" w:space="0" w:color="000000"/>
              <w:left w:val="single" w:sz="4" w:space="0" w:color="000000"/>
              <w:bottom w:val="single" w:sz="4" w:space="0" w:color="000000"/>
              <w:right w:val="single" w:sz="4" w:space="0" w:color="000000"/>
            </w:tcBorders>
            <w:hideMark/>
          </w:tcPr>
          <w:p w14:paraId="76E9E601" w14:textId="77777777" w:rsidR="00FD1789" w:rsidRDefault="00FD1789">
            <w:pPr>
              <w:pStyle w:val="TableParagraph"/>
              <w:rPr>
                <w:i/>
                <w:lang w:val="da-DK"/>
              </w:rPr>
            </w:pPr>
            <w:r>
              <w:rPr>
                <w:u w:val="single"/>
                <w:lang w:val="da-DK"/>
              </w:rPr>
              <w:t>Ikke kendt</w:t>
            </w:r>
          </w:p>
          <w:p w14:paraId="06299C98" w14:textId="77777777" w:rsidR="00FD1789" w:rsidRDefault="00FD1789">
            <w:pPr>
              <w:pStyle w:val="TableParagraph"/>
              <w:rPr>
                <w:lang w:val="da-DK"/>
              </w:rPr>
            </w:pPr>
            <w:r>
              <w:rPr>
                <w:lang w:val="da-DK"/>
              </w:rPr>
              <w:t>Nedsat hørelse, tinnitus.</w:t>
            </w:r>
          </w:p>
        </w:tc>
      </w:tr>
      <w:tr w:rsidR="00FD1789" w14:paraId="44EDD08D" w14:textId="77777777" w:rsidTr="00FD1789">
        <w:trPr>
          <w:trHeight w:val="758"/>
        </w:trPr>
        <w:tc>
          <w:tcPr>
            <w:tcW w:w="2179" w:type="dxa"/>
            <w:tcBorders>
              <w:top w:val="single" w:sz="4" w:space="0" w:color="000000"/>
              <w:left w:val="single" w:sz="4" w:space="0" w:color="000000"/>
              <w:bottom w:val="single" w:sz="4" w:space="0" w:color="000000"/>
              <w:right w:val="single" w:sz="4" w:space="0" w:color="000000"/>
            </w:tcBorders>
            <w:hideMark/>
          </w:tcPr>
          <w:p w14:paraId="2C0FE295" w14:textId="77777777" w:rsidR="00FD1789" w:rsidRDefault="00FD1789" w:rsidP="00FD1789">
            <w:pPr>
              <w:pStyle w:val="TableParagraph"/>
              <w:ind w:left="108"/>
              <w:rPr>
                <w:b/>
              </w:rPr>
            </w:pPr>
            <w:r>
              <w:rPr>
                <w:b/>
                <w:bCs/>
                <w:lang w:val="da-DK"/>
              </w:rPr>
              <w:lastRenderedPageBreak/>
              <w:t xml:space="preserve">Vaskulære sygomme </w:t>
            </w:r>
          </w:p>
        </w:tc>
        <w:tc>
          <w:tcPr>
            <w:tcW w:w="7109" w:type="dxa"/>
            <w:tcBorders>
              <w:top w:val="single" w:sz="4" w:space="0" w:color="000000"/>
              <w:left w:val="single" w:sz="4" w:space="0" w:color="000000"/>
              <w:bottom w:val="single" w:sz="4" w:space="0" w:color="000000"/>
              <w:right w:val="single" w:sz="4" w:space="0" w:color="000000"/>
            </w:tcBorders>
            <w:hideMark/>
          </w:tcPr>
          <w:p w14:paraId="7874336F" w14:textId="77777777" w:rsidR="00FD1789" w:rsidRDefault="00FD1789">
            <w:pPr>
              <w:pStyle w:val="TableParagraph"/>
              <w:rPr>
                <w:i/>
              </w:rPr>
            </w:pPr>
            <w:r>
              <w:rPr>
                <w:u w:val="single"/>
                <w:lang w:val="da-DK"/>
              </w:rPr>
              <w:t>Sjælden</w:t>
            </w:r>
          </w:p>
          <w:p w14:paraId="1CE62A34" w14:textId="77777777" w:rsidR="00FD1789" w:rsidRDefault="00FD1789">
            <w:pPr>
              <w:pStyle w:val="TableParagraph"/>
            </w:pPr>
            <w:r>
              <w:rPr>
                <w:lang w:val="da-DK"/>
              </w:rPr>
              <w:t>Hæmoragisk vaskulitis.</w:t>
            </w:r>
          </w:p>
        </w:tc>
      </w:tr>
      <w:tr w:rsidR="00FD1789" w14:paraId="78A8B5DF" w14:textId="77777777" w:rsidTr="00FD1789">
        <w:trPr>
          <w:trHeight w:val="1517"/>
        </w:trPr>
        <w:tc>
          <w:tcPr>
            <w:tcW w:w="2179" w:type="dxa"/>
            <w:tcBorders>
              <w:top w:val="single" w:sz="4" w:space="0" w:color="000000"/>
              <w:left w:val="single" w:sz="4" w:space="0" w:color="000000"/>
              <w:bottom w:val="single" w:sz="4" w:space="0" w:color="000000"/>
              <w:right w:val="single" w:sz="4" w:space="0" w:color="000000"/>
            </w:tcBorders>
            <w:hideMark/>
          </w:tcPr>
          <w:p w14:paraId="72668BE2" w14:textId="77777777" w:rsidR="00FD1789" w:rsidRPr="00143734" w:rsidRDefault="00FD1789" w:rsidP="00FD1789">
            <w:pPr>
              <w:pStyle w:val="TableParagraph"/>
              <w:ind w:left="108"/>
              <w:rPr>
                <w:b/>
                <w:lang w:val="da-DK"/>
              </w:rPr>
            </w:pPr>
            <w:r w:rsidRPr="00143734">
              <w:rPr>
                <w:b/>
                <w:noProof/>
                <w:lang w:val="da-DK"/>
              </w:rPr>
              <w:t xml:space="preserve">Luftveje, thorax og mediastinum  </w:t>
            </w:r>
          </w:p>
        </w:tc>
        <w:tc>
          <w:tcPr>
            <w:tcW w:w="7109" w:type="dxa"/>
            <w:tcBorders>
              <w:top w:val="single" w:sz="4" w:space="0" w:color="000000"/>
              <w:left w:val="single" w:sz="4" w:space="0" w:color="000000"/>
              <w:bottom w:val="single" w:sz="4" w:space="0" w:color="000000"/>
              <w:right w:val="single" w:sz="4" w:space="0" w:color="000000"/>
            </w:tcBorders>
          </w:tcPr>
          <w:p w14:paraId="6311550F" w14:textId="77777777" w:rsidR="00FD1789" w:rsidRDefault="00FD1789">
            <w:pPr>
              <w:pStyle w:val="TableParagraph"/>
              <w:rPr>
                <w:i/>
                <w:lang w:val="da-DK"/>
              </w:rPr>
            </w:pPr>
            <w:r>
              <w:rPr>
                <w:u w:val="single"/>
                <w:lang w:val="da-DK"/>
              </w:rPr>
              <w:t>Ikke almindelig</w:t>
            </w:r>
          </w:p>
          <w:p w14:paraId="2AF9194F" w14:textId="77777777" w:rsidR="00FD1789" w:rsidRDefault="00FD1789">
            <w:pPr>
              <w:pStyle w:val="TableParagraph"/>
              <w:rPr>
                <w:lang w:val="da-DK"/>
              </w:rPr>
            </w:pPr>
            <w:r>
              <w:rPr>
                <w:lang w:val="da-DK"/>
              </w:rPr>
              <w:t>Rhinitis, dyspnø.</w:t>
            </w:r>
          </w:p>
          <w:p w14:paraId="314CC504" w14:textId="77777777" w:rsidR="00FD1789" w:rsidRDefault="00FD1789">
            <w:pPr>
              <w:pStyle w:val="TableParagraph"/>
              <w:ind w:left="0"/>
              <w:rPr>
                <w:lang w:val="da-DK"/>
              </w:rPr>
            </w:pPr>
          </w:p>
          <w:p w14:paraId="692EF1B5" w14:textId="77777777" w:rsidR="00FD1789" w:rsidRDefault="00FD1789">
            <w:pPr>
              <w:pStyle w:val="TableParagraph"/>
              <w:rPr>
                <w:i/>
                <w:lang w:val="da-DK"/>
              </w:rPr>
            </w:pPr>
            <w:r>
              <w:rPr>
                <w:u w:val="single"/>
                <w:lang w:val="da-DK"/>
              </w:rPr>
              <w:t>Sjælden</w:t>
            </w:r>
          </w:p>
          <w:p w14:paraId="48FBA2FE" w14:textId="77777777" w:rsidR="00FD1789" w:rsidRDefault="00FD1789">
            <w:pPr>
              <w:pStyle w:val="TableParagraph"/>
              <w:rPr>
                <w:lang w:val="da-DK"/>
              </w:rPr>
            </w:pPr>
            <w:r>
              <w:rPr>
                <w:lang w:val="da-DK"/>
              </w:rPr>
              <w:t>Bronkospasme, astmaanfald.</w:t>
            </w:r>
          </w:p>
        </w:tc>
      </w:tr>
      <w:tr w:rsidR="00FD1789" w14:paraId="67C71D22" w14:textId="77777777" w:rsidTr="00FD1789">
        <w:trPr>
          <w:trHeight w:val="758"/>
        </w:trPr>
        <w:tc>
          <w:tcPr>
            <w:tcW w:w="2179" w:type="dxa"/>
            <w:tcBorders>
              <w:top w:val="single" w:sz="4" w:space="0" w:color="000000"/>
              <w:left w:val="single" w:sz="4" w:space="0" w:color="000000"/>
              <w:bottom w:val="single" w:sz="4" w:space="0" w:color="000000"/>
              <w:right w:val="single" w:sz="4" w:space="0" w:color="000000"/>
            </w:tcBorders>
            <w:hideMark/>
          </w:tcPr>
          <w:p w14:paraId="7B5636C7" w14:textId="77777777" w:rsidR="00FD1789" w:rsidRPr="00143734" w:rsidRDefault="00FD1789" w:rsidP="00FD1789">
            <w:pPr>
              <w:pStyle w:val="TableParagraph"/>
              <w:spacing w:line="250" w:lineRule="atLeast"/>
              <w:ind w:left="108"/>
              <w:rPr>
                <w:b/>
                <w:lang w:val="da-DK"/>
              </w:rPr>
            </w:pPr>
            <w:r w:rsidRPr="00143734">
              <w:rPr>
                <w:b/>
                <w:noProof/>
                <w:lang w:val="da-DK"/>
              </w:rPr>
              <w:t>Det reproduktive system og mammae</w:t>
            </w:r>
          </w:p>
        </w:tc>
        <w:tc>
          <w:tcPr>
            <w:tcW w:w="7109" w:type="dxa"/>
            <w:tcBorders>
              <w:top w:val="single" w:sz="4" w:space="0" w:color="000000"/>
              <w:left w:val="single" w:sz="4" w:space="0" w:color="000000"/>
              <w:bottom w:val="single" w:sz="4" w:space="0" w:color="000000"/>
              <w:right w:val="single" w:sz="4" w:space="0" w:color="000000"/>
            </w:tcBorders>
            <w:hideMark/>
          </w:tcPr>
          <w:p w14:paraId="3580596B" w14:textId="77777777" w:rsidR="00FD1789" w:rsidRDefault="00FD1789">
            <w:pPr>
              <w:pStyle w:val="TableParagraph"/>
              <w:rPr>
                <w:u w:val="single"/>
                <w:lang w:val="da-DK"/>
              </w:rPr>
            </w:pPr>
            <w:r>
              <w:rPr>
                <w:u w:val="single"/>
                <w:lang w:val="da-DK"/>
              </w:rPr>
              <w:t>Sjælden</w:t>
            </w:r>
          </w:p>
          <w:p w14:paraId="17F331B8" w14:textId="77777777" w:rsidR="00FD1789" w:rsidRDefault="00FD1789">
            <w:pPr>
              <w:pStyle w:val="TableParagraph"/>
            </w:pPr>
            <w:r>
              <w:rPr>
                <w:lang w:val="da-DK"/>
              </w:rPr>
              <w:t>Menorragi.</w:t>
            </w:r>
          </w:p>
        </w:tc>
      </w:tr>
      <w:tr w:rsidR="00FD1789" w14:paraId="00408E10" w14:textId="77777777" w:rsidTr="00FD1789">
        <w:trPr>
          <w:trHeight w:val="1467"/>
        </w:trPr>
        <w:tc>
          <w:tcPr>
            <w:tcW w:w="2179" w:type="dxa"/>
            <w:tcBorders>
              <w:top w:val="single" w:sz="4" w:space="0" w:color="000000"/>
              <w:left w:val="single" w:sz="4" w:space="0" w:color="000000"/>
              <w:bottom w:val="single" w:sz="4" w:space="0" w:color="000000"/>
              <w:right w:val="single" w:sz="4" w:space="0" w:color="000000"/>
            </w:tcBorders>
            <w:hideMark/>
          </w:tcPr>
          <w:p w14:paraId="376E43C7" w14:textId="1C2B0AB4" w:rsidR="00FD1789" w:rsidRPr="00FD1789" w:rsidRDefault="00FD1789" w:rsidP="00FD1789">
            <w:pPr>
              <w:pStyle w:val="TableParagraph"/>
              <w:ind w:left="108"/>
              <w:rPr>
                <w:b/>
              </w:rPr>
            </w:pPr>
            <w:r>
              <w:rPr>
                <w:b/>
                <w:bCs/>
                <w:lang w:val="da-DK"/>
              </w:rPr>
              <w:t>Gastrointestinale lidelser</w:t>
            </w:r>
          </w:p>
        </w:tc>
        <w:tc>
          <w:tcPr>
            <w:tcW w:w="7109" w:type="dxa"/>
            <w:tcBorders>
              <w:top w:val="single" w:sz="4" w:space="0" w:color="000000"/>
              <w:left w:val="single" w:sz="4" w:space="0" w:color="000000"/>
              <w:bottom w:val="single" w:sz="4" w:space="0" w:color="000000"/>
              <w:right w:val="single" w:sz="4" w:space="0" w:color="000000"/>
            </w:tcBorders>
          </w:tcPr>
          <w:p w14:paraId="3C9C71EF" w14:textId="77777777" w:rsidR="00FD1789" w:rsidRDefault="00FD1789">
            <w:pPr>
              <w:pStyle w:val="TableParagraph"/>
              <w:rPr>
                <w:i/>
                <w:lang w:val="da-DK"/>
              </w:rPr>
            </w:pPr>
            <w:r>
              <w:rPr>
                <w:u w:val="single"/>
                <w:lang w:val="da-DK"/>
              </w:rPr>
              <w:t>Almindelig</w:t>
            </w:r>
          </w:p>
          <w:p w14:paraId="58CBB6C3" w14:textId="77777777" w:rsidR="00FD1789" w:rsidRDefault="00FD1789">
            <w:pPr>
              <w:pStyle w:val="TableParagraph"/>
              <w:rPr>
                <w:lang w:val="da-DK"/>
              </w:rPr>
            </w:pPr>
            <w:r>
              <w:rPr>
                <w:lang w:val="da-DK"/>
              </w:rPr>
              <w:t>Dyspepsi.</w:t>
            </w:r>
          </w:p>
          <w:p w14:paraId="1A2F47FC" w14:textId="77777777" w:rsidR="00FD1789" w:rsidRDefault="00FD1789">
            <w:pPr>
              <w:pStyle w:val="TableParagraph"/>
              <w:ind w:left="0"/>
              <w:rPr>
                <w:lang w:val="da-DK"/>
              </w:rPr>
            </w:pPr>
          </w:p>
          <w:p w14:paraId="22E94CAA" w14:textId="77777777" w:rsidR="00FD1789" w:rsidRDefault="00FD1789">
            <w:pPr>
              <w:pStyle w:val="TableParagraph"/>
              <w:rPr>
                <w:i/>
                <w:lang w:val="da-DK"/>
              </w:rPr>
            </w:pPr>
            <w:r>
              <w:rPr>
                <w:u w:val="single"/>
                <w:lang w:val="da-DK"/>
              </w:rPr>
              <w:t>Sjælden</w:t>
            </w:r>
          </w:p>
          <w:p w14:paraId="3C1D6943" w14:textId="77777777" w:rsidR="00FD1789" w:rsidRPr="00FD1789" w:rsidRDefault="00FD1789" w:rsidP="00FD1789">
            <w:pPr>
              <w:pStyle w:val="TableParagraph"/>
              <w:rPr>
                <w:lang w:val="da-DK"/>
              </w:rPr>
            </w:pPr>
            <w:r w:rsidRPr="00FD1789">
              <w:rPr>
                <w:sz w:val="24"/>
                <w:szCs w:val="24"/>
                <w:lang w:val="da-DK"/>
              </w:rPr>
              <w:t>Svær gastrointestinal hæmoragi</w:t>
            </w:r>
            <w:r w:rsidRPr="00FD1789">
              <w:rPr>
                <w:lang w:val="da-DK"/>
              </w:rPr>
              <w:t>, kvalme, emesis</w:t>
            </w:r>
          </w:p>
          <w:p w14:paraId="1A546A50" w14:textId="77777777" w:rsidR="00FD1789" w:rsidRPr="00FD1789" w:rsidRDefault="00FD1789" w:rsidP="00FD1789">
            <w:pPr>
              <w:pStyle w:val="TableParagraph"/>
              <w:rPr>
                <w:lang w:val="da-DK"/>
              </w:rPr>
            </w:pPr>
          </w:p>
          <w:p w14:paraId="182467EA" w14:textId="77777777" w:rsidR="00FD1789" w:rsidRPr="00FD1789" w:rsidRDefault="00FD1789" w:rsidP="00FD1789">
            <w:pPr>
              <w:pStyle w:val="TableParagraph"/>
              <w:rPr>
                <w:i/>
                <w:lang w:val="da-DK"/>
              </w:rPr>
            </w:pPr>
            <w:r w:rsidRPr="00FD1789">
              <w:rPr>
                <w:u w:val="single"/>
                <w:lang w:val="da-DK"/>
              </w:rPr>
              <w:t>Ikke kendt</w:t>
            </w:r>
          </w:p>
          <w:p w14:paraId="6B2EDF7C" w14:textId="47B345BD" w:rsidR="00FD1789" w:rsidRPr="00FD1789" w:rsidRDefault="00FD1789" w:rsidP="00FD1789">
            <w:pPr>
              <w:pStyle w:val="TableParagraph"/>
              <w:rPr>
                <w:sz w:val="24"/>
                <w:szCs w:val="24"/>
                <w:lang w:val="da-DK"/>
              </w:rPr>
            </w:pPr>
            <w:r w:rsidRPr="00FD1789">
              <w:rPr>
                <w:lang w:val="da-DK"/>
              </w:rPr>
              <w:t>Ulcus ventriculi eller ulcus duodeni og perforering</w:t>
            </w:r>
          </w:p>
        </w:tc>
      </w:tr>
      <w:tr w:rsidR="00FD1789" w14:paraId="2DB63355" w14:textId="77777777" w:rsidTr="00FD1789">
        <w:trPr>
          <w:trHeight w:val="688"/>
        </w:trPr>
        <w:tc>
          <w:tcPr>
            <w:tcW w:w="2179" w:type="dxa"/>
            <w:tcBorders>
              <w:top w:val="single" w:sz="4" w:space="0" w:color="000000"/>
              <w:left w:val="single" w:sz="4" w:space="0" w:color="000000"/>
              <w:right w:val="single" w:sz="4" w:space="0" w:color="000000"/>
            </w:tcBorders>
          </w:tcPr>
          <w:p w14:paraId="639A1736" w14:textId="791EB197" w:rsidR="00FD1789" w:rsidRDefault="00FD1789" w:rsidP="00FD1789">
            <w:pPr>
              <w:pStyle w:val="TableParagraph"/>
              <w:ind w:left="108"/>
              <w:rPr>
                <w:b/>
                <w:bCs/>
                <w:lang w:val="da-DK"/>
              </w:rPr>
            </w:pPr>
            <w:r>
              <w:rPr>
                <w:b/>
                <w:bCs/>
                <w:lang w:val="da-DK"/>
              </w:rPr>
              <w:t>Lever</w:t>
            </w:r>
            <w:r w:rsidR="00143734">
              <w:rPr>
                <w:b/>
                <w:bCs/>
                <w:lang w:val="da-DK"/>
              </w:rPr>
              <w:t xml:space="preserve"> </w:t>
            </w:r>
            <w:r>
              <w:rPr>
                <w:b/>
                <w:bCs/>
                <w:lang w:val="da-DK"/>
              </w:rPr>
              <w:t>og galdeveje</w:t>
            </w:r>
          </w:p>
        </w:tc>
        <w:tc>
          <w:tcPr>
            <w:tcW w:w="7109" w:type="dxa"/>
            <w:tcBorders>
              <w:top w:val="single" w:sz="4" w:space="0" w:color="000000"/>
              <w:left w:val="single" w:sz="4" w:space="0" w:color="000000"/>
              <w:right w:val="single" w:sz="4" w:space="0" w:color="000000"/>
            </w:tcBorders>
          </w:tcPr>
          <w:p w14:paraId="54D139C0" w14:textId="77777777" w:rsidR="00FD1789" w:rsidRDefault="00FD1789" w:rsidP="00FD1789">
            <w:pPr>
              <w:pStyle w:val="TableParagraph"/>
              <w:rPr>
                <w:i/>
              </w:rPr>
            </w:pPr>
            <w:r>
              <w:rPr>
                <w:u w:val="single"/>
                <w:lang w:val="da-DK"/>
              </w:rPr>
              <w:t>Ikke kendt</w:t>
            </w:r>
          </w:p>
          <w:p w14:paraId="29794E1B" w14:textId="79A16B37" w:rsidR="00FD1789" w:rsidRDefault="00FD1789" w:rsidP="00FD1789">
            <w:pPr>
              <w:pStyle w:val="TableParagraph"/>
              <w:rPr>
                <w:u w:val="single"/>
                <w:lang w:val="da-DK"/>
              </w:rPr>
            </w:pPr>
            <w:r>
              <w:rPr>
                <w:lang w:val="da-DK"/>
              </w:rPr>
              <w:t>Leverinsufficiens.</w:t>
            </w:r>
          </w:p>
        </w:tc>
      </w:tr>
      <w:tr w:rsidR="00FD1789" w14:paraId="384245A4" w14:textId="77777777" w:rsidTr="00FD1789">
        <w:trPr>
          <w:trHeight w:val="1467"/>
        </w:trPr>
        <w:tc>
          <w:tcPr>
            <w:tcW w:w="2179" w:type="dxa"/>
            <w:tcBorders>
              <w:top w:val="single" w:sz="4" w:space="0" w:color="000000"/>
              <w:left w:val="single" w:sz="4" w:space="0" w:color="000000"/>
              <w:right w:val="single" w:sz="4" w:space="0" w:color="000000"/>
            </w:tcBorders>
          </w:tcPr>
          <w:p w14:paraId="2E51A549" w14:textId="284E009B" w:rsidR="00FD1789" w:rsidRDefault="00FD1789" w:rsidP="00FD1789">
            <w:pPr>
              <w:pStyle w:val="TableParagraph"/>
              <w:ind w:left="108"/>
              <w:rPr>
                <w:b/>
                <w:bCs/>
                <w:lang w:val="da-DK"/>
              </w:rPr>
            </w:pPr>
            <w:r>
              <w:rPr>
                <w:b/>
                <w:bCs/>
                <w:lang w:val="da-DK"/>
              </w:rPr>
              <w:t>Dermatologiske lidelser</w:t>
            </w:r>
          </w:p>
        </w:tc>
        <w:tc>
          <w:tcPr>
            <w:tcW w:w="7109" w:type="dxa"/>
            <w:tcBorders>
              <w:top w:val="single" w:sz="4" w:space="0" w:color="000000"/>
              <w:left w:val="single" w:sz="4" w:space="0" w:color="000000"/>
              <w:right w:val="single" w:sz="4" w:space="0" w:color="000000"/>
            </w:tcBorders>
          </w:tcPr>
          <w:p w14:paraId="4A512771" w14:textId="77777777" w:rsidR="00FD1789" w:rsidRPr="00FD1789" w:rsidRDefault="00FD1789" w:rsidP="00FD1789">
            <w:pPr>
              <w:pStyle w:val="TableParagraph"/>
              <w:rPr>
                <w:i/>
                <w:u w:val="single"/>
                <w:lang w:val="da-DK"/>
              </w:rPr>
            </w:pPr>
            <w:r w:rsidRPr="00FD1789">
              <w:rPr>
                <w:u w:val="single"/>
                <w:lang w:val="da-DK"/>
              </w:rPr>
              <w:t>Ikke almindelig</w:t>
            </w:r>
          </w:p>
          <w:p w14:paraId="2662E940" w14:textId="77777777" w:rsidR="00FD1789" w:rsidRPr="00FD1789" w:rsidRDefault="00FD1789" w:rsidP="00FD1789">
            <w:pPr>
              <w:pStyle w:val="TableParagraph"/>
              <w:rPr>
                <w:lang w:val="da-DK"/>
              </w:rPr>
            </w:pPr>
            <w:r w:rsidRPr="00FD1789">
              <w:rPr>
                <w:lang w:val="da-DK"/>
              </w:rPr>
              <w:t>Urticaria</w:t>
            </w:r>
          </w:p>
          <w:p w14:paraId="3B9B15DD" w14:textId="77777777" w:rsidR="00FD1789" w:rsidRPr="00FD1789" w:rsidRDefault="00FD1789" w:rsidP="00FD1789">
            <w:pPr>
              <w:pStyle w:val="TableParagraph"/>
              <w:rPr>
                <w:u w:val="single"/>
                <w:lang w:val="da-DK"/>
              </w:rPr>
            </w:pPr>
            <w:r w:rsidRPr="00FD1789">
              <w:rPr>
                <w:u w:val="single"/>
                <w:lang w:val="da-DK"/>
              </w:rPr>
              <w:t xml:space="preserve"> </w:t>
            </w:r>
          </w:p>
          <w:p w14:paraId="47A2A26A" w14:textId="77777777" w:rsidR="00FD1789" w:rsidRPr="00FD1789" w:rsidRDefault="00FD1789" w:rsidP="00FD1789">
            <w:pPr>
              <w:pStyle w:val="TableParagraph"/>
              <w:rPr>
                <w:i/>
                <w:u w:val="single"/>
                <w:lang w:val="da-DK"/>
              </w:rPr>
            </w:pPr>
            <w:r w:rsidRPr="00FD1789">
              <w:rPr>
                <w:u w:val="single"/>
                <w:lang w:val="da-DK"/>
              </w:rPr>
              <w:t>Sjælden</w:t>
            </w:r>
          </w:p>
          <w:p w14:paraId="0D3EAB67" w14:textId="453DA243" w:rsidR="00FD1789" w:rsidRPr="00FD1789" w:rsidRDefault="00FD1789" w:rsidP="00FD1789">
            <w:pPr>
              <w:pStyle w:val="TableParagraph"/>
              <w:rPr>
                <w:lang w:val="da-DK"/>
              </w:rPr>
            </w:pPr>
            <w:r w:rsidRPr="00FD1789">
              <w:rPr>
                <w:lang w:val="da-DK"/>
              </w:rPr>
              <w:t>Steven-Johnsons syndrom, Lyells syndrom, purpura, erythema nodosum, erythema multiforme.</w:t>
            </w:r>
          </w:p>
        </w:tc>
      </w:tr>
      <w:tr w:rsidR="00FD1789" w14:paraId="32794C1B" w14:textId="77777777" w:rsidTr="00FD1789">
        <w:trPr>
          <w:trHeight w:val="720"/>
        </w:trPr>
        <w:tc>
          <w:tcPr>
            <w:tcW w:w="2179" w:type="dxa"/>
            <w:tcBorders>
              <w:top w:val="single" w:sz="4" w:space="0" w:color="000000"/>
              <w:left w:val="single" w:sz="4" w:space="0" w:color="000000"/>
              <w:right w:val="single" w:sz="4" w:space="0" w:color="000000"/>
            </w:tcBorders>
          </w:tcPr>
          <w:p w14:paraId="34992797" w14:textId="7B07284B" w:rsidR="00FD1789" w:rsidRDefault="00FD1789" w:rsidP="00FD1789">
            <w:pPr>
              <w:pStyle w:val="TableParagraph"/>
              <w:ind w:left="108"/>
              <w:rPr>
                <w:b/>
                <w:bCs/>
                <w:lang w:val="da-DK"/>
              </w:rPr>
            </w:pPr>
            <w:r>
              <w:rPr>
                <w:b/>
                <w:bCs/>
                <w:lang w:val="da-DK"/>
              </w:rPr>
              <w:t>Nyrer og urinveje</w:t>
            </w:r>
          </w:p>
        </w:tc>
        <w:tc>
          <w:tcPr>
            <w:tcW w:w="7109" w:type="dxa"/>
            <w:tcBorders>
              <w:top w:val="single" w:sz="4" w:space="0" w:color="000000"/>
              <w:left w:val="single" w:sz="4" w:space="0" w:color="000000"/>
              <w:right w:val="single" w:sz="4" w:space="0" w:color="000000"/>
            </w:tcBorders>
          </w:tcPr>
          <w:p w14:paraId="783194AB" w14:textId="77777777" w:rsidR="00FD1789" w:rsidRDefault="00FD1789" w:rsidP="00FD1789">
            <w:pPr>
              <w:pStyle w:val="TableParagraph"/>
              <w:rPr>
                <w:i/>
                <w:iCs/>
                <w:lang w:val="da-DK"/>
              </w:rPr>
            </w:pPr>
            <w:r>
              <w:rPr>
                <w:u w:val="single"/>
                <w:lang w:val="da-DK"/>
              </w:rPr>
              <w:t>Ikke kendt</w:t>
            </w:r>
            <w:r>
              <w:rPr>
                <w:i/>
                <w:iCs/>
                <w:lang w:val="da-DK"/>
              </w:rPr>
              <w:t xml:space="preserve"> </w:t>
            </w:r>
          </w:p>
          <w:p w14:paraId="7290A791" w14:textId="21214BE6" w:rsidR="00FD1789" w:rsidRDefault="00FD1789" w:rsidP="00FD1789">
            <w:pPr>
              <w:pStyle w:val="TableParagraph"/>
              <w:rPr>
                <w:u w:val="single"/>
                <w:lang w:val="da-DK"/>
              </w:rPr>
            </w:pPr>
            <w:r>
              <w:rPr>
                <w:lang w:val="da-DK"/>
              </w:rPr>
              <w:t>Nedsat nyrefunktion, salt- og væskeretention.</w:t>
            </w:r>
          </w:p>
        </w:tc>
      </w:tr>
    </w:tbl>
    <w:p w14:paraId="4796B296" w14:textId="77777777" w:rsidR="00FD1789" w:rsidRDefault="00FD1789" w:rsidP="00FD1789">
      <w:pPr>
        <w:pStyle w:val="Brdtekst"/>
        <w:spacing w:before="5"/>
        <w:ind w:left="0"/>
        <w:rPr>
          <w:sz w:val="2"/>
          <w:lang w:val="da-DK"/>
        </w:rPr>
      </w:pPr>
    </w:p>
    <w:p w14:paraId="33139BCC" w14:textId="77777777" w:rsidR="00FD1789" w:rsidRPr="00FD1789" w:rsidRDefault="00FD1789" w:rsidP="00FD1789">
      <w:pPr>
        <w:pStyle w:val="Brdtekst"/>
        <w:spacing w:before="3"/>
        <w:ind w:left="851"/>
        <w:rPr>
          <w:sz w:val="24"/>
          <w:szCs w:val="24"/>
          <w:lang w:val="da-DK"/>
        </w:rPr>
      </w:pPr>
    </w:p>
    <w:p w14:paraId="124CA7B2" w14:textId="77777777" w:rsidR="00FD1789" w:rsidRPr="00FD1789" w:rsidRDefault="00FD1789" w:rsidP="00FD1789">
      <w:pPr>
        <w:pStyle w:val="Brdtekst"/>
        <w:ind w:left="851"/>
        <w:rPr>
          <w:sz w:val="24"/>
          <w:szCs w:val="24"/>
          <w:lang w:val="da-DK"/>
        </w:rPr>
      </w:pPr>
      <w:r w:rsidRPr="00FD1789">
        <w:rPr>
          <w:sz w:val="24"/>
          <w:szCs w:val="24"/>
          <w:u w:val="single"/>
          <w:lang w:val="da-DK"/>
        </w:rPr>
        <w:t>Indberetning af formodede bivirkninger</w:t>
      </w:r>
    </w:p>
    <w:p w14:paraId="21CA0F30" w14:textId="0DEEE8D3" w:rsidR="00FD1789" w:rsidRPr="00FD1789" w:rsidRDefault="00FD1789" w:rsidP="00FD1789">
      <w:pPr>
        <w:pStyle w:val="Brdtekst"/>
        <w:ind w:left="851" w:right="249"/>
        <w:rPr>
          <w:sz w:val="24"/>
          <w:szCs w:val="24"/>
          <w:lang w:val="da-DK"/>
        </w:rPr>
      </w:pPr>
      <w:r w:rsidRPr="00FD1789">
        <w:rPr>
          <w:sz w:val="24"/>
          <w:szCs w:val="24"/>
          <w:lang w:val="da-DK"/>
        </w:rPr>
        <w:t>Når lægemidlet er godkendt, er indberetning af formodede bivirkninger vigtig. Det muliggør løbende overvågning af benefit/risk-forholdet for lægemidlet. Sundhedspersonale anmodes om at indberette alle formodede bivirkninger via</w:t>
      </w:r>
      <w:r>
        <w:rPr>
          <w:sz w:val="24"/>
          <w:szCs w:val="24"/>
          <w:lang w:val="da-DK"/>
        </w:rPr>
        <w:t>:</w:t>
      </w:r>
    </w:p>
    <w:p w14:paraId="5FB56EC4" w14:textId="77777777" w:rsidR="00FD1789" w:rsidRPr="00FD1789" w:rsidRDefault="00FD1789" w:rsidP="00FD1789">
      <w:pPr>
        <w:ind w:left="851"/>
        <w:rPr>
          <w:sz w:val="24"/>
          <w:szCs w:val="24"/>
          <w:lang w:eastAsia="da-DK"/>
        </w:rPr>
      </w:pPr>
      <w:r w:rsidRPr="00FD1789">
        <w:rPr>
          <w:sz w:val="24"/>
          <w:szCs w:val="24"/>
        </w:rPr>
        <w:t xml:space="preserve"> </w:t>
      </w:r>
    </w:p>
    <w:p w14:paraId="4E67363C" w14:textId="77777777" w:rsidR="00FD1789" w:rsidRPr="00FD1789" w:rsidRDefault="00FD1789" w:rsidP="00FD1789">
      <w:pPr>
        <w:ind w:left="851"/>
        <w:rPr>
          <w:sz w:val="24"/>
          <w:szCs w:val="24"/>
          <w:lang w:eastAsia="da-DK"/>
        </w:rPr>
      </w:pPr>
      <w:r w:rsidRPr="00FD1789">
        <w:rPr>
          <w:sz w:val="24"/>
          <w:szCs w:val="24"/>
          <w:lang w:eastAsia="da-DK"/>
        </w:rPr>
        <w:t>Lægemiddelstyrelsen</w:t>
      </w:r>
    </w:p>
    <w:p w14:paraId="68987E40" w14:textId="77777777" w:rsidR="00FD1789" w:rsidRPr="00FD1789" w:rsidRDefault="00FD1789" w:rsidP="00FD1789">
      <w:pPr>
        <w:ind w:left="851"/>
        <w:rPr>
          <w:sz w:val="24"/>
          <w:szCs w:val="24"/>
          <w:lang w:eastAsia="da-DK"/>
        </w:rPr>
      </w:pPr>
      <w:r w:rsidRPr="00FD1789">
        <w:rPr>
          <w:sz w:val="24"/>
          <w:szCs w:val="24"/>
          <w:lang w:eastAsia="da-DK"/>
        </w:rPr>
        <w:t>Axel Heides Gade 1</w:t>
      </w:r>
    </w:p>
    <w:p w14:paraId="3D305104" w14:textId="77777777" w:rsidR="00FD1789" w:rsidRPr="00FD1789" w:rsidRDefault="00FD1789" w:rsidP="00FD1789">
      <w:pPr>
        <w:ind w:left="851"/>
        <w:rPr>
          <w:sz w:val="24"/>
          <w:szCs w:val="24"/>
          <w:lang w:eastAsia="da-DK"/>
        </w:rPr>
      </w:pPr>
      <w:r w:rsidRPr="00FD1789">
        <w:rPr>
          <w:sz w:val="24"/>
          <w:szCs w:val="24"/>
          <w:lang w:eastAsia="da-DK"/>
        </w:rPr>
        <w:t>DK-2300 København S</w:t>
      </w:r>
    </w:p>
    <w:p w14:paraId="01A0D249" w14:textId="77777777" w:rsidR="00FD1789" w:rsidRPr="00FD1789" w:rsidRDefault="00FD1789" w:rsidP="00FD1789">
      <w:pPr>
        <w:ind w:left="851"/>
        <w:rPr>
          <w:sz w:val="24"/>
          <w:szCs w:val="24"/>
          <w:lang w:eastAsia="da-DK"/>
        </w:rPr>
      </w:pPr>
      <w:r w:rsidRPr="00FD1789">
        <w:rPr>
          <w:sz w:val="24"/>
          <w:szCs w:val="24"/>
          <w:lang w:eastAsia="da-DK"/>
        </w:rPr>
        <w:t>Websted: www.meldenbivirkning.dk</w:t>
      </w:r>
    </w:p>
    <w:p w14:paraId="6DED6BE4" w14:textId="77777777" w:rsidR="009260DE" w:rsidRPr="00FD1789" w:rsidRDefault="009260DE" w:rsidP="00FD1789">
      <w:pPr>
        <w:tabs>
          <w:tab w:val="left" w:pos="851"/>
        </w:tabs>
        <w:ind w:left="851"/>
        <w:rPr>
          <w:sz w:val="24"/>
          <w:szCs w:val="24"/>
        </w:rPr>
      </w:pPr>
    </w:p>
    <w:p w14:paraId="4850EB03"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0539E7C6" w14:textId="77777777" w:rsidR="00E7726F" w:rsidRPr="00E7726F" w:rsidRDefault="00E7726F" w:rsidP="00E7726F">
      <w:pPr>
        <w:tabs>
          <w:tab w:val="left" w:pos="851"/>
        </w:tabs>
        <w:ind w:left="851"/>
        <w:rPr>
          <w:sz w:val="24"/>
          <w:szCs w:val="24"/>
        </w:rPr>
      </w:pPr>
      <w:r w:rsidRPr="00E7726F">
        <w:rPr>
          <w:sz w:val="24"/>
          <w:szCs w:val="24"/>
        </w:rPr>
        <w:t>Til trods for betydelige individuelle forskelle kan det estimeres, at den toksiske dosis er ca. 200 mg/kg hos voksne og 100 mg/kg hos børn. Den dødelige dosis af acetylsalicylsyre er 25-30 gram. Plasmakoncentrationer af salicylat over 300 mg/l indikerer forgiftning. Plasmakoncentrationer over 500 mg/l hos voksne og 300 mg/l hos børn forårsager generelt alvorlig toksicitet. Overdosering kan være skadelig for ældre patienter og især for små børn (terapeutisk overdosering eller hyppige, utilsigtede forgiftninger kan være dødelige).</w:t>
      </w:r>
    </w:p>
    <w:p w14:paraId="197D4709" w14:textId="77777777" w:rsidR="00E7726F" w:rsidRPr="00E7726F" w:rsidRDefault="00E7726F" w:rsidP="00E7726F">
      <w:pPr>
        <w:tabs>
          <w:tab w:val="left" w:pos="851"/>
        </w:tabs>
        <w:ind w:left="851"/>
        <w:rPr>
          <w:sz w:val="24"/>
          <w:szCs w:val="24"/>
        </w:rPr>
      </w:pPr>
    </w:p>
    <w:p w14:paraId="761AEF45" w14:textId="77777777" w:rsidR="00E7726F" w:rsidRPr="00E7726F" w:rsidRDefault="00E7726F" w:rsidP="00E7726F">
      <w:pPr>
        <w:tabs>
          <w:tab w:val="left" w:pos="851"/>
        </w:tabs>
        <w:ind w:left="851"/>
        <w:rPr>
          <w:sz w:val="24"/>
          <w:szCs w:val="24"/>
        </w:rPr>
      </w:pPr>
      <w:r w:rsidRPr="00E7726F">
        <w:rPr>
          <w:sz w:val="24"/>
          <w:szCs w:val="24"/>
          <w:u w:val="single"/>
        </w:rPr>
        <w:t>Symptomer på moderat forgiftning</w:t>
      </w:r>
    </w:p>
    <w:p w14:paraId="025A2374" w14:textId="77777777" w:rsidR="00E7726F" w:rsidRPr="00E7726F" w:rsidRDefault="00E7726F" w:rsidP="00E7726F">
      <w:pPr>
        <w:tabs>
          <w:tab w:val="left" w:pos="851"/>
        </w:tabs>
        <w:ind w:left="851"/>
        <w:rPr>
          <w:sz w:val="24"/>
          <w:szCs w:val="24"/>
        </w:rPr>
      </w:pPr>
      <w:r w:rsidRPr="00E7726F">
        <w:rPr>
          <w:sz w:val="24"/>
          <w:szCs w:val="24"/>
        </w:rPr>
        <w:t>Tinnitus, høretab, hovedpine, svimmelhed, forvirring og gastrointestinale symptomer (kvalme, opkastning og mavesmerter).</w:t>
      </w:r>
    </w:p>
    <w:p w14:paraId="570ED681" w14:textId="77777777" w:rsidR="00E7726F" w:rsidRPr="00E7726F" w:rsidRDefault="00E7726F" w:rsidP="00E7726F">
      <w:pPr>
        <w:tabs>
          <w:tab w:val="left" w:pos="851"/>
        </w:tabs>
        <w:ind w:left="851"/>
        <w:rPr>
          <w:sz w:val="24"/>
          <w:szCs w:val="24"/>
        </w:rPr>
      </w:pPr>
    </w:p>
    <w:p w14:paraId="6F480A00" w14:textId="77777777" w:rsidR="00E7726F" w:rsidRPr="00E7726F" w:rsidRDefault="00E7726F" w:rsidP="00E7726F">
      <w:pPr>
        <w:tabs>
          <w:tab w:val="left" w:pos="851"/>
        </w:tabs>
        <w:ind w:left="851"/>
        <w:rPr>
          <w:sz w:val="24"/>
          <w:szCs w:val="24"/>
        </w:rPr>
      </w:pPr>
      <w:r w:rsidRPr="00E7726F">
        <w:rPr>
          <w:sz w:val="24"/>
          <w:szCs w:val="24"/>
          <w:u w:val="single"/>
        </w:rPr>
        <w:t>Symptomer på alvorlig forgiftning</w:t>
      </w:r>
    </w:p>
    <w:p w14:paraId="39B48B80" w14:textId="77777777" w:rsidR="00E7726F" w:rsidRPr="00E7726F" w:rsidRDefault="00E7726F" w:rsidP="00E7726F">
      <w:pPr>
        <w:tabs>
          <w:tab w:val="left" w:pos="851"/>
        </w:tabs>
        <w:ind w:left="851"/>
        <w:rPr>
          <w:sz w:val="24"/>
          <w:szCs w:val="24"/>
        </w:rPr>
      </w:pPr>
      <w:r w:rsidRPr="00E7726F">
        <w:rPr>
          <w:sz w:val="24"/>
          <w:szCs w:val="24"/>
        </w:rPr>
        <w:t>Symptomerne er relateret til en alvorlig forstyrrelse af syre-base-balancen. I første omgang opstår hyperventilation, hvilket resulterer i respiratorisk alkalose. Respiratorisk acidose opstår som følge af undertrykkelse af åndedrætscentret. Derudover opstår metabolisk acidose som følge af tilstede-værelsen af salicylat.</w:t>
      </w:r>
    </w:p>
    <w:p w14:paraId="5E587DBF" w14:textId="77777777" w:rsidR="00E7726F" w:rsidRPr="00E7726F" w:rsidRDefault="00E7726F" w:rsidP="00E7726F">
      <w:pPr>
        <w:tabs>
          <w:tab w:val="left" w:pos="851"/>
        </w:tabs>
        <w:ind w:left="851"/>
        <w:rPr>
          <w:sz w:val="24"/>
          <w:szCs w:val="24"/>
        </w:rPr>
      </w:pPr>
      <w:r w:rsidRPr="00E7726F">
        <w:rPr>
          <w:sz w:val="24"/>
          <w:szCs w:val="24"/>
        </w:rPr>
        <w:t>Da det hos små børn ofte først konstateres, når de har nået et sent stadium af forgiftningen, befinder de sig som regel i et stadium af acidose.</w:t>
      </w:r>
    </w:p>
    <w:p w14:paraId="03DCF6D6" w14:textId="77777777" w:rsidR="00E7726F" w:rsidRPr="00E7726F" w:rsidRDefault="00E7726F" w:rsidP="00E7726F">
      <w:pPr>
        <w:tabs>
          <w:tab w:val="left" w:pos="851"/>
        </w:tabs>
        <w:ind w:left="851"/>
        <w:rPr>
          <w:sz w:val="24"/>
          <w:szCs w:val="24"/>
        </w:rPr>
      </w:pPr>
      <w:r w:rsidRPr="00E7726F">
        <w:rPr>
          <w:sz w:val="24"/>
          <w:szCs w:val="24"/>
        </w:rPr>
        <w:t>Desuden kan følgende symptomer forekomme: Hypertermi og svedtendens, hvilket kan føre til dehydrering: Rastløshed, kramper, hallucinationer og hypoglykæmi. Depression af nervesystemet kan føre til koma, kardiovaskulær kollaps eller åndedrætsstop.</w:t>
      </w:r>
    </w:p>
    <w:p w14:paraId="4EF6192D" w14:textId="77777777" w:rsidR="00E7726F" w:rsidRPr="00E7726F" w:rsidRDefault="00E7726F" w:rsidP="00E7726F">
      <w:pPr>
        <w:tabs>
          <w:tab w:val="left" w:pos="851"/>
        </w:tabs>
        <w:ind w:left="851"/>
        <w:rPr>
          <w:sz w:val="24"/>
          <w:szCs w:val="24"/>
        </w:rPr>
      </w:pPr>
    </w:p>
    <w:p w14:paraId="5230BE58" w14:textId="77777777" w:rsidR="00E7726F" w:rsidRPr="00E7726F" w:rsidRDefault="00E7726F" w:rsidP="00E7726F">
      <w:pPr>
        <w:tabs>
          <w:tab w:val="left" w:pos="851"/>
        </w:tabs>
        <w:ind w:left="851"/>
        <w:rPr>
          <w:sz w:val="24"/>
          <w:szCs w:val="24"/>
        </w:rPr>
      </w:pPr>
      <w:r w:rsidRPr="00E7726F">
        <w:rPr>
          <w:sz w:val="24"/>
          <w:szCs w:val="24"/>
          <w:u w:val="single"/>
        </w:rPr>
        <w:t>Behandling af overdosering</w:t>
      </w:r>
    </w:p>
    <w:p w14:paraId="33031E7F" w14:textId="77777777" w:rsidR="00E7726F" w:rsidRPr="00E7726F" w:rsidRDefault="00E7726F" w:rsidP="00E7726F">
      <w:pPr>
        <w:tabs>
          <w:tab w:val="left" w:pos="851"/>
        </w:tabs>
        <w:ind w:left="851"/>
        <w:rPr>
          <w:sz w:val="24"/>
          <w:szCs w:val="24"/>
        </w:rPr>
      </w:pPr>
      <w:r w:rsidRPr="00E7726F">
        <w:rPr>
          <w:sz w:val="24"/>
          <w:szCs w:val="24"/>
        </w:rPr>
        <w:t>Har patienten indtaget en giftig dosis, skal denne indlægges på hospitalet. I tilfælde af moderat forgiftning bør man forsøge at fremkalde opkastning hos patienten.</w:t>
      </w:r>
    </w:p>
    <w:p w14:paraId="19B5B087" w14:textId="77777777" w:rsidR="00E7726F" w:rsidRPr="00E7726F" w:rsidRDefault="00E7726F" w:rsidP="00E7726F">
      <w:pPr>
        <w:tabs>
          <w:tab w:val="left" w:pos="851"/>
        </w:tabs>
        <w:ind w:left="851"/>
        <w:rPr>
          <w:sz w:val="24"/>
          <w:szCs w:val="24"/>
        </w:rPr>
      </w:pPr>
      <w:r w:rsidRPr="00E7726F">
        <w:rPr>
          <w:sz w:val="24"/>
          <w:szCs w:val="24"/>
        </w:rPr>
        <w:t>Hvis dette mislykkes, kan man forsøge at udføre maveskylning inden for den første time efter indtagelse af en betydelig mængde af lægemidlet. Derefter skal der gives aktivt kul (adsorberende middel) og natriumsulfat (afføringsmiddel).</w:t>
      </w:r>
    </w:p>
    <w:p w14:paraId="6A41DBF8" w14:textId="77777777" w:rsidR="00E7726F" w:rsidRPr="00E7726F" w:rsidRDefault="00E7726F" w:rsidP="00E7726F">
      <w:pPr>
        <w:tabs>
          <w:tab w:val="left" w:pos="851"/>
        </w:tabs>
        <w:ind w:left="851"/>
        <w:rPr>
          <w:sz w:val="24"/>
          <w:szCs w:val="24"/>
        </w:rPr>
      </w:pPr>
      <w:r w:rsidRPr="00E7726F">
        <w:rPr>
          <w:sz w:val="24"/>
          <w:szCs w:val="24"/>
        </w:rPr>
        <w:t>Aktivt kul kan gives som en enkelt dosis (50 g til voksne, 1 g/kg kropsvægt til børn op til 12 år).</w:t>
      </w:r>
    </w:p>
    <w:p w14:paraId="7BA0AA62" w14:textId="77777777" w:rsidR="00E7726F" w:rsidRPr="00E7726F" w:rsidRDefault="00E7726F" w:rsidP="00E7726F">
      <w:pPr>
        <w:tabs>
          <w:tab w:val="left" w:pos="851"/>
        </w:tabs>
        <w:ind w:left="851"/>
        <w:rPr>
          <w:sz w:val="24"/>
          <w:szCs w:val="24"/>
        </w:rPr>
      </w:pPr>
      <w:r w:rsidRPr="00E7726F">
        <w:rPr>
          <w:sz w:val="24"/>
          <w:szCs w:val="24"/>
        </w:rPr>
        <w:t>Alkalisering af urinen (250 mmol NaHCO3 i tre timer) under overvågning af urinens pH-værdi. I tilfælde af alvorlig forgiftning er hæmodialyse at foretrække. Andre symptomer skal behandles symptomatisk.</w:t>
      </w:r>
    </w:p>
    <w:p w14:paraId="5DB56404" w14:textId="77777777" w:rsidR="00E7726F" w:rsidRPr="00E7726F" w:rsidRDefault="00E7726F" w:rsidP="00E7726F">
      <w:pPr>
        <w:tabs>
          <w:tab w:val="left" w:pos="851"/>
        </w:tabs>
        <w:ind w:left="851"/>
        <w:rPr>
          <w:sz w:val="24"/>
          <w:szCs w:val="24"/>
        </w:rPr>
      </w:pPr>
    </w:p>
    <w:p w14:paraId="4D0D63B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B7C527F" w14:textId="77777777" w:rsidR="00E7726F" w:rsidRPr="00E7726F" w:rsidRDefault="00E7726F" w:rsidP="00E7726F">
      <w:pPr>
        <w:tabs>
          <w:tab w:val="left" w:pos="851"/>
        </w:tabs>
        <w:ind w:left="851"/>
        <w:rPr>
          <w:sz w:val="24"/>
          <w:szCs w:val="24"/>
        </w:rPr>
      </w:pPr>
      <w:r w:rsidRPr="00E7726F">
        <w:rPr>
          <w:sz w:val="24"/>
          <w:szCs w:val="24"/>
        </w:rPr>
        <w:t>HX: Pakninger indeholdende højst 66 stk.</w:t>
      </w:r>
    </w:p>
    <w:p w14:paraId="2B75A8FB" w14:textId="77777777" w:rsidR="00E7726F" w:rsidRPr="00E7726F" w:rsidRDefault="00E7726F" w:rsidP="00E7726F">
      <w:pPr>
        <w:tabs>
          <w:tab w:val="left" w:pos="851"/>
        </w:tabs>
        <w:ind w:left="851"/>
        <w:rPr>
          <w:sz w:val="24"/>
          <w:szCs w:val="24"/>
        </w:rPr>
      </w:pPr>
      <w:r w:rsidRPr="00E7726F">
        <w:rPr>
          <w:sz w:val="24"/>
          <w:szCs w:val="24"/>
        </w:rPr>
        <w:t>HA: Pakninger indeholdende højst 133 stk.</w:t>
      </w:r>
    </w:p>
    <w:p w14:paraId="15B6BCAC" w14:textId="5BAFED7B" w:rsidR="009260DE" w:rsidRPr="00E7726F" w:rsidRDefault="00E7726F" w:rsidP="00E7726F">
      <w:pPr>
        <w:tabs>
          <w:tab w:val="left" w:pos="851"/>
        </w:tabs>
        <w:ind w:left="851"/>
        <w:rPr>
          <w:sz w:val="24"/>
          <w:szCs w:val="24"/>
        </w:rPr>
      </w:pPr>
      <w:r w:rsidRPr="00E7726F">
        <w:rPr>
          <w:sz w:val="24"/>
          <w:szCs w:val="24"/>
        </w:rPr>
        <w:t>B: Ingen øvre grænse.</w:t>
      </w:r>
    </w:p>
    <w:p w14:paraId="1E70C284" w14:textId="77777777" w:rsidR="009260DE" w:rsidRPr="00C84483" w:rsidRDefault="009260DE" w:rsidP="009260DE">
      <w:pPr>
        <w:tabs>
          <w:tab w:val="left" w:pos="851"/>
        </w:tabs>
        <w:ind w:left="851"/>
        <w:rPr>
          <w:sz w:val="24"/>
          <w:szCs w:val="24"/>
        </w:rPr>
      </w:pPr>
    </w:p>
    <w:p w14:paraId="66E305FC" w14:textId="77777777" w:rsidR="009260DE" w:rsidRPr="00C84483" w:rsidRDefault="009260DE" w:rsidP="009260DE">
      <w:pPr>
        <w:tabs>
          <w:tab w:val="left" w:pos="851"/>
        </w:tabs>
        <w:ind w:left="851"/>
        <w:rPr>
          <w:sz w:val="24"/>
          <w:szCs w:val="24"/>
        </w:rPr>
      </w:pPr>
    </w:p>
    <w:p w14:paraId="2E69920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2314E014" w14:textId="77777777" w:rsidR="009260DE" w:rsidRPr="00C84483" w:rsidRDefault="009260DE" w:rsidP="009260DE">
      <w:pPr>
        <w:tabs>
          <w:tab w:val="left" w:pos="851"/>
        </w:tabs>
        <w:ind w:left="851"/>
        <w:rPr>
          <w:sz w:val="24"/>
          <w:szCs w:val="24"/>
        </w:rPr>
      </w:pPr>
    </w:p>
    <w:p w14:paraId="72E5338F"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BCFB5EE" w14:textId="29E8D45A" w:rsidR="00E7726F" w:rsidRDefault="00E7726F" w:rsidP="00E7726F">
      <w:pPr>
        <w:tabs>
          <w:tab w:val="left" w:pos="851"/>
        </w:tabs>
        <w:ind w:left="851"/>
        <w:rPr>
          <w:sz w:val="24"/>
          <w:szCs w:val="24"/>
        </w:rPr>
      </w:pPr>
      <w:r w:rsidRPr="00E7726F">
        <w:rPr>
          <w:sz w:val="24"/>
          <w:szCs w:val="24"/>
        </w:rPr>
        <w:t>Farmakoterapeutisk gruppe: Antitrombotiske midler: blodpladeaggregationshæmmere undtagen heparin, ATC-kode: B01AC06.</w:t>
      </w:r>
    </w:p>
    <w:p w14:paraId="64274EC5" w14:textId="77777777" w:rsidR="00E7726F" w:rsidRPr="00E7726F" w:rsidRDefault="00E7726F" w:rsidP="00E7726F">
      <w:pPr>
        <w:tabs>
          <w:tab w:val="left" w:pos="851"/>
        </w:tabs>
        <w:ind w:left="851"/>
        <w:rPr>
          <w:sz w:val="24"/>
          <w:szCs w:val="24"/>
        </w:rPr>
      </w:pPr>
    </w:p>
    <w:p w14:paraId="1A83569C" w14:textId="5305BFBF" w:rsidR="00E7726F" w:rsidRDefault="00E7726F" w:rsidP="00E7726F">
      <w:pPr>
        <w:tabs>
          <w:tab w:val="left" w:pos="851"/>
        </w:tabs>
        <w:ind w:left="851"/>
        <w:rPr>
          <w:sz w:val="24"/>
          <w:szCs w:val="24"/>
        </w:rPr>
      </w:pPr>
      <w:r w:rsidRPr="00E7726F">
        <w:rPr>
          <w:sz w:val="24"/>
          <w:szCs w:val="24"/>
        </w:rPr>
        <w:t>Acetylsalicylsyre hæmmer blodpladernes aktivering. Ved at blokere blodpladernes cyclooxygenase gennem acetylering hæmmer det syntesen af thromboxan A2, et fysiologisk aktiverende stof, der frigives af blodpladerne og som spiller en rolle i komplikationerne ved atheromatøse læsioner.</w:t>
      </w:r>
    </w:p>
    <w:p w14:paraId="3B9E6EEC" w14:textId="77777777" w:rsidR="00E7726F" w:rsidRPr="00E7726F" w:rsidRDefault="00E7726F" w:rsidP="00E7726F">
      <w:pPr>
        <w:tabs>
          <w:tab w:val="left" w:pos="851"/>
        </w:tabs>
        <w:ind w:left="851"/>
        <w:rPr>
          <w:sz w:val="24"/>
          <w:szCs w:val="24"/>
        </w:rPr>
      </w:pPr>
      <w:r w:rsidRPr="00E7726F">
        <w:rPr>
          <w:sz w:val="24"/>
          <w:szCs w:val="24"/>
        </w:rPr>
        <w:t>Hæmning af TXA2-syntese er irreversibel, fordi trombocytter, som ikke har nogen cellekerne, ikke er i stand til (grundet manglende proteinsynteseevne) at syntetisere nyt cyclooxygenase, som acetylsalicylsyren har acetyleret.</w:t>
      </w:r>
    </w:p>
    <w:p w14:paraId="2E0FA990" w14:textId="77777777" w:rsidR="00E7726F" w:rsidRDefault="00E7726F" w:rsidP="00E7726F">
      <w:pPr>
        <w:tabs>
          <w:tab w:val="left" w:pos="851"/>
        </w:tabs>
        <w:ind w:left="851"/>
        <w:rPr>
          <w:sz w:val="24"/>
          <w:szCs w:val="24"/>
        </w:rPr>
      </w:pPr>
    </w:p>
    <w:p w14:paraId="48121BD1" w14:textId="571725BD" w:rsidR="00E7726F" w:rsidRPr="00E7726F" w:rsidRDefault="00E7726F" w:rsidP="00E7726F">
      <w:pPr>
        <w:tabs>
          <w:tab w:val="left" w:pos="851"/>
        </w:tabs>
        <w:ind w:left="851"/>
        <w:rPr>
          <w:sz w:val="24"/>
          <w:szCs w:val="24"/>
        </w:rPr>
      </w:pPr>
      <w:r w:rsidRPr="00E7726F">
        <w:rPr>
          <w:sz w:val="24"/>
          <w:szCs w:val="24"/>
        </w:rPr>
        <w:t>De gentagne doser fra 20 til 325 mg medfører en hæmning af den enzymatiske aktivitet fra 30 til 95 %. På grund af bindingens irreversible karakter varer effekten i hele blodpladernes levetid (7-10 dage). Den hæmmende virkning ophører ikke under langvarige behandlinger, og den enzymatiske aktivitet genoptages gradvist, når blodpladerne fornyes 24 til 48 timer efter afbrydelse af behandlingen.</w:t>
      </w:r>
    </w:p>
    <w:p w14:paraId="79C1F0B9" w14:textId="77777777" w:rsidR="00E7726F" w:rsidRPr="00E7726F" w:rsidRDefault="00E7726F" w:rsidP="00E7726F">
      <w:pPr>
        <w:tabs>
          <w:tab w:val="left" w:pos="851"/>
        </w:tabs>
        <w:ind w:left="851"/>
        <w:rPr>
          <w:sz w:val="24"/>
          <w:szCs w:val="24"/>
        </w:rPr>
      </w:pPr>
      <w:r w:rsidRPr="00E7726F">
        <w:rPr>
          <w:sz w:val="24"/>
          <w:szCs w:val="24"/>
        </w:rPr>
        <w:t>Acetylsalicylsyre forlænger blødningstiden i gennemsnit med ca. 50 til 100 %, men der kan observeres individuelle variationer.</w:t>
      </w:r>
    </w:p>
    <w:p w14:paraId="36C24D2A" w14:textId="77777777" w:rsidR="00E7726F" w:rsidRDefault="00E7726F" w:rsidP="00E7726F">
      <w:pPr>
        <w:tabs>
          <w:tab w:val="left" w:pos="851"/>
        </w:tabs>
        <w:ind w:left="851"/>
        <w:rPr>
          <w:sz w:val="24"/>
          <w:szCs w:val="24"/>
        </w:rPr>
      </w:pPr>
    </w:p>
    <w:p w14:paraId="203CD435" w14:textId="69BA9A67" w:rsidR="00E7726F" w:rsidRPr="00E7726F" w:rsidRDefault="00E7726F" w:rsidP="00E7726F">
      <w:pPr>
        <w:tabs>
          <w:tab w:val="left" w:pos="851"/>
        </w:tabs>
        <w:ind w:left="851"/>
        <w:rPr>
          <w:sz w:val="24"/>
          <w:szCs w:val="24"/>
        </w:rPr>
      </w:pPr>
      <w:r w:rsidRPr="00E7726F">
        <w:rPr>
          <w:sz w:val="24"/>
          <w:szCs w:val="24"/>
        </w:rPr>
        <w:t>Eksperimentelle data tyder på, at ibuprofen kan hæmme virkningen af lavdosis acetylsalicylsyre på blodpladeaggregering, når det gives samtidigt.</w:t>
      </w:r>
    </w:p>
    <w:p w14:paraId="58A5B76A" w14:textId="77777777" w:rsidR="00E7726F" w:rsidRPr="00E7726F" w:rsidRDefault="00E7726F" w:rsidP="00E7726F">
      <w:pPr>
        <w:tabs>
          <w:tab w:val="left" w:pos="851"/>
        </w:tabs>
        <w:ind w:left="851"/>
        <w:rPr>
          <w:sz w:val="24"/>
          <w:szCs w:val="24"/>
        </w:rPr>
      </w:pPr>
      <w:r w:rsidRPr="00E7726F">
        <w:rPr>
          <w:sz w:val="24"/>
          <w:szCs w:val="24"/>
        </w:rPr>
        <w:t xml:space="preserve">I ét forsøg, hvor en enkelt dosis ibuprofen 400 mg blev indtaget inden for 8 timer før eller inden for 30 minutter efter indtagelse af acetylsalicylsyre med øjeblikkelig frigivelse (81 mg), opstod der en nedsat virkning af acetylsalicylsyre på dannelsen af thromboxan eller blodpladeaggregering. Begrænsningerne ved disse data og usikkerheden vedrørende ekstrapolering af </w:t>
      </w:r>
      <w:r w:rsidRPr="00E7726F">
        <w:rPr>
          <w:i/>
          <w:iCs/>
          <w:sz w:val="24"/>
          <w:szCs w:val="24"/>
        </w:rPr>
        <w:t>ex vivo</w:t>
      </w:r>
      <w:r w:rsidRPr="00E7726F">
        <w:rPr>
          <w:sz w:val="24"/>
          <w:szCs w:val="24"/>
        </w:rPr>
        <w:t>-data til den kliniske situation betyder imidlertid, at der ikke kan drages nogen endelige konklusioner om regelmæssig brug af ibuprofen, og at der ikke antages at være nogen klinisk relevant effekt ved lejlighedsvis brug af ibuprofen.</w:t>
      </w:r>
    </w:p>
    <w:p w14:paraId="08C1B62B" w14:textId="77777777" w:rsidR="009260DE" w:rsidRPr="00C84483" w:rsidRDefault="009260DE" w:rsidP="009260DE">
      <w:pPr>
        <w:tabs>
          <w:tab w:val="left" w:pos="851"/>
        </w:tabs>
        <w:ind w:left="851"/>
        <w:rPr>
          <w:sz w:val="24"/>
          <w:szCs w:val="24"/>
        </w:rPr>
      </w:pPr>
    </w:p>
    <w:p w14:paraId="0A764220"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0FF7AB5" w14:textId="77777777" w:rsidR="00E7726F" w:rsidRPr="009861F3" w:rsidRDefault="00E7726F" w:rsidP="00E7726F">
      <w:pPr>
        <w:tabs>
          <w:tab w:val="left" w:pos="851"/>
        </w:tabs>
        <w:ind w:left="851"/>
        <w:rPr>
          <w:b/>
          <w:sz w:val="24"/>
          <w:szCs w:val="24"/>
        </w:rPr>
      </w:pPr>
    </w:p>
    <w:p w14:paraId="2413533D" w14:textId="77777777" w:rsidR="00E7726F" w:rsidRPr="00E7726F" w:rsidRDefault="00E7726F" w:rsidP="00E7726F">
      <w:pPr>
        <w:tabs>
          <w:tab w:val="left" w:pos="851"/>
        </w:tabs>
        <w:ind w:left="851"/>
        <w:rPr>
          <w:sz w:val="24"/>
          <w:szCs w:val="24"/>
        </w:rPr>
      </w:pPr>
      <w:r w:rsidRPr="00E7726F">
        <w:rPr>
          <w:sz w:val="24"/>
          <w:szCs w:val="24"/>
          <w:u w:val="single"/>
        </w:rPr>
        <w:t>Absorption</w:t>
      </w:r>
    </w:p>
    <w:p w14:paraId="146D0AB4" w14:textId="77777777" w:rsidR="00E7726F" w:rsidRPr="00E7726F" w:rsidRDefault="00E7726F" w:rsidP="00E7726F">
      <w:pPr>
        <w:tabs>
          <w:tab w:val="left" w:pos="851"/>
        </w:tabs>
        <w:ind w:left="851"/>
        <w:rPr>
          <w:sz w:val="24"/>
          <w:szCs w:val="24"/>
        </w:rPr>
      </w:pPr>
      <w:r w:rsidRPr="00E7726F">
        <w:rPr>
          <w:sz w:val="24"/>
          <w:szCs w:val="24"/>
        </w:rPr>
        <w:t>Efter oral indgift absorberes acetylsalicylsyre hurtigt fra mave-tarmkanalen. Dog hydrolyseres en betydelig del af doseringen allerede til salicylsyre i tarmvæggen under absorptionsprocessen.</w:t>
      </w:r>
    </w:p>
    <w:p w14:paraId="36405011" w14:textId="77777777" w:rsidR="00E7726F" w:rsidRPr="00E7726F" w:rsidRDefault="00E7726F" w:rsidP="00E7726F">
      <w:pPr>
        <w:tabs>
          <w:tab w:val="left" w:pos="851"/>
        </w:tabs>
        <w:ind w:left="851"/>
        <w:rPr>
          <w:sz w:val="24"/>
          <w:szCs w:val="24"/>
        </w:rPr>
      </w:pPr>
    </w:p>
    <w:p w14:paraId="5C4C6A40" w14:textId="77777777" w:rsidR="00E7726F" w:rsidRPr="00E7726F" w:rsidRDefault="00E7726F" w:rsidP="00E7726F">
      <w:pPr>
        <w:tabs>
          <w:tab w:val="left" w:pos="851"/>
        </w:tabs>
        <w:ind w:left="851"/>
        <w:rPr>
          <w:sz w:val="24"/>
          <w:szCs w:val="24"/>
        </w:rPr>
      </w:pPr>
      <w:r w:rsidRPr="00E7726F">
        <w:rPr>
          <w:sz w:val="24"/>
          <w:szCs w:val="24"/>
          <w:u w:val="single"/>
        </w:rPr>
        <w:t>Fordeling</w:t>
      </w:r>
    </w:p>
    <w:p w14:paraId="7A94FD6D" w14:textId="77777777" w:rsidR="00E7726F" w:rsidRPr="00E7726F" w:rsidRDefault="00E7726F" w:rsidP="00E7726F">
      <w:pPr>
        <w:tabs>
          <w:tab w:val="left" w:pos="851"/>
        </w:tabs>
        <w:ind w:left="851"/>
        <w:rPr>
          <w:sz w:val="24"/>
          <w:szCs w:val="24"/>
        </w:rPr>
      </w:pPr>
      <w:r w:rsidRPr="00E7726F">
        <w:rPr>
          <w:sz w:val="24"/>
          <w:szCs w:val="24"/>
        </w:rPr>
        <w:t>Acetylsalicylsyre og den vigtigste metabolit, salicylsyre, bindes i stort omfang til plasmaproteiner, primært albumin, og distribueres hurtigt til alle dele af kroppen. Den maksimale plasmakoncentration nås efter 0,3-2 timer (total salicylat). Distributionsvolumenet for acetylsalicylsyre er ca. 0,16 l/kg kropsvægt.</w:t>
      </w:r>
    </w:p>
    <w:p w14:paraId="40CB392E" w14:textId="77777777" w:rsidR="00E7726F" w:rsidRPr="00E7726F" w:rsidRDefault="00E7726F" w:rsidP="00E7726F">
      <w:pPr>
        <w:tabs>
          <w:tab w:val="left" w:pos="851"/>
        </w:tabs>
        <w:ind w:left="851"/>
        <w:rPr>
          <w:sz w:val="24"/>
          <w:szCs w:val="24"/>
        </w:rPr>
      </w:pPr>
    </w:p>
    <w:p w14:paraId="4F5D79D8" w14:textId="77777777" w:rsidR="00E7726F" w:rsidRPr="00E7726F" w:rsidRDefault="00E7726F" w:rsidP="00E7726F">
      <w:pPr>
        <w:tabs>
          <w:tab w:val="left" w:pos="851"/>
        </w:tabs>
        <w:ind w:left="851"/>
        <w:rPr>
          <w:sz w:val="24"/>
          <w:szCs w:val="24"/>
        </w:rPr>
      </w:pPr>
      <w:r w:rsidRPr="00E7726F">
        <w:rPr>
          <w:sz w:val="24"/>
          <w:szCs w:val="24"/>
          <w:u w:val="single"/>
        </w:rPr>
        <w:t>Biotransformation</w:t>
      </w:r>
    </w:p>
    <w:p w14:paraId="50182F08" w14:textId="77777777" w:rsidR="00E7726F" w:rsidRPr="00E7726F" w:rsidRDefault="00E7726F" w:rsidP="00E7726F">
      <w:pPr>
        <w:tabs>
          <w:tab w:val="left" w:pos="851"/>
        </w:tabs>
        <w:ind w:left="851"/>
        <w:rPr>
          <w:sz w:val="24"/>
          <w:szCs w:val="24"/>
        </w:rPr>
      </w:pPr>
      <w:r w:rsidRPr="00E7726F">
        <w:rPr>
          <w:sz w:val="24"/>
          <w:szCs w:val="24"/>
        </w:rPr>
        <w:t>Acetylsalicylsyre metaboliseres hurtigt til salicylsyre med en halveringstid på 15-30 minutter. Salicylsyre omdannes efterfølgende hovedsageligt til glycin- og glucuronsyrekonjugater.</w:t>
      </w:r>
    </w:p>
    <w:p w14:paraId="4AD11E65" w14:textId="77777777" w:rsidR="00E7726F" w:rsidRPr="00E7726F" w:rsidRDefault="00E7726F" w:rsidP="00E7726F">
      <w:pPr>
        <w:tabs>
          <w:tab w:val="left" w:pos="851"/>
        </w:tabs>
        <w:ind w:left="851"/>
        <w:rPr>
          <w:sz w:val="24"/>
          <w:szCs w:val="24"/>
        </w:rPr>
      </w:pPr>
      <w:r w:rsidRPr="00E7726F">
        <w:rPr>
          <w:sz w:val="24"/>
          <w:szCs w:val="24"/>
        </w:rPr>
        <w:t>Eliminationskinetikken for salicylsyre er dosisafhængig, da metabolismen er begrænset af lever-enzymkapaciteten. Halveringstiden varierer således og er 2-3 timer ved lave doser (75 mg-160 mg).</w:t>
      </w:r>
    </w:p>
    <w:p w14:paraId="5387F663" w14:textId="77777777" w:rsidR="00E7726F" w:rsidRPr="00E7726F" w:rsidRDefault="00E7726F" w:rsidP="00E7726F">
      <w:pPr>
        <w:tabs>
          <w:tab w:val="left" w:pos="851"/>
        </w:tabs>
        <w:ind w:left="851"/>
        <w:rPr>
          <w:sz w:val="24"/>
          <w:szCs w:val="24"/>
        </w:rPr>
      </w:pPr>
    </w:p>
    <w:p w14:paraId="22040ACF" w14:textId="77777777" w:rsidR="00E7726F" w:rsidRPr="00E7726F" w:rsidRDefault="00E7726F" w:rsidP="00E7726F">
      <w:pPr>
        <w:tabs>
          <w:tab w:val="left" w:pos="851"/>
        </w:tabs>
        <w:ind w:left="851"/>
        <w:rPr>
          <w:sz w:val="24"/>
          <w:szCs w:val="24"/>
        </w:rPr>
      </w:pPr>
      <w:r w:rsidRPr="00E7726F">
        <w:rPr>
          <w:sz w:val="24"/>
          <w:szCs w:val="24"/>
          <w:u w:val="single"/>
        </w:rPr>
        <w:t>Elimination</w:t>
      </w:r>
    </w:p>
    <w:p w14:paraId="101F6EAF" w14:textId="77777777" w:rsidR="00E7726F" w:rsidRPr="00E7726F" w:rsidRDefault="00E7726F" w:rsidP="00E7726F">
      <w:pPr>
        <w:tabs>
          <w:tab w:val="left" w:pos="851"/>
        </w:tabs>
        <w:ind w:left="851"/>
        <w:rPr>
          <w:sz w:val="24"/>
          <w:szCs w:val="24"/>
        </w:rPr>
      </w:pPr>
      <w:r w:rsidRPr="00E7726F">
        <w:rPr>
          <w:sz w:val="24"/>
          <w:szCs w:val="24"/>
        </w:rPr>
        <w:t>Salicylsyre og dens metabolitter udskilles hovedsageligt via nyrerne.</w:t>
      </w:r>
    </w:p>
    <w:p w14:paraId="4F4C4FEC" w14:textId="77777777" w:rsidR="009260DE" w:rsidRPr="00C84483" w:rsidRDefault="009260DE" w:rsidP="009260DE">
      <w:pPr>
        <w:tabs>
          <w:tab w:val="left" w:pos="851"/>
        </w:tabs>
        <w:ind w:left="851"/>
        <w:rPr>
          <w:sz w:val="24"/>
          <w:szCs w:val="24"/>
        </w:rPr>
      </w:pPr>
    </w:p>
    <w:p w14:paraId="3DA30074"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3F1632B" w14:textId="77777777" w:rsidR="00E7726F" w:rsidRPr="00E7726F" w:rsidRDefault="00E7726F" w:rsidP="00E7726F">
      <w:pPr>
        <w:tabs>
          <w:tab w:val="left" w:pos="851"/>
        </w:tabs>
        <w:ind w:left="851"/>
        <w:rPr>
          <w:sz w:val="24"/>
          <w:szCs w:val="24"/>
        </w:rPr>
      </w:pPr>
      <w:r w:rsidRPr="00E7726F">
        <w:rPr>
          <w:sz w:val="24"/>
          <w:szCs w:val="24"/>
        </w:rPr>
        <w:t>Den non-kliniske sikkerhedsprofil for acetylsalicylsyre er veldokumenteret.</w:t>
      </w:r>
    </w:p>
    <w:p w14:paraId="3E764442" w14:textId="77777777" w:rsidR="00E7726F" w:rsidRPr="00E7726F" w:rsidRDefault="00E7726F" w:rsidP="00E7726F">
      <w:pPr>
        <w:tabs>
          <w:tab w:val="left" w:pos="851"/>
        </w:tabs>
        <w:ind w:left="851"/>
        <w:rPr>
          <w:sz w:val="24"/>
          <w:szCs w:val="24"/>
        </w:rPr>
      </w:pPr>
      <w:r w:rsidRPr="00E7726F">
        <w:rPr>
          <w:sz w:val="24"/>
          <w:szCs w:val="24"/>
        </w:rPr>
        <w:t>I eksperimentelle dyreforsøg har salicylater ikke vist andre organskader end nyreskader. I rotteforsøg blev der observeret fostertoksicitet og teratogene virkninger ved acetylsalicylsyre i maternotoksiske doser. Den kliniske relevans er ukendt, da de doser, der anvendes i non-kliniske studier, er meget højere (mindst 7 gange) end de maksimale anbefalede doser ved målrettede, kardiovaskulære indikationer. Acetylsalicylsyre er blevet grundigt undersøgt med hensyn til mutagene og kræft-fremkaldende virkninger. Resultaterne som helhed viser ingen relevante tegn på mutagene eller kræftfremkaldende virkninger i forsøg med mus og rotter.</w:t>
      </w:r>
    </w:p>
    <w:p w14:paraId="5A25776F" w14:textId="77777777" w:rsidR="00E7726F" w:rsidRPr="00E7726F" w:rsidRDefault="00E7726F" w:rsidP="00E7726F">
      <w:pPr>
        <w:tabs>
          <w:tab w:val="left" w:pos="851"/>
        </w:tabs>
        <w:ind w:left="851"/>
        <w:rPr>
          <w:sz w:val="24"/>
          <w:szCs w:val="24"/>
        </w:rPr>
      </w:pPr>
    </w:p>
    <w:p w14:paraId="4FD323AE" w14:textId="00F5F03F" w:rsidR="00E7726F" w:rsidRDefault="00E7726F">
      <w:pPr>
        <w:rPr>
          <w:sz w:val="24"/>
          <w:szCs w:val="24"/>
        </w:rPr>
      </w:pPr>
      <w:r>
        <w:rPr>
          <w:sz w:val="24"/>
          <w:szCs w:val="24"/>
        </w:rPr>
        <w:br w:type="page"/>
      </w:r>
    </w:p>
    <w:p w14:paraId="760E6452" w14:textId="77777777" w:rsidR="009260DE" w:rsidRPr="00C84483" w:rsidRDefault="009260DE" w:rsidP="009260DE">
      <w:pPr>
        <w:tabs>
          <w:tab w:val="left" w:pos="851"/>
        </w:tabs>
        <w:ind w:left="851"/>
        <w:rPr>
          <w:sz w:val="24"/>
          <w:szCs w:val="24"/>
        </w:rPr>
      </w:pPr>
    </w:p>
    <w:p w14:paraId="720C9D74"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690163C6" w14:textId="77777777" w:rsidR="009260DE" w:rsidRPr="00BA09F1" w:rsidRDefault="009260DE" w:rsidP="009260DE">
      <w:pPr>
        <w:tabs>
          <w:tab w:val="left" w:pos="851"/>
        </w:tabs>
        <w:ind w:left="851"/>
        <w:rPr>
          <w:sz w:val="24"/>
          <w:szCs w:val="24"/>
        </w:rPr>
      </w:pPr>
    </w:p>
    <w:p w14:paraId="755D8DD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6276AC8F" w14:textId="77777777" w:rsidR="00E7726F" w:rsidRPr="009861F3" w:rsidRDefault="00E7726F" w:rsidP="00E7726F">
      <w:pPr>
        <w:tabs>
          <w:tab w:val="left" w:pos="851"/>
        </w:tabs>
        <w:ind w:left="851"/>
        <w:rPr>
          <w:b/>
          <w:sz w:val="24"/>
          <w:szCs w:val="24"/>
        </w:rPr>
      </w:pPr>
    </w:p>
    <w:p w14:paraId="7DC6D35F" w14:textId="77777777" w:rsidR="00E7726F" w:rsidRPr="00E7726F" w:rsidRDefault="00E7726F" w:rsidP="00E7726F">
      <w:pPr>
        <w:tabs>
          <w:tab w:val="left" w:pos="851"/>
        </w:tabs>
        <w:ind w:left="851"/>
        <w:rPr>
          <w:iCs/>
          <w:sz w:val="24"/>
          <w:szCs w:val="24"/>
          <w:u w:val="single"/>
        </w:rPr>
      </w:pPr>
      <w:r w:rsidRPr="00E7726F">
        <w:rPr>
          <w:iCs/>
          <w:sz w:val="24"/>
          <w:szCs w:val="24"/>
          <w:u w:val="single"/>
        </w:rPr>
        <w:t>Tabletkerne</w:t>
      </w:r>
    </w:p>
    <w:p w14:paraId="4FA7D327" w14:textId="77777777" w:rsidR="00E7726F" w:rsidRPr="00E7726F" w:rsidRDefault="00E7726F" w:rsidP="00E7726F">
      <w:pPr>
        <w:tabs>
          <w:tab w:val="left" w:pos="851"/>
        </w:tabs>
        <w:ind w:left="851"/>
        <w:rPr>
          <w:sz w:val="24"/>
          <w:szCs w:val="24"/>
        </w:rPr>
      </w:pPr>
      <w:r w:rsidRPr="00E7726F">
        <w:rPr>
          <w:sz w:val="24"/>
          <w:szCs w:val="24"/>
        </w:rPr>
        <w:t>Majsstivelse</w:t>
      </w:r>
    </w:p>
    <w:p w14:paraId="745C71E1" w14:textId="77777777" w:rsidR="00E7726F" w:rsidRPr="00E7726F" w:rsidRDefault="00E7726F" w:rsidP="00E7726F">
      <w:pPr>
        <w:tabs>
          <w:tab w:val="left" w:pos="851"/>
        </w:tabs>
        <w:ind w:left="851"/>
        <w:rPr>
          <w:sz w:val="24"/>
          <w:szCs w:val="24"/>
        </w:rPr>
      </w:pPr>
      <w:r w:rsidRPr="00E7726F">
        <w:rPr>
          <w:sz w:val="24"/>
          <w:szCs w:val="24"/>
        </w:rPr>
        <w:t>Natriumstivelsesglycolat (type A)</w:t>
      </w:r>
    </w:p>
    <w:p w14:paraId="1989C877" w14:textId="77777777" w:rsidR="00E7726F" w:rsidRPr="00E7726F" w:rsidRDefault="00E7726F" w:rsidP="00E7726F">
      <w:pPr>
        <w:tabs>
          <w:tab w:val="left" w:pos="851"/>
        </w:tabs>
        <w:ind w:left="851"/>
        <w:rPr>
          <w:sz w:val="24"/>
          <w:szCs w:val="24"/>
        </w:rPr>
      </w:pPr>
    </w:p>
    <w:p w14:paraId="55DC3D4B" w14:textId="77777777" w:rsidR="00E7726F" w:rsidRPr="00E7726F" w:rsidRDefault="00E7726F" w:rsidP="00E7726F">
      <w:pPr>
        <w:tabs>
          <w:tab w:val="left" w:pos="851"/>
        </w:tabs>
        <w:ind w:left="851"/>
        <w:rPr>
          <w:iCs/>
          <w:sz w:val="24"/>
          <w:szCs w:val="24"/>
          <w:u w:val="single"/>
        </w:rPr>
      </w:pPr>
      <w:r w:rsidRPr="00E7726F">
        <w:rPr>
          <w:iCs/>
          <w:sz w:val="24"/>
          <w:szCs w:val="24"/>
          <w:u w:val="single"/>
        </w:rPr>
        <w:t>Filmovertræk</w:t>
      </w:r>
    </w:p>
    <w:p w14:paraId="7D284BB2" w14:textId="77777777" w:rsidR="00E7726F" w:rsidRPr="00E7726F" w:rsidRDefault="00E7726F" w:rsidP="00E7726F">
      <w:pPr>
        <w:tabs>
          <w:tab w:val="left" w:pos="851"/>
        </w:tabs>
        <w:ind w:left="851"/>
        <w:rPr>
          <w:sz w:val="24"/>
          <w:szCs w:val="24"/>
        </w:rPr>
      </w:pPr>
      <w:r w:rsidRPr="00E7726F">
        <w:rPr>
          <w:sz w:val="24"/>
          <w:szCs w:val="24"/>
        </w:rPr>
        <w:t xml:space="preserve">Talcum </w:t>
      </w:r>
    </w:p>
    <w:p w14:paraId="0DECE99F" w14:textId="77777777" w:rsidR="00E7726F" w:rsidRPr="00E7726F" w:rsidRDefault="00E7726F" w:rsidP="00E7726F">
      <w:pPr>
        <w:tabs>
          <w:tab w:val="left" w:pos="851"/>
        </w:tabs>
        <w:ind w:left="851"/>
        <w:rPr>
          <w:sz w:val="24"/>
          <w:szCs w:val="24"/>
        </w:rPr>
      </w:pPr>
      <w:r w:rsidRPr="00E7726F">
        <w:rPr>
          <w:sz w:val="24"/>
          <w:szCs w:val="24"/>
        </w:rPr>
        <w:t xml:space="preserve">Makrogoler </w:t>
      </w:r>
    </w:p>
    <w:p w14:paraId="54CB3946" w14:textId="77777777" w:rsidR="00E7726F" w:rsidRPr="00E7726F" w:rsidRDefault="00E7726F" w:rsidP="00E7726F">
      <w:pPr>
        <w:tabs>
          <w:tab w:val="left" w:pos="851"/>
        </w:tabs>
        <w:ind w:left="851"/>
        <w:rPr>
          <w:sz w:val="24"/>
          <w:szCs w:val="24"/>
        </w:rPr>
      </w:pPr>
      <w:r w:rsidRPr="00E7726F">
        <w:rPr>
          <w:sz w:val="24"/>
          <w:szCs w:val="24"/>
        </w:rPr>
        <w:t xml:space="preserve">Titandioxid (E171) </w:t>
      </w:r>
    </w:p>
    <w:p w14:paraId="13611B55" w14:textId="77777777" w:rsidR="00E7726F" w:rsidRPr="00E7726F" w:rsidRDefault="00E7726F" w:rsidP="00E7726F">
      <w:pPr>
        <w:tabs>
          <w:tab w:val="left" w:pos="851"/>
        </w:tabs>
        <w:ind w:left="851"/>
        <w:rPr>
          <w:sz w:val="24"/>
          <w:szCs w:val="24"/>
        </w:rPr>
      </w:pPr>
      <w:r w:rsidRPr="00E7726F">
        <w:rPr>
          <w:sz w:val="24"/>
          <w:szCs w:val="24"/>
        </w:rPr>
        <w:t xml:space="preserve">Glycerolmonocaprylocaprat </w:t>
      </w:r>
    </w:p>
    <w:p w14:paraId="0F624ABF" w14:textId="77777777" w:rsidR="00E7726F" w:rsidRPr="00E7726F" w:rsidRDefault="00E7726F" w:rsidP="00E7726F">
      <w:pPr>
        <w:tabs>
          <w:tab w:val="left" w:pos="851"/>
        </w:tabs>
        <w:ind w:left="851"/>
        <w:rPr>
          <w:sz w:val="24"/>
          <w:szCs w:val="24"/>
        </w:rPr>
      </w:pPr>
      <w:r w:rsidRPr="00E7726F">
        <w:rPr>
          <w:sz w:val="24"/>
          <w:szCs w:val="24"/>
        </w:rPr>
        <w:t>Poly(vinylalkohol), delvist hydrolyseret</w:t>
      </w:r>
    </w:p>
    <w:p w14:paraId="280A43C6" w14:textId="77777777" w:rsidR="009260DE" w:rsidRPr="00C84483" w:rsidRDefault="009260DE" w:rsidP="009260DE">
      <w:pPr>
        <w:tabs>
          <w:tab w:val="left" w:pos="851"/>
        </w:tabs>
        <w:ind w:left="851"/>
        <w:rPr>
          <w:sz w:val="24"/>
          <w:szCs w:val="24"/>
        </w:rPr>
      </w:pPr>
    </w:p>
    <w:p w14:paraId="2CD6C16C"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5C71271" w14:textId="4917F36B" w:rsidR="009260DE" w:rsidRPr="00C84483" w:rsidRDefault="00E7726F" w:rsidP="009260DE">
      <w:pPr>
        <w:tabs>
          <w:tab w:val="left" w:pos="851"/>
        </w:tabs>
        <w:ind w:left="851"/>
        <w:rPr>
          <w:sz w:val="24"/>
          <w:szCs w:val="24"/>
        </w:rPr>
      </w:pPr>
      <w:r>
        <w:rPr>
          <w:sz w:val="24"/>
          <w:szCs w:val="24"/>
        </w:rPr>
        <w:t>Ikke relevant.</w:t>
      </w:r>
    </w:p>
    <w:p w14:paraId="011B5A76" w14:textId="77777777" w:rsidR="009260DE" w:rsidRPr="00C84483" w:rsidRDefault="009260DE" w:rsidP="009260DE">
      <w:pPr>
        <w:tabs>
          <w:tab w:val="left" w:pos="851"/>
        </w:tabs>
        <w:ind w:left="851"/>
        <w:rPr>
          <w:sz w:val="24"/>
          <w:szCs w:val="24"/>
        </w:rPr>
      </w:pPr>
    </w:p>
    <w:p w14:paraId="116A1971"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E5EBCD9" w14:textId="27CCBA26" w:rsidR="009260DE" w:rsidRPr="0089346F" w:rsidRDefault="00E7726F" w:rsidP="0089346F">
      <w:pPr>
        <w:tabs>
          <w:tab w:val="left" w:pos="851"/>
        </w:tabs>
        <w:ind w:left="851"/>
        <w:rPr>
          <w:rFonts w:eastAsia="MS Mincho" w:hAnsi="MS Mincho"/>
          <w:noProof/>
          <w:sz w:val="24"/>
          <w:szCs w:val="24"/>
        </w:rPr>
      </w:pPr>
      <w:r>
        <w:rPr>
          <w:sz w:val="24"/>
          <w:szCs w:val="24"/>
        </w:rPr>
        <w:t>3 år.</w:t>
      </w:r>
    </w:p>
    <w:p w14:paraId="037FAA0A" w14:textId="77777777" w:rsidR="009260DE" w:rsidRPr="00C84483" w:rsidRDefault="009260DE" w:rsidP="009260DE">
      <w:pPr>
        <w:tabs>
          <w:tab w:val="left" w:pos="851"/>
        </w:tabs>
        <w:ind w:left="851"/>
        <w:rPr>
          <w:sz w:val="24"/>
          <w:szCs w:val="24"/>
        </w:rPr>
      </w:pPr>
    </w:p>
    <w:p w14:paraId="53AAEB41"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3B48128" w14:textId="77777777" w:rsidR="00316095" w:rsidRPr="00316095" w:rsidRDefault="00316095" w:rsidP="00316095">
      <w:pPr>
        <w:tabs>
          <w:tab w:val="left" w:pos="851"/>
        </w:tabs>
        <w:ind w:left="851"/>
        <w:rPr>
          <w:sz w:val="24"/>
          <w:szCs w:val="24"/>
        </w:rPr>
      </w:pPr>
      <w:r w:rsidRPr="00316095">
        <w:rPr>
          <w:iCs/>
          <w:sz w:val="24"/>
          <w:szCs w:val="24"/>
        </w:rPr>
        <w:t>Blister:</w:t>
      </w:r>
      <w:r w:rsidRPr="00316095">
        <w:rPr>
          <w:sz w:val="24"/>
          <w:szCs w:val="24"/>
        </w:rPr>
        <w:t xml:space="preserve"> Må ikke opbevares ved temperatur over 30 °C.</w:t>
      </w:r>
    </w:p>
    <w:p w14:paraId="0ECBA198" w14:textId="31641698" w:rsidR="00316095" w:rsidRPr="00316095" w:rsidRDefault="00316095" w:rsidP="00316095">
      <w:pPr>
        <w:tabs>
          <w:tab w:val="left" w:pos="851"/>
        </w:tabs>
        <w:ind w:left="851"/>
        <w:rPr>
          <w:sz w:val="24"/>
          <w:szCs w:val="24"/>
        </w:rPr>
      </w:pPr>
      <w:bookmarkStart w:id="1" w:name="_Hlk209515361"/>
      <w:r>
        <w:rPr>
          <w:iCs/>
          <w:sz w:val="24"/>
          <w:szCs w:val="24"/>
        </w:rPr>
        <w:t>HDPE-b</w:t>
      </w:r>
      <w:r w:rsidRPr="00316095">
        <w:rPr>
          <w:iCs/>
          <w:sz w:val="24"/>
          <w:szCs w:val="24"/>
        </w:rPr>
        <w:t>eholder:</w:t>
      </w:r>
      <w:r w:rsidRPr="00316095">
        <w:rPr>
          <w:sz w:val="24"/>
          <w:szCs w:val="24"/>
        </w:rPr>
        <w:t xml:space="preserve"> Dette lægemiddel kræver ingen særlige opbevaringsbetingelser.</w:t>
      </w:r>
      <w:bookmarkEnd w:id="1"/>
    </w:p>
    <w:p w14:paraId="04BD4747" w14:textId="77777777" w:rsidR="009260DE" w:rsidRPr="00C84483" w:rsidRDefault="009260DE" w:rsidP="009260DE">
      <w:pPr>
        <w:tabs>
          <w:tab w:val="left" w:pos="851"/>
        </w:tabs>
        <w:ind w:left="851"/>
        <w:rPr>
          <w:sz w:val="24"/>
          <w:szCs w:val="24"/>
        </w:rPr>
      </w:pPr>
    </w:p>
    <w:p w14:paraId="6C64226B"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1419CA4" w14:textId="77777777" w:rsidR="00316095" w:rsidRDefault="00316095" w:rsidP="00316095">
      <w:pPr>
        <w:tabs>
          <w:tab w:val="left" w:pos="851"/>
        </w:tabs>
        <w:ind w:left="851"/>
        <w:rPr>
          <w:sz w:val="24"/>
          <w:szCs w:val="24"/>
        </w:rPr>
      </w:pPr>
    </w:p>
    <w:p w14:paraId="62432134" w14:textId="5D2FF49D" w:rsidR="00316095" w:rsidRPr="00316095" w:rsidRDefault="00316095" w:rsidP="00316095">
      <w:pPr>
        <w:tabs>
          <w:tab w:val="left" w:pos="851"/>
        </w:tabs>
        <w:ind w:left="851"/>
        <w:rPr>
          <w:sz w:val="24"/>
          <w:szCs w:val="24"/>
          <w:u w:val="single"/>
        </w:rPr>
      </w:pPr>
      <w:r w:rsidRPr="00316095">
        <w:rPr>
          <w:sz w:val="24"/>
          <w:szCs w:val="24"/>
          <w:u w:val="single"/>
        </w:rPr>
        <w:t>Blister af PVC/PVdC/Al-folie</w:t>
      </w:r>
    </w:p>
    <w:p w14:paraId="6D0A2EA5" w14:textId="32F782C6" w:rsidR="00316095" w:rsidRPr="00316095" w:rsidRDefault="00316095" w:rsidP="00316095">
      <w:pPr>
        <w:tabs>
          <w:tab w:val="left" w:pos="851"/>
        </w:tabs>
        <w:ind w:left="851"/>
        <w:rPr>
          <w:sz w:val="24"/>
          <w:szCs w:val="24"/>
        </w:rPr>
      </w:pPr>
      <w:r w:rsidRPr="00316095">
        <w:rPr>
          <w:sz w:val="24"/>
          <w:szCs w:val="24"/>
        </w:rPr>
        <w:t>Pakningsstørrelser:</w:t>
      </w:r>
      <w:r>
        <w:rPr>
          <w:sz w:val="24"/>
          <w:szCs w:val="24"/>
        </w:rPr>
        <w:t xml:space="preserve"> </w:t>
      </w:r>
      <w:r w:rsidRPr="00316095">
        <w:rPr>
          <w:sz w:val="24"/>
          <w:szCs w:val="24"/>
        </w:rPr>
        <w:t>10, 20, 30, 40, 50, 60, 70, 80, 90, 100, 110, 120, 200 og 300 tabletter.</w:t>
      </w:r>
    </w:p>
    <w:p w14:paraId="0311E3A0" w14:textId="77777777" w:rsidR="00316095" w:rsidRDefault="00316095" w:rsidP="00316095">
      <w:pPr>
        <w:tabs>
          <w:tab w:val="left" w:pos="851"/>
        </w:tabs>
        <w:ind w:left="851"/>
        <w:rPr>
          <w:sz w:val="24"/>
          <w:szCs w:val="24"/>
        </w:rPr>
      </w:pPr>
    </w:p>
    <w:p w14:paraId="54894D57" w14:textId="77777777" w:rsidR="00316095" w:rsidRPr="00316095" w:rsidRDefault="00316095" w:rsidP="00316095">
      <w:pPr>
        <w:tabs>
          <w:tab w:val="left" w:pos="851"/>
        </w:tabs>
        <w:ind w:left="851"/>
        <w:rPr>
          <w:sz w:val="24"/>
          <w:szCs w:val="24"/>
          <w:u w:val="single"/>
        </w:rPr>
      </w:pPr>
      <w:r w:rsidRPr="00316095">
        <w:rPr>
          <w:sz w:val="24"/>
          <w:szCs w:val="24"/>
          <w:u w:val="single"/>
        </w:rPr>
        <w:t>HDPE-beholder med polypropylenlukning, inklusive siliciumdioxid-tørremiddel</w:t>
      </w:r>
    </w:p>
    <w:p w14:paraId="3AAC6A60" w14:textId="50E425FD" w:rsidR="00316095" w:rsidRPr="00316095" w:rsidRDefault="00316095" w:rsidP="00316095">
      <w:pPr>
        <w:tabs>
          <w:tab w:val="left" w:pos="851"/>
        </w:tabs>
        <w:ind w:left="851"/>
        <w:rPr>
          <w:sz w:val="24"/>
          <w:szCs w:val="24"/>
        </w:rPr>
      </w:pPr>
      <w:r w:rsidRPr="00316095">
        <w:rPr>
          <w:sz w:val="24"/>
          <w:szCs w:val="24"/>
        </w:rPr>
        <w:t>Pakningsstørrelser: 100, 101, 102, 103, 104, 105, 110 og 120 tabletter.</w:t>
      </w:r>
    </w:p>
    <w:p w14:paraId="0379B73A" w14:textId="77777777" w:rsidR="00316095" w:rsidRPr="00316095" w:rsidRDefault="00316095" w:rsidP="00316095">
      <w:pPr>
        <w:tabs>
          <w:tab w:val="left" w:pos="851"/>
        </w:tabs>
        <w:ind w:left="851"/>
        <w:rPr>
          <w:sz w:val="24"/>
          <w:szCs w:val="24"/>
        </w:rPr>
      </w:pPr>
    </w:p>
    <w:p w14:paraId="6F76D115" w14:textId="77777777" w:rsidR="00316095" w:rsidRPr="00316095" w:rsidRDefault="00316095" w:rsidP="00316095">
      <w:pPr>
        <w:tabs>
          <w:tab w:val="left" w:pos="851"/>
        </w:tabs>
        <w:ind w:left="851"/>
        <w:rPr>
          <w:sz w:val="24"/>
          <w:szCs w:val="24"/>
        </w:rPr>
      </w:pPr>
      <w:r w:rsidRPr="00316095">
        <w:rPr>
          <w:sz w:val="24"/>
          <w:szCs w:val="24"/>
        </w:rPr>
        <w:t>Ikke alle pakningsstørrelser er nødvendigvis markedsført.</w:t>
      </w:r>
    </w:p>
    <w:p w14:paraId="24C839D5" w14:textId="77777777" w:rsidR="009260DE" w:rsidRPr="00C84483" w:rsidRDefault="009260DE" w:rsidP="009260DE">
      <w:pPr>
        <w:tabs>
          <w:tab w:val="left" w:pos="851"/>
        </w:tabs>
        <w:ind w:left="851"/>
        <w:rPr>
          <w:sz w:val="24"/>
          <w:szCs w:val="24"/>
        </w:rPr>
      </w:pPr>
    </w:p>
    <w:p w14:paraId="305F6F5B"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B29B22B" w14:textId="77777777" w:rsidR="00316095" w:rsidRPr="00316095" w:rsidRDefault="00316095" w:rsidP="00316095">
      <w:pPr>
        <w:tabs>
          <w:tab w:val="left" w:pos="851"/>
        </w:tabs>
        <w:ind w:left="851"/>
        <w:rPr>
          <w:sz w:val="24"/>
          <w:szCs w:val="24"/>
        </w:rPr>
      </w:pPr>
      <w:r w:rsidRPr="00316095">
        <w:rPr>
          <w:sz w:val="24"/>
          <w:szCs w:val="24"/>
        </w:rPr>
        <w:t>Ingen særlige krav.</w:t>
      </w:r>
    </w:p>
    <w:p w14:paraId="1FECE0B3" w14:textId="77777777" w:rsidR="009260DE" w:rsidRPr="00C84483" w:rsidRDefault="009260DE" w:rsidP="000730CA">
      <w:pPr>
        <w:tabs>
          <w:tab w:val="left" w:pos="851"/>
        </w:tabs>
        <w:ind w:left="851"/>
        <w:rPr>
          <w:sz w:val="24"/>
          <w:szCs w:val="24"/>
        </w:rPr>
      </w:pPr>
    </w:p>
    <w:p w14:paraId="5D74F14B"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AC6C104" w14:textId="1CE986E4" w:rsidR="00316095" w:rsidRDefault="00316095" w:rsidP="00316095">
      <w:pPr>
        <w:tabs>
          <w:tab w:val="left" w:pos="851"/>
        </w:tabs>
        <w:ind w:left="851"/>
        <w:rPr>
          <w:sz w:val="24"/>
          <w:szCs w:val="24"/>
        </w:rPr>
      </w:pPr>
      <w:bookmarkStart w:id="2" w:name="_Hlk180568768"/>
      <w:r w:rsidRPr="00316095">
        <w:rPr>
          <w:sz w:val="24"/>
          <w:szCs w:val="24"/>
        </w:rPr>
        <w:t>Evolan Pharma AB</w:t>
      </w:r>
    </w:p>
    <w:p w14:paraId="45E8ABD9" w14:textId="0C47C1C2" w:rsidR="00B111F5" w:rsidRPr="00316095" w:rsidRDefault="00B111F5" w:rsidP="00B111F5">
      <w:pPr>
        <w:tabs>
          <w:tab w:val="left" w:pos="851"/>
        </w:tabs>
        <w:ind w:left="851"/>
        <w:rPr>
          <w:sz w:val="24"/>
          <w:szCs w:val="24"/>
        </w:rPr>
      </w:pPr>
      <w:r w:rsidRPr="00B111F5">
        <w:rPr>
          <w:sz w:val="24"/>
          <w:szCs w:val="24"/>
        </w:rPr>
        <w:t>Svärdvägen 19</w:t>
      </w:r>
    </w:p>
    <w:p w14:paraId="55E76848" w14:textId="77777777" w:rsidR="00316095" w:rsidRPr="00316095" w:rsidRDefault="00316095" w:rsidP="00316095">
      <w:pPr>
        <w:tabs>
          <w:tab w:val="left" w:pos="851"/>
        </w:tabs>
        <w:ind w:left="851"/>
        <w:rPr>
          <w:sz w:val="24"/>
          <w:szCs w:val="24"/>
        </w:rPr>
      </w:pPr>
      <w:r w:rsidRPr="00316095">
        <w:rPr>
          <w:sz w:val="24"/>
          <w:szCs w:val="24"/>
        </w:rPr>
        <w:t>Box 120</w:t>
      </w:r>
    </w:p>
    <w:p w14:paraId="299863FB" w14:textId="77777777" w:rsidR="00316095" w:rsidRPr="00316095" w:rsidRDefault="00316095" w:rsidP="00316095">
      <w:pPr>
        <w:tabs>
          <w:tab w:val="left" w:pos="851"/>
        </w:tabs>
        <w:ind w:left="851"/>
        <w:rPr>
          <w:sz w:val="24"/>
          <w:szCs w:val="24"/>
        </w:rPr>
      </w:pPr>
      <w:r w:rsidRPr="00316095">
        <w:rPr>
          <w:sz w:val="24"/>
          <w:szCs w:val="24"/>
        </w:rPr>
        <w:t>182 12 Danderyd</w:t>
      </w:r>
    </w:p>
    <w:p w14:paraId="56405525" w14:textId="77777777" w:rsidR="00316095" w:rsidRPr="00316095" w:rsidRDefault="00316095" w:rsidP="00316095">
      <w:pPr>
        <w:tabs>
          <w:tab w:val="left" w:pos="851"/>
        </w:tabs>
        <w:ind w:left="851"/>
        <w:rPr>
          <w:sz w:val="24"/>
          <w:szCs w:val="24"/>
        </w:rPr>
      </w:pPr>
      <w:r w:rsidRPr="00316095">
        <w:rPr>
          <w:sz w:val="24"/>
          <w:szCs w:val="24"/>
        </w:rPr>
        <w:t>Sverige</w:t>
      </w:r>
      <w:bookmarkEnd w:id="2"/>
    </w:p>
    <w:p w14:paraId="0BA5556B" w14:textId="77777777" w:rsidR="009260DE" w:rsidRDefault="009260DE" w:rsidP="009260DE">
      <w:pPr>
        <w:tabs>
          <w:tab w:val="left" w:pos="851"/>
        </w:tabs>
        <w:ind w:left="851"/>
        <w:rPr>
          <w:sz w:val="24"/>
          <w:szCs w:val="24"/>
        </w:rPr>
      </w:pPr>
    </w:p>
    <w:p w14:paraId="1037711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39FA29EA" w14:textId="6A9CE489" w:rsidR="009260DE" w:rsidRPr="00C84483" w:rsidRDefault="00B111F5" w:rsidP="009260DE">
      <w:pPr>
        <w:tabs>
          <w:tab w:val="left" w:pos="851"/>
        </w:tabs>
        <w:ind w:left="851"/>
        <w:rPr>
          <w:sz w:val="24"/>
          <w:szCs w:val="24"/>
        </w:rPr>
      </w:pPr>
      <w:r>
        <w:rPr>
          <w:sz w:val="24"/>
          <w:szCs w:val="24"/>
        </w:rPr>
        <w:t>72770</w:t>
      </w:r>
    </w:p>
    <w:p w14:paraId="4D26D671" w14:textId="77777777" w:rsidR="009260DE" w:rsidRPr="00C84483" w:rsidRDefault="009260DE" w:rsidP="009260DE">
      <w:pPr>
        <w:tabs>
          <w:tab w:val="left" w:pos="851"/>
        </w:tabs>
        <w:ind w:left="851"/>
        <w:jc w:val="both"/>
        <w:rPr>
          <w:sz w:val="24"/>
          <w:szCs w:val="24"/>
        </w:rPr>
      </w:pPr>
    </w:p>
    <w:p w14:paraId="65FD7E1F"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48DC59A2" w14:textId="08EA9E2E" w:rsidR="009260DE" w:rsidRPr="00C84483" w:rsidRDefault="009861F3" w:rsidP="009260DE">
      <w:pPr>
        <w:tabs>
          <w:tab w:val="left" w:pos="851"/>
        </w:tabs>
        <w:ind w:left="851"/>
        <w:rPr>
          <w:sz w:val="24"/>
          <w:szCs w:val="24"/>
        </w:rPr>
      </w:pPr>
      <w:r>
        <w:rPr>
          <w:sz w:val="24"/>
          <w:szCs w:val="24"/>
        </w:rPr>
        <w:t>13. februar 2026</w:t>
      </w:r>
    </w:p>
    <w:p w14:paraId="486764AF" w14:textId="77777777" w:rsidR="009260DE" w:rsidRPr="00C84483" w:rsidRDefault="009260DE" w:rsidP="009260DE">
      <w:pPr>
        <w:tabs>
          <w:tab w:val="left" w:pos="851"/>
        </w:tabs>
        <w:ind w:left="851"/>
        <w:rPr>
          <w:sz w:val="24"/>
          <w:szCs w:val="24"/>
        </w:rPr>
      </w:pPr>
    </w:p>
    <w:p w14:paraId="418E5654"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C92BCAB" w14:textId="4C9C44EB" w:rsidR="009260DE" w:rsidRPr="00C84483" w:rsidRDefault="00B111F5"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DFEC" w14:textId="77777777" w:rsidR="001410CB" w:rsidRDefault="001410CB">
      <w:r>
        <w:separator/>
      </w:r>
    </w:p>
  </w:endnote>
  <w:endnote w:type="continuationSeparator" w:id="0">
    <w:p w14:paraId="609957E0" w14:textId="77777777" w:rsidR="001410CB" w:rsidRDefault="0014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3465" w14:textId="77777777" w:rsidR="000259B9" w:rsidRDefault="000259B9">
    <w:pPr>
      <w:pStyle w:val="Sidefod"/>
      <w:pBdr>
        <w:bottom w:val="single" w:sz="6" w:space="1" w:color="auto"/>
      </w:pBdr>
    </w:pPr>
  </w:p>
  <w:p w14:paraId="512BFC41" w14:textId="77777777" w:rsidR="000259B9" w:rsidRDefault="000259B9" w:rsidP="00C42586">
    <w:pPr>
      <w:pStyle w:val="Sidefod"/>
      <w:tabs>
        <w:tab w:val="clear" w:pos="4819"/>
        <w:tab w:val="left" w:pos="8505"/>
      </w:tabs>
      <w:rPr>
        <w:i/>
        <w:sz w:val="18"/>
        <w:szCs w:val="18"/>
      </w:rPr>
    </w:pPr>
  </w:p>
  <w:p w14:paraId="1F79233B" w14:textId="6AE695E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64430">
      <w:rPr>
        <w:i/>
        <w:noProof/>
        <w:sz w:val="18"/>
        <w:szCs w:val="18"/>
      </w:rPr>
      <w:t>Hjertelan, filmovertrukne tabletter 75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C638D" w14:textId="77777777" w:rsidR="001410CB" w:rsidRDefault="001410CB">
      <w:r>
        <w:separator/>
      </w:r>
    </w:p>
  </w:footnote>
  <w:footnote w:type="continuationSeparator" w:id="0">
    <w:p w14:paraId="0AA4428A" w14:textId="77777777" w:rsidR="001410CB" w:rsidRDefault="00141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16914E4"/>
    <w:multiLevelType w:val="multilevel"/>
    <w:tmpl w:val="03F4FC08"/>
    <w:lvl w:ilvl="0">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83"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397" w:hanging="567"/>
      </w:pPr>
      <w:rPr>
        <w:lang w:val="en-US" w:eastAsia="en-US" w:bidi="ar-SA"/>
      </w:rPr>
    </w:lvl>
    <w:lvl w:ilvl="4">
      <w:numFmt w:val="bullet"/>
      <w:lvlText w:val="•"/>
      <w:lvlJc w:val="left"/>
      <w:pPr>
        <w:ind w:left="4270" w:hanging="567"/>
      </w:pPr>
      <w:rPr>
        <w:lang w:val="en-US" w:eastAsia="en-US" w:bidi="ar-SA"/>
      </w:rPr>
    </w:lvl>
    <w:lvl w:ilvl="5">
      <w:numFmt w:val="bullet"/>
      <w:lvlText w:val="•"/>
      <w:lvlJc w:val="left"/>
      <w:pPr>
        <w:ind w:left="5143" w:hanging="567"/>
      </w:pPr>
      <w:rPr>
        <w:lang w:val="en-US" w:eastAsia="en-US" w:bidi="ar-SA"/>
      </w:rPr>
    </w:lvl>
    <w:lvl w:ilvl="6">
      <w:numFmt w:val="bullet"/>
      <w:lvlText w:val="•"/>
      <w:lvlJc w:val="left"/>
      <w:pPr>
        <w:ind w:left="6015" w:hanging="567"/>
      </w:pPr>
      <w:rPr>
        <w:lang w:val="en-US" w:eastAsia="en-US" w:bidi="ar-SA"/>
      </w:rPr>
    </w:lvl>
    <w:lvl w:ilvl="7">
      <w:numFmt w:val="bullet"/>
      <w:lvlText w:val="•"/>
      <w:lvlJc w:val="left"/>
      <w:pPr>
        <w:ind w:left="6888" w:hanging="567"/>
      </w:pPr>
      <w:rPr>
        <w:lang w:val="en-US" w:eastAsia="en-US" w:bidi="ar-SA"/>
      </w:rPr>
    </w:lvl>
    <w:lvl w:ilvl="8">
      <w:numFmt w:val="bullet"/>
      <w:lvlText w:val="•"/>
      <w:lvlJc w:val="left"/>
      <w:pPr>
        <w:ind w:left="7760" w:hanging="567"/>
      </w:pPr>
      <w:rPr>
        <w:lang w:val="en-US" w:eastAsia="en-US" w:bidi="ar-SA"/>
      </w:rPr>
    </w:lvl>
  </w:abstractNum>
  <w:abstractNum w:abstractNumId="6" w15:restartNumberingAfterBreak="0">
    <w:nsid w:val="7BD979E6"/>
    <w:multiLevelType w:val="hybridMultilevel"/>
    <w:tmpl w:val="9430621C"/>
    <w:lvl w:ilvl="0" w:tplc="A1D6136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B5B8C878">
      <w:numFmt w:val="bullet"/>
      <w:lvlText w:val="•"/>
      <w:lvlJc w:val="left"/>
      <w:pPr>
        <w:ind w:left="1652" w:hanging="567"/>
      </w:pPr>
      <w:rPr>
        <w:lang w:val="en-US" w:eastAsia="en-US" w:bidi="ar-SA"/>
      </w:rPr>
    </w:lvl>
    <w:lvl w:ilvl="2" w:tplc="59CEC72C">
      <w:numFmt w:val="bullet"/>
      <w:lvlText w:val="•"/>
      <w:lvlJc w:val="left"/>
      <w:pPr>
        <w:ind w:left="2525" w:hanging="567"/>
      </w:pPr>
      <w:rPr>
        <w:lang w:val="en-US" w:eastAsia="en-US" w:bidi="ar-SA"/>
      </w:rPr>
    </w:lvl>
    <w:lvl w:ilvl="3" w:tplc="840C20EE">
      <w:numFmt w:val="bullet"/>
      <w:lvlText w:val="•"/>
      <w:lvlJc w:val="left"/>
      <w:pPr>
        <w:ind w:left="3397" w:hanging="567"/>
      </w:pPr>
      <w:rPr>
        <w:lang w:val="en-US" w:eastAsia="en-US" w:bidi="ar-SA"/>
      </w:rPr>
    </w:lvl>
    <w:lvl w:ilvl="4" w:tplc="AB2E9B20">
      <w:numFmt w:val="bullet"/>
      <w:lvlText w:val="•"/>
      <w:lvlJc w:val="left"/>
      <w:pPr>
        <w:ind w:left="4270" w:hanging="567"/>
      </w:pPr>
      <w:rPr>
        <w:lang w:val="en-US" w:eastAsia="en-US" w:bidi="ar-SA"/>
      </w:rPr>
    </w:lvl>
    <w:lvl w:ilvl="5" w:tplc="B9C420C8">
      <w:numFmt w:val="bullet"/>
      <w:lvlText w:val="•"/>
      <w:lvlJc w:val="left"/>
      <w:pPr>
        <w:ind w:left="5143" w:hanging="567"/>
      </w:pPr>
      <w:rPr>
        <w:lang w:val="en-US" w:eastAsia="en-US" w:bidi="ar-SA"/>
      </w:rPr>
    </w:lvl>
    <w:lvl w:ilvl="6" w:tplc="016E1358">
      <w:numFmt w:val="bullet"/>
      <w:lvlText w:val="•"/>
      <w:lvlJc w:val="left"/>
      <w:pPr>
        <w:ind w:left="6015" w:hanging="567"/>
      </w:pPr>
      <w:rPr>
        <w:lang w:val="en-US" w:eastAsia="en-US" w:bidi="ar-SA"/>
      </w:rPr>
    </w:lvl>
    <w:lvl w:ilvl="7" w:tplc="706C7CAE">
      <w:numFmt w:val="bullet"/>
      <w:lvlText w:val="•"/>
      <w:lvlJc w:val="left"/>
      <w:pPr>
        <w:ind w:left="6888" w:hanging="567"/>
      </w:pPr>
      <w:rPr>
        <w:lang w:val="en-US" w:eastAsia="en-US" w:bidi="ar-SA"/>
      </w:rPr>
    </w:lvl>
    <w:lvl w:ilvl="8" w:tplc="8B54B4A2">
      <w:numFmt w:val="bullet"/>
      <w:lvlText w:val="•"/>
      <w:lvlJc w:val="left"/>
      <w:pPr>
        <w:ind w:left="7760" w:hanging="567"/>
      </w:pPr>
      <w:rPr>
        <w:lang w:val="en-US" w:eastAsia="en-US" w:bidi="ar-SA"/>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CB"/>
    <w:rsid w:val="000259B9"/>
    <w:rsid w:val="00041491"/>
    <w:rsid w:val="00050D16"/>
    <w:rsid w:val="000730CA"/>
    <w:rsid w:val="00074F2A"/>
    <w:rsid w:val="000A1CA8"/>
    <w:rsid w:val="000A466B"/>
    <w:rsid w:val="000B058C"/>
    <w:rsid w:val="000D68B0"/>
    <w:rsid w:val="000E4EE6"/>
    <w:rsid w:val="001410CB"/>
    <w:rsid w:val="00143734"/>
    <w:rsid w:val="001454E2"/>
    <w:rsid w:val="00206CE8"/>
    <w:rsid w:val="0021526C"/>
    <w:rsid w:val="00283A2B"/>
    <w:rsid w:val="002B30AD"/>
    <w:rsid w:val="002C1EC0"/>
    <w:rsid w:val="002C2C01"/>
    <w:rsid w:val="00316095"/>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F01EC"/>
    <w:rsid w:val="00637F5A"/>
    <w:rsid w:val="00641C65"/>
    <w:rsid w:val="006560B1"/>
    <w:rsid w:val="006756DD"/>
    <w:rsid w:val="0071241E"/>
    <w:rsid w:val="00737275"/>
    <w:rsid w:val="00740EEC"/>
    <w:rsid w:val="00764430"/>
    <w:rsid w:val="0078011A"/>
    <w:rsid w:val="00782AF4"/>
    <w:rsid w:val="00790EE7"/>
    <w:rsid w:val="007B6649"/>
    <w:rsid w:val="0082576E"/>
    <w:rsid w:val="0089346F"/>
    <w:rsid w:val="00907F75"/>
    <w:rsid w:val="009260DE"/>
    <w:rsid w:val="0093258A"/>
    <w:rsid w:val="009861F3"/>
    <w:rsid w:val="009C7BA3"/>
    <w:rsid w:val="009D1F5A"/>
    <w:rsid w:val="00A10294"/>
    <w:rsid w:val="00AC5296"/>
    <w:rsid w:val="00B003BF"/>
    <w:rsid w:val="00B111F5"/>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7726F"/>
    <w:rsid w:val="00E865B8"/>
    <w:rsid w:val="00EC0B9B"/>
    <w:rsid w:val="00ED5E9F"/>
    <w:rsid w:val="00F33C01"/>
    <w:rsid w:val="00F66D4F"/>
    <w:rsid w:val="00FB6D01"/>
    <w:rsid w:val="00FD17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13EFD"/>
  <w15:chartTrackingRefBased/>
  <w15:docId w15:val="{F156DBFA-75A7-42C2-A114-D41537C9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FD1789"/>
    <w:pPr>
      <w:widowControl w:val="0"/>
      <w:autoSpaceDE w:val="0"/>
      <w:autoSpaceDN w:val="0"/>
      <w:ind w:left="216"/>
    </w:pPr>
    <w:rPr>
      <w:sz w:val="22"/>
      <w:szCs w:val="22"/>
      <w:lang w:val="en-US"/>
    </w:rPr>
  </w:style>
  <w:style w:type="character" w:customStyle="1" w:styleId="BrdtekstTegn">
    <w:name w:val="Brødtekst Tegn"/>
    <w:basedOn w:val="Standardskrifttypeiafsnit"/>
    <w:link w:val="Brdtekst"/>
    <w:uiPriority w:val="1"/>
    <w:semiHidden/>
    <w:rsid w:val="00FD1789"/>
    <w:rPr>
      <w:sz w:val="22"/>
      <w:szCs w:val="22"/>
      <w:lang w:val="en-US" w:eastAsia="en-US"/>
    </w:rPr>
  </w:style>
  <w:style w:type="paragraph" w:customStyle="1" w:styleId="TableParagraph">
    <w:name w:val="Table Paragraph"/>
    <w:basedOn w:val="Normal"/>
    <w:uiPriority w:val="1"/>
    <w:qFormat/>
    <w:rsid w:val="00FD1789"/>
    <w:pPr>
      <w:widowControl w:val="0"/>
      <w:autoSpaceDE w:val="0"/>
      <w:autoSpaceDN w:val="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944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8640139">
      <w:bodyDiv w:val="1"/>
      <w:marLeft w:val="0"/>
      <w:marRight w:val="0"/>
      <w:marTop w:val="0"/>
      <w:marBottom w:val="0"/>
      <w:divBdr>
        <w:top w:val="none" w:sz="0" w:space="0" w:color="auto"/>
        <w:left w:val="none" w:sz="0" w:space="0" w:color="auto"/>
        <w:bottom w:val="none" w:sz="0" w:space="0" w:color="auto"/>
        <w:right w:val="none" w:sz="0" w:space="0" w:color="auto"/>
      </w:divBdr>
    </w:div>
    <w:div w:id="274169307">
      <w:bodyDiv w:val="1"/>
      <w:marLeft w:val="0"/>
      <w:marRight w:val="0"/>
      <w:marTop w:val="0"/>
      <w:marBottom w:val="0"/>
      <w:divBdr>
        <w:top w:val="none" w:sz="0" w:space="0" w:color="auto"/>
        <w:left w:val="none" w:sz="0" w:space="0" w:color="auto"/>
        <w:bottom w:val="none" w:sz="0" w:space="0" w:color="auto"/>
        <w:right w:val="none" w:sz="0" w:space="0" w:color="auto"/>
      </w:divBdr>
    </w:div>
    <w:div w:id="412119584">
      <w:bodyDiv w:val="1"/>
      <w:marLeft w:val="0"/>
      <w:marRight w:val="0"/>
      <w:marTop w:val="0"/>
      <w:marBottom w:val="0"/>
      <w:divBdr>
        <w:top w:val="none" w:sz="0" w:space="0" w:color="auto"/>
        <w:left w:val="none" w:sz="0" w:space="0" w:color="auto"/>
        <w:bottom w:val="none" w:sz="0" w:space="0" w:color="auto"/>
        <w:right w:val="none" w:sz="0" w:space="0" w:color="auto"/>
      </w:divBdr>
    </w:div>
    <w:div w:id="494733961">
      <w:bodyDiv w:val="1"/>
      <w:marLeft w:val="0"/>
      <w:marRight w:val="0"/>
      <w:marTop w:val="0"/>
      <w:marBottom w:val="0"/>
      <w:divBdr>
        <w:top w:val="none" w:sz="0" w:space="0" w:color="auto"/>
        <w:left w:val="none" w:sz="0" w:space="0" w:color="auto"/>
        <w:bottom w:val="none" w:sz="0" w:space="0" w:color="auto"/>
        <w:right w:val="none" w:sz="0" w:space="0" w:color="auto"/>
      </w:divBdr>
    </w:div>
    <w:div w:id="581109962">
      <w:bodyDiv w:val="1"/>
      <w:marLeft w:val="0"/>
      <w:marRight w:val="0"/>
      <w:marTop w:val="0"/>
      <w:marBottom w:val="0"/>
      <w:divBdr>
        <w:top w:val="none" w:sz="0" w:space="0" w:color="auto"/>
        <w:left w:val="none" w:sz="0" w:space="0" w:color="auto"/>
        <w:bottom w:val="none" w:sz="0" w:space="0" w:color="auto"/>
        <w:right w:val="none" w:sz="0" w:space="0" w:color="auto"/>
      </w:divBdr>
    </w:div>
    <w:div w:id="608588627">
      <w:bodyDiv w:val="1"/>
      <w:marLeft w:val="0"/>
      <w:marRight w:val="0"/>
      <w:marTop w:val="0"/>
      <w:marBottom w:val="0"/>
      <w:divBdr>
        <w:top w:val="none" w:sz="0" w:space="0" w:color="auto"/>
        <w:left w:val="none" w:sz="0" w:space="0" w:color="auto"/>
        <w:bottom w:val="none" w:sz="0" w:space="0" w:color="auto"/>
        <w:right w:val="none" w:sz="0" w:space="0" w:color="auto"/>
      </w:divBdr>
    </w:div>
    <w:div w:id="615873323">
      <w:bodyDiv w:val="1"/>
      <w:marLeft w:val="0"/>
      <w:marRight w:val="0"/>
      <w:marTop w:val="0"/>
      <w:marBottom w:val="0"/>
      <w:divBdr>
        <w:top w:val="none" w:sz="0" w:space="0" w:color="auto"/>
        <w:left w:val="none" w:sz="0" w:space="0" w:color="auto"/>
        <w:bottom w:val="none" w:sz="0" w:space="0" w:color="auto"/>
        <w:right w:val="none" w:sz="0" w:space="0" w:color="auto"/>
      </w:divBdr>
    </w:div>
    <w:div w:id="668675286">
      <w:bodyDiv w:val="1"/>
      <w:marLeft w:val="0"/>
      <w:marRight w:val="0"/>
      <w:marTop w:val="0"/>
      <w:marBottom w:val="0"/>
      <w:divBdr>
        <w:top w:val="none" w:sz="0" w:space="0" w:color="auto"/>
        <w:left w:val="none" w:sz="0" w:space="0" w:color="auto"/>
        <w:bottom w:val="none" w:sz="0" w:space="0" w:color="auto"/>
        <w:right w:val="none" w:sz="0" w:space="0" w:color="auto"/>
      </w:divBdr>
    </w:div>
    <w:div w:id="698362249">
      <w:bodyDiv w:val="1"/>
      <w:marLeft w:val="0"/>
      <w:marRight w:val="0"/>
      <w:marTop w:val="0"/>
      <w:marBottom w:val="0"/>
      <w:divBdr>
        <w:top w:val="none" w:sz="0" w:space="0" w:color="auto"/>
        <w:left w:val="none" w:sz="0" w:space="0" w:color="auto"/>
        <w:bottom w:val="none" w:sz="0" w:space="0" w:color="auto"/>
        <w:right w:val="none" w:sz="0" w:space="0" w:color="auto"/>
      </w:divBdr>
    </w:div>
    <w:div w:id="800076318">
      <w:bodyDiv w:val="1"/>
      <w:marLeft w:val="0"/>
      <w:marRight w:val="0"/>
      <w:marTop w:val="0"/>
      <w:marBottom w:val="0"/>
      <w:divBdr>
        <w:top w:val="none" w:sz="0" w:space="0" w:color="auto"/>
        <w:left w:val="none" w:sz="0" w:space="0" w:color="auto"/>
        <w:bottom w:val="none" w:sz="0" w:space="0" w:color="auto"/>
        <w:right w:val="none" w:sz="0" w:space="0" w:color="auto"/>
      </w:divBdr>
    </w:div>
    <w:div w:id="808474002">
      <w:bodyDiv w:val="1"/>
      <w:marLeft w:val="0"/>
      <w:marRight w:val="0"/>
      <w:marTop w:val="0"/>
      <w:marBottom w:val="0"/>
      <w:divBdr>
        <w:top w:val="none" w:sz="0" w:space="0" w:color="auto"/>
        <w:left w:val="none" w:sz="0" w:space="0" w:color="auto"/>
        <w:bottom w:val="none" w:sz="0" w:space="0" w:color="auto"/>
        <w:right w:val="none" w:sz="0" w:space="0" w:color="auto"/>
      </w:divBdr>
    </w:div>
    <w:div w:id="839123255">
      <w:bodyDiv w:val="1"/>
      <w:marLeft w:val="0"/>
      <w:marRight w:val="0"/>
      <w:marTop w:val="0"/>
      <w:marBottom w:val="0"/>
      <w:divBdr>
        <w:top w:val="none" w:sz="0" w:space="0" w:color="auto"/>
        <w:left w:val="none" w:sz="0" w:space="0" w:color="auto"/>
        <w:bottom w:val="none" w:sz="0" w:space="0" w:color="auto"/>
        <w:right w:val="none" w:sz="0" w:space="0" w:color="auto"/>
      </w:divBdr>
    </w:div>
    <w:div w:id="860894147">
      <w:bodyDiv w:val="1"/>
      <w:marLeft w:val="0"/>
      <w:marRight w:val="0"/>
      <w:marTop w:val="0"/>
      <w:marBottom w:val="0"/>
      <w:divBdr>
        <w:top w:val="none" w:sz="0" w:space="0" w:color="auto"/>
        <w:left w:val="none" w:sz="0" w:space="0" w:color="auto"/>
        <w:bottom w:val="none" w:sz="0" w:space="0" w:color="auto"/>
        <w:right w:val="none" w:sz="0" w:space="0" w:color="auto"/>
      </w:divBdr>
    </w:div>
    <w:div w:id="865408144">
      <w:bodyDiv w:val="1"/>
      <w:marLeft w:val="0"/>
      <w:marRight w:val="0"/>
      <w:marTop w:val="0"/>
      <w:marBottom w:val="0"/>
      <w:divBdr>
        <w:top w:val="none" w:sz="0" w:space="0" w:color="auto"/>
        <w:left w:val="none" w:sz="0" w:space="0" w:color="auto"/>
        <w:bottom w:val="none" w:sz="0" w:space="0" w:color="auto"/>
        <w:right w:val="none" w:sz="0" w:space="0" w:color="auto"/>
      </w:divBdr>
    </w:div>
    <w:div w:id="1024750357">
      <w:bodyDiv w:val="1"/>
      <w:marLeft w:val="0"/>
      <w:marRight w:val="0"/>
      <w:marTop w:val="0"/>
      <w:marBottom w:val="0"/>
      <w:divBdr>
        <w:top w:val="none" w:sz="0" w:space="0" w:color="auto"/>
        <w:left w:val="none" w:sz="0" w:space="0" w:color="auto"/>
        <w:bottom w:val="none" w:sz="0" w:space="0" w:color="auto"/>
        <w:right w:val="none" w:sz="0" w:space="0" w:color="auto"/>
      </w:divBdr>
    </w:div>
    <w:div w:id="1036079633">
      <w:bodyDiv w:val="1"/>
      <w:marLeft w:val="0"/>
      <w:marRight w:val="0"/>
      <w:marTop w:val="0"/>
      <w:marBottom w:val="0"/>
      <w:divBdr>
        <w:top w:val="none" w:sz="0" w:space="0" w:color="auto"/>
        <w:left w:val="none" w:sz="0" w:space="0" w:color="auto"/>
        <w:bottom w:val="none" w:sz="0" w:space="0" w:color="auto"/>
        <w:right w:val="none" w:sz="0" w:space="0" w:color="auto"/>
      </w:divBdr>
    </w:div>
    <w:div w:id="1150512029">
      <w:bodyDiv w:val="1"/>
      <w:marLeft w:val="0"/>
      <w:marRight w:val="0"/>
      <w:marTop w:val="0"/>
      <w:marBottom w:val="0"/>
      <w:divBdr>
        <w:top w:val="none" w:sz="0" w:space="0" w:color="auto"/>
        <w:left w:val="none" w:sz="0" w:space="0" w:color="auto"/>
        <w:bottom w:val="none" w:sz="0" w:space="0" w:color="auto"/>
        <w:right w:val="none" w:sz="0" w:space="0" w:color="auto"/>
      </w:divBdr>
    </w:div>
    <w:div w:id="1233808477">
      <w:bodyDiv w:val="1"/>
      <w:marLeft w:val="0"/>
      <w:marRight w:val="0"/>
      <w:marTop w:val="0"/>
      <w:marBottom w:val="0"/>
      <w:divBdr>
        <w:top w:val="none" w:sz="0" w:space="0" w:color="auto"/>
        <w:left w:val="none" w:sz="0" w:space="0" w:color="auto"/>
        <w:bottom w:val="none" w:sz="0" w:space="0" w:color="auto"/>
        <w:right w:val="none" w:sz="0" w:space="0" w:color="auto"/>
      </w:divBdr>
    </w:div>
    <w:div w:id="1287202444">
      <w:bodyDiv w:val="1"/>
      <w:marLeft w:val="0"/>
      <w:marRight w:val="0"/>
      <w:marTop w:val="0"/>
      <w:marBottom w:val="0"/>
      <w:divBdr>
        <w:top w:val="none" w:sz="0" w:space="0" w:color="auto"/>
        <w:left w:val="none" w:sz="0" w:space="0" w:color="auto"/>
        <w:bottom w:val="none" w:sz="0" w:space="0" w:color="auto"/>
        <w:right w:val="none" w:sz="0" w:space="0" w:color="auto"/>
      </w:divBdr>
    </w:div>
    <w:div w:id="1367413496">
      <w:bodyDiv w:val="1"/>
      <w:marLeft w:val="0"/>
      <w:marRight w:val="0"/>
      <w:marTop w:val="0"/>
      <w:marBottom w:val="0"/>
      <w:divBdr>
        <w:top w:val="none" w:sz="0" w:space="0" w:color="auto"/>
        <w:left w:val="none" w:sz="0" w:space="0" w:color="auto"/>
        <w:bottom w:val="none" w:sz="0" w:space="0" w:color="auto"/>
        <w:right w:val="none" w:sz="0" w:space="0" w:color="auto"/>
      </w:divBdr>
    </w:div>
    <w:div w:id="1400597647">
      <w:bodyDiv w:val="1"/>
      <w:marLeft w:val="0"/>
      <w:marRight w:val="0"/>
      <w:marTop w:val="0"/>
      <w:marBottom w:val="0"/>
      <w:divBdr>
        <w:top w:val="none" w:sz="0" w:space="0" w:color="auto"/>
        <w:left w:val="none" w:sz="0" w:space="0" w:color="auto"/>
        <w:bottom w:val="none" w:sz="0" w:space="0" w:color="auto"/>
        <w:right w:val="none" w:sz="0" w:space="0" w:color="auto"/>
      </w:divBdr>
    </w:div>
    <w:div w:id="1425808924">
      <w:bodyDiv w:val="1"/>
      <w:marLeft w:val="0"/>
      <w:marRight w:val="0"/>
      <w:marTop w:val="0"/>
      <w:marBottom w:val="0"/>
      <w:divBdr>
        <w:top w:val="none" w:sz="0" w:space="0" w:color="auto"/>
        <w:left w:val="none" w:sz="0" w:space="0" w:color="auto"/>
        <w:bottom w:val="none" w:sz="0" w:space="0" w:color="auto"/>
        <w:right w:val="none" w:sz="0" w:space="0" w:color="auto"/>
      </w:divBdr>
    </w:div>
    <w:div w:id="1476098156">
      <w:bodyDiv w:val="1"/>
      <w:marLeft w:val="0"/>
      <w:marRight w:val="0"/>
      <w:marTop w:val="0"/>
      <w:marBottom w:val="0"/>
      <w:divBdr>
        <w:top w:val="none" w:sz="0" w:space="0" w:color="auto"/>
        <w:left w:val="none" w:sz="0" w:space="0" w:color="auto"/>
        <w:bottom w:val="none" w:sz="0" w:space="0" w:color="auto"/>
        <w:right w:val="none" w:sz="0" w:space="0" w:color="auto"/>
      </w:divBdr>
    </w:div>
    <w:div w:id="1482194320">
      <w:bodyDiv w:val="1"/>
      <w:marLeft w:val="0"/>
      <w:marRight w:val="0"/>
      <w:marTop w:val="0"/>
      <w:marBottom w:val="0"/>
      <w:divBdr>
        <w:top w:val="none" w:sz="0" w:space="0" w:color="auto"/>
        <w:left w:val="none" w:sz="0" w:space="0" w:color="auto"/>
        <w:bottom w:val="none" w:sz="0" w:space="0" w:color="auto"/>
        <w:right w:val="none" w:sz="0" w:space="0" w:color="auto"/>
      </w:divBdr>
    </w:div>
    <w:div w:id="1488983516">
      <w:bodyDiv w:val="1"/>
      <w:marLeft w:val="0"/>
      <w:marRight w:val="0"/>
      <w:marTop w:val="0"/>
      <w:marBottom w:val="0"/>
      <w:divBdr>
        <w:top w:val="none" w:sz="0" w:space="0" w:color="auto"/>
        <w:left w:val="none" w:sz="0" w:space="0" w:color="auto"/>
        <w:bottom w:val="none" w:sz="0" w:space="0" w:color="auto"/>
        <w:right w:val="none" w:sz="0" w:space="0" w:color="auto"/>
      </w:divBdr>
    </w:div>
    <w:div w:id="1540582514">
      <w:bodyDiv w:val="1"/>
      <w:marLeft w:val="0"/>
      <w:marRight w:val="0"/>
      <w:marTop w:val="0"/>
      <w:marBottom w:val="0"/>
      <w:divBdr>
        <w:top w:val="none" w:sz="0" w:space="0" w:color="auto"/>
        <w:left w:val="none" w:sz="0" w:space="0" w:color="auto"/>
        <w:bottom w:val="none" w:sz="0" w:space="0" w:color="auto"/>
        <w:right w:val="none" w:sz="0" w:space="0" w:color="auto"/>
      </w:divBdr>
    </w:div>
    <w:div w:id="1570580872">
      <w:bodyDiv w:val="1"/>
      <w:marLeft w:val="0"/>
      <w:marRight w:val="0"/>
      <w:marTop w:val="0"/>
      <w:marBottom w:val="0"/>
      <w:divBdr>
        <w:top w:val="none" w:sz="0" w:space="0" w:color="auto"/>
        <w:left w:val="none" w:sz="0" w:space="0" w:color="auto"/>
        <w:bottom w:val="none" w:sz="0" w:space="0" w:color="auto"/>
        <w:right w:val="none" w:sz="0" w:space="0" w:color="auto"/>
      </w:divBdr>
    </w:div>
    <w:div w:id="1575428991">
      <w:bodyDiv w:val="1"/>
      <w:marLeft w:val="0"/>
      <w:marRight w:val="0"/>
      <w:marTop w:val="0"/>
      <w:marBottom w:val="0"/>
      <w:divBdr>
        <w:top w:val="none" w:sz="0" w:space="0" w:color="auto"/>
        <w:left w:val="none" w:sz="0" w:space="0" w:color="auto"/>
        <w:bottom w:val="none" w:sz="0" w:space="0" w:color="auto"/>
        <w:right w:val="none" w:sz="0" w:space="0" w:color="auto"/>
      </w:divBdr>
    </w:div>
    <w:div w:id="1582371735">
      <w:bodyDiv w:val="1"/>
      <w:marLeft w:val="0"/>
      <w:marRight w:val="0"/>
      <w:marTop w:val="0"/>
      <w:marBottom w:val="0"/>
      <w:divBdr>
        <w:top w:val="none" w:sz="0" w:space="0" w:color="auto"/>
        <w:left w:val="none" w:sz="0" w:space="0" w:color="auto"/>
        <w:bottom w:val="none" w:sz="0" w:space="0" w:color="auto"/>
        <w:right w:val="none" w:sz="0" w:space="0" w:color="auto"/>
      </w:divBdr>
    </w:div>
    <w:div w:id="1603490220">
      <w:bodyDiv w:val="1"/>
      <w:marLeft w:val="0"/>
      <w:marRight w:val="0"/>
      <w:marTop w:val="0"/>
      <w:marBottom w:val="0"/>
      <w:divBdr>
        <w:top w:val="none" w:sz="0" w:space="0" w:color="auto"/>
        <w:left w:val="none" w:sz="0" w:space="0" w:color="auto"/>
        <w:bottom w:val="none" w:sz="0" w:space="0" w:color="auto"/>
        <w:right w:val="none" w:sz="0" w:space="0" w:color="auto"/>
      </w:divBdr>
    </w:div>
    <w:div w:id="1626347032">
      <w:bodyDiv w:val="1"/>
      <w:marLeft w:val="0"/>
      <w:marRight w:val="0"/>
      <w:marTop w:val="0"/>
      <w:marBottom w:val="0"/>
      <w:divBdr>
        <w:top w:val="none" w:sz="0" w:space="0" w:color="auto"/>
        <w:left w:val="none" w:sz="0" w:space="0" w:color="auto"/>
        <w:bottom w:val="none" w:sz="0" w:space="0" w:color="auto"/>
        <w:right w:val="none" w:sz="0" w:space="0" w:color="auto"/>
      </w:divBdr>
    </w:div>
    <w:div w:id="1662153799">
      <w:bodyDiv w:val="1"/>
      <w:marLeft w:val="0"/>
      <w:marRight w:val="0"/>
      <w:marTop w:val="0"/>
      <w:marBottom w:val="0"/>
      <w:divBdr>
        <w:top w:val="none" w:sz="0" w:space="0" w:color="auto"/>
        <w:left w:val="none" w:sz="0" w:space="0" w:color="auto"/>
        <w:bottom w:val="none" w:sz="0" w:space="0" w:color="auto"/>
        <w:right w:val="none" w:sz="0" w:space="0" w:color="auto"/>
      </w:divBdr>
    </w:div>
    <w:div w:id="1698701834">
      <w:bodyDiv w:val="1"/>
      <w:marLeft w:val="0"/>
      <w:marRight w:val="0"/>
      <w:marTop w:val="0"/>
      <w:marBottom w:val="0"/>
      <w:divBdr>
        <w:top w:val="none" w:sz="0" w:space="0" w:color="auto"/>
        <w:left w:val="none" w:sz="0" w:space="0" w:color="auto"/>
        <w:bottom w:val="none" w:sz="0" w:space="0" w:color="auto"/>
        <w:right w:val="none" w:sz="0" w:space="0" w:color="auto"/>
      </w:divBdr>
    </w:div>
    <w:div w:id="1703163543">
      <w:bodyDiv w:val="1"/>
      <w:marLeft w:val="0"/>
      <w:marRight w:val="0"/>
      <w:marTop w:val="0"/>
      <w:marBottom w:val="0"/>
      <w:divBdr>
        <w:top w:val="none" w:sz="0" w:space="0" w:color="auto"/>
        <w:left w:val="none" w:sz="0" w:space="0" w:color="auto"/>
        <w:bottom w:val="none" w:sz="0" w:space="0" w:color="auto"/>
        <w:right w:val="none" w:sz="0" w:space="0" w:color="auto"/>
      </w:divBdr>
    </w:div>
    <w:div w:id="1719931465">
      <w:bodyDiv w:val="1"/>
      <w:marLeft w:val="0"/>
      <w:marRight w:val="0"/>
      <w:marTop w:val="0"/>
      <w:marBottom w:val="0"/>
      <w:divBdr>
        <w:top w:val="none" w:sz="0" w:space="0" w:color="auto"/>
        <w:left w:val="none" w:sz="0" w:space="0" w:color="auto"/>
        <w:bottom w:val="none" w:sz="0" w:space="0" w:color="auto"/>
        <w:right w:val="none" w:sz="0" w:space="0" w:color="auto"/>
      </w:divBdr>
    </w:div>
    <w:div w:id="1739400878">
      <w:bodyDiv w:val="1"/>
      <w:marLeft w:val="0"/>
      <w:marRight w:val="0"/>
      <w:marTop w:val="0"/>
      <w:marBottom w:val="0"/>
      <w:divBdr>
        <w:top w:val="none" w:sz="0" w:space="0" w:color="auto"/>
        <w:left w:val="none" w:sz="0" w:space="0" w:color="auto"/>
        <w:bottom w:val="none" w:sz="0" w:space="0" w:color="auto"/>
        <w:right w:val="none" w:sz="0" w:space="0" w:color="auto"/>
      </w:divBdr>
    </w:div>
    <w:div w:id="1815102641">
      <w:bodyDiv w:val="1"/>
      <w:marLeft w:val="0"/>
      <w:marRight w:val="0"/>
      <w:marTop w:val="0"/>
      <w:marBottom w:val="0"/>
      <w:divBdr>
        <w:top w:val="none" w:sz="0" w:space="0" w:color="auto"/>
        <w:left w:val="none" w:sz="0" w:space="0" w:color="auto"/>
        <w:bottom w:val="none" w:sz="0" w:space="0" w:color="auto"/>
        <w:right w:val="none" w:sz="0" w:space="0" w:color="auto"/>
      </w:divBdr>
      <w:divsChild>
        <w:div w:id="400643444">
          <w:marLeft w:val="0"/>
          <w:marRight w:val="0"/>
          <w:marTop w:val="0"/>
          <w:marBottom w:val="0"/>
          <w:divBdr>
            <w:top w:val="none" w:sz="0" w:space="0" w:color="auto"/>
            <w:left w:val="none" w:sz="0" w:space="0" w:color="auto"/>
            <w:bottom w:val="none" w:sz="0" w:space="0" w:color="auto"/>
            <w:right w:val="none" w:sz="0" w:space="0" w:color="auto"/>
          </w:divBdr>
          <w:divsChild>
            <w:div w:id="4381846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382770">
      <w:bodyDiv w:val="1"/>
      <w:marLeft w:val="0"/>
      <w:marRight w:val="0"/>
      <w:marTop w:val="0"/>
      <w:marBottom w:val="0"/>
      <w:divBdr>
        <w:top w:val="none" w:sz="0" w:space="0" w:color="auto"/>
        <w:left w:val="none" w:sz="0" w:space="0" w:color="auto"/>
        <w:bottom w:val="none" w:sz="0" w:space="0" w:color="auto"/>
        <w:right w:val="none" w:sz="0" w:space="0" w:color="auto"/>
      </w:divBdr>
    </w:div>
    <w:div w:id="1928928621">
      <w:bodyDiv w:val="1"/>
      <w:marLeft w:val="0"/>
      <w:marRight w:val="0"/>
      <w:marTop w:val="0"/>
      <w:marBottom w:val="0"/>
      <w:divBdr>
        <w:top w:val="none" w:sz="0" w:space="0" w:color="auto"/>
        <w:left w:val="none" w:sz="0" w:space="0" w:color="auto"/>
        <w:bottom w:val="none" w:sz="0" w:space="0" w:color="auto"/>
        <w:right w:val="none" w:sz="0" w:space="0" w:color="auto"/>
      </w:divBdr>
    </w:div>
    <w:div w:id="1952781122">
      <w:bodyDiv w:val="1"/>
      <w:marLeft w:val="0"/>
      <w:marRight w:val="0"/>
      <w:marTop w:val="0"/>
      <w:marBottom w:val="0"/>
      <w:divBdr>
        <w:top w:val="none" w:sz="0" w:space="0" w:color="auto"/>
        <w:left w:val="none" w:sz="0" w:space="0" w:color="auto"/>
        <w:bottom w:val="none" w:sz="0" w:space="0" w:color="auto"/>
        <w:right w:val="none" w:sz="0" w:space="0" w:color="auto"/>
      </w:divBdr>
    </w:div>
    <w:div w:id="2014726073">
      <w:bodyDiv w:val="1"/>
      <w:marLeft w:val="0"/>
      <w:marRight w:val="0"/>
      <w:marTop w:val="0"/>
      <w:marBottom w:val="0"/>
      <w:divBdr>
        <w:top w:val="none" w:sz="0" w:space="0" w:color="auto"/>
        <w:left w:val="none" w:sz="0" w:space="0" w:color="auto"/>
        <w:bottom w:val="none" w:sz="0" w:space="0" w:color="auto"/>
        <w:right w:val="none" w:sz="0" w:space="0" w:color="auto"/>
      </w:divBdr>
    </w:div>
    <w:div w:id="21233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38</TotalTime>
  <Pages>12</Pages>
  <Words>3011</Words>
  <Characters>20527</Characters>
  <Application>Microsoft Office Word</Application>
  <DocSecurity>0</DocSecurity>
  <Lines>171</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2024111198 mt</dc:description>
  <cp:lastModifiedBy>Hanne Thy Iversen</cp:lastModifiedBy>
  <cp:revision>8</cp:revision>
  <cp:lastPrinted>2012-08-22T08:53:00Z</cp:lastPrinted>
  <dcterms:created xsi:type="dcterms:W3CDTF">2026-02-12T12:27:00Z</dcterms:created>
  <dcterms:modified xsi:type="dcterms:W3CDTF">2026-02-13T08:47:00Z</dcterms:modified>
</cp:coreProperties>
</file>