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13" w:rsidRPr="00C84483" w:rsidRDefault="00D61E13" w:rsidP="00D61E13">
      <w:pPr>
        <w:rPr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3FFCA1CC" wp14:editId="59D7DBE9">
            <wp:extent cx="2430780" cy="685800"/>
            <wp:effectExtent l="0" t="0" r="7620" b="0"/>
            <wp:docPr id="1" name="Billede 1" descr="LMST_auto_s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MST_auto_stor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13" w:rsidRPr="00C84483" w:rsidRDefault="00D61E13" w:rsidP="00D61E1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D61E13" w:rsidRPr="00C84483" w:rsidRDefault="00D61E13" w:rsidP="00D61E13">
      <w:pPr>
        <w:pStyle w:val="Titel"/>
        <w:tabs>
          <w:tab w:val="right" w:pos="9356"/>
        </w:tabs>
        <w:jc w:val="left"/>
        <w:rPr>
          <w:b w:val="0"/>
          <w:szCs w:val="24"/>
        </w:rPr>
      </w:pPr>
      <w:r w:rsidRPr="00C84483">
        <w:rPr>
          <w:b w:val="0"/>
          <w:szCs w:val="24"/>
          <w:lang w:eastAsia="en-US"/>
        </w:rPr>
        <w:tab/>
      </w:r>
      <w:r w:rsidR="000A34EB">
        <w:rPr>
          <w:szCs w:val="24"/>
        </w:rPr>
        <w:t>6</w:t>
      </w:r>
      <w:r w:rsidR="00CC4D33">
        <w:rPr>
          <w:szCs w:val="24"/>
        </w:rPr>
        <w:t xml:space="preserve">. </w:t>
      </w:r>
      <w:r w:rsidR="000A34EB">
        <w:rPr>
          <w:szCs w:val="24"/>
        </w:rPr>
        <w:t>september</w:t>
      </w:r>
      <w:r w:rsidR="00CC4D33">
        <w:rPr>
          <w:szCs w:val="24"/>
        </w:rPr>
        <w:t xml:space="preserve"> 202</w:t>
      </w:r>
      <w:r w:rsidR="000A34EB">
        <w:rPr>
          <w:szCs w:val="24"/>
        </w:rPr>
        <w:t>4</w:t>
      </w:r>
    </w:p>
    <w:p w:rsidR="00D61E13" w:rsidRPr="00C84483" w:rsidRDefault="00D61E13" w:rsidP="00D61E13">
      <w:pPr>
        <w:pStyle w:val="Titel"/>
        <w:jc w:val="left"/>
        <w:rPr>
          <w:b w:val="0"/>
          <w:szCs w:val="24"/>
        </w:rPr>
      </w:pPr>
    </w:p>
    <w:p w:rsidR="00D61E13" w:rsidRPr="00C84483" w:rsidRDefault="00D61E13" w:rsidP="00D61E1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D61E13" w:rsidRPr="00C84483" w:rsidRDefault="00D61E13" w:rsidP="00D61E13">
      <w:pPr>
        <w:jc w:val="center"/>
        <w:rPr>
          <w:b/>
          <w:sz w:val="24"/>
          <w:szCs w:val="24"/>
        </w:rPr>
      </w:pPr>
    </w:p>
    <w:p w:rsidR="00D61E13" w:rsidRPr="00C84483" w:rsidRDefault="00A522E6" w:rsidP="00A522E6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61E13" w:rsidRPr="00C84483">
        <w:rPr>
          <w:b/>
          <w:sz w:val="24"/>
          <w:szCs w:val="24"/>
        </w:rPr>
        <w:t>for</w:t>
      </w:r>
    </w:p>
    <w:p w:rsidR="00D61E13" w:rsidRPr="00C84483" w:rsidRDefault="00D61E13" w:rsidP="00D61E13">
      <w:pPr>
        <w:jc w:val="center"/>
        <w:rPr>
          <w:b/>
          <w:sz w:val="24"/>
          <w:szCs w:val="24"/>
        </w:rPr>
      </w:pPr>
    </w:p>
    <w:p w:rsidR="00D61E13" w:rsidRPr="00C84483" w:rsidRDefault="00D61E13" w:rsidP="00D61E1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Hydroxocobalamin</w:t>
      </w:r>
      <w:proofErr w:type="spellEnd"/>
      <w:r>
        <w:rPr>
          <w:b/>
          <w:sz w:val="24"/>
          <w:szCs w:val="24"/>
        </w:rPr>
        <w:t xml:space="preserve"> ”Alternova”, injektionsvæske, opløsning</w:t>
      </w:r>
    </w:p>
    <w:p w:rsidR="00D61E13" w:rsidRPr="00C84483" w:rsidRDefault="00D61E13" w:rsidP="00D61E13">
      <w:pPr>
        <w:jc w:val="both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jc w:val="both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0.</w:t>
      </w:r>
      <w:r w:rsidRPr="003C070F">
        <w:rPr>
          <w:b/>
          <w:sz w:val="24"/>
          <w:szCs w:val="24"/>
        </w:rPr>
        <w:tab/>
        <w:t>D.SP.NR.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  <w:t>28880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1.</w:t>
      </w:r>
      <w:r w:rsidRPr="003C070F">
        <w:rPr>
          <w:b/>
          <w:sz w:val="24"/>
          <w:szCs w:val="24"/>
        </w:rPr>
        <w:tab/>
        <w:t>LÆGEMIDLETS NAVN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</w:r>
      <w:proofErr w:type="spellStart"/>
      <w:r w:rsidRPr="003C070F">
        <w:rPr>
          <w:sz w:val="24"/>
          <w:szCs w:val="24"/>
        </w:rPr>
        <w:t>Hydroxocobalamin</w:t>
      </w:r>
      <w:proofErr w:type="spellEnd"/>
      <w:r w:rsidRPr="003C070F">
        <w:rPr>
          <w:sz w:val="24"/>
          <w:szCs w:val="24"/>
        </w:rPr>
        <w:t xml:space="preserve"> ”Alternova”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</w: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2.</w:t>
      </w:r>
      <w:r w:rsidRPr="003C070F">
        <w:rPr>
          <w:b/>
          <w:sz w:val="24"/>
          <w:szCs w:val="24"/>
        </w:rPr>
        <w:tab/>
        <w:t>KVALITATIV OG KVANTITATIV SAMMENSÆTNING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  <w:t>Hver ampul á 1 ml opløsning indeholder:</w:t>
      </w:r>
    </w:p>
    <w:p w:rsidR="00D61E13" w:rsidRPr="003C070F" w:rsidRDefault="00D61E13" w:rsidP="00D61E13">
      <w:pPr>
        <w:widowControl w:val="0"/>
        <w:ind w:left="851" w:hanging="851"/>
        <w:rPr>
          <w:spacing w:val="-3"/>
          <w:sz w:val="24"/>
          <w:szCs w:val="24"/>
        </w:rPr>
      </w:pPr>
      <w:r w:rsidRPr="003C070F">
        <w:rPr>
          <w:sz w:val="24"/>
          <w:szCs w:val="24"/>
        </w:rPr>
        <w:tab/>
      </w:r>
      <w:proofErr w:type="spellStart"/>
      <w:r w:rsidRPr="003C070F">
        <w:rPr>
          <w:spacing w:val="-3"/>
          <w:sz w:val="24"/>
          <w:szCs w:val="24"/>
        </w:rPr>
        <w:t>Hydroxocobalaminchlorid</w:t>
      </w:r>
      <w:proofErr w:type="spellEnd"/>
      <w:r w:rsidRPr="003C070F">
        <w:rPr>
          <w:spacing w:val="-3"/>
          <w:sz w:val="24"/>
          <w:szCs w:val="24"/>
        </w:rPr>
        <w:t xml:space="preserve"> 1,027 mg svarende til 1</w:t>
      </w:r>
      <w:r>
        <w:rPr>
          <w:spacing w:val="-3"/>
          <w:sz w:val="24"/>
          <w:szCs w:val="24"/>
        </w:rPr>
        <w:t xml:space="preserve"> </w:t>
      </w:r>
      <w:r w:rsidRPr="003C070F">
        <w:rPr>
          <w:spacing w:val="-3"/>
          <w:sz w:val="24"/>
          <w:szCs w:val="24"/>
        </w:rPr>
        <w:t xml:space="preserve">mg </w:t>
      </w:r>
      <w:proofErr w:type="spellStart"/>
      <w:r w:rsidRPr="003C070F">
        <w:rPr>
          <w:spacing w:val="-3"/>
          <w:sz w:val="24"/>
          <w:szCs w:val="24"/>
        </w:rPr>
        <w:t>hydroxocobalamin</w:t>
      </w:r>
      <w:proofErr w:type="spellEnd"/>
      <w:r w:rsidRPr="003C070F">
        <w:rPr>
          <w:spacing w:val="-3"/>
          <w:sz w:val="24"/>
          <w:szCs w:val="24"/>
        </w:rPr>
        <w:t>.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</w:r>
    </w:p>
    <w:p w:rsidR="00D61E13" w:rsidRPr="003C070F" w:rsidRDefault="00D61E13" w:rsidP="00D61E13">
      <w:pPr>
        <w:widowControl w:val="0"/>
        <w:ind w:left="851" w:hanging="851"/>
        <w:rPr>
          <w:spacing w:val="-3"/>
          <w:sz w:val="24"/>
          <w:szCs w:val="24"/>
        </w:rPr>
      </w:pPr>
      <w:r w:rsidRPr="003C070F">
        <w:rPr>
          <w:spacing w:val="-3"/>
          <w:sz w:val="24"/>
          <w:szCs w:val="24"/>
        </w:rPr>
        <w:tab/>
        <w:t>Hjælpestof, som behandleren skal være opmærksom på: Natrium (3,5 mg).</w:t>
      </w:r>
    </w:p>
    <w:p w:rsidR="00D61E13" w:rsidRPr="003C070F" w:rsidRDefault="00D61E13" w:rsidP="00D61E13">
      <w:pPr>
        <w:widowControl w:val="0"/>
        <w:ind w:left="851" w:hanging="851"/>
        <w:rPr>
          <w:spacing w:val="-3"/>
          <w:sz w:val="24"/>
          <w:szCs w:val="24"/>
        </w:rPr>
      </w:pP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  <w:t>Alle hjælpestoffer er anført under pkt. 6.1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3.</w:t>
      </w:r>
      <w:r w:rsidRPr="003C070F">
        <w:rPr>
          <w:b/>
          <w:sz w:val="24"/>
          <w:szCs w:val="24"/>
        </w:rPr>
        <w:tab/>
        <w:t>LÆGEMIDDELFORM</w:t>
      </w:r>
    </w:p>
    <w:p w:rsidR="00D61E13" w:rsidRPr="003C070F" w:rsidRDefault="00D61E13" w:rsidP="00D61E13">
      <w:pPr>
        <w:widowControl w:val="0"/>
        <w:ind w:left="851" w:hanging="851"/>
        <w:rPr>
          <w:spacing w:val="-3"/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</w:r>
      <w:r w:rsidRPr="003C070F">
        <w:rPr>
          <w:spacing w:val="-3"/>
          <w:sz w:val="24"/>
          <w:szCs w:val="24"/>
        </w:rPr>
        <w:t>Injektionsvæske, opløsning</w:t>
      </w:r>
      <w:r>
        <w:rPr>
          <w:spacing w:val="-3"/>
          <w:sz w:val="24"/>
          <w:szCs w:val="24"/>
        </w:rPr>
        <w:t>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  <w:t>Rød, klar opløsning, pH ca</w:t>
      </w:r>
      <w:r>
        <w:rPr>
          <w:sz w:val="24"/>
          <w:szCs w:val="24"/>
        </w:rPr>
        <w:t>.</w:t>
      </w:r>
      <w:r w:rsidRPr="003C070F">
        <w:rPr>
          <w:sz w:val="24"/>
          <w:szCs w:val="24"/>
        </w:rPr>
        <w:t xml:space="preserve"> 4,2 – 5,9.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4.</w:t>
      </w:r>
      <w:r w:rsidRPr="003C070F">
        <w:rPr>
          <w:b/>
          <w:sz w:val="24"/>
          <w:szCs w:val="24"/>
        </w:rPr>
        <w:tab/>
        <w:t>KLINISKE OPLYSNINGER</w:t>
      </w: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  <w:u w:val="single"/>
        </w:rPr>
      </w:pPr>
      <w:r w:rsidRPr="003C070F">
        <w:rPr>
          <w:b/>
          <w:sz w:val="24"/>
          <w:szCs w:val="24"/>
        </w:rPr>
        <w:t>4.1</w:t>
      </w:r>
      <w:r w:rsidRPr="003C070F">
        <w:rPr>
          <w:b/>
          <w:sz w:val="24"/>
          <w:szCs w:val="24"/>
        </w:rPr>
        <w:tab/>
        <w:t>Terapeutiske indikationer</w:t>
      </w:r>
    </w:p>
    <w:p w:rsidR="00D61E13" w:rsidRPr="003C070F" w:rsidRDefault="00D61E13" w:rsidP="00D61E13">
      <w:pPr>
        <w:ind w:left="851" w:hanging="851"/>
        <w:jc w:val="both"/>
        <w:rPr>
          <w:sz w:val="24"/>
          <w:szCs w:val="24"/>
        </w:rPr>
      </w:pPr>
      <w:r w:rsidRPr="003C070F">
        <w:rPr>
          <w:sz w:val="24"/>
          <w:szCs w:val="24"/>
        </w:rPr>
        <w:tab/>
      </w:r>
      <w:r w:rsidRPr="003C070F">
        <w:rPr>
          <w:spacing w:val="-3"/>
          <w:sz w:val="24"/>
          <w:szCs w:val="24"/>
        </w:rPr>
        <w:t>Forebyggelse og behandling af perniciøs anæmi og andre tilstande med B</w:t>
      </w:r>
      <w:r w:rsidRPr="003C070F">
        <w:rPr>
          <w:spacing w:val="-3"/>
          <w:sz w:val="24"/>
          <w:szCs w:val="24"/>
          <w:vertAlign w:val="subscript"/>
        </w:rPr>
        <w:t>12</w:t>
      </w:r>
      <w:r w:rsidRPr="003C070F">
        <w:rPr>
          <w:spacing w:val="-3"/>
          <w:sz w:val="24"/>
          <w:szCs w:val="24"/>
        </w:rPr>
        <w:t>-vitaminmangel.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4.2</w:t>
      </w:r>
      <w:r w:rsidRPr="003C070F">
        <w:rPr>
          <w:b/>
          <w:sz w:val="24"/>
          <w:szCs w:val="24"/>
        </w:rPr>
        <w:tab/>
        <w:t xml:space="preserve">Dosering og </w:t>
      </w:r>
      <w:r w:rsidR="00CC4D33">
        <w:rPr>
          <w:b/>
          <w:sz w:val="24"/>
          <w:szCs w:val="24"/>
        </w:rPr>
        <w:t>administration</w:t>
      </w:r>
    </w:p>
    <w:p w:rsidR="00CC4D33" w:rsidRDefault="00CC4D33" w:rsidP="00CC4D33">
      <w:pPr>
        <w:ind w:left="851"/>
        <w:rPr>
          <w:spacing w:val="-3"/>
          <w:sz w:val="24"/>
          <w:szCs w:val="24"/>
        </w:rPr>
      </w:pPr>
    </w:p>
    <w:p w:rsidR="00CC4D33" w:rsidRPr="003C070F" w:rsidRDefault="00CC4D33" w:rsidP="00CC4D33">
      <w:pPr>
        <w:ind w:left="851"/>
        <w:rPr>
          <w:spacing w:val="-3"/>
          <w:sz w:val="24"/>
          <w:szCs w:val="24"/>
        </w:rPr>
      </w:pPr>
      <w:r w:rsidRPr="003C070F">
        <w:rPr>
          <w:spacing w:val="-3"/>
          <w:sz w:val="24"/>
          <w:szCs w:val="24"/>
        </w:rPr>
        <w:t xml:space="preserve">Initialt: 1 mg </w:t>
      </w:r>
      <w:proofErr w:type="spellStart"/>
      <w:r w:rsidRPr="003C070F">
        <w:rPr>
          <w:spacing w:val="-3"/>
          <w:sz w:val="24"/>
          <w:szCs w:val="24"/>
        </w:rPr>
        <w:t>i.m</w:t>
      </w:r>
      <w:proofErr w:type="spellEnd"/>
      <w:r w:rsidRPr="003C070F">
        <w:rPr>
          <w:spacing w:val="-3"/>
          <w:sz w:val="24"/>
          <w:szCs w:val="24"/>
        </w:rPr>
        <w:t>. hver 2. dag i alt 5 gange.</w:t>
      </w:r>
    </w:p>
    <w:p w:rsidR="00CC4D33" w:rsidRPr="003C070F" w:rsidRDefault="00CC4D33" w:rsidP="00CC4D33">
      <w:pPr>
        <w:widowControl w:val="0"/>
        <w:ind w:left="851" w:hanging="851"/>
        <w:rPr>
          <w:sz w:val="24"/>
          <w:szCs w:val="24"/>
        </w:rPr>
      </w:pPr>
      <w:r w:rsidRPr="003C070F">
        <w:rPr>
          <w:spacing w:val="-3"/>
          <w:sz w:val="24"/>
          <w:szCs w:val="24"/>
        </w:rPr>
        <w:tab/>
        <w:t xml:space="preserve">Vedligeholdelsesdosis: 1 mg </w:t>
      </w:r>
      <w:proofErr w:type="spellStart"/>
      <w:r w:rsidRPr="003C070F">
        <w:rPr>
          <w:spacing w:val="-3"/>
          <w:sz w:val="24"/>
          <w:szCs w:val="24"/>
        </w:rPr>
        <w:t>i.m</w:t>
      </w:r>
      <w:proofErr w:type="spellEnd"/>
      <w:r w:rsidRPr="003C070F">
        <w:rPr>
          <w:spacing w:val="-3"/>
          <w:sz w:val="24"/>
          <w:szCs w:val="24"/>
        </w:rPr>
        <w:t>. hver 2.-3. måned.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4.3</w:t>
      </w:r>
      <w:r w:rsidRPr="003C070F">
        <w:rPr>
          <w:b/>
          <w:sz w:val="24"/>
          <w:szCs w:val="24"/>
        </w:rPr>
        <w:tab/>
        <w:t>Kontraindikationer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  <w:t>Overfølsomhed over for det aktive stof eller over for et eller flere af hjælpestofferne anført i pkt. 6.1.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lastRenderedPageBreak/>
        <w:t>4.4</w:t>
      </w:r>
      <w:r w:rsidRPr="003C070F">
        <w:rPr>
          <w:b/>
          <w:sz w:val="24"/>
          <w:szCs w:val="24"/>
        </w:rPr>
        <w:tab/>
        <w:t>Særlige advarsler og forsigtighedsregler vedrørende brugen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  <w:t xml:space="preserve">Patienter med tidlig </w:t>
      </w:r>
      <w:proofErr w:type="spellStart"/>
      <w:r w:rsidRPr="003C070F">
        <w:rPr>
          <w:sz w:val="24"/>
          <w:szCs w:val="24"/>
        </w:rPr>
        <w:t>Lebers</w:t>
      </w:r>
      <w:proofErr w:type="spellEnd"/>
      <w:r w:rsidRPr="003C070F">
        <w:rPr>
          <w:sz w:val="24"/>
          <w:szCs w:val="24"/>
        </w:rPr>
        <w:t xml:space="preserve"> sygdom (hereditær </w:t>
      </w:r>
      <w:proofErr w:type="spellStart"/>
      <w:r w:rsidRPr="003C070F">
        <w:rPr>
          <w:sz w:val="24"/>
          <w:szCs w:val="24"/>
        </w:rPr>
        <w:t>opticusatrofi</w:t>
      </w:r>
      <w:proofErr w:type="spellEnd"/>
      <w:r w:rsidRPr="003C070F">
        <w:rPr>
          <w:sz w:val="24"/>
          <w:szCs w:val="24"/>
        </w:rPr>
        <w:t>) har vist sig at lide af svær og hurtig optisk nerveatrofi efter behandling med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>.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r w:rsidRPr="003C070F">
        <w:rPr>
          <w:sz w:val="24"/>
          <w:szCs w:val="24"/>
        </w:rPr>
        <w:t xml:space="preserve">Når svær </w:t>
      </w:r>
      <w:proofErr w:type="spellStart"/>
      <w:r w:rsidRPr="003C070F">
        <w:rPr>
          <w:sz w:val="24"/>
          <w:szCs w:val="24"/>
        </w:rPr>
        <w:t>megalobastanæmi</w:t>
      </w:r>
      <w:proofErr w:type="spellEnd"/>
      <w:r w:rsidRPr="003C070F">
        <w:rPr>
          <w:sz w:val="24"/>
          <w:szCs w:val="24"/>
        </w:rPr>
        <w:t xml:space="preserve"> behandles intensivt, kan der forekomme </w:t>
      </w:r>
      <w:proofErr w:type="spellStart"/>
      <w:r w:rsidRPr="003C070F">
        <w:rPr>
          <w:sz w:val="24"/>
          <w:szCs w:val="24"/>
        </w:rPr>
        <w:t>hypokaliæmi</w:t>
      </w:r>
      <w:proofErr w:type="spellEnd"/>
      <w:r w:rsidRPr="003C070F">
        <w:rPr>
          <w:sz w:val="24"/>
          <w:szCs w:val="24"/>
        </w:rPr>
        <w:t xml:space="preserve"> og pludselig død. Udebleven terapeutisk respons kan skyldes infektion, uræmi, samtidig behandling med </w:t>
      </w:r>
      <w:proofErr w:type="spellStart"/>
      <w:r w:rsidRPr="003C070F">
        <w:rPr>
          <w:sz w:val="24"/>
          <w:szCs w:val="24"/>
        </w:rPr>
        <w:t>chloramphenicol</w:t>
      </w:r>
      <w:proofErr w:type="spellEnd"/>
      <w:r w:rsidRPr="003C070F">
        <w:rPr>
          <w:sz w:val="24"/>
          <w:szCs w:val="24"/>
        </w:rPr>
        <w:t xml:space="preserve"> eller forkert diagnose. 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r w:rsidRPr="003C070F">
        <w:rPr>
          <w:sz w:val="24"/>
          <w:szCs w:val="24"/>
        </w:rPr>
        <w:t>Patientens anamnese vedrørende overfølsomhed bør indhentes inden administration af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, og det anbefales at administrere en </w:t>
      </w:r>
      <w:proofErr w:type="spellStart"/>
      <w:r w:rsidRPr="003C070F">
        <w:rPr>
          <w:sz w:val="24"/>
          <w:szCs w:val="24"/>
        </w:rPr>
        <w:t>intradermal</w:t>
      </w:r>
      <w:proofErr w:type="spellEnd"/>
      <w:r w:rsidRPr="003C070F">
        <w:rPr>
          <w:sz w:val="24"/>
          <w:szCs w:val="24"/>
        </w:rPr>
        <w:t xml:space="preserve"> testdosis, inden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 administreres til patienter med kendt overfølsomhed over for </w:t>
      </w:r>
      <w:proofErr w:type="spellStart"/>
      <w:r w:rsidRPr="003C070F">
        <w:rPr>
          <w:sz w:val="24"/>
          <w:szCs w:val="24"/>
        </w:rPr>
        <w:t>kobalaminer</w:t>
      </w:r>
      <w:proofErr w:type="spellEnd"/>
      <w:r w:rsidRPr="003C070F">
        <w:rPr>
          <w:sz w:val="24"/>
          <w:szCs w:val="24"/>
        </w:rPr>
        <w:t xml:space="preserve">. 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r w:rsidRPr="003C070F">
        <w:rPr>
          <w:sz w:val="24"/>
          <w:szCs w:val="24"/>
        </w:rPr>
        <w:t xml:space="preserve">Oprindeligt diagnosticeret og recidiverende perniciøs anæmi med svære </w:t>
      </w:r>
      <w:proofErr w:type="spellStart"/>
      <w:r w:rsidRPr="003C070F">
        <w:rPr>
          <w:sz w:val="24"/>
          <w:szCs w:val="24"/>
        </w:rPr>
        <w:t>neuroleptiske</w:t>
      </w:r>
      <w:proofErr w:type="spellEnd"/>
      <w:r w:rsidRPr="003C070F">
        <w:rPr>
          <w:sz w:val="24"/>
          <w:szCs w:val="24"/>
        </w:rPr>
        <w:t xml:space="preserve"> symptomer skal behandles ved parenteral administration af </w:t>
      </w:r>
      <w:proofErr w:type="spellStart"/>
      <w:r w:rsidRPr="003C070F">
        <w:rPr>
          <w:sz w:val="24"/>
          <w:szCs w:val="24"/>
        </w:rPr>
        <w:t>cyanocobalamin</w:t>
      </w:r>
      <w:proofErr w:type="spellEnd"/>
      <w:r w:rsidRPr="003C070F">
        <w:rPr>
          <w:sz w:val="24"/>
          <w:szCs w:val="24"/>
        </w:rPr>
        <w:t xml:space="preserve">. Ved behandling af </w:t>
      </w:r>
      <w:proofErr w:type="spellStart"/>
      <w:r w:rsidRPr="003C070F">
        <w:rPr>
          <w:sz w:val="24"/>
          <w:szCs w:val="24"/>
        </w:rPr>
        <w:t>megaloblastær</w:t>
      </w:r>
      <w:proofErr w:type="spellEnd"/>
      <w:r w:rsidRPr="003C070F">
        <w:rPr>
          <w:sz w:val="24"/>
          <w:szCs w:val="24"/>
        </w:rPr>
        <w:t xml:space="preserve"> anæmi forbundet med </w:t>
      </w:r>
      <w:proofErr w:type="spellStart"/>
      <w:r w:rsidRPr="003C070F">
        <w:rPr>
          <w:sz w:val="24"/>
          <w:szCs w:val="24"/>
        </w:rPr>
        <w:t>malabsorptionstilstand</w:t>
      </w:r>
      <w:proofErr w:type="spellEnd"/>
      <w:r w:rsidRPr="003C070F">
        <w:rPr>
          <w:sz w:val="24"/>
          <w:szCs w:val="24"/>
        </w:rPr>
        <w:t xml:space="preserve">, er det oftest nødvendigt at supplere med </w:t>
      </w:r>
      <w:proofErr w:type="spellStart"/>
      <w:r w:rsidRPr="003C070F">
        <w:rPr>
          <w:sz w:val="24"/>
          <w:szCs w:val="24"/>
        </w:rPr>
        <w:t>folsyre</w:t>
      </w:r>
      <w:proofErr w:type="spellEnd"/>
      <w:r w:rsidRPr="003C070F">
        <w:rPr>
          <w:sz w:val="24"/>
          <w:szCs w:val="24"/>
        </w:rPr>
        <w:t>, ligesom det kan være nødvendigt at administrere parenteral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>.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r w:rsidRPr="003C070F">
        <w:rPr>
          <w:sz w:val="24"/>
          <w:szCs w:val="24"/>
        </w:rPr>
        <w:t>Hvis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-mangel får lov at udvikle sig i mere end 3 måneder, kan der forekomme permanente degenerative læsioner af rygsøjlen. Sådanne læsioner er konstateret, når </w:t>
      </w:r>
      <w:proofErr w:type="spellStart"/>
      <w:r w:rsidRPr="003C070F">
        <w:rPr>
          <w:sz w:val="24"/>
          <w:szCs w:val="24"/>
        </w:rPr>
        <w:t>folsyre</w:t>
      </w:r>
      <w:proofErr w:type="spellEnd"/>
      <w:r w:rsidRPr="003C070F">
        <w:rPr>
          <w:sz w:val="24"/>
          <w:szCs w:val="24"/>
        </w:rPr>
        <w:t xml:space="preserve"> har været anvendt som det eneste bloddannende middel.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r w:rsidRPr="003C070F">
        <w:rPr>
          <w:sz w:val="24"/>
          <w:szCs w:val="24"/>
        </w:rPr>
        <w:t>Serumkaliumniveauerne bør overvåges i den tidlige behandling med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, og om nødvendigt skal der administreres kalium, da omvendelse af </w:t>
      </w:r>
      <w:proofErr w:type="spellStart"/>
      <w:r w:rsidRPr="003C070F">
        <w:rPr>
          <w:sz w:val="24"/>
          <w:szCs w:val="24"/>
        </w:rPr>
        <w:t>megaloblastær</w:t>
      </w:r>
      <w:proofErr w:type="spellEnd"/>
      <w:r w:rsidRPr="003C070F">
        <w:rPr>
          <w:sz w:val="24"/>
          <w:szCs w:val="24"/>
        </w:rPr>
        <w:t xml:space="preserve"> anæmi til normal </w:t>
      </w:r>
      <w:proofErr w:type="spellStart"/>
      <w:r w:rsidRPr="003C070F">
        <w:rPr>
          <w:sz w:val="24"/>
          <w:szCs w:val="24"/>
        </w:rPr>
        <w:t>erythropoiesis</w:t>
      </w:r>
      <w:proofErr w:type="spellEnd"/>
      <w:r w:rsidRPr="003C070F">
        <w:rPr>
          <w:sz w:val="24"/>
          <w:szCs w:val="24"/>
        </w:rPr>
        <w:t xml:space="preserve"> med vitamin B</w:t>
      </w:r>
      <w:r w:rsidRPr="003C070F">
        <w:rPr>
          <w:sz w:val="24"/>
          <w:szCs w:val="24"/>
          <w:vertAlign w:val="subscript"/>
        </w:rPr>
        <w:t xml:space="preserve">12 </w:t>
      </w:r>
      <w:r w:rsidRPr="003C070F">
        <w:rPr>
          <w:sz w:val="24"/>
          <w:szCs w:val="24"/>
        </w:rPr>
        <w:t xml:space="preserve">kan medføre fatal </w:t>
      </w:r>
      <w:proofErr w:type="spellStart"/>
      <w:r w:rsidRPr="003C070F">
        <w:rPr>
          <w:sz w:val="24"/>
          <w:szCs w:val="24"/>
        </w:rPr>
        <w:t>hypokaliæmi</w:t>
      </w:r>
      <w:proofErr w:type="spellEnd"/>
      <w:r w:rsidRPr="003C070F">
        <w:rPr>
          <w:sz w:val="24"/>
          <w:szCs w:val="24"/>
        </w:rPr>
        <w:t xml:space="preserve"> som følge af et øget behov for </w:t>
      </w:r>
      <w:proofErr w:type="spellStart"/>
      <w:r w:rsidRPr="003C070F">
        <w:rPr>
          <w:sz w:val="24"/>
          <w:szCs w:val="24"/>
        </w:rPr>
        <w:t>erythrocytkalium</w:t>
      </w:r>
      <w:proofErr w:type="spellEnd"/>
      <w:r w:rsidRPr="003C070F">
        <w:rPr>
          <w:sz w:val="24"/>
          <w:szCs w:val="24"/>
        </w:rPr>
        <w:t>. Den terapeutiske respons på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 være nedsat ved samtidig infektion, uræmi, samtidig behandling med </w:t>
      </w:r>
      <w:proofErr w:type="spellStart"/>
      <w:r w:rsidRPr="003C070F">
        <w:rPr>
          <w:sz w:val="24"/>
          <w:szCs w:val="24"/>
        </w:rPr>
        <w:t>chloramphenicol</w:t>
      </w:r>
      <w:proofErr w:type="spellEnd"/>
      <w:r w:rsidRPr="003C070F">
        <w:rPr>
          <w:sz w:val="24"/>
          <w:szCs w:val="24"/>
        </w:rPr>
        <w:t xml:space="preserve"> eller forkert diagnose. 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proofErr w:type="spellStart"/>
      <w:r w:rsidRPr="003C070F">
        <w:rPr>
          <w:sz w:val="24"/>
          <w:szCs w:val="24"/>
        </w:rPr>
        <w:t>Cyanocobalamin</w:t>
      </w:r>
      <w:proofErr w:type="spellEnd"/>
      <w:r w:rsidRPr="003C070F">
        <w:rPr>
          <w:sz w:val="24"/>
          <w:szCs w:val="24"/>
        </w:rPr>
        <w:t xml:space="preserve"> eller </w:t>
      </w:r>
      <w:proofErr w:type="spellStart"/>
      <w:r w:rsidRPr="003C070F">
        <w:rPr>
          <w:sz w:val="24"/>
          <w:szCs w:val="24"/>
        </w:rPr>
        <w:t>hydroxocobalamin</w:t>
      </w:r>
      <w:proofErr w:type="spellEnd"/>
      <w:r w:rsidRPr="003C070F">
        <w:rPr>
          <w:sz w:val="24"/>
          <w:szCs w:val="24"/>
        </w:rPr>
        <w:t xml:space="preserve"> bør i</w:t>
      </w:r>
      <w:r>
        <w:rPr>
          <w:sz w:val="24"/>
          <w:szCs w:val="24"/>
        </w:rPr>
        <w:t xml:space="preserve">kke administreres </w:t>
      </w:r>
      <w:proofErr w:type="spellStart"/>
      <w:r>
        <w:rPr>
          <w:sz w:val="24"/>
          <w:szCs w:val="24"/>
        </w:rPr>
        <w:t>i.v</w:t>
      </w:r>
      <w:proofErr w:type="spellEnd"/>
      <w:r>
        <w:rPr>
          <w:sz w:val="24"/>
          <w:szCs w:val="24"/>
        </w:rPr>
        <w:t>.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r w:rsidRPr="003C070F">
        <w:rPr>
          <w:sz w:val="24"/>
          <w:szCs w:val="24"/>
        </w:rPr>
        <w:t>Tilfældig administration af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 kan sløre den rigtige diagnose af perniciøs anæmi. Fejlernæring er sjældent forbundet med mangel på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 alene. Der må forventes mangel på flere vitaminer i alle tilfælde med fejlernæring.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/>
        <w:rPr>
          <w:spacing w:val="-3"/>
          <w:sz w:val="24"/>
          <w:szCs w:val="24"/>
        </w:rPr>
      </w:pPr>
      <w:r w:rsidRPr="003C070F">
        <w:rPr>
          <w:spacing w:val="-3"/>
          <w:sz w:val="24"/>
          <w:szCs w:val="24"/>
        </w:rPr>
        <w:t>Denne medicin indeholder mindre end 1 mmol (23 mg) natrium pr. dosis, dvs. den er i det væsentlige natriumfri.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4.5</w:t>
      </w:r>
      <w:r w:rsidRPr="003C070F">
        <w:rPr>
          <w:b/>
          <w:sz w:val="24"/>
          <w:szCs w:val="24"/>
        </w:rPr>
        <w:tab/>
        <w:t>Interaktion med andre lægemidler og andre former for interaktion</w:t>
      </w:r>
    </w:p>
    <w:p w:rsidR="00D61E13" w:rsidRPr="003C070F" w:rsidRDefault="00D61E13" w:rsidP="00D61E13">
      <w:pPr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  <w:t>Serumkoncentrationen af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 kan mindskes ved samtidig anvendelse af orale </w:t>
      </w:r>
      <w:proofErr w:type="spellStart"/>
      <w:r w:rsidRPr="003C070F">
        <w:rPr>
          <w:sz w:val="24"/>
          <w:szCs w:val="24"/>
        </w:rPr>
        <w:t>kontraceptiva</w:t>
      </w:r>
      <w:proofErr w:type="spellEnd"/>
      <w:r w:rsidRPr="003C070F">
        <w:rPr>
          <w:sz w:val="24"/>
          <w:szCs w:val="24"/>
        </w:rPr>
        <w:t xml:space="preserve">. Den kliniske relevans af denne interaktion er uklar.  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/>
        <w:rPr>
          <w:sz w:val="24"/>
          <w:szCs w:val="24"/>
        </w:rPr>
      </w:pPr>
      <w:r w:rsidRPr="003C070F">
        <w:rPr>
          <w:sz w:val="24"/>
          <w:szCs w:val="24"/>
        </w:rPr>
        <w:t xml:space="preserve">De fleste antibiotika, </w:t>
      </w:r>
      <w:proofErr w:type="spellStart"/>
      <w:r w:rsidRPr="003C070F">
        <w:rPr>
          <w:sz w:val="24"/>
          <w:szCs w:val="24"/>
        </w:rPr>
        <w:t>methotrexat</w:t>
      </w:r>
      <w:proofErr w:type="spellEnd"/>
      <w:r w:rsidRPr="003C070F">
        <w:rPr>
          <w:sz w:val="24"/>
          <w:szCs w:val="24"/>
        </w:rPr>
        <w:t xml:space="preserve"> og </w:t>
      </w:r>
      <w:proofErr w:type="spellStart"/>
      <w:r w:rsidRPr="003C070F">
        <w:rPr>
          <w:sz w:val="24"/>
          <w:szCs w:val="24"/>
        </w:rPr>
        <w:t>pyrimethamin</w:t>
      </w:r>
      <w:proofErr w:type="spellEnd"/>
      <w:r w:rsidRPr="003C070F">
        <w:rPr>
          <w:sz w:val="24"/>
          <w:szCs w:val="24"/>
        </w:rPr>
        <w:t xml:space="preserve"> giver falske resultater af mikrobiologiske blodprøver til bestemmelse af </w:t>
      </w:r>
      <w:proofErr w:type="spellStart"/>
      <w:r w:rsidRPr="003C070F">
        <w:rPr>
          <w:sz w:val="24"/>
          <w:szCs w:val="24"/>
        </w:rPr>
        <w:t>folsyre</w:t>
      </w:r>
      <w:proofErr w:type="spellEnd"/>
      <w:r w:rsidRPr="003C070F">
        <w:rPr>
          <w:sz w:val="24"/>
          <w:szCs w:val="24"/>
        </w:rPr>
        <w:t xml:space="preserve"> og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. </w:t>
      </w:r>
      <w:proofErr w:type="spellStart"/>
      <w:r w:rsidRPr="003C070F">
        <w:rPr>
          <w:sz w:val="24"/>
          <w:szCs w:val="24"/>
        </w:rPr>
        <w:t>Chloramphenicol</w:t>
      </w:r>
      <w:proofErr w:type="spellEnd"/>
      <w:r w:rsidRPr="003C070F">
        <w:rPr>
          <w:sz w:val="24"/>
          <w:szCs w:val="24"/>
        </w:rPr>
        <w:t xml:space="preserve"> kan </w:t>
      </w:r>
      <w:proofErr w:type="spellStart"/>
      <w:r w:rsidRPr="003C070F">
        <w:rPr>
          <w:sz w:val="24"/>
          <w:szCs w:val="24"/>
        </w:rPr>
        <w:t>antagonisere</w:t>
      </w:r>
      <w:proofErr w:type="spellEnd"/>
      <w:r w:rsidRPr="003C070F">
        <w:rPr>
          <w:sz w:val="24"/>
          <w:szCs w:val="24"/>
        </w:rPr>
        <w:t xml:space="preserve"> den bloddannende effekt af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. Den bloddannende effekt hos disse patienter bør derfor monitoreres. 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/>
        <w:rPr>
          <w:sz w:val="24"/>
          <w:szCs w:val="24"/>
        </w:rPr>
      </w:pPr>
      <w:r w:rsidRPr="003C070F">
        <w:rPr>
          <w:sz w:val="24"/>
          <w:szCs w:val="24"/>
        </w:rPr>
        <w:t xml:space="preserve">Indtagelse af </w:t>
      </w:r>
      <w:proofErr w:type="spellStart"/>
      <w:r w:rsidRPr="003C070F">
        <w:rPr>
          <w:sz w:val="24"/>
          <w:szCs w:val="24"/>
        </w:rPr>
        <w:t>colchicin</w:t>
      </w:r>
      <w:proofErr w:type="spellEnd"/>
      <w:r w:rsidRPr="003C070F">
        <w:rPr>
          <w:sz w:val="24"/>
          <w:szCs w:val="24"/>
        </w:rPr>
        <w:t xml:space="preserve">, aminoglykosider, visse </w:t>
      </w:r>
      <w:proofErr w:type="spellStart"/>
      <w:r w:rsidRPr="003C070F">
        <w:rPr>
          <w:sz w:val="24"/>
          <w:szCs w:val="24"/>
        </w:rPr>
        <w:t>antikonvulsiva</w:t>
      </w:r>
      <w:proofErr w:type="spellEnd"/>
      <w:r w:rsidRPr="003C070F">
        <w:rPr>
          <w:sz w:val="24"/>
          <w:szCs w:val="24"/>
        </w:rPr>
        <w:t xml:space="preserve"> (f.eks. </w:t>
      </w:r>
      <w:proofErr w:type="spellStart"/>
      <w:r w:rsidRPr="003C070F">
        <w:rPr>
          <w:sz w:val="24"/>
          <w:szCs w:val="24"/>
        </w:rPr>
        <w:t>phenytoin</w:t>
      </w:r>
      <w:proofErr w:type="spellEnd"/>
      <w:r w:rsidRPr="003C070F">
        <w:rPr>
          <w:sz w:val="24"/>
          <w:szCs w:val="24"/>
        </w:rPr>
        <w:t xml:space="preserve">, </w:t>
      </w:r>
      <w:proofErr w:type="spellStart"/>
      <w:r w:rsidRPr="003C070F">
        <w:rPr>
          <w:sz w:val="24"/>
          <w:szCs w:val="24"/>
        </w:rPr>
        <w:t>phenobarbital</w:t>
      </w:r>
      <w:proofErr w:type="spellEnd"/>
      <w:r w:rsidRPr="003C070F">
        <w:rPr>
          <w:sz w:val="24"/>
          <w:szCs w:val="24"/>
        </w:rPr>
        <w:t xml:space="preserve">, </w:t>
      </w:r>
      <w:proofErr w:type="spellStart"/>
      <w:r w:rsidRPr="003C070F">
        <w:rPr>
          <w:sz w:val="24"/>
          <w:szCs w:val="24"/>
        </w:rPr>
        <w:t>primidon</w:t>
      </w:r>
      <w:proofErr w:type="spellEnd"/>
      <w:r w:rsidRPr="003C070F">
        <w:rPr>
          <w:sz w:val="24"/>
          <w:szCs w:val="24"/>
        </w:rPr>
        <w:t xml:space="preserve">), </w:t>
      </w:r>
      <w:proofErr w:type="spellStart"/>
      <w:r w:rsidRPr="003C070F">
        <w:rPr>
          <w:sz w:val="24"/>
          <w:szCs w:val="24"/>
        </w:rPr>
        <w:t>para</w:t>
      </w:r>
      <w:proofErr w:type="spellEnd"/>
      <w:r w:rsidRPr="003C070F">
        <w:rPr>
          <w:sz w:val="24"/>
          <w:szCs w:val="24"/>
        </w:rPr>
        <w:t>-aminosalicylsyre eller store mængder alkohol i mere end 2 uger kan svække optagelsen af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>. Vitamin C kan ødelægge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. </w:t>
      </w:r>
      <w:r w:rsidRPr="003C070F">
        <w:rPr>
          <w:sz w:val="24"/>
          <w:szCs w:val="24"/>
        </w:rPr>
        <w:lastRenderedPageBreak/>
        <w:t>Patienterne bør undgå at indtage store mængder af vitamin C en 1 time før og efter oral administration af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>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/>
        <w:rPr>
          <w:sz w:val="24"/>
          <w:szCs w:val="24"/>
        </w:rPr>
      </w:pPr>
      <w:r w:rsidRPr="003C070F">
        <w:rPr>
          <w:sz w:val="24"/>
          <w:szCs w:val="24"/>
        </w:rPr>
        <w:t>Histamin2-receptorantagonister (</w:t>
      </w:r>
      <w:proofErr w:type="spellStart"/>
      <w:r w:rsidRPr="003C070F">
        <w:rPr>
          <w:sz w:val="24"/>
          <w:szCs w:val="24"/>
        </w:rPr>
        <w:t>cimetidin</w:t>
      </w:r>
      <w:proofErr w:type="spellEnd"/>
      <w:r w:rsidRPr="003C070F">
        <w:rPr>
          <w:sz w:val="24"/>
          <w:szCs w:val="24"/>
        </w:rPr>
        <w:t xml:space="preserve">, </w:t>
      </w:r>
      <w:proofErr w:type="spellStart"/>
      <w:r w:rsidRPr="003C070F">
        <w:rPr>
          <w:sz w:val="24"/>
          <w:szCs w:val="24"/>
        </w:rPr>
        <w:t>ranitidin</w:t>
      </w:r>
      <w:proofErr w:type="spellEnd"/>
      <w:r w:rsidRPr="003C070F">
        <w:rPr>
          <w:sz w:val="24"/>
          <w:szCs w:val="24"/>
        </w:rPr>
        <w:t xml:space="preserve">, </w:t>
      </w:r>
      <w:proofErr w:type="spellStart"/>
      <w:r w:rsidRPr="003C070F">
        <w:rPr>
          <w:sz w:val="24"/>
          <w:szCs w:val="24"/>
        </w:rPr>
        <w:t>nizatidin</w:t>
      </w:r>
      <w:proofErr w:type="spellEnd"/>
      <w:r w:rsidRPr="003C070F">
        <w:rPr>
          <w:sz w:val="24"/>
          <w:szCs w:val="24"/>
        </w:rPr>
        <w:t xml:space="preserve">, </w:t>
      </w:r>
      <w:proofErr w:type="spellStart"/>
      <w:r w:rsidRPr="003C070F">
        <w:rPr>
          <w:sz w:val="24"/>
          <w:szCs w:val="24"/>
        </w:rPr>
        <w:t>famotidin</w:t>
      </w:r>
      <w:proofErr w:type="spellEnd"/>
      <w:r w:rsidRPr="003C070F">
        <w:rPr>
          <w:sz w:val="24"/>
          <w:szCs w:val="24"/>
        </w:rPr>
        <w:t>) kan potentielt forårsage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>-mangel ved at nedsætte mavesyrens spaltning af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 fra fødekilder. Dette kan være vigtigt hos patienter med lavt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>-niveau eller hos patienter, der tager H2-antagonister over længere perioder (&gt;2 år).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4.6</w:t>
      </w:r>
      <w:r w:rsidRPr="003C070F">
        <w:rPr>
          <w:b/>
          <w:sz w:val="24"/>
          <w:szCs w:val="24"/>
        </w:rPr>
        <w:tab/>
      </w:r>
      <w:r w:rsidR="00CC4D33">
        <w:rPr>
          <w:b/>
          <w:sz w:val="24"/>
          <w:szCs w:val="24"/>
        </w:rPr>
        <w:t>Fertilitet, g</w:t>
      </w:r>
      <w:r w:rsidRPr="003C070F">
        <w:rPr>
          <w:b/>
          <w:sz w:val="24"/>
          <w:szCs w:val="24"/>
        </w:rPr>
        <w:t>raviditet og amning</w:t>
      </w:r>
    </w:p>
    <w:p w:rsidR="00D61E13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 w:hanging="851"/>
        <w:rPr>
          <w:i/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</w:r>
      <w:r w:rsidRPr="003C070F">
        <w:rPr>
          <w:i/>
          <w:sz w:val="24"/>
          <w:szCs w:val="24"/>
        </w:rPr>
        <w:t>Fertilitet:</w:t>
      </w:r>
    </w:p>
    <w:p w:rsidR="00D61E13" w:rsidRPr="003C070F" w:rsidRDefault="00D61E13" w:rsidP="00D61E13">
      <w:pPr>
        <w:widowControl w:val="0"/>
        <w:ind w:left="851"/>
        <w:rPr>
          <w:i/>
          <w:sz w:val="24"/>
          <w:szCs w:val="24"/>
        </w:rPr>
      </w:pPr>
      <w:r w:rsidRPr="003C070F">
        <w:rPr>
          <w:sz w:val="24"/>
          <w:szCs w:val="24"/>
        </w:rPr>
        <w:t>Der foreligger ingen tilgængelige data.</w:t>
      </w:r>
      <w:r w:rsidRPr="003C070F">
        <w:rPr>
          <w:i/>
          <w:sz w:val="24"/>
          <w:szCs w:val="24"/>
        </w:rPr>
        <w:t xml:space="preserve"> </w:t>
      </w:r>
    </w:p>
    <w:p w:rsidR="00D61E13" w:rsidRPr="003C070F" w:rsidRDefault="00D61E13" w:rsidP="00D61E13">
      <w:pPr>
        <w:widowControl w:val="0"/>
        <w:ind w:left="851" w:hanging="851"/>
        <w:rPr>
          <w:i/>
          <w:sz w:val="24"/>
          <w:szCs w:val="24"/>
        </w:rPr>
      </w:pPr>
    </w:p>
    <w:p w:rsidR="00D61E13" w:rsidRPr="003C070F" w:rsidRDefault="00D61E13" w:rsidP="00D61E13">
      <w:pPr>
        <w:widowControl w:val="0"/>
        <w:ind w:left="851"/>
        <w:rPr>
          <w:i/>
          <w:sz w:val="24"/>
          <w:szCs w:val="24"/>
        </w:rPr>
      </w:pPr>
      <w:r w:rsidRPr="003C070F">
        <w:rPr>
          <w:i/>
          <w:sz w:val="24"/>
          <w:szCs w:val="24"/>
        </w:rPr>
        <w:t xml:space="preserve">Graviditet: </w:t>
      </w:r>
    </w:p>
    <w:p w:rsidR="00D61E13" w:rsidRPr="003C070F" w:rsidRDefault="00D61E13" w:rsidP="00D61E13">
      <w:pPr>
        <w:suppressAutoHyphens/>
        <w:ind w:left="851"/>
        <w:rPr>
          <w:sz w:val="24"/>
          <w:szCs w:val="24"/>
        </w:rPr>
      </w:pPr>
      <w:r w:rsidRPr="003C070F">
        <w:rPr>
          <w:sz w:val="24"/>
          <w:szCs w:val="24"/>
        </w:rPr>
        <w:t>Ingen kendte risici.</w:t>
      </w: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proofErr w:type="spellStart"/>
      <w:r w:rsidRPr="003C070F">
        <w:rPr>
          <w:sz w:val="24"/>
          <w:szCs w:val="24"/>
        </w:rPr>
        <w:t>Hydroxocobalamin</w:t>
      </w:r>
      <w:proofErr w:type="spellEnd"/>
      <w:r w:rsidRPr="003C070F">
        <w:rPr>
          <w:sz w:val="24"/>
          <w:szCs w:val="24"/>
        </w:rPr>
        <w:t xml:space="preserve"> ”Alternova” kan anvendes til gravide.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/>
        <w:rPr>
          <w:i/>
          <w:sz w:val="24"/>
          <w:szCs w:val="24"/>
        </w:rPr>
      </w:pPr>
      <w:r w:rsidRPr="003C070F">
        <w:rPr>
          <w:i/>
          <w:sz w:val="24"/>
          <w:szCs w:val="24"/>
        </w:rPr>
        <w:t>Amning:</w:t>
      </w: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proofErr w:type="spellStart"/>
      <w:r w:rsidRPr="003C070F">
        <w:rPr>
          <w:sz w:val="24"/>
          <w:szCs w:val="24"/>
        </w:rPr>
        <w:t>Hydroxocobalamin</w:t>
      </w:r>
      <w:proofErr w:type="spellEnd"/>
      <w:r w:rsidRPr="003C070F">
        <w:rPr>
          <w:sz w:val="24"/>
          <w:szCs w:val="24"/>
        </w:rPr>
        <w:t xml:space="preserve"> ”Alternova” kan anvendes i </w:t>
      </w:r>
      <w:proofErr w:type="spellStart"/>
      <w:r w:rsidRPr="003C070F">
        <w:rPr>
          <w:sz w:val="24"/>
          <w:szCs w:val="24"/>
        </w:rPr>
        <w:t>ammeperioden</w:t>
      </w:r>
      <w:proofErr w:type="spellEnd"/>
      <w:r w:rsidRPr="003C070F">
        <w:rPr>
          <w:sz w:val="24"/>
          <w:szCs w:val="24"/>
        </w:rPr>
        <w:t>.</w:t>
      </w:r>
    </w:p>
    <w:p w:rsidR="00D61E13" w:rsidRPr="003C070F" w:rsidRDefault="00D61E13" w:rsidP="00D61E13">
      <w:pPr>
        <w:widowControl w:val="0"/>
        <w:ind w:left="851"/>
        <w:rPr>
          <w:sz w:val="24"/>
          <w:szCs w:val="24"/>
        </w:rPr>
      </w:pPr>
      <w:proofErr w:type="spellStart"/>
      <w:r w:rsidRPr="003C070F">
        <w:rPr>
          <w:sz w:val="24"/>
          <w:szCs w:val="24"/>
        </w:rPr>
        <w:t>Hydroxocobalamin</w:t>
      </w:r>
      <w:proofErr w:type="spellEnd"/>
      <w:r w:rsidRPr="003C070F">
        <w:rPr>
          <w:sz w:val="24"/>
          <w:szCs w:val="24"/>
        </w:rPr>
        <w:t xml:space="preserve"> udskilles i modermælken, men risikoen for påvirkning af barnet synes usandsynlig ved terapeutiske doser.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4.7</w:t>
      </w:r>
      <w:r w:rsidRPr="003C070F">
        <w:rPr>
          <w:b/>
          <w:sz w:val="24"/>
          <w:szCs w:val="24"/>
        </w:rPr>
        <w:tab/>
        <w:t xml:space="preserve">Virkning på evnen til at føre motorkøretøj </w:t>
      </w:r>
      <w:r w:rsidR="00CC4D33">
        <w:rPr>
          <w:b/>
          <w:sz w:val="24"/>
          <w:szCs w:val="24"/>
        </w:rPr>
        <w:t>og</w:t>
      </w:r>
      <w:r w:rsidRPr="003C070F">
        <w:rPr>
          <w:b/>
          <w:sz w:val="24"/>
          <w:szCs w:val="24"/>
        </w:rPr>
        <w:t xml:space="preserve"> betjene maskiner</w:t>
      </w:r>
    </w:p>
    <w:p w:rsidR="00D61E13" w:rsidRPr="003C070F" w:rsidRDefault="00D61E13" w:rsidP="00D61E13">
      <w:pPr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  <w:t>Ikke mærkning.</w:t>
      </w:r>
    </w:p>
    <w:p w:rsidR="00D61E13" w:rsidRPr="003C070F" w:rsidRDefault="00D61E13" w:rsidP="00D61E13">
      <w:pPr>
        <w:ind w:left="851" w:hanging="851"/>
        <w:rPr>
          <w:spacing w:val="-3"/>
          <w:sz w:val="24"/>
          <w:szCs w:val="24"/>
        </w:rPr>
      </w:pPr>
    </w:p>
    <w:p w:rsidR="00CC4D33" w:rsidRPr="003C070F" w:rsidRDefault="00CC4D33" w:rsidP="00CC4D33">
      <w:pPr>
        <w:ind w:left="851"/>
        <w:rPr>
          <w:spacing w:val="-3"/>
          <w:sz w:val="24"/>
          <w:szCs w:val="24"/>
        </w:rPr>
      </w:pPr>
      <w:proofErr w:type="spellStart"/>
      <w:r w:rsidRPr="003C070F">
        <w:rPr>
          <w:spacing w:val="-3"/>
          <w:sz w:val="24"/>
          <w:szCs w:val="24"/>
        </w:rPr>
        <w:t>Hydroxocobalamin</w:t>
      </w:r>
      <w:proofErr w:type="spellEnd"/>
      <w:r w:rsidRPr="003C070F">
        <w:rPr>
          <w:spacing w:val="-3"/>
          <w:sz w:val="24"/>
          <w:szCs w:val="24"/>
        </w:rPr>
        <w:t xml:space="preserve"> ”Alternova” påvirker ikke </w:t>
      </w:r>
      <w:r>
        <w:rPr>
          <w:spacing w:val="-3"/>
          <w:sz w:val="24"/>
          <w:szCs w:val="24"/>
        </w:rPr>
        <w:t xml:space="preserve">eller kun i ubetydelig grad </w:t>
      </w:r>
      <w:r w:rsidRPr="003C070F">
        <w:rPr>
          <w:spacing w:val="-3"/>
          <w:sz w:val="24"/>
          <w:szCs w:val="24"/>
        </w:rPr>
        <w:t xml:space="preserve">evnen til at føre motorkøretøj eller betjene maskiner. 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4.8</w:t>
      </w:r>
      <w:r w:rsidRPr="003C070F">
        <w:rPr>
          <w:b/>
          <w:sz w:val="24"/>
          <w:szCs w:val="24"/>
        </w:rPr>
        <w:tab/>
        <w:t>Bivirkninger</w:t>
      </w:r>
    </w:p>
    <w:p w:rsidR="00D61E13" w:rsidRPr="003C070F" w:rsidRDefault="00D61E13" w:rsidP="00D61E13">
      <w:pPr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  <w:t>Selv i store doser er vitamin B</w:t>
      </w:r>
      <w:r w:rsidRPr="003C070F">
        <w:rPr>
          <w:sz w:val="24"/>
          <w:szCs w:val="24"/>
          <w:vertAlign w:val="subscript"/>
        </w:rPr>
        <w:t>12</w:t>
      </w:r>
      <w:r w:rsidRPr="003C070F">
        <w:rPr>
          <w:sz w:val="24"/>
          <w:szCs w:val="24"/>
        </w:rPr>
        <w:t xml:space="preserve"> sædvanligvis ikke giftig.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tbl>
      <w:tblPr>
        <w:tblW w:w="90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836"/>
        <w:gridCol w:w="3261"/>
      </w:tblGrid>
      <w:tr w:rsidR="00D61E13" w:rsidRPr="003C070F" w:rsidTr="00CC4D33">
        <w:trPr>
          <w:cantSplit/>
          <w:trHeight w:val="118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  <w:r w:rsidRPr="003C070F">
              <w:rPr>
                <w:spacing w:val="-3"/>
                <w:sz w:val="24"/>
                <w:szCs w:val="24"/>
              </w:rPr>
              <w:t>Frekvens</w:t>
            </w:r>
          </w:p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</w:p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  <w:r w:rsidRPr="003C070F">
              <w:rPr>
                <w:spacing w:val="-3"/>
                <w:sz w:val="24"/>
                <w:szCs w:val="24"/>
              </w:rPr>
              <w:t>Organklasse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  <w:r w:rsidRPr="003C070F">
              <w:rPr>
                <w:spacing w:val="-3"/>
                <w:sz w:val="24"/>
                <w:szCs w:val="24"/>
              </w:rPr>
              <w:t>Sjælden</w:t>
            </w:r>
          </w:p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  <w:r w:rsidRPr="003C070F">
              <w:rPr>
                <w:spacing w:val="-3"/>
                <w:sz w:val="24"/>
                <w:szCs w:val="24"/>
              </w:rPr>
              <w:t>(&gt;1/10.000 til &lt;1/1.000)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1E13" w:rsidRPr="003C070F" w:rsidRDefault="00D61E13" w:rsidP="003B4BCE">
            <w:pPr>
              <w:rPr>
                <w:sz w:val="24"/>
                <w:szCs w:val="24"/>
              </w:rPr>
            </w:pPr>
            <w:r w:rsidRPr="003C070F">
              <w:rPr>
                <w:sz w:val="24"/>
                <w:szCs w:val="24"/>
              </w:rPr>
              <w:t>Ikke kendt</w:t>
            </w:r>
          </w:p>
          <w:p w:rsidR="00D61E13" w:rsidRPr="003C070F" w:rsidRDefault="00D61E13" w:rsidP="003B4BCE">
            <w:pPr>
              <w:rPr>
                <w:strike/>
                <w:sz w:val="24"/>
                <w:szCs w:val="24"/>
              </w:rPr>
            </w:pPr>
            <w:r w:rsidRPr="003C070F">
              <w:rPr>
                <w:sz w:val="24"/>
                <w:szCs w:val="24"/>
              </w:rPr>
              <w:t>(kan ikke estimeres ud fra forhåndenværende data)</w:t>
            </w:r>
          </w:p>
        </w:tc>
      </w:tr>
      <w:tr w:rsidR="00D61E13" w:rsidRPr="003C070F" w:rsidTr="00CC4D33">
        <w:trPr>
          <w:cantSplit/>
          <w:trHeight w:val="1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E13" w:rsidRPr="003C070F" w:rsidRDefault="00D61E13" w:rsidP="003B4BCE">
            <w:pPr>
              <w:rPr>
                <w:bCs/>
                <w:noProof/>
                <w:sz w:val="24"/>
                <w:szCs w:val="24"/>
              </w:rPr>
            </w:pPr>
            <w:r w:rsidRPr="003C070F">
              <w:rPr>
                <w:sz w:val="24"/>
                <w:szCs w:val="24"/>
              </w:rPr>
              <w:t>Blod og lymfesystem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13" w:rsidRPr="003C070F" w:rsidRDefault="00D61E13" w:rsidP="003B4BCE">
            <w:pPr>
              <w:rPr>
                <w:bCs/>
                <w:noProof/>
                <w:sz w:val="24"/>
                <w:szCs w:val="24"/>
              </w:rPr>
            </w:pPr>
            <w:r w:rsidRPr="003C070F">
              <w:rPr>
                <w:sz w:val="24"/>
                <w:szCs w:val="24"/>
              </w:rPr>
              <w:t xml:space="preserve">Primær </w:t>
            </w:r>
            <w:proofErr w:type="spellStart"/>
            <w:r w:rsidRPr="003C070F">
              <w:rPr>
                <w:sz w:val="24"/>
                <w:szCs w:val="24"/>
              </w:rPr>
              <w:t>polycytæmi</w:t>
            </w:r>
            <w:proofErr w:type="spellEnd"/>
          </w:p>
        </w:tc>
      </w:tr>
      <w:tr w:rsidR="00D61E13" w:rsidRPr="003C070F" w:rsidTr="00CC4D33">
        <w:trPr>
          <w:cantSplit/>
          <w:trHeight w:val="1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E13" w:rsidRPr="003C070F" w:rsidRDefault="00D61E13" w:rsidP="003B4BCE">
            <w:pPr>
              <w:pStyle w:val="Titel"/>
              <w:jc w:val="left"/>
              <w:rPr>
                <w:b w:val="0"/>
                <w:bCs/>
                <w:noProof/>
                <w:szCs w:val="24"/>
              </w:rPr>
            </w:pPr>
            <w:r w:rsidRPr="003C070F">
              <w:rPr>
                <w:b w:val="0"/>
                <w:noProof/>
                <w:szCs w:val="24"/>
              </w:rPr>
              <w:t>Immunsystemet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  <w:r w:rsidRPr="003C070F">
              <w:rPr>
                <w:spacing w:val="-3"/>
                <w:sz w:val="24"/>
                <w:szCs w:val="24"/>
              </w:rPr>
              <w:t xml:space="preserve">Overfølsomhedsreaktioner (herunder anafylaksi), feber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13" w:rsidRPr="003C070F" w:rsidRDefault="00D61E13" w:rsidP="003B4BCE">
            <w:pPr>
              <w:rPr>
                <w:bCs/>
                <w:noProof/>
                <w:sz w:val="24"/>
                <w:szCs w:val="24"/>
              </w:rPr>
            </w:pPr>
            <w:r w:rsidRPr="003C070F">
              <w:rPr>
                <w:spacing w:val="-3"/>
                <w:sz w:val="24"/>
                <w:szCs w:val="24"/>
              </w:rPr>
              <w:t>Død</w:t>
            </w:r>
          </w:p>
        </w:tc>
      </w:tr>
      <w:tr w:rsidR="00D61E13" w:rsidRPr="003C070F" w:rsidTr="00CC4D33">
        <w:trPr>
          <w:cantSplit/>
          <w:trHeight w:val="1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E13" w:rsidRPr="003C070F" w:rsidRDefault="00D61E13" w:rsidP="003B4BCE">
            <w:pPr>
              <w:rPr>
                <w:noProof/>
                <w:sz w:val="24"/>
                <w:szCs w:val="24"/>
              </w:rPr>
            </w:pPr>
            <w:r w:rsidRPr="003C070F">
              <w:rPr>
                <w:sz w:val="24"/>
                <w:szCs w:val="24"/>
              </w:rPr>
              <w:t>Hjerte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3" w:rsidRPr="003C070F" w:rsidRDefault="00D61E13" w:rsidP="003B4BCE">
            <w:pPr>
              <w:rPr>
                <w:sz w:val="24"/>
                <w:szCs w:val="24"/>
              </w:rPr>
            </w:pPr>
            <w:proofErr w:type="spellStart"/>
            <w:r w:rsidRPr="003C070F">
              <w:rPr>
                <w:sz w:val="24"/>
                <w:szCs w:val="24"/>
              </w:rPr>
              <w:t>Kongestivt</w:t>
            </w:r>
            <w:proofErr w:type="spellEnd"/>
            <w:r w:rsidRPr="003C070F">
              <w:rPr>
                <w:sz w:val="24"/>
                <w:szCs w:val="24"/>
              </w:rPr>
              <w:t xml:space="preserve"> hjertesvigt i den tidlige behandling</w:t>
            </w:r>
          </w:p>
        </w:tc>
      </w:tr>
      <w:tr w:rsidR="00D61E13" w:rsidRPr="003C070F" w:rsidTr="00CC4D33">
        <w:trPr>
          <w:cantSplit/>
          <w:trHeight w:val="1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E13" w:rsidRPr="003C070F" w:rsidRDefault="00D61E13" w:rsidP="003B4BCE">
            <w:pPr>
              <w:rPr>
                <w:sz w:val="24"/>
                <w:szCs w:val="24"/>
              </w:rPr>
            </w:pPr>
            <w:proofErr w:type="spellStart"/>
            <w:r w:rsidRPr="003C070F">
              <w:rPr>
                <w:sz w:val="24"/>
                <w:szCs w:val="24"/>
              </w:rPr>
              <w:t>Vaskulære</w:t>
            </w:r>
            <w:proofErr w:type="spellEnd"/>
            <w:r w:rsidRPr="003C070F">
              <w:rPr>
                <w:sz w:val="24"/>
                <w:szCs w:val="24"/>
              </w:rPr>
              <w:t xml:space="preserve"> sygdomme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3" w:rsidRPr="003C070F" w:rsidRDefault="00D61E13" w:rsidP="003B4BCE">
            <w:pPr>
              <w:rPr>
                <w:sz w:val="24"/>
                <w:szCs w:val="24"/>
              </w:rPr>
            </w:pPr>
            <w:r w:rsidRPr="003C070F">
              <w:rPr>
                <w:sz w:val="24"/>
                <w:szCs w:val="24"/>
              </w:rPr>
              <w:t xml:space="preserve">Perifer </w:t>
            </w:r>
            <w:proofErr w:type="spellStart"/>
            <w:r w:rsidRPr="003C070F">
              <w:rPr>
                <w:sz w:val="24"/>
                <w:szCs w:val="24"/>
              </w:rPr>
              <w:t>vaskulær</w:t>
            </w:r>
            <w:proofErr w:type="spellEnd"/>
            <w:r w:rsidRPr="003C070F">
              <w:rPr>
                <w:sz w:val="24"/>
                <w:szCs w:val="24"/>
              </w:rPr>
              <w:t xml:space="preserve"> </w:t>
            </w:r>
            <w:proofErr w:type="spellStart"/>
            <w:r w:rsidRPr="003C070F">
              <w:rPr>
                <w:sz w:val="24"/>
                <w:szCs w:val="24"/>
              </w:rPr>
              <w:t>trombedannelse</w:t>
            </w:r>
            <w:proofErr w:type="spellEnd"/>
            <w:r w:rsidRPr="003C070F">
              <w:rPr>
                <w:sz w:val="24"/>
                <w:szCs w:val="24"/>
              </w:rPr>
              <w:t xml:space="preserve"> </w:t>
            </w:r>
          </w:p>
        </w:tc>
      </w:tr>
      <w:tr w:rsidR="00D61E13" w:rsidRPr="003C070F" w:rsidTr="00CC4D33">
        <w:trPr>
          <w:cantSplit/>
          <w:trHeight w:val="1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1E13" w:rsidRPr="003C070F" w:rsidRDefault="00D61E13" w:rsidP="003B4BCE">
            <w:pPr>
              <w:rPr>
                <w:noProof/>
                <w:sz w:val="24"/>
                <w:szCs w:val="24"/>
              </w:rPr>
            </w:pPr>
            <w:r w:rsidRPr="003C070F">
              <w:rPr>
                <w:noProof/>
                <w:sz w:val="24"/>
                <w:szCs w:val="24"/>
              </w:rPr>
              <w:t xml:space="preserve">Luftveje, thorax og mediastinum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3" w:rsidRPr="003C070F" w:rsidRDefault="00D61E13" w:rsidP="003B4BCE">
            <w:pPr>
              <w:rPr>
                <w:sz w:val="24"/>
                <w:szCs w:val="24"/>
              </w:rPr>
            </w:pPr>
            <w:proofErr w:type="spellStart"/>
            <w:r w:rsidRPr="003C070F">
              <w:rPr>
                <w:sz w:val="24"/>
                <w:szCs w:val="24"/>
              </w:rPr>
              <w:t>Pulmonalt</w:t>
            </w:r>
            <w:proofErr w:type="spellEnd"/>
            <w:r w:rsidRPr="003C070F">
              <w:rPr>
                <w:sz w:val="24"/>
                <w:szCs w:val="24"/>
              </w:rPr>
              <w:t xml:space="preserve"> ødem</w:t>
            </w:r>
          </w:p>
        </w:tc>
      </w:tr>
      <w:tr w:rsidR="00D61E13" w:rsidRPr="003C070F" w:rsidTr="00CC4D33">
        <w:trPr>
          <w:cantSplit/>
          <w:trHeight w:val="1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1E13" w:rsidRPr="003C070F" w:rsidRDefault="00D61E13" w:rsidP="003B4BCE">
            <w:pPr>
              <w:rPr>
                <w:noProof/>
                <w:sz w:val="24"/>
                <w:szCs w:val="24"/>
              </w:rPr>
            </w:pPr>
            <w:r w:rsidRPr="003C070F">
              <w:rPr>
                <w:noProof/>
                <w:sz w:val="24"/>
                <w:szCs w:val="24"/>
              </w:rPr>
              <w:t xml:space="preserve">Mave-tarm-kanalen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13" w:rsidRPr="003C070F" w:rsidRDefault="00D61E13" w:rsidP="003B4BCE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13" w:rsidRPr="003C070F" w:rsidRDefault="00D61E13" w:rsidP="003B4BCE">
            <w:pPr>
              <w:rPr>
                <w:sz w:val="24"/>
                <w:szCs w:val="24"/>
              </w:rPr>
            </w:pPr>
            <w:r w:rsidRPr="003C070F">
              <w:rPr>
                <w:sz w:val="24"/>
                <w:szCs w:val="24"/>
              </w:rPr>
              <w:t xml:space="preserve">Mild forbigående </w:t>
            </w:r>
            <w:proofErr w:type="spellStart"/>
            <w:r w:rsidRPr="003C070F">
              <w:rPr>
                <w:sz w:val="24"/>
                <w:szCs w:val="24"/>
              </w:rPr>
              <w:t>diaré</w:t>
            </w:r>
            <w:proofErr w:type="spellEnd"/>
          </w:p>
        </w:tc>
      </w:tr>
      <w:tr w:rsidR="00CC4D33" w:rsidRPr="003C070F" w:rsidTr="00CC4D33">
        <w:trPr>
          <w:cantSplit/>
          <w:trHeight w:val="1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C4D33" w:rsidRPr="003C070F" w:rsidRDefault="00CC4D33" w:rsidP="00CC4D33">
            <w:pPr>
              <w:rPr>
                <w:sz w:val="24"/>
                <w:szCs w:val="24"/>
              </w:rPr>
            </w:pPr>
            <w:r w:rsidRPr="003C070F">
              <w:rPr>
                <w:sz w:val="24"/>
                <w:szCs w:val="24"/>
              </w:rPr>
              <w:t xml:space="preserve">Hud og subkutane væv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33" w:rsidRPr="003C070F" w:rsidRDefault="00CC4D33" w:rsidP="00CC4D33">
            <w:pPr>
              <w:rPr>
                <w:spacing w:val="-3"/>
                <w:sz w:val="24"/>
                <w:szCs w:val="24"/>
              </w:rPr>
            </w:pPr>
            <w:proofErr w:type="spellStart"/>
            <w:r w:rsidRPr="003C070F">
              <w:rPr>
                <w:sz w:val="24"/>
                <w:szCs w:val="24"/>
              </w:rPr>
              <w:t>Acneiformt</w:t>
            </w:r>
            <w:proofErr w:type="spellEnd"/>
            <w:r w:rsidRPr="003C070F">
              <w:rPr>
                <w:sz w:val="24"/>
                <w:szCs w:val="24"/>
              </w:rPr>
              <w:t xml:space="preserve"> udslæt, </w:t>
            </w:r>
            <w:proofErr w:type="spellStart"/>
            <w:r w:rsidRPr="003C070F">
              <w:rPr>
                <w:sz w:val="24"/>
                <w:szCs w:val="24"/>
              </w:rPr>
              <w:t>urticaria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33" w:rsidRPr="003C070F" w:rsidRDefault="00CC4D33" w:rsidP="00CC4D33">
            <w:pPr>
              <w:rPr>
                <w:sz w:val="24"/>
                <w:szCs w:val="24"/>
              </w:rPr>
            </w:pPr>
          </w:p>
        </w:tc>
      </w:tr>
    </w:tbl>
    <w:p w:rsidR="00D61E13" w:rsidRPr="003C070F" w:rsidRDefault="00D61E13" w:rsidP="00D61E13">
      <w:pPr>
        <w:autoSpaceDE w:val="0"/>
        <w:autoSpaceDN w:val="0"/>
        <w:adjustRightInd w:val="0"/>
        <w:ind w:left="851" w:hanging="851"/>
        <w:rPr>
          <w:noProof/>
          <w:sz w:val="24"/>
          <w:szCs w:val="24"/>
          <w:u w:val="single"/>
        </w:rPr>
      </w:pPr>
    </w:p>
    <w:p w:rsidR="00D61E13" w:rsidRDefault="00D61E13" w:rsidP="00D61E1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Indberetning af formodede bivirkninger</w:t>
      </w:r>
    </w:p>
    <w:p w:rsidR="00D61E13" w:rsidRDefault="00D61E13" w:rsidP="00D61E13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Når lægemidlet er godkendt, er indberetning af formodede bivirkninger vigtig.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Det muliggør løbende overvågning af benefit/risk-forholdet for lægemidlet.</w:t>
      </w:r>
      <w:r>
        <w:rPr>
          <w:sz w:val="24"/>
          <w:szCs w:val="24"/>
        </w:rPr>
        <w:t xml:space="preserve"> </w:t>
      </w:r>
      <w:proofErr w:type="gramStart"/>
      <w:r w:rsidR="00CC4D33">
        <w:rPr>
          <w:sz w:val="24"/>
          <w:szCs w:val="24"/>
        </w:rPr>
        <w:t xml:space="preserve">Sundhedspersoner </w:t>
      </w:r>
      <w:r>
        <w:rPr>
          <w:noProof/>
          <w:sz w:val="24"/>
          <w:szCs w:val="24"/>
        </w:rPr>
        <w:t xml:space="preserve"> anmodes</w:t>
      </w:r>
      <w:proofErr w:type="gramEnd"/>
      <w:r>
        <w:rPr>
          <w:noProof/>
          <w:sz w:val="24"/>
          <w:szCs w:val="24"/>
        </w:rPr>
        <w:t xml:space="preserve"> om at indberette alle formodede bivirkninger via:</w:t>
      </w:r>
    </w:p>
    <w:p w:rsidR="00D61E13" w:rsidRDefault="00D61E13" w:rsidP="00D61E13">
      <w:pPr>
        <w:ind w:left="851"/>
        <w:rPr>
          <w:noProof/>
          <w:sz w:val="24"/>
          <w:szCs w:val="24"/>
        </w:rPr>
      </w:pPr>
    </w:p>
    <w:p w:rsidR="00D61E13" w:rsidRDefault="00D61E13" w:rsidP="00D61E13">
      <w:pPr>
        <w:ind w:firstLine="851"/>
        <w:rPr>
          <w:bCs/>
        </w:rPr>
      </w:pPr>
      <w:r>
        <w:rPr>
          <w:bCs/>
        </w:rPr>
        <w:t>Lægemiddelstyrelsen</w:t>
      </w:r>
    </w:p>
    <w:p w:rsidR="00D61E13" w:rsidRDefault="00D61E13" w:rsidP="00D61E13">
      <w:pPr>
        <w:ind w:left="851"/>
        <w:rPr>
          <w:bCs/>
        </w:rPr>
      </w:pPr>
      <w:r>
        <w:rPr>
          <w:bCs/>
        </w:rPr>
        <w:t>Axel Heides Gade 1</w:t>
      </w:r>
    </w:p>
    <w:p w:rsidR="00D61E13" w:rsidRDefault="00D61E13" w:rsidP="00D61E13">
      <w:pPr>
        <w:ind w:left="851"/>
        <w:rPr>
          <w:bCs/>
        </w:rPr>
      </w:pPr>
      <w:r>
        <w:rPr>
          <w:bCs/>
        </w:rPr>
        <w:t>DK-2300 København S</w:t>
      </w:r>
    </w:p>
    <w:p w:rsidR="00D61E13" w:rsidRPr="00395EBB" w:rsidRDefault="00D61E13" w:rsidP="00D61E13">
      <w:pPr>
        <w:ind w:left="851"/>
        <w:rPr>
          <w:bCs/>
        </w:rPr>
      </w:pPr>
      <w:r w:rsidRPr="00395EBB">
        <w:rPr>
          <w:bCs/>
        </w:rPr>
        <w:t xml:space="preserve">Websted: </w:t>
      </w:r>
      <w:hyperlink r:id="rId9" w:history="1">
        <w:r w:rsidR="00CC4D33" w:rsidRPr="00395EBB">
          <w:rPr>
            <w:rStyle w:val="Hyperlink"/>
            <w:bCs/>
          </w:rPr>
          <w:t>www.meldenbivirkning.dk</w:t>
        </w:r>
      </w:hyperlink>
    </w:p>
    <w:p w:rsidR="00D61E13" w:rsidRPr="00395EBB" w:rsidRDefault="00D61E13" w:rsidP="00D61E13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4.9</w:t>
      </w:r>
      <w:r w:rsidRPr="003C070F">
        <w:rPr>
          <w:b/>
          <w:sz w:val="24"/>
          <w:szCs w:val="24"/>
        </w:rPr>
        <w:tab/>
        <w:t>Overdosering</w:t>
      </w:r>
    </w:p>
    <w:p w:rsidR="00D61E13" w:rsidRPr="003C070F" w:rsidRDefault="00D61E13" w:rsidP="00D61E13">
      <w:pPr>
        <w:ind w:left="851"/>
        <w:rPr>
          <w:rStyle w:val="Fremhv"/>
          <w:sz w:val="24"/>
          <w:szCs w:val="24"/>
        </w:rPr>
      </w:pPr>
    </w:p>
    <w:p w:rsidR="00D61E13" w:rsidRPr="00CC4D33" w:rsidRDefault="00D61E13" w:rsidP="00D61E13">
      <w:pPr>
        <w:ind w:left="851"/>
        <w:rPr>
          <w:sz w:val="24"/>
          <w:szCs w:val="24"/>
          <w:lang w:eastAsia="da-DK"/>
        </w:rPr>
      </w:pPr>
      <w:r w:rsidRPr="00CC4D33">
        <w:rPr>
          <w:rStyle w:val="Fremhv"/>
          <w:sz w:val="24"/>
          <w:szCs w:val="24"/>
        </w:rPr>
        <w:t xml:space="preserve">Toksicitet: </w:t>
      </w:r>
    </w:p>
    <w:p w:rsidR="00D61E13" w:rsidRPr="00CC4D33" w:rsidRDefault="00D61E13" w:rsidP="00D61E13">
      <w:pPr>
        <w:ind w:left="851"/>
        <w:rPr>
          <w:sz w:val="24"/>
          <w:szCs w:val="24"/>
        </w:rPr>
      </w:pPr>
      <w:r w:rsidRPr="00CC4D33">
        <w:rPr>
          <w:sz w:val="24"/>
          <w:szCs w:val="24"/>
        </w:rPr>
        <w:t xml:space="preserve">Lav akut toksicitet. </w:t>
      </w:r>
    </w:p>
    <w:p w:rsidR="00D61E13" w:rsidRPr="00CC4D33" w:rsidRDefault="00D61E13" w:rsidP="00D61E13">
      <w:pPr>
        <w:ind w:left="851"/>
        <w:rPr>
          <w:sz w:val="24"/>
          <w:szCs w:val="24"/>
        </w:rPr>
      </w:pPr>
    </w:p>
    <w:p w:rsidR="00D61E13" w:rsidRPr="00CC4D33" w:rsidRDefault="00D61E13" w:rsidP="00D61E13">
      <w:pPr>
        <w:ind w:left="851"/>
        <w:rPr>
          <w:i/>
          <w:sz w:val="24"/>
          <w:szCs w:val="24"/>
        </w:rPr>
      </w:pPr>
      <w:r w:rsidRPr="00CC4D33">
        <w:rPr>
          <w:i/>
          <w:sz w:val="24"/>
          <w:szCs w:val="24"/>
        </w:rPr>
        <w:t xml:space="preserve">Symptomer: </w:t>
      </w:r>
    </w:p>
    <w:p w:rsidR="00D61E13" w:rsidRPr="00CC4D33" w:rsidRDefault="00D61E13" w:rsidP="00D61E13">
      <w:pPr>
        <w:ind w:left="851"/>
        <w:rPr>
          <w:sz w:val="24"/>
          <w:szCs w:val="24"/>
        </w:rPr>
      </w:pPr>
      <w:r w:rsidRPr="00CC4D33">
        <w:rPr>
          <w:sz w:val="24"/>
          <w:szCs w:val="24"/>
        </w:rPr>
        <w:t xml:space="preserve">Overdosering giver i almindelighed ingen symptomer. </w:t>
      </w:r>
    </w:p>
    <w:p w:rsidR="00D61E13" w:rsidRPr="00CC4D33" w:rsidRDefault="00D61E13" w:rsidP="00D61E13">
      <w:pPr>
        <w:ind w:left="851"/>
        <w:rPr>
          <w:sz w:val="24"/>
          <w:szCs w:val="24"/>
        </w:rPr>
      </w:pPr>
    </w:p>
    <w:p w:rsidR="00D61E13" w:rsidRPr="00CC4D33" w:rsidRDefault="00D61E13" w:rsidP="00D61E13">
      <w:pPr>
        <w:ind w:left="851"/>
        <w:rPr>
          <w:i/>
          <w:sz w:val="24"/>
          <w:szCs w:val="24"/>
        </w:rPr>
      </w:pPr>
      <w:r w:rsidRPr="00CC4D33">
        <w:rPr>
          <w:i/>
          <w:sz w:val="24"/>
          <w:szCs w:val="24"/>
        </w:rPr>
        <w:t xml:space="preserve">Behandling: </w:t>
      </w:r>
    </w:p>
    <w:p w:rsidR="00D61E13" w:rsidRPr="00CC4D33" w:rsidRDefault="00D61E13" w:rsidP="00D61E13">
      <w:pPr>
        <w:ind w:left="851"/>
        <w:rPr>
          <w:sz w:val="24"/>
          <w:szCs w:val="24"/>
        </w:rPr>
      </w:pPr>
      <w:r w:rsidRPr="00CC4D33">
        <w:rPr>
          <w:sz w:val="24"/>
          <w:szCs w:val="24"/>
        </w:rPr>
        <w:t>Det er sandsynligvis ikke nødvendigt.</w:t>
      </w:r>
    </w:p>
    <w:p w:rsidR="00D61E13" w:rsidRPr="00CC4D33" w:rsidRDefault="00D61E13" w:rsidP="00D61E13">
      <w:pPr>
        <w:ind w:left="851"/>
        <w:rPr>
          <w:sz w:val="24"/>
          <w:szCs w:val="24"/>
        </w:rPr>
      </w:pPr>
      <w:r w:rsidRPr="00CC4D33">
        <w:rPr>
          <w:sz w:val="24"/>
          <w:szCs w:val="24"/>
        </w:rPr>
        <w:t>Symptomatisk i undtagelsestilfælde.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4.10</w:t>
      </w:r>
      <w:r w:rsidRPr="003C070F">
        <w:rPr>
          <w:b/>
          <w:sz w:val="24"/>
          <w:szCs w:val="24"/>
        </w:rPr>
        <w:tab/>
        <w:t>Udlevering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  <w:t>B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5.</w:t>
      </w:r>
      <w:r w:rsidRPr="003C070F">
        <w:rPr>
          <w:b/>
          <w:sz w:val="24"/>
          <w:szCs w:val="24"/>
        </w:rPr>
        <w:tab/>
        <w:t>FARMAKOLOGISKE EGENSKABER</w:t>
      </w:r>
    </w:p>
    <w:p w:rsidR="00D61E13" w:rsidRPr="003C070F" w:rsidRDefault="00D61E13" w:rsidP="00CC4D33">
      <w:pPr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5.1</w:t>
      </w:r>
      <w:r w:rsidRPr="003C070F">
        <w:rPr>
          <w:b/>
          <w:sz w:val="24"/>
          <w:szCs w:val="24"/>
        </w:rPr>
        <w:tab/>
      </w:r>
      <w:proofErr w:type="spellStart"/>
      <w:r w:rsidRPr="003C070F">
        <w:rPr>
          <w:b/>
          <w:sz w:val="24"/>
          <w:szCs w:val="24"/>
        </w:rPr>
        <w:t>Farmakodynamiske</w:t>
      </w:r>
      <w:proofErr w:type="spellEnd"/>
      <w:r w:rsidRPr="003C070F">
        <w:rPr>
          <w:b/>
          <w:sz w:val="24"/>
          <w:szCs w:val="24"/>
        </w:rPr>
        <w:t xml:space="preserve"> egenskaber</w:t>
      </w:r>
    </w:p>
    <w:p w:rsidR="00CC4D33" w:rsidRDefault="00D61E13" w:rsidP="00D61E13">
      <w:pPr>
        <w:widowControl w:val="0"/>
        <w:ind w:left="851" w:hanging="851"/>
        <w:rPr>
          <w:spacing w:val="-3"/>
          <w:sz w:val="24"/>
          <w:szCs w:val="24"/>
        </w:rPr>
      </w:pPr>
      <w:r w:rsidRPr="003C070F">
        <w:rPr>
          <w:sz w:val="24"/>
          <w:szCs w:val="24"/>
        </w:rPr>
        <w:tab/>
      </w:r>
      <w:proofErr w:type="spellStart"/>
      <w:r w:rsidR="00CC4D33">
        <w:rPr>
          <w:sz w:val="24"/>
          <w:szCs w:val="24"/>
        </w:rPr>
        <w:t>Farmakoterapeutisk</w:t>
      </w:r>
      <w:proofErr w:type="spellEnd"/>
      <w:r w:rsidR="00CC4D33">
        <w:rPr>
          <w:sz w:val="24"/>
          <w:szCs w:val="24"/>
        </w:rPr>
        <w:t xml:space="preserve"> klassifikation:</w:t>
      </w:r>
      <w:r w:rsidR="00CC4D33">
        <w:rPr>
          <w:spacing w:val="-3"/>
          <w:sz w:val="24"/>
          <w:szCs w:val="24"/>
        </w:rPr>
        <w:t xml:space="preserve"> </w:t>
      </w:r>
      <w:r w:rsidR="00CC4D33" w:rsidRPr="003C070F">
        <w:rPr>
          <w:spacing w:val="-3"/>
          <w:sz w:val="24"/>
          <w:szCs w:val="24"/>
        </w:rPr>
        <w:t>Vitamin B</w:t>
      </w:r>
      <w:r w:rsidR="00CC4D33" w:rsidRPr="003C070F">
        <w:rPr>
          <w:spacing w:val="-3"/>
          <w:sz w:val="24"/>
          <w:szCs w:val="24"/>
          <w:vertAlign w:val="subscript"/>
        </w:rPr>
        <w:t>12</w:t>
      </w:r>
      <w:r w:rsidR="00CC4D33" w:rsidRPr="003C070F">
        <w:rPr>
          <w:spacing w:val="-3"/>
          <w:sz w:val="24"/>
          <w:szCs w:val="24"/>
        </w:rPr>
        <w:t xml:space="preserve"> (</w:t>
      </w:r>
      <w:proofErr w:type="spellStart"/>
      <w:r w:rsidR="00CC4D33" w:rsidRPr="003C070F">
        <w:rPr>
          <w:spacing w:val="-3"/>
          <w:sz w:val="24"/>
          <w:szCs w:val="24"/>
        </w:rPr>
        <w:t>cyanobalamin</w:t>
      </w:r>
      <w:proofErr w:type="spellEnd"/>
      <w:r w:rsidR="00CC4D33" w:rsidRPr="003C070F">
        <w:rPr>
          <w:spacing w:val="-3"/>
          <w:sz w:val="24"/>
          <w:szCs w:val="24"/>
        </w:rPr>
        <w:t xml:space="preserve"> og derivater)</w:t>
      </w:r>
      <w:r w:rsidR="00CC4D33">
        <w:rPr>
          <w:spacing w:val="-3"/>
          <w:sz w:val="24"/>
          <w:szCs w:val="24"/>
        </w:rPr>
        <w:t xml:space="preserve">, </w:t>
      </w:r>
      <w:r w:rsidR="00CC4D33" w:rsidRPr="003C070F">
        <w:rPr>
          <w:sz w:val="24"/>
          <w:szCs w:val="24"/>
        </w:rPr>
        <w:t xml:space="preserve">ATC-kode: </w:t>
      </w:r>
      <w:r w:rsidR="00CC4D33" w:rsidRPr="003C070F">
        <w:rPr>
          <w:spacing w:val="-3"/>
          <w:sz w:val="24"/>
          <w:szCs w:val="24"/>
        </w:rPr>
        <w:t>B03BA03</w:t>
      </w:r>
      <w:r w:rsidR="00CC4D33">
        <w:rPr>
          <w:spacing w:val="-3"/>
          <w:sz w:val="24"/>
          <w:szCs w:val="24"/>
        </w:rPr>
        <w:t>.</w:t>
      </w:r>
    </w:p>
    <w:p w:rsidR="00CC4D33" w:rsidRDefault="00CC4D3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CC4D33">
      <w:pPr>
        <w:widowControl w:val="0"/>
        <w:ind w:left="851"/>
        <w:rPr>
          <w:sz w:val="24"/>
          <w:szCs w:val="24"/>
          <w:lang w:eastAsia="da-DK"/>
        </w:rPr>
      </w:pPr>
      <w:r w:rsidRPr="003C070F">
        <w:rPr>
          <w:spacing w:val="-3"/>
          <w:sz w:val="24"/>
          <w:szCs w:val="24"/>
        </w:rPr>
        <w:t>B</w:t>
      </w:r>
      <w:r w:rsidRPr="003C070F">
        <w:rPr>
          <w:spacing w:val="-3"/>
          <w:sz w:val="24"/>
          <w:szCs w:val="24"/>
          <w:vertAlign w:val="subscript"/>
        </w:rPr>
        <w:t>12</w:t>
      </w:r>
      <w:r w:rsidRPr="003C070F">
        <w:rPr>
          <w:spacing w:val="-3"/>
          <w:sz w:val="24"/>
          <w:szCs w:val="24"/>
        </w:rPr>
        <w:t>-vitaminpræparat til normalisering af organismens indhold af B</w:t>
      </w:r>
      <w:r w:rsidRPr="003C070F">
        <w:rPr>
          <w:spacing w:val="-3"/>
          <w:sz w:val="24"/>
          <w:szCs w:val="24"/>
          <w:vertAlign w:val="subscript"/>
        </w:rPr>
        <w:t>12</w:t>
      </w:r>
      <w:r w:rsidRPr="003C070F">
        <w:rPr>
          <w:spacing w:val="-3"/>
          <w:sz w:val="24"/>
          <w:szCs w:val="24"/>
        </w:rPr>
        <w:t>-vitamin.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5.2</w:t>
      </w:r>
      <w:r w:rsidRPr="003C070F">
        <w:rPr>
          <w:b/>
          <w:sz w:val="24"/>
          <w:szCs w:val="24"/>
        </w:rPr>
        <w:tab/>
      </w:r>
      <w:proofErr w:type="spellStart"/>
      <w:r w:rsidRPr="003C070F">
        <w:rPr>
          <w:b/>
          <w:sz w:val="24"/>
          <w:szCs w:val="24"/>
        </w:rPr>
        <w:t>Farmakokinetiske</w:t>
      </w:r>
      <w:proofErr w:type="spellEnd"/>
      <w:r w:rsidRPr="003C070F">
        <w:rPr>
          <w:b/>
          <w:sz w:val="24"/>
          <w:szCs w:val="24"/>
        </w:rPr>
        <w:t xml:space="preserve"> egenskaber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</w:r>
      <w:r w:rsidRPr="003C070F">
        <w:rPr>
          <w:spacing w:val="-3"/>
          <w:sz w:val="24"/>
          <w:szCs w:val="24"/>
        </w:rPr>
        <w:t>Stigning i plasma B</w:t>
      </w:r>
      <w:r w:rsidRPr="003C070F">
        <w:rPr>
          <w:spacing w:val="-3"/>
          <w:sz w:val="24"/>
          <w:szCs w:val="24"/>
          <w:vertAlign w:val="subscript"/>
        </w:rPr>
        <w:t>12</w:t>
      </w:r>
      <w:r w:rsidRPr="003C070F">
        <w:rPr>
          <w:spacing w:val="-3"/>
          <w:sz w:val="24"/>
          <w:szCs w:val="24"/>
        </w:rPr>
        <w:t>-niveauet indtræder ½-1 time efter injektion. Bindes til specifikke plasmaproteiner og aflejres i vævet. Virkningstiden kan vare i måneder.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5.3</w:t>
      </w:r>
      <w:r w:rsidRPr="003C070F">
        <w:rPr>
          <w:b/>
          <w:sz w:val="24"/>
          <w:szCs w:val="24"/>
        </w:rPr>
        <w:tab/>
      </w:r>
      <w:r w:rsidR="00CC4D33">
        <w:rPr>
          <w:b/>
          <w:sz w:val="24"/>
          <w:szCs w:val="24"/>
        </w:rPr>
        <w:t>Non-</w:t>
      </w:r>
      <w:r w:rsidRPr="003C070F">
        <w:rPr>
          <w:b/>
          <w:sz w:val="24"/>
          <w:szCs w:val="24"/>
        </w:rPr>
        <w:t>kliniske sikkerhedsdata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  <w:t>-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6.</w:t>
      </w:r>
      <w:r w:rsidRPr="003C070F">
        <w:rPr>
          <w:b/>
          <w:sz w:val="24"/>
          <w:szCs w:val="24"/>
        </w:rPr>
        <w:tab/>
        <w:t>FARMACEUTISKE OPLYSNINGER</w:t>
      </w: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6.1</w:t>
      </w:r>
      <w:r w:rsidRPr="003C070F">
        <w:rPr>
          <w:b/>
          <w:sz w:val="24"/>
          <w:szCs w:val="24"/>
        </w:rPr>
        <w:tab/>
        <w:t>Hjælpestoffer</w:t>
      </w:r>
    </w:p>
    <w:p w:rsidR="00D61E13" w:rsidRPr="003C070F" w:rsidRDefault="00D61E13" w:rsidP="00D61E13">
      <w:pPr>
        <w:widowControl w:val="0"/>
        <w:ind w:left="851" w:hanging="851"/>
        <w:rPr>
          <w:spacing w:val="-3"/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</w:r>
      <w:proofErr w:type="spellStart"/>
      <w:r w:rsidRPr="003C070F">
        <w:rPr>
          <w:spacing w:val="-3"/>
          <w:sz w:val="24"/>
          <w:szCs w:val="24"/>
        </w:rPr>
        <w:t>Natriumchlorid</w:t>
      </w:r>
      <w:proofErr w:type="spellEnd"/>
    </w:p>
    <w:p w:rsidR="00D61E13" w:rsidRPr="003C070F" w:rsidRDefault="00D61E13" w:rsidP="00D61E13">
      <w:pPr>
        <w:widowControl w:val="0"/>
        <w:ind w:left="851" w:hanging="851"/>
        <w:rPr>
          <w:spacing w:val="-3"/>
          <w:sz w:val="24"/>
          <w:szCs w:val="24"/>
        </w:rPr>
      </w:pPr>
      <w:r w:rsidRPr="003C070F">
        <w:rPr>
          <w:spacing w:val="-3"/>
          <w:sz w:val="24"/>
          <w:szCs w:val="24"/>
        </w:rPr>
        <w:tab/>
        <w:t>Saltsyre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  <w:r w:rsidRPr="003C070F">
        <w:rPr>
          <w:spacing w:val="-3"/>
          <w:sz w:val="24"/>
          <w:szCs w:val="24"/>
        </w:rPr>
        <w:tab/>
        <w:t>Vand til injektionsvæsker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6.2</w:t>
      </w:r>
      <w:r w:rsidRPr="003C070F">
        <w:rPr>
          <w:b/>
          <w:sz w:val="24"/>
          <w:szCs w:val="24"/>
        </w:rPr>
        <w:tab/>
        <w:t>Uforligeligheder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  <w:t xml:space="preserve">Ikke relevant.  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6.3</w:t>
      </w:r>
      <w:r w:rsidRPr="003C070F">
        <w:rPr>
          <w:b/>
          <w:sz w:val="24"/>
          <w:szCs w:val="24"/>
        </w:rPr>
        <w:tab/>
        <w:t>Opbevaringstid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</w:r>
      <w:r>
        <w:rPr>
          <w:sz w:val="24"/>
          <w:szCs w:val="24"/>
        </w:rPr>
        <w:t>3 år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keepNext/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lastRenderedPageBreak/>
        <w:t>6.4</w:t>
      </w:r>
      <w:r w:rsidRPr="003C070F">
        <w:rPr>
          <w:b/>
          <w:sz w:val="24"/>
          <w:szCs w:val="24"/>
        </w:rPr>
        <w:tab/>
        <w:t>Særlige opbevaringsforhold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</w:r>
      <w:r>
        <w:rPr>
          <w:sz w:val="24"/>
          <w:szCs w:val="24"/>
        </w:rPr>
        <w:t>Opbevares i køleskab (2°C til 8°C).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6.5</w:t>
      </w:r>
      <w:r w:rsidRPr="003C070F">
        <w:rPr>
          <w:b/>
          <w:sz w:val="24"/>
          <w:szCs w:val="24"/>
        </w:rPr>
        <w:tab/>
        <w:t>Emballagetype og pakningsstørrelser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</w:r>
      <w:r w:rsidRPr="003C070F">
        <w:rPr>
          <w:spacing w:val="-3"/>
          <w:sz w:val="24"/>
          <w:szCs w:val="24"/>
        </w:rPr>
        <w:t>Glasampuller pakket i karton, 1 x 1 ml, 3 x 1 ml og 5 x 1 ml.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  <w:t>Ikke alle pakningsstørrelser er nødvendigvis markedsført.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6.6</w:t>
      </w:r>
      <w:r w:rsidRPr="003C070F">
        <w:rPr>
          <w:b/>
          <w:sz w:val="24"/>
          <w:szCs w:val="24"/>
        </w:rPr>
        <w:tab/>
        <w:t xml:space="preserve">Regler for </w:t>
      </w:r>
      <w:r w:rsidR="00CC4D33">
        <w:rPr>
          <w:b/>
          <w:sz w:val="24"/>
          <w:szCs w:val="24"/>
        </w:rPr>
        <w:t>bortskaffelse</w:t>
      </w:r>
      <w:r w:rsidRPr="003C070F">
        <w:rPr>
          <w:b/>
          <w:sz w:val="24"/>
          <w:szCs w:val="24"/>
        </w:rPr>
        <w:t xml:space="preserve"> og anden håndtering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  <w:t>Ingen særlige forholdsregler.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/>
        <w:rPr>
          <w:sz w:val="24"/>
          <w:szCs w:val="24"/>
        </w:rPr>
      </w:pPr>
      <w:r w:rsidRPr="003C070F">
        <w:rPr>
          <w:sz w:val="24"/>
          <w:szCs w:val="24"/>
        </w:rPr>
        <w:t>Ikke anvendt lægemiddel samt affald heraf skal bortskaffes i henhold til lokale retnings</w:t>
      </w:r>
      <w:r w:rsidRPr="003C070F">
        <w:rPr>
          <w:sz w:val="24"/>
          <w:szCs w:val="24"/>
        </w:rPr>
        <w:softHyphen/>
        <w:t>linjer.</w:t>
      </w:r>
    </w:p>
    <w:p w:rsidR="00D61E13" w:rsidRPr="003C070F" w:rsidRDefault="00D61E13" w:rsidP="00D61E13">
      <w:pPr>
        <w:ind w:left="851" w:hanging="851"/>
        <w:jc w:val="both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7.</w:t>
      </w:r>
      <w:r w:rsidRPr="003C070F">
        <w:rPr>
          <w:b/>
          <w:sz w:val="24"/>
          <w:szCs w:val="24"/>
        </w:rPr>
        <w:tab/>
        <w:t>INDEHAVER AF MARKEDSFØRINGSTILLADELSEN</w:t>
      </w:r>
    </w:p>
    <w:p w:rsidR="00D61E13" w:rsidRPr="003C070F" w:rsidRDefault="00D61E13" w:rsidP="00D61E13">
      <w:pPr>
        <w:widowControl w:val="0"/>
        <w:ind w:left="851" w:hanging="851"/>
        <w:rPr>
          <w:sz w:val="24"/>
          <w:szCs w:val="24"/>
          <w:lang w:eastAsia="da-DK"/>
        </w:rPr>
      </w:pPr>
      <w:r w:rsidRPr="003C070F">
        <w:rPr>
          <w:sz w:val="24"/>
          <w:szCs w:val="24"/>
        </w:rPr>
        <w:tab/>
        <w:t>Alternova A/S</w:t>
      </w:r>
    </w:p>
    <w:p w:rsidR="000A34EB" w:rsidRPr="000A34EB" w:rsidRDefault="000A34EB" w:rsidP="000A34EB">
      <w:pPr>
        <w:ind w:left="851"/>
        <w:rPr>
          <w:sz w:val="24"/>
          <w:szCs w:val="24"/>
        </w:rPr>
      </w:pPr>
      <w:r w:rsidRPr="000A34EB">
        <w:rPr>
          <w:sz w:val="24"/>
          <w:szCs w:val="24"/>
        </w:rPr>
        <w:t xml:space="preserve">Energivej 15 </w:t>
      </w:r>
    </w:p>
    <w:p w:rsidR="00D61E13" w:rsidRDefault="000A34EB" w:rsidP="000A34EB">
      <w:pPr>
        <w:ind w:left="851"/>
        <w:rPr>
          <w:sz w:val="24"/>
          <w:szCs w:val="24"/>
        </w:rPr>
      </w:pPr>
      <w:r w:rsidRPr="000A34EB">
        <w:rPr>
          <w:sz w:val="24"/>
          <w:szCs w:val="24"/>
        </w:rPr>
        <w:t>5260 Odense S</w:t>
      </w:r>
      <w:bookmarkStart w:id="0" w:name="_GoBack"/>
      <w:bookmarkEnd w:id="0"/>
    </w:p>
    <w:p w:rsidR="000A34EB" w:rsidRPr="003C070F" w:rsidRDefault="000A34EB" w:rsidP="000A34EB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8.</w:t>
      </w:r>
      <w:r w:rsidRPr="003C070F">
        <w:rPr>
          <w:b/>
          <w:sz w:val="24"/>
          <w:szCs w:val="24"/>
        </w:rPr>
        <w:tab/>
        <w:t>MARKEDSFØRINGSTILLADELSESNUMMER (NUMRE)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  <w:t>52837</w:t>
      </w:r>
    </w:p>
    <w:p w:rsidR="00D61E13" w:rsidRPr="003C070F" w:rsidRDefault="00D61E13" w:rsidP="00D61E13">
      <w:pPr>
        <w:ind w:left="851" w:hanging="851"/>
        <w:jc w:val="both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9.</w:t>
      </w:r>
      <w:r w:rsidRPr="003C070F">
        <w:rPr>
          <w:b/>
          <w:sz w:val="24"/>
          <w:szCs w:val="24"/>
        </w:rPr>
        <w:tab/>
        <w:t>DATO FOR FØRSTE MARKEDSFØRINGSTILLADELSE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  <w:r w:rsidRPr="003C070F">
        <w:rPr>
          <w:sz w:val="24"/>
          <w:szCs w:val="24"/>
        </w:rPr>
        <w:tab/>
        <w:t>1</w:t>
      </w:r>
      <w:r>
        <w:rPr>
          <w:sz w:val="24"/>
          <w:szCs w:val="24"/>
        </w:rPr>
        <w:t>5</w:t>
      </w:r>
      <w:r w:rsidRPr="003C070F">
        <w:rPr>
          <w:sz w:val="24"/>
          <w:szCs w:val="24"/>
        </w:rPr>
        <w:t>. oktober 2014</w:t>
      </w:r>
    </w:p>
    <w:p w:rsidR="00D61E13" w:rsidRPr="003C070F" w:rsidRDefault="00D61E13" w:rsidP="00D61E13">
      <w:pPr>
        <w:ind w:left="851" w:hanging="851"/>
        <w:rPr>
          <w:sz w:val="24"/>
          <w:szCs w:val="24"/>
        </w:rPr>
      </w:pPr>
    </w:p>
    <w:p w:rsidR="00D61E13" w:rsidRPr="003C070F" w:rsidRDefault="00D61E13" w:rsidP="00D61E13">
      <w:pPr>
        <w:ind w:left="851" w:hanging="851"/>
        <w:rPr>
          <w:b/>
          <w:sz w:val="24"/>
          <w:szCs w:val="24"/>
        </w:rPr>
      </w:pPr>
      <w:r w:rsidRPr="003C070F">
        <w:rPr>
          <w:b/>
          <w:sz w:val="24"/>
          <w:szCs w:val="24"/>
        </w:rPr>
        <w:t>10.</w:t>
      </w:r>
      <w:r w:rsidRPr="003C070F">
        <w:rPr>
          <w:b/>
          <w:sz w:val="24"/>
          <w:szCs w:val="24"/>
        </w:rPr>
        <w:tab/>
        <w:t>DATO FOR ÆNDRING AF TEKSTEN</w:t>
      </w:r>
    </w:p>
    <w:p w:rsidR="00D61E13" w:rsidRPr="00320718" w:rsidRDefault="00D61E13" w:rsidP="00D61E13">
      <w:pPr>
        <w:ind w:left="851" w:hanging="851"/>
        <w:rPr>
          <w:sz w:val="24"/>
          <w:szCs w:val="24"/>
        </w:rPr>
      </w:pPr>
      <w:r w:rsidRPr="00320718">
        <w:rPr>
          <w:sz w:val="24"/>
          <w:szCs w:val="24"/>
        </w:rPr>
        <w:tab/>
      </w:r>
      <w:r w:rsidR="000A34EB">
        <w:rPr>
          <w:sz w:val="24"/>
          <w:szCs w:val="24"/>
        </w:rPr>
        <w:t>6. september 2024</w:t>
      </w:r>
    </w:p>
    <w:p w:rsidR="00D61E13" w:rsidRPr="00F37704" w:rsidRDefault="00D61E13" w:rsidP="00D61E13"/>
    <w:p w:rsidR="00D61E13" w:rsidRPr="00B042D9" w:rsidRDefault="00D61E13" w:rsidP="00D61E13"/>
    <w:p w:rsidR="009260DE" w:rsidRPr="00D61E13" w:rsidRDefault="009260DE" w:rsidP="00D61E13"/>
    <w:sectPr w:rsidR="009260DE" w:rsidRPr="00D61E13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13" w:rsidRDefault="00D61E13">
      <w:r>
        <w:separator/>
      </w:r>
    </w:p>
  </w:endnote>
  <w:endnote w:type="continuationSeparator" w:id="0">
    <w:p w:rsidR="00D61E13" w:rsidRDefault="00D6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B6D57">
      <w:rPr>
        <w:i/>
        <w:noProof/>
        <w:sz w:val="18"/>
        <w:szCs w:val="18"/>
      </w:rPr>
      <w:t>Hydroxocobalamin Alternova, injektionsvæske, opløsning 1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13" w:rsidRDefault="00D61E13">
      <w:r>
        <w:separator/>
      </w:r>
    </w:p>
  </w:footnote>
  <w:footnote w:type="continuationSeparator" w:id="0">
    <w:p w:rsidR="00D61E13" w:rsidRDefault="00D6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13"/>
    <w:rsid w:val="000259B9"/>
    <w:rsid w:val="00041491"/>
    <w:rsid w:val="00050D16"/>
    <w:rsid w:val="00074F2A"/>
    <w:rsid w:val="000A1CA8"/>
    <w:rsid w:val="000A34EB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10127"/>
    <w:rsid w:val="00395EBB"/>
    <w:rsid w:val="003A29AE"/>
    <w:rsid w:val="003A32D7"/>
    <w:rsid w:val="003B4074"/>
    <w:rsid w:val="003B6D57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7C238D"/>
    <w:rsid w:val="0081546F"/>
    <w:rsid w:val="0082576E"/>
    <w:rsid w:val="00907F75"/>
    <w:rsid w:val="009260DE"/>
    <w:rsid w:val="0093258A"/>
    <w:rsid w:val="009C7BA3"/>
    <w:rsid w:val="009D1F5A"/>
    <w:rsid w:val="00A522E6"/>
    <w:rsid w:val="00B003BF"/>
    <w:rsid w:val="00B373D7"/>
    <w:rsid w:val="00C23C46"/>
    <w:rsid w:val="00C36276"/>
    <w:rsid w:val="00C42586"/>
    <w:rsid w:val="00C60CCD"/>
    <w:rsid w:val="00C84483"/>
    <w:rsid w:val="00C95551"/>
    <w:rsid w:val="00CB20D7"/>
    <w:rsid w:val="00CC4D33"/>
    <w:rsid w:val="00D020B0"/>
    <w:rsid w:val="00D11748"/>
    <w:rsid w:val="00D366CF"/>
    <w:rsid w:val="00D61E13"/>
    <w:rsid w:val="00E108AA"/>
    <w:rsid w:val="00E31812"/>
    <w:rsid w:val="00E3749A"/>
    <w:rsid w:val="00E7437F"/>
    <w:rsid w:val="00E865B8"/>
    <w:rsid w:val="00EC0B9B"/>
    <w:rsid w:val="00ED2D5A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5A963"/>
  <w15:chartTrackingRefBased/>
  <w15:docId w15:val="{4E66F29F-4FAF-4AC2-8AE0-5651CC75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Fremhv">
    <w:name w:val="Emphasis"/>
    <w:qFormat/>
    <w:rsid w:val="00D61E13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CC4D3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C4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2024071578_x000d_
Ændring af MAH adresse</dc:description>
  <cp:lastModifiedBy>Marianne Ott Jensen</cp:lastModifiedBy>
  <cp:revision>4</cp:revision>
  <cp:lastPrinted>2012-08-22T08:53:00Z</cp:lastPrinted>
  <dcterms:created xsi:type="dcterms:W3CDTF">2024-09-06T08:35:00Z</dcterms:created>
  <dcterms:modified xsi:type="dcterms:W3CDTF">2024-09-06T08:36:00Z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